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EA" w:rsidRDefault="004550E5">
      <w:pPr>
        <w:rPr>
          <w:rFonts w:ascii="Arial Narrow" w:hAnsi="Arial Narrow"/>
          <w:noProof/>
        </w:rPr>
      </w:pPr>
      <w:r>
        <w:rPr>
          <w:noProof/>
        </w:rPr>
        <w:drawing>
          <wp:anchor distT="0" distB="0" distL="114300" distR="114300" simplePos="0" relativeHeight="251657728" behindDoc="1" locked="0" layoutInCell="1" allowOverlap="1" wp14:anchorId="5558C724" wp14:editId="49DC9B60">
            <wp:simplePos x="0" y="0"/>
            <wp:positionH relativeFrom="column">
              <wp:posOffset>-954405</wp:posOffset>
            </wp:positionH>
            <wp:positionV relativeFrom="paragraph">
              <wp:posOffset>-1098550</wp:posOffset>
            </wp:positionV>
            <wp:extent cx="7594600" cy="71799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099_Submission 01B front v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94600" cy="7179945"/>
                    </a:xfrm>
                    <a:prstGeom prst="rect">
                      <a:avLst/>
                    </a:prstGeom>
                    <a:noFill/>
                    <a:ln w="9525">
                      <a:noFill/>
                      <a:miter lim="800000"/>
                      <a:headEnd/>
                      <a:tailEnd/>
                    </a:ln>
                  </pic:spPr>
                </pic:pic>
              </a:graphicData>
            </a:graphic>
            <wp14:sizeRelV relativeFrom="margin">
              <wp14:pctHeight>0</wp14:pctHeight>
            </wp14:sizeRelV>
          </wp:anchor>
        </w:drawing>
      </w:r>
    </w:p>
    <w:p w:rsidR="00D72BEA" w:rsidRDefault="00D72BEA">
      <w:pPr>
        <w:rPr>
          <w:rFonts w:ascii="Arial Narrow" w:hAnsi="Arial Narrow"/>
        </w:rPr>
      </w:pPr>
    </w:p>
    <w:p w:rsidR="00D72BEA" w:rsidRDefault="00D72BEA">
      <w:pPr>
        <w:jc w:val="center"/>
        <w:rPr>
          <w:rFonts w:ascii="Arial Narrow" w:hAnsi="Arial Narrow"/>
        </w:rPr>
        <w:sectPr w:rsidR="00D72BEA" w:rsidSect="00D72BEA">
          <w:pgSz w:w="11899" w:h="16838"/>
          <w:pgMar w:top="1733" w:right="1440" w:bottom="2845" w:left="1440" w:header="1440" w:footer="2552" w:gutter="0"/>
          <w:cols w:space="720"/>
          <w:docGrid w:linePitch="360"/>
        </w:sectPr>
      </w:pPr>
    </w:p>
    <w:p w:rsidR="00D72BEA" w:rsidRPr="00E427CE" w:rsidRDefault="00D72BEA" w:rsidP="00D72BEA">
      <w:pPr>
        <w:rPr>
          <w:rFonts w:cs="Arial"/>
          <w:szCs w:val="22"/>
        </w:rPr>
      </w:pPr>
    </w:p>
    <w:p w:rsidR="00D72BEA" w:rsidRPr="00E427CE" w:rsidRDefault="00D72BEA" w:rsidP="00D72BEA">
      <w:pPr>
        <w:rPr>
          <w:rFonts w:cs="Arial"/>
          <w:szCs w:val="22"/>
        </w:rPr>
      </w:pPr>
    </w:p>
    <w:p w:rsidR="00D72BEA" w:rsidRDefault="00D72BEA">
      <w:pPr>
        <w:rPr>
          <w:rFonts w:ascii="Arial Narrow" w:hAnsi="Arial Narrow"/>
        </w:rPr>
      </w:pPr>
    </w:p>
    <w:p w:rsidR="00D72BEA" w:rsidRDefault="00D72BEA">
      <w:pPr>
        <w:rPr>
          <w:rFonts w:ascii="Arial Narrow" w:hAnsi="Arial Narrow"/>
        </w:rPr>
      </w:pPr>
    </w:p>
    <w:p w:rsidR="00D72BEA" w:rsidRDefault="00D72BEA">
      <w:pPr>
        <w:rPr>
          <w:rFonts w:ascii="Arial Narrow" w:hAnsi="Arial Narrow"/>
        </w:rPr>
      </w:pPr>
    </w:p>
    <w:p w:rsidR="00D72BEA" w:rsidRDefault="00D72BEA">
      <w:pPr>
        <w:rPr>
          <w:rFonts w:ascii="Arial Narrow" w:hAnsi="Arial Narrow"/>
        </w:rPr>
      </w:pPr>
    </w:p>
    <w:p w:rsidR="00D72BEA" w:rsidRDefault="00D72BEA">
      <w:pPr>
        <w:rPr>
          <w:rFonts w:ascii="Arial Narrow" w:hAnsi="Arial Narrow"/>
        </w:rPr>
      </w:pPr>
    </w:p>
    <w:p w:rsidR="00737EF8" w:rsidRDefault="00917987" w:rsidP="00135229">
      <w:pPr>
        <w:pStyle w:val="header14ptorangebold"/>
        <w:jc w:val="center"/>
        <w:rPr>
          <w:rFonts w:asciiTheme="minorHAnsi" w:hAnsiTheme="minorHAnsi"/>
          <w:b/>
        </w:rPr>
      </w:pPr>
      <w:r>
        <w:rPr>
          <w:noProof/>
          <w:lang w:val="en-AU" w:eastAsia="en-AU"/>
        </w:rPr>
        <mc:AlternateContent>
          <mc:Choice Requires="wps">
            <w:drawing>
              <wp:anchor distT="0" distB="0" distL="114935" distR="114935" simplePos="0" relativeHeight="251656704" behindDoc="0" locked="0" layoutInCell="1" allowOverlap="1" wp14:anchorId="7384F282" wp14:editId="4E585E3C">
                <wp:simplePos x="0" y="0"/>
                <wp:positionH relativeFrom="column">
                  <wp:posOffset>2586990</wp:posOffset>
                </wp:positionH>
                <wp:positionV relativeFrom="paragraph">
                  <wp:posOffset>4704080</wp:posOffset>
                </wp:positionV>
                <wp:extent cx="3737610" cy="23812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23812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C6B" w:rsidRPr="009E6F05" w:rsidRDefault="001C0C6B" w:rsidP="003C5F40">
                            <w:pPr>
                              <w:jc w:val="center"/>
                              <w:rPr>
                                <w:rFonts w:ascii="Arial" w:hAnsi="Arial"/>
                                <w:color w:val="2B3229"/>
                              </w:rPr>
                            </w:pPr>
                            <w:r w:rsidRPr="009E6F05">
                              <w:rPr>
                                <w:rFonts w:ascii="Arial" w:hAnsi="Arial"/>
                                <w:color w:val="2B3229"/>
                              </w:rPr>
                              <w:t>The Institute of Public Accountants</w:t>
                            </w:r>
                          </w:p>
                          <w:p w:rsidR="001C0C6B" w:rsidRPr="00C67223" w:rsidRDefault="001C0C6B" w:rsidP="003C5F40">
                            <w:pPr>
                              <w:jc w:val="center"/>
                            </w:pPr>
                          </w:p>
                          <w:p w:rsidR="00DB220A" w:rsidRDefault="001C0C6B" w:rsidP="003C5F40">
                            <w:pPr>
                              <w:pStyle w:val="header14ptorangebold"/>
                              <w:ind w:right="800"/>
                              <w:jc w:val="center"/>
                              <w:rPr>
                                <w:b/>
                                <w:spacing w:val="-20"/>
                                <w:sz w:val="36"/>
                                <w:szCs w:val="36"/>
                              </w:rPr>
                            </w:pPr>
                            <w:r w:rsidRPr="003C5F40">
                              <w:rPr>
                                <w:b/>
                                <w:spacing w:val="-20"/>
                                <w:sz w:val="36"/>
                                <w:szCs w:val="36"/>
                              </w:rPr>
                              <w:t xml:space="preserve">Corporations Amendment (Crowd-Sourced Funding For Proprietary Companies) Bill 2017   </w:t>
                            </w:r>
                          </w:p>
                          <w:p w:rsidR="00DB220A" w:rsidRDefault="00DB220A" w:rsidP="003C5F40">
                            <w:pPr>
                              <w:pStyle w:val="header14ptorangebold"/>
                              <w:ind w:right="800"/>
                              <w:jc w:val="center"/>
                              <w:rPr>
                                <w:b/>
                                <w:spacing w:val="-20"/>
                                <w:sz w:val="36"/>
                                <w:szCs w:val="36"/>
                              </w:rPr>
                            </w:pPr>
                          </w:p>
                          <w:p w:rsidR="00DB220A" w:rsidRDefault="00DB220A" w:rsidP="003C5F40">
                            <w:pPr>
                              <w:pStyle w:val="header14ptorangebold"/>
                              <w:ind w:right="800"/>
                              <w:jc w:val="center"/>
                              <w:rPr>
                                <w:b/>
                                <w:spacing w:val="-20"/>
                                <w:sz w:val="36"/>
                                <w:szCs w:val="36"/>
                              </w:rPr>
                            </w:pPr>
                          </w:p>
                          <w:p w:rsidR="00DB220A" w:rsidRDefault="00DB220A" w:rsidP="003C5F40">
                            <w:pPr>
                              <w:pStyle w:val="header14ptorangebold"/>
                              <w:ind w:right="800"/>
                              <w:jc w:val="center"/>
                              <w:rPr>
                                <w:b/>
                                <w:spacing w:val="-20"/>
                                <w:sz w:val="36"/>
                                <w:szCs w:val="36"/>
                              </w:rPr>
                            </w:pPr>
                          </w:p>
                          <w:p w:rsidR="001C0C6B" w:rsidRPr="00DB220A" w:rsidRDefault="001C0C6B" w:rsidP="003C5F40">
                            <w:pPr>
                              <w:pStyle w:val="header14ptorangebold"/>
                              <w:ind w:right="800"/>
                              <w:jc w:val="center"/>
                            </w:pPr>
                            <w:r w:rsidRPr="00DB220A">
                              <w:rPr>
                                <w:b/>
                                <w:spacing w:val="-20"/>
                              </w:rPr>
                              <w:t>June 2017</w:t>
                            </w:r>
                          </w:p>
                          <w:p w:rsidR="001C0C6B" w:rsidRDefault="001C0C6B" w:rsidP="003C5F40">
                            <w:pPr>
                              <w:jc w:val="center"/>
                              <w:rPr>
                                <w:rFonts w:ascii="Arial Bold" w:hAnsi="Arial Bold"/>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4F282" id="_x0000_t202" coordsize="21600,21600" o:spt="202" path="m,l,21600r21600,l21600,xe">
                <v:stroke joinstyle="miter"/>
                <v:path gradientshapeok="t" o:connecttype="rect"/>
              </v:shapetype>
              <v:shape id="Text Box 5" o:spid="_x0000_s1026" type="#_x0000_t202" style="position:absolute;left:0;text-align:left;margin-left:203.7pt;margin-top:370.4pt;width:294.3pt;height:187.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" stroked="f">
                <v:fill opacity="0"/>
                <v:textbox inset="0,0,0,0">
                  <w:txbxContent>
                    <w:p w:rsidR="001C0C6B" w:rsidRPr="009E6F05" w:rsidRDefault="001C0C6B" w:rsidP="003C5F40">
                      <w:pPr>
                        <w:jc w:val="center"/>
                        <w:rPr>
                          <w:rFonts w:ascii="Arial" w:hAnsi="Arial"/>
                          <w:color w:val="2B3229"/>
                        </w:rPr>
                      </w:pPr>
                      <w:r w:rsidRPr="009E6F05">
                        <w:rPr>
                          <w:rFonts w:ascii="Arial" w:hAnsi="Arial"/>
                          <w:color w:val="2B3229"/>
                        </w:rPr>
                        <w:t>The Institute of Public Accountants</w:t>
                      </w:r>
                    </w:p>
                    <w:p w:rsidR="001C0C6B" w:rsidRPr="00C67223" w:rsidRDefault="001C0C6B" w:rsidP="003C5F40">
                      <w:pPr>
                        <w:jc w:val="center"/>
                      </w:pPr>
                    </w:p>
                    <w:p w:rsidR="00DB220A" w:rsidRDefault="001C0C6B" w:rsidP="003C5F40">
                      <w:pPr>
                        <w:pStyle w:val="header14ptorangebold"/>
                        <w:ind w:right="800"/>
                        <w:jc w:val="center"/>
                        <w:rPr>
                          <w:b/>
                          <w:spacing w:val="-20"/>
                          <w:sz w:val="36"/>
                          <w:szCs w:val="36"/>
                        </w:rPr>
                      </w:pPr>
                      <w:r w:rsidRPr="003C5F40">
                        <w:rPr>
                          <w:b/>
                          <w:spacing w:val="-20"/>
                          <w:sz w:val="36"/>
                          <w:szCs w:val="36"/>
                        </w:rPr>
                        <w:t xml:space="preserve">Corporations Amendment (Crowd-Sourced Funding For Proprietary Companies) Bill 2017   </w:t>
                      </w:r>
                    </w:p>
                    <w:p w:rsidR="00DB220A" w:rsidRDefault="00DB220A" w:rsidP="003C5F40">
                      <w:pPr>
                        <w:pStyle w:val="header14ptorangebold"/>
                        <w:ind w:right="800"/>
                        <w:jc w:val="center"/>
                        <w:rPr>
                          <w:b/>
                          <w:spacing w:val="-20"/>
                          <w:sz w:val="36"/>
                          <w:szCs w:val="36"/>
                        </w:rPr>
                      </w:pPr>
                    </w:p>
                    <w:p w:rsidR="00DB220A" w:rsidRDefault="00DB220A" w:rsidP="003C5F40">
                      <w:pPr>
                        <w:pStyle w:val="header14ptorangebold"/>
                        <w:ind w:right="800"/>
                        <w:jc w:val="center"/>
                        <w:rPr>
                          <w:b/>
                          <w:spacing w:val="-20"/>
                          <w:sz w:val="36"/>
                          <w:szCs w:val="36"/>
                        </w:rPr>
                      </w:pPr>
                    </w:p>
                    <w:p w:rsidR="00DB220A" w:rsidRDefault="00DB220A" w:rsidP="003C5F40">
                      <w:pPr>
                        <w:pStyle w:val="header14ptorangebold"/>
                        <w:ind w:right="800"/>
                        <w:jc w:val="center"/>
                        <w:rPr>
                          <w:b/>
                          <w:spacing w:val="-20"/>
                          <w:sz w:val="36"/>
                          <w:szCs w:val="36"/>
                        </w:rPr>
                      </w:pPr>
                    </w:p>
                    <w:p w:rsidR="001C0C6B" w:rsidRPr="00DB220A" w:rsidRDefault="001C0C6B" w:rsidP="003C5F40">
                      <w:pPr>
                        <w:pStyle w:val="header14ptorangebold"/>
                        <w:ind w:right="800"/>
                        <w:jc w:val="center"/>
                      </w:pPr>
                      <w:r w:rsidRPr="00DB220A">
                        <w:rPr>
                          <w:b/>
                          <w:spacing w:val="-20"/>
                        </w:rPr>
                        <w:t>June 2017</w:t>
                      </w:r>
                    </w:p>
                    <w:p w:rsidR="001C0C6B" w:rsidRDefault="001C0C6B" w:rsidP="003C5F40">
                      <w:pPr>
                        <w:jc w:val="center"/>
                        <w:rPr>
                          <w:rFonts w:ascii="Arial Bold" w:hAnsi="Arial Bold"/>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txbxContent>
                </v:textbox>
              </v:shape>
            </w:pict>
          </mc:Fallback>
        </mc:AlternateContent>
      </w:r>
      <w:r>
        <w:rPr>
          <w:noProof/>
          <w:lang w:val="en-AU" w:eastAsia="en-AU"/>
        </w:rPr>
        <w:drawing>
          <wp:anchor distT="0" distB="0" distL="114300" distR="114300" simplePos="0" relativeHeight="251658752" behindDoc="0" locked="0" layoutInCell="1" allowOverlap="1" wp14:anchorId="2F240B20" wp14:editId="14CB909C">
            <wp:simplePos x="0" y="0"/>
            <wp:positionH relativeFrom="column">
              <wp:posOffset>-1003935</wp:posOffset>
            </wp:positionH>
            <wp:positionV relativeFrom="paragraph">
              <wp:posOffset>5153660</wp:posOffset>
            </wp:positionV>
            <wp:extent cx="3110865" cy="850900"/>
            <wp:effectExtent l="0" t="0" r="0" b="6350"/>
            <wp:wrapTight wrapText="bothSides">
              <wp:wrapPolygon edited="0">
                <wp:start x="0" y="0"/>
                <wp:lineTo x="0" y="21278"/>
                <wp:lineTo x="21428" y="21278"/>
                <wp:lineTo x="21428" y="0"/>
                <wp:lineTo x="0" y="0"/>
              </wp:wrapPolygon>
            </wp:wrapTight>
            <wp:docPr id="10" name="Picture 10" descr="NO023_IPACrestfull_wTAG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023_IPACrestfull_wTAG_PMS"/>
                    <pic:cNvPicPr>
                      <a:picLocks noChangeAspect="1" noChangeArrowheads="1"/>
                    </pic:cNvPicPr>
                  </pic:nvPicPr>
                  <pic:blipFill>
                    <a:blip r:embed="rId8" cstate="print"/>
                    <a:srcRect/>
                    <a:stretch>
                      <a:fillRect/>
                    </a:stretch>
                  </pic:blipFill>
                  <pic:spPr bwMode="auto">
                    <a:xfrm>
                      <a:off x="0" y="0"/>
                      <a:ext cx="3110865" cy="850900"/>
                    </a:xfrm>
                    <a:prstGeom prst="rect">
                      <a:avLst/>
                    </a:prstGeom>
                    <a:noFill/>
                    <a:ln w="9525">
                      <a:noFill/>
                      <a:miter lim="800000"/>
                      <a:headEnd/>
                      <a:tailEnd/>
                    </a:ln>
                  </pic:spPr>
                </pic:pic>
              </a:graphicData>
            </a:graphic>
            <wp14:sizeRelV relativeFrom="margin">
              <wp14:pctHeight>0</wp14:pctHeight>
            </wp14:sizeRelV>
          </wp:anchor>
        </w:drawing>
      </w:r>
      <w:r w:rsidR="00D72BEA" w:rsidRPr="00E35F04">
        <w:rPr>
          <w:rFonts w:ascii="Arial" w:hAnsi="Arial"/>
          <w:color w:val="141313"/>
        </w:rPr>
        <w:br w:type="page"/>
      </w:r>
      <w:r w:rsidR="00737EF8" w:rsidRPr="0003066C">
        <w:rPr>
          <w:rFonts w:asciiTheme="minorHAnsi" w:hAnsiTheme="minorHAnsi"/>
          <w:b/>
        </w:rPr>
        <w:lastRenderedPageBreak/>
        <w:t>I</w:t>
      </w:r>
      <w:r w:rsidR="00135229">
        <w:rPr>
          <w:rFonts w:asciiTheme="minorHAnsi" w:hAnsiTheme="minorHAnsi"/>
          <w:b/>
        </w:rPr>
        <w:t>PA - Deakin SME Research Centre</w:t>
      </w:r>
    </w:p>
    <w:p w:rsidR="00135229" w:rsidRPr="00135229" w:rsidRDefault="00135229" w:rsidP="00135229">
      <w:pPr>
        <w:pStyle w:val="header14ptorangebold"/>
        <w:jc w:val="center"/>
        <w:rPr>
          <w:rFonts w:asciiTheme="minorHAnsi" w:hAnsiTheme="minorHAnsi"/>
          <w:b/>
        </w:rPr>
      </w:pPr>
    </w:p>
    <w:p w:rsidR="00737EF8" w:rsidRPr="00135229" w:rsidRDefault="00737EF8" w:rsidP="00AF6328">
      <w:pPr>
        <w:autoSpaceDE w:val="0"/>
        <w:autoSpaceDN w:val="0"/>
        <w:adjustRightInd w:val="0"/>
        <w:jc w:val="both"/>
        <w:rPr>
          <w:rFonts w:asciiTheme="minorHAnsi" w:hAnsiTheme="minorHAnsi" w:cs="Futura-Light"/>
          <w:sz w:val="21"/>
          <w:szCs w:val="21"/>
        </w:rPr>
      </w:pPr>
      <w:r w:rsidRPr="00135229">
        <w:rPr>
          <w:rFonts w:asciiTheme="minorHAnsi" w:hAnsiTheme="minorHAnsi" w:cs="Futura-Light"/>
          <w:sz w:val="21"/>
          <w:szCs w:val="21"/>
        </w:rPr>
        <w:t xml:space="preserve">The Institute of Public Accountants (IPA) is one of the three legally recognised professional accounting bodies in Australia. The IPA has been in operation for over 90 years and has grown rapidly in recent years to represent more than 35,000 members and students in Australia and in more than 80 countries. The IPA has offices around Australia and in London, Beijing, Shanghai, Guangzhou and Kuala Lumpur. It also has a range of partnerships with other global accounting bodies. The IPA is a full member of the International Federation of Accountants and has almost 4,000 individual accounting practices in its network, generating in excess of $2.1 billion in accounting services fees annually. The IPA’s unique proposition is that it is for </w:t>
      </w:r>
      <w:r w:rsidRPr="00135229">
        <w:rPr>
          <w:rFonts w:asciiTheme="minorHAnsi" w:hAnsiTheme="minorHAnsi" w:cs="Futura-LightOblique"/>
          <w:i/>
          <w:iCs/>
          <w:sz w:val="21"/>
          <w:szCs w:val="21"/>
        </w:rPr>
        <w:t>small business</w:t>
      </w:r>
      <w:r w:rsidRPr="00135229">
        <w:rPr>
          <w:rFonts w:asciiTheme="minorHAnsi" w:hAnsiTheme="minorHAnsi" w:cs="Futura-Light"/>
          <w:sz w:val="21"/>
          <w:szCs w:val="21"/>
        </w:rPr>
        <w:t xml:space="preserve">; providing personal, practical and valued services to its members and their clients/employers. More than 75 per cent of IPA members work directly in or with small business every day. The IPA has a proud record of innovation and was recognised in 2012 by </w:t>
      </w:r>
      <w:r w:rsidRPr="00135229">
        <w:rPr>
          <w:rFonts w:asciiTheme="minorHAnsi" w:hAnsiTheme="minorHAnsi" w:cs="Futura-LightOblique"/>
          <w:i/>
          <w:iCs/>
          <w:sz w:val="21"/>
          <w:szCs w:val="21"/>
        </w:rPr>
        <w:t xml:space="preserve">BRW </w:t>
      </w:r>
      <w:r w:rsidRPr="00135229">
        <w:rPr>
          <w:rFonts w:asciiTheme="minorHAnsi" w:hAnsiTheme="minorHAnsi" w:cs="Futura-Light"/>
          <w:sz w:val="21"/>
          <w:szCs w:val="21"/>
        </w:rPr>
        <w:t>as one of Australia’s top 20 most innovative companies.</w:t>
      </w:r>
    </w:p>
    <w:p w:rsidR="00737EF8" w:rsidRPr="00135229" w:rsidRDefault="00737EF8" w:rsidP="00AF6328">
      <w:pPr>
        <w:autoSpaceDE w:val="0"/>
        <w:autoSpaceDN w:val="0"/>
        <w:adjustRightInd w:val="0"/>
        <w:jc w:val="both"/>
        <w:rPr>
          <w:rFonts w:asciiTheme="minorHAnsi" w:hAnsiTheme="minorHAnsi" w:cs="Futura-Light"/>
          <w:sz w:val="21"/>
          <w:szCs w:val="21"/>
        </w:rPr>
      </w:pPr>
    </w:p>
    <w:p w:rsidR="00737EF8" w:rsidRPr="00135229" w:rsidRDefault="00737EF8" w:rsidP="00AF6328">
      <w:pPr>
        <w:autoSpaceDE w:val="0"/>
        <w:autoSpaceDN w:val="0"/>
        <w:adjustRightInd w:val="0"/>
        <w:jc w:val="both"/>
        <w:rPr>
          <w:rFonts w:asciiTheme="minorHAnsi" w:hAnsiTheme="minorHAnsi" w:cs="Futura-Light"/>
          <w:sz w:val="21"/>
          <w:szCs w:val="21"/>
        </w:rPr>
      </w:pPr>
      <w:r w:rsidRPr="00135229">
        <w:rPr>
          <w:rFonts w:asciiTheme="minorHAnsi" w:hAnsiTheme="minorHAnsi" w:cs="Futura-Light"/>
          <w:sz w:val="21"/>
          <w:szCs w:val="21"/>
        </w:rPr>
        <w:t xml:space="preserve">In 2013, the IPA partnered with Deakin University to form the IPA Deakin SME Research Partnership, a first in Australia. This partnership has grown and evolved into the IPA assisting Deakin University in establishing the IPA-Deakin SME Research Centre in 2016. The goal of the Centre is to bring together practitioner insights with cutting edge SME academic research, to provide informed comment for substantive policy development. </w:t>
      </w:r>
    </w:p>
    <w:p w:rsidR="00737EF8" w:rsidRPr="00135229" w:rsidRDefault="00737EF8" w:rsidP="00AF6328">
      <w:pPr>
        <w:autoSpaceDE w:val="0"/>
        <w:autoSpaceDN w:val="0"/>
        <w:adjustRightInd w:val="0"/>
        <w:jc w:val="both"/>
        <w:rPr>
          <w:rFonts w:asciiTheme="minorHAnsi" w:hAnsiTheme="minorHAnsi" w:cs="Futura-Light"/>
          <w:sz w:val="21"/>
          <w:szCs w:val="21"/>
        </w:rPr>
      </w:pPr>
    </w:p>
    <w:p w:rsidR="00737EF8" w:rsidRPr="00135229" w:rsidRDefault="00737EF8" w:rsidP="00AF6328">
      <w:pPr>
        <w:autoSpaceDE w:val="0"/>
        <w:autoSpaceDN w:val="0"/>
        <w:adjustRightInd w:val="0"/>
        <w:jc w:val="both"/>
        <w:rPr>
          <w:rFonts w:asciiTheme="minorHAnsi" w:hAnsiTheme="minorHAnsi" w:cs="Futura-Light"/>
          <w:sz w:val="21"/>
          <w:szCs w:val="21"/>
        </w:rPr>
      </w:pPr>
      <w:r w:rsidRPr="00135229">
        <w:rPr>
          <w:rFonts w:asciiTheme="minorHAnsi" w:hAnsiTheme="minorHAnsi" w:cs="Futura-Light"/>
          <w:sz w:val="21"/>
          <w:szCs w:val="21"/>
        </w:rPr>
        <w:t>The IPA-Deakin SME Research Centre comprises:</w:t>
      </w:r>
    </w:p>
    <w:p w:rsidR="00737EF8" w:rsidRPr="00135229" w:rsidRDefault="00737EF8" w:rsidP="00737EF8">
      <w:pPr>
        <w:autoSpaceDE w:val="0"/>
        <w:autoSpaceDN w:val="0"/>
        <w:adjustRightInd w:val="0"/>
        <w:rPr>
          <w:rFonts w:asciiTheme="minorHAnsi" w:hAnsiTheme="minorHAnsi" w:cs="Futura-Light"/>
          <w:sz w:val="21"/>
          <w:szCs w:val="21"/>
        </w:rPr>
      </w:pPr>
    </w:p>
    <w:p w:rsidR="00737EF8" w:rsidRPr="00135229" w:rsidRDefault="00737EF8" w:rsidP="00737EF8">
      <w:pPr>
        <w:autoSpaceDE w:val="0"/>
        <w:autoSpaceDN w:val="0"/>
        <w:adjustRightInd w:val="0"/>
        <w:rPr>
          <w:rFonts w:asciiTheme="minorHAnsi" w:hAnsiTheme="minorHAnsi" w:cs="Futura-Light"/>
          <w:sz w:val="21"/>
          <w:szCs w:val="21"/>
        </w:rPr>
      </w:pPr>
      <w:r w:rsidRPr="00135229">
        <w:rPr>
          <w:rFonts w:asciiTheme="minorHAnsi" w:hAnsiTheme="minorHAnsi" w:cs="Futura-Light"/>
          <w:sz w:val="21"/>
          <w:szCs w:val="21"/>
        </w:rPr>
        <w:t>Chair Andrew Conway FIPA</w:t>
      </w:r>
    </w:p>
    <w:p w:rsidR="00737EF8" w:rsidRPr="00135229" w:rsidRDefault="00737EF8" w:rsidP="00737EF8">
      <w:pPr>
        <w:autoSpaceDE w:val="0"/>
        <w:autoSpaceDN w:val="0"/>
        <w:adjustRightInd w:val="0"/>
        <w:rPr>
          <w:rFonts w:asciiTheme="minorHAnsi" w:hAnsiTheme="minorHAnsi" w:cs="Futura-Book"/>
          <w:b/>
          <w:sz w:val="21"/>
          <w:szCs w:val="21"/>
        </w:rPr>
      </w:pPr>
      <w:r w:rsidRPr="00135229">
        <w:rPr>
          <w:rFonts w:asciiTheme="minorHAnsi" w:hAnsiTheme="minorHAnsi" w:cs="Futura-Book"/>
          <w:b/>
          <w:sz w:val="21"/>
          <w:szCs w:val="21"/>
        </w:rPr>
        <w:t xml:space="preserve">(Chief Executive of the IPA and Professor of Accounting </w:t>
      </w:r>
      <w:r w:rsidRPr="00135229">
        <w:rPr>
          <w:rFonts w:asciiTheme="minorHAnsi" w:hAnsiTheme="minorHAnsi" w:cs="Futura-BookOblique"/>
          <w:b/>
          <w:i/>
          <w:iCs/>
          <w:sz w:val="21"/>
          <w:szCs w:val="21"/>
        </w:rPr>
        <w:t xml:space="preserve">honoris causa </w:t>
      </w:r>
      <w:r w:rsidRPr="00135229">
        <w:rPr>
          <w:rFonts w:asciiTheme="minorHAnsi" w:hAnsiTheme="minorHAnsi" w:cs="Futura-Book"/>
          <w:b/>
          <w:sz w:val="21"/>
          <w:szCs w:val="21"/>
        </w:rPr>
        <w:t>Shanghai</w:t>
      </w:r>
    </w:p>
    <w:p w:rsidR="00737EF8" w:rsidRPr="00135229" w:rsidRDefault="00737EF8" w:rsidP="00737EF8">
      <w:pPr>
        <w:autoSpaceDE w:val="0"/>
        <w:autoSpaceDN w:val="0"/>
        <w:adjustRightInd w:val="0"/>
        <w:rPr>
          <w:rFonts w:asciiTheme="minorHAnsi" w:hAnsiTheme="minorHAnsi" w:cs="Futura-Book"/>
          <w:sz w:val="21"/>
          <w:szCs w:val="21"/>
        </w:rPr>
      </w:pPr>
      <w:r w:rsidRPr="00135229">
        <w:rPr>
          <w:rFonts w:asciiTheme="minorHAnsi" w:hAnsiTheme="minorHAnsi" w:cs="Futura-Book"/>
          <w:b/>
          <w:sz w:val="21"/>
          <w:szCs w:val="21"/>
        </w:rPr>
        <w:t>University of Finance and Economics)</w:t>
      </w:r>
    </w:p>
    <w:p w:rsidR="00737EF8" w:rsidRPr="00135229" w:rsidRDefault="00737EF8" w:rsidP="00737EF8">
      <w:pPr>
        <w:autoSpaceDE w:val="0"/>
        <w:autoSpaceDN w:val="0"/>
        <w:adjustRightInd w:val="0"/>
        <w:rPr>
          <w:rFonts w:asciiTheme="minorHAnsi" w:hAnsiTheme="minorHAnsi" w:cs="Futura-Light"/>
          <w:sz w:val="21"/>
          <w:szCs w:val="21"/>
        </w:rPr>
      </w:pPr>
    </w:p>
    <w:p w:rsidR="00737EF8" w:rsidRPr="00135229" w:rsidRDefault="00737EF8" w:rsidP="00737EF8">
      <w:pPr>
        <w:autoSpaceDE w:val="0"/>
        <w:autoSpaceDN w:val="0"/>
        <w:adjustRightInd w:val="0"/>
        <w:rPr>
          <w:rFonts w:asciiTheme="minorHAnsi" w:hAnsiTheme="minorHAnsi" w:cs="Futura-Light"/>
          <w:sz w:val="21"/>
          <w:szCs w:val="21"/>
        </w:rPr>
      </w:pPr>
      <w:r w:rsidRPr="00135229">
        <w:rPr>
          <w:rFonts w:asciiTheme="minorHAnsi" w:hAnsiTheme="minorHAnsi" w:cs="Futura-Light"/>
          <w:sz w:val="21"/>
          <w:szCs w:val="21"/>
        </w:rPr>
        <w:t>Ms Vicki Stylianou</w:t>
      </w:r>
    </w:p>
    <w:p w:rsidR="00737EF8" w:rsidRPr="00135229" w:rsidRDefault="00737EF8" w:rsidP="00737EF8">
      <w:pPr>
        <w:autoSpaceDE w:val="0"/>
        <w:autoSpaceDN w:val="0"/>
        <w:adjustRightInd w:val="0"/>
        <w:rPr>
          <w:rFonts w:asciiTheme="minorHAnsi" w:hAnsiTheme="minorHAnsi" w:cs="Futura-Book"/>
          <w:b/>
          <w:sz w:val="21"/>
          <w:szCs w:val="21"/>
        </w:rPr>
      </w:pPr>
      <w:r w:rsidRPr="00135229">
        <w:rPr>
          <w:rFonts w:asciiTheme="minorHAnsi" w:hAnsiTheme="minorHAnsi" w:cs="Futura-Book"/>
          <w:b/>
          <w:sz w:val="21"/>
          <w:szCs w:val="21"/>
        </w:rPr>
        <w:t>(IPA Executive General Manager, Advocacy &amp; Technical)</w:t>
      </w:r>
    </w:p>
    <w:p w:rsidR="00BC51E8" w:rsidRPr="00135229" w:rsidRDefault="00BC51E8" w:rsidP="00737EF8">
      <w:pPr>
        <w:autoSpaceDE w:val="0"/>
        <w:autoSpaceDN w:val="0"/>
        <w:adjustRightInd w:val="0"/>
        <w:rPr>
          <w:rFonts w:asciiTheme="minorHAnsi" w:hAnsiTheme="minorHAnsi" w:cs="Futura-Book"/>
          <w:b/>
          <w:sz w:val="21"/>
          <w:szCs w:val="21"/>
        </w:rPr>
      </w:pPr>
    </w:p>
    <w:p w:rsidR="00BC51E8" w:rsidRPr="00135229" w:rsidRDefault="00BC51E8" w:rsidP="00BC51E8">
      <w:pPr>
        <w:autoSpaceDE w:val="0"/>
        <w:autoSpaceDN w:val="0"/>
        <w:adjustRightInd w:val="0"/>
        <w:rPr>
          <w:rFonts w:asciiTheme="minorHAnsi" w:hAnsiTheme="minorHAnsi" w:cs="Futura-Light"/>
          <w:sz w:val="21"/>
          <w:szCs w:val="21"/>
        </w:rPr>
      </w:pPr>
      <w:r w:rsidRPr="00135229">
        <w:rPr>
          <w:rFonts w:asciiTheme="minorHAnsi" w:hAnsiTheme="minorHAnsi" w:cs="Futura-Light"/>
          <w:sz w:val="21"/>
          <w:szCs w:val="21"/>
        </w:rPr>
        <w:t>Mr Tony Greco FIPA</w:t>
      </w:r>
    </w:p>
    <w:p w:rsidR="00BC51E8" w:rsidRPr="00135229" w:rsidRDefault="00BC51E8" w:rsidP="00737EF8">
      <w:pPr>
        <w:autoSpaceDE w:val="0"/>
        <w:autoSpaceDN w:val="0"/>
        <w:adjustRightInd w:val="0"/>
        <w:rPr>
          <w:rFonts w:asciiTheme="minorHAnsi" w:hAnsiTheme="minorHAnsi" w:cs="Futura-Book"/>
          <w:b/>
          <w:sz w:val="21"/>
          <w:szCs w:val="21"/>
        </w:rPr>
      </w:pPr>
      <w:r w:rsidRPr="00135229">
        <w:rPr>
          <w:rFonts w:asciiTheme="minorHAnsi" w:hAnsiTheme="minorHAnsi" w:cs="Futura-Book"/>
          <w:b/>
          <w:sz w:val="21"/>
          <w:szCs w:val="21"/>
        </w:rPr>
        <w:t>(IPA General Manager Technical Policy)</w:t>
      </w:r>
    </w:p>
    <w:p w:rsidR="00737EF8" w:rsidRPr="00135229" w:rsidRDefault="00737EF8" w:rsidP="00737EF8">
      <w:pPr>
        <w:autoSpaceDE w:val="0"/>
        <w:autoSpaceDN w:val="0"/>
        <w:adjustRightInd w:val="0"/>
        <w:rPr>
          <w:rFonts w:asciiTheme="minorHAnsi" w:hAnsiTheme="minorHAnsi" w:cs="Futura-Light"/>
          <w:sz w:val="21"/>
          <w:szCs w:val="21"/>
        </w:rPr>
      </w:pPr>
    </w:p>
    <w:p w:rsidR="00737EF8" w:rsidRPr="00135229" w:rsidRDefault="00737EF8" w:rsidP="00737EF8">
      <w:pPr>
        <w:autoSpaceDE w:val="0"/>
        <w:autoSpaceDN w:val="0"/>
        <w:adjustRightInd w:val="0"/>
        <w:rPr>
          <w:rFonts w:asciiTheme="minorHAnsi" w:hAnsiTheme="minorHAnsi" w:cs="Futura-Light"/>
          <w:sz w:val="21"/>
          <w:szCs w:val="21"/>
        </w:rPr>
      </w:pPr>
      <w:r w:rsidRPr="00135229">
        <w:rPr>
          <w:rFonts w:asciiTheme="minorHAnsi" w:hAnsiTheme="minorHAnsi" w:cs="Futura-Light"/>
          <w:sz w:val="21"/>
          <w:szCs w:val="21"/>
        </w:rPr>
        <w:t>Professor Peter Carey</w:t>
      </w:r>
    </w:p>
    <w:p w:rsidR="00737EF8" w:rsidRPr="00135229" w:rsidRDefault="00737EF8" w:rsidP="00737EF8">
      <w:pPr>
        <w:autoSpaceDE w:val="0"/>
        <w:autoSpaceDN w:val="0"/>
        <w:adjustRightInd w:val="0"/>
        <w:rPr>
          <w:rFonts w:asciiTheme="minorHAnsi" w:hAnsiTheme="minorHAnsi" w:cs="Futura-Book"/>
          <w:b/>
          <w:sz w:val="21"/>
          <w:szCs w:val="21"/>
        </w:rPr>
      </w:pPr>
      <w:r w:rsidRPr="00135229">
        <w:rPr>
          <w:rFonts w:asciiTheme="minorHAnsi" w:hAnsiTheme="minorHAnsi" w:cs="Futura-Book"/>
          <w:b/>
          <w:sz w:val="21"/>
          <w:szCs w:val="21"/>
        </w:rPr>
        <w:t>(Head, Department of Accounting, Deakin Business School)</w:t>
      </w:r>
    </w:p>
    <w:p w:rsidR="00737EF8" w:rsidRPr="00135229" w:rsidRDefault="00737EF8" w:rsidP="00737EF8">
      <w:pPr>
        <w:autoSpaceDE w:val="0"/>
        <w:autoSpaceDN w:val="0"/>
        <w:adjustRightInd w:val="0"/>
        <w:rPr>
          <w:rFonts w:asciiTheme="minorHAnsi" w:hAnsiTheme="minorHAnsi" w:cs="Futura-Light"/>
          <w:sz w:val="21"/>
          <w:szCs w:val="21"/>
        </w:rPr>
      </w:pPr>
    </w:p>
    <w:p w:rsidR="00737EF8" w:rsidRPr="00135229" w:rsidRDefault="00737EF8" w:rsidP="00737EF8">
      <w:pPr>
        <w:autoSpaceDE w:val="0"/>
        <w:autoSpaceDN w:val="0"/>
        <w:adjustRightInd w:val="0"/>
        <w:rPr>
          <w:rFonts w:asciiTheme="minorHAnsi" w:hAnsiTheme="minorHAnsi" w:cs="Futura-Light"/>
          <w:sz w:val="21"/>
          <w:szCs w:val="21"/>
        </w:rPr>
      </w:pPr>
      <w:r w:rsidRPr="00135229">
        <w:rPr>
          <w:rFonts w:asciiTheme="minorHAnsi" w:hAnsiTheme="minorHAnsi" w:cs="Futura-Light"/>
          <w:sz w:val="21"/>
          <w:szCs w:val="21"/>
        </w:rPr>
        <w:t>Professor Barry Cooper</w:t>
      </w:r>
    </w:p>
    <w:p w:rsidR="00737EF8" w:rsidRPr="00135229" w:rsidRDefault="00737EF8" w:rsidP="00737EF8">
      <w:pPr>
        <w:autoSpaceDE w:val="0"/>
        <w:autoSpaceDN w:val="0"/>
        <w:adjustRightInd w:val="0"/>
        <w:rPr>
          <w:rFonts w:asciiTheme="minorHAnsi" w:hAnsiTheme="minorHAnsi" w:cs="Futura-Book"/>
          <w:b/>
          <w:sz w:val="21"/>
          <w:szCs w:val="21"/>
        </w:rPr>
      </w:pPr>
      <w:r w:rsidRPr="00135229">
        <w:rPr>
          <w:rFonts w:asciiTheme="minorHAnsi" w:hAnsiTheme="minorHAnsi" w:cs="Futura-Book"/>
          <w:b/>
          <w:sz w:val="21"/>
          <w:szCs w:val="21"/>
        </w:rPr>
        <w:t>(Associate Dean, Deakin Business School)</w:t>
      </w:r>
    </w:p>
    <w:p w:rsidR="00737EF8" w:rsidRPr="00135229" w:rsidRDefault="00737EF8" w:rsidP="00737EF8">
      <w:pPr>
        <w:autoSpaceDE w:val="0"/>
        <w:autoSpaceDN w:val="0"/>
        <w:adjustRightInd w:val="0"/>
        <w:rPr>
          <w:rFonts w:asciiTheme="minorHAnsi" w:hAnsiTheme="minorHAnsi" w:cs="Futura-Light"/>
          <w:sz w:val="21"/>
          <w:szCs w:val="21"/>
        </w:rPr>
      </w:pPr>
    </w:p>
    <w:p w:rsidR="00737EF8" w:rsidRPr="00135229" w:rsidRDefault="00737EF8" w:rsidP="00737EF8">
      <w:pPr>
        <w:autoSpaceDE w:val="0"/>
        <w:autoSpaceDN w:val="0"/>
        <w:adjustRightInd w:val="0"/>
        <w:rPr>
          <w:rFonts w:asciiTheme="minorHAnsi" w:hAnsiTheme="minorHAnsi" w:cs="Futura-Light"/>
          <w:sz w:val="21"/>
          <w:szCs w:val="21"/>
        </w:rPr>
      </w:pPr>
      <w:r w:rsidRPr="00135229">
        <w:rPr>
          <w:rFonts w:asciiTheme="minorHAnsi" w:hAnsiTheme="minorHAnsi" w:cs="Futura-Light"/>
          <w:sz w:val="21"/>
          <w:szCs w:val="21"/>
        </w:rPr>
        <w:t>Prof George Tanewski</w:t>
      </w:r>
    </w:p>
    <w:p w:rsidR="00737EF8" w:rsidRPr="00135229" w:rsidRDefault="00737EF8" w:rsidP="00737EF8">
      <w:pPr>
        <w:rPr>
          <w:rFonts w:asciiTheme="minorHAnsi" w:hAnsiTheme="minorHAnsi" w:cs="Futura-Book"/>
          <w:b/>
          <w:sz w:val="21"/>
          <w:szCs w:val="21"/>
        </w:rPr>
      </w:pPr>
      <w:r w:rsidRPr="00135229">
        <w:rPr>
          <w:rFonts w:asciiTheme="minorHAnsi" w:hAnsiTheme="minorHAnsi" w:cs="Futura-Book"/>
          <w:b/>
          <w:sz w:val="21"/>
          <w:szCs w:val="21"/>
        </w:rPr>
        <w:t>(Deakin Business School)</w:t>
      </w:r>
    </w:p>
    <w:p w:rsidR="00737EF8" w:rsidRPr="00135229" w:rsidRDefault="00737EF8" w:rsidP="00737EF8">
      <w:pPr>
        <w:autoSpaceDE w:val="0"/>
        <w:autoSpaceDN w:val="0"/>
        <w:adjustRightInd w:val="0"/>
        <w:rPr>
          <w:rFonts w:asciiTheme="minorHAnsi" w:hAnsiTheme="minorHAnsi" w:cs="Futura-Light"/>
          <w:sz w:val="21"/>
          <w:szCs w:val="21"/>
        </w:rPr>
      </w:pPr>
    </w:p>
    <w:p w:rsidR="00737EF8" w:rsidRPr="00135229" w:rsidRDefault="00737EF8" w:rsidP="00737EF8">
      <w:pPr>
        <w:autoSpaceDE w:val="0"/>
        <w:autoSpaceDN w:val="0"/>
        <w:adjustRightInd w:val="0"/>
        <w:rPr>
          <w:rFonts w:asciiTheme="minorHAnsi" w:hAnsiTheme="minorHAnsi" w:cs="Futura-Light"/>
          <w:sz w:val="21"/>
          <w:szCs w:val="21"/>
        </w:rPr>
      </w:pPr>
      <w:r w:rsidRPr="00135229">
        <w:rPr>
          <w:rFonts w:asciiTheme="minorHAnsi" w:hAnsiTheme="minorHAnsi" w:cs="Futura-Light"/>
          <w:sz w:val="21"/>
          <w:szCs w:val="21"/>
        </w:rPr>
        <w:t>Dr Nicholas Mroczkowski</w:t>
      </w:r>
      <w:r w:rsidR="00DA3D13" w:rsidRPr="00135229">
        <w:rPr>
          <w:rFonts w:asciiTheme="minorHAnsi" w:hAnsiTheme="minorHAnsi" w:cs="Futura-Light"/>
          <w:sz w:val="21"/>
          <w:szCs w:val="21"/>
        </w:rPr>
        <w:t xml:space="preserve"> CA, FCPA, FIPA, IFA </w:t>
      </w:r>
    </w:p>
    <w:p w:rsidR="00737EF8" w:rsidRPr="00135229" w:rsidRDefault="00737EF8" w:rsidP="003C5F40">
      <w:pPr>
        <w:rPr>
          <w:rFonts w:asciiTheme="minorHAnsi" w:hAnsiTheme="minorHAnsi" w:cs="Futura-Book"/>
          <w:b/>
          <w:sz w:val="21"/>
          <w:szCs w:val="21"/>
        </w:rPr>
      </w:pPr>
      <w:r w:rsidRPr="00135229">
        <w:rPr>
          <w:rFonts w:asciiTheme="minorHAnsi" w:hAnsiTheme="minorHAnsi" w:cs="Futura-Book"/>
          <w:b/>
          <w:sz w:val="21"/>
          <w:szCs w:val="21"/>
        </w:rPr>
        <w:t>(Deakin Business School)</w:t>
      </w:r>
    </w:p>
    <w:p w:rsidR="00135229" w:rsidRDefault="00135229" w:rsidP="003C5F40">
      <w:pPr>
        <w:jc w:val="both"/>
        <w:rPr>
          <w:rFonts w:asciiTheme="minorHAnsi" w:hAnsiTheme="minorHAnsi" w:cs="Futura-Book"/>
          <w:b/>
          <w:sz w:val="20"/>
          <w:szCs w:val="22"/>
        </w:rPr>
      </w:pPr>
    </w:p>
    <w:p w:rsidR="00135229" w:rsidRPr="00135229" w:rsidRDefault="007804A5" w:rsidP="00135229">
      <w:pPr>
        <w:jc w:val="both"/>
        <w:rPr>
          <w:rFonts w:asciiTheme="minorHAnsi" w:hAnsiTheme="minorHAnsi" w:cs="Futura-Book"/>
          <w:b/>
          <w:sz w:val="20"/>
          <w:szCs w:val="22"/>
        </w:rPr>
      </w:pPr>
      <w:r w:rsidRPr="00135229">
        <w:rPr>
          <w:rFonts w:asciiTheme="minorHAnsi" w:hAnsiTheme="minorHAnsi" w:cs="Futura-Book"/>
          <w:b/>
          <w:sz w:val="20"/>
          <w:szCs w:val="22"/>
        </w:rPr>
        <w:t xml:space="preserve">Along with our </w:t>
      </w:r>
      <w:r w:rsidR="00737EF8" w:rsidRPr="00135229">
        <w:rPr>
          <w:rFonts w:asciiTheme="minorHAnsi" w:hAnsiTheme="minorHAnsi" w:cs="Futura-Book"/>
          <w:b/>
          <w:sz w:val="20"/>
          <w:szCs w:val="22"/>
        </w:rPr>
        <w:t>report</w:t>
      </w:r>
      <w:r w:rsidRPr="00135229">
        <w:rPr>
          <w:rFonts w:asciiTheme="minorHAnsi" w:hAnsiTheme="minorHAnsi" w:cs="Futura-Book"/>
          <w:b/>
          <w:sz w:val="20"/>
          <w:szCs w:val="22"/>
        </w:rPr>
        <w:t xml:space="preserve"> below, we have attached </w:t>
      </w:r>
      <w:r w:rsidR="0074577F">
        <w:rPr>
          <w:rFonts w:asciiTheme="minorHAnsi" w:hAnsiTheme="minorHAnsi" w:cs="Futura-Book"/>
          <w:b/>
          <w:sz w:val="20"/>
          <w:szCs w:val="22"/>
        </w:rPr>
        <w:t>(</w:t>
      </w:r>
      <w:r w:rsidRPr="00135229">
        <w:rPr>
          <w:rFonts w:asciiTheme="minorHAnsi" w:hAnsiTheme="minorHAnsi" w:cs="Futura-Book"/>
          <w:b/>
          <w:sz w:val="20"/>
          <w:szCs w:val="22"/>
        </w:rPr>
        <w:t>in full</w:t>
      </w:r>
      <w:r w:rsidR="0074577F">
        <w:rPr>
          <w:rFonts w:asciiTheme="minorHAnsi" w:hAnsiTheme="minorHAnsi" w:cs="Futura-Book"/>
          <w:b/>
          <w:sz w:val="20"/>
          <w:szCs w:val="22"/>
        </w:rPr>
        <w:t>)</w:t>
      </w:r>
      <w:r w:rsidRPr="00135229">
        <w:rPr>
          <w:rFonts w:asciiTheme="minorHAnsi" w:hAnsiTheme="minorHAnsi" w:cs="Futura-Book"/>
          <w:b/>
          <w:sz w:val="20"/>
          <w:szCs w:val="22"/>
        </w:rPr>
        <w:t>, our previous submission to government on crowd-sourced funding (July 2015), as we believe it has considerable information relevant to the current debate. The aforementioned</w:t>
      </w:r>
      <w:r w:rsidR="00135229" w:rsidRPr="00135229">
        <w:rPr>
          <w:rFonts w:asciiTheme="minorHAnsi" w:hAnsiTheme="minorHAnsi" w:cs="Futura-Book"/>
          <w:b/>
          <w:sz w:val="20"/>
          <w:szCs w:val="22"/>
        </w:rPr>
        <w:t xml:space="preserve"> </w:t>
      </w:r>
      <w:r w:rsidR="003C5F40" w:rsidRPr="00135229">
        <w:rPr>
          <w:rFonts w:asciiTheme="minorHAnsi" w:hAnsiTheme="minorHAnsi" w:cs="Futura-Book"/>
          <w:b/>
          <w:sz w:val="20"/>
          <w:szCs w:val="22"/>
        </w:rPr>
        <w:t xml:space="preserve">submission </w:t>
      </w:r>
      <w:r w:rsidR="00135229" w:rsidRPr="00135229">
        <w:rPr>
          <w:rFonts w:asciiTheme="minorHAnsi" w:hAnsiTheme="minorHAnsi" w:cs="Futura-Book"/>
          <w:b/>
          <w:sz w:val="20"/>
          <w:szCs w:val="22"/>
        </w:rPr>
        <w:t xml:space="preserve">was </w:t>
      </w:r>
      <w:r w:rsidR="00737EF8" w:rsidRPr="00135229">
        <w:rPr>
          <w:rFonts w:asciiTheme="minorHAnsi" w:hAnsiTheme="minorHAnsi" w:cs="Futura-Book"/>
          <w:b/>
          <w:sz w:val="20"/>
          <w:szCs w:val="22"/>
        </w:rPr>
        <w:t xml:space="preserve">prepared by </w:t>
      </w:r>
      <w:r w:rsidR="00BC51E8" w:rsidRPr="00135229">
        <w:rPr>
          <w:rFonts w:asciiTheme="minorHAnsi" w:hAnsiTheme="minorHAnsi" w:cs="Futura-Book"/>
          <w:b/>
          <w:sz w:val="20"/>
          <w:szCs w:val="22"/>
        </w:rPr>
        <w:t xml:space="preserve">Professor George Tanewski </w:t>
      </w:r>
      <w:r w:rsidR="003C5F40" w:rsidRPr="00135229">
        <w:rPr>
          <w:rFonts w:asciiTheme="minorHAnsi" w:hAnsiTheme="minorHAnsi" w:cs="Futura-Book"/>
          <w:b/>
          <w:sz w:val="20"/>
          <w:szCs w:val="22"/>
        </w:rPr>
        <w:t>from t</w:t>
      </w:r>
      <w:r w:rsidR="00737EF8" w:rsidRPr="00135229">
        <w:rPr>
          <w:rFonts w:asciiTheme="minorHAnsi" w:hAnsiTheme="minorHAnsi" w:cs="Futura-Book"/>
          <w:b/>
          <w:sz w:val="20"/>
          <w:szCs w:val="22"/>
        </w:rPr>
        <w:t>he IPA-Deakin SME Research Centre, Deakin Business School, Deakin University.</w:t>
      </w:r>
      <w:r w:rsidR="003C5F40" w:rsidRPr="00135229">
        <w:rPr>
          <w:rFonts w:asciiTheme="minorHAnsi" w:hAnsiTheme="minorHAnsi" w:cs="Futura-Book"/>
          <w:b/>
          <w:sz w:val="20"/>
          <w:szCs w:val="22"/>
        </w:rPr>
        <w:t xml:space="preserve"> The report has been publicly cited in several publications by different bodies, including the Australian Productivity Commission.</w:t>
      </w:r>
      <w:r w:rsidRPr="00135229">
        <w:rPr>
          <w:rFonts w:asciiTheme="minorHAnsi" w:hAnsiTheme="minorHAnsi" w:cs="Futura-Book"/>
          <w:b/>
          <w:sz w:val="20"/>
          <w:szCs w:val="22"/>
        </w:rPr>
        <w:t xml:space="preserve"> Other contributors to the 2015 report include; </w:t>
      </w:r>
      <w:r w:rsidR="00135229" w:rsidRPr="00135229">
        <w:rPr>
          <w:rFonts w:asciiTheme="minorHAnsi" w:hAnsiTheme="minorHAnsi" w:cstheme="minorHAnsi"/>
          <w:b/>
          <w:sz w:val="20"/>
          <w:szCs w:val="22"/>
        </w:rPr>
        <w:t>Professor Gordon Murray (Exeter University, UK); along with Professor Marc Cowling</w:t>
      </w:r>
      <w:r w:rsidR="00135229">
        <w:rPr>
          <w:rFonts w:asciiTheme="minorHAnsi" w:hAnsiTheme="minorHAnsi" w:cstheme="minorHAnsi"/>
          <w:b/>
          <w:sz w:val="20"/>
          <w:szCs w:val="22"/>
        </w:rPr>
        <w:t xml:space="preserve"> (Brighton Business School, UK).</w:t>
      </w:r>
    </w:p>
    <w:p w:rsidR="00737EF8" w:rsidRPr="002C3250" w:rsidRDefault="00737EF8" w:rsidP="00737EF8">
      <w:pPr>
        <w:rPr>
          <w:rFonts w:asciiTheme="minorHAnsi" w:hAnsiTheme="minorHAnsi" w:cstheme="minorHAnsi"/>
          <w:b/>
          <w:sz w:val="19"/>
          <w:szCs w:val="19"/>
        </w:rPr>
      </w:pPr>
      <w:r w:rsidRPr="002C3250">
        <w:rPr>
          <w:rFonts w:asciiTheme="minorHAnsi" w:hAnsiTheme="minorHAnsi" w:cstheme="minorHAnsi"/>
          <w:b/>
          <w:sz w:val="19"/>
          <w:szCs w:val="19"/>
        </w:rPr>
        <w:lastRenderedPageBreak/>
        <w:t>Copyright © 2017 Institute of Public Accountants and Deakin University</w:t>
      </w:r>
    </w:p>
    <w:p w:rsidR="00737EF8" w:rsidRPr="00D91703" w:rsidRDefault="00D91703" w:rsidP="00737EF8">
      <w:pPr>
        <w:spacing w:line="360" w:lineRule="auto"/>
        <w:jc w:val="both"/>
        <w:rPr>
          <w:rFonts w:asciiTheme="minorHAnsi" w:hAnsiTheme="minorHAnsi" w:cstheme="minorHAnsi"/>
        </w:rPr>
      </w:pPr>
      <w:r w:rsidRPr="00D91703">
        <w:rPr>
          <w:rFonts w:asciiTheme="minorHAnsi" w:hAnsiTheme="minorHAnsi" w:cstheme="minorHAnsi"/>
        </w:rPr>
        <w:t>6 June 2017</w:t>
      </w:r>
    </w:p>
    <w:p w:rsidR="00154208" w:rsidRPr="00F45999" w:rsidRDefault="00ED33A4" w:rsidP="00154208">
      <w:pPr>
        <w:pStyle w:val="NormalWeb"/>
        <w:rPr>
          <w:rFonts w:asciiTheme="minorHAnsi" w:hAnsiTheme="minorHAnsi" w:cstheme="minorHAnsi"/>
        </w:rPr>
      </w:pPr>
      <w:r>
        <w:rPr>
          <w:rFonts w:asciiTheme="minorHAnsi" w:hAnsiTheme="minorHAnsi" w:cstheme="minorHAnsi"/>
        </w:rPr>
        <w:t xml:space="preserve">The </w:t>
      </w:r>
      <w:bookmarkStart w:id="0" w:name="_GoBack"/>
      <w:bookmarkEnd w:id="0"/>
      <w:r w:rsidR="00154208" w:rsidRPr="00F45999">
        <w:rPr>
          <w:rFonts w:asciiTheme="minorHAnsi" w:hAnsiTheme="minorHAnsi" w:cstheme="minorHAnsi"/>
        </w:rPr>
        <w:t>Manager</w:t>
      </w:r>
      <w:r w:rsidR="00154208" w:rsidRPr="00F45999">
        <w:rPr>
          <w:rFonts w:asciiTheme="minorHAnsi" w:hAnsiTheme="minorHAnsi" w:cstheme="minorHAnsi"/>
        </w:rPr>
        <w:br/>
        <w:t>Financial Innovation and Payments Unit</w:t>
      </w:r>
      <w:r w:rsidR="00154208" w:rsidRPr="00F45999">
        <w:rPr>
          <w:rFonts w:asciiTheme="minorHAnsi" w:hAnsiTheme="minorHAnsi" w:cstheme="minorHAnsi"/>
        </w:rPr>
        <w:br/>
        <w:t>Financial System</w:t>
      </w:r>
      <w:r>
        <w:rPr>
          <w:rFonts w:asciiTheme="minorHAnsi" w:hAnsiTheme="minorHAnsi" w:cstheme="minorHAnsi"/>
        </w:rPr>
        <w:t xml:space="preserve"> Division </w:t>
      </w:r>
      <w:r w:rsidR="00154208" w:rsidRPr="00F45999">
        <w:rPr>
          <w:rFonts w:asciiTheme="minorHAnsi" w:hAnsiTheme="minorHAnsi" w:cstheme="minorHAnsi"/>
        </w:rPr>
        <w:br/>
        <w:t>The Treasury</w:t>
      </w:r>
      <w:r w:rsidR="00154208" w:rsidRPr="00F45999">
        <w:rPr>
          <w:rFonts w:asciiTheme="minorHAnsi" w:hAnsiTheme="minorHAnsi" w:cstheme="minorHAnsi"/>
        </w:rPr>
        <w:br/>
        <w:t>Langton Crescent</w:t>
      </w:r>
      <w:r w:rsidR="00154208" w:rsidRPr="00F45999">
        <w:rPr>
          <w:rFonts w:asciiTheme="minorHAnsi" w:hAnsiTheme="minorHAnsi" w:cstheme="minorHAnsi"/>
        </w:rPr>
        <w:br/>
        <w:t xml:space="preserve">PARKES ACT 2600 </w:t>
      </w:r>
    </w:p>
    <w:p w:rsidR="00154208" w:rsidRDefault="00154208" w:rsidP="00154208">
      <w:r>
        <w:rPr>
          <w:rStyle w:val="blue"/>
        </w:rPr>
        <w:t>Email: </w:t>
      </w:r>
      <w:hyperlink r:id="rId9" w:history="1">
        <w:r>
          <w:rPr>
            <w:rStyle w:val="Hyperlink"/>
          </w:rPr>
          <w:t>csef@treasury.gov.au</w:t>
        </w:r>
      </w:hyperlink>
      <w:r>
        <w:t xml:space="preserve"> </w:t>
      </w:r>
    </w:p>
    <w:p w:rsidR="00F218F6" w:rsidRDefault="00F218F6" w:rsidP="002C3250">
      <w:pPr>
        <w:spacing w:after="200" w:line="276" w:lineRule="auto"/>
        <w:rPr>
          <w:rFonts w:asciiTheme="minorHAnsi" w:eastAsiaTheme="minorHAnsi" w:hAnsiTheme="minorHAnsi" w:cstheme="minorBidi"/>
        </w:rPr>
      </w:pPr>
    </w:p>
    <w:p w:rsidR="002C3250" w:rsidRPr="002C3250" w:rsidRDefault="002C3250" w:rsidP="002C3250">
      <w:pPr>
        <w:spacing w:after="200" w:line="276" w:lineRule="auto"/>
        <w:rPr>
          <w:rFonts w:asciiTheme="minorHAnsi" w:eastAsiaTheme="minorHAnsi" w:hAnsiTheme="minorHAnsi" w:cstheme="minorBidi"/>
        </w:rPr>
      </w:pPr>
      <w:r w:rsidRPr="002C3250">
        <w:rPr>
          <w:rFonts w:asciiTheme="minorHAnsi" w:eastAsiaTheme="minorHAnsi" w:hAnsiTheme="minorHAnsi" w:cstheme="minorBidi"/>
        </w:rPr>
        <w:t>Dear Sir</w:t>
      </w:r>
      <w:r w:rsidR="00154208">
        <w:rPr>
          <w:rFonts w:asciiTheme="minorHAnsi" w:eastAsiaTheme="minorHAnsi" w:hAnsiTheme="minorHAnsi" w:cstheme="minorBidi"/>
        </w:rPr>
        <w:t>/Madam</w:t>
      </w:r>
    </w:p>
    <w:p w:rsidR="00BC51E8" w:rsidRDefault="00BC51E8" w:rsidP="00BC51E8">
      <w:pPr>
        <w:pStyle w:val="header14ptorangebold"/>
        <w:rPr>
          <w:rFonts w:asciiTheme="minorHAnsi" w:hAnsiTheme="minorHAnsi"/>
          <w:b/>
          <w:sz w:val="24"/>
          <w:szCs w:val="24"/>
          <w:lang w:val="en-AU"/>
        </w:rPr>
      </w:pPr>
    </w:p>
    <w:p w:rsidR="00F218F6" w:rsidRDefault="00F218F6" w:rsidP="00DA3D13">
      <w:pPr>
        <w:pStyle w:val="header14ptorangebold"/>
        <w:jc w:val="center"/>
        <w:rPr>
          <w:rFonts w:asciiTheme="minorHAnsi" w:hAnsiTheme="minorHAnsi"/>
          <w:b/>
          <w:i/>
          <w:color w:val="E36C0A" w:themeColor="accent6" w:themeShade="BF"/>
          <w:sz w:val="24"/>
          <w:szCs w:val="24"/>
          <w:lang w:val="en-AU"/>
        </w:rPr>
      </w:pPr>
      <w:r>
        <w:rPr>
          <w:rFonts w:asciiTheme="minorHAnsi" w:hAnsiTheme="minorHAnsi"/>
          <w:b/>
          <w:i/>
          <w:color w:val="E36C0A" w:themeColor="accent6" w:themeShade="BF"/>
          <w:sz w:val="24"/>
          <w:szCs w:val="24"/>
          <w:lang w:val="en-AU"/>
        </w:rPr>
        <w:t>Corporations Amendment (Crowd-Sourced Funding) for proprietary Companies) Bill 2017</w:t>
      </w:r>
    </w:p>
    <w:p w:rsidR="00BC51E8" w:rsidRPr="008B21BE" w:rsidRDefault="00F218F6" w:rsidP="00DA3D13">
      <w:pPr>
        <w:pStyle w:val="header14ptorangebold"/>
        <w:jc w:val="center"/>
        <w:rPr>
          <w:rFonts w:asciiTheme="minorHAnsi" w:hAnsiTheme="minorHAnsi"/>
          <w:b/>
          <w:i/>
          <w:color w:val="E36C0A" w:themeColor="accent6" w:themeShade="BF"/>
          <w:sz w:val="24"/>
          <w:szCs w:val="24"/>
        </w:rPr>
      </w:pPr>
      <w:r>
        <w:rPr>
          <w:rFonts w:asciiTheme="minorHAnsi" w:hAnsiTheme="minorHAnsi"/>
          <w:b/>
          <w:i/>
          <w:color w:val="E36C0A" w:themeColor="accent6" w:themeShade="BF"/>
          <w:sz w:val="24"/>
          <w:szCs w:val="24"/>
          <w:lang w:val="en-AU"/>
        </w:rPr>
        <w:t>Extending the Crowd-Sourced Funding Regime to Proprietary Companies</w:t>
      </w:r>
    </w:p>
    <w:p w:rsidR="00BC51E8" w:rsidRPr="002C3250" w:rsidRDefault="00BC51E8" w:rsidP="00BC51E8">
      <w:pPr>
        <w:pStyle w:val="header14ptorangebold"/>
        <w:rPr>
          <w:rFonts w:asciiTheme="minorHAnsi" w:hAnsiTheme="minorHAnsi"/>
          <w:b/>
          <w:sz w:val="24"/>
          <w:szCs w:val="24"/>
        </w:rPr>
      </w:pPr>
    </w:p>
    <w:p w:rsidR="00D91703" w:rsidRDefault="00BC51E8" w:rsidP="007804A5">
      <w:pPr>
        <w:spacing w:line="276" w:lineRule="auto"/>
        <w:jc w:val="both"/>
        <w:rPr>
          <w:rFonts w:asciiTheme="minorHAnsi" w:eastAsiaTheme="minorHAnsi" w:hAnsiTheme="minorHAnsi" w:cstheme="minorBidi"/>
        </w:rPr>
      </w:pPr>
      <w:r w:rsidRPr="002C3250">
        <w:rPr>
          <w:rFonts w:asciiTheme="minorHAnsi" w:eastAsiaTheme="minorHAnsi" w:hAnsiTheme="minorHAnsi" w:cstheme="minorBidi"/>
        </w:rPr>
        <w:t xml:space="preserve">The IPA-Deakin SME Research Centre </w:t>
      </w:r>
      <w:r w:rsidR="00F218F6">
        <w:rPr>
          <w:rFonts w:asciiTheme="minorHAnsi" w:eastAsiaTheme="minorHAnsi" w:hAnsiTheme="minorHAnsi" w:cstheme="minorBidi"/>
        </w:rPr>
        <w:t xml:space="preserve">(IPSR) </w:t>
      </w:r>
      <w:r w:rsidRPr="002C3250">
        <w:rPr>
          <w:rFonts w:asciiTheme="minorHAnsi" w:eastAsiaTheme="minorHAnsi" w:hAnsiTheme="minorHAnsi" w:cstheme="minorBidi"/>
        </w:rPr>
        <w:t xml:space="preserve">is pleased to submit </w:t>
      </w:r>
      <w:r>
        <w:rPr>
          <w:rFonts w:asciiTheme="minorHAnsi" w:eastAsiaTheme="minorHAnsi" w:hAnsiTheme="minorHAnsi" w:cstheme="minorBidi"/>
        </w:rPr>
        <w:t xml:space="preserve">our </w:t>
      </w:r>
      <w:r w:rsidR="00F218F6">
        <w:rPr>
          <w:rFonts w:asciiTheme="minorHAnsi" w:eastAsiaTheme="minorHAnsi" w:hAnsiTheme="minorHAnsi" w:cstheme="minorBidi"/>
        </w:rPr>
        <w:t>comments to the proposed legislation intended to extend the crowd-sourced funding regime to proprietary companies in Australia.</w:t>
      </w:r>
      <w:r w:rsidR="005645F1">
        <w:rPr>
          <w:rFonts w:asciiTheme="minorHAnsi" w:eastAsiaTheme="minorHAnsi" w:hAnsiTheme="minorHAnsi" w:cstheme="minorBidi"/>
        </w:rPr>
        <w:t xml:space="preserve"> We also commend the </w:t>
      </w:r>
      <w:r w:rsidR="00D91703">
        <w:rPr>
          <w:rFonts w:asciiTheme="minorHAnsi" w:eastAsiaTheme="minorHAnsi" w:hAnsiTheme="minorHAnsi" w:cstheme="minorBidi"/>
        </w:rPr>
        <w:t>G</w:t>
      </w:r>
      <w:r w:rsidR="005645F1">
        <w:rPr>
          <w:rFonts w:asciiTheme="minorHAnsi" w:eastAsiaTheme="minorHAnsi" w:hAnsiTheme="minorHAnsi" w:cstheme="minorBidi"/>
        </w:rPr>
        <w:t>overnment for recognising the need to provide for an important alternative source of funding for entrepreneurs and for small to medium enterprises generally.</w:t>
      </w:r>
      <w:r w:rsidRPr="002C3250">
        <w:rPr>
          <w:rFonts w:asciiTheme="minorHAnsi" w:eastAsiaTheme="minorHAnsi" w:hAnsiTheme="minorHAnsi" w:cstheme="minorBidi"/>
        </w:rPr>
        <w:t xml:space="preserve"> </w:t>
      </w:r>
    </w:p>
    <w:p w:rsidR="00D91703" w:rsidRDefault="00D91703" w:rsidP="007804A5">
      <w:pPr>
        <w:spacing w:line="276" w:lineRule="auto"/>
        <w:jc w:val="both"/>
        <w:rPr>
          <w:rFonts w:asciiTheme="minorHAnsi" w:eastAsiaTheme="minorHAnsi" w:hAnsiTheme="minorHAnsi" w:cstheme="minorBidi"/>
        </w:rPr>
      </w:pPr>
    </w:p>
    <w:p w:rsidR="00BC51E8" w:rsidRDefault="00BC51E8" w:rsidP="007804A5">
      <w:pPr>
        <w:spacing w:line="276" w:lineRule="auto"/>
        <w:jc w:val="both"/>
        <w:rPr>
          <w:rFonts w:asciiTheme="minorHAnsi" w:eastAsiaTheme="minorHAnsi" w:hAnsiTheme="minorHAnsi" w:cstheme="minorBidi"/>
        </w:rPr>
      </w:pPr>
      <w:r w:rsidRPr="002C3250">
        <w:rPr>
          <w:rFonts w:asciiTheme="minorHAnsi" w:eastAsiaTheme="minorHAnsi" w:hAnsiTheme="minorHAnsi" w:cstheme="minorBidi"/>
        </w:rPr>
        <w:t xml:space="preserve">The </w:t>
      </w:r>
      <w:r w:rsidR="00F218F6">
        <w:rPr>
          <w:rFonts w:asciiTheme="minorHAnsi" w:eastAsiaTheme="minorHAnsi" w:hAnsiTheme="minorHAnsi" w:cstheme="minorBidi"/>
        </w:rPr>
        <w:t>IPSR</w:t>
      </w:r>
      <w:r w:rsidRPr="002C3250">
        <w:rPr>
          <w:rFonts w:asciiTheme="minorHAnsi" w:eastAsiaTheme="minorHAnsi" w:hAnsiTheme="minorHAnsi" w:cstheme="minorBidi"/>
        </w:rPr>
        <w:t xml:space="preserve"> is a joint initiative of the Institute of Public Accountants and Deakin University. It exists to increase the awareness </w:t>
      </w:r>
      <w:r w:rsidR="00D91703">
        <w:rPr>
          <w:rFonts w:asciiTheme="minorHAnsi" w:eastAsiaTheme="minorHAnsi" w:hAnsiTheme="minorHAnsi" w:cstheme="minorBidi"/>
        </w:rPr>
        <w:t>by</w:t>
      </w:r>
      <w:r w:rsidRPr="002C3250">
        <w:rPr>
          <w:rFonts w:asciiTheme="minorHAnsi" w:eastAsiaTheme="minorHAnsi" w:hAnsiTheme="minorHAnsi" w:cstheme="minorBidi"/>
        </w:rPr>
        <w:t xml:space="preserve"> government and the community more generally on issues related to </w:t>
      </w:r>
      <w:r>
        <w:rPr>
          <w:rFonts w:asciiTheme="minorHAnsi" w:eastAsiaTheme="minorHAnsi" w:hAnsiTheme="minorHAnsi" w:cstheme="minorBidi"/>
        </w:rPr>
        <w:t xml:space="preserve">individuals and </w:t>
      </w:r>
      <w:r w:rsidRPr="002C3250">
        <w:rPr>
          <w:rFonts w:asciiTheme="minorHAnsi" w:eastAsiaTheme="minorHAnsi" w:hAnsiTheme="minorHAnsi" w:cstheme="minorBidi"/>
        </w:rPr>
        <w:t xml:space="preserve">small </w:t>
      </w:r>
      <w:r w:rsidR="00F218F6">
        <w:rPr>
          <w:rFonts w:asciiTheme="minorHAnsi" w:eastAsiaTheme="minorHAnsi" w:hAnsiTheme="minorHAnsi" w:cstheme="minorBidi"/>
        </w:rPr>
        <w:t xml:space="preserve">to medium </w:t>
      </w:r>
      <w:r w:rsidRPr="002C3250">
        <w:rPr>
          <w:rFonts w:asciiTheme="minorHAnsi" w:eastAsiaTheme="minorHAnsi" w:hAnsiTheme="minorHAnsi" w:cstheme="minorBidi"/>
        </w:rPr>
        <w:t>business</w:t>
      </w:r>
      <w:r w:rsidR="00F218F6">
        <w:rPr>
          <w:rFonts w:asciiTheme="minorHAnsi" w:eastAsiaTheme="minorHAnsi" w:hAnsiTheme="minorHAnsi" w:cstheme="minorBidi"/>
        </w:rPr>
        <w:t>es</w:t>
      </w:r>
      <w:r w:rsidRPr="002C3250">
        <w:rPr>
          <w:rFonts w:asciiTheme="minorHAnsi" w:eastAsiaTheme="minorHAnsi" w:hAnsiTheme="minorHAnsi" w:cstheme="minorBidi"/>
        </w:rPr>
        <w:t xml:space="preserve"> by contributing to policy debates</w:t>
      </w:r>
      <w:r w:rsidR="005645F1">
        <w:rPr>
          <w:rFonts w:asciiTheme="minorHAnsi" w:eastAsiaTheme="minorHAnsi" w:hAnsiTheme="minorHAnsi" w:cstheme="minorBidi"/>
        </w:rPr>
        <w:t>, particularly as they affect our membership</w:t>
      </w:r>
      <w:r w:rsidRPr="002C3250">
        <w:rPr>
          <w:rFonts w:asciiTheme="minorHAnsi" w:eastAsiaTheme="minorHAnsi" w:hAnsiTheme="minorHAnsi" w:cstheme="minorBidi"/>
        </w:rPr>
        <w:t>.</w:t>
      </w:r>
    </w:p>
    <w:p w:rsidR="007804A5" w:rsidRDefault="007804A5" w:rsidP="007804A5">
      <w:pPr>
        <w:spacing w:line="276" w:lineRule="auto"/>
        <w:jc w:val="both"/>
        <w:rPr>
          <w:rFonts w:asciiTheme="minorHAnsi" w:eastAsiaTheme="minorHAnsi" w:hAnsiTheme="minorHAnsi" w:cstheme="minorBidi"/>
        </w:rPr>
      </w:pPr>
    </w:p>
    <w:p w:rsidR="003A66C3" w:rsidRDefault="00D91703" w:rsidP="006546BC">
      <w:pPr>
        <w:jc w:val="both"/>
        <w:rPr>
          <w:rFonts w:asciiTheme="minorHAnsi" w:eastAsiaTheme="minorHAnsi" w:hAnsiTheme="minorHAnsi" w:cstheme="minorBidi"/>
        </w:rPr>
      </w:pPr>
      <w:r>
        <w:rPr>
          <w:rFonts w:asciiTheme="minorHAnsi" w:eastAsiaTheme="minorHAnsi" w:hAnsiTheme="minorHAnsi" w:cstheme="minorBidi"/>
        </w:rPr>
        <w:t>If you have any queries or wish to discuss our submission in greater detail then please don’t hesitate to contact Vicki Stylianou (</w:t>
      </w:r>
      <w:hyperlink r:id="rId10" w:history="1">
        <w:r w:rsidRPr="00A21D29">
          <w:rPr>
            <w:rStyle w:val="Hyperlink"/>
            <w:rFonts w:asciiTheme="minorHAnsi" w:eastAsiaTheme="minorHAnsi" w:hAnsiTheme="minorHAnsi" w:cstheme="minorBidi"/>
          </w:rPr>
          <w:t>vicki.stylianou@publicaccountants.org.au</w:t>
        </w:r>
      </w:hyperlink>
      <w:r>
        <w:rPr>
          <w:rFonts w:asciiTheme="minorHAnsi" w:eastAsiaTheme="minorHAnsi" w:hAnsiTheme="minorHAnsi" w:cstheme="minorBidi"/>
        </w:rPr>
        <w:t xml:space="preserve"> or mob. 0419 942 733).  </w:t>
      </w:r>
    </w:p>
    <w:p w:rsidR="00D91703" w:rsidRDefault="00D91703" w:rsidP="006546BC">
      <w:pPr>
        <w:jc w:val="both"/>
        <w:rPr>
          <w:rFonts w:asciiTheme="minorHAnsi" w:eastAsiaTheme="minorHAnsi" w:hAnsiTheme="minorHAnsi" w:cstheme="minorBidi"/>
        </w:rPr>
      </w:pPr>
    </w:p>
    <w:p w:rsidR="00D91703" w:rsidRDefault="00D91703" w:rsidP="006546BC">
      <w:pPr>
        <w:jc w:val="both"/>
        <w:rPr>
          <w:rFonts w:asciiTheme="minorHAnsi" w:eastAsiaTheme="minorHAnsi" w:hAnsiTheme="minorHAnsi" w:cstheme="minorBidi"/>
        </w:rPr>
      </w:pPr>
      <w:r>
        <w:rPr>
          <w:rFonts w:asciiTheme="minorHAnsi" w:eastAsiaTheme="minorHAnsi" w:hAnsiTheme="minorHAnsi" w:cstheme="minorBidi"/>
        </w:rPr>
        <w:t>Yours faithfully</w:t>
      </w:r>
    </w:p>
    <w:p w:rsidR="00D91703" w:rsidRDefault="00D91703" w:rsidP="006546BC">
      <w:pPr>
        <w:jc w:val="both"/>
        <w:rPr>
          <w:rFonts w:asciiTheme="minorHAnsi" w:eastAsiaTheme="minorHAnsi" w:hAnsiTheme="minorHAnsi" w:cstheme="minorBidi"/>
        </w:rPr>
      </w:pPr>
    </w:p>
    <w:p w:rsidR="00D91703" w:rsidRDefault="008F5AEA" w:rsidP="006546BC">
      <w:pPr>
        <w:jc w:val="both"/>
        <w:rPr>
          <w:rFonts w:asciiTheme="minorHAnsi" w:eastAsiaTheme="minorHAnsi" w:hAnsiTheme="minorHAnsi" w:cstheme="minorBidi"/>
        </w:rPr>
      </w:pPr>
      <w:r w:rsidRPr="008F5AEA">
        <w:rPr>
          <w:rFonts w:asciiTheme="minorHAnsi" w:eastAsiaTheme="minorHAnsi" w:hAnsiTheme="minorHAnsi" w:cstheme="minorBidi"/>
          <w:noProof/>
        </w:rPr>
        <w:drawing>
          <wp:inline distT="0" distB="0" distL="0" distR="0">
            <wp:extent cx="1828800" cy="504825"/>
            <wp:effectExtent l="0" t="0" r="0" b="9525"/>
            <wp:docPr id="3" name="Picture 3" descr="C:\Users\vicki.stylianou\Desktop\Vicki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stylianou\Desktop\VickiSi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04825"/>
                    </a:xfrm>
                    <a:prstGeom prst="rect">
                      <a:avLst/>
                    </a:prstGeom>
                    <a:noFill/>
                    <a:ln>
                      <a:noFill/>
                    </a:ln>
                  </pic:spPr>
                </pic:pic>
              </a:graphicData>
            </a:graphic>
          </wp:inline>
        </w:drawing>
      </w:r>
    </w:p>
    <w:p w:rsidR="00DB220A" w:rsidRDefault="00DB220A" w:rsidP="006546BC">
      <w:pPr>
        <w:jc w:val="both"/>
        <w:rPr>
          <w:rFonts w:asciiTheme="minorHAnsi" w:eastAsiaTheme="minorHAnsi" w:hAnsiTheme="minorHAnsi" w:cstheme="minorBidi"/>
        </w:rPr>
      </w:pPr>
    </w:p>
    <w:p w:rsidR="00D91703" w:rsidRDefault="00D91703" w:rsidP="006546BC">
      <w:pPr>
        <w:jc w:val="both"/>
        <w:rPr>
          <w:rFonts w:asciiTheme="minorHAnsi" w:eastAsiaTheme="minorHAnsi" w:hAnsiTheme="minorHAnsi" w:cstheme="minorBidi"/>
        </w:rPr>
      </w:pPr>
      <w:r>
        <w:rPr>
          <w:rFonts w:asciiTheme="minorHAnsi" w:eastAsiaTheme="minorHAnsi" w:hAnsiTheme="minorHAnsi" w:cstheme="minorBidi"/>
        </w:rPr>
        <w:t>Vicki Stylianou</w:t>
      </w:r>
    </w:p>
    <w:p w:rsidR="00D91703" w:rsidRDefault="00D91703" w:rsidP="006546BC">
      <w:pPr>
        <w:jc w:val="both"/>
        <w:rPr>
          <w:rFonts w:asciiTheme="minorHAnsi" w:eastAsiaTheme="minorHAnsi" w:hAnsiTheme="minorHAnsi" w:cstheme="minorBidi"/>
        </w:rPr>
      </w:pPr>
      <w:r>
        <w:rPr>
          <w:rFonts w:asciiTheme="minorHAnsi" w:eastAsiaTheme="minorHAnsi" w:hAnsiTheme="minorHAnsi" w:cstheme="minorBidi"/>
        </w:rPr>
        <w:t xml:space="preserve">Executive General Manager, Advocacy &amp; Technical </w:t>
      </w:r>
    </w:p>
    <w:p w:rsidR="00D91703" w:rsidRDefault="00D91703" w:rsidP="006546BC">
      <w:pPr>
        <w:jc w:val="both"/>
        <w:rPr>
          <w:rFonts w:asciiTheme="minorHAnsi" w:eastAsiaTheme="minorHAnsi" w:hAnsiTheme="minorHAnsi" w:cstheme="minorBidi"/>
        </w:rPr>
      </w:pPr>
      <w:r>
        <w:rPr>
          <w:rFonts w:asciiTheme="minorHAnsi" w:eastAsiaTheme="minorHAnsi" w:hAnsiTheme="minorHAnsi" w:cstheme="minorBidi"/>
        </w:rPr>
        <w:t>Institute of Public Accountants</w:t>
      </w:r>
    </w:p>
    <w:p w:rsidR="00B24089" w:rsidRPr="00B24089" w:rsidRDefault="00B24089" w:rsidP="00B24089">
      <w:pPr>
        <w:pStyle w:val="Heading1"/>
        <w:rPr>
          <w:rFonts w:ascii="Arial Bold" w:hAnsi="Arial Bold" w:cs="Arial"/>
          <w:b w:val="0"/>
          <w:color w:val="E36C0A" w:themeColor="accent6" w:themeShade="BF"/>
          <w:kern w:val="28"/>
          <w:sz w:val="28"/>
          <w:szCs w:val="28"/>
        </w:rPr>
      </w:pPr>
      <w:r w:rsidRPr="00B24089">
        <w:rPr>
          <w:rFonts w:ascii="Arial Bold" w:hAnsi="Arial Bold" w:cs="Arial"/>
          <w:color w:val="E36C0A" w:themeColor="accent6" w:themeShade="BF"/>
          <w:kern w:val="28"/>
          <w:sz w:val="28"/>
          <w:szCs w:val="28"/>
        </w:rPr>
        <w:t>Table of Contents</w:t>
      </w:r>
    </w:p>
    <w:p w:rsidR="00B24089" w:rsidRDefault="00B24089" w:rsidP="00003ADC">
      <w:pPr>
        <w:pStyle w:val="TOC1"/>
      </w:pPr>
    </w:p>
    <w:p w:rsidR="00B24089" w:rsidRPr="00D23071" w:rsidRDefault="00B24089" w:rsidP="00003ADC">
      <w:pPr>
        <w:pStyle w:val="TOC1"/>
        <w:rPr>
          <w:rStyle w:val="Hyperlink"/>
          <w:rFonts w:asciiTheme="minorHAnsi" w:hAnsiTheme="minorHAnsi"/>
          <w:color w:val="auto"/>
          <w:sz w:val="22"/>
          <w:szCs w:val="22"/>
          <w:u w:val="none"/>
        </w:rPr>
      </w:pPr>
      <w:r w:rsidRPr="00D23071">
        <w:rPr>
          <w:rStyle w:val="Hyperlink"/>
          <w:u w:val="none"/>
        </w:rPr>
        <w:fldChar w:fldCharType="begin"/>
      </w:r>
      <w:r w:rsidRPr="00D23071">
        <w:rPr>
          <w:rStyle w:val="Hyperlink"/>
          <w:u w:val="none"/>
        </w:rPr>
        <w:instrText xml:space="preserve"> TOC \h \z \t "IPA Heading,1" </w:instrText>
      </w:r>
      <w:r w:rsidRPr="00D23071">
        <w:rPr>
          <w:rStyle w:val="Hyperlink"/>
          <w:u w:val="none"/>
        </w:rPr>
        <w:fldChar w:fldCharType="separate"/>
      </w:r>
      <w:hyperlink w:anchor="_Toc418616878" w:history="1">
        <w:r w:rsidRPr="00D23071">
          <w:rPr>
            <w:rStyle w:val="Hyperlink"/>
            <w:rFonts w:asciiTheme="minorHAnsi" w:hAnsiTheme="minorHAnsi"/>
            <w:color w:val="auto"/>
            <w:sz w:val="22"/>
            <w:szCs w:val="22"/>
            <w:u w:val="none"/>
          </w:rPr>
          <w:t>1. Introduction</w:t>
        </w:r>
        <w:r w:rsidR="001A1638" w:rsidRPr="00D23071">
          <w:rPr>
            <w:rStyle w:val="Hyperlink"/>
            <w:rFonts w:asciiTheme="minorHAnsi" w:hAnsiTheme="minorHAnsi"/>
            <w:color w:val="auto"/>
            <w:sz w:val="22"/>
            <w:szCs w:val="22"/>
            <w:u w:val="none"/>
          </w:rPr>
          <w:t xml:space="preserve"> – Crowd-Sourced Funding Legislation</w:t>
        </w:r>
        <w:r w:rsidR="004D4B93" w:rsidRPr="00D23071">
          <w:rPr>
            <w:rStyle w:val="Hyperlink"/>
            <w:rFonts w:asciiTheme="minorHAnsi" w:hAnsiTheme="minorHAnsi"/>
            <w:color w:val="auto"/>
            <w:sz w:val="22"/>
            <w:szCs w:val="22"/>
            <w:u w:val="none"/>
          </w:rPr>
          <w:t xml:space="preserve"> (existing and proposed)</w:t>
        </w:r>
        <w:r w:rsidRPr="00D23071">
          <w:rPr>
            <w:rStyle w:val="Hyperlink"/>
            <w:rFonts w:asciiTheme="minorHAnsi" w:hAnsiTheme="minorHAnsi"/>
            <w:webHidden/>
            <w:color w:val="auto"/>
            <w:sz w:val="22"/>
            <w:szCs w:val="22"/>
            <w:u w:val="none"/>
          </w:rPr>
          <w:tab/>
        </w:r>
      </w:hyperlink>
      <w:r w:rsidR="00DB220A" w:rsidRPr="00D23071">
        <w:rPr>
          <w:rStyle w:val="Hyperlink"/>
          <w:rFonts w:asciiTheme="minorHAnsi" w:hAnsiTheme="minorHAnsi"/>
          <w:color w:val="auto"/>
          <w:sz w:val="22"/>
          <w:szCs w:val="22"/>
          <w:u w:val="none"/>
        </w:rPr>
        <w:t>5</w:t>
      </w:r>
    </w:p>
    <w:p w:rsidR="00003ADC" w:rsidRPr="00D23071" w:rsidRDefault="00ED33A4" w:rsidP="00003ADC">
      <w:pPr>
        <w:pStyle w:val="TOC1"/>
        <w:rPr>
          <w:rStyle w:val="Hyperlink"/>
          <w:rFonts w:asciiTheme="minorHAnsi" w:hAnsiTheme="minorHAnsi"/>
          <w:color w:val="auto"/>
          <w:sz w:val="22"/>
          <w:szCs w:val="22"/>
          <w:u w:val="none"/>
        </w:rPr>
      </w:pPr>
      <w:hyperlink w:anchor="_Toc418616879" w:history="1">
        <w:r w:rsidR="00B24089" w:rsidRPr="00D23071">
          <w:rPr>
            <w:rStyle w:val="Hyperlink"/>
            <w:rFonts w:asciiTheme="minorHAnsi" w:hAnsiTheme="minorHAnsi"/>
            <w:color w:val="auto"/>
            <w:sz w:val="22"/>
            <w:szCs w:val="22"/>
            <w:u w:val="none"/>
          </w:rPr>
          <w:t xml:space="preserve">2. </w:t>
        </w:r>
        <w:r w:rsidR="00B604BB" w:rsidRPr="00D23071">
          <w:rPr>
            <w:rStyle w:val="Hyperlink"/>
            <w:rFonts w:asciiTheme="minorHAnsi" w:hAnsiTheme="minorHAnsi"/>
            <w:color w:val="auto"/>
            <w:sz w:val="22"/>
            <w:szCs w:val="22"/>
            <w:u w:val="none"/>
          </w:rPr>
          <w:t>What the changes will mean</w:t>
        </w:r>
        <w:r w:rsidR="00A53EB5" w:rsidRPr="00D23071">
          <w:rPr>
            <w:rStyle w:val="Hyperlink"/>
            <w:rFonts w:asciiTheme="minorHAnsi" w:hAnsiTheme="minorHAnsi"/>
            <w:color w:val="auto"/>
            <w:sz w:val="22"/>
            <w:szCs w:val="22"/>
            <w:u w:val="none"/>
          </w:rPr>
          <w:t xml:space="preserve"> for proprietary</w:t>
        </w:r>
        <w:r w:rsidR="00B604BB" w:rsidRPr="00D23071">
          <w:rPr>
            <w:rStyle w:val="Hyperlink"/>
            <w:rFonts w:asciiTheme="minorHAnsi" w:hAnsiTheme="minorHAnsi"/>
            <w:color w:val="auto"/>
            <w:sz w:val="22"/>
            <w:szCs w:val="22"/>
            <w:u w:val="none"/>
          </w:rPr>
          <w:t>companies</w:t>
        </w:r>
        <w:r w:rsidR="00003ADC" w:rsidRPr="00D23071">
          <w:rPr>
            <w:rStyle w:val="Hyperlink"/>
            <w:rFonts w:asciiTheme="minorHAnsi" w:hAnsiTheme="minorHAnsi"/>
            <w:color w:val="auto"/>
            <w:sz w:val="22"/>
            <w:szCs w:val="22"/>
            <w:u w:val="none"/>
          </w:rPr>
          <w:t>……</w:t>
        </w:r>
        <w:r w:rsidR="004A0DC5" w:rsidRPr="00D23071">
          <w:rPr>
            <w:rStyle w:val="Hyperlink"/>
            <w:rFonts w:asciiTheme="minorHAnsi" w:hAnsiTheme="minorHAnsi"/>
            <w:color w:val="auto"/>
            <w:sz w:val="22"/>
            <w:szCs w:val="22"/>
            <w:u w:val="none"/>
          </w:rPr>
          <w:t xml:space="preserve">                                               </w:t>
        </w:r>
        <w:r w:rsidR="00D23071">
          <w:rPr>
            <w:rStyle w:val="Hyperlink"/>
            <w:rFonts w:asciiTheme="minorHAnsi" w:hAnsiTheme="minorHAnsi"/>
            <w:color w:val="auto"/>
            <w:sz w:val="22"/>
            <w:szCs w:val="22"/>
            <w:u w:val="none"/>
          </w:rPr>
          <w:t xml:space="preserve">        </w:t>
        </w:r>
        <w:r w:rsidR="004A0DC5" w:rsidRPr="00D23071">
          <w:rPr>
            <w:rStyle w:val="Hyperlink"/>
            <w:rFonts w:asciiTheme="minorHAnsi" w:hAnsiTheme="minorHAnsi"/>
            <w:color w:val="auto"/>
            <w:sz w:val="22"/>
            <w:szCs w:val="22"/>
            <w:u w:val="none"/>
          </w:rPr>
          <w:t xml:space="preserve">                6</w:t>
        </w:r>
        <w:r w:rsidR="00B604BB" w:rsidRPr="00D23071">
          <w:rPr>
            <w:rStyle w:val="Hyperlink"/>
            <w:rFonts w:asciiTheme="minorHAnsi" w:hAnsiTheme="minorHAnsi"/>
            <w:color w:val="auto"/>
            <w:sz w:val="22"/>
            <w:szCs w:val="22"/>
            <w:u w:val="none"/>
          </w:rPr>
          <w:t xml:space="preserve"> </w:t>
        </w:r>
      </w:hyperlink>
    </w:p>
    <w:p w:rsidR="00003ADC" w:rsidRPr="00D23071" w:rsidRDefault="00ED33A4" w:rsidP="00003ADC">
      <w:pPr>
        <w:pStyle w:val="TOC1"/>
        <w:rPr>
          <w:rStyle w:val="Hyperlink"/>
          <w:rFonts w:asciiTheme="minorHAnsi" w:hAnsiTheme="minorHAnsi"/>
          <w:color w:val="auto"/>
          <w:sz w:val="22"/>
          <w:szCs w:val="22"/>
          <w:u w:val="none"/>
        </w:rPr>
      </w:pPr>
      <w:hyperlink w:anchor="_Toc418616880" w:history="1">
        <w:r w:rsidR="00B24089" w:rsidRPr="00D23071">
          <w:rPr>
            <w:rStyle w:val="Hyperlink"/>
            <w:rFonts w:asciiTheme="minorHAnsi" w:hAnsiTheme="minorHAnsi"/>
            <w:color w:val="auto"/>
            <w:sz w:val="22"/>
            <w:szCs w:val="22"/>
            <w:u w:val="none"/>
          </w:rPr>
          <w:t xml:space="preserve">3. </w:t>
        </w:r>
        <w:r w:rsidR="00003ADC" w:rsidRPr="00D23071">
          <w:rPr>
            <w:rStyle w:val="Hyperlink"/>
            <w:rFonts w:asciiTheme="minorHAnsi" w:hAnsiTheme="minorHAnsi"/>
            <w:color w:val="auto"/>
            <w:sz w:val="22"/>
            <w:szCs w:val="22"/>
            <w:u w:val="none"/>
          </w:rPr>
          <w:t>Cap of 50 non-employee shareholder</w:t>
        </w:r>
        <w:r w:rsidR="00D91703" w:rsidRPr="00D23071">
          <w:rPr>
            <w:rStyle w:val="Hyperlink"/>
            <w:rFonts w:asciiTheme="minorHAnsi" w:hAnsiTheme="minorHAnsi"/>
            <w:color w:val="auto"/>
            <w:sz w:val="22"/>
            <w:szCs w:val="22"/>
            <w:u w:val="none"/>
          </w:rPr>
          <w:t>s</w:t>
        </w:r>
        <w:r w:rsidR="00B24089" w:rsidRPr="00D23071">
          <w:rPr>
            <w:rStyle w:val="Hyperlink"/>
            <w:rFonts w:asciiTheme="minorHAnsi" w:hAnsiTheme="minorHAnsi"/>
            <w:webHidden/>
            <w:color w:val="auto"/>
            <w:sz w:val="22"/>
            <w:szCs w:val="22"/>
            <w:u w:val="none"/>
          </w:rPr>
          <w:tab/>
        </w:r>
      </w:hyperlink>
      <w:r w:rsidR="004A0DC5" w:rsidRPr="00D23071">
        <w:rPr>
          <w:rStyle w:val="Hyperlink"/>
          <w:rFonts w:asciiTheme="minorHAnsi" w:hAnsiTheme="minorHAnsi"/>
          <w:color w:val="auto"/>
          <w:sz w:val="22"/>
          <w:szCs w:val="22"/>
          <w:u w:val="none"/>
        </w:rPr>
        <w:t>8</w:t>
      </w:r>
    </w:p>
    <w:p w:rsidR="00B24089" w:rsidRPr="00D23071" w:rsidRDefault="00ED33A4" w:rsidP="00003ADC">
      <w:pPr>
        <w:pStyle w:val="TOC1"/>
        <w:rPr>
          <w:rStyle w:val="Hyperlink"/>
          <w:rFonts w:asciiTheme="minorHAnsi" w:hAnsiTheme="minorHAnsi"/>
          <w:color w:val="auto"/>
          <w:sz w:val="22"/>
          <w:szCs w:val="22"/>
          <w:u w:val="none"/>
        </w:rPr>
      </w:pPr>
      <w:hyperlink w:anchor="_Toc418616881" w:history="1">
        <w:r w:rsidR="00B24089" w:rsidRPr="00D23071">
          <w:rPr>
            <w:rStyle w:val="Hyperlink"/>
            <w:rFonts w:asciiTheme="minorHAnsi" w:hAnsiTheme="minorHAnsi"/>
            <w:color w:val="auto"/>
            <w:sz w:val="22"/>
            <w:szCs w:val="22"/>
            <w:u w:val="none"/>
          </w:rPr>
          <w:t xml:space="preserve">4. </w:t>
        </w:r>
        <w:r w:rsidR="00003ADC" w:rsidRPr="00D23071">
          <w:rPr>
            <w:rStyle w:val="Hyperlink"/>
            <w:rFonts w:asciiTheme="minorHAnsi" w:hAnsiTheme="minorHAnsi"/>
            <w:color w:val="auto"/>
            <w:sz w:val="22"/>
            <w:szCs w:val="22"/>
            <w:u w:val="none"/>
          </w:rPr>
          <w:t>Composition of shareholdings</w:t>
        </w:r>
        <w:r w:rsidR="00B24089" w:rsidRPr="00D23071">
          <w:rPr>
            <w:rStyle w:val="Hyperlink"/>
            <w:rFonts w:asciiTheme="minorHAnsi" w:hAnsiTheme="minorHAnsi"/>
            <w:webHidden/>
            <w:color w:val="auto"/>
            <w:sz w:val="22"/>
            <w:szCs w:val="22"/>
            <w:u w:val="none"/>
          </w:rPr>
          <w:tab/>
        </w:r>
      </w:hyperlink>
      <w:r w:rsidR="004A0DC5" w:rsidRPr="00D23071">
        <w:rPr>
          <w:rStyle w:val="Hyperlink"/>
          <w:rFonts w:asciiTheme="minorHAnsi" w:hAnsiTheme="minorHAnsi"/>
          <w:color w:val="auto"/>
          <w:sz w:val="22"/>
          <w:szCs w:val="22"/>
          <w:u w:val="none"/>
        </w:rPr>
        <w:t>9</w:t>
      </w:r>
    </w:p>
    <w:p w:rsidR="00B24089" w:rsidRPr="00D23071" w:rsidRDefault="00ED33A4" w:rsidP="00003ADC">
      <w:pPr>
        <w:pStyle w:val="TOC1"/>
        <w:rPr>
          <w:rStyle w:val="Hyperlink"/>
          <w:rFonts w:asciiTheme="minorHAnsi" w:hAnsiTheme="minorHAnsi"/>
          <w:color w:val="auto"/>
          <w:sz w:val="22"/>
          <w:szCs w:val="22"/>
          <w:u w:val="none"/>
        </w:rPr>
      </w:pPr>
      <w:hyperlink w:anchor="_Toc418616882" w:history="1">
        <w:r w:rsidR="00B24089" w:rsidRPr="00D23071">
          <w:rPr>
            <w:rStyle w:val="Hyperlink"/>
            <w:rFonts w:asciiTheme="minorHAnsi" w:hAnsiTheme="minorHAnsi"/>
            <w:color w:val="auto"/>
            <w:sz w:val="22"/>
            <w:szCs w:val="22"/>
            <w:u w:val="none"/>
          </w:rPr>
          <w:t xml:space="preserve">5. </w:t>
        </w:r>
        <w:r w:rsidR="00003ADC" w:rsidRPr="00D23071">
          <w:rPr>
            <w:rStyle w:val="Hyperlink"/>
            <w:rFonts w:asciiTheme="minorHAnsi" w:hAnsiTheme="minorHAnsi"/>
            <w:color w:val="auto"/>
            <w:sz w:val="22"/>
            <w:szCs w:val="22"/>
            <w:u w:val="none"/>
          </w:rPr>
          <w:t>$10,000 cap per investor per company in any one year</w:t>
        </w:r>
        <w:r w:rsidR="00B24089" w:rsidRPr="00D23071">
          <w:rPr>
            <w:rStyle w:val="Hyperlink"/>
            <w:rFonts w:asciiTheme="minorHAnsi" w:hAnsiTheme="minorHAnsi"/>
            <w:webHidden/>
            <w:color w:val="auto"/>
            <w:sz w:val="22"/>
            <w:szCs w:val="22"/>
            <w:u w:val="none"/>
          </w:rPr>
          <w:tab/>
        </w:r>
      </w:hyperlink>
      <w:r w:rsidR="004A0DC5" w:rsidRPr="00D23071">
        <w:rPr>
          <w:rStyle w:val="Hyperlink"/>
          <w:rFonts w:asciiTheme="minorHAnsi" w:hAnsiTheme="minorHAnsi"/>
          <w:color w:val="auto"/>
          <w:sz w:val="22"/>
          <w:szCs w:val="22"/>
          <w:u w:val="none"/>
        </w:rPr>
        <w:t>10</w:t>
      </w:r>
    </w:p>
    <w:p w:rsidR="00B24089" w:rsidRPr="00D23071" w:rsidRDefault="00ED33A4" w:rsidP="00003ADC">
      <w:pPr>
        <w:pStyle w:val="TOC1"/>
        <w:rPr>
          <w:rStyle w:val="Hyperlink"/>
          <w:rFonts w:asciiTheme="minorHAnsi" w:hAnsiTheme="minorHAnsi"/>
          <w:color w:val="auto"/>
          <w:sz w:val="22"/>
          <w:szCs w:val="22"/>
          <w:u w:val="none"/>
        </w:rPr>
      </w:pPr>
      <w:hyperlink w:anchor="_Toc418616883" w:history="1">
        <w:r w:rsidR="00B24089" w:rsidRPr="00D23071">
          <w:rPr>
            <w:rStyle w:val="Hyperlink"/>
            <w:rFonts w:asciiTheme="minorHAnsi" w:hAnsiTheme="minorHAnsi"/>
            <w:color w:val="auto"/>
            <w:sz w:val="22"/>
            <w:szCs w:val="22"/>
            <w:u w:val="none"/>
          </w:rPr>
          <w:t xml:space="preserve">6. </w:t>
        </w:r>
        <w:r w:rsidR="00003ADC" w:rsidRPr="00D23071">
          <w:rPr>
            <w:rStyle w:val="Hyperlink"/>
            <w:rFonts w:asciiTheme="minorHAnsi" w:hAnsiTheme="minorHAnsi"/>
            <w:color w:val="auto"/>
            <w:sz w:val="22"/>
            <w:szCs w:val="22"/>
            <w:u w:val="none"/>
          </w:rPr>
          <w:t>5-day cooling off period</w:t>
        </w:r>
        <w:r w:rsidR="00B24089" w:rsidRPr="00D23071">
          <w:rPr>
            <w:rStyle w:val="Hyperlink"/>
            <w:rFonts w:asciiTheme="minorHAnsi" w:hAnsiTheme="minorHAnsi"/>
            <w:webHidden/>
            <w:color w:val="auto"/>
            <w:sz w:val="22"/>
            <w:szCs w:val="22"/>
            <w:u w:val="none"/>
          </w:rPr>
          <w:tab/>
        </w:r>
      </w:hyperlink>
      <w:r w:rsidR="004A0DC5" w:rsidRPr="00D23071">
        <w:rPr>
          <w:rStyle w:val="Hyperlink"/>
          <w:rFonts w:asciiTheme="minorHAnsi" w:hAnsiTheme="minorHAnsi"/>
          <w:color w:val="auto"/>
          <w:sz w:val="22"/>
          <w:szCs w:val="22"/>
          <w:u w:val="none"/>
        </w:rPr>
        <w:t>10</w:t>
      </w:r>
    </w:p>
    <w:p w:rsidR="00B24089" w:rsidRPr="00D23071" w:rsidRDefault="00ED33A4" w:rsidP="00003ADC">
      <w:pPr>
        <w:pStyle w:val="TOC1"/>
        <w:rPr>
          <w:rStyle w:val="Hyperlink"/>
          <w:rFonts w:asciiTheme="minorHAnsi" w:hAnsiTheme="minorHAnsi"/>
          <w:color w:val="auto"/>
          <w:sz w:val="22"/>
          <w:szCs w:val="22"/>
          <w:u w:val="none"/>
        </w:rPr>
      </w:pPr>
      <w:hyperlink w:anchor="_Toc418616884" w:history="1">
        <w:r w:rsidR="00B24089" w:rsidRPr="00D23071">
          <w:rPr>
            <w:rStyle w:val="Hyperlink"/>
            <w:rFonts w:asciiTheme="minorHAnsi" w:hAnsiTheme="minorHAnsi"/>
            <w:color w:val="auto"/>
            <w:sz w:val="22"/>
            <w:szCs w:val="22"/>
            <w:u w:val="none"/>
          </w:rPr>
          <w:t xml:space="preserve">7. </w:t>
        </w:r>
        <w:r w:rsidR="00003ADC" w:rsidRPr="00D23071">
          <w:rPr>
            <w:rStyle w:val="Hyperlink"/>
            <w:rFonts w:asciiTheme="minorHAnsi" w:hAnsiTheme="minorHAnsi"/>
            <w:color w:val="auto"/>
            <w:sz w:val="22"/>
            <w:szCs w:val="22"/>
            <w:u w:val="none"/>
          </w:rPr>
          <w:t>Offer platform</w:t>
        </w:r>
        <w:r w:rsidR="00B24089" w:rsidRPr="00D23071">
          <w:rPr>
            <w:rStyle w:val="Hyperlink"/>
            <w:rFonts w:asciiTheme="minorHAnsi" w:hAnsiTheme="minorHAnsi"/>
            <w:webHidden/>
            <w:color w:val="auto"/>
            <w:sz w:val="22"/>
            <w:szCs w:val="22"/>
            <w:u w:val="none"/>
          </w:rPr>
          <w:tab/>
        </w:r>
      </w:hyperlink>
      <w:r w:rsidR="004A0DC5" w:rsidRPr="00D23071">
        <w:rPr>
          <w:rStyle w:val="Hyperlink"/>
          <w:rFonts w:asciiTheme="minorHAnsi" w:hAnsiTheme="minorHAnsi"/>
          <w:color w:val="auto"/>
          <w:sz w:val="22"/>
          <w:szCs w:val="22"/>
          <w:u w:val="none"/>
        </w:rPr>
        <w:t>10</w:t>
      </w:r>
    </w:p>
    <w:p w:rsidR="0003132A" w:rsidRPr="00D23071" w:rsidRDefault="001C0C6B" w:rsidP="00003ADC">
      <w:pPr>
        <w:pStyle w:val="TOC1"/>
        <w:rPr>
          <w:rStyle w:val="Hyperlink"/>
          <w:rFonts w:asciiTheme="minorHAnsi" w:hAnsiTheme="minorHAnsi"/>
          <w:color w:val="auto"/>
          <w:sz w:val="22"/>
          <w:szCs w:val="22"/>
          <w:u w:val="none"/>
        </w:rPr>
      </w:pPr>
      <w:r w:rsidRPr="00D23071">
        <w:rPr>
          <w:rStyle w:val="Hyperlink"/>
          <w:rFonts w:asciiTheme="minorHAnsi" w:hAnsiTheme="minorHAnsi"/>
          <w:color w:val="auto"/>
          <w:sz w:val="22"/>
          <w:szCs w:val="22"/>
          <w:u w:val="none"/>
        </w:rPr>
        <w:fldChar w:fldCharType="begin"/>
      </w:r>
      <w:r w:rsidRPr="00D23071">
        <w:rPr>
          <w:rStyle w:val="Hyperlink"/>
          <w:rFonts w:asciiTheme="minorHAnsi" w:hAnsiTheme="minorHAnsi"/>
          <w:color w:val="auto"/>
          <w:sz w:val="22"/>
          <w:szCs w:val="22"/>
          <w:u w:val="none"/>
        </w:rPr>
        <w:instrText xml:space="preserve"> HYPERLINK \l "_Toc418616885" </w:instrText>
      </w:r>
      <w:r w:rsidRPr="00D23071">
        <w:rPr>
          <w:rStyle w:val="Hyperlink"/>
          <w:rFonts w:asciiTheme="minorHAnsi" w:hAnsiTheme="minorHAnsi"/>
          <w:color w:val="auto"/>
          <w:sz w:val="22"/>
          <w:szCs w:val="22"/>
          <w:u w:val="none"/>
        </w:rPr>
        <w:fldChar w:fldCharType="separate"/>
      </w:r>
      <w:r w:rsidR="00B24089" w:rsidRPr="00D23071">
        <w:rPr>
          <w:rStyle w:val="Hyperlink"/>
          <w:rFonts w:asciiTheme="minorHAnsi" w:hAnsiTheme="minorHAnsi"/>
          <w:color w:val="auto"/>
          <w:sz w:val="22"/>
          <w:szCs w:val="22"/>
          <w:u w:val="none"/>
        </w:rPr>
        <w:t>8. A</w:t>
      </w:r>
      <w:r w:rsidR="0003132A" w:rsidRPr="00D23071">
        <w:rPr>
          <w:rStyle w:val="Hyperlink"/>
          <w:rFonts w:asciiTheme="minorHAnsi" w:hAnsiTheme="minorHAnsi"/>
          <w:color w:val="auto"/>
          <w:sz w:val="22"/>
          <w:szCs w:val="22"/>
          <w:u w:val="none"/>
        </w:rPr>
        <w:t>dditional reporting obligations…………………………………………………</w:t>
      </w:r>
      <w:r w:rsidR="004A0DC5" w:rsidRPr="00D23071">
        <w:rPr>
          <w:rStyle w:val="Hyperlink"/>
          <w:rFonts w:asciiTheme="minorHAnsi" w:hAnsiTheme="minorHAnsi"/>
          <w:color w:val="auto"/>
          <w:sz w:val="22"/>
          <w:szCs w:val="22"/>
          <w:u w:val="none"/>
        </w:rPr>
        <w:t xml:space="preserve">     </w:t>
      </w:r>
      <w:r w:rsidR="0003132A" w:rsidRPr="00D23071">
        <w:rPr>
          <w:rStyle w:val="Hyperlink"/>
          <w:rFonts w:asciiTheme="minorHAnsi" w:hAnsiTheme="minorHAnsi"/>
          <w:color w:val="auto"/>
          <w:sz w:val="22"/>
          <w:szCs w:val="22"/>
          <w:u w:val="none"/>
        </w:rPr>
        <w:t>……………</w:t>
      </w:r>
      <w:r w:rsidR="00D23071">
        <w:rPr>
          <w:rStyle w:val="Hyperlink"/>
          <w:rFonts w:asciiTheme="minorHAnsi" w:hAnsiTheme="minorHAnsi"/>
          <w:color w:val="auto"/>
          <w:sz w:val="22"/>
          <w:szCs w:val="22"/>
          <w:u w:val="none"/>
        </w:rPr>
        <w:t xml:space="preserve">                         </w:t>
      </w:r>
      <w:r w:rsidR="0003132A" w:rsidRPr="00D23071">
        <w:rPr>
          <w:rStyle w:val="Hyperlink"/>
          <w:rFonts w:asciiTheme="minorHAnsi" w:hAnsiTheme="minorHAnsi"/>
          <w:color w:val="auto"/>
          <w:sz w:val="22"/>
          <w:szCs w:val="22"/>
          <w:u w:val="none"/>
        </w:rPr>
        <w:t>…………</w:t>
      </w:r>
      <w:r w:rsidR="004A0DC5" w:rsidRPr="00D23071">
        <w:rPr>
          <w:rStyle w:val="Hyperlink"/>
          <w:rFonts w:asciiTheme="minorHAnsi" w:hAnsiTheme="minorHAnsi"/>
          <w:color w:val="auto"/>
          <w:sz w:val="22"/>
          <w:szCs w:val="22"/>
          <w:u w:val="none"/>
        </w:rPr>
        <w:t>11</w:t>
      </w:r>
    </w:p>
    <w:p w:rsidR="00B24089" w:rsidRPr="00D23071" w:rsidRDefault="0003132A" w:rsidP="00003ADC">
      <w:pPr>
        <w:pStyle w:val="TOC1"/>
        <w:rPr>
          <w:rStyle w:val="Hyperlink"/>
          <w:rFonts w:asciiTheme="minorHAnsi" w:hAnsiTheme="minorHAnsi"/>
          <w:color w:val="auto"/>
          <w:sz w:val="22"/>
          <w:szCs w:val="22"/>
          <w:u w:val="none"/>
        </w:rPr>
      </w:pPr>
      <w:r w:rsidRPr="00D23071">
        <w:rPr>
          <w:rStyle w:val="Hyperlink"/>
          <w:rFonts w:asciiTheme="minorHAnsi" w:hAnsiTheme="minorHAnsi"/>
          <w:color w:val="auto"/>
          <w:sz w:val="22"/>
          <w:szCs w:val="22"/>
          <w:u w:val="none"/>
        </w:rPr>
        <w:t>9. Chapter 6 Exemptions</w:t>
      </w:r>
      <w:r w:rsidR="00B24089" w:rsidRPr="00D23071">
        <w:rPr>
          <w:rStyle w:val="Hyperlink"/>
          <w:rFonts w:asciiTheme="minorHAnsi" w:hAnsiTheme="minorHAnsi"/>
          <w:webHidden/>
          <w:color w:val="auto"/>
          <w:sz w:val="22"/>
          <w:szCs w:val="22"/>
          <w:u w:val="none"/>
        </w:rPr>
        <w:tab/>
      </w:r>
      <w:r w:rsidR="001C0C6B" w:rsidRPr="00D23071">
        <w:rPr>
          <w:rStyle w:val="Hyperlink"/>
          <w:rFonts w:asciiTheme="minorHAnsi" w:hAnsiTheme="minorHAnsi"/>
          <w:color w:val="auto"/>
          <w:sz w:val="22"/>
          <w:szCs w:val="22"/>
          <w:u w:val="none"/>
        </w:rPr>
        <w:fldChar w:fldCharType="end"/>
      </w:r>
      <w:r w:rsidR="004A0DC5" w:rsidRPr="00D23071">
        <w:rPr>
          <w:rStyle w:val="Hyperlink"/>
          <w:rFonts w:asciiTheme="minorHAnsi" w:hAnsiTheme="minorHAnsi"/>
          <w:color w:val="auto"/>
          <w:sz w:val="22"/>
          <w:szCs w:val="22"/>
          <w:u w:val="none"/>
        </w:rPr>
        <w:t>11</w:t>
      </w:r>
    </w:p>
    <w:p w:rsidR="00B24089" w:rsidRPr="00D23071" w:rsidRDefault="00ED33A4" w:rsidP="00003ADC">
      <w:pPr>
        <w:pStyle w:val="TOC1"/>
        <w:rPr>
          <w:rStyle w:val="Hyperlink"/>
          <w:rFonts w:asciiTheme="minorHAnsi" w:hAnsiTheme="minorHAnsi"/>
          <w:color w:val="auto"/>
          <w:sz w:val="22"/>
          <w:szCs w:val="22"/>
          <w:u w:val="none"/>
        </w:rPr>
      </w:pPr>
      <w:hyperlink w:anchor="_Toc418616886" w:history="1">
        <w:r w:rsidR="0003132A" w:rsidRPr="00D23071">
          <w:rPr>
            <w:rStyle w:val="Hyperlink"/>
            <w:rFonts w:asciiTheme="minorHAnsi" w:hAnsiTheme="minorHAnsi"/>
            <w:color w:val="auto"/>
            <w:sz w:val="22"/>
            <w:szCs w:val="22"/>
            <w:u w:val="none"/>
          </w:rPr>
          <w:t>10 Defective offers</w:t>
        </w:r>
        <w:r w:rsidR="00B24089" w:rsidRPr="00D23071">
          <w:rPr>
            <w:rStyle w:val="Hyperlink"/>
            <w:rFonts w:asciiTheme="minorHAnsi" w:hAnsiTheme="minorHAnsi"/>
            <w:webHidden/>
            <w:color w:val="auto"/>
            <w:sz w:val="22"/>
            <w:szCs w:val="22"/>
            <w:u w:val="none"/>
          </w:rPr>
          <w:tab/>
        </w:r>
      </w:hyperlink>
      <w:r w:rsidR="004A0DC5" w:rsidRPr="00D23071">
        <w:rPr>
          <w:rStyle w:val="Hyperlink"/>
          <w:rFonts w:asciiTheme="minorHAnsi" w:hAnsiTheme="minorHAnsi"/>
          <w:color w:val="auto"/>
          <w:sz w:val="22"/>
          <w:szCs w:val="22"/>
          <w:u w:val="none"/>
        </w:rPr>
        <w:t>11</w:t>
      </w:r>
    </w:p>
    <w:p w:rsidR="00B24089" w:rsidRPr="00D23071" w:rsidRDefault="00ED33A4" w:rsidP="00003ADC">
      <w:pPr>
        <w:pStyle w:val="TOC1"/>
        <w:rPr>
          <w:rStyle w:val="Hyperlink"/>
          <w:rFonts w:asciiTheme="minorHAnsi" w:hAnsiTheme="minorHAnsi"/>
          <w:color w:val="auto"/>
          <w:sz w:val="22"/>
          <w:szCs w:val="22"/>
          <w:u w:val="none"/>
        </w:rPr>
      </w:pPr>
      <w:hyperlink w:anchor="_Toc418616887" w:history="1">
        <w:r w:rsidR="00B24089" w:rsidRPr="00D23071">
          <w:rPr>
            <w:rStyle w:val="Hyperlink"/>
            <w:rFonts w:asciiTheme="minorHAnsi" w:hAnsiTheme="minorHAnsi"/>
            <w:color w:val="auto"/>
            <w:sz w:val="22"/>
            <w:szCs w:val="22"/>
            <w:u w:val="none"/>
          </w:rPr>
          <w:t>1</w:t>
        </w:r>
        <w:r w:rsidR="0003132A" w:rsidRPr="00D23071">
          <w:rPr>
            <w:rStyle w:val="Hyperlink"/>
            <w:rFonts w:asciiTheme="minorHAnsi" w:hAnsiTheme="minorHAnsi"/>
            <w:color w:val="auto"/>
            <w:sz w:val="22"/>
            <w:szCs w:val="22"/>
            <w:u w:val="none"/>
          </w:rPr>
          <w:t>1</w:t>
        </w:r>
        <w:r w:rsidR="00B24089" w:rsidRPr="00D23071">
          <w:rPr>
            <w:rStyle w:val="Hyperlink"/>
            <w:rFonts w:asciiTheme="minorHAnsi" w:hAnsiTheme="minorHAnsi"/>
            <w:color w:val="auto"/>
            <w:sz w:val="22"/>
            <w:szCs w:val="22"/>
            <w:u w:val="none"/>
          </w:rPr>
          <w:t xml:space="preserve">. </w:t>
        </w:r>
        <w:r w:rsidR="0003132A" w:rsidRPr="00D23071">
          <w:rPr>
            <w:rStyle w:val="Hyperlink"/>
            <w:rFonts w:asciiTheme="minorHAnsi" w:hAnsiTheme="minorHAnsi"/>
            <w:color w:val="auto"/>
            <w:sz w:val="22"/>
            <w:szCs w:val="22"/>
            <w:u w:val="none"/>
          </w:rPr>
          <w:t>General comments</w:t>
        </w:r>
        <w:r w:rsidR="00B24089" w:rsidRPr="00D23071">
          <w:rPr>
            <w:rStyle w:val="Hyperlink"/>
            <w:rFonts w:asciiTheme="minorHAnsi" w:hAnsiTheme="minorHAnsi"/>
            <w:webHidden/>
            <w:color w:val="auto"/>
            <w:sz w:val="22"/>
            <w:szCs w:val="22"/>
            <w:u w:val="none"/>
          </w:rPr>
          <w:tab/>
        </w:r>
      </w:hyperlink>
      <w:r w:rsidR="004A0DC5" w:rsidRPr="00D23071">
        <w:rPr>
          <w:rStyle w:val="Hyperlink"/>
          <w:rFonts w:asciiTheme="minorHAnsi" w:hAnsiTheme="minorHAnsi"/>
          <w:color w:val="auto"/>
          <w:sz w:val="22"/>
          <w:szCs w:val="22"/>
          <w:u w:val="none"/>
        </w:rPr>
        <w:t>12</w:t>
      </w:r>
    </w:p>
    <w:p w:rsidR="004A0DC5" w:rsidRPr="00D23071" w:rsidRDefault="004A0DC5" w:rsidP="004A0DC5">
      <w:pPr>
        <w:rPr>
          <w:rStyle w:val="Hyperlink"/>
          <w:rFonts w:ascii="Arial" w:eastAsiaTheme="minorEastAsia" w:hAnsi="Arial" w:cstheme="minorBidi"/>
          <w:noProof/>
          <w:color w:val="auto"/>
          <w:sz w:val="20"/>
          <w:szCs w:val="20"/>
          <w:u w:val="none"/>
        </w:rPr>
      </w:pPr>
      <w:r w:rsidRPr="00D23071">
        <w:rPr>
          <w:rStyle w:val="Hyperlink"/>
          <w:rFonts w:asciiTheme="minorHAnsi" w:eastAsiaTheme="minorEastAsia" w:hAnsiTheme="minorHAnsi" w:cstheme="minorBidi"/>
          <w:noProof/>
          <w:color w:val="auto"/>
          <w:sz w:val="22"/>
          <w:szCs w:val="22"/>
          <w:u w:val="none"/>
        </w:rPr>
        <w:t>12. References…………   ……………………………………………………</w:t>
      </w:r>
      <w:r w:rsidRPr="00D23071">
        <w:rPr>
          <w:rStyle w:val="Hyperlink"/>
          <w:rFonts w:ascii="Arial" w:eastAsiaTheme="minorEastAsia" w:hAnsi="Arial" w:cstheme="minorBidi"/>
          <w:noProof/>
          <w:sz w:val="20"/>
          <w:szCs w:val="20"/>
          <w:u w:val="none"/>
        </w:rPr>
        <w:t>………</w:t>
      </w:r>
      <w:r w:rsidR="00D23071">
        <w:rPr>
          <w:rStyle w:val="Hyperlink"/>
          <w:rFonts w:ascii="Arial" w:eastAsiaTheme="minorEastAsia" w:hAnsi="Arial" w:cstheme="minorBidi"/>
          <w:noProof/>
          <w:sz w:val="20"/>
          <w:szCs w:val="20"/>
          <w:u w:val="none"/>
        </w:rPr>
        <w:t xml:space="preserve">                                             </w:t>
      </w:r>
      <w:r w:rsidRPr="00D23071">
        <w:rPr>
          <w:rStyle w:val="Hyperlink"/>
          <w:rFonts w:ascii="Arial" w:eastAsiaTheme="minorEastAsia" w:hAnsi="Arial" w:cstheme="minorBidi"/>
          <w:noProof/>
          <w:sz w:val="20"/>
          <w:szCs w:val="20"/>
          <w:u w:val="none"/>
        </w:rPr>
        <w:t>………</w:t>
      </w:r>
      <w:r w:rsidRPr="00D23071">
        <w:rPr>
          <w:rStyle w:val="Hyperlink"/>
          <w:rFonts w:ascii="Arial" w:eastAsiaTheme="minorEastAsia" w:hAnsi="Arial" w:cstheme="minorBidi"/>
          <w:noProof/>
          <w:color w:val="auto"/>
          <w:sz w:val="20"/>
          <w:szCs w:val="20"/>
          <w:u w:val="none"/>
        </w:rPr>
        <w:t>13</w:t>
      </w:r>
    </w:p>
    <w:p w:rsidR="003A66C3" w:rsidRPr="00D23071" w:rsidRDefault="00B24089" w:rsidP="00B24089">
      <w:pPr>
        <w:jc w:val="both"/>
        <w:rPr>
          <w:rStyle w:val="Hyperlink"/>
          <w:rFonts w:ascii="Arial" w:eastAsiaTheme="minorEastAsia" w:hAnsi="Arial"/>
          <w:noProof/>
          <w:sz w:val="20"/>
          <w:szCs w:val="20"/>
        </w:rPr>
      </w:pPr>
      <w:r w:rsidRPr="00D23071">
        <w:rPr>
          <w:rStyle w:val="Hyperlink"/>
          <w:rFonts w:ascii="Arial" w:eastAsiaTheme="minorEastAsia" w:hAnsi="Arial" w:cstheme="minorBidi"/>
          <w:noProof/>
          <w:sz w:val="20"/>
          <w:szCs w:val="20"/>
          <w:u w:val="none"/>
        </w:rPr>
        <w:fldChar w:fldCharType="end"/>
      </w:r>
    </w:p>
    <w:p w:rsidR="003A66C3" w:rsidRDefault="003A66C3" w:rsidP="006546BC">
      <w:pPr>
        <w:jc w:val="both"/>
        <w:rPr>
          <w:rFonts w:asciiTheme="minorHAnsi" w:eastAsiaTheme="minorHAnsi" w:hAnsiTheme="minorHAnsi" w:cstheme="minorBidi"/>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03132A" w:rsidRDefault="0003132A" w:rsidP="00B24089">
      <w:pPr>
        <w:spacing w:after="200" w:line="288" w:lineRule="auto"/>
        <w:jc w:val="both"/>
        <w:rPr>
          <w:rFonts w:eastAsiaTheme="minorEastAsia"/>
          <w:b/>
          <w:sz w:val="28"/>
          <w:szCs w:val="28"/>
        </w:rPr>
      </w:pPr>
    </w:p>
    <w:p w:rsidR="00D91703" w:rsidRDefault="00D91703">
      <w:pPr>
        <w:rPr>
          <w:rFonts w:eastAsiaTheme="minorEastAsia"/>
          <w:b/>
          <w:sz w:val="28"/>
          <w:szCs w:val="28"/>
        </w:rPr>
      </w:pPr>
      <w:r>
        <w:rPr>
          <w:rFonts w:eastAsiaTheme="minorEastAsia"/>
          <w:b/>
          <w:sz w:val="28"/>
          <w:szCs w:val="28"/>
        </w:rPr>
        <w:br w:type="page"/>
      </w:r>
    </w:p>
    <w:p w:rsidR="00B24089" w:rsidRPr="00A53EB5" w:rsidRDefault="00BE3030" w:rsidP="00BE3030">
      <w:pPr>
        <w:pStyle w:val="ListParagraph"/>
        <w:numPr>
          <w:ilvl w:val="0"/>
          <w:numId w:val="5"/>
        </w:numPr>
        <w:spacing w:after="200" w:line="288" w:lineRule="auto"/>
        <w:jc w:val="both"/>
        <w:rPr>
          <w:rFonts w:asciiTheme="minorHAnsi" w:eastAsiaTheme="minorEastAsia" w:hAnsiTheme="minorHAnsi" w:cstheme="minorHAnsi"/>
          <w:b/>
          <w:color w:val="E36C0A" w:themeColor="accent6" w:themeShade="BF"/>
          <w:szCs w:val="24"/>
        </w:rPr>
      </w:pPr>
      <w:r w:rsidRPr="00A53EB5">
        <w:rPr>
          <w:rFonts w:asciiTheme="minorHAnsi" w:eastAsiaTheme="minorEastAsia" w:hAnsiTheme="minorHAnsi" w:cstheme="minorHAnsi"/>
          <w:b/>
          <w:color w:val="E36C0A" w:themeColor="accent6" w:themeShade="BF"/>
          <w:szCs w:val="24"/>
        </w:rPr>
        <w:t>Introduction -Crowd-Sourced Funding Legislation (existing and proposed)</w:t>
      </w:r>
    </w:p>
    <w:p w:rsidR="0078636B" w:rsidRPr="00A53EB5" w:rsidRDefault="00E0519D" w:rsidP="00B24089">
      <w:pPr>
        <w:spacing w:after="200" w:line="288" w:lineRule="auto"/>
        <w:ind w:left="360"/>
        <w:contextualSpacing/>
        <w:jc w:val="both"/>
        <w:rPr>
          <w:rFonts w:asciiTheme="minorHAnsi" w:eastAsiaTheme="minorEastAsia" w:hAnsiTheme="minorHAnsi" w:cstheme="minorHAnsi"/>
          <w:b/>
          <w:i/>
        </w:rPr>
      </w:pPr>
      <w:r w:rsidRPr="00A53EB5">
        <w:rPr>
          <w:rFonts w:asciiTheme="minorHAnsi" w:eastAsiaTheme="minorEastAsia" w:hAnsiTheme="minorHAnsi" w:cstheme="minorHAnsi"/>
          <w:b/>
          <w:i/>
        </w:rPr>
        <w:t>Recently enacted</w:t>
      </w:r>
      <w:r w:rsidR="0078636B" w:rsidRPr="00A53EB5">
        <w:rPr>
          <w:rFonts w:asciiTheme="minorHAnsi" w:eastAsiaTheme="minorEastAsia" w:hAnsiTheme="minorHAnsi" w:cstheme="minorHAnsi"/>
          <w:b/>
          <w:i/>
        </w:rPr>
        <w:t xml:space="preserve"> CSF legislation</w:t>
      </w:r>
    </w:p>
    <w:p w:rsidR="0078636B" w:rsidRPr="00A53EB5" w:rsidRDefault="0078636B" w:rsidP="00B24089">
      <w:pPr>
        <w:spacing w:after="200" w:line="288" w:lineRule="auto"/>
        <w:ind w:left="360"/>
        <w:contextualSpacing/>
        <w:jc w:val="both"/>
        <w:rPr>
          <w:rFonts w:asciiTheme="minorHAnsi" w:eastAsiaTheme="minorEastAsia" w:hAnsiTheme="minorHAnsi" w:cstheme="minorHAnsi"/>
        </w:rPr>
      </w:pPr>
    </w:p>
    <w:p w:rsidR="004D4B93" w:rsidRPr="00A53EB5" w:rsidRDefault="001A1638" w:rsidP="00B24089">
      <w:pPr>
        <w:spacing w:after="200" w:line="288" w:lineRule="auto"/>
        <w:ind w:left="360"/>
        <w:contextualSpacing/>
        <w:jc w:val="both"/>
        <w:rPr>
          <w:rFonts w:asciiTheme="minorHAnsi" w:eastAsiaTheme="minorEastAsia" w:hAnsiTheme="minorHAnsi" w:cstheme="minorHAnsi"/>
        </w:rPr>
      </w:pPr>
      <w:r w:rsidRPr="00A53EB5">
        <w:rPr>
          <w:rFonts w:asciiTheme="minorHAnsi" w:eastAsiaTheme="minorEastAsia" w:hAnsiTheme="minorHAnsi" w:cstheme="minorHAnsi"/>
        </w:rPr>
        <w:t xml:space="preserve">After many years of discussion and debate, as well as </w:t>
      </w:r>
      <w:r w:rsidR="0063647C" w:rsidRPr="00A53EB5">
        <w:rPr>
          <w:rFonts w:asciiTheme="minorHAnsi" w:eastAsiaTheme="minorEastAsia" w:hAnsiTheme="minorHAnsi" w:cstheme="minorHAnsi"/>
        </w:rPr>
        <w:t xml:space="preserve">several </w:t>
      </w:r>
      <w:r w:rsidRPr="00A53EB5">
        <w:rPr>
          <w:rFonts w:asciiTheme="minorHAnsi" w:eastAsiaTheme="minorEastAsia" w:hAnsiTheme="minorHAnsi" w:cstheme="minorHAnsi"/>
        </w:rPr>
        <w:t>‘false’ starts, Australia finally passed legislation allowing public companies to access crowd-sourced funding (</w:t>
      </w:r>
      <w:r w:rsidR="0063647C" w:rsidRPr="00A53EB5">
        <w:rPr>
          <w:rFonts w:asciiTheme="minorHAnsi" w:eastAsiaTheme="minorEastAsia" w:hAnsiTheme="minorHAnsi" w:cstheme="minorHAnsi"/>
        </w:rPr>
        <w:t>CSF</w:t>
      </w:r>
      <w:r w:rsidRPr="00A53EB5">
        <w:rPr>
          <w:rFonts w:asciiTheme="minorHAnsi" w:eastAsiaTheme="minorEastAsia" w:hAnsiTheme="minorHAnsi" w:cstheme="minorHAnsi"/>
        </w:rPr>
        <w:t>)</w:t>
      </w:r>
      <w:r w:rsidR="0063647C" w:rsidRPr="00A53EB5">
        <w:rPr>
          <w:rFonts w:asciiTheme="minorHAnsi" w:eastAsiaTheme="minorEastAsia" w:hAnsiTheme="minorHAnsi" w:cstheme="minorHAnsi"/>
        </w:rPr>
        <w:t>, effectively</w:t>
      </w:r>
      <w:r w:rsidR="00832388" w:rsidRPr="00A53EB5">
        <w:rPr>
          <w:rFonts w:asciiTheme="minorHAnsi" w:eastAsiaTheme="minorEastAsia" w:hAnsiTheme="minorHAnsi" w:cstheme="minorHAnsi"/>
        </w:rPr>
        <w:t xml:space="preserve">, as </w:t>
      </w:r>
      <w:r w:rsidR="0063647C" w:rsidRPr="00A53EB5">
        <w:rPr>
          <w:rFonts w:asciiTheme="minorHAnsi" w:eastAsiaTheme="minorEastAsia" w:hAnsiTheme="minorHAnsi" w:cstheme="minorHAnsi"/>
        </w:rPr>
        <w:t xml:space="preserve">from </w:t>
      </w:r>
      <w:r w:rsidRPr="00A53EB5">
        <w:rPr>
          <w:rFonts w:asciiTheme="minorHAnsi" w:eastAsiaTheme="minorEastAsia" w:hAnsiTheme="minorHAnsi" w:cstheme="minorHAnsi"/>
        </w:rPr>
        <w:t xml:space="preserve">September this year. Further to our submission to </w:t>
      </w:r>
      <w:r w:rsidR="00DB220A">
        <w:rPr>
          <w:rFonts w:asciiTheme="minorHAnsi" w:eastAsiaTheme="minorEastAsia" w:hAnsiTheme="minorHAnsi" w:cstheme="minorHAnsi"/>
        </w:rPr>
        <w:t>G</w:t>
      </w:r>
      <w:r w:rsidRPr="00A53EB5">
        <w:rPr>
          <w:rFonts w:asciiTheme="minorHAnsi" w:eastAsiaTheme="minorEastAsia" w:hAnsiTheme="minorHAnsi" w:cstheme="minorHAnsi"/>
        </w:rPr>
        <w:t xml:space="preserve">overnment in 2015, the IPA strongly supports the amendments to the </w:t>
      </w:r>
      <w:r w:rsidRPr="00A53EB5">
        <w:rPr>
          <w:rFonts w:asciiTheme="minorHAnsi" w:eastAsiaTheme="minorEastAsia" w:hAnsiTheme="minorHAnsi" w:cstheme="minorHAnsi"/>
          <w:i/>
        </w:rPr>
        <w:t>Corporations Act</w:t>
      </w:r>
      <w:r w:rsidR="00485E2E">
        <w:rPr>
          <w:rFonts w:asciiTheme="minorHAnsi" w:eastAsiaTheme="minorEastAsia" w:hAnsiTheme="minorHAnsi" w:cstheme="minorHAnsi"/>
          <w:i/>
        </w:rPr>
        <w:t xml:space="preserve"> 2001</w:t>
      </w:r>
      <w:r w:rsidRPr="00A53EB5">
        <w:rPr>
          <w:rFonts w:asciiTheme="minorHAnsi" w:eastAsiaTheme="minorEastAsia" w:hAnsiTheme="minorHAnsi" w:cstheme="minorHAnsi"/>
        </w:rPr>
        <w:t xml:space="preserve"> which will </w:t>
      </w:r>
      <w:r w:rsidR="0063647C" w:rsidRPr="00A53EB5">
        <w:rPr>
          <w:rFonts w:asciiTheme="minorHAnsi" w:eastAsiaTheme="minorEastAsia" w:hAnsiTheme="minorHAnsi" w:cstheme="minorHAnsi"/>
        </w:rPr>
        <w:t xml:space="preserve">now </w:t>
      </w:r>
      <w:r w:rsidR="0074577F" w:rsidRPr="00A53EB5">
        <w:rPr>
          <w:rFonts w:asciiTheme="minorHAnsi" w:eastAsiaTheme="minorEastAsia" w:hAnsiTheme="minorHAnsi" w:cstheme="minorHAnsi"/>
        </w:rPr>
        <w:t>allow eligible start-ups</w:t>
      </w:r>
      <w:r w:rsidRPr="00A53EB5">
        <w:rPr>
          <w:rFonts w:asciiTheme="minorHAnsi" w:eastAsiaTheme="minorEastAsia" w:hAnsiTheme="minorHAnsi" w:cstheme="minorHAnsi"/>
        </w:rPr>
        <w:t xml:space="preserve"> greater access to</w:t>
      </w:r>
      <w:r w:rsidR="0063647C" w:rsidRPr="00A53EB5">
        <w:rPr>
          <w:rFonts w:asciiTheme="minorHAnsi" w:eastAsiaTheme="minorEastAsia" w:hAnsiTheme="minorHAnsi" w:cstheme="minorHAnsi"/>
        </w:rPr>
        <w:t xml:space="preserve"> a relatively new form of finance which, in the words of one commentator, ‘will democratise the funding of start-ups’</w:t>
      </w:r>
      <w:r w:rsidRPr="00A53EB5">
        <w:rPr>
          <w:rFonts w:asciiTheme="minorHAnsi" w:eastAsiaTheme="minorEastAsia" w:hAnsiTheme="minorHAnsi" w:cstheme="minorHAnsi"/>
        </w:rPr>
        <w:t xml:space="preserve"> </w:t>
      </w:r>
      <w:r w:rsidR="0063647C" w:rsidRPr="00A53EB5">
        <w:rPr>
          <w:rFonts w:asciiTheme="minorHAnsi" w:eastAsiaTheme="minorEastAsia" w:hAnsiTheme="minorHAnsi" w:cstheme="minorHAnsi"/>
        </w:rPr>
        <w:t>(Blanding, 2013</w:t>
      </w:r>
      <w:r w:rsidR="0061776D" w:rsidRPr="00A53EB5">
        <w:rPr>
          <w:rFonts w:asciiTheme="minorHAnsi" w:eastAsiaTheme="minorEastAsia" w:hAnsiTheme="minorHAnsi" w:cstheme="minorHAnsi"/>
        </w:rPr>
        <w:t>)</w:t>
      </w:r>
      <w:r w:rsidR="00315D7B" w:rsidRPr="00A53EB5">
        <w:rPr>
          <w:rFonts w:asciiTheme="minorHAnsi" w:eastAsiaTheme="minorEastAsia" w:hAnsiTheme="minorHAnsi" w:cstheme="minorHAnsi"/>
        </w:rPr>
        <w:t xml:space="preserve">. </w:t>
      </w:r>
      <w:r w:rsidR="004D4B93" w:rsidRPr="00A53EB5">
        <w:rPr>
          <w:rFonts w:asciiTheme="minorHAnsi" w:eastAsiaTheme="minorEastAsia" w:hAnsiTheme="minorHAnsi" w:cstheme="minorHAnsi"/>
        </w:rPr>
        <w:t xml:space="preserve">Moreover, the IPA further supports the reduced compliance and disclosure provisions within the amendments relieving </w:t>
      </w:r>
      <w:r w:rsidR="0074577F" w:rsidRPr="00A53EB5">
        <w:rPr>
          <w:rFonts w:asciiTheme="minorHAnsi" w:eastAsiaTheme="minorEastAsia" w:hAnsiTheme="minorHAnsi" w:cstheme="minorHAnsi"/>
        </w:rPr>
        <w:t xml:space="preserve">unlisted public </w:t>
      </w:r>
      <w:r w:rsidR="004D4B93" w:rsidRPr="00A53EB5">
        <w:rPr>
          <w:rFonts w:asciiTheme="minorHAnsi" w:eastAsiaTheme="minorEastAsia" w:hAnsiTheme="minorHAnsi" w:cstheme="minorHAnsi"/>
        </w:rPr>
        <w:t>companies from significant regulatory burdens over a five year period.</w:t>
      </w:r>
      <w:r w:rsidRPr="00A53EB5">
        <w:rPr>
          <w:rFonts w:asciiTheme="minorHAnsi" w:eastAsiaTheme="minorEastAsia" w:hAnsiTheme="minorHAnsi" w:cstheme="minorHAnsi"/>
        </w:rPr>
        <w:t xml:space="preserve"> </w:t>
      </w:r>
      <w:r w:rsidR="00B24089" w:rsidRPr="00A53EB5">
        <w:rPr>
          <w:rFonts w:asciiTheme="minorHAnsi" w:eastAsiaTheme="minorEastAsia" w:hAnsiTheme="minorHAnsi" w:cstheme="minorHAnsi"/>
        </w:rPr>
        <w:t>The</w:t>
      </w:r>
      <w:r w:rsidR="0063647C" w:rsidRPr="00A53EB5">
        <w:rPr>
          <w:rFonts w:asciiTheme="minorHAnsi" w:eastAsiaTheme="minorEastAsia" w:hAnsiTheme="minorHAnsi" w:cstheme="minorHAnsi"/>
        </w:rPr>
        <w:t xml:space="preserve"> passing of the new</w:t>
      </w:r>
      <w:r w:rsidR="004D4B93" w:rsidRPr="00A53EB5">
        <w:rPr>
          <w:rFonts w:asciiTheme="minorHAnsi" w:eastAsiaTheme="minorEastAsia" w:hAnsiTheme="minorHAnsi" w:cstheme="minorHAnsi"/>
        </w:rPr>
        <w:t xml:space="preserve"> laws</w:t>
      </w:r>
      <w:r w:rsidR="0063647C" w:rsidRPr="00A53EB5">
        <w:rPr>
          <w:rFonts w:asciiTheme="minorHAnsi" w:eastAsiaTheme="minorEastAsia" w:hAnsiTheme="minorHAnsi" w:cstheme="minorHAnsi"/>
        </w:rPr>
        <w:t xml:space="preserve"> is a quantum leap forward for this form of funding and will position Australia </w:t>
      </w:r>
      <w:r w:rsidR="00744A3C" w:rsidRPr="00A53EB5">
        <w:rPr>
          <w:rFonts w:asciiTheme="minorHAnsi" w:eastAsiaTheme="minorEastAsia" w:hAnsiTheme="minorHAnsi" w:cstheme="minorHAnsi"/>
        </w:rPr>
        <w:t xml:space="preserve">alongside several other countries that have </w:t>
      </w:r>
      <w:r w:rsidR="004D4B93" w:rsidRPr="00A53EB5">
        <w:rPr>
          <w:rFonts w:asciiTheme="minorHAnsi" w:eastAsiaTheme="minorEastAsia" w:hAnsiTheme="minorHAnsi" w:cstheme="minorHAnsi"/>
        </w:rPr>
        <w:t xml:space="preserve">already </w:t>
      </w:r>
      <w:r w:rsidR="00744A3C" w:rsidRPr="00A53EB5">
        <w:rPr>
          <w:rFonts w:asciiTheme="minorHAnsi" w:eastAsiaTheme="minorEastAsia" w:hAnsiTheme="minorHAnsi" w:cstheme="minorHAnsi"/>
        </w:rPr>
        <w:t xml:space="preserve">adopted and embraced similar laws and financing regimes, such as for example, the USA, the UK, Canada, and New Zealand along with a host of other European countries. The IPA </w:t>
      </w:r>
      <w:r w:rsidR="00832388" w:rsidRPr="00A53EB5">
        <w:rPr>
          <w:rFonts w:asciiTheme="minorHAnsi" w:eastAsiaTheme="minorEastAsia" w:hAnsiTheme="minorHAnsi" w:cstheme="minorHAnsi"/>
        </w:rPr>
        <w:t>trusts</w:t>
      </w:r>
      <w:r w:rsidR="00744A3C" w:rsidRPr="00A53EB5">
        <w:rPr>
          <w:rFonts w:asciiTheme="minorHAnsi" w:eastAsiaTheme="minorEastAsia" w:hAnsiTheme="minorHAnsi" w:cstheme="minorHAnsi"/>
        </w:rPr>
        <w:t xml:space="preserve"> that the new legislation will change the funding landscape not only for start-ups</w:t>
      </w:r>
      <w:r w:rsidR="00315D7B" w:rsidRPr="00A53EB5">
        <w:rPr>
          <w:rFonts w:asciiTheme="minorHAnsi" w:eastAsiaTheme="minorEastAsia" w:hAnsiTheme="minorHAnsi" w:cstheme="minorHAnsi"/>
        </w:rPr>
        <w:t xml:space="preserve">, but also for established companies that meet the eligibility criteria. To meet the eligibility criteria, a public company must earn less than </w:t>
      </w:r>
      <w:r w:rsidR="004D4B93" w:rsidRPr="00A53EB5">
        <w:rPr>
          <w:rFonts w:asciiTheme="minorHAnsi" w:eastAsiaTheme="minorEastAsia" w:hAnsiTheme="minorHAnsi" w:cstheme="minorHAnsi"/>
        </w:rPr>
        <w:t>$25 million in annual revenue and have less than $25 million in gross assets. Some of the other features of the changes</w:t>
      </w:r>
      <w:r w:rsidR="00E0519D" w:rsidRPr="00A53EB5">
        <w:rPr>
          <w:rFonts w:asciiTheme="minorHAnsi" w:eastAsiaTheme="minorEastAsia" w:hAnsiTheme="minorHAnsi" w:cstheme="minorHAnsi"/>
        </w:rPr>
        <w:t xml:space="preserve"> which the IPA fully endorses, and would</w:t>
      </w:r>
      <w:r w:rsidR="00651A54" w:rsidRPr="00A53EB5">
        <w:rPr>
          <w:rFonts w:asciiTheme="minorHAnsi" w:eastAsiaTheme="minorEastAsia" w:hAnsiTheme="minorHAnsi" w:cstheme="minorHAnsi"/>
        </w:rPr>
        <w:t xml:space="preserve"> be of interest to our members and their clients</w:t>
      </w:r>
      <w:r w:rsidR="00E0519D" w:rsidRPr="00A53EB5">
        <w:rPr>
          <w:rFonts w:asciiTheme="minorHAnsi" w:eastAsiaTheme="minorEastAsia" w:hAnsiTheme="minorHAnsi" w:cstheme="minorHAnsi"/>
        </w:rPr>
        <w:t>,</w:t>
      </w:r>
      <w:r w:rsidR="00651A54" w:rsidRPr="00A53EB5">
        <w:rPr>
          <w:rFonts w:asciiTheme="minorHAnsi" w:eastAsiaTheme="minorEastAsia" w:hAnsiTheme="minorHAnsi" w:cstheme="minorHAnsi"/>
        </w:rPr>
        <w:t xml:space="preserve"> </w:t>
      </w:r>
      <w:r w:rsidR="004D4B93" w:rsidRPr="00A53EB5">
        <w:rPr>
          <w:rFonts w:asciiTheme="minorHAnsi" w:eastAsiaTheme="minorEastAsia" w:hAnsiTheme="minorHAnsi" w:cstheme="minorHAnsi"/>
        </w:rPr>
        <w:t>are briefly listed below:</w:t>
      </w:r>
    </w:p>
    <w:p w:rsidR="00651A54" w:rsidRPr="00A53EB5" w:rsidRDefault="004D4B93" w:rsidP="00247578">
      <w:pPr>
        <w:pStyle w:val="ListParagraph"/>
        <w:numPr>
          <w:ilvl w:val="0"/>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 xml:space="preserve">An </w:t>
      </w:r>
      <w:r w:rsidR="00651A54" w:rsidRPr="00A53EB5">
        <w:rPr>
          <w:rFonts w:asciiTheme="minorHAnsi" w:eastAsiaTheme="minorEastAsia" w:hAnsiTheme="minorHAnsi" w:cstheme="minorHAnsi"/>
          <w:szCs w:val="24"/>
        </w:rPr>
        <w:t>eligible</w:t>
      </w:r>
      <w:r w:rsidRPr="00A53EB5">
        <w:rPr>
          <w:rFonts w:asciiTheme="minorHAnsi" w:eastAsiaTheme="minorEastAsia" w:hAnsiTheme="minorHAnsi" w:cstheme="minorHAnsi"/>
          <w:szCs w:val="24"/>
        </w:rPr>
        <w:t xml:space="preserve"> company can raise up to a maximum of </w:t>
      </w:r>
      <w:r w:rsidR="00651A54" w:rsidRPr="00A53EB5">
        <w:rPr>
          <w:rFonts w:asciiTheme="minorHAnsi" w:eastAsiaTheme="minorEastAsia" w:hAnsiTheme="minorHAnsi" w:cstheme="minorHAnsi"/>
          <w:szCs w:val="24"/>
        </w:rPr>
        <w:t>$5 million in any 12 month period</w:t>
      </w:r>
      <w:r w:rsidR="00485E2E">
        <w:rPr>
          <w:rFonts w:asciiTheme="minorHAnsi" w:eastAsiaTheme="minorEastAsia" w:hAnsiTheme="minorHAnsi" w:cstheme="minorHAnsi"/>
          <w:szCs w:val="24"/>
        </w:rPr>
        <w:t>.</w:t>
      </w:r>
    </w:p>
    <w:p w:rsidR="00651A54" w:rsidRPr="00A53EB5" w:rsidRDefault="00651A54" w:rsidP="00247578">
      <w:pPr>
        <w:pStyle w:val="ListParagraph"/>
        <w:numPr>
          <w:ilvl w:val="0"/>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An eligible company can accept offers from retail investors (with a maximum holding of $10,000 per company for each investor in any 12 month period).</w:t>
      </w:r>
      <w:r w:rsidR="00832388" w:rsidRPr="00A53EB5">
        <w:rPr>
          <w:rFonts w:asciiTheme="minorHAnsi" w:eastAsiaTheme="minorEastAsia" w:hAnsiTheme="minorHAnsi" w:cstheme="minorHAnsi"/>
          <w:szCs w:val="24"/>
        </w:rPr>
        <w:t xml:space="preserve"> A retail investor </w:t>
      </w:r>
      <w:r w:rsidR="00722B21" w:rsidRPr="00A53EB5">
        <w:rPr>
          <w:rFonts w:asciiTheme="minorHAnsi" w:eastAsiaTheme="minorEastAsia" w:hAnsiTheme="minorHAnsi" w:cstheme="minorHAnsi"/>
          <w:szCs w:val="24"/>
        </w:rPr>
        <w:t>could</w:t>
      </w:r>
      <w:r w:rsidR="00832388" w:rsidRPr="00A53EB5">
        <w:rPr>
          <w:rFonts w:asciiTheme="minorHAnsi" w:eastAsiaTheme="minorEastAsia" w:hAnsiTheme="minorHAnsi" w:cstheme="minorHAnsi"/>
          <w:szCs w:val="24"/>
        </w:rPr>
        <w:t xml:space="preserve"> be any member of the public, </w:t>
      </w:r>
      <w:r w:rsidR="00722B21" w:rsidRPr="00A53EB5">
        <w:rPr>
          <w:rFonts w:asciiTheme="minorHAnsi" w:eastAsiaTheme="minorEastAsia" w:hAnsiTheme="minorHAnsi" w:cstheme="minorHAnsi"/>
          <w:szCs w:val="24"/>
        </w:rPr>
        <w:t>and typically could well include the so-called ‘</w:t>
      </w:r>
      <w:r w:rsidR="00722B21" w:rsidRPr="00A53EB5">
        <w:rPr>
          <w:rFonts w:asciiTheme="minorHAnsi" w:eastAsiaTheme="minorEastAsia" w:hAnsiTheme="minorHAnsi" w:cstheme="minorHAnsi"/>
          <w:i/>
          <w:szCs w:val="24"/>
        </w:rPr>
        <w:t>m</w:t>
      </w:r>
      <w:r w:rsidR="008243DC">
        <w:rPr>
          <w:rFonts w:asciiTheme="minorHAnsi" w:eastAsiaTheme="minorEastAsia" w:hAnsiTheme="minorHAnsi" w:cstheme="minorHAnsi"/>
          <w:i/>
          <w:szCs w:val="24"/>
        </w:rPr>
        <w:t>u</w:t>
      </w:r>
      <w:r w:rsidR="00722B21" w:rsidRPr="00A53EB5">
        <w:rPr>
          <w:rFonts w:asciiTheme="minorHAnsi" w:eastAsiaTheme="minorEastAsia" w:hAnsiTheme="minorHAnsi" w:cstheme="minorHAnsi"/>
          <w:i/>
          <w:szCs w:val="24"/>
        </w:rPr>
        <w:t>m and dad</w:t>
      </w:r>
      <w:r w:rsidR="00722B21" w:rsidRPr="00A53EB5">
        <w:rPr>
          <w:rFonts w:asciiTheme="minorHAnsi" w:eastAsiaTheme="minorEastAsia" w:hAnsiTheme="minorHAnsi" w:cstheme="minorHAnsi"/>
          <w:szCs w:val="24"/>
        </w:rPr>
        <w:t>’ investors.</w:t>
      </w:r>
    </w:p>
    <w:p w:rsidR="00722B21" w:rsidRPr="00A53EB5" w:rsidRDefault="00722B21" w:rsidP="00247578">
      <w:pPr>
        <w:pStyle w:val="ListParagraph"/>
        <w:numPr>
          <w:ilvl w:val="0"/>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 xml:space="preserve">Any offers to invest in </w:t>
      </w:r>
      <w:r w:rsidR="00E0519D" w:rsidRPr="00A53EB5">
        <w:rPr>
          <w:rFonts w:asciiTheme="minorHAnsi" w:eastAsiaTheme="minorEastAsia" w:hAnsiTheme="minorHAnsi" w:cstheme="minorHAnsi"/>
          <w:szCs w:val="24"/>
        </w:rPr>
        <w:t xml:space="preserve">a </w:t>
      </w:r>
      <w:r w:rsidRPr="00A53EB5">
        <w:rPr>
          <w:rFonts w:asciiTheme="minorHAnsi" w:eastAsiaTheme="minorEastAsia" w:hAnsiTheme="minorHAnsi" w:cstheme="minorHAnsi"/>
          <w:szCs w:val="24"/>
        </w:rPr>
        <w:t xml:space="preserve">CSF </w:t>
      </w:r>
      <w:r w:rsidR="0066686C" w:rsidRPr="00A53EB5">
        <w:rPr>
          <w:rFonts w:asciiTheme="minorHAnsi" w:eastAsiaTheme="minorEastAsia" w:hAnsiTheme="minorHAnsi" w:cstheme="minorHAnsi"/>
          <w:szCs w:val="24"/>
        </w:rPr>
        <w:t>offe</w:t>
      </w:r>
      <w:r w:rsidR="00E0519D" w:rsidRPr="00A53EB5">
        <w:rPr>
          <w:rFonts w:asciiTheme="minorHAnsi" w:eastAsiaTheme="minorEastAsia" w:hAnsiTheme="minorHAnsi" w:cstheme="minorHAnsi"/>
          <w:szCs w:val="24"/>
        </w:rPr>
        <w:t>r</w:t>
      </w:r>
      <w:r w:rsidRPr="00A53EB5">
        <w:rPr>
          <w:rFonts w:asciiTheme="minorHAnsi" w:eastAsiaTheme="minorEastAsia" w:hAnsiTheme="minorHAnsi" w:cstheme="minorHAnsi"/>
          <w:szCs w:val="24"/>
        </w:rPr>
        <w:t xml:space="preserve"> must be made via a CSF intermediary. The intermediary must hold a current Australian Financial Services Licence along with authorisation to conduct CSF offers.</w:t>
      </w:r>
    </w:p>
    <w:p w:rsidR="002F38AB" w:rsidRPr="00A53EB5" w:rsidRDefault="002F38AB" w:rsidP="00247578">
      <w:pPr>
        <w:pStyle w:val="ListParagraph"/>
        <w:numPr>
          <w:ilvl w:val="0"/>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Investor protections</w:t>
      </w:r>
    </w:p>
    <w:p w:rsidR="002F38AB" w:rsidRPr="00A53EB5" w:rsidRDefault="002F38AB" w:rsidP="002F38AB">
      <w:pPr>
        <w:pStyle w:val="ListParagraph"/>
        <w:numPr>
          <w:ilvl w:val="1"/>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Cooling-off period of 5 days</w:t>
      </w:r>
    </w:p>
    <w:p w:rsidR="002F38AB" w:rsidRPr="00A53EB5" w:rsidRDefault="002F38AB" w:rsidP="002F38AB">
      <w:pPr>
        <w:pStyle w:val="ListParagraph"/>
        <w:numPr>
          <w:ilvl w:val="1"/>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Prohibition of financial assistance for investment in a CSF</w:t>
      </w:r>
    </w:p>
    <w:p w:rsidR="002F38AB" w:rsidRPr="00A53EB5" w:rsidRDefault="002F38AB" w:rsidP="002F38AB">
      <w:pPr>
        <w:pStyle w:val="ListParagraph"/>
        <w:numPr>
          <w:ilvl w:val="1"/>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Accepting risk acknowledgement prior to lodgement of application for shares</w:t>
      </w:r>
    </w:p>
    <w:p w:rsidR="00E0519D" w:rsidRPr="00A53EB5" w:rsidRDefault="00E0519D" w:rsidP="002F38AB">
      <w:pPr>
        <w:pStyle w:val="ListParagraph"/>
        <w:numPr>
          <w:ilvl w:val="1"/>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Civil and criminal liability for defective offer documents</w:t>
      </w:r>
    </w:p>
    <w:p w:rsidR="002F38AB" w:rsidRPr="00A53EB5" w:rsidRDefault="002F38AB" w:rsidP="002F38AB">
      <w:pPr>
        <w:pStyle w:val="ListParagraph"/>
        <w:numPr>
          <w:ilvl w:val="0"/>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Concessions</w:t>
      </w:r>
      <w:r w:rsidR="0074577F" w:rsidRPr="00A53EB5">
        <w:rPr>
          <w:rFonts w:asciiTheme="minorHAnsi" w:eastAsiaTheme="minorEastAsia" w:hAnsiTheme="minorHAnsi" w:cstheme="minorHAnsi"/>
          <w:szCs w:val="24"/>
        </w:rPr>
        <w:t xml:space="preserve"> for unlisted public companies</w:t>
      </w:r>
    </w:p>
    <w:p w:rsidR="002F38AB" w:rsidRPr="00A53EB5" w:rsidRDefault="002F38AB" w:rsidP="002F38AB">
      <w:pPr>
        <w:pStyle w:val="ListParagraph"/>
        <w:numPr>
          <w:ilvl w:val="1"/>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 xml:space="preserve">No holding of </w:t>
      </w:r>
      <w:r w:rsidR="008A73AC" w:rsidRPr="00A53EB5">
        <w:rPr>
          <w:rFonts w:asciiTheme="minorHAnsi" w:eastAsiaTheme="minorEastAsia" w:hAnsiTheme="minorHAnsi" w:cstheme="minorHAnsi"/>
          <w:szCs w:val="24"/>
        </w:rPr>
        <w:t xml:space="preserve">an </w:t>
      </w:r>
      <w:r w:rsidRPr="00A53EB5">
        <w:rPr>
          <w:rFonts w:asciiTheme="minorHAnsi" w:eastAsiaTheme="minorEastAsia" w:hAnsiTheme="minorHAnsi" w:cstheme="minorHAnsi"/>
          <w:szCs w:val="24"/>
        </w:rPr>
        <w:t>AGM</w:t>
      </w:r>
    </w:p>
    <w:p w:rsidR="002F38AB" w:rsidRPr="00A53EB5" w:rsidRDefault="00E0519D" w:rsidP="002F38AB">
      <w:pPr>
        <w:pStyle w:val="ListParagraph"/>
        <w:numPr>
          <w:ilvl w:val="1"/>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Ability</w:t>
      </w:r>
      <w:r w:rsidR="002F38AB" w:rsidRPr="00A53EB5">
        <w:rPr>
          <w:rFonts w:asciiTheme="minorHAnsi" w:eastAsiaTheme="minorEastAsia" w:hAnsiTheme="minorHAnsi" w:cstheme="minorHAnsi"/>
          <w:szCs w:val="24"/>
        </w:rPr>
        <w:t xml:space="preserve"> to provide required reports online</w:t>
      </w:r>
    </w:p>
    <w:p w:rsidR="002F38AB" w:rsidRPr="00A53EB5" w:rsidRDefault="002F38AB" w:rsidP="002F38AB">
      <w:pPr>
        <w:pStyle w:val="ListParagraph"/>
        <w:numPr>
          <w:ilvl w:val="1"/>
          <w:numId w:val="6"/>
        </w:numPr>
        <w:spacing w:after="200" w:line="288" w:lineRule="auto"/>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No need to appoint an auditor if CSF offer is less than $1</w:t>
      </w:r>
    </w:p>
    <w:p w:rsidR="002F38AB" w:rsidRPr="00A53EB5" w:rsidRDefault="002F38AB" w:rsidP="002F38AB">
      <w:pPr>
        <w:pStyle w:val="ListParagraph"/>
        <w:spacing w:after="200" w:line="288" w:lineRule="auto"/>
        <w:ind w:left="1908"/>
        <w:jc w:val="both"/>
        <w:rPr>
          <w:rFonts w:asciiTheme="minorHAnsi" w:eastAsiaTheme="minorEastAsia" w:hAnsiTheme="minorHAnsi" w:cstheme="minorHAnsi"/>
          <w:szCs w:val="24"/>
        </w:rPr>
      </w:pPr>
    </w:p>
    <w:p w:rsidR="0078636B" w:rsidRPr="00A53EB5" w:rsidRDefault="0078636B" w:rsidP="0078636B">
      <w:pPr>
        <w:spacing w:after="200" w:line="288" w:lineRule="auto"/>
        <w:ind w:firstLine="468"/>
        <w:contextualSpacing/>
        <w:jc w:val="both"/>
        <w:rPr>
          <w:rFonts w:asciiTheme="minorHAnsi" w:eastAsiaTheme="minorEastAsia" w:hAnsiTheme="minorHAnsi" w:cstheme="minorHAnsi"/>
          <w:b/>
          <w:i/>
        </w:rPr>
      </w:pPr>
      <w:r w:rsidRPr="00A53EB5">
        <w:rPr>
          <w:rFonts w:asciiTheme="minorHAnsi" w:eastAsiaTheme="minorEastAsia" w:hAnsiTheme="minorHAnsi" w:cstheme="minorHAnsi"/>
          <w:b/>
          <w:i/>
        </w:rPr>
        <w:t>Proposed CSF legislation</w:t>
      </w:r>
    </w:p>
    <w:p w:rsidR="00E0519D" w:rsidRPr="00A53EB5" w:rsidRDefault="0078636B" w:rsidP="0078636B">
      <w:pPr>
        <w:pStyle w:val="ListParagraph"/>
        <w:spacing w:after="200" w:line="288" w:lineRule="auto"/>
        <w:ind w:left="468"/>
        <w:jc w:val="both"/>
        <w:rPr>
          <w:rFonts w:asciiTheme="minorHAnsi" w:eastAsiaTheme="minorEastAsia" w:hAnsiTheme="minorHAnsi" w:cstheme="minorHAnsi"/>
          <w:szCs w:val="24"/>
        </w:rPr>
      </w:pPr>
      <w:r w:rsidRPr="00A53EB5">
        <w:rPr>
          <w:rFonts w:asciiTheme="minorHAnsi" w:eastAsiaTheme="minorEastAsia" w:hAnsiTheme="minorHAnsi" w:cstheme="minorHAnsi"/>
          <w:szCs w:val="24"/>
        </w:rPr>
        <w:t>Notwithstanding IPA’s support (and related commentary) for the recently enacted legislation above, the IPA does acknowledge that in their current form, the new laws ha</w:t>
      </w:r>
      <w:r w:rsidR="001F4F6C" w:rsidRPr="00A53EB5">
        <w:rPr>
          <w:rFonts w:asciiTheme="minorHAnsi" w:eastAsiaTheme="minorEastAsia" w:hAnsiTheme="minorHAnsi" w:cstheme="minorHAnsi"/>
          <w:szCs w:val="24"/>
        </w:rPr>
        <w:t xml:space="preserve">ve </w:t>
      </w:r>
      <w:r w:rsidRPr="00A53EB5">
        <w:rPr>
          <w:rFonts w:asciiTheme="minorHAnsi" w:eastAsiaTheme="minorEastAsia" w:hAnsiTheme="minorHAnsi" w:cstheme="minorHAnsi"/>
          <w:szCs w:val="24"/>
        </w:rPr>
        <w:t>the consequential effect of restraining a more predominant corporate form, and perhaps a form more representative of new entrepreneurs and start-ups in Australia. We refer of course, to the proprietary company form</w:t>
      </w:r>
      <w:r w:rsidR="001F4F6C" w:rsidRPr="00A53EB5">
        <w:rPr>
          <w:rFonts w:asciiTheme="minorHAnsi" w:eastAsiaTheme="minorEastAsia" w:hAnsiTheme="minorHAnsi" w:cstheme="minorHAnsi"/>
          <w:szCs w:val="24"/>
        </w:rPr>
        <w:t>. And so, given recent parliamentary endeavours, we are delighted that similar</w:t>
      </w:r>
      <w:r w:rsidR="00F979AE" w:rsidRPr="00A53EB5">
        <w:rPr>
          <w:rFonts w:asciiTheme="minorHAnsi" w:eastAsiaTheme="minorEastAsia" w:hAnsiTheme="minorHAnsi" w:cstheme="minorHAnsi"/>
          <w:szCs w:val="24"/>
        </w:rPr>
        <w:t>, yet more</w:t>
      </w:r>
      <w:r w:rsidR="001F4F6C" w:rsidRPr="00A53EB5">
        <w:rPr>
          <w:rFonts w:asciiTheme="minorHAnsi" w:eastAsiaTheme="minorEastAsia" w:hAnsiTheme="minorHAnsi" w:cstheme="minorHAnsi"/>
          <w:szCs w:val="24"/>
        </w:rPr>
        <w:t xml:space="preserve"> measured provisions are now being proposed by government via The </w:t>
      </w:r>
      <w:r w:rsidR="001F4F6C" w:rsidRPr="00A53EB5">
        <w:rPr>
          <w:rFonts w:asciiTheme="minorHAnsi" w:eastAsiaTheme="minorEastAsia" w:hAnsiTheme="minorHAnsi" w:cstheme="minorHAnsi"/>
          <w:i/>
          <w:szCs w:val="24"/>
        </w:rPr>
        <w:t>Corporations Amendment</w:t>
      </w:r>
      <w:r w:rsidR="001F4F6C" w:rsidRPr="00A53EB5">
        <w:rPr>
          <w:rFonts w:asciiTheme="minorHAnsi" w:eastAsiaTheme="minorEastAsia" w:hAnsiTheme="minorHAnsi" w:cstheme="minorHAnsi"/>
          <w:szCs w:val="24"/>
        </w:rPr>
        <w:t xml:space="preserve"> </w:t>
      </w:r>
      <w:r w:rsidR="001F4F6C" w:rsidRPr="00A53EB5">
        <w:rPr>
          <w:rFonts w:asciiTheme="minorHAnsi" w:eastAsiaTheme="minorEastAsia" w:hAnsiTheme="minorHAnsi" w:cstheme="minorHAnsi"/>
          <w:i/>
          <w:szCs w:val="24"/>
        </w:rPr>
        <w:t>(Crowd-Sourced Funding for Proprietary Companies)</w:t>
      </w:r>
      <w:r w:rsidR="001F4F6C" w:rsidRPr="00A53EB5">
        <w:rPr>
          <w:rFonts w:asciiTheme="minorHAnsi" w:eastAsiaTheme="minorEastAsia" w:hAnsiTheme="minorHAnsi" w:cstheme="minorHAnsi"/>
          <w:szCs w:val="24"/>
        </w:rPr>
        <w:t xml:space="preserve"> Bill 2017 (</w:t>
      </w:r>
      <w:r w:rsidR="005D3BA4" w:rsidRPr="00A53EB5">
        <w:rPr>
          <w:rFonts w:asciiTheme="minorHAnsi" w:eastAsiaTheme="minorEastAsia" w:hAnsiTheme="minorHAnsi" w:cstheme="minorHAnsi"/>
          <w:szCs w:val="24"/>
        </w:rPr>
        <w:t>CSF B</w:t>
      </w:r>
      <w:r w:rsidR="001F4F6C" w:rsidRPr="00A53EB5">
        <w:rPr>
          <w:rFonts w:asciiTheme="minorHAnsi" w:eastAsiaTheme="minorEastAsia" w:hAnsiTheme="minorHAnsi" w:cstheme="minorHAnsi"/>
          <w:szCs w:val="24"/>
        </w:rPr>
        <w:t xml:space="preserve">ill). These proposed changes address one of the major criticisms of the new laws which prevented private companies from </w:t>
      </w:r>
      <w:r w:rsidR="00705B4C" w:rsidRPr="00A53EB5">
        <w:rPr>
          <w:rFonts w:asciiTheme="minorHAnsi" w:eastAsiaTheme="minorEastAsia" w:hAnsiTheme="minorHAnsi" w:cstheme="minorHAnsi"/>
          <w:szCs w:val="24"/>
        </w:rPr>
        <w:t xml:space="preserve">participating and </w:t>
      </w:r>
      <w:r w:rsidR="001F4F6C" w:rsidRPr="00A53EB5">
        <w:rPr>
          <w:rFonts w:asciiTheme="minorHAnsi" w:eastAsiaTheme="minorEastAsia" w:hAnsiTheme="minorHAnsi" w:cstheme="minorHAnsi"/>
          <w:szCs w:val="24"/>
        </w:rPr>
        <w:t xml:space="preserve">enjoying the benefits of engaging in CSF offers. As the law currently stands, </w:t>
      </w:r>
      <w:r w:rsidR="00705B4C" w:rsidRPr="00A53EB5">
        <w:rPr>
          <w:rFonts w:asciiTheme="minorHAnsi" w:eastAsiaTheme="minorEastAsia" w:hAnsiTheme="minorHAnsi" w:cstheme="minorHAnsi"/>
          <w:szCs w:val="24"/>
        </w:rPr>
        <w:t xml:space="preserve">due to the well embedded ‘50-member’ restriction, the only mechanism which would allow </w:t>
      </w:r>
      <w:r w:rsidR="00F74162" w:rsidRPr="00A53EB5">
        <w:rPr>
          <w:rFonts w:asciiTheme="minorHAnsi" w:eastAsiaTheme="minorEastAsia" w:hAnsiTheme="minorHAnsi" w:cstheme="minorHAnsi"/>
          <w:szCs w:val="24"/>
        </w:rPr>
        <w:t xml:space="preserve">existing </w:t>
      </w:r>
      <w:r w:rsidR="00705B4C" w:rsidRPr="00A53EB5">
        <w:rPr>
          <w:rFonts w:asciiTheme="minorHAnsi" w:eastAsiaTheme="minorEastAsia" w:hAnsiTheme="minorHAnsi" w:cstheme="minorHAnsi"/>
          <w:szCs w:val="24"/>
        </w:rPr>
        <w:t>proprietary companies to partake in CSF activities, is to firstly morph from a proprietary company to a public company</w:t>
      </w:r>
      <w:r w:rsidR="00F979AE" w:rsidRPr="00A53EB5">
        <w:rPr>
          <w:rFonts w:asciiTheme="minorHAnsi" w:eastAsiaTheme="minorEastAsia" w:hAnsiTheme="minorHAnsi" w:cstheme="minorHAnsi"/>
          <w:szCs w:val="24"/>
        </w:rPr>
        <w:t xml:space="preserve"> and then be eligible to engage in CSF activities (assuming of course, that all of the other eligibility criteria set out in the legislation are met</w:t>
      </w:r>
      <w:r w:rsidR="00147E13" w:rsidRPr="00A53EB5">
        <w:rPr>
          <w:rFonts w:asciiTheme="minorHAnsi" w:eastAsiaTheme="minorEastAsia" w:hAnsiTheme="minorHAnsi" w:cstheme="minorHAnsi"/>
          <w:szCs w:val="24"/>
        </w:rPr>
        <w:t xml:space="preserve">, for example revenue </w:t>
      </w:r>
      <w:r w:rsidR="00F979AE" w:rsidRPr="00A53EB5">
        <w:rPr>
          <w:rFonts w:asciiTheme="minorHAnsi" w:eastAsiaTheme="minorEastAsia" w:hAnsiTheme="minorHAnsi" w:cstheme="minorHAnsi"/>
          <w:szCs w:val="24"/>
        </w:rPr>
        <w:t>and asset monetary thresholds)</w:t>
      </w:r>
      <w:r w:rsidR="0066686C" w:rsidRPr="00A53EB5">
        <w:rPr>
          <w:rFonts w:asciiTheme="minorHAnsi" w:eastAsiaTheme="minorEastAsia" w:hAnsiTheme="minorHAnsi" w:cstheme="minorHAnsi"/>
          <w:szCs w:val="24"/>
        </w:rPr>
        <w:t>.</w:t>
      </w:r>
      <w:r w:rsidR="00F74162" w:rsidRPr="00A53EB5">
        <w:rPr>
          <w:rFonts w:asciiTheme="minorHAnsi" w:eastAsiaTheme="minorEastAsia" w:hAnsiTheme="minorHAnsi" w:cstheme="minorHAnsi"/>
          <w:szCs w:val="24"/>
        </w:rPr>
        <w:t xml:space="preserve"> Moreover, any new start-ups that wish to reap the benefits of the new CSF regime, would first need to register as a public company, a decision on structural form</w:t>
      </w:r>
      <w:r w:rsidR="003B6BC0" w:rsidRPr="00A53EB5">
        <w:rPr>
          <w:rFonts w:asciiTheme="minorHAnsi" w:eastAsiaTheme="minorEastAsia" w:hAnsiTheme="minorHAnsi" w:cstheme="minorHAnsi"/>
          <w:szCs w:val="24"/>
        </w:rPr>
        <w:t>, which in many cases</w:t>
      </w:r>
      <w:r w:rsidR="00F74162" w:rsidRPr="00A53EB5">
        <w:rPr>
          <w:rFonts w:asciiTheme="minorHAnsi" w:eastAsiaTheme="minorEastAsia" w:hAnsiTheme="minorHAnsi" w:cstheme="minorHAnsi"/>
          <w:szCs w:val="24"/>
        </w:rPr>
        <w:t xml:space="preserve"> may not be appropriate in the early stages of developing a new business.</w:t>
      </w:r>
    </w:p>
    <w:p w:rsidR="0066686C" w:rsidRPr="00A53EB5" w:rsidRDefault="0066686C" w:rsidP="0078636B">
      <w:pPr>
        <w:pStyle w:val="ListParagraph"/>
        <w:spacing w:after="200" w:line="288" w:lineRule="auto"/>
        <w:ind w:left="468"/>
        <w:jc w:val="both"/>
        <w:rPr>
          <w:rFonts w:asciiTheme="minorHAnsi" w:eastAsiaTheme="minorEastAsia" w:hAnsiTheme="minorHAnsi" w:cstheme="minorHAnsi"/>
          <w:szCs w:val="24"/>
        </w:rPr>
      </w:pPr>
    </w:p>
    <w:p w:rsidR="00D32953" w:rsidRPr="00A53EB5" w:rsidRDefault="0066686C" w:rsidP="00F74162">
      <w:pPr>
        <w:spacing w:after="200" w:line="288" w:lineRule="auto"/>
        <w:ind w:left="468"/>
        <w:contextualSpacing/>
        <w:jc w:val="both"/>
        <w:rPr>
          <w:rFonts w:asciiTheme="minorHAnsi" w:eastAsiaTheme="minorEastAsia" w:hAnsiTheme="minorHAnsi" w:cstheme="minorHAnsi"/>
        </w:rPr>
      </w:pPr>
      <w:r w:rsidRPr="00A53EB5">
        <w:rPr>
          <w:rFonts w:asciiTheme="minorHAnsi" w:eastAsiaTheme="minorEastAsia" w:hAnsiTheme="minorHAnsi" w:cstheme="minorHAnsi"/>
        </w:rPr>
        <w:t xml:space="preserve">As with the new CSF laws relating to public companies, the IPA fully endorses the proposed measures, with some minor exceptions detailed in commentary below. </w:t>
      </w:r>
      <w:r w:rsidR="00346826" w:rsidRPr="00A53EB5">
        <w:rPr>
          <w:rFonts w:asciiTheme="minorHAnsi" w:eastAsiaTheme="minorEastAsia" w:hAnsiTheme="minorHAnsi" w:cstheme="minorHAnsi"/>
        </w:rPr>
        <w:t>For the benefit of o</w:t>
      </w:r>
      <w:r w:rsidR="00D940AE" w:rsidRPr="00A53EB5">
        <w:rPr>
          <w:rFonts w:asciiTheme="minorHAnsi" w:eastAsiaTheme="minorEastAsia" w:hAnsiTheme="minorHAnsi" w:cstheme="minorHAnsi"/>
        </w:rPr>
        <w:t>ur membership, we would like to reiterate our understanding of the proposed laws in the current bill</w:t>
      </w:r>
      <w:r w:rsidR="00346826" w:rsidRPr="00A53EB5">
        <w:rPr>
          <w:rFonts w:asciiTheme="minorHAnsi" w:eastAsiaTheme="minorEastAsia" w:hAnsiTheme="minorHAnsi" w:cstheme="minorHAnsi"/>
        </w:rPr>
        <w:t xml:space="preserve"> and explanatory memorandum, and comment according to the major features of the proposed changes. </w:t>
      </w:r>
    </w:p>
    <w:p w:rsidR="00D32953" w:rsidRPr="00A53EB5" w:rsidRDefault="00D32953" w:rsidP="00F74162">
      <w:pPr>
        <w:spacing w:after="200" w:line="288" w:lineRule="auto"/>
        <w:ind w:left="468"/>
        <w:contextualSpacing/>
        <w:jc w:val="both"/>
        <w:rPr>
          <w:rFonts w:asciiTheme="minorHAnsi" w:eastAsiaTheme="minorEastAsia" w:hAnsiTheme="minorHAnsi" w:cstheme="minorHAnsi"/>
        </w:rPr>
      </w:pPr>
    </w:p>
    <w:p w:rsidR="005D3BA4" w:rsidRPr="00A53EB5" w:rsidRDefault="005D3BA4" w:rsidP="00B604BB">
      <w:pPr>
        <w:pStyle w:val="ListParagraph"/>
        <w:numPr>
          <w:ilvl w:val="0"/>
          <w:numId w:val="5"/>
        </w:numPr>
        <w:spacing w:after="200" w:line="288" w:lineRule="auto"/>
        <w:jc w:val="both"/>
        <w:rPr>
          <w:rFonts w:asciiTheme="minorHAnsi" w:eastAsiaTheme="minorEastAsia" w:hAnsiTheme="minorHAnsi" w:cstheme="minorHAnsi"/>
          <w:b/>
          <w:color w:val="E36C0A" w:themeColor="accent6" w:themeShade="BF"/>
          <w:szCs w:val="24"/>
        </w:rPr>
      </w:pPr>
      <w:r w:rsidRPr="00A53EB5">
        <w:rPr>
          <w:rFonts w:asciiTheme="minorHAnsi" w:eastAsiaTheme="minorEastAsia" w:hAnsiTheme="minorHAnsi" w:cstheme="minorHAnsi"/>
          <w:b/>
          <w:color w:val="E36C0A" w:themeColor="accent6" w:themeShade="BF"/>
          <w:szCs w:val="24"/>
        </w:rPr>
        <w:t>What the changes will mean for proprietary companies</w:t>
      </w:r>
    </w:p>
    <w:p w:rsidR="00661530" w:rsidRPr="00A53EB5" w:rsidRDefault="005D3BA4" w:rsidP="00D63E89">
      <w:pPr>
        <w:pStyle w:val="Heading1"/>
        <w:spacing w:before="0" w:line="288" w:lineRule="atLeast"/>
        <w:ind w:left="468"/>
        <w:jc w:val="both"/>
        <w:textAlignment w:val="baseline"/>
        <w:rPr>
          <w:rFonts w:asciiTheme="minorHAnsi" w:eastAsiaTheme="minorEastAsia" w:hAnsiTheme="minorHAnsi" w:cstheme="minorHAnsi"/>
          <w:b w:val="0"/>
          <w:sz w:val="24"/>
          <w:szCs w:val="24"/>
        </w:rPr>
      </w:pPr>
      <w:r w:rsidRPr="00A53EB5">
        <w:rPr>
          <w:rFonts w:asciiTheme="minorHAnsi" w:eastAsiaTheme="minorEastAsia" w:hAnsiTheme="minorHAnsi" w:cstheme="minorHAnsi"/>
          <w:b w:val="0"/>
          <w:sz w:val="24"/>
          <w:szCs w:val="24"/>
        </w:rPr>
        <w:t xml:space="preserve">As briefly mentioned above, the CSF Bill will extend the current CSF funding regime applicable to public companies, to proprietary companies </w:t>
      </w:r>
      <w:r w:rsidR="005118D0" w:rsidRPr="00A53EB5">
        <w:rPr>
          <w:rFonts w:asciiTheme="minorHAnsi" w:eastAsiaTheme="minorEastAsia" w:hAnsiTheme="minorHAnsi" w:cstheme="minorHAnsi"/>
          <w:b w:val="0"/>
          <w:sz w:val="24"/>
          <w:szCs w:val="24"/>
        </w:rPr>
        <w:t xml:space="preserve"> that meet the eligibility criteria which are </w:t>
      </w:r>
      <w:r w:rsidR="0074577F" w:rsidRPr="00A53EB5">
        <w:rPr>
          <w:rFonts w:asciiTheme="minorHAnsi" w:eastAsiaTheme="minorEastAsia" w:hAnsiTheme="minorHAnsi" w:cstheme="minorHAnsi"/>
          <w:b w:val="0"/>
          <w:sz w:val="24"/>
          <w:szCs w:val="24"/>
        </w:rPr>
        <w:t xml:space="preserve">basically </w:t>
      </w:r>
      <w:r w:rsidR="005118D0" w:rsidRPr="00A53EB5">
        <w:rPr>
          <w:rFonts w:asciiTheme="minorHAnsi" w:eastAsiaTheme="minorEastAsia" w:hAnsiTheme="minorHAnsi" w:cstheme="minorHAnsi"/>
          <w:b w:val="0"/>
          <w:sz w:val="24"/>
          <w:szCs w:val="24"/>
        </w:rPr>
        <w:t xml:space="preserve">the same as those for a public company making a CSF offer (except that in the </w:t>
      </w:r>
      <w:r w:rsidR="00B95FF1" w:rsidRPr="00A53EB5">
        <w:rPr>
          <w:rFonts w:asciiTheme="minorHAnsi" w:eastAsiaTheme="minorEastAsia" w:hAnsiTheme="minorHAnsi" w:cstheme="minorHAnsi"/>
          <w:b w:val="0"/>
          <w:sz w:val="24"/>
          <w:szCs w:val="24"/>
        </w:rPr>
        <w:t>case</w:t>
      </w:r>
      <w:r w:rsidR="005118D0" w:rsidRPr="00A53EB5">
        <w:rPr>
          <w:rFonts w:asciiTheme="minorHAnsi" w:eastAsiaTheme="minorEastAsia" w:hAnsiTheme="minorHAnsi" w:cstheme="minorHAnsi"/>
          <w:b w:val="0"/>
          <w:sz w:val="24"/>
          <w:szCs w:val="24"/>
        </w:rPr>
        <w:t xml:space="preserve"> of a proprietary company, the company must have at least two </w:t>
      </w:r>
      <w:r w:rsidR="00B95FF1" w:rsidRPr="00A53EB5">
        <w:rPr>
          <w:rFonts w:asciiTheme="minorHAnsi" w:eastAsiaTheme="minorEastAsia" w:hAnsiTheme="minorHAnsi" w:cstheme="minorHAnsi"/>
          <w:b w:val="0"/>
          <w:sz w:val="24"/>
          <w:szCs w:val="24"/>
        </w:rPr>
        <w:t>directors</w:t>
      </w:r>
      <w:r w:rsidR="005118D0" w:rsidRPr="00A53EB5">
        <w:rPr>
          <w:rFonts w:asciiTheme="minorHAnsi" w:eastAsiaTheme="minorEastAsia" w:hAnsiTheme="minorHAnsi" w:cstheme="minorHAnsi"/>
          <w:b w:val="0"/>
          <w:sz w:val="24"/>
          <w:szCs w:val="24"/>
        </w:rPr>
        <w:t xml:space="preserve">). </w:t>
      </w:r>
    </w:p>
    <w:p w:rsidR="00661530" w:rsidRPr="00A53EB5" w:rsidRDefault="00661530" w:rsidP="00D63E89">
      <w:pPr>
        <w:pStyle w:val="Heading1"/>
        <w:spacing w:before="0" w:line="288" w:lineRule="atLeast"/>
        <w:ind w:left="468"/>
        <w:jc w:val="both"/>
        <w:textAlignment w:val="baseline"/>
        <w:rPr>
          <w:rFonts w:asciiTheme="minorHAnsi" w:eastAsiaTheme="minorEastAsia" w:hAnsiTheme="minorHAnsi" w:cstheme="minorHAnsi"/>
          <w:b w:val="0"/>
          <w:i/>
          <w:sz w:val="24"/>
          <w:szCs w:val="24"/>
        </w:rPr>
      </w:pPr>
    </w:p>
    <w:p w:rsidR="00284B89" w:rsidRPr="00A53EB5" w:rsidRDefault="00284B89" w:rsidP="00D63E89">
      <w:pPr>
        <w:pStyle w:val="Heading1"/>
        <w:spacing w:before="0" w:line="288" w:lineRule="atLeast"/>
        <w:ind w:left="468"/>
        <w:jc w:val="both"/>
        <w:textAlignment w:val="baseline"/>
        <w:rPr>
          <w:rFonts w:asciiTheme="minorHAnsi" w:eastAsiaTheme="minorEastAsia" w:hAnsiTheme="minorHAnsi" w:cstheme="minorHAnsi"/>
          <w:b w:val="0"/>
          <w:i/>
          <w:sz w:val="24"/>
          <w:szCs w:val="24"/>
        </w:rPr>
      </w:pPr>
      <w:r w:rsidRPr="00A53EB5">
        <w:rPr>
          <w:rFonts w:asciiTheme="minorHAnsi" w:eastAsiaTheme="minorEastAsia" w:hAnsiTheme="minorHAnsi" w:cstheme="minorHAnsi"/>
          <w:b w:val="0"/>
          <w:i/>
          <w:sz w:val="24"/>
          <w:szCs w:val="24"/>
        </w:rPr>
        <w:t xml:space="preserve">Commentary on eligibility – </w:t>
      </w:r>
      <w:r w:rsidR="007E1F5E">
        <w:rPr>
          <w:rFonts w:asciiTheme="minorHAnsi" w:eastAsiaTheme="minorEastAsia" w:hAnsiTheme="minorHAnsi" w:cstheme="minorHAnsi"/>
          <w:b w:val="0"/>
          <w:i/>
          <w:sz w:val="24"/>
          <w:szCs w:val="24"/>
        </w:rPr>
        <w:t>r</w:t>
      </w:r>
      <w:r w:rsidRPr="00A53EB5">
        <w:rPr>
          <w:rFonts w:asciiTheme="minorHAnsi" w:eastAsiaTheme="minorEastAsia" w:hAnsiTheme="minorHAnsi" w:cstheme="minorHAnsi"/>
          <w:b w:val="0"/>
          <w:i/>
          <w:sz w:val="24"/>
          <w:szCs w:val="24"/>
        </w:rPr>
        <w:t xml:space="preserve">evenue and </w:t>
      </w:r>
      <w:r w:rsidR="007E1F5E">
        <w:rPr>
          <w:rFonts w:asciiTheme="minorHAnsi" w:eastAsiaTheme="minorEastAsia" w:hAnsiTheme="minorHAnsi" w:cstheme="minorHAnsi"/>
          <w:b w:val="0"/>
          <w:i/>
          <w:sz w:val="24"/>
          <w:szCs w:val="24"/>
        </w:rPr>
        <w:t>a</w:t>
      </w:r>
      <w:r w:rsidRPr="00A53EB5">
        <w:rPr>
          <w:rFonts w:asciiTheme="minorHAnsi" w:eastAsiaTheme="minorEastAsia" w:hAnsiTheme="minorHAnsi" w:cstheme="minorHAnsi"/>
          <w:b w:val="0"/>
          <w:i/>
          <w:sz w:val="24"/>
          <w:szCs w:val="24"/>
        </w:rPr>
        <w:t>sset thresholds</w:t>
      </w:r>
    </w:p>
    <w:p w:rsidR="00284B89" w:rsidRPr="00A53EB5" w:rsidRDefault="00284B89" w:rsidP="00D63E89">
      <w:pPr>
        <w:pStyle w:val="Heading1"/>
        <w:spacing w:before="0" w:line="288" w:lineRule="atLeast"/>
        <w:ind w:left="468"/>
        <w:jc w:val="both"/>
        <w:textAlignment w:val="baseline"/>
        <w:rPr>
          <w:rFonts w:asciiTheme="minorHAnsi" w:eastAsiaTheme="minorEastAsia" w:hAnsiTheme="minorHAnsi" w:cstheme="minorHAnsi"/>
          <w:b w:val="0"/>
          <w:i/>
          <w:sz w:val="24"/>
          <w:szCs w:val="24"/>
        </w:rPr>
      </w:pPr>
    </w:p>
    <w:p w:rsidR="00284B89" w:rsidRPr="00A53EB5" w:rsidRDefault="00D63E89" w:rsidP="00D63E89">
      <w:pPr>
        <w:pStyle w:val="Heading1"/>
        <w:spacing w:before="0" w:line="288" w:lineRule="atLeast"/>
        <w:ind w:left="468"/>
        <w:jc w:val="both"/>
        <w:textAlignment w:val="baseline"/>
        <w:rPr>
          <w:rFonts w:asciiTheme="minorHAnsi" w:eastAsiaTheme="minorEastAsia" w:hAnsiTheme="minorHAnsi" w:cstheme="minorHAnsi"/>
          <w:b w:val="0"/>
          <w:sz w:val="24"/>
          <w:szCs w:val="24"/>
        </w:rPr>
      </w:pPr>
      <w:r w:rsidRPr="00A53EB5">
        <w:rPr>
          <w:rFonts w:asciiTheme="minorHAnsi" w:eastAsiaTheme="minorEastAsia" w:hAnsiTheme="minorHAnsi" w:cstheme="minorHAnsi"/>
          <w:b w:val="0"/>
          <w:sz w:val="24"/>
          <w:szCs w:val="24"/>
        </w:rPr>
        <w:t>We note that to be eligible to make a CSF offer, a company must satisfy a number of criteria, including having less than $25 million in gross consolidated assets, or $25 million in consolidated annual revenue at the ‘</w:t>
      </w:r>
      <w:r w:rsidRPr="00A53EB5">
        <w:rPr>
          <w:rFonts w:asciiTheme="minorHAnsi" w:eastAsiaTheme="minorEastAsia" w:hAnsiTheme="minorHAnsi" w:cstheme="minorHAnsi"/>
          <w:b w:val="0"/>
          <w:i/>
          <w:sz w:val="24"/>
          <w:szCs w:val="24"/>
        </w:rPr>
        <w:t>test time’</w:t>
      </w:r>
      <w:r w:rsidRPr="00A53EB5">
        <w:rPr>
          <w:rFonts w:asciiTheme="minorHAnsi" w:eastAsiaTheme="minorEastAsia" w:hAnsiTheme="minorHAnsi" w:cstheme="minorHAnsi"/>
          <w:b w:val="0"/>
          <w:sz w:val="24"/>
          <w:szCs w:val="24"/>
        </w:rPr>
        <w:t xml:space="preserve">. We assume that test time means, the time that the offer is made. This being the case, </w:t>
      </w:r>
      <w:r w:rsidR="0074577F" w:rsidRPr="00A53EB5">
        <w:rPr>
          <w:rFonts w:asciiTheme="minorHAnsi" w:eastAsiaTheme="minorEastAsia" w:hAnsiTheme="minorHAnsi" w:cstheme="minorHAnsi"/>
          <w:b w:val="0"/>
          <w:sz w:val="24"/>
          <w:szCs w:val="24"/>
        </w:rPr>
        <w:t xml:space="preserve">we ask whether </w:t>
      </w:r>
      <w:r w:rsidRPr="00A53EB5">
        <w:rPr>
          <w:rFonts w:asciiTheme="minorHAnsi" w:eastAsiaTheme="minorEastAsia" w:hAnsiTheme="minorHAnsi" w:cstheme="minorHAnsi"/>
          <w:b w:val="0"/>
          <w:sz w:val="24"/>
          <w:szCs w:val="24"/>
        </w:rPr>
        <w:t>th</w:t>
      </w:r>
      <w:r w:rsidR="0074577F" w:rsidRPr="00A53EB5">
        <w:rPr>
          <w:rFonts w:asciiTheme="minorHAnsi" w:eastAsiaTheme="minorEastAsia" w:hAnsiTheme="minorHAnsi" w:cstheme="minorHAnsi"/>
          <w:b w:val="0"/>
          <w:sz w:val="24"/>
          <w:szCs w:val="24"/>
        </w:rPr>
        <w:t>e</w:t>
      </w:r>
      <w:r w:rsidRPr="00A53EB5">
        <w:rPr>
          <w:rFonts w:asciiTheme="minorHAnsi" w:eastAsiaTheme="minorEastAsia" w:hAnsiTheme="minorHAnsi" w:cstheme="minorHAnsi"/>
          <w:b w:val="0"/>
          <w:sz w:val="24"/>
          <w:szCs w:val="24"/>
        </w:rPr>
        <w:t xml:space="preserve"> criteria </w:t>
      </w:r>
      <w:r w:rsidR="0074577F" w:rsidRPr="00A53EB5">
        <w:rPr>
          <w:rFonts w:asciiTheme="minorHAnsi" w:eastAsiaTheme="minorEastAsia" w:hAnsiTheme="minorHAnsi" w:cstheme="minorHAnsi"/>
          <w:b w:val="0"/>
          <w:sz w:val="24"/>
          <w:szCs w:val="24"/>
        </w:rPr>
        <w:t xml:space="preserve">are </w:t>
      </w:r>
      <w:r w:rsidRPr="00A53EB5">
        <w:rPr>
          <w:rFonts w:asciiTheme="minorHAnsi" w:eastAsiaTheme="minorEastAsia" w:hAnsiTheme="minorHAnsi" w:cstheme="minorHAnsi"/>
          <w:b w:val="0"/>
          <w:sz w:val="24"/>
          <w:szCs w:val="24"/>
        </w:rPr>
        <w:t xml:space="preserve">ongoing, </w:t>
      </w:r>
      <w:proofErr w:type="spellStart"/>
      <w:r w:rsidRPr="00A53EB5">
        <w:rPr>
          <w:rFonts w:asciiTheme="minorHAnsi" w:eastAsiaTheme="minorEastAsia" w:hAnsiTheme="minorHAnsi" w:cstheme="minorHAnsi"/>
          <w:b w:val="0"/>
          <w:sz w:val="24"/>
          <w:szCs w:val="24"/>
        </w:rPr>
        <w:t>ie</w:t>
      </w:r>
      <w:proofErr w:type="spellEnd"/>
      <w:r w:rsidRPr="00A53EB5">
        <w:rPr>
          <w:rFonts w:asciiTheme="minorHAnsi" w:eastAsiaTheme="minorEastAsia" w:hAnsiTheme="minorHAnsi" w:cstheme="minorHAnsi"/>
          <w:b w:val="0"/>
          <w:sz w:val="24"/>
          <w:szCs w:val="24"/>
        </w:rPr>
        <w:t xml:space="preserve"> will </w:t>
      </w:r>
      <w:r w:rsidR="0074577F" w:rsidRPr="00A53EB5">
        <w:rPr>
          <w:rFonts w:asciiTheme="minorHAnsi" w:eastAsiaTheme="minorEastAsia" w:hAnsiTheme="minorHAnsi" w:cstheme="minorHAnsi"/>
          <w:b w:val="0"/>
          <w:sz w:val="24"/>
          <w:szCs w:val="24"/>
        </w:rPr>
        <w:t xml:space="preserve">they need to </w:t>
      </w:r>
      <w:r w:rsidRPr="00A53EB5">
        <w:rPr>
          <w:rFonts w:asciiTheme="minorHAnsi" w:eastAsiaTheme="minorEastAsia" w:hAnsiTheme="minorHAnsi" w:cstheme="minorHAnsi"/>
          <w:b w:val="0"/>
          <w:sz w:val="24"/>
          <w:szCs w:val="24"/>
        </w:rPr>
        <w:t>continue to be met after the offer</w:t>
      </w:r>
      <w:r w:rsidR="0074577F" w:rsidRPr="00A53EB5">
        <w:rPr>
          <w:rFonts w:asciiTheme="minorHAnsi" w:eastAsiaTheme="minorEastAsia" w:hAnsiTheme="minorHAnsi" w:cstheme="minorHAnsi"/>
          <w:b w:val="0"/>
          <w:sz w:val="24"/>
          <w:szCs w:val="24"/>
        </w:rPr>
        <w:t>?</w:t>
      </w:r>
      <w:r w:rsidRPr="00A53EB5">
        <w:rPr>
          <w:rFonts w:asciiTheme="minorHAnsi" w:eastAsiaTheme="minorEastAsia" w:hAnsiTheme="minorHAnsi" w:cstheme="minorHAnsi"/>
          <w:b w:val="0"/>
          <w:sz w:val="24"/>
          <w:szCs w:val="24"/>
        </w:rPr>
        <w:t xml:space="preserve"> For example, will </w:t>
      </w:r>
      <w:r w:rsidR="0009435E" w:rsidRPr="00A53EB5">
        <w:rPr>
          <w:rFonts w:asciiTheme="minorHAnsi" w:eastAsiaTheme="minorEastAsia" w:hAnsiTheme="minorHAnsi" w:cstheme="minorHAnsi"/>
          <w:b w:val="0"/>
          <w:sz w:val="24"/>
          <w:szCs w:val="24"/>
        </w:rPr>
        <w:t xml:space="preserve">there be </w:t>
      </w:r>
      <w:r w:rsidRPr="00A53EB5">
        <w:rPr>
          <w:rFonts w:asciiTheme="minorHAnsi" w:eastAsiaTheme="minorEastAsia" w:hAnsiTheme="minorHAnsi" w:cstheme="minorHAnsi"/>
          <w:b w:val="0"/>
          <w:sz w:val="24"/>
          <w:szCs w:val="24"/>
        </w:rPr>
        <w:t>any consequences</w:t>
      </w:r>
      <w:r w:rsidR="009856F7" w:rsidRPr="00A53EB5">
        <w:rPr>
          <w:rFonts w:asciiTheme="minorHAnsi" w:eastAsiaTheme="minorEastAsia" w:hAnsiTheme="minorHAnsi" w:cstheme="minorHAnsi"/>
          <w:b w:val="0"/>
          <w:sz w:val="24"/>
          <w:szCs w:val="24"/>
        </w:rPr>
        <w:t xml:space="preserve"> in terms of continued eligibility if the thresholds a</w:t>
      </w:r>
      <w:r w:rsidR="0009435E" w:rsidRPr="00A53EB5">
        <w:rPr>
          <w:rFonts w:asciiTheme="minorHAnsi" w:eastAsiaTheme="minorEastAsia" w:hAnsiTheme="minorHAnsi" w:cstheme="minorHAnsi"/>
          <w:b w:val="0"/>
          <w:sz w:val="24"/>
          <w:szCs w:val="24"/>
        </w:rPr>
        <w:t>re exceeded after the CSF offer?</w:t>
      </w:r>
      <w:r w:rsidR="009856F7" w:rsidRPr="00A53EB5">
        <w:rPr>
          <w:rFonts w:asciiTheme="minorHAnsi" w:eastAsiaTheme="minorEastAsia" w:hAnsiTheme="minorHAnsi" w:cstheme="minorHAnsi"/>
          <w:b w:val="0"/>
          <w:sz w:val="24"/>
          <w:szCs w:val="24"/>
        </w:rPr>
        <w:t xml:space="preserve"> Perhaps this issue requires clarification.</w:t>
      </w:r>
    </w:p>
    <w:p w:rsidR="00284B89" w:rsidRPr="00A53EB5" w:rsidRDefault="00284B89" w:rsidP="00D63E89">
      <w:pPr>
        <w:pStyle w:val="Heading1"/>
        <w:spacing w:before="0" w:line="288" w:lineRule="atLeast"/>
        <w:ind w:left="468"/>
        <w:jc w:val="both"/>
        <w:textAlignment w:val="baseline"/>
        <w:rPr>
          <w:rFonts w:asciiTheme="minorHAnsi" w:eastAsiaTheme="minorEastAsia" w:hAnsiTheme="minorHAnsi" w:cstheme="minorHAnsi"/>
          <w:b w:val="0"/>
          <w:i/>
          <w:sz w:val="24"/>
          <w:szCs w:val="24"/>
        </w:rPr>
      </w:pPr>
    </w:p>
    <w:p w:rsidR="00661530" w:rsidRPr="00A53EB5" w:rsidRDefault="00661530" w:rsidP="00D63E89">
      <w:pPr>
        <w:pStyle w:val="Heading1"/>
        <w:spacing w:before="0" w:line="288" w:lineRule="atLeast"/>
        <w:ind w:left="468"/>
        <w:jc w:val="both"/>
        <w:textAlignment w:val="baseline"/>
        <w:rPr>
          <w:rFonts w:asciiTheme="minorHAnsi" w:eastAsiaTheme="minorEastAsia" w:hAnsiTheme="minorHAnsi" w:cstheme="minorHAnsi"/>
          <w:b w:val="0"/>
          <w:i/>
          <w:sz w:val="24"/>
          <w:szCs w:val="24"/>
        </w:rPr>
      </w:pPr>
      <w:r w:rsidRPr="00A53EB5">
        <w:rPr>
          <w:rFonts w:asciiTheme="minorHAnsi" w:eastAsiaTheme="minorEastAsia" w:hAnsiTheme="minorHAnsi" w:cstheme="minorHAnsi"/>
          <w:b w:val="0"/>
          <w:i/>
          <w:sz w:val="24"/>
          <w:szCs w:val="24"/>
        </w:rPr>
        <w:t xml:space="preserve">Commentary on </w:t>
      </w:r>
      <w:r w:rsidR="007E1F5E">
        <w:rPr>
          <w:rFonts w:asciiTheme="minorHAnsi" w:eastAsiaTheme="minorEastAsia" w:hAnsiTheme="minorHAnsi" w:cstheme="minorHAnsi"/>
          <w:b w:val="0"/>
          <w:i/>
          <w:sz w:val="24"/>
          <w:szCs w:val="24"/>
        </w:rPr>
        <w:t>f</w:t>
      </w:r>
      <w:r w:rsidRPr="00A53EB5">
        <w:rPr>
          <w:rFonts w:asciiTheme="minorHAnsi" w:eastAsiaTheme="minorEastAsia" w:hAnsiTheme="minorHAnsi" w:cstheme="minorHAnsi"/>
          <w:b w:val="0"/>
          <w:i/>
          <w:sz w:val="24"/>
          <w:szCs w:val="24"/>
        </w:rPr>
        <w:t>unding</w:t>
      </w:r>
    </w:p>
    <w:p w:rsidR="00661530" w:rsidRPr="00A53EB5" w:rsidRDefault="00661530" w:rsidP="00661530">
      <w:pPr>
        <w:pStyle w:val="Heading1"/>
        <w:spacing w:before="0" w:line="288" w:lineRule="atLeast"/>
        <w:ind w:left="468"/>
        <w:textAlignment w:val="baseline"/>
        <w:rPr>
          <w:rFonts w:asciiTheme="minorHAnsi" w:eastAsiaTheme="minorEastAsia" w:hAnsiTheme="minorHAnsi" w:cstheme="minorHAnsi"/>
          <w:b w:val="0"/>
          <w:sz w:val="24"/>
          <w:szCs w:val="24"/>
        </w:rPr>
      </w:pPr>
    </w:p>
    <w:p w:rsidR="00B95FF1" w:rsidRPr="00A53EB5" w:rsidRDefault="005118D0" w:rsidP="00442AD8">
      <w:pPr>
        <w:pStyle w:val="Heading1"/>
        <w:spacing w:before="0" w:line="288" w:lineRule="atLeast"/>
        <w:ind w:left="468"/>
        <w:jc w:val="both"/>
        <w:textAlignment w:val="baseline"/>
        <w:rPr>
          <w:rFonts w:asciiTheme="minorHAnsi" w:hAnsiTheme="minorHAnsi" w:cstheme="minorHAnsi"/>
          <w:i/>
          <w:iCs/>
          <w:color w:val="333333"/>
          <w:sz w:val="24"/>
          <w:szCs w:val="24"/>
          <w:highlight w:val="yellow"/>
        </w:rPr>
      </w:pPr>
      <w:r w:rsidRPr="00A53EB5">
        <w:rPr>
          <w:rFonts w:asciiTheme="minorHAnsi" w:eastAsiaTheme="minorEastAsia" w:hAnsiTheme="minorHAnsi" w:cstheme="minorHAnsi"/>
          <w:b w:val="0"/>
          <w:sz w:val="24"/>
          <w:szCs w:val="24"/>
        </w:rPr>
        <w:t>The amendment</w:t>
      </w:r>
      <w:r w:rsidR="00B95FF1" w:rsidRPr="00A53EB5">
        <w:rPr>
          <w:rFonts w:asciiTheme="minorHAnsi" w:eastAsiaTheme="minorEastAsia" w:hAnsiTheme="minorHAnsi" w:cstheme="minorHAnsi"/>
          <w:b w:val="0"/>
          <w:sz w:val="24"/>
          <w:szCs w:val="24"/>
        </w:rPr>
        <w:t>s</w:t>
      </w:r>
      <w:r w:rsidRPr="00A53EB5">
        <w:rPr>
          <w:rFonts w:asciiTheme="minorHAnsi" w:eastAsiaTheme="minorEastAsia" w:hAnsiTheme="minorHAnsi" w:cstheme="minorHAnsi"/>
          <w:b w:val="0"/>
          <w:sz w:val="24"/>
          <w:szCs w:val="24"/>
        </w:rPr>
        <w:t xml:space="preserve"> </w:t>
      </w:r>
      <w:r w:rsidR="00661530" w:rsidRPr="00A53EB5">
        <w:rPr>
          <w:rFonts w:asciiTheme="minorHAnsi" w:eastAsiaTheme="minorEastAsia" w:hAnsiTheme="minorHAnsi" w:cstheme="minorHAnsi"/>
          <w:b w:val="0"/>
          <w:sz w:val="24"/>
          <w:szCs w:val="24"/>
        </w:rPr>
        <w:t xml:space="preserve">will </w:t>
      </w:r>
      <w:r w:rsidR="005D3BA4" w:rsidRPr="00A53EB5">
        <w:rPr>
          <w:rFonts w:asciiTheme="minorHAnsi" w:eastAsiaTheme="minorEastAsia" w:hAnsiTheme="minorHAnsi" w:cstheme="minorHAnsi"/>
          <w:b w:val="0"/>
          <w:sz w:val="24"/>
          <w:szCs w:val="24"/>
        </w:rPr>
        <w:t xml:space="preserve">bring along with </w:t>
      </w:r>
      <w:r w:rsidRPr="00A53EB5">
        <w:rPr>
          <w:rFonts w:asciiTheme="minorHAnsi" w:eastAsiaTheme="minorEastAsia" w:hAnsiTheme="minorHAnsi" w:cstheme="minorHAnsi"/>
          <w:b w:val="0"/>
          <w:sz w:val="24"/>
          <w:szCs w:val="24"/>
        </w:rPr>
        <w:t>them</w:t>
      </w:r>
      <w:r w:rsidR="005D3BA4" w:rsidRPr="00A53EB5">
        <w:rPr>
          <w:rFonts w:asciiTheme="minorHAnsi" w:eastAsiaTheme="minorEastAsia" w:hAnsiTheme="minorHAnsi" w:cstheme="minorHAnsi"/>
          <w:b w:val="0"/>
          <w:sz w:val="24"/>
          <w:szCs w:val="24"/>
        </w:rPr>
        <w:t>, significant benefits that will flow from bridging the ‘capital gap’ faced by countless young and emerging start-ups in the Australian economy. A</w:t>
      </w:r>
      <w:r w:rsidR="00145A52" w:rsidRPr="00A53EB5">
        <w:rPr>
          <w:rFonts w:asciiTheme="minorHAnsi" w:eastAsiaTheme="minorEastAsia" w:hAnsiTheme="minorHAnsi" w:cstheme="minorHAnsi"/>
          <w:b w:val="0"/>
          <w:sz w:val="24"/>
          <w:szCs w:val="24"/>
        </w:rPr>
        <w:t>s</w:t>
      </w:r>
      <w:r w:rsidR="005D3BA4" w:rsidRPr="00A53EB5">
        <w:rPr>
          <w:rFonts w:asciiTheme="minorHAnsi" w:eastAsiaTheme="minorEastAsia" w:hAnsiTheme="minorHAnsi" w:cstheme="minorHAnsi"/>
          <w:b w:val="0"/>
          <w:sz w:val="24"/>
          <w:szCs w:val="24"/>
        </w:rPr>
        <w:t xml:space="preserve"> explained by one </w:t>
      </w:r>
      <w:r w:rsidR="00145A52" w:rsidRPr="00A53EB5">
        <w:rPr>
          <w:rFonts w:asciiTheme="minorHAnsi" w:eastAsiaTheme="minorEastAsia" w:hAnsiTheme="minorHAnsi" w:cstheme="minorHAnsi"/>
          <w:b w:val="0"/>
          <w:sz w:val="24"/>
          <w:szCs w:val="24"/>
        </w:rPr>
        <w:t>author</w:t>
      </w:r>
      <w:r w:rsidR="002D2F4C" w:rsidRPr="00A53EB5">
        <w:rPr>
          <w:rFonts w:asciiTheme="minorHAnsi" w:eastAsiaTheme="minorEastAsia" w:hAnsiTheme="minorHAnsi" w:cstheme="minorHAnsi"/>
          <w:b w:val="0"/>
          <w:sz w:val="24"/>
          <w:szCs w:val="24"/>
        </w:rPr>
        <w:t xml:space="preserve">, </w:t>
      </w:r>
      <w:proofErr w:type="spellStart"/>
      <w:r w:rsidR="005D3BA4" w:rsidRPr="00A53EB5">
        <w:rPr>
          <w:rFonts w:asciiTheme="minorHAnsi" w:eastAsiaTheme="minorEastAsia" w:hAnsiTheme="minorHAnsi" w:cstheme="minorHAnsi"/>
          <w:b w:val="0"/>
          <w:sz w:val="24"/>
          <w:szCs w:val="24"/>
        </w:rPr>
        <w:t>Zein</w:t>
      </w:r>
      <w:proofErr w:type="spellEnd"/>
      <w:r w:rsidR="001C0C6B" w:rsidRPr="00A53EB5">
        <w:rPr>
          <w:rFonts w:asciiTheme="minorHAnsi" w:eastAsiaTheme="minorEastAsia" w:hAnsiTheme="minorHAnsi" w:cstheme="minorHAnsi"/>
          <w:b w:val="0"/>
          <w:sz w:val="24"/>
          <w:szCs w:val="24"/>
        </w:rPr>
        <w:t xml:space="preserve">, </w:t>
      </w:r>
      <w:r w:rsidR="002D2F4C" w:rsidRPr="00A53EB5">
        <w:rPr>
          <w:rFonts w:asciiTheme="minorHAnsi" w:eastAsiaTheme="minorEastAsia" w:hAnsiTheme="minorHAnsi" w:cstheme="minorHAnsi"/>
          <w:b w:val="0"/>
          <w:sz w:val="24"/>
          <w:szCs w:val="24"/>
        </w:rPr>
        <w:t>(2013)</w:t>
      </w:r>
      <w:r w:rsidR="0080582F" w:rsidRPr="00A53EB5">
        <w:rPr>
          <w:rFonts w:asciiTheme="minorHAnsi" w:eastAsiaTheme="minorEastAsia" w:hAnsiTheme="minorHAnsi" w:cstheme="minorHAnsi"/>
          <w:b w:val="0"/>
          <w:sz w:val="24"/>
          <w:szCs w:val="24"/>
        </w:rPr>
        <w:t xml:space="preserve"> “</w:t>
      </w:r>
      <w:r w:rsidR="0080582F" w:rsidRPr="00A53EB5">
        <w:rPr>
          <w:rFonts w:asciiTheme="minorHAnsi" w:eastAsiaTheme="minorEastAsia" w:hAnsiTheme="minorHAnsi" w:cstheme="minorHAnsi"/>
          <w:b w:val="0"/>
          <w:i/>
          <w:sz w:val="24"/>
          <w:szCs w:val="24"/>
        </w:rPr>
        <w:t xml:space="preserve">Australia’s success </w:t>
      </w:r>
      <w:r w:rsidR="00CB5B33" w:rsidRPr="00A53EB5">
        <w:rPr>
          <w:rFonts w:asciiTheme="minorHAnsi" w:eastAsiaTheme="minorEastAsia" w:hAnsiTheme="minorHAnsi" w:cstheme="minorHAnsi"/>
          <w:b w:val="0"/>
          <w:i/>
          <w:sz w:val="24"/>
          <w:szCs w:val="24"/>
        </w:rPr>
        <w:t>rate in funding</w:t>
      </w:r>
      <w:r w:rsidR="0080582F" w:rsidRPr="00A53EB5">
        <w:rPr>
          <w:rFonts w:asciiTheme="minorHAnsi" w:eastAsiaTheme="minorEastAsia" w:hAnsiTheme="minorHAnsi" w:cstheme="minorHAnsi"/>
          <w:b w:val="0"/>
          <w:i/>
          <w:sz w:val="24"/>
          <w:szCs w:val="24"/>
        </w:rPr>
        <w:t xml:space="preserve"> and commercialising innovation lags behind most other advanced economies</w:t>
      </w:r>
      <w:r w:rsidR="0080582F" w:rsidRPr="00A53EB5">
        <w:rPr>
          <w:rFonts w:asciiTheme="minorHAnsi" w:eastAsiaTheme="minorEastAsia" w:hAnsiTheme="minorHAnsi" w:cstheme="minorHAnsi"/>
          <w:b w:val="0"/>
          <w:sz w:val="24"/>
          <w:szCs w:val="24"/>
        </w:rPr>
        <w:t xml:space="preserve">, [and] </w:t>
      </w:r>
      <w:r w:rsidR="0080582F" w:rsidRPr="00A53EB5">
        <w:rPr>
          <w:rFonts w:asciiTheme="minorHAnsi" w:eastAsiaTheme="minorEastAsia" w:hAnsiTheme="minorHAnsi" w:cstheme="minorHAnsi"/>
          <w:b w:val="0"/>
          <w:i/>
          <w:sz w:val="24"/>
          <w:szCs w:val="24"/>
        </w:rPr>
        <w:t xml:space="preserve">addressing the lack of funding for start-ups is critical because it is these firms </w:t>
      </w:r>
      <w:r w:rsidR="00CB5B33" w:rsidRPr="00A53EB5">
        <w:rPr>
          <w:rFonts w:asciiTheme="minorHAnsi" w:eastAsiaTheme="minorEastAsia" w:hAnsiTheme="minorHAnsi" w:cstheme="minorHAnsi"/>
          <w:b w:val="0"/>
          <w:i/>
          <w:sz w:val="24"/>
          <w:szCs w:val="24"/>
        </w:rPr>
        <w:t>that drive the economic transformation needed to respond to new challenges and requirements of a dynamic global economy”.</w:t>
      </w:r>
      <w:r w:rsidR="00CB5B33" w:rsidRPr="00A53EB5">
        <w:rPr>
          <w:rFonts w:asciiTheme="minorHAnsi" w:eastAsiaTheme="minorEastAsia" w:hAnsiTheme="minorHAnsi" w:cstheme="minorHAnsi"/>
          <w:b w:val="0"/>
          <w:sz w:val="24"/>
          <w:szCs w:val="24"/>
        </w:rPr>
        <w:t xml:space="preserve"> The IPA wholeheartedly supports this view and again, commends the government for taking the initiative to extend the current CSF regime to proprietary companies. Indeed since the decommissioning of the </w:t>
      </w:r>
      <w:r w:rsidR="00DB2A50" w:rsidRPr="00A53EB5">
        <w:rPr>
          <w:rFonts w:asciiTheme="minorHAnsi" w:eastAsiaTheme="minorEastAsia" w:hAnsiTheme="minorHAnsi" w:cstheme="minorHAnsi"/>
          <w:b w:val="0"/>
          <w:sz w:val="24"/>
          <w:szCs w:val="24"/>
        </w:rPr>
        <w:t xml:space="preserve">Australian </w:t>
      </w:r>
      <w:r w:rsidR="00CB5B33" w:rsidRPr="00A53EB5">
        <w:rPr>
          <w:rFonts w:asciiTheme="minorHAnsi" w:eastAsiaTheme="minorEastAsia" w:hAnsiTheme="minorHAnsi" w:cstheme="minorHAnsi"/>
          <w:b w:val="0"/>
          <w:sz w:val="24"/>
          <w:szCs w:val="24"/>
        </w:rPr>
        <w:t>Second</w:t>
      </w:r>
      <w:r w:rsidR="00DB2A50" w:rsidRPr="00A53EB5">
        <w:rPr>
          <w:rFonts w:asciiTheme="minorHAnsi" w:eastAsiaTheme="minorEastAsia" w:hAnsiTheme="minorHAnsi" w:cstheme="minorHAnsi"/>
          <w:b w:val="0"/>
          <w:sz w:val="24"/>
          <w:szCs w:val="24"/>
        </w:rPr>
        <w:t xml:space="preserve">ary Board </w:t>
      </w:r>
      <w:r w:rsidR="002D2F4C" w:rsidRPr="00A53EB5">
        <w:rPr>
          <w:rFonts w:asciiTheme="minorHAnsi" w:eastAsiaTheme="minorEastAsia" w:hAnsiTheme="minorHAnsi" w:cstheme="minorHAnsi"/>
          <w:b w:val="0"/>
          <w:sz w:val="24"/>
          <w:szCs w:val="24"/>
        </w:rPr>
        <w:t xml:space="preserve">Stock </w:t>
      </w:r>
      <w:r w:rsidR="00DB2A50" w:rsidRPr="00A53EB5">
        <w:rPr>
          <w:rFonts w:asciiTheme="minorHAnsi" w:eastAsiaTheme="minorEastAsia" w:hAnsiTheme="minorHAnsi" w:cstheme="minorHAnsi"/>
          <w:b w:val="0"/>
          <w:sz w:val="24"/>
          <w:szCs w:val="24"/>
        </w:rPr>
        <w:t>M</w:t>
      </w:r>
      <w:r w:rsidR="00CB5B33" w:rsidRPr="00A53EB5">
        <w:rPr>
          <w:rFonts w:asciiTheme="minorHAnsi" w:eastAsiaTheme="minorEastAsia" w:hAnsiTheme="minorHAnsi" w:cstheme="minorHAnsi"/>
          <w:b w:val="0"/>
          <w:sz w:val="24"/>
          <w:szCs w:val="24"/>
        </w:rPr>
        <w:t>arket</w:t>
      </w:r>
      <w:r w:rsidR="00DB2A50" w:rsidRPr="00A53EB5">
        <w:rPr>
          <w:rFonts w:asciiTheme="minorHAnsi" w:eastAsiaTheme="minorEastAsia" w:hAnsiTheme="minorHAnsi" w:cstheme="minorHAnsi"/>
          <w:b w:val="0"/>
          <w:sz w:val="24"/>
          <w:szCs w:val="24"/>
        </w:rPr>
        <w:t xml:space="preserve"> </w:t>
      </w:r>
      <w:r w:rsidR="002D2F4C" w:rsidRPr="00A53EB5">
        <w:rPr>
          <w:rFonts w:asciiTheme="minorHAnsi" w:eastAsiaTheme="minorEastAsia" w:hAnsiTheme="minorHAnsi" w:cstheme="minorHAnsi"/>
          <w:b w:val="0"/>
          <w:sz w:val="24"/>
          <w:szCs w:val="24"/>
        </w:rPr>
        <w:t xml:space="preserve">several decades </w:t>
      </w:r>
      <w:r w:rsidR="00904525">
        <w:rPr>
          <w:rFonts w:asciiTheme="minorHAnsi" w:eastAsiaTheme="minorEastAsia" w:hAnsiTheme="minorHAnsi" w:cstheme="minorHAnsi"/>
          <w:b w:val="0"/>
          <w:sz w:val="24"/>
          <w:szCs w:val="24"/>
        </w:rPr>
        <w:t xml:space="preserve">ago, </w:t>
      </w:r>
      <w:r w:rsidR="00DB2A50" w:rsidRPr="00A53EB5">
        <w:rPr>
          <w:rFonts w:asciiTheme="minorHAnsi" w:eastAsiaTheme="minorEastAsia" w:hAnsiTheme="minorHAnsi" w:cstheme="minorHAnsi"/>
          <w:b w:val="0"/>
          <w:sz w:val="24"/>
          <w:szCs w:val="24"/>
        </w:rPr>
        <w:t xml:space="preserve">which specifically catered for young and emerging firms, it appears that start-ups in Australia have had </w:t>
      </w:r>
      <w:r w:rsidR="00145A52" w:rsidRPr="00A53EB5">
        <w:rPr>
          <w:rFonts w:asciiTheme="minorHAnsi" w:eastAsiaTheme="minorEastAsia" w:hAnsiTheme="minorHAnsi" w:cstheme="minorHAnsi"/>
          <w:b w:val="0"/>
          <w:sz w:val="24"/>
          <w:szCs w:val="24"/>
        </w:rPr>
        <w:t xml:space="preserve">very </w:t>
      </w:r>
      <w:r w:rsidR="00DB2A50" w:rsidRPr="00A53EB5">
        <w:rPr>
          <w:rFonts w:asciiTheme="minorHAnsi" w:eastAsiaTheme="minorEastAsia" w:hAnsiTheme="minorHAnsi" w:cstheme="minorHAnsi"/>
          <w:b w:val="0"/>
          <w:sz w:val="24"/>
          <w:szCs w:val="24"/>
        </w:rPr>
        <w:t xml:space="preserve">few avenues for adequate </w:t>
      </w:r>
      <w:r w:rsidR="00145A52" w:rsidRPr="00A53EB5">
        <w:rPr>
          <w:rFonts w:asciiTheme="minorHAnsi" w:eastAsiaTheme="minorEastAsia" w:hAnsiTheme="minorHAnsi" w:cstheme="minorHAnsi"/>
          <w:b w:val="0"/>
          <w:sz w:val="24"/>
          <w:szCs w:val="24"/>
        </w:rPr>
        <w:t xml:space="preserve">long-term </w:t>
      </w:r>
      <w:r w:rsidR="00DB2A50" w:rsidRPr="00A53EB5">
        <w:rPr>
          <w:rFonts w:asciiTheme="minorHAnsi" w:eastAsiaTheme="minorEastAsia" w:hAnsiTheme="minorHAnsi" w:cstheme="minorHAnsi"/>
          <w:b w:val="0"/>
          <w:sz w:val="24"/>
          <w:szCs w:val="24"/>
        </w:rPr>
        <w:t xml:space="preserve">funding and in this respect have relied </w:t>
      </w:r>
      <w:r w:rsidR="00DD492E" w:rsidRPr="00A53EB5">
        <w:rPr>
          <w:rFonts w:asciiTheme="minorHAnsi" w:eastAsiaTheme="minorEastAsia" w:hAnsiTheme="minorHAnsi" w:cstheme="minorHAnsi"/>
          <w:b w:val="0"/>
          <w:sz w:val="24"/>
          <w:szCs w:val="24"/>
        </w:rPr>
        <w:t xml:space="preserve">on </w:t>
      </w:r>
      <w:r w:rsidR="00DB2A50" w:rsidRPr="00A53EB5">
        <w:rPr>
          <w:rFonts w:asciiTheme="minorHAnsi" w:eastAsiaTheme="minorEastAsia" w:hAnsiTheme="minorHAnsi" w:cstheme="minorHAnsi"/>
          <w:b w:val="0"/>
          <w:sz w:val="24"/>
          <w:szCs w:val="24"/>
        </w:rPr>
        <w:t>funding sources that may have been the right choice</w:t>
      </w:r>
      <w:r w:rsidR="00DD492E" w:rsidRPr="00A53EB5">
        <w:rPr>
          <w:rFonts w:asciiTheme="minorHAnsi" w:eastAsiaTheme="minorEastAsia" w:hAnsiTheme="minorHAnsi" w:cstheme="minorHAnsi"/>
          <w:b w:val="0"/>
          <w:sz w:val="24"/>
          <w:szCs w:val="24"/>
        </w:rPr>
        <w:t xml:space="preserve"> in their </w:t>
      </w:r>
      <w:r w:rsidR="00B76724" w:rsidRPr="00A53EB5">
        <w:rPr>
          <w:rFonts w:asciiTheme="minorHAnsi" w:eastAsiaTheme="minorEastAsia" w:hAnsiTheme="minorHAnsi" w:cstheme="minorHAnsi"/>
          <w:b w:val="0"/>
          <w:sz w:val="24"/>
          <w:szCs w:val="24"/>
        </w:rPr>
        <w:t>particular</w:t>
      </w:r>
      <w:r w:rsidR="00DD492E" w:rsidRPr="00A53EB5">
        <w:rPr>
          <w:rFonts w:asciiTheme="minorHAnsi" w:eastAsiaTheme="minorEastAsia" w:hAnsiTheme="minorHAnsi" w:cstheme="minorHAnsi"/>
          <w:b w:val="0"/>
          <w:sz w:val="24"/>
          <w:szCs w:val="24"/>
        </w:rPr>
        <w:t xml:space="preserve"> circ</w:t>
      </w:r>
      <w:r w:rsidR="00B76724" w:rsidRPr="00A53EB5">
        <w:rPr>
          <w:rFonts w:asciiTheme="minorHAnsi" w:eastAsiaTheme="minorEastAsia" w:hAnsiTheme="minorHAnsi" w:cstheme="minorHAnsi"/>
          <w:b w:val="0"/>
          <w:sz w:val="24"/>
          <w:szCs w:val="24"/>
        </w:rPr>
        <w:t>um</w:t>
      </w:r>
      <w:r w:rsidR="00DD492E" w:rsidRPr="00A53EB5">
        <w:rPr>
          <w:rFonts w:asciiTheme="minorHAnsi" w:eastAsiaTheme="minorEastAsia" w:hAnsiTheme="minorHAnsi" w:cstheme="minorHAnsi"/>
          <w:b w:val="0"/>
          <w:sz w:val="24"/>
          <w:szCs w:val="24"/>
        </w:rPr>
        <w:t>stances and stage of development. Many have turned to going public only to find the route considerabl</w:t>
      </w:r>
      <w:r w:rsidR="00645DFE">
        <w:rPr>
          <w:rFonts w:asciiTheme="minorHAnsi" w:eastAsiaTheme="minorEastAsia" w:hAnsiTheme="minorHAnsi" w:cstheme="minorHAnsi"/>
          <w:b w:val="0"/>
          <w:sz w:val="24"/>
          <w:szCs w:val="24"/>
        </w:rPr>
        <w:t>y</w:t>
      </w:r>
      <w:r w:rsidR="00DD492E" w:rsidRPr="00A53EB5">
        <w:rPr>
          <w:rFonts w:asciiTheme="minorHAnsi" w:eastAsiaTheme="minorEastAsia" w:hAnsiTheme="minorHAnsi" w:cstheme="minorHAnsi"/>
          <w:b w:val="0"/>
          <w:sz w:val="24"/>
          <w:szCs w:val="24"/>
        </w:rPr>
        <w:t xml:space="preserve"> expensive</w:t>
      </w:r>
      <w:r w:rsidR="00B76724" w:rsidRPr="00A53EB5">
        <w:rPr>
          <w:rFonts w:asciiTheme="minorHAnsi" w:eastAsiaTheme="minorEastAsia" w:hAnsiTheme="minorHAnsi" w:cstheme="minorHAnsi"/>
          <w:b w:val="0"/>
          <w:sz w:val="24"/>
          <w:szCs w:val="24"/>
        </w:rPr>
        <w:t>,</w:t>
      </w:r>
      <w:r w:rsidR="00DD492E" w:rsidRPr="00A53EB5">
        <w:rPr>
          <w:rFonts w:asciiTheme="minorHAnsi" w:eastAsiaTheme="minorEastAsia" w:hAnsiTheme="minorHAnsi" w:cstheme="minorHAnsi"/>
          <w:b w:val="0"/>
          <w:sz w:val="24"/>
          <w:szCs w:val="24"/>
        </w:rPr>
        <w:t xml:space="preserve"> often fraught with significant </w:t>
      </w:r>
      <w:r w:rsidR="00B76724" w:rsidRPr="00A53EB5">
        <w:rPr>
          <w:rFonts w:asciiTheme="minorHAnsi" w:eastAsiaTheme="minorEastAsia" w:hAnsiTheme="minorHAnsi" w:cstheme="minorHAnsi"/>
          <w:b w:val="0"/>
          <w:sz w:val="24"/>
          <w:szCs w:val="24"/>
        </w:rPr>
        <w:t>regulatory</w:t>
      </w:r>
      <w:r w:rsidR="00DD492E" w:rsidRPr="00A53EB5">
        <w:rPr>
          <w:rFonts w:asciiTheme="minorHAnsi" w:eastAsiaTheme="minorEastAsia" w:hAnsiTheme="minorHAnsi" w:cstheme="minorHAnsi"/>
          <w:b w:val="0"/>
          <w:sz w:val="24"/>
          <w:szCs w:val="24"/>
        </w:rPr>
        <w:t xml:space="preserve"> burdens, as well as lack of investor interest</w:t>
      </w:r>
      <w:r w:rsidR="00DF71AB" w:rsidRPr="00A53EB5">
        <w:rPr>
          <w:rFonts w:asciiTheme="minorHAnsi" w:eastAsiaTheme="minorEastAsia" w:hAnsiTheme="minorHAnsi" w:cstheme="minorHAnsi"/>
          <w:b w:val="0"/>
          <w:sz w:val="24"/>
          <w:szCs w:val="24"/>
        </w:rPr>
        <w:t>, s</w:t>
      </w:r>
      <w:r w:rsidR="00DD492E" w:rsidRPr="00A53EB5">
        <w:rPr>
          <w:rFonts w:asciiTheme="minorHAnsi" w:eastAsiaTheme="minorEastAsia" w:hAnsiTheme="minorHAnsi" w:cstheme="minorHAnsi"/>
          <w:b w:val="0"/>
          <w:sz w:val="24"/>
          <w:szCs w:val="24"/>
        </w:rPr>
        <w:t xml:space="preserve">ee, particularly Mroczkowski, </w:t>
      </w:r>
      <w:r w:rsidR="00DF71AB" w:rsidRPr="00A53EB5">
        <w:rPr>
          <w:rFonts w:asciiTheme="minorHAnsi" w:eastAsiaTheme="minorEastAsia" w:hAnsiTheme="minorHAnsi" w:cstheme="minorHAnsi"/>
          <w:b w:val="0"/>
          <w:sz w:val="24"/>
          <w:szCs w:val="24"/>
        </w:rPr>
        <w:t>(2008)</w:t>
      </w:r>
      <w:r w:rsidR="00DD492E" w:rsidRPr="00A53EB5">
        <w:rPr>
          <w:rFonts w:asciiTheme="minorHAnsi" w:eastAsiaTheme="minorEastAsia" w:hAnsiTheme="minorHAnsi" w:cstheme="minorHAnsi"/>
          <w:b w:val="0"/>
          <w:sz w:val="24"/>
          <w:szCs w:val="24"/>
        </w:rPr>
        <w:t>. Mroczkowski (2003</w:t>
      </w:r>
      <w:r w:rsidR="00DF71AB" w:rsidRPr="00A53EB5">
        <w:rPr>
          <w:rFonts w:asciiTheme="minorHAnsi" w:eastAsiaTheme="minorEastAsia" w:hAnsiTheme="minorHAnsi" w:cstheme="minorHAnsi"/>
          <w:b w:val="0"/>
          <w:sz w:val="24"/>
          <w:szCs w:val="24"/>
        </w:rPr>
        <w:t xml:space="preserve">), </w:t>
      </w:r>
      <w:r w:rsidR="00DD492E" w:rsidRPr="00A53EB5">
        <w:rPr>
          <w:rFonts w:asciiTheme="minorHAnsi" w:eastAsiaTheme="minorEastAsia" w:hAnsiTheme="minorHAnsi" w:cstheme="minorHAnsi"/>
          <w:b w:val="0"/>
          <w:sz w:val="24"/>
          <w:szCs w:val="24"/>
        </w:rPr>
        <w:t xml:space="preserve">also </w:t>
      </w:r>
      <w:r w:rsidR="00B76724" w:rsidRPr="00A53EB5">
        <w:rPr>
          <w:rFonts w:asciiTheme="minorHAnsi" w:eastAsiaTheme="minorEastAsia" w:hAnsiTheme="minorHAnsi" w:cstheme="minorHAnsi"/>
          <w:b w:val="0"/>
          <w:sz w:val="24"/>
          <w:szCs w:val="24"/>
        </w:rPr>
        <w:t>documents</w:t>
      </w:r>
      <w:r w:rsidR="00DD492E" w:rsidRPr="00A53EB5">
        <w:rPr>
          <w:rFonts w:asciiTheme="minorHAnsi" w:eastAsiaTheme="minorEastAsia" w:hAnsiTheme="minorHAnsi" w:cstheme="minorHAnsi"/>
          <w:b w:val="0"/>
          <w:sz w:val="24"/>
          <w:szCs w:val="24"/>
        </w:rPr>
        <w:t xml:space="preserve"> the </w:t>
      </w:r>
      <w:r w:rsidR="00B76724" w:rsidRPr="00A53EB5">
        <w:rPr>
          <w:rFonts w:asciiTheme="minorHAnsi" w:eastAsiaTheme="minorEastAsia" w:hAnsiTheme="minorHAnsi" w:cstheme="minorHAnsi"/>
          <w:b w:val="0"/>
          <w:sz w:val="24"/>
          <w:szCs w:val="24"/>
        </w:rPr>
        <w:t>considerable</w:t>
      </w:r>
      <w:r w:rsidR="00DD492E" w:rsidRPr="00A53EB5">
        <w:rPr>
          <w:rFonts w:asciiTheme="minorHAnsi" w:eastAsiaTheme="minorEastAsia" w:hAnsiTheme="minorHAnsi" w:cstheme="minorHAnsi"/>
          <w:b w:val="0"/>
          <w:sz w:val="24"/>
          <w:szCs w:val="24"/>
        </w:rPr>
        <w:t xml:space="preserve"> </w:t>
      </w:r>
      <w:r w:rsidR="00B76724" w:rsidRPr="00A53EB5">
        <w:rPr>
          <w:rFonts w:asciiTheme="minorHAnsi" w:eastAsiaTheme="minorEastAsia" w:hAnsiTheme="minorHAnsi" w:cstheme="minorHAnsi"/>
          <w:b w:val="0"/>
          <w:sz w:val="24"/>
          <w:szCs w:val="24"/>
        </w:rPr>
        <w:t>discounting</w:t>
      </w:r>
      <w:r w:rsidR="00DD492E" w:rsidRPr="00A53EB5">
        <w:rPr>
          <w:rFonts w:asciiTheme="minorHAnsi" w:eastAsiaTheme="minorEastAsia" w:hAnsiTheme="minorHAnsi" w:cstheme="minorHAnsi"/>
          <w:b w:val="0"/>
          <w:sz w:val="24"/>
          <w:szCs w:val="24"/>
        </w:rPr>
        <w:t xml:space="preserve"> </w:t>
      </w:r>
      <w:r w:rsidR="00B76724" w:rsidRPr="00A53EB5">
        <w:rPr>
          <w:rFonts w:asciiTheme="minorHAnsi" w:eastAsiaTheme="minorEastAsia" w:hAnsiTheme="minorHAnsi" w:cstheme="minorHAnsi"/>
          <w:b w:val="0"/>
          <w:sz w:val="24"/>
          <w:szCs w:val="24"/>
        </w:rPr>
        <w:t>(</w:t>
      </w:r>
      <w:r w:rsidR="00B76724" w:rsidRPr="00A53EB5">
        <w:rPr>
          <w:rFonts w:asciiTheme="minorHAnsi" w:eastAsiaTheme="minorEastAsia" w:hAnsiTheme="minorHAnsi" w:cstheme="minorHAnsi"/>
          <w:b w:val="0"/>
          <w:i/>
          <w:sz w:val="24"/>
          <w:szCs w:val="24"/>
        </w:rPr>
        <w:t>underpricing</w:t>
      </w:r>
      <w:r w:rsidR="00B76724" w:rsidRPr="00A53EB5">
        <w:rPr>
          <w:rFonts w:asciiTheme="minorHAnsi" w:eastAsiaTheme="minorEastAsia" w:hAnsiTheme="minorHAnsi" w:cstheme="minorHAnsi"/>
          <w:b w:val="0"/>
          <w:sz w:val="24"/>
          <w:szCs w:val="24"/>
        </w:rPr>
        <w:t>) that</w:t>
      </w:r>
      <w:r w:rsidR="00DD492E" w:rsidRPr="00A53EB5">
        <w:rPr>
          <w:rFonts w:asciiTheme="minorHAnsi" w:eastAsiaTheme="minorEastAsia" w:hAnsiTheme="minorHAnsi" w:cstheme="minorHAnsi"/>
          <w:b w:val="0"/>
          <w:sz w:val="24"/>
          <w:szCs w:val="24"/>
        </w:rPr>
        <w:t xml:space="preserve"> </w:t>
      </w:r>
      <w:r w:rsidR="00B76724" w:rsidRPr="00A53EB5">
        <w:rPr>
          <w:rFonts w:asciiTheme="minorHAnsi" w:eastAsiaTheme="minorEastAsia" w:hAnsiTheme="minorHAnsi" w:cstheme="minorHAnsi"/>
          <w:b w:val="0"/>
          <w:sz w:val="24"/>
          <w:szCs w:val="24"/>
        </w:rPr>
        <w:t xml:space="preserve">occurs for SME </w:t>
      </w:r>
      <w:r w:rsidR="00DD492E" w:rsidRPr="00A53EB5">
        <w:rPr>
          <w:rFonts w:asciiTheme="minorHAnsi" w:eastAsiaTheme="minorEastAsia" w:hAnsiTheme="minorHAnsi" w:cstheme="minorHAnsi"/>
          <w:b w:val="0"/>
          <w:sz w:val="24"/>
          <w:szCs w:val="24"/>
        </w:rPr>
        <w:t xml:space="preserve">firms that </w:t>
      </w:r>
      <w:r w:rsidR="00B76724" w:rsidRPr="00A53EB5">
        <w:rPr>
          <w:rFonts w:asciiTheme="minorHAnsi" w:eastAsiaTheme="minorEastAsia" w:hAnsiTheme="minorHAnsi" w:cstheme="minorHAnsi"/>
          <w:b w:val="0"/>
          <w:sz w:val="24"/>
          <w:szCs w:val="24"/>
        </w:rPr>
        <w:t>engage</w:t>
      </w:r>
      <w:r w:rsidR="00DD492E" w:rsidRPr="00A53EB5">
        <w:rPr>
          <w:rFonts w:asciiTheme="minorHAnsi" w:eastAsiaTheme="minorEastAsia" w:hAnsiTheme="minorHAnsi" w:cstheme="minorHAnsi"/>
          <w:b w:val="0"/>
          <w:sz w:val="24"/>
          <w:szCs w:val="24"/>
        </w:rPr>
        <w:t xml:space="preserve"> in a</w:t>
      </w:r>
      <w:r w:rsidR="00145A52" w:rsidRPr="00A53EB5">
        <w:rPr>
          <w:rFonts w:asciiTheme="minorHAnsi" w:eastAsiaTheme="minorEastAsia" w:hAnsiTheme="minorHAnsi" w:cstheme="minorHAnsi"/>
          <w:b w:val="0"/>
          <w:sz w:val="24"/>
          <w:szCs w:val="24"/>
        </w:rPr>
        <w:t>n</w:t>
      </w:r>
      <w:r w:rsidR="00DD492E" w:rsidRPr="00A53EB5">
        <w:rPr>
          <w:rFonts w:asciiTheme="minorHAnsi" w:eastAsiaTheme="minorEastAsia" w:hAnsiTheme="minorHAnsi" w:cstheme="minorHAnsi"/>
          <w:b w:val="0"/>
          <w:sz w:val="24"/>
          <w:szCs w:val="24"/>
        </w:rPr>
        <w:t xml:space="preserve"> I</w:t>
      </w:r>
      <w:r w:rsidR="00FA1F7E" w:rsidRPr="00A53EB5">
        <w:rPr>
          <w:rFonts w:asciiTheme="minorHAnsi" w:eastAsiaTheme="minorEastAsia" w:hAnsiTheme="minorHAnsi" w:cstheme="minorHAnsi"/>
          <w:b w:val="0"/>
          <w:sz w:val="24"/>
          <w:szCs w:val="24"/>
        </w:rPr>
        <w:t>nitial Public Offering (I</w:t>
      </w:r>
      <w:r w:rsidR="00DD492E" w:rsidRPr="00A53EB5">
        <w:rPr>
          <w:rFonts w:asciiTheme="minorHAnsi" w:eastAsiaTheme="minorEastAsia" w:hAnsiTheme="minorHAnsi" w:cstheme="minorHAnsi"/>
          <w:b w:val="0"/>
          <w:sz w:val="24"/>
          <w:szCs w:val="24"/>
        </w:rPr>
        <w:t>PO</w:t>
      </w:r>
      <w:r w:rsidR="00FA1F7E" w:rsidRPr="00A53EB5">
        <w:rPr>
          <w:rFonts w:asciiTheme="minorHAnsi" w:eastAsiaTheme="minorEastAsia" w:hAnsiTheme="minorHAnsi" w:cstheme="minorHAnsi"/>
          <w:b w:val="0"/>
          <w:sz w:val="24"/>
          <w:szCs w:val="24"/>
        </w:rPr>
        <w:t>)</w:t>
      </w:r>
      <w:r w:rsidR="00B76724" w:rsidRPr="00A53EB5">
        <w:rPr>
          <w:rFonts w:asciiTheme="minorHAnsi" w:eastAsiaTheme="minorEastAsia" w:hAnsiTheme="minorHAnsi" w:cstheme="minorHAnsi"/>
          <w:b w:val="0"/>
          <w:sz w:val="24"/>
          <w:szCs w:val="24"/>
        </w:rPr>
        <w:t xml:space="preserve">, particularly those with a short trading history. </w:t>
      </w:r>
      <w:r w:rsidR="00145A52" w:rsidRPr="00A53EB5">
        <w:rPr>
          <w:rFonts w:asciiTheme="minorHAnsi" w:eastAsiaTheme="minorEastAsia" w:hAnsiTheme="minorHAnsi" w:cstheme="minorHAnsi"/>
          <w:b w:val="0"/>
          <w:sz w:val="24"/>
          <w:szCs w:val="24"/>
        </w:rPr>
        <w:t xml:space="preserve">Considerable underpricing is </w:t>
      </w:r>
      <w:r w:rsidRPr="00A53EB5">
        <w:rPr>
          <w:rFonts w:asciiTheme="minorHAnsi" w:eastAsiaTheme="minorEastAsia" w:hAnsiTheme="minorHAnsi" w:cstheme="minorHAnsi"/>
          <w:b w:val="0"/>
          <w:sz w:val="24"/>
          <w:szCs w:val="24"/>
        </w:rPr>
        <w:t xml:space="preserve">often </w:t>
      </w:r>
      <w:r w:rsidR="00145A52" w:rsidRPr="00A53EB5">
        <w:rPr>
          <w:rFonts w:asciiTheme="minorHAnsi" w:eastAsiaTheme="minorEastAsia" w:hAnsiTheme="minorHAnsi" w:cstheme="minorHAnsi"/>
          <w:b w:val="0"/>
          <w:sz w:val="24"/>
          <w:szCs w:val="24"/>
        </w:rPr>
        <w:t xml:space="preserve">at the expense of the entrepreneurial firm </w:t>
      </w:r>
      <w:r w:rsidRPr="00A53EB5">
        <w:rPr>
          <w:rFonts w:asciiTheme="minorHAnsi" w:eastAsiaTheme="minorEastAsia" w:hAnsiTheme="minorHAnsi" w:cstheme="minorHAnsi"/>
          <w:b w:val="0"/>
          <w:sz w:val="24"/>
          <w:szCs w:val="24"/>
        </w:rPr>
        <w:t xml:space="preserve">founders </w:t>
      </w:r>
      <w:r w:rsidR="00145A52" w:rsidRPr="00A53EB5">
        <w:rPr>
          <w:rFonts w:asciiTheme="minorHAnsi" w:eastAsiaTheme="minorEastAsia" w:hAnsiTheme="minorHAnsi" w:cstheme="minorHAnsi"/>
          <w:b w:val="0"/>
          <w:sz w:val="24"/>
          <w:szCs w:val="24"/>
        </w:rPr>
        <w:t>as</w:t>
      </w:r>
      <w:r w:rsidRPr="00A53EB5">
        <w:rPr>
          <w:rFonts w:asciiTheme="minorHAnsi" w:eastAsiaTheme="minorEastAsia" w:hAnsiTheme="minorHAnsi" w:cstheme="minorHAnsi"/>
          <w:b w:val="0"/>
          <w:sz w:val="24"/>
          <w:szCs w:val="24"/>
        </w:rPr>
        <w:t xml:space="preserve"> the academic literature shows that the share price for promising IPOs will climb well above initial price in the first 20 days post listing</w:t>
      </w:r>
      <w:r w:rsidR="00645DFE">
        <w:rPr>
          <w:rFonts w:asciiTheme="minorHAnsi" w:eastAsiaTheme="minorEastAsia" w:hAnsiTheme="minorHAnsi" w:cstheme="minorHAnsi"/>
          <w:b w:val="0"/>
          <w:sz w:val="24"/>
          <w:szCs w:val="24"/>
        </w:rPr>
        <w:t xml:space="preserve">, </w:t>
      </w:r>
      <w:r w:rsidR="00625680" w:rsidRPr="00A53EB5">
        <w:rPr>
          <w:rFonts w:asciiTheme="minorHAnsi" w:eastAsiaTheme="minorEastAsia" w:hAnsiTheme="minorHAnsi" w:cstheme="minorHAnsi"/>
          <w:b w:val="0"/>
          <w:sz w:val="24"/>
          <w:szCs w:val="24"/>
        </w:rPr>
        <w:t>see for example, Rock (1986)</w:t>
      </w:r>
      <w:r w:rsidR="00442AD8" w:rsidRPr="00A53EB5">
        <w:rPr>
          <w:rFonts w:asciiTheme="minorHAnsi" w:eastAsiaTheme="minorEastAsia" w:hAnsiTheme="minorHAnsi" w:cstheme="minorHAnsi"/>
          <w:b w:val="0"/>
          <w:sz w:val="24"/>
          <w:szCs w:val="24"/>
        </w:rPr>
        <w:t>, at which time there is a sell-off period in which initial buyers reap considerable gains</w:t>
      </w:r>
      <w:r w:rsidRPr="00A53EB5">
        <w:rPr>
          <w:rFonts w:asciiTheme="minorHAnsi" w:eastAsiaTheme="minorEastAsia" w:hAnsiTheme="minorHAnsi" w:cstheme="minorHAnsi"/>
          <w:b w:val="0"/>
          <w:sz w:val="24"/>
          <w:szCs w:val="24"/>
        </w:rPr>
        <w:t xml:space="preserve">. </w:t>
      </w:r>
      <w:r w:rsidR="00B76724" w:rsidRPr="00A53EB5">
        <w:rPr>
          <w:rFonts w:asciiTheme="minorHAnsi" w:eastAsiaTheme="minorEastAsia" w:hAnsiTheme="minorHAnsi" w:cstheme="minorHAnsi"/>
          <w:b w:val="0"/>
          <w:sz w:val="24"/>
          <w:szCs w:val="24"/>
        </w:rPr>
        <w:t>The other avenue of funding that has some appeal is venture capital, bu</w:t>
      </w:r>
      <w:r w:rsidR="00FA1F7E" w:rsidRPr="00A53EB5">
        <w:rPr>
          <w:rFonts w:asciiTheme="minorHAnsi" w:eastAsiaTheme="minorEastAsia" w:hAnsiTheme="minorHAnsi" w:cstheme="minorHAnsi"/>
          <w:b w:val="0"/>
          <w:sz w:val="24"/>
          <w:szCs w:val="24"/>
        </w:rPr>
        <w:t xml:space="preserve">t often </w:t>
      </w:r>
      <w:r w:rsidR="00B76724" w:rsidRPr="00A53EB5">
        <w:rPr>
          <w:rFonts w:asciiTheme="minorHAnsi" w:eastAsiaTheme="minorEastAsia" w:hAnsiTheme="minorHAnsi" w:cstheme="minorHAnsi"/>
          <w:b w:val="0"/>
          <w:sz w:val="24"/>
          <w:szCs w:val="24"/>
        </w:rPr>
        <w:t xml:space="preserve">this form of financing, means agreeing to significant covenants and constraints for </w:t>
      </w:r>
      <w:r w:rsidRPr="00A53EB5">
        <w:rPr>
          <w:rFonts w:asciiTheme="minorHAnsi" w:eastAsiaTheme="minorEastAsia" w:hAnsiTheme="minorHAnsi" w:cstheme="minorHAnsi"/>
          <w:b w:val="0"/>
          <w:sz w:val="24"/>
          <w:szCs w:val="24"/>
        </w:rPr>
        <w:t>entrepreneurs</w:t>
      </w:r>
      <w:r w:rsidR="00B95FF1" w:rsidRPr="00A53EB5">
        <w:rPr>
          <w:rFonts w:asciiTheme="minorHAnsi" w:eastAsiaTheme="minorEastAsia" w:hAnsiTheme="minorHAnsi" w:cstheme="minorHAnsi"/>
          <w:b w:val="0"/>
          <w:sz w:val="24"/>
          <w:szCs w:val="24"/>
        </w:rPr>
        <w:t>,</w:t>
      </w:r>
      <w:r w:rsidRPr="00A53EB5">
        <w:rPr>
          <w:rFonts w:asciiTheme="minorHAnsi" w:eastAsiaTheme="minorEastAsia" w:hAnsiTheme="minorHAnsi" w:cstheme="minorHAnsi"/>
          <w:b w:val="0"/>
          <w:sz w:val="24"/>
          <w:szCs w:val="24"/>
        </w:rPr>
        <w:t xml:space="preserve"> </w:t>
      </w:r>
      <w:r w:rsidR="00B76724" w:rsidRPr="00A53EB5">
        <w:rPr>
          <w:rFonts w:asciiTheme="minorHAnsi" w:eastAsiaTheme="minorEastAsia" w:hAnsiTheme="minorHAnsi" w:cstheme="minorHAnsi"/>
          <w:b w:val="0"/>
          <w:sz w:val="24"/>
          <w:szCs w:val="24"/>
        </w:rPr>
        <w:t>a</w:t>
      </w:r>
      <w:r w:rsidR="00B95FF1" w:rsidRPr="00A53EB5">
        <w:rPr>
          <w:rFonts w:asciiTheme="minorHAnsi" w:eastAsiaTheme="minorEastAsia" w:hAnsiTheme="minorHAnsi" w:cstheme="minorHAnsi"/>
          <w:b w:val="0"/>
          <w:sz w:val="24"/>
          <w:szCs w:val="24"/>
        </w:rPr>
        <w:t>nd maybe rightly so, as some evidence suggests that up to 75% of venture-backed sta</w:t>
      </w:r>
      <w:r w:rsidR="00DF71AB" w:rsidRPr="00A53EB5">
        <w:rPr>
          <w:rFonts w:asciiTheme="minorHAnsi" w:eastAsiaTheme="minorEastAsia" w:hAnsiTheme="minorHAnsi" w:cstheme="minorHAnsi"/>
          <w:b w:val="0"/>
          <w:sz w:val="24"/>
          <w:szCs w:val="24"/>
        </w:rPr>
        <w:t>r</w:t>
      </w:r>
      <w:r w:rsidR="00B95FF1" w:rsidRPr="00A53EB5">
        <w:rPr>
          <w:rFonts w:asciiTheme="minorHAnsi" w:eastAsiaTheme="minorEastAsia" w:hAnsiTheme="minorHAnsi" w:cstheme="minorHAnsi"/>
          <w:b w:val="0"/>
          <w:sz w:val="24"/>
          <w:szCs w:val="24"/>
        </w:rPr>
        <w:t>t-ups fail</w:t>
      </w:r>
      <w:r w:rsidR="00DF71AB" w:rsidRPr="00A53EB5">
        <w:rPr>
          <w:rFonts w:asciiTheme="minorHAnsi" w:eastAsiaTheme="minorEastAsia" w:hAnsiTheme="minorHAnsi" w:cstheme="minorHAnsi"/>
          <w:b w:val="0"/>
          <w:sz w:val="24"/>
          <w:szCs w:val="24"/>
        </w:rPr>
        <w:t>; s</w:t>
      </w:r>
      <w:r w:rsidR="00B95FF1" w:rsidRPr="00A53EB5">
        <w:rPr>
          <w:rFonts w:asciiTheme="minorHAnsi" w:eastAsiaTheme="minorEastAsia" w:hAnsiTheme="minorHAnsi" w:cstheme="minorHAnsi"/>
          <w:b w:val="0"/>
          <w:sz w:val="24"/>
          <w:szCs w:val="24"/>
        </w:rPr>
        <w:t xml:space="preserve">ee, </w:t>
      </w:r>
      <w:r w:rsidR="00B95FF1" w:rsidRPr="00A53EB5">
        <w:rPr>
          <w:rFonts w:asciiTheme="minorHAnsi" w:hAnsiTheme="minorHAnsi" w:cstheme="minorHAnsi"/>
          <w:b w:val="0"/>
          <w:color w:val="333333"/>
          <w:sz w:val="24"/>
          <w:szCs w:val="24"/>
          <w:shd w:val="clear" w:color="auto" w:fill="FFFFFF"/>
        </w:rPr>
        <w:t xml:space="preserve">Ghosh, </w:t>
      </w:r>
      <w:r w:rsidR="00DF71AB" w:rsidRPr="00A53EB5">
        <w:rPr>
          <w:rFonts w:asciiTheme="minorHAnsi" w:hAnsiTheme="minorHAnsi" w:cstheme="minorHAnsi"/>
          <w:b w:val="0"/>
          <w:color w:val="333333"/>
          <w:sz w:val="24"/>
          <w:szCs w:val="24"/>
          <w:shd w:val="clear" w:color="auto" w:fill="FFFFFF"/>
        </w:rPr>
        <w:t>(2012).</w:t>
      </w:r>
    </w:p>
    <w:p w:rsidR="00442AD8" w:rsidRPr="00A53EB5" w:rsidRDefault="00442AD8" w:rsidP="00442AD8">
      <w:pPr>
        <w:spacing w:after="200" w:line="288" w:lineRule="auto"/>
        <w:ind w:left="468"/>
        <w:jc w:val="both"/>
        <w:rPr>
          <w:rFonts w:asciiTheme="minorHAnsi" w:eastAsiaTheme="minorEastAsia" w:hAnsiTheme="minorHAnsi" w:cstheme="minorHAnsi"/>
        </w:rPr>
      </w:pPr>
    </w:p>
    <w:p w:rsidR="00D940AE" w:rsidRPr="00A53EB5" w:rsidRDefault="00B76724" w:rsidP="00442AD8">
      <w:pPr>
        <w:spacing w:after="200" w:line="288" w:lineRule="auto"/>
        <w:ind w:left="468"/>
        <w:jc w:val="both"/>
        <w:rPr>
          <w:rFonts w:asciiTheme="minorHAnsi" w:eastAsiaTheme="minorEastAsia" w:hAnsiTheme="minorHAnsi" w:cstheme="minorHAnsi"/>
        </w:rPr>
      </w:pPr>
      <w:r w:rsidRPr="00A53EB5">
        <w:rPr>
          <w:rFonts w:asciiTheme="minorHAnsi" w:eastAsiaTheme="minorEastAsia" w:hAnsiTheme="minorHAnsi" w:cstheme="minorHAnsi"/>
        </w:rPr>
        <w:t>It has been the experience of IPA members and their clients that a significant source of funding for SMS’</w:t>
      </w:r>
      <w:r w:rsidR="00FA1F7E" w:rsidRPr="00A53EB5">
        <w:rPr>
          <w:rFonts w:asciiTheme="minorHAnsi" w:eastAsiaTheme="minorEastAsia" w:hAnsiTheme="minorHAnsi" w:cstheme="minorHAnsi"/>
        </w:rPr>
        <w:t xml:space="preserve">s has traditionally </w:t>
      </w:r>
      <w:r w:rsidRPr="00A53EB5">
        <w:rPr>
          <w:rFonts w:asciiTheme="minorHAnsi" w:eastAsiaTheme="minorEastAsia" w:hAnsiTheme="minorHAnsi" w:cstheme="minorHAnsi"/>
        </w:rPr>
        <w:t xml:space="preserve">been </w:t>
      </w:r>
      <w:r w:rsidR="00D440FD" w:rsidRPr="00A53EB5">
        <w:rPr>
          <w:rFonts w:asciiTheme="minorHAnsi" w:eastAsiaTheme="minorEastAsia" w:hAnsiTheme="minorHAnsi" w:cstheme="minorHAnsi"/>
        </w:rPr>
        <w:t>an over-</w:t>
      </w:r>
      <w:r w:rsidR="00FA1F7E" w:rsidRPr="00A53EB5">
        <w:rPr>
          <w:rFonts w:asciiTheme="minorHAnsi" w:eastAsiaTheme="minorEastAsia" w:hAnsiTheme="minorHAnsi" w:cstheme="minorHAnsi"/>
        </w:rPr>
        <w:t xml:space="preserve">reliance </w:t>
      </w:r>
      <w:r w:rsidRPr="00A53EB5">
        <w:rPr>
          <w:rFonts w:asciiTheme="minorHAnsi" w:eastAsiaTheme="minorEastAsia" w:hAnsiTheme="minorHAnsi" w:cstheme="minorHAnsi"/>
        </w:rPr>
        <w:t xml:space="preserve">on </w:t>
      </w:r>
      <w:r w:rsidR="00FA1F7E" w:rsidRPr="00A53EB5">
        <w:rPr>
          <w:rFonts w:asciiTheme="minorHAnsi" w:eastAsiaTheme="minorEastAsia" w:hAnsiTheme="minorHAnsi" w:cstheme="minorHAnsi"/>
        </w:rPr>
        <w:t>funding</w:t>
      </w:r>
      <w:r w:rsidRPr="00A53EB5">
        <w:rPr>
          <w:rFonts w:asciiTheme="minorHAnsi" w:eastAsiaTheme="minorEastAsia" w:hAnsiTheme="minorHAnsi" w:cstheme="minorHAnsi"/>
        </w:rPr>
        <w:t xml:space="preserve"> from private sources such as </w:t>
      </w:r>
      <w:r w:rsidR="00FA1F7E" w:rsidRPr="00A53EB5">
        <w:rPr>
          <w:rFonts w:asciiTheme="minorHAnsi" w:eastAsiaTheme="minorEastAsia" w:hAnsiTheme="minorHAnsi" w:cstheme="minorHAnsi"/>
        </w:rPr>
        <w:t>family</w:t>
      </w:r>
      <w:r w:rsidRPr="00A53EB5">
        <w:rPr>
          <w:rFonts w:asciiTheme="minorHAnsi" w:eastAsiaTheme="minorEastAsia" w:hAnsiTheme="minorHAnsi" w:cstheme="minorHAnsi"/>
        </w:rPr>
        <w:t xml:space="preserve"> members and friends</w:t>
      </w:r>
      <w:r w:rsidR="00FA1F7E" w:rsidRPr="00A53EB5">
        <w:rPr>
          <w:rFonts w:asciiTheme="minorHAnsi" w:eastAsiaTheme="minorEastAsia" w:hAnsiTheme="minorHAnsi" w:cstheme="minorHAnsi"/>
        </w:rPr>
        <w:t>, and for many firms this is a wise choice where these funds are available and with no overwhelming restrictions. For mos</w:t>
      </w:r>
      <w:r w:rsidR="00796C61" w:rsidRPr="00A53EB5">
        <w:rPr>
          <w:rFonts w:asciiTheme="minorHAnsi" w:eastAsiaTheme="minorEastAsia" w:hAnsiTheme="minorHAnsi" w:cstheme="minorHAnsi"/>
        </w:rPr>
        <w:t>t</w:t>
      </w:r>
      <w:r w:rsidR="00FA1F7E" w:rsidRPr="00A53EB5">
        <w:rPr>
          <w:rFonts w:asciiTheme="minorHAnsi" w:eastAsiaTheme="minorEastAsia" w:hAnsiTheme="minorHAnsi" w:cstheme="minorHAnsi"/>
        </w:rPr>
        <w:t xml:space="preserve"> SME’s </w:t>
      </w:r>
      <w:r w:rsidR="00796C61" w:rsidRPr="00A53EB5">
        <w:rPr>
          <w:rFonts w:asciiTheme="minorHAnsi" w:eastAsiaTheme="minorEastAsia" w:hAnsiTheme="minorHAnsi" w:cstheme="minorHAnsi"/>
        </w:rPr>
        <w:t xml:space="preserve">however, </w:t>
      </w:r>
      <w:r w:rsidR="00FA1F7E" w:rsidRPr="00A53EB5">
        <w:rPr>
          <w:rFonts w:asciiTheme="minorHAnsi" w:eastAsiaTheme="minorEastAsia" w:hAnsiTheme="minorHAnsi" w:cstheme="minorHAnsi"/>
        </w:rPr>
        <w:t>private funding is not readily accessible</w:t>
      </w:r>
      <w:r w:rsidR="00D440FD" w:rsidRPr="00A53EB5">
        <w:rPr>
          <w:rFonts w:asciiTheme="minorHAnsi" w:eastAsiaTheme="minorEastAsia" w:hAnsiTheme="minorHAnsi" w:cstheme="minorHAnsi"/>
        </w:rPr>
        <w:t>, s</w:t>
      </w:r>
      <w:r w:rsidR="00FA1F7E" w:rsidRPr="00A53EB5">
        <w:rPr>
          <w:rFonts w:asciiTheme="minorHAnsi" w:eastAsiaTheme="minorEastAsia" w:hAnsiTheme="minorHAnsi" w:cstheme="minorHAnsi"/>
        </w:rPr>
        <w:t xml:space="preserve">ee Mroczkowski, </w:t>
      </w:r>
      <w:r w:rsidR="00625680" w:rsidRPr="00A53EB5">
        <w:rPr>
          <w:rFonts w:asciiTheme="minorHAnsi" w:eastAsiaTheme="minorEastAsia" w:hAnsiTheme="minorHAnsi" w:cstheme="minorHAnsi"/>
        </w:rPr>
        <w:t>(</w:t>
      </w:r>
      <w:r w:rsidR="00FA1F7E" w:rsidRPr="00A53EB5">
        <w:rPr>
          <w:rFonts w:asciiTheme="minorHAnsi" w:eastAsiaTheme="minorEastAsia" w:hAnsiTheme="minorHAnsi" w:cstheme="minorHAnsi"/>
        </w:rPr>
        <w:t>2008</w:t>
      </w:r>
      <w:r w:rsidR="00D440FD" w:rsidRPr="00A53EB5">
        <w:rPr>
          <w:rFonts w:asciiTheme="minorHAnsi" w:eastAsiaTheme="minorEastAsia" w:hAnsiTheme="minorHAnsi" w:cstheme="minorHAnsi"/>
        </w:rPr>
        <w:t>).</w:t>
      </w:r>
    </w:p>
    <w:p w:rsidR="0066686C" w:rsidRPr="00A53EB5" w:rsidRDefault="00661530" w:rsidP="0078636B">
      <w:pPr>
        <w:pStyle w:val="ListParagraph"/>
        <w:spacing w:after="200" w:line="288" w:lineRule="auto"/>
        <w:ind w:left="468"/>
        <w:jc w:val="both"/>
        <w:rPr>
          <w:rFonts w:asciiTheme="minorHAnsi" w:eastAsiaTheme="minorEastAsia" w:hAnsiTheme="minorHAnsi" w:cstheme="minorHAnsi"/>
          <w:i/>
          <w:szCs w:val="24"/>
        </w:rPr>
      </w:pPr>
      <w:r w:rsidRPr="00A53EB5">
        <w:rPr>
          <w:rFonts w:asciiTheme="minorHAnsi" w:eastAsiaTheme="minorEastAsia" w:hAnsiTheme="minorHAnsi" w:cstheme="minorHAnsi"/>
          <w:i/>
          <w:szCs w:val="24"/>
        </w:rPr>
        <w:t xml:space="preserve">Commentary of </w:t>
      </w:r>
      <w:r w:rsidR="007E1F5E">
        <w:rPr>
          <w:rFonts w:asciiTheme="minorHAnsi" w:eastAsiaTheme="minorEastAsia" w:hAnsiTheme="minorHAnsi" w:cstheme="minorHAnsi"/>
          <w:i/>
          <w:szCs w:val="24"/>
        </w:rPr>
        <w:t>d</w:t>
      </w:r>
      <w:r w:rsidRPr="00A53EB5">
        <w:rPr>
          <w:rFonts w:asciiTheme="minorHAnsi" w:eastAsiaTheme="minorEastAsia" w:hAnsiTheme="minorHAnsi" w:cstheme="minorHAnsi"/>
          <w:i/>
          <w:szCs w:val="24"/>
        </w:rPr>
        <w:t>irectorships</w:t>
      </w:r>
      <w:r w:rsidR="00442AD8" w:rsidRPr="00A53EB5">
        <w:rPr>
          <w:rFonts w:asciiTheme="minorHAnsi" w:eastAsiaTheme="minorEastAsia" w:hAnsiTheme="minorHAnsi" w:cstheme="minorHAnsi"/>
          <w:i/>
          <w:szCs w:val="24"/>
        </w:rPr>
        <w:t xml:space="preserve"> (</w:t>
      </w:r>
      <w:proofErr w:type="spellStart"/>
      <w:r w:rsidR="00442AD8" w:rsidRPr="00A53EB5">
        <w:rPr>
          <w:rFonts w:asciiTheme="minorHAnsi" w:eastAsiaTheme="minorEastAsia" w:hAnsiTheme="minorHAnsi" w:cstheme="minorHAnsi"/>
          <w:i/>
          <w:szCs w:val="24"/>
        </w:rPr>
        <w:t>ie</w:t>
      </w:r>
      <w:proofErr w:type="spellEnd"/>
      <w:r w:rsidR="00442AD8" w:rsidRPr="00A53EB5">
        <w:rPr>
          <w:rFonts w:asciiTheme="minorHAnsi" w:eastAsiaTheme="minorEastAsia" w:hAnsiTheme="minorHAnsi" w:cstheme="minorHAnsi"/>
          <w:i/>
          <w:szCs w:val="24"/>
        </w:rPr>
        <w:t xml:space="preserve"> minimum of </w:t>
      </w:r>
      <w:r w:rsidR="00904525">
        <w:rPr>
          <w:rFonts w:asciiTheme="minorHAnsi" w:eastAsiaTheme="minorEastAsia" w:hAnsiTheme="minorHAnsi" w:cstheme="minorHAnsi"/>
          <w:i/>
          <w:szCs w:val="24"/>
        </w:rPr>
        <w:t>two</w:t>
      </w:r>
      <w:r w:rsidR="00442AD8" w:rsidRPr="00A53EB5">
        <w:rPr>
          <w:rFonts w:asciiTheme="minorHAnsi" w:eastAsiaTheme="minorEastAsia" w:hAnsiTheme="minorHAnsi" w:cstheme="minorHAnsi"/>
          <w:i/>
          <w:szCs w:val="24"/>
        </w:rPr>
        <w:t xml:space="preserve"> directors) </w:t>
      </w:r>
    </w:p>
    <w:p w:rsidR="00661530" w:rsidRPr="00A53EB5" w:rsidRDefault="00661530" w:rsidP="00B478AE">
      <w:pPr>
        <w:spacing w:after="200" w:line="276" w:lineRule="auto"/>
        <w:ind w:left="468"/>
        <w:jc w:val="both"/>
        <w:rPr>
          <w:rFonts w:asciiTheme="minorHAnsi" w:eastAsiaTheme="minorHAnsi" w:hAnsiTheme="minorHAnsi" w:cstheme="minorHAnsi"/>
        </w:rPr>
      </w:pPr>
      <w:r w:rsidRPr="00A53EB5">
        <w:rPr>
          <w:rFonts w:asciiTheme="minorHAnsi" w:eastAsiaTheme="minorHAnsi" w:hAnsiTheme="minorHAnsi" w:cstheme="minorHAnsi"/>
        </w:rPr>
        <w:t>Nothing has come to our attention that would cause us to object to these amendments except where otherwise elsewhere identified in this response.</w:t>
      </w:r>
      <w:r w:rsidR="00B478AE" w:rsidRPr="00A53EB5">
        <w:rPr>
          <w:rFonts w:asciiTheme="minorHAnsi" w:eastAsiaTheme="minorHAnsi" w:hAnsiTheme="minorHAnsi" w:cstheme="minorHAnsi"/>
        </w:rPr>
        <w:t xml:space="preserve"> </w:t>
      </w:r>
    </w:p>
    <w:p w:rsidR="00661530" w:rsidRPr="00A53EB5" w:rsidRDefault="003B2A78" w:rsidP="0078636B">
      <w:pPr>
        <w:pStyle w:val="ListParagraph"/>
        <w:spacing w:after="200" w:line="288" w:lineRule="auto"/>
        <w:ind w:left="468"/>
        <w:jc w:val="both"/>
        <w:rPr>
          <w:rFonts w:asciiTheme="minorHAnsi" w:eastAsiaTheme="minorEastAsia" w:hAnsiTheme="minorHAnsi" w:cstheme="minorHAnsi"/>
          <w:i/>
          <w:szCs w:val="24"/>
        </w:rPr>
      </w:pPr>
      <w:r w:rsidRPr="00A53EB5">
        <w:rPr>
          <w:rFonts w:asciiTheme="minorHAnsi" w:eastAsiaTheme="minorEastAsia" w:hAnsiTheme="minorHAnsi" w:cstheme="minorHAnsi"/>
          <w:i/>
          <w:szCs w:val="24"/>
        </w:rPr>
        <w:t xml:space="preserve">Commentary of </w:t>
      </w:r>
      <w:r w:rsidR="007E1F5E">
        <w:rPr>
          <w:rFonts w:asciiTheme="minorHAnsi" w:eastAsiaTheme="minorEastAsia" w:hAnsiTheme="minorHAnsi" w:cstheme="minorHAnsi"/>
          <w:i/>
          <w:szCs w:val="24"/>
        </w:rPr>
        <w:t>r</w:t>
      </w:r>
      <w:r w:rsidRPr="00A53EB5">
        <w:rPr>
          <w:rFonts w:asciiTheme="minorHAnsi" w:eastAsiaTheme="minorEastAsia" w:hAnsiTheme="minorHAnsi" w:cstheme="minorHAnsi"/>
          <w:i/>
          <w:szCs w:val="24"/>
        </w:rPr>
        <w:t xml:space="preserve">esidency of </w:t>
      </w:r>
      <w:r w:rsidR="007E1F5E">
        <w:rPr>
          <w:rFonts w:asciiTheme="minorHAnsi" w:eastAsiaTheme="minorEastAsia" w:hAnsiTheme="minorHAnsi" w:cstheme="minorHAnsi"/>
          <w:i/>
          <w:szCs w:val="24"/>
        </w:rPr>
        <w:t>d</w:t>
      </w:r>
      <w:r w:rsidRPr="00A53EB5">
        <w:rPr>
          <w:rFonts w:asciiTheme="minorHAnsi" w:eastAsiaTheme="minorEastAsia" w:hAnsiTheme="minorHAnsi" w:cstheme="minorHAnsi"/>
          <w:i/>
          <w:szCs w:val="24"/>
        </w:rPr>
        <w:t>irectors</w:t>
      </w:r>
      <w:r w:rsidR="00442AD8" w:rsidRPr="00A53EB5">
        <w:rPr>
          <w:rFonts w:asciiTheme="minorHAnsi" w:eastAsiaTheme="minorEastAsia" w:hAnsiTheme="minorHAnsi" w:cstheme="minorHAnsi"/>
          <w:i/>
          <w:szCs w:val="24"/>
        </w:rPr>
        <w:t xml:space="preserve"> (</w:t>
      </w:r>
      <w:proofErr w:type="spellStart"/>
      <w:r w:rsidR="00442AD8" w:rsidRPr="00A53EB5">
        <w:rPr>
          <w:rFonts w:asciiTheme="minorHAnsi" w:eastAsiaTheme="minorEastAsia" w:hAnsiTheme="minorHAnsi" w:cstheme="minorHAnsi"/>
          <w:i/>
          <w:szCs w:val="24"/>
        </w:rPr>
        <w:t>ie</w:t>
      </w:r>
      <w:proofErr w:type="spellEnd"/>
      <w:r w:rsidR="00442AD8" w:rsidRPr="00A53EB5">
        <w:rPr>
          <w:rFonts w:asciiTheme="minorHAnsi" w:eastAsiaTheme="minorEastAsia" w:hAnsiTheme="minorHAnsi" w:cstheme="minorHAnsi"/>
          <w:i/>
          <w:szCs w:val="24"/>
        </w:rPr>
        <w:t xml:space="preserve"> majority of directors required to be resident in Australia) </w:t>
      </w:r>
    </w:p>
    <w:p w:rsidR="003B2A78" w:rsidRPr="00A53EB5" w:rsidRDefault="00442AD8" w:rsidP="003B2A78">
      <w:pPr>
        <w:spacing w:after="200" w:line="276" w:lineRule="auto"/>
        <w:ind w:left="468"/>
        <w:jc w:val="both"/>
        <w:rPr>
          <w:rFonts w:asciiTheme="minorHAnsi" w:eastAsiaTheme="minorHAnsi" w:hAnsiTheme="minorHAnsi" w:cstheme="minorHAnsi"/>
        </w:rPr>
      </w:pPr>
      <w:r w:rsidRPr="00A53EB5">
        <w:rPr>
          <w:rFonts w:asciiTheme="minorHAnsi" w:eastAsiaTheme="minorHAnsi" w:hAnsiTheme="minorHAnsi" w:cstheme="minorHAnsi"/>
        </w:rPr>
        <w:t xml:space="preserve">Except to the extent </w:t>
      </w:r>
      <w:r w:rsidR="00CB231D" w:rsidRPr="00A53EB5">
        <w:rPr>
          <w:rFonts w:asciiTheme="minorHAnsi" w:eastAsiaTheme="minorHAnsi" w:hAnsiTheme="minorHAnsi" w:cstheme="minorHAnsi"/>
        </w:rPr>
        <w:t xml:space="preserve"> that in circ</w:t>
      </w:r>
      <w:r w:rsidR="00904525">
        <w:rPr>
          <w:rFonts w:asciiTheme="minorHAnsi" w:eastAsiaTheme="minorHAnsi" w:hAnsiTheme="minorHAnsi" w:cstheme="minorHAnsi"/>
        </w:rPr>
        <w:t>umstances where there are only two</w:t>
      </w:r>
      <w:r w:rsidR="00CB231D" w:rsidRPr="00A53EB5">
        <w:rPr>
          <w:rFonts w:asciiTheme="minorHAnsi" w:eastAsiaTheme="minorHAnsi" w:hAnsiTheme="minorHAnsi" w:cstheme="minorHAnsi"/>
        </w:rPr>
        <w:t xml:space="preserve"> directors, determining what constitutes a majority would </w:t>
      </w:r>
      <w:r w:rsidR="00D440FD" w:rsidRPr="00A53EB5">
        <w:rPr>
          <w:rFonts w:asciiTheme="minorHAnsi" w:eastAsiaTheme="minorHAnsi" w:hAnsiTheme="minorHAnsi" w:cstheme="minorHAnsi"/>
        </w:rPr>
        <w:t xml:space="preserve">be somewhat </w:t>
      </w:r>
      <w:r w:rsidR="00CB231D" w:rsidRPr="00A53EB5">
        <w:rPr>
          <w:rFonts w:asciiTheme="minorHAnsi" w:eastAsiaTheme="minorHAnsi" w:hAnsiTheme="minorHAnsi" w:cstheme="minorHAnsi"/>
        </w:rPr>
        <w:t>difficult if not possible, n</w:t>
      </w:r>
      <w:r w:rsidR="003B2A78" w:rsidRPr="00A53EB5">
        <w:rPr>
          <w:rFonts w:asciiTheme="minorHAnsi" w:eastAsiaTheme="minorHAnsi" w:hAnsiTheme="minorHAnsi" w:cstheme="minorHAnsi"/>
        </w:rPr>
        <w:t xml:space="preserve">othing </w:t>
      </w:r>
      <w:r w:rsidR="00CB231D" w:rsidRPr="00A53EB5">
        <w:rPr>
          <w:rFonts w:asciiTheme="minorHAnsi" w:eastAsiaTheme="minorHAnsi" w:hAnsiTheme="minorHAnsi" w:cstheme="minorHAnsi"/>
        </w:rPr>
        <w:t xml:space="preserve">further </w:t>
      </w:r>
      <w:r w:rsidR="003B2A78" w:rsidRPr="00A53EB5">
        <w:rPr>
          <w:rFonts w:asciiTheme="minorHAnsi" w:eastAsiaTheme="minorHAnsi" w:hAnsiTheme="minorHAnsi" w:cstheme="minorHAnsi"/>
        </w:rPr>
        <w:t>has come to our attention that would cause us to object to these amendments</w:t>
      </w:r>
      <w:r w:rsidR="00CB231D" w:rsidRPr="00A53EB5">
        <w:rPr>
          <w:rFonts w:asciiTheme="minorHAnsi" w:eastAsiaTheme="minorHAnsi" w:hAnsiTheme="minorHAnsi" w:cstheme="minorHAnsi"/>
        </w:rPr>
        <w:t>.</w:t>
      </w:r>
      <w:r w:rsidR="003B2A78" w:rsidRPr="00A53EB5">
        <w:rPr>
          <w:rFonts w:asciiTheme="minorHAnsi" w:eastAsiaTheme="minorHAnsi" w:hAnsiTheme="minorHAnsi" w:cstheme="minorHAnsi"/>
        </w:rPr>
        <w:t xml:space="preserve"> </w:t>
      </w:r>
    </w:p>
    <w:p w:rsidR="003B2A78" w:rsidRPr="00A53EB5" w:rsidRDefault="003B2A78" w:rsidP="00B604BB">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szCs w:val="24"/>
        </w:rPr>
      </w:pPr>
      <w:r w:rsidRPr="00A53EB5">
        <w:rPr>
          <w:rFonts w:asciiTheme="minorHAnsi" w:eastAsiaTheme="minorHAnsi" w:hAnsiTheme="minorHAnsi" w:cstheme="minorHAnsi"/>
          <w:b/>
          <w:color w:val="E36C0A" w:themeColor="accent6" w:themeShade="BF"/>
          <w:szCs w:val="24"/>
        </w:rPr>
        <w:t>Cap of 50 non-employee shareholders</w:t>
      </w:r>
    </w:p>
    <w:p w:rsidR="00836E3A" w:rsidRPr="00A53EB5" w:rsidRDefault="00836E3A" w:rsidP="003B2A78">
      <w:pPr>
        <w:spacing w:after="200" w:line="276" w:lineRule="auto"/>
        <w:ind w:left="468"/>
        <w:jc w:val="both"/>
        <w:rPr>
          <w:rFonts w:asciiTheme="minorHAnsi" w:eastAsiaTheme="minorHAnsi" w:hAnsiTheme="minorHAnsi" w:cstheme="minorHAnsi"/>
          <w:i/>
        </w:rPr>
      </w:pPr>
      <w:r w:rsidRPr="00A53EB5">
        <w:rPr>
          <w:rFonts w:asciiTheme="minorHAnsi" w:eastAsiaTheme="minorHAnsi" w:hAnsiTheme="minorHAnsi" w:cstheme="minorHAnsi"/>
          <w:i/>
        </w:rPr>
        <w:t>Default trigger to public company form</w:t>
      </w:r>
    </w:p>
    <w:p w:rsidR="003B2A78" w:rsidRPr="00A53EB5" w:rsidRDefault="003B2A78" w:rsidP="003B2A78">
      <w:pPr>
        <w:spacing w:after="200" w:line="276" w:lineRule="auto"/>
        <w:ind w:left="468"/>
        <w:jc w:val="both"/>
        <w:rPr>
          <w:rFonts w:asciiTheme="minorHAnsi" w:eastAsiaTheme="minorHAnsi" w:hAnsiTheme="minorHAnsi" w:cstheme="minorHAnsi"/>
        </w:rPr>
      </w:pPr>
      <w:r w:rsidRPr="00A53EB5">
        <w:rPr>
          <w:rFonts w:asciiTheme="minorHAnsi" w:eastAsiaTheme="minorHAnsi" w:hAnsiTheme="minorHAnsi" w:cstheme="minorHAnsi"/>
        </w:rPr>
        <w:t xml:space="preserve">From our understanding of the proposed amendments, the existing cap of 50 </w:t>
      </w:r>
      <w:r w:rsidR="00836E3A" w:rsidRPr="00A53EB5">
        <w:rPr>
          <w:rFonts w:asciiTheme="minorHAnsi" w:eastAsiaTheme="minorHAnsi" w:hAnsiTheme="minorHAnsi" w:cstheme="minorHAnsi"/>
        </w:rPr>
        <w:t xml:space="preserve">non-employee </w:t>
      </w:r>
      <w:r w:rsidRPr="00A53EB5">
        <w:rPr>
          <w:rFonts w:asciiTheme="minorHAnsi" w:eastAsiaTheme="minorHAnsi" w:hAnsiTheme="minorHAnsi" w:cstheme="minorHAnsi"/>
        </w:rPr>
        <w:t>shareholders will not include sharehold</w:t>
      </w:r>
      <w:r w:rsidR="00836E3A" w:rsidRPr="00A53EB5">
        <w:rPr>
          <w:rFonts w:asciiTheme="minorHAnsi" w:eastAsiaTheme="minorHAnsi" w:hAnsiTheme="minorHAnsi" w:cstheme="minorHAnsi"/>
        </w:rPr>
        <w:t>ings</w:t>
      </w:r>
      <w:r w:rsidRPr="00A53EB5">
        <w:rPr>
          <w:rFonts w:asciiTheme="minorHAnsi" w:eastAsiaTheme="minorHAnsi" w:hAnsiTheme="minorHAnsi" w:cstheme="minorHAnsi"/>
        </w:rPr>
        <w:t xml:space="preserve"> that arise from a CSF offer, in which case first time acquirers of CSF shares</w:t>
      </w:r>
      <w:r w:rsidR="002827AA" w:rsidRPr="00A53EB5">
        <w:rPr>
          <w:rFonts w:asciiTheme="minorHAnsi" w:eastAsiaTheme="minorHAnsi" w:hAnsiTheme="minorHAnsi" w:cstheme="minorHAnsi"/>
        </w:rPr>
        <w:t xml:space="preserve"> </w:t>
      </w:r>
      <w:r w:rsidRPr="00A53EB5">
        <w:rPr>
          <w:rFonts w:asciiTheme="minorHAnsi" w:eastAsiaTheme="minorHAnsi" w:hAnsiTheme="minorHAnsi" w:cstheme="minorHAnsi"/>
        </w:rPr>
        <w:t xml:space="preserve">will not trigger the current default provisions in the law requiring a proprietary company to convert to a public company. The IPA has no issue with these </w:t>
      </w:r>
      <w:r w:rsidR="00836E3A" w:rsidRPr="00A53EB5">
        <w:rPr>
          <w:rFonts w:asciiTheme="minorHAnsi" w:eastAsiaTheme="minorHAnsi" w:hAnsiTheme="minorHAnsi" w:cstheme="minorHAnsi"/>
        </w:rPr>
        <w:t>amendments</w:t>
      </w:r>
      <w:r w:rsidRPr="00A53EB5">
        <w:rPr>
          <w:rFonts w:asciiTheme="minorHAnsi" w:eastAsiaTheme="minorHAnsi" w:hAnsiTheme="minorHAnsi" w:cstheme="minorHAnsi"/>
        </w:rPr>
        <w:t xml:space="preserve"> as they relate to initial buyers of CSF shares. However, </w:t>
      </w:r>
      <w:r w:rsidR="00836E3A" w:rsidRPr="00A53EB5">
        <w:rPr>
          <w:rFonts w:asciiTheme="minorHAnsi" w:eastAsiaTheme="minorHAnsi" w:hAnsiTheme="minorHAnsi" w:cstheme="minorHAnsi"/>
        </w:rPr>
        <w:t>we are concerned with the amendments as they relate</w:t>
      </w:r>
      <w:r w:rsidR="00842699" w:rsidRPr="00A53EB5">
        <w:rPr>
          <w:rFonts w:asciiTheme="minorHAnsi" w:eastAsiaTheme="minorHAnsi" w:hAnsiTheme="minorHAnsi" w:cstheme="minorHAnsi"/>
        </w:rPr>
        <w:t xml:space="preserve"> to</w:t>
      </w:r>
      <w:r w:rsidR="00836E3A" w:rsidRPr="00A53EB5">
        <w:rPr>
          <w:rFonts w:asciiTheme="minorHAnsi" w:eastAsiaTheme="minorHAnsi" w:hAnsiTheme="minorHAnsi" w:cstheme="minorHAnsi"/>
        </w:rPr>
        <w:t xml:space="preserve"> secondary buyers who lose the CSF status and are counted among the </w:t>
      </w:r>
      <w:r w:rsidR="00842699" w:rsidRPr="00A53EB5">
        <w:rPr>
          <w:rFonts w:asciiTheme="minorHAnsi" w:eastAsiaTheme="minorHAnsi" w:hAnsiTheme="minorHAnsi" w:cstheme="minorHAnsi"/>
        </w:rPr>
        <w:t xml:space="preserve">existing shareholding </w:t>
      </w:r>
      <w:r w:rsidR="00613AB5" w:rsidRPr="00A53EB5">
        <w:rPr>
          <w:rFonts w:asciiTheme="minorHAnsi" w:eastAsiaTheme="minorHAnsi" w:hAnsiTheme="minorHAnsi" w:cstheme="minorHAnsi"/>
        </w:rPr>
        <w:t xml:space="preserve">that is </w:t>
      </w:r>
      <w:r w:rsidR="00842699" w:rsidRPr="00A53EB5">
        <w:rPr>
          <w:rFonts w:asciiTheme="minorHAnsi" w:eastAsiaTheme="minorHAnsi" w:hAnsiTheme="minorHAnsi" w:cstheme="minorHAnsi"/>
        </w:rPr>
        <w:t>subject to the 50 non-employee shareholders</w:t>
      </w:r>
      <w:r w:rsidR="00613AB5" w:rsidRPr="00A53EB5">
        <w:rPr>
          <w:rFonts w:asciiTheme="minorHAnsi" w:eastAsiaTheme="minorHAnsi" w:hAnsiTheme="minorHAnsi" w:cstheme="minorHAnsi"/>
        </w:rPr>
        <w:t xml:space="preserve"> cap</w:t>
      </w:r>
      <w:r w:rsidR="00842699" w:rsidRPr="00A53EB5">
        <w:rPr>
          <w:rFonts w:asciiTheme="minorHAnsi" w:eastAsiaTheme="minorHAnsi" w:hAnsiTheme="minorHAnsi" w:cstheme="minorHAnsi"/>
        </w:rPr>
        <w:t xml:space="preserve">. Our concerns relate to our members and </w:t>
      </w:r>
      <w:r w:rsidR="001C0C6B" w:rsidRPr="00A53EB5">
        <w:rPr>
          <w:rFonts w:asciiTheme="minorHAnsi" w:eastAsiaTheme="minorHAnsi" w:hAnsiTheme="minorHAnsi" w:cstheme="minorHAnsi"/>
        </w:rPr>
        <w:t xml:space="preserve">their clients, many of whom </w:t>
      </w:r>
      <w:r w:rsidR="002827AA" w:rsidRPr="00A53EB5">
        <w:rPr>
          <w:rFonts w:asciiTheme="minorHAnsi" w:eastAsiaTheme="minorHAnsi" w:hAnsiTheme="minorHAnsi" w:cstheme="minorHAnsi"/>
        </w:rPr>
        <w:t>either directly or through various inter-posed entities, have</w:t>
      </w:r>
      <w:r w:rsidR="00842699" w:rsidRPr="00A53EB5">
        <w:rPr>
          <w:rFonts w:asciiTheme="minorHAnsi" w:eastAsiaTheme="minorHAnsi" w:hAnsiTheme="minorHAnsi" w:cstheme="minorHAnsi"/>
        </w:rPr>
        <w:t xml:space="preserve"> already reached the cap of 50 members or </w:t>
      </w:r>
      <w:r w:rsidR="00613AB5" w:rsidRPr="00A53EB5">
        <w:rPr>
          <w:rFonts w:asciiTheme="minorHAnsi" w:eastAsiaTheme="minorHAnsi" w:hAnsiTheme="minorHAnsi" w:cstheme="minorHAnsi"/>
        </w:rPr>
        <w:t xml:space="preserve">are </w:t>
      </w:r>
      <w:r w:rsidR="00842699" w:rsidRPr="00A53EB5">
        <w:rPr>
          <w:rFonts w:asciiTheme="minorHAnsi" w:eastAsiaTheme="minorHAnsi" w:hAnsiTheme="minorHAnsi" w:cstheme="minorHAnsi"/>
        </w:rPr>
        <w:t xml:space="preserve">close to it. Consider for example, instances where family firms with several families and their generations of offspring are shareholders and who are looming toward a membership of 50. A sudden sell-off or transfer of shares by initial purchasers to secondary </w:t>
      </w:r>
      <w:r w:rsidR="00D440FD" w:rsidRPr="00A53EB5">
        <w:rPr>
          <w:rFonts w:asciiTheme="minorHAnsi" w:eastAsiaTheme="minorHAnsi" w:hAnsiTheme="minorHAnsi" w:cstheme="minorHAnsi"/>
        </w:rPr>
        <w:t>buyers</w:t>
      </w:r>
      <w:r w:rsidR="00842699" w:rsidRPr="00A53EB5">
        <w:rPr>
          <w:rFonts w:asciiTheme="minorHAnsi" w:eastAsiaTheme="minorHAnsi" w:hAnsiTheme="minorHAnsi" w:cstheme="minorHAnsi"/>
        </w:rPr>
        <w:t xml:space="preserve"> might result in a breach of the cap thus resulting in a mandatory conversion to a public company</w:t>
      </w:r>
      <w:r w:rsidR="00613AB5" w:rsidRPr="00A53EB5">
        <w:rPr>
          <w:rFonts w:asciiTheme="minorHAnsi" w:eastAsiaTheme="minorHAnsi" w:hAnsiTheme="minorHAnsi" w:cstheme="minorHAnsi"/>
        </w:rPr>
        <w:t xml:space="preserve">. This in itself might bring with it unintended and undesirable circumstances for the original ‘private’ group of shareholders. We believe that this area of the proposed laws needs further </w:t>
      </w:r>
      <w:r w:rsidR="0073556C" w:rsidRPr="00A53EB5">
        <w:rPr>
          <w:rFonts w:asciiTheme="minorHAnsi" w:eastAsiaTheme="minorHAnsi" w:hAnsiTheme="minorHAnsi" w:cstheme="minorHAnsi"/>
        </w:rPr>
        <w:t>examination</w:t>
      </w:r>
      <w:r w:rsidR="00613AB5" w:rsidRPr="00A53EB5">
        <w:rPr>
          <w:rFonts w:asciiTheme="minorHAnsi" w:eastAsiaTheme="minorHAnsi" w:hAnsiTheme="minorHAnsi" w:cstheme="minorHAnsi"/>
        </w:rPr>
        <w:t xml:space="preserve"> and consideration, particularly whether it would be plausible, for at least the first 5-year period, to consider all acquirers, including secondary acquirers, as qualifying CSF shareholders, and thus not form part of the cap. </w:t>
      </w:r>
      <w:r w:rsidRPr="00A53EB5">
        <w:rPr>
          <w:rFonts w:asciiTheme="minorHAnsi" w:eastAsiaTheme="minorHAnsi" w:hAnsiTheme="minorHAnsi" w:cstheme="minorHAnsi"/>
        </w:rPr>
        <w:t xml:space="preserve"> </w:t>
      </w:r>
    </w:p>
    <w:p w:rsidR="003B2A78" w:rsidRPr="008243DC" w:rsidRDefault="00842699"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rPr>
      </w:pPr>
      <w:r w:rsidRPr="008243DC">
        <w:rPr>
          <w:rFonts w:asciiTheme="minorHAnsi" w:eastAsiaTheme="minorHAnsi" w:hAnsiTheme="minorHAnsi" w:cstheme="minorHAnsi"/>
          <w:b/>
          <w:color w:val="E36C0A" w:themeColor="accent6" w:themeShade="BF"/>
        </w:rPr>
        <w:t xml:space="preserve">Composition of </w:t>
      </w:r>
      <w:r w:rsidR="007E1F5E" w:rsidRPr="008243DC">
        <w:rPr>
          <w:rFonts w:asciiTheme="minorHAnsi" w:eastAsiaTheme="minorHAnsi" w:hAnsiTheme="minorHAnsi" w:cstheme="minorHAnsi"/>
          <w:b/>
          <w:color w:val="E36C0A" w:themeColor="accent6" w:themeShade="BF"/>
        </w:rPr>
        <w:t>s</w:t>
      </w:r>
      <w:r w:rsidRPr="008243DC">
        <w:rPr>
          <w:rFonts w:asciiTheme="minorHAnsi" w:eastAsiaTheme="minorHAnsi" w:hAnsiTheme="minorHAnsi" w:cstheme="minorHAnsi"/>
          <w:b/>
          <w:color w:val="E36C0A" w:themeColor="accent6" w:themeShade="BF"/>
        </w:rPr>
        <w:t>hareholding</w:t>
      </w:r>
    </w:p>
    <w:p w:rsidR="00DC7B02" w:rsidRPr="00A53EB5" w:rsidRDefault="00CB231D" w:rsidP="003B2A78">
      <w:pPr>
        <w:spacing w:after="200" w:line="276" w:lineRule="auto"/>
        <w:ind w:left="468"/>
        <w:jc w:val="both"/>
        <w:rPr>
          <w:rFonts w:asciiTheme="minorHAnsi" w:eastAsiaTheme="minorHAnsi" w:hAnsiTheme="minorHAnsi" w:cstheme="minorHAnsi"/>
        </w:rPr>
      </w:pPr>
      <w:r w:rsidRPr="00A53EB5">
        <w:rPr>
          <w:rFonts w:asciiTheme="minorHAnsi" w:eastAsiaTheme="minorHAnsi" w:hAnsiTheme="minorHAnsi" w:cstheme="minorHAnsi"/>
        </w:rPr>
        <w:t>In addition to our comments above, w</w:t>
      </w:r>
      <w:r w:rsidR="00842699" w:rsidRPr="00A53EB5">
        <w:rPr>
          <w:rFonts w:asciiTheme="minorHAnsi" w:eastAsiaTheme="minorHAnsi" w:hAnsiTheme="minorHAnsi" w:cstheme="minorHAnsi"/>
        </w:rPr>
        <w:t>e note the comment</w:t>
      </w:r>
      <w:r w:rsidRPr="00A53EB5">
        <w:rPr>
          <w:rFonts w:asciiTheme="minorHAnsi" w:eastAsiaTheme="minorHAnsi" w:hAnsiTheme="minorHAnsi" w:cstheme="minorHAnsi"/>
        </w:rPr>
        <w:t>ary</w:t>
      </w:r>
      <w:r w:rsidR="00842699" w:rsidRPr="00A53EB5">
        <w:rPr>
          <w:rFonts w:asciiTheme="minorHAnsi" w:eastAsiaTheme="minorHAnsi" w:hAnsiTheme="minorHAnsi" w:cstheme="minorHAnsi"/>
        </w:rPr>
        <w:t xml:space="preserve"> in the </w:t>
      </w:r>
      <w:r w:rsidRPr="00A53EB5">
        <w:rPr>
          <w:rFonts w:asciiTheme="minorHAnsi" w:eastAsiaTheme="minorHAnsi" w:hAnsiTheme="minorHAnsi" w:cstheme="minorHAnsi"/>
        </w:rPr>
        <w:t>E</w:t>
      </w:r>
      <w:r w:rsidR="00842699" w:rsidRPr="00A53EB5">
        <w:rPr>
          <w:rFonts w:asciiTheme="minorHAnsi" w:eastAsiaTheme="minorHAnsi" w:hAnsiTheme="minorHAnsi" w:cstheme="minorHAnsi"/>
        </w:rPr>
        <w:t xml:space="preserve">xplanatory Memorandum </w:t>
      </w:r>
      <w:r w:rsidRPr="00A53EB5">
        <w:rPr>
          <w:rFonts w:asciiTheme="minorHAnsi" w:eastAsiaTheme="minorHAnsi" w:hAnsiTheme="minorHAnsi" w:cstheme="minorHAnsi"/>
        </w:rPr>
        <w:t xml:space="preserve">that </w:t>
      </w:r>
      <w:r w:rsidR="00842699" w:rsidRPr="00A53EB5">
        <w:rPr>
          <w:rFonts w:asciiTheme="minorHAnsi" w:eastAsiaTheme="minorHAnsi" w:hAnsiTheme="minorHAnsi" w:cstheme="minorHAnsi"/>
        </w:rPr>
        <w:t xml:space="preserve">the new CSF regime for proprietary </w:t>
      </w:r>
      <w:r w:rsidR="00D440FD" w:rsidRPr="00A53EB5">
        <w:rPr>
          <w:rFonts w:asciiTheme="minorHAnsi" w:eastAsiaTheme="minorHAnsi" w:hAnsiTheme="minorHAnsi" w:cstheme="minorHAnsi"/>
        </w:rPr>
        <w:t>companies</w:t>
      </w:r>
      <w:r w:rsidR="00842699" w:rsidRPr="00A53EB5">
        <w:rPr>
          <w:rFonts w:asciiTheme="minorHAnsi" w:eastAsiaTheme="minorHAnsi" w:hAnsiTheme="minorHAnsi" w:cstheme="minorHAnsi"/>
        </w:rPr>
        <w:t xml:space="preserve"> will</w:t>
      </w:r>
      <w:r w:rsidRPr="00A53EB5">
        <w:rPr>
          <w:rFonts w:asciiTheme="minorHAnsi" w:eastAsiaTheme="minorHAnsi" w:hAnsiTheme="minorHAnsi" w:cstheme="minorHAnsi"/>
        </w:rPr>
        <w:t xml:space="preserve"> in effect</w:t>
      </w:r>
      <w:r w:rsidR="00842699" w:rsidRPr="00A53EB5">
        <w:rPr>
          <w:rFonts w:asciiTheme="minorHAnsi" w:eastAsiaTheme="minorHAnsi" w:hAnsiTheme="minorHAnsi" w:cstheme="minorHAnsi"/>
        </w:rPr>
        <w:t xml:space="preserve"> create two classes of shareholder</w:t>
      </w:r>
      <w:r w:rsidRPr="00A53EB5">
        <w:rPr>
          <w:rFonts w:asciiTheme="minorHAnsi" w:eastAsiaTheme="minorHAnsi" w:hAnsiTheme="minorHAnsi" w:cstheme="minorHAnsi"/>
        </w:rPr>
        <w:t>s and possibly another class for secondary buyers.</w:t>
      </w:r>
      <w:r w:rsidR="002827AA" w:rsidRPr="00A53EB5">
        <w:rPr>
          <w:rFonts w:asciiTheme="minorHAnsi" w:eastAsiaTheme="minorHAnsi" w:hAnsiTheme="minorHAnsi" w:cstheme="minorHAnsi"/>
        </w:rPr>
        <w:t xml:space="preserve"> W</w:t>
      </w:r>
      <w:r w:rsidRPr="00A53EB5">
        <w:rPr>
          <w:rFonts w:asciiTheme="minorHAnsi" w:eastAsiaTheme="minorHAnsi" w:hAnsiTheme="minorHAnsi" w:cstheme="minorHAnsi"/>
        </w:rPr>
        <w:t xml:space="preserve">e acknowledge that the class or classes of shareholders not forming part of the </w:t>
      </w:r>
      <w:r w:rsidR="002827AA" w:rsidRPr="00A53EB5">
        <w:rPr>
          <w:rFonts w:asciiTheme="minorHAnsi" w:eastAsiaTheme="minorHAnsi" w:hAnsiTheme="minorHAnsi" w:cstheme="minorHAnsi"/>
        </w:rPr>
        <w:t>original</w:t>
      </w:r>
      <w:r w:rsidRPr="00A53EB5">
        <w:rPr>
          <w:rFonts w:asciiTheme="minorHAnsi" w:eastAsiaTheme="minorHAnsi" w:hAnsiTheme="minorHAnsi" w:cstheme="minorHAnsi"/>
        </w:rPr>
        <w:t xml:space="preserve"> (closely held) holding</w:t>
      </w:r>
      <w:r w:rsidR="002827AA" w:rsidRPr="00A53EB5">
        <w:rPr>
          <w:rFonts w:asciiTheme="minorHAnsi" w:eastAsiaTheme="minorHAnsi" w:hAnsiTheme="minorHAnsi" w:cstheme="minorHAnsi"/>
        </w:rPr>
        <w:t xml:space="preserve">s </w:t>
      </w:r>
      <w:r w:rsidRPr="00A53EB5">
        <w:rPr>
          <w:rFonts w:asciiTheme="minorHAnsi" w:eastAsiaTheme="minorHAnsi" w:hAnsiTheme="minorHAnsi" w:cstheme="minorHAnsi"/>
        </w:rPr>
        <w:t xml:space="preserve">will </w:t>
      </w:r>
      <w:r w:rsidR="00D440FD" w:rsidRPr="00A53EB5">
        <w:rPr>
          <w:rFonts w:asciiTheme="minorHAnsi" w:eastAsiaTheme="minorHAnsi" w:hAnsiTheme="minorHAnsi" w:cstheme="minorHAnsi"/>
        </w:rPr>
        <w:t xml:space="preserve">thus </w:t>
      </w:r>
      <w:r w:rsidRPr="00A53EB5">
        <w:rPr>
          <w:rFonts w:asciiTheme="minorHAnsi" w:eastAsiaTheme="minorHAnsi" w:hAnsiTheme="minorHAnsi" w:cstheme="minorHAnsi"/>
        </w:rPr>
        <w:t xml:space="preserve">not have the same access to information </w:t>
      </w:r>
      <w:r w:rsidR="002827AA" w:rsidRPr="00A53EB5">
        <w:rPr>
          <w:rFonts w:asciiTheme="minorHAnsi" w:eastAsiaTheme="minorHAnsi" w:hAnsiTheme="minorHAnsi" w:cstheme="minorHAnsi"/>
        </w:rPr>
        <w:t xml:space="preserve">as those in the closely held group, </w:t>
      </w:r>
      <w:proofErr w:type="spellStart"/>
      <w:r w:rsidR="00D440FD" w:rsidRPr="00A53EB5">
        <w:rPr>
          <w:rFonts w:asciiTheme="minorHAnsi" w:eastAsiaTheme="minorHAnsi" w:hAnsiTheme="minorHAnsi" w:cstheme="minorHAnsi"/>
        </w:rPr>
        <w:t>ie</w:t>
      </w:r>
      <w:proofErr w:type="spellEnd"/>
      <w:r w:rsidR="00D440FD" w:rsidRPr="00A53EB5">
        <w:rPr>
          <w:rFonts w:asciiTheme="minorHAnsi" w:eastAsiaTheme="minorHAnsi" w:hAnsiTheme="minorHAnsi" w:cstheme="minorHAnsi"/>
        </w:rPr>
        <w:t xml:space="preserve"> </w:t>
      </w:r>
      <w:r w:rsidRPr="00A53EB5">
        <w:rPr>
          <w:rFonts w:asciiTheme="minorHAnsi" w:eastAsiaTheme="minorHAnsi" w:hAnsiTheme="minorHAnsi" w:cstheme="minorHAnsi"/>
        </w:rPr>
        <w:t xml:space="preserve">upon which to make informed </w:t>
      </w:r>
      <w:r w:rsidR="002827AA" w:rsidRPr="00A53EB5">
        <w:rPr>
          <w:rFonts w:asciiTheme="minorHAnsi" w:eastAsiaTheme="minorHAnsi" w:hAnsiTheme="minorHAnsi" w:cstheme="minorHAnsi"/>
        </w:rPr>
        <w:t>judgement</w:t>
      </w:r>
      <w:r w:rsidRPr="00A53EB5">
        <w:rPr>
          <w:rFonts w:asciiTheme="minorHAnsi" w:eastAsiaTheme="minorHAnsi" w:hAnsiTheme="minorHAnsi" w:cstheme="minorHAnsi"/>
        </w:rPr>
        <w:t xml:space="preserve"> as to the status of their investment</w:t>
      </w:r>
      <w:r w:rsidR="00D440FD" w:rsidRPr="00A53EB5">
        <w:rPr>
          <w:rFonts w:asciiTheme="minorHAnsi" w:eastAsiaTheme="minorHAnsi" w:hAnsiTheme="minorHAnsi" w:cstheme="minorHAnsi"/>
        </w:rPr>
        <w:t xml:space="preserve"> inter alia</w:t>
      </w:r>
      <w:r w:rsidR="002827AA" w:rsidRPr="00A53EB5">
        <w:rPr>
          <w:rFonts w:asciiTheme="minorHAnsi" w:eastAsiaTheme="minorHAnsi" w:hAnsiTheme="minorHAnsi" w:cstheme="minorHAnsi"/>
        </w:rPr>
        <w:t>. Accordingly, the typical situation articulated in the literature as a separation of ownership and control</w:t>
      </w:r>
      <w:r w:rsidR="001C0C6B" w:rsidRPr="00A53EB5">
        <w:rPr>
          <w:rFonts w:asciiTheme="minorHAnsi" w:eastAsiaTheme="minorHAnsi" w:hAnsiTheme="minorHAnsi" w:cstheme="minorHAnsi"/>
        </w:rPr>
        <w:t xml:space="preserve"> will occur</w:t>
      </w:r>
      <w:r w:rsidR="002827AA" w:rsidRPr="00A53EB5">
        <w:rPr>
          <w:rFonts w:asciiTheme="minorHAnsi" w:eastAsiaTheme="minorHAnsi" w:hAnsiTheme="minorHAnsi" w:cstheme="minorHAnsi"/>
        </w:rPr>
        <w:t xml:space="preserve"> and therefore the need for protection for these groups of shareholders</w:t>
      </w:r>
      <w:r w:rsidR="001C0C6B" w:rsidRPr="00A53EB5">
        <w:rPr>
          <w:rFonts w:asciiTheme="minorHAnsi" w:eastAsiaTheme="minorHAnsi" w:hAnsiTheme="minorHAnsi" w:cstheme="minorHAnsi"/>
        </w:rPr>
        <w:t xml:space="preserve"> is warranted</w:t>
      </w:r>
      <w:r w:rsidR="002827AA" w:rsidRPr="00A53EB5">
        <w:rPr>
          <w:rFonts w:asciiTheme="minorHAnsi" w:eastAsiaTheme="minorHAnsi" w:hAnsiTheme="minorHAnsi" w:cstheme="minorHAnsi"/>
        </w:rPr>
        <w:t>. The IPA has no issue with t</w:t>
      </w:r>
      <w:r w:rsidR="00B17717" w:rsidRPr="00A53EB5">
        <w:rPr>
          <w:rFonts w:asciiTheme="minorHAnsi" w:eastAsiaTheme="minorHAnsi" w:hAnsiTheme="minorHAnsi" w:cstheme="minorHAnsi"/>
        </w:rPr>
        <w:t>hese additional</w:t>
      </w:r>
      <w:r w:rsidR="002827AA" w:rsidRPr="00A53EB5">
        <w:rPr>
          <w:rFonts w:asciiTheme="minorHAnsi" w:eastAsiaTheme="minorHAnsi" w:hAnsiTheme="minorHAnsi" w:cstheme="minorHAnsi"/>
        </w:rPr>
        <w:t xml:space="preserve"> </w:t>
      </w:r>
      <w:r w:rsidR="00B17717" w:rsidRPr="00A53EB5">
        <w:rPr>
          <w:rFonts w:asciiTheme="minorHAnsi" w:eastAsiaTheme="minorHAnsi" w:hAnsiTheme="minorHAnsi" w:cstheme="minorHAnsi"/>
        </w:rPr>
        <w:t xml:space="preserve">protections and </w:t>
      </w:r>
      <w:r w:rsidR="002827AA" w:rsidRPr="00A53EB5">
        <w:rPr>
          <w:rFonts w:asciiTheme="minorHAnsi" w:eastAsiaTheme="minorHAnsi" w:hAnsiTheme="minorHAnsi" w:cstheme="minorHAnsi"/>
        </w:rPr>
        <w:t xml:space="preserve">measures, </w:t>
      </w:r>
      <w:r w:rsidR="001C0C6B" w:rsidRPr="00A53EB5">
        <w:rPr>
          <w:rFonts w:asciiTheme="minorHAnsi" w:eastAsiaTheme="minorHAnsi" w:hAnsiTheme="minorHAnsi" w:cstheme="minorHAnsi"/>
        </w:rPr>
        <w:t>particularly the</w:t>
      </w:r>
      <w:r w:rsidR="002827AA" w:rsidRPr="00A53EB5">
        <w:rPr>
          <w:rFonts w:asciiTheme="minorHAnsi" w:eastAsiaTheme="minorHAnsi" w:hAnsiTheme="minorHAnsi" w:cstheme="minorHAnsi"/>
        </w:rPr>
        <w:t xml:space="preserve"> </w:t>
      </w:r>
      <w:r w:rsidR="00B17717" w:rsidRPr="00A53EB5">
        <w:rPr>
          <w:rFonts w:asciiTheme="minorHAnsi" w:eastAsiaTheme="minorHAnsi" w:hAnsiTheme="minorHAnsi" w:cstheme="minorHAnsi"/>
        </w:rPr>
        <w:t>additional reporting and governance regulations as discussed</w:t>
      </w:r>
      <w:r w:rsidR="002827AA" w:rsidRPr="00A53EB5">
        <w:rPr>
          <w:rFonts w:asciiTheme="minorHAnsi" w:eastAsiaTheme="minorHAnsi" w:hAnsiTheme="minorHAnsi" w:cstheme="minorHAnsi"/>
        </w:rPr>
        <w:t xml:space="preserve"> </w:t>
      </w:r>
      <w:r w:rsidR="00B17717" w:rsidRPr="00A53EB5">
        <w:rPr>
          <w:rFonts w:asciiTheme="minorHAnsi" w:eastAsiaTheme="minorHAnsi" w:hAnsiTheme="minorHAnsi" w:cstheme="minorHAnsi"/>
        </w:rPr>
        <w:t>further below</w:t>
      </w:r>
      <w:r w:rsidR="002827AA" w:rsidRPr="00A53EB5">
        <w:rPr>
          <w:rFonts w:asciiTheme="minorHAnsi" w:eastAsiaTheme="minorHAnsi" w:hAnsiTheme="minorHAnsi" w:cstheme="minorHAnsi"/>
        </w:rPr>
        <w:t>. Our concerns are more with the rights of the new shareholder group</w:t>
      </w:r>
      <w:r w:rsidR="001C0C6B" w:rsidRPr="00A53EB5">
        <w:rPr>
          <w:rFonts w:asciiTheme="minorHAnsi" w:eastAsiaTheme="minorHAnsi" w:hAnsiTheme="minorHAnsi" w:cstheme="minorHAnsi"/>
        </w:rPr>
        <w:t>(</w:t>
      </w:r>
      <w:r w:rsidR="002827AA" w:rsidRPr="00A53EB5">
        <w:rPr>
          <w:rFonts w:asciiTheme="minorHAnsi" w:eastAsiaTheme="minorHAnsi" w:hAnsiTheme="minorHAnsi" w:cstheme="minorHAnsi"/>
        </w:rPr>
        <w:t>s</w:t>
      </w:r>
      <w:r w:rsidR="001C0C6B" w:rsidRPr="00A53EB5">
        <w:rPr>
          <w:rFonts w:asciiTheme="minorHAnsi" w:eastAsiaTheme="minorHAnsi" w:hAnsiTheme="minorHAnsi" w:cstheme="minorHAnsi"/>
        </w:rPr>
        <w:t>)</w:t>
      </w:r>
      <w:r w:rsidR="002827AA" w:rsidRPr="00A53EB5">
        <w:rPr>
          <w:rFonts w:asciiTheme="minorHAnsi" w:eastAsiaTheme="minorHAnsi" w:hAnsiTheme="minorHAnsi" w:cstheme="minorHAnsi"/>
        </w:rPr>
        <w:t xml:space="preserve">. </w:t>
      </w:r>
      <w:r w:rsidR="001C0C6B" w:rsidRPr="00A53EB5">
        <w:rPr>
          <w:rFonts w:asciiTheme="minorHAnsi" w:eastAsiaTheme="minorHAnsi" w:hAnsiTheme="minorHAnsi" w:cstheme="minorHAnsi"/>
        </w:rPr>
        <w:t>Nothing has come to our attention within the bill or the explanatory memorandum for us to</w:t>
      </w:r>
      <w:r w:rsidR="00DC7B02" w:rsidRPr="00A53EB5">
        <w:rPr>
          <w:rFonts w:asciiTheme="minorHAnsi" w:eastAsiaTheme="minorHAnsi" w:hAnsiTheme="minorHAnsi" w:cstheme="minorHAnsi"/>
        </w:rPr>
        <w:t xml:space="preserve"> assume </w:t>
      </w:r>
      <w:r w:rsidR="002827AA" w:rsidRPr="00A53EB5">
        <w:rPr>
          <w:rFonts w:asciiTheme="minorHAnsi" w:eastAsiaTheme="minorHAnsi" w:hAnsiTheme="minorHAnsi" w:cstheme="minorHAnsi"/>
        </w:rPr>
        <w:t xml:space="preserve">that </w:t>
      </w:r>
      <w:r w:rsidR="00DC7B02" w:rsidRPr="00A53EB5">
        <w:rPr>
          <w:rFonts w:asciiTheme="minorHAnsi" w:eastAsiaTheme="minorHAnsi" w:hAnsiTheme="minorHAnsi" w:cstheme="minorHAnsi"/>
        </w:rPr>
        <w:t xml:space="preserve">the normal provisions of the law relating to all companies will </w:t>
      </w:r>
      <w:r w:rsidR="001C0C6B" w:rsidRPr="00A53EB5">
        <w:rPr>
          <w:rFonts w:asciiTheme="minorHAnsi" w:eastAsiaTheme="minorHAnsi" w:hAnsiTheme="minorHAnsi" w:cstheme="minorHAnsi"/>
        </w:rPr>
        <w:t xml:space="preserve">not </w:t>
      </w:r>
      <w:r w:rsidR="00DC7B02" w:rsidRPr="00A53EB5">
        <w:rPr>
          <w:rFonts w:asciiTheme="minorHAnsi" w:eastAsiaTheme="minorHAnsi" w:hAnsiTheme="minorHAnsi" w:cstheme="minorHAnsi"/>
        </w:rPr>
        <w:t>equally apply to CS</w:t>
      </w:r>
      <w:r w:rsidR="001C0C6B" w:rsidRPr="00A53EB5">
        <w:rPr>
          <w:rFonts w:asciiTheme="minorHAnsi" w:eastAsiaTheme="minorHAnsi" w:hAnsiTheme="minorHAnsi" w:cstheme="minorHAnsi"/>
        </w:rPr>
        <w:t xml:space="preserve">F shareholders. Accordingly, we would expect their </w:t>
      </w:r>
      <w:r w:rsidR="00DC7B02" w:rsidRPr="00A53EB5">
        <w:rPr>
          <w:rFonts w:asciiTheme="minorHAnsi" w:eastAsiaTheme="minorHAnsi" w:hAnsiTheme="minorHAnsi" w:cstheme="minorHAnsi"/>
        </w:rPr>
        <w:t xml:space="preserve">rights and entitlements </w:t>
      </w:r>
      <w:r w:rsidR="001C0C6B" w:rsidRPr="00A53EB5">
        <w:rPr>
          <w:rFonts w:asciiTheme="minorHAnsi" w:eastAsiaTheme="minorHAnsi" w:hAnsiTheme="minorHAnsi" w:cstheme="minorHAnsi"/>
        </w:rPr>
        <w:t>to be the same</w:t>
      </w:r>
      <w:r w:rsidR="00DC7B02" w:rsidRPr="00A53EB5">
        <w:rPr>
          <w:rFonts w:asciiTheme="minorHAnsi" w:eastAsiaTheme="minorHAnsi" w:hAnsiTheme="minorHAnsi" w:cstheme="minorHAnsi"/>
        </w:rPr>
        <w:t xml:space="preserve"> as a result of being in a separate class of shareholding. For example;</w:t>
      </w:r>
    </w:p>
    <w:p w:rsidR="00DC7B02" w:rsidRPr="00A53EB5" w:rsidRDefault="001C0C6B" w:rsidP="00DC7B02">
      <w:pPr>
        <w:pStyle w:val="ListParagraph"/>
        <w:numPr>
          <w:ilvl w:val="0"/>
          <w:numId w:val="8"/>
        </w:numPr>
        <w:spacing w:after="200" w:line="276" w:lineRule="auto"/>
        <w:jc w:val="both"/>
        <w:rPr>
          <w:rFonts w:asciiTheme="minorHAnsi" w:eastAsiaTheme="minorHAnsi" w:hAnsiTheme="minorHAnsi" w:cstheme="minorHAnsi"/>
          <w:szCs w:val="24"/>
        </w:rPr>
      </w:pPr>
      <w:r w:rsidRPr="00A53EB5">
        <w:rPr>
          <w:rFonts w:asciiTheme="minorHAnsi" w:eastAsiaTheme="minorHAnsi" w:hAnsiTheme="minorHAnsi" w:cstheme="minorHAnsi"/>
          <w:szCs w:val="24"/>
        </w:rPr>
        <w:t>The right to expect the full application of the law with respect to the f</w:t>
      </w:r>
      <w:r w:rsidR="00DC7B02" w:rsidRPr="00A53EB5">
        <w:rPr>
          <w:rFonts w:asciiTheme="minorHAnsi" w:eastAsiaTheme="minorHAnsi" w:hAnsiTheme="minorHAnsi" w:cstheme="minorHAnsi"/>
          <w:szCs w:val="24"/>
        </w:rPr>
        <w:t xml:space="preserve">iduciary duties of directors as they currently apply to all shareholders </w:t>
      </w:r>
    </w:p>
    <w:p w:rsidR="00DC7B02" w:rsidRPr="00A53EB5" w:rsidRDefault="00DC7B02" w:rsidP="00DC7B02">
      <w:pPr>
        <w:pStyle w:val="ListParagraph"/>
        <w:numPr>
          <w:ilvl w:val="0"/>
          <w:numId w:val="8"/>
        </w:numPr>
        <w:spacing w:after="200" w:line="276" w:lineRule="auto"/>
        <w:jc w:val="both"/>
        <w:rPr>
          <w:rFonts w:asciiTheme="minorHAnsi" w:eastAsiaTheme="minorHAnsi" w:hAnsiTheme="minorHAnsi" w:cstheme="minorHAnsi"/>
          <w:szCs w:val="24"/>
        </w:rPr>
      </w:pPr>
      <w:r w:rsidRPr="00A53EB5">
        <w:rPr>
          <w:rFonts w:asciiTheme="minorHAnsi" w:eastAsiaTheme="minorHAnsi" w:hAnsiTheme="minorHAnsi" w:cstheme="minorHAnsi"/>
          <w:szCs w:val="24"/>
        </w:rPr>
        <w:t>The rights to dividends assuming the crite</w:t>
      </w:r>
      <w:r w:rsidR="00C61570" w:rsidRPr="00A53EB5">
        <w:rPr>
          <w:rFonts w:asciiTheme="minorHAnsi" w:eastAsiaTheme="minorHAnsi" w:hAnsiTheme="minorHAnsi" w:cstheme="minorHAnsi"/>
          <w:szCs w:val="24"/>
        </w:rPr>
        <w:t xml:space="preserve">ria within the </w:t>
      </w:r>
      <w:r w:rsidR="00904525">
        <w:rPr>
          <w:rFonts w:asciiTheme="minorHAnsi" w:eastAsiaTheme="minorHAnsi" w:hAnsiTheme="minorHAnsi" w:cstheme="minorHAnsi"/>
          <w:szCs w:val="24"/>
        </w:rPr>
        <w:t>A</w:t>
      </w:r>
      <w:r w:rsidR="00C61570" w:rsidRPr="00A53EB5">
        <w:rPr>
          <w:rFonts w:asciiTheme="minorHAnsi" w:eastAsiaTheme="minorHAnsi" w:hAnsiTheme="minorHAnsi" w:cstheme="minorHAnsi"/>
          <w:szCs w:val="24"/>
        </w:rPr>
        <w:t>ct are satisfied</w:t>
      </w:r>
    </w:p>
    <w:p w:rsidR="00DC7B02" w:rsidRPr="00A53EB5" w:rsidRDefault="00DC7B02" w:rsidP="00DC7B02">
      <w:pPr>
        <w:pStyle w:val="ListParagraph"/>
        <w:numPr>
          <w:ilvl w:val="0"/>
          <w:numId w:val="8"/>
        </w:numPr>
        <w:spacing w:after="200" w:line="276" w:lineRule="auto"/>
        <w:jc w:val="both"/>
        <w:rPr>
          <w:rFonts w:asciiTheme="minorHAnsi" w:eastAsiaTheme="minorHAnsi" w:hAnsiTheme="minorHAnsi" w:cstheme="minorHAnsi"/>
          <w:szCs w:val="24"/>
        </w:rPr>
      </w:pPr>
      <w:r w:rsidRPr="00A53EB5">
        <w:rPr>
          <w:rFonts w:asciiTheme="minorHAnsi" w:eastAsiaTheme="minorHAnsi" w:hAnsiTheme="minorHAnsi" w:cstheme="minorHAnsi"/>
          <w:szCs w:val="24"/>
        </w:rPr>
        <w:t>The right to attend meetings</w:t>
      </w:r>
      <w:r w:rsidR="001C0C6B" w:rsidRPr="00A53EB5">
        <w:rPr>
          <w:rFonts w:asciiTheme="minorHAnsi" w:eastAsiaTheme="minorHAnsi" w:hAnsiTheme="minorHAnsi" w:cstheme="minorHAnsi"/>
          <w:szCs w:val="24"/>
        </w:rPr>
        <w:t xml:space="preserve"> if and when called</w:t>
      </w:r>
    </w:p>
    <w:p w:rsidR="001C0C6B" w:rsidRPr="00A53EB5" w:rsidRDefault="001C0C6B" w:rsidP="001C0C6B">
      <w:pPr>
        <w:pStyle w:val="ListParagraph"/>
        <w:numPr>
          <w:ilvl w:val="0"/>
          <w:numId w:val="8"/>
        </w:numPr>
        <w:spacing w:after="200" w:line="276" w:lineRule="auto"/>
        <w:jc w:val="both"/>
        <w:rPr>
          <w:rFonts w:asciiTheme="minorHAnsi" w:eastAsiaTheme="minorHAnsi" w:hAnsiTheme="minorHAnsi" w:cstheme="minorHAnsi"/>
          <w:szCs w:val="24"/>
        </w:rPr>
      </w:pPr>
      <w:r w:rsidRPr="00A53EB5">
        <w:rPr>
          <w:rFonts w:asciiTheme="minorHAnsi" w:eastAsiaTheme="minorHAnsi" w:hAnsiTheme="minorHAnsi" w:cstheme="minorHAnsi"/>
          <w:szCs w:val="24"/>
        </w:rPr>
        <w:t>The right to receive financial reports, and so on</w:t>
      </w:r>
      <w:r w:rsidR="00904525">
        <w:rPr>
          <w:rFonts w:asciiTheme="minorHAnsi" w:eastAsiaTheme="minorHAnsi" w:hAnsiTheme="minorHAnsi" w:cstheme="minorHAnsi"/>
          <w:szCs w:val="24"/>
        </w:rPr>
        <w:t>.</w:t>
      </w:r>
    </w:p>
    <w:p w:rsidR="002827AA" w:rsidRPr="00A53EB5" w:rsidRDefault="00D440FD" w:rsidP="00DC7B02">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 xml:space="preserve">As is </w:t>
      </w:r>
      <w:r w:rsidR="00904525">
        <w:rPr>
          <w:rFonts w:asciiTheme="minorHAnsi" w:eastAsiaTheme="minorHAnsi" w:hAnsiTheme="minorHAnsi" w:cstheme="minorHAnsi"/>
        </w:rPr>
        <w:t xml:space="preserve">sometimes the case with </w:t>
      </w:r>
      <w:r w:rsidR="0073556C" w:rsidRPr="00A53EB5">
        <w:rPr>
          <w:rFonts w:asciiTheme="minorHAnsi" w:eastAsiaTheme="minorHAnsi" w:hAnsiTheme="minorHAnsi" w:cstheme="minorHAnsi"/>
        </w:rPr>
        <w:t>legislation, proposed amendments make reference to additional requirements that may be specified in the regulations and accompanying schedules from time-to-time, and often without providing additional information. For example, within the Corporations Amendment (Crowd-Sourced Funding) Ac</w:t>
      </w:r>
      <w:r w:rsidR="009D4125" w:rsidRPr="00A53EB5">
        <w:rPr>
          <w:rFonts w:asciiTheme="minorHAnsi" w:eastAsiaTheme="minorHAnsi" w:hAnsiTheme="minorHAnsi" w:cstheme="minorHAnsi"/>
        </w:rPr>
        <w:t>t</w:t>
      </w:r>
      <w:r w:rsidR="0073556C" w:rsidRPr="00A53EB5">
        <w:rPr>
          <w:rFonts w:asciiTheme="minorHAnsi" w:eastAsiaTheme="minorHAnsi" w:hAnsiTheme="minorHAnsi" w:cstheme="minorHAnsi"/>
        </w:rPr>
        <w:t xml:space="preserve"> 2017</w:t>
      </w:r>
      <w:r w:rsidR="009D4125" w:rsidRPr="00A53EB5">
        <w:rPr>
          <w:rFonts w:asciiTheme="minorHAnsi" w:eastAsiaTheme="minorHAnsi" w:hAnsiTheme="minorHAnsi" w:cstheme="minorHAnsi"/>
        </w:rPr>
        <w:t xml:space="preserve">, No 17, 2017, </w:t>
      </w:r>
      <w:r w:rsidR="0073556C" w:rsidRPr="00A53EB5">
        <w:rPr>
          <w:rFonts w:asciiTheme="minorHAnsi" w:eastAsiaTheme="minorHAnsi" w:hAnsiTheme="minorHAnsi" w:cstheme="minorHAnsi"/>
        </w:rPr>
        <w:t>applicable to public companies,</w:t>
      </w:r>
      <w:r w:rsidRPr="00A53EB5">
        <w:rPr>
          <w:rFonts w:asciiTheme="minorHAnsi" w:eastAsiaTheme="minorHAnsi" w:hAnsiTheme="minorHAnsi" w:cstheme="minorHAnsi"/>
        </w:rPr>
        <w:t xml:space="preserve"> s738F(3), </w:t>
      </w:r>
      <w:r w:rsidR="009D4125" w:rsidRPr="00A53EB5">
        <w:rPr>
          <w:rFonts w:asciiTheme="minorHAnsi" w:eastAsiaTheme="minorHAnsi" w:hAnsiTheme="minorHAnsi" w:cstheme="minorHAnsi"/>
        </w:rPr>
        <w:t xml:space="preserve">s738G(f), </w:t>
      </w:r>
      <w:r w:rsidRPr="00A53EB5">
        <w:rPr>
          <w:rFonts w:asciiTheme="minorHAnsi" w:eastAsiaTheme="minorHAnsi" w:hAnsiTheme="minorHAnsi" w:cstheme="minorHAnsi"/>
        </w:rPr>
        <w:t xml:space="preserve">and </w:t>
      </w:r>
      <w:r w:rsidR="009D4125" w:rsidRPr="00A53EB5">
        <w:rPr>
          <w:rFonts w:asciiTheme="minorHAnsi" w:eastAsiaTheme="minorHAnsi" w:hAnsiTheme="minorHAnsi" w:cstheme="minorHAnsi"/>
        </w:rPr>
        <w:t>s738ZJ</w:t>
      </w:r>
      <w:r w:rsidR="00B72D4D" w:rsidRPr="00A53EB5">
        <w:rPr>
          <w:rFonts w:asciiTheme="minorHAnsi" w:eastAsiaTheme="minorHAnsi" w:hAnsiTheme="minorHAnsi" w:cstheme="minorHAnsi"/>
        </w:rPr>
        <w:t xml:space="preserve"> are typical examples of citations relating to regulations dealing with further detail. </w:t>
      </w:r>
      <w:r w:rsidR="0073556C" w:rsidRPr="00A53EB5">
        <w:rPr>
          <w:rFonts w:asciiTheme="minorHAnsi" w:eastAsiaTheme="minorHAnsi" w:hAnsiTheme="minorHAnsi" w:cstheme="minorHAnsi"/>
        </w:rPr>
        <w:t xml:space="preserve">While we understand that regulations </w:t>
      </w:r>
      <w:r w:rsidR="00B72D4D" w:rsidRPr="00A53EB5">
        <w:rPr>
          <w:rFonts w:asciiTheme="minorHAnsi" w:eastAsiaTheme="minorHAnsi" w:hAnsiTheme="minorHAnsi" w:cstheme="minorHAnsi"/>
        </w:rPr>
        <w:t xml:space="preserve">and schedules </w:t>
      </w:r>
      <w:r w:rsidR="0073556C" w:rsidRPr="00A53EB5">
        <w:rPr>
          <w:rFonts w:asciiTheme="minorHAnsi" w:eastAsiaTheme="minorHAnsi" w:hAnsiTheme="minorHAnsi" w:cstheme="minorHAnsi"/>
        </w:rPr>
        <w:t xml:space="preserve">are required to </w:t>
      </w:r>
      <w:r w:rsidR="00B72D4D" w:rsidRPr="00A53EB5">
        <w:rPr>
          <w:rFonts w:asciiTheme="minorHAnsi" w:eastAsiaTheme="minorHAnsi" w:hAnsiTheme="minorHAnsi" w:cstheme="minorHAnsi"/>
        </w:rPr>
        <w:t xml:space="preserve">bring </w:t>
      </w:r>
      <w:r w:rsidR="0073556C" w:rsidRPr="00A53EB5">
        <w:rPr>
          <w:rFonts w:asciiTheme="minorHAnsi" w:eastAsiaTheme="minorHAnsi" w:hAnsiTheme="minorHAnsi" w:cstheme="minorHAnsi"/>
        </w:rPr>
        <w:t xml:space="preserve">effect </w:t>
      </w:r>
      <w:r w:rsidR="00B72D4D" w:rsidRPr="00A53EB5">
        <w:rPr>
          <w:rFonts w:asciiTheme="minorHAnsi" w:eastAsiaTheme="minorHAnsi" w:hAnsiTheme="minorHAnsi" w:cstheme="minorHAnsi"/>
        </w:rPr>
        <w:t xml:space="preserve">to </w:t>
      </w:r>
      <w:r w:rsidR="0073556C" w:rsidRPr="00A53EB5">
        <w:rPr>
          <w:rFonts w:asciiTheme="minorHAnsi" w:eastAsiaTheme="minorHAnsi" w:hAnsiTheme="minorHAnsi" w:cstheme="minorHAnsi"/>
        </w:rPr>
        <w:t>the operational and more perfunctory</w:t>
      </w:r>
      <w:r w:rsidR="00B72D4D" w:rsidRPr="00A53EB5">
        <w:rPr>
          <w:rFonts w:asciiTheme="minorHAnsi" w:eastAsiaTheme="minorHAnsi" w:hAnsiTheme="minorHAnsi" w:cstheme="minorHAnsi"/>
        </w:rPr>
        <w:t xml:space="preserve"> aspects of the law, the IPA believes that more detailed explanations within the explanatory memorandum on specific </w:t>
      </w:r>
      <w:r w:rsidR="00C61570" w:rsidRPr="00A53EB5">
        <w:rPr>
          <w:rFonts w:asciiTheme="minorHAnsi" w:eastAsiaTheme="minorHAnsi" w:hAnsiTheme="minorHAnsi" w:cstheme="minorHAnsi"/>
        </w:rPr>
        <w:t>practical</w:t>
      </w:r>
      <w:r w:rsidR="00B72D4D" w:rsidRPr="00A53EB5">
        <w:rPr>
          <w:rFonts w:asciiTheme="minorHAnsi" w:eastAsiaTheme="minorHAnsi" w:hAnsiTheme="minorHAnsi" w:cstheme="minorHAnsi"/>
        </w:rPr>
        <w:t xml:space="preserve"> issues (such as for example, CSF shareholder rights, a</w:t>
      </w:r>
      <w:r w:rsidR="00C61570" w:rsidRPr="00A53EB5">
        <w:rPr>
          <w:rFonts w:asciiTheme="minorHAnsi" w:eastAsiaTheme="minorHAnsi" w:hAnsiTheme="minorHAnsi" w:cstheme="minorHAnsi"/>
        </w:rPr>
        <w:t xml:space="preserve">nd processes that may impact those rights [for example the basis upon which an intermediary allocates shares to particular offerees]), would help </w:t>
      </w:r>
      <w:r w:rsidR="00904525">
        <w:rPr>
          <w:rFonts w:asciiTheme="minorHAnsi" w:eastAsiaTheme="minorHAnsi" w:hAnsiTheme="minorHAnsi" w:cstheme="minorHAnsi"/>
        </w:rPr>
        <w:t>stakeholders</w:t>
      </w:r>
      <w:r w:rsidR="00C61570" w:rsidRPr="00A53EB5">
        <w:rPr>
          <w:rFonts w:asciiTheme="minorHAnsi" w:eastAsiaTheme="minorHAnsi" w:hAnsiTheme="minorHAnsi" w:cstheme="minorHAnsi"/>
        </w:rPr>
        <w:t xml:space="preserve"> better understand the rationale for the </w:t>
      </w:r>
      <w:r w:rsidRPr="00A53EB5">
        <w:rPr>
          <w:rFonts w:asciiTheme="minorHAnsi" w:eastAsiaTheme="minorHAnsi" w:hAnsiTheme="minorHAnsi" w:cstheme="minorHAnsi"/>
        </w:rPr>
        <w:t>various</w:t>
      </w:r>
      <w:r w:rsidR="00C61570" w:rsidRPr="00A53EB5">
        <w:rPr>
          <w:rFonts w:asciiTheme="minorHAnsi" w:eastAsiaTheme="minorHAnsi" w:hAnsiTheme="minorHAnsi" w:cstheme="minorHAnsi"/>
        </w:rPr>
        <w:t xml:space="preserve"> measures proposed, as well as their potential impact. Moreover, we maintain that more information is better than less and accordingly sets the platform for meaningful debate and the </w:t>
      </w:r>
      <w:r w:rsidR="007D58D8" w:rsidRPr="00A53EB5">
        <w:rPr>
          <w:rFonts w:asciiTheme="minorHAnsi" w:eastAsiaTheme="minorHAnsi" w:hAnsiTheme="minorHAnsi" w:cstheme="minorHAnsi"/>
        </w:rPr>
        <w:t>enactment</w:t>
      </w:r>
      <w:r w:rsidR="00C61570" w:rsidRPr="00A53EB5">
        <w:rPr>
          <w:rFonts w:asciiTheme="minorHAnsi" w:eastAsiaTheme="minorHAnsi" w:hAnsiTheme="minorHAnsi" w:cstheme="minorHAnsi"/>
        </w:rPr>
        <w:t xml:space="preserve"> of good laws. While we commend the </w:t>
      </w:r>
      <w:r w:rsidR="00904525">
        <w:rPr>
          <w:rFonts w:asciiTheme="minorHAnsi" w:eastAsiaTheme="minorHAnsi" w:hAnsiTheme="minorHAnsi" w:cstheme="minorHAnsi"/>
        </w:rPr>
        <w:t>G</w:t>
      </w:r>
      <w:r w:rsidR="00C61570" w:rsidRPr="00A53EB5">
        <w:rPr>
          <w:rFonts w:asciiTheme="minorHAnsi" w:eastAsiaTheme="minorHAnsi" w:hAnsiTheme="minorHAnsi" w:cstheme="minorHAnsi"/>
        </w:rPr>
        <w:t>overnment’s efforts in providing a valuable and much needed avenue of funding for SME’s and the like, without further information of how the new laws will play out in practice, we</w:t>
      </w:r>
      <w:r w:rsidR="007D58D8" w:rsidRPr="00A53EB5">
        <w:rPr>
          <w:rFonts w:asciiTheme="minorHAnsi" w:eastAsiaTheme="minorHAnsi" w:hAnsiTheme="minorHAnsi" w:cstheme="minorHAnsi"/>
        </w:rPr>
        <w:t xml:space="preserve"> fear that the new laws could provide fertile ground for potential disputes between the closely held group of shareholders and the CSF shareholders. At the extreme, it would be almost akin to the majority v. the minority dilemma that has plagued corporate law; it would seem, for centuries</w:t>
      </w:r>
      <w:r w:rsidR="00904525">
        <w:rPr>
          <w:rFonts w:asciiTheme="minorHAnsi" w:eastAsiaTheme="minorHAnsi" w:hAnsiTheme="minorHAnsi" w:cstheme="minorHAnsi"/>
        </w:rPr>
        <w:t>.</w:t>
      </w:r>
      <w:r w:rsidR="00DC7B02" w:rsidRPr="00A53EB5">
        <w:rPr>
          <w:rFonts w:asciiTheme="minorHAnsi" w:eastAsiaTheme="minorHAnsi" w:hAnsiTheme="minorHAnsi" w:cstheme="minorHAnsi"/>
        </w:rPr>
        <w:t xml:space="preserve"> </w:t>
      </w:r>
    </w:p>
    <w:p w:rsidR="003B2A78" w:rsidRPr="008243DC" w:rsidRDefault="00CB231D"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rPr>
      </w:pPr>
      <w:r w:rsidRPr="008243DC">
        <w:rPr>
          <w:rFonts w:asciiTheme="minorHAnsi" w:eastAsiaTheme="minorHAnsi" w:hAnsiTheme="minorHAnsi" w:cstheme="minorHAnsi"/>
          <w:b/>
          <w:color w:val="E36C0A" w:themeColor="accent6" w:themeShade="BF"/>
        </w:rPr>
        <w:t>$10,000 cap per i</w:t>
      </w:r>
      <w:r w:rsidR="002827AA" w:rsidRPr="008243DC">
        <w:rPr>
          <w:rFonts w:asciiTheme="minorHAnsi" w:eastAsiaTheme="minorHAnsi" w:hAnsiTheme="minorHAnsi" w:cstheme="minorHAnsi"/>
          <w:b/>
          <w:color w:val="E36C0A" w:themeColor="accent6" w:themeShade="BF"/>
        </w:rPr>
        <w:t xml:space="preserve">nvestor </w:t>
      </w:r>
      <w:r w:rsidRPr="008243DC">
        <w:rPr>
          <w:rFonts w:asciiTheme="minorHAnsi" w:eastAsiaTheme="minorHAnsi" w:hAnsiTheme="minorHAnsi" w:cstheme="minorHAnsi"/>
          <w:b/>
          <w:color w:val="E36C0A" w:themeColor="accent6" w:themeShade="BF"/>
        </w:rPr>
        <w:t xml:space="preserve">per </w:t>
      </w:r>
      <w:r w:rsidR="004802D9" w:rsidRPr="008243DC">
        <w:rPr>
          <w:rFonts w:asciiTheme="minorHAnsi" w:eastAsiaTheme="minorHAnsi" w:hAnsiTheme="minorHAnsi" w:cstheme="minorHAnsi"/>
          <w:b/>
          <w:color w:val="E36C0A" w:themeColor="accent6" w:themeShade="BF"/>
        </w:rPr>
        <w:t xml:space="preserve">company </w:t>
      </w:r>
      <w:r w:rsidR="002827AA" w:rsidRPr="008243DC">
        <w:rPr>
          <w:rFonts w:asciiTheme="minorHAnsi" w:eastAsiaTheme="minorHAnsi" w:hAnsiTheme="minorHAnsi" w:cstheme="minorHAnsi"/>
          <w:b/>
          <w:color w:val="E36C0A" w:themeColor="accent6" w:themeShade="BF"/>
        </w:rPr>
        <w:t>in any one year</w:t>
      </w:r>
      <w:r w:rsidR="00836E3A" w:rsidRPr="008243DC">
        <w:rPr>
          <w:rFonts w:asciiTheme="minorHAnsi" w:eastAsiaTheme="minorHAnsi" w:hAnsiTheme="minorHAnsi" w:cstheme="minorHAnsi"/>
          <w:b/>
          <w:color w:val="E36C0A" w:themeColor="accent6" w:themeShade="BF"/>
        </w:rPr>
        <w:t xml:space="preserve"> </w:t>
      </w:r>
    </w:p>
    <w:p w:rsidR="00DC7B02" w:rsidRPr="00A53EB5" w:rsidRDefault="007D58D8" w:rsidP="00B478AE">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 xml:space="preserve">Except to confirm </w:t>
      </w:r>
      <w:r w:rsidR="003D0DBA" w:rsidRPr="00A53EB5">
        <w:rPr>
          <w:rFonts w:asciiTheme="minorHAnsi" w:eastAsiaTheme="minorHAnsi" w:hAnsiTheme="minorHAnsi" w:cstheme="minorHAnsi"/>
        </w:rPr>
        <w:t xml:space="preserve">our support for an excellent mechanism to mitigate/cap risk exposure for retail investors, particularly </w:t>
      </w:r>
      <w:r w:rsidR="003D0DBA" w:rsidRPr="00A53EB5">
        <w:rPr>
          <w:rFonts w:asciiTheme="minorHAnsi" w:eastAsiaTheme="minorHAnsi" w:hAnsiTheme="minorHAnsi" w:cstheme="minorHAnsi"/>
          <w:i/>
        </w:rPr>
        <w:t>mom and dad</w:t>
      </w:r>
      <w:r w:rsidR="003D0DBA" w:rsidRPr="00A53EB5">
        <w:rPr>
          <w:rFonts w:asciiTheme="minorHAnsi" w:eastAsiaTheme="minorHAnsi" w:hAnsiTheme="minorHAnsi" w:cstheme="minorHAnsi"/>
        </w:rPr>
        <w:t xml:space="preserve"> investors, we have no further comment on the proposed amendments. </w:t>
      </w:r>
    </w:p>
    <w:p w:rsidR="00DC7B02" w:rsidRPr="00A53EB5" w:rsidRDefault="00D83EF6"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szCs w:val="24"/>
        </w:rPr>
      </w:pPr>
      <w:r w:rsidRPr="00A53EB5">
        <w:rPr>
          <w:rFonts w:asciiTheme="minorHAnsi" w:eastAsiaTheme="minorHAnsi" w:hAnsiTheme="minorHAnsi" w:cstheme="minorHAnsi"/>
          <w:b/>
          <w:color w:val="E36C0A" w:themeColor="accent6" w:themeShade="BF"/>
          <w:szCs w:val="24"/>
        </w:rPr>
        <w:t>5-Day c</w:t>
      </w:r>
      <w:r w:rsidR="00DC7B02" w:rsidRPr="00A53EB5">
        <w:rPr>
          <w:rFonts w:asciiTheme="minorHAnsi" w:eastAsiaTheme="minorHAnsi" w:hAnsiTheme="minorHAnsi" w:cstheme="minorHAnsi"/>
          <w:b/>
          <w:color w:val="E36C0A" w:themeColor="accent6" w:themeShade="BF"/>
          <w:szCs w:val="24"/>
        </w:rPr>
        <w:t>ooling off period</w:t>
      </w:r>
    </w:p>
    <w:p w:rsidR="003D0DBA" w:rsidRPr="00A53EB5" w:rsidRDefault="00F569F6" w:rsidP="003D0DBA">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W</w:t>
      </w:r>
      <w:r w:rsidR="006D7089" w:rsidRPr="00A53EB5">
        <w:rPr>
          <w:rFonts w:asciiTheme="minorHAnsi" w:eastAsiaTheme="minorHAnsi" w:hAnsiTheme="minorHAnsi" w:cstheme="minorHAnsi"/>
        </w:rPr>
        <w:t>hile w</w:t>
      </w:r>
      <w:r w:rsidRPr="00A53EB5">
        <w:rPr>
          <w:rFonts w:asciiTheme="minorHAnsi" w:eastAsiaTheme="minorHAnsi" w:hAnsiTheme="minorHAnsi" w:cstheme="minorHAnsi"/>
        </w:rPr>
        <w:t xml:space="preserve">e </w:t>
      </w:r>
      <w:r w:rsidR="006D7089" w:rsidRPr="00A53EB5">
        <w:rPr>
          <w:rFonts w:asciiTheme="minorHAnsi" w:eastAsiaTheme="minorHAnsi" w:hAnsiTheme="minorHAnsi" w:cstheme="minorHAnsi"/>
        </w:rPr>
        <w:t>understand</w:t>
      </w:r>
      <w:r w:rsidRPr="00A53EB5">
        <w:rPr>
          <w:rFonts w:asciiTheme="minorHAnsi" w:eastAsiaTheme="minorHAnsi" w:hAnsiTheme="minorHAnsi" w:cstheme="minorHAnsi"/>
        </w:rPr>
        <w:t xml:space="preserve"> the concept of a cooling off period as another form of </w:t>
      </w:r>
      <w:r w:rsidR="00D83EF6" w:rsidRPr="00A53EB5">
        <w:rPr>
          <w:rFonts w:asciiTheme="minorHAnsi" w:eastAsiaTheme="minorHAnsi" w:hAnsiTheme="minorHAnsi" w:cstheme="minorHAnsi"/>
        </w:rPr>
        <w:t xml:space="preserve">added </w:t>
      </w:r>
      <w:r w:rsidRPr="00A53EB5">
        <w:rPr>
          <w:rFonts w:asciiTheme="minorHAnsi" w:eastAsiaTheme="minorHAnsi" w:hAnsiTheme="minorHAnsi" w:cstheme="minorHAnsi"/>
        </w:rPr>
        <w:t xml:space="preserve">protection for retail investors, </w:t>
      </w:r>
      <w:r w:rsidR="006D7089" w:rsidRPr="00A53EB5">
        <w:rPr>
          <w:rFonts w:asciiTheme="minorHAnsi" w:eastAsiaTheme="minorHAnsi" w:hAnsiTheme="minorHAnsi" w:cstheme="minorHAnsi"/>
        </w:rPr>
        <w:t xml:space="preserve">we are not quite comfortable as to the need for such protection, particularly given that Australia almost stands alone as a country that has adopted this form of protection. Unlike expensive motor vehicles and real estate, where the need for a cooling off period or similar regime </w:t>
      </w:r>
      <w:r w:rsidR="007C2805" w:rsidRPr="00A53EB5">
        <w:rPr>
          <w:rFonts w:asciiTheme="minorHAnsi" w:eastAsiaTheme="minorHAnsi" w:hAnsiTheme="minorHAnsi" w:cstheme="minorHAnsi"/>
        </w:rPr>
        <w:t xml:space="preserve">is arguably warranted, for example, </w:t>
      </w:r>
      <w:r w:rsidR="006D7089" w:rsidRPr="00A53EB5">
        <w:rPr>
          <w:rFonts w:asciiTheme="minorHAnsi" w:eastAsiaTheme="minorHAnsi" w:hAnsiTheme="minorHAnsi" w:cstheme="minorHAnsi"/>
        </w:rPr>
        <w:t>where an acquirer get</w:t>
      </w:r>
      <w:r w:rsidR="007C2805" w:rsidRPr="00A53EB5">
        <w:rPr>
          <w:rFonts w:asciiTheme="minorHAnsi" w:eastAsiaTheme="minorHAnsi" w:hAnsiTheme="minorHAnsi" w:cstheme="minorHAnsi"/>
        </w:rPr>
        <w:t>s</w:t>
      </w:r>
      <w:r w:rsidR="006D7089" w:rsidRPr="00A53EB5">
        <w:rPr>
          <w:rFonts w:asciiTheme="minorHAnsi" w:eastAsiaTheme="minorHAnsi" w:hAnsiTheme="minorHAnsi" w:cstheme="minorHAnsi"/>
        </w:rPr>
        <w:t xml:space="preserve"> </w:t>
      </w:r>
      <w:r w:rsidR="007C2805" w:rsidRPr="00A53EB5">
        <w:rPr>
          <w:rFonts w:asciiTheme="minorHAnsi" w:eastAsiaTheme="minorHAnsi" w:hAnsiTheme="minorHAnsi" w:cstheme="minorHAnsi"/>
          <w:i/>
        </w:rPr>
        <w:t>‘</w:t>
      </w:r>
      <w:r w:rsidR="006D7089" w:rsidRPr="00A53EB5">
        <w:rPr>
          <w:rFonts w:asciiTheme="minorHAnsi" w:eastAsiaTheme="minorHAnsi" w:hAnsiTheme="minorHAnsi" w:cstheme="minorHAnsi"/>
          <w:i/>
        </w:rPr>
        <w:t>cold</w:t>
      </w:r>
      <w:r w:rsidR="007C2805" w:rsidRPr="00A53EB5">
        <w:rPr>
          <w:rFonts w:asciiTheme="minorHAnsi" w:eastAsiaTheme="minorHAnsi" w:hAnsiTheme="minorHAnsi" w:cstheme="minorHAnsi"/>
          <w:i/>
        </w:rPr>
        <w:t xml:space="preserve"> feet</w:t>
      </w:r>
      <w:r w:rsidR="006D7089" w:rsidRPr="00A53EB5">
        <w:rPr>
          <w:rFonts w:asciiTheme="minorHAnsi" w:eastAsiaTheme="minorHAnsi" w:hAnsiTheme="minorHAnsi" w:cstheme="minorHAnsi"/>
          <w:i/>
        </w:rPr>
        <w:t>’</w:t>
      </w:r>
      <w:r w:rsidR="006D7089" w:rsidRPr="00A53EB5">
        <w:rPr>
          <w:rFonts w:asciiTheme="minorHAnsi" w:eastAsiaTheme="minorHAnsi" w:hAnsiTheme="minorHAnsi" w:cstheme="minorHAnsi"/>
        </w:rPr>
        <w:t xml:space="preserve"> for whatever reason (such as for example not having enough time to properly assess the purchase and</w:t>
      </w:r>
      <w:r w:rsidR="00D83EF6" w:rsidRPr="00A53EB5">
        <w:rPr>
          <w:rFonts w:asciiTheme="minorHAnsi" w:eastAsiaTheme="minorHAnsi" w:hAnsiTheme="minorHAnsi" w:cstheme="minorHAnsi"/>
        </w:rPr>
        <w:t xml:space="preserve">/or </w:t>
      </w:r>
      <w:r w:rsidR="006D7089" w:rsidRPr="00A53EB5">
        <w:rPr>
          <w:rFonts w:asciiTheme="minorHAnsi" w:eastAsiaTheme="minorHAnsi" w:hAnsiTheme="minorHAnsi" w:cstheme="minorHAnsi"/>
        </w:rPr>
        <w:t xml:space="preserve">feeling a little pressure from all the sales hype), </w:t>
      </w:r>
      <w:r w:rsidR="007C2805" w:rsidRPr="00A53EB5">
        <w:rPr>
          <w:rFonts w:asciiTheme="minorHAnsi" w:eastAsiaTheme="minorHAnsi" w:hAnsiTheme="minorHAnsi" w:cstheme="minorHAnsi"/>
        </w:rPr>
        <w:t xml:space="preserve">an investment in a CSF offer has already significant protections in place not only in terms of the $10,000 cap per investor, but also the </w:t>
      </w:r>
      <w:r w:rsidR="00D83EF6" w:rsidRPr="00A53EB5">
        <w:rPr>
          <w:rFonts w:asciiTheme="minorHAnsi" w:eastAsiaTheme="minorHAnsi" w:hAnsiTheme="minorHAnsi" w:cstheme="minorHAnsi"/>
        </w:rPr>
        <w:t>significant</w:t>
      </w:r>
      <w:r w:rsidR="007C2805" w:rsidRPr="00A53EB5">
        <w:rPr>
          <w:rFonts w:asciiTheme="minorHAnsi" w:eastAsiaTheme="minorHAnsi" w:hAnsiTheme="minorHAnsi" w:cstheme="minorHAnsi"/>
        </w:rPr>
        <w:t xml:space="preserve"> </w:t>
      </w:r>
      <w:r w:rsidR="007C2805" w:rsidRPr="00A53EB5">
        <w:rPr>
          <w:rFonts w:asciiTheme="minorHAnsi" w:eastAsiaTheme="minorHAnsi" w:hAnsiTheme="minorHAnsi" w:cstheme="minorHAnsi"/>
          <w:i/>
        </w:rPr>
        <w:t>checks and balances</w:t>
      </w:r>
      <w:r w:rsidR="007C2805" w:rsidRPr="00A53EB5">
        <w:rPr>
          <w:rFonts w:asciiTheme="minorHAnsi" w:eastAsiaTheme="minorHAnsi" w:hAnsiTheme="minorHAnsi" w:cstheme="minorHAnsi"/>
        </w:rPr>
        <w:t xml:space="preserve"> placed on intermediaries. Moreover, one would expect that a person intending to invest in a CSF offer, would take </w:t>
      </w:r>
      <w:r w:rsidR="00D83EF6" w:rsidRPr="00A53EB5">
        <w:rPr>
          <w:rFonts w:asciiTheme="minorHAnsi" w:eastAsiaTheme="minorHAnsi" w:hAnsiTheme="minorHAnsi" w:cstheme="minorHAnsi"/>
        </w:rPr>
        <w:t>advantage</w:t>
      </w:r>
      <w:r w:rsidR="007C2805" w:rsidRPr="00A53EB5">
        <w:rPr>
          <w:rFonts w:asciiTheme="minorHAnsi" w:eastAsiaTheme="minorHAnsi" w:hAnsiTheme="minorHAnsi" w:cstheme="minorHAnsi"/>
        </w:rPr>
        <w:t xml:space="preserve"> of the significant time </w:t>
      </w:r>
      <w:r w:rsidR="00D83EF6" w:rsidRPr="00A53EB5">
        <w:rPr>
          <w:rFonts w:asciiTheme="minorHAnsi" w:eastAsiaTheme="minorHAnsi" w:hAnsiTheme="minorHAnsi" w:cstheme="minorHAnsi"/>
        </w:rPr>
        <w:t>p</w:t>
      </w:r>
      <w:r w:rsidR="007C2805" w:rsidRPr="00A53EB5">
        <w:rPr>
          <w:rFonts w:asciiTheme="minorHAnsi" w:eastAsiaTheme="minorHAnsi" w:hAnsiTheme="minorHAnsi" w:cstheme="minorHAnsi"/>
        </w:rPr>
        <w:t xml:space="preserve">eriod (up to three months), to undertake </w:t>
      </w:r>
      <w:r w:rsidR="00D83EF6" w:rsidRPr="00A53EB5">
        <w:rPr>
          <w:rFonts w:asciiTheme="minorHAnsi" w:eastAsiaTheme="minorHAnsi" w:hAnsiTheme="minorHAnsi" w:cstheme="minorHAnsi"/>
        </w:rPr>
        <w:t>appropriate</w:t>
      </w:r>
      <w:r w:rsidR="007C2805" w:rsidRPr="00A53EB5">
        <w:rPr>
          <w:rFonts w:asciiTheme="minorHAnsi" w:eastAsiaTheme="minorHAnsi" w:hAnsiTheme="minorHAnsi" w:cstheme="minorHAnsi"/>
        </w:rPr>
        <w:t xml:space="preserve"> due diligence measure</w:t>
      </w:r>
      <w:r w:rsidR="00D83EF6" w:rsidRPr="00A53EB5">
        <w:rPr>
          <w:rFonts w:asciiTheme="minorHAnsi" w:eastAsiaTheme="minorHAnsi" w:hAnsiTheme="minorHAnsi" w:cstheme="minorHAnsi"/>
        </w:rPr>
        <w:t>s</w:t>
      </w:r>
      <w:r w:rsidR="007C2805" w:rsidRPr="00A53EB5">
        <w:rPr>
          <w:rFonts w:asciiTheme="minorHAnsi" w:eastAsiaTheme="minorHAnsi" w:hAnsiTheme="minorHAnsi" w:cstheme="minorHAnsi"/>
        </w:rPr>
        <w:t xml:space="preserve"> to ensure</w:t>
      </w:r>
      <w:r w:rsidR="00D83EF6" w:rsidRPr="00A53EB5">
        <w:rPr>
          <w:rFonts w:asciiTheme="minorHAnsi" w:eastAsiaTheme="minorHAnsi" w:hAnsiTheme="minorHAnsi" w:cstheme="minorHAnsi"/>
        </w:rPr>
        <w:t xml:space="preserve"> </w:t>
      </w:r>
      <w:r w:rsidR="007C2805" w:rsidRPr="00A53EB5">
        <w:rPr>
          <w:rFonts w:asciiTheme="minorHAnsi" w:eastAsiaTheme="minorHAnsi" w:hAnsiTheme="minorHAnsi" w:cstheme="minorHAnsi"/>
        </w:rPr>
        <w:t>th</w:t>
      </w:r>
      <w:r w:rsidR="00D440FD" w:rsidRPr="00A53EB5">
        <w:rPr>
          <w:rFonts w:asciiTheme="minorHAnsi" w:eastAsiaTheme="minorHAnsi" w:hAnsiTheme="minorHAnsi" w:cstheme="minorHAnsi"/>
        </w:rPr>
        <w:t>e</w:t>
      </w:r>
      <w:r w:rsidR="007C2805" w:rsidRPr="00A53EB5">
        <w:rPr>
          <w:rFonts w:asciiTheme="minorHAnsi" w:eastAsiaTheme="minorHAnsi" w:hAnsiTheme="minorHAnsi" w:cstheme="minorHAnsi"/>
        </w:rPr>
        <w:t xml:space="preserve"> </w:t>
      </w:r>
      <w:r w:rsidR="00D83EF6" w:rsidRPr="00A53EB5">
        <w:rPr>
          <w:rFonts w:asciiTheme="minorHAnsi" w:eastAsiaTheme="minorHAnsi" w:hAnsiTheme="minorHAnsi" w:cstheme="minorHAnsi"/>
        </w:rPr>
        <w:t>appropriateness of the investment</w:t>
      </w:r>
      <w:r w:rsidR="00D440FD" w:rsidRPr="00A53EB5">
        <w:rPr>
          <w:rFonts w:asciiTheme="minorHAnsi" w:eastAsiaTheme="minorHAnsi" w:hAnsiTheme="minorHAnsi" w:cstheme="minorHAnsi"/>
        </w:rPr>
        <w:t xml:space="preserve"> in terms of the investors personal circumstances (often described as the ‘clientele effect’ in the finance literature)</w:t>
      </w:r>
      <w:r w:rsidR="00D83EF6" w:rsidRPr="00A53EB5">
        <w:rPr>
          <w:rFonts w:asciiTheme="minorHAnsi" w:eastAsiaTheme="minorHAnsi" w:hAnsiTheme="minorHAnsi" w:cstheme="minorHAnsi"/>
        </w:rPr>
        <w:t>. The</w:t>
      </w:r>
      <w:r w:rsidRPr="00A53EB5">
        <w:rPr>
          <w:rFonts w:asciiTheme="minorHAnsi" w:eastAsiaTheme="minorHAnsi" w:hAnsiTheme="minorHAnsi" w:cstheme="minorHAnsi"/>
        </w:rPr>
        <w:t xml:space="preserve"> IPA</w:t>
      </w:r>
      <w:r w:rsidR="00D83EF6" w:rsidRPr="00A53EB5">
        <w:rPr>
          <w:rFonts w:asciiTheme="minorHAnsi" w:eastAsiaTheme="minorHAnsi" w:hAnsiTheme="minorHAnsi" w:cstheme="minorHAnsi"/>
        </w:rPr>
        <w:t xml:space="preserve"> also has concerns</w:t>
      </w:r>
      <w:r w:rsidRPr="00A53EB5">
        <w:rPr>
          <w:rFonts w:asciiTheme="minorHAnsi" w:eastAsiaTheme="minorHAnsi" w:hAnsiTheme="minorHAnsi" w:cstheme="minorHAnsi"/>
        </w:rPr>
        <w:t xml:space="preserve"> </w:t>
      </w:r>
      <w:r w:rsidR="00D83EF6" w:rsidRPr="00A53EB5">
        <w:rPr>
          <w:rFonts w:asciiTheme="minorHAnsi" w:eastAsiaTheme="minorHAnsi" w:hAnsiTheme="minorHAnsi" w:cstheme="minorHAnsi"/>
        </w:rPr>
        <w:t xml:space="preserve">that the 5-day window where an investor can withdraw </w:t>
      </w:r>
      <w:r w:rsidR="00D440FD" w:rsidRPr="00A53EB5">
        <w:rPr>
          <w:rFonts w:asciiTheme="minorHAnsi" w:eastAsiaTheme="minorHAnsi" w:hAnsiTheme="minorHAnsi" w:cstheme="minorHAnsi"/>
        </w:rPr>
        <w:t>from a</w:t>
      </w:r>
      <w:r w:rsidR="00D83EF6" w:rsidRPr="00A53EB5">
        <w:rPr>
          <w:rFonts w:asciiTheme="minorHAnsi" w:eastAsiaTheme="minorHAnsi" w:hAnsiTheme="minorHAnsi" w:cstheme="minorHAnsi"/>
        </w:rPr>
        <w:t xml:space="preserve">n offer after the offer closes, could potentially lead to market manipulation. </w:t>
      </w:r>
      <w:r w:rsidR="001000AD" w:rsidRPr="00A53EB5">
        <w:rPr>
          <w:rFonts w:asciiTheme="minorHAnsi" w:eastAsiaTheme="minorHAnsi" w:hAnsiTheme="minorHAnsi" w:cstheme="minorHAnsi"/>
        </w:rPr>
        <w:t>A good example is the where a group of investors known to each other (and have made significant investments in the offer via different vehicles and associates) can band together and withdraw from an investment thus possibly changing the outcome of the offer. While</w:t>
      </w:r>
      <w:r w:rsidR="00201194" w:rsidRPr="00A53EB5">
        <w:rPr>
          <w:rFonts w:asciiTheme="minorHAnsi" w:eastAsiaTheme="minorHAnsi" w:hAnsiTheme="minorHAnsi" w:cstheme="minorHAnsi"/>
        </w:rPr>
        <w:t xml:space="preserve"> </w:t>
      </w:r>
      <w:r w:rsidR="001000AD" w:rsidRPr="00A53EB5">
        <w:rPr>
          <w:rFonts w:asciiTheme="minorHAnsi" w:eastAsiaTheme="minorHAnsi" w:hAnsiTheme="minorHAnsi" w:cstheme="minorHAnsi"/>
        </w:rPr>
        <w:t xml:space="preserve">this would be highly unlikely, it is possible and </w:t>
      </w:r>
      <w:r w:rsidR="008635B2" w:rsidRPr="00A53EB5">
        <w:rPr>
          <w:rFonts w:asciiTheme="minorHAnsi" w:eastAsiaTheme="minorHAnsi" w:hAnsiTheme="minorHAnsi" w:cstheme="minorHAnsi"/>
        </w:rPr>
        <w:t xml:space="preserve">as such, </w:t>
      </w:r>
      <w:r w:rsidR="001000AD" w:rsidRPr="00A53EB5">
        <w:rPr>
          <w:rFonts w:asciiTheme="minorHAnsi" w:eastAsiaTheme="minorHAnsi" w:hAnsiTheme="minorHAnsi" w:cstheme="minorHAnsi"/>
        </w:rPr>
        <w:t>could have a significant negative impact (Dias, 2017</w:t>
      </w:r>
      <w:r w:rsidR="00D440FD" w:rsidRPr="00A53EB5">
        <w:rPr>
          <w:rFonts w:asciiTheme="minorHAnsi" w:eastAsiaTheme="minorHAnsi" w:hAnsiTheme="minorHAnsi" w:cstheme="minorHAnsi"/>
        </w:rPr>
        <w:t>).</w:t>
      </w:r>
      <w:r w:rsidR="001000AD" w:rsidRPr="00A53EB5">
        <w:rPr>
          <w:rFonts w:asciiTheme="minorHAnsi" w:eastAsiaTheme="minorHAnsi" w:hAnsiTheme="minorHAnsi" w:cstheme="minorHAnsi"/>
        </w:rPr>
        <w:t xml:space="preserve"> </w:t>
      </w:r>
    </w:p>
    <w:p w:rsidR="00DC7B02" w:rsidRPr="008243DC" w:rsidRDefault="00B604BB"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rPr>
      </w:pPr>
      <w:r w:rsidRPr="008243DC">
        <w:rPr>
          <w:rFonts w:asciiTheme="minorHAnsi" w:eastAsiaTheme="minorHAnsi" w:hAnsiTheme="minorHAnsi" w:cstheme="minorHAnsi"/>
          <w:b/>
          <w:color w:val="E36C0A" w:themeColor="accent6" w:themeShade="BF"/>
        </w:rPr>
        <w:t>O</w:t>
      </w:r>
      <w:r w:rsidR="003D0DBA" w:rsidRPr="008243DC">
        <w:rPr>
          <w:rFonts w:asciiTheme="minorHAnsi" w:eastAsiaTheme="minorHAnsi" w:hAnsiTheme="minorHAnsi" w:cstheme="minorHAnsi"/>
          <w:b/>
          <w:color w:val="E36C0A" w:themeColor="accent6" w:themeShade="BF"/>
        </w:rPr>
        <w:t>ffer platform</w:t>
      </w:r>
    </w:p>
    <w:p w:rsidR="00DF3388" w:rsidRPr="00A53EB5" w:rsidRDefault="00201194" w:rsidP="00175744">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 xml:space="preserve">The IPA has no </w:t>
      </w:r>
      <w:r w:rsidR="008635B2" w:rsidRPr="00A53EB5">
        <w:rPr>
          <w:rFonts w:asciiTheme="minorHAnsi" w:eastAsiaTheme="minorHAnsi" w:hAnsiTheme="minorHAnsi" w:cstheme="minorHAnsi"/>
        </w:rPr>
        <w:t xml:space="preserve">major </w:t>
      </w:r>
      <w:r w:rsidRPr="00A53EB5">
        <w:rPr>
          <w:rFonts w:asciiTheme="minorHAnsi" w:eastAsiaTheme="minorHAnsi" w:hAnsiTheme="minorHAnsi" w:cstheme="minorHAnsi"/>
        </w:rPr>
        <w:t>issue</w:t>
      </w:r>
      <w:r w:rsidR="008635B2" w:rsidRPr="00A53EB5">
        <w:rPr>
          <w:rFonts w:asciiTheme="minorHAnsi" w:eastAsiaTheme="minorHAnsi" w:hAnsiTheme="minorHAnsi" w:cstheme="minorHAnsi"/>
        </w:rPr>
        <w:t>s</w:t>
      </w:r>
      <w:r w:rsidRPr="00A53EB5">
        <w:rPr>
          <w:rFonts w:asciiTheme="minorHAnsi" w:eastAsiaTheme="minorHAnsi" w:hAnsiTheme="minorHAnsi" w:cstheme="minorHAnsi"/>
        </w:rPr>
        <w:t xml:space="preserve"> with the detailed provisions relating to the offer platform via licensed intermediaries. Our only concerns relate to our earlier comments regarding the need for more information on the practical aspects of the legislation relating to offers. Moreover we, eagerly await the release of the forthcoming details in the regulations relating to the minimum information required to be included in a CSF </w:t>
      </w:r>
      <w:r w:rsidR="008635B2" w:rsidRPr="00A53EB5">
        <w:rPr>
          <w:rFonts w:asciiTheme="minorHAnsi" w:eastAsiaTheme="minorHAnsi" w:hAnsiTheme="minorHAnsi" w:cstheme="minorHAnsi"/>
        </w:rPr>
        <w:t xml:space="preserve">offer </w:t>
      </w:r>
      <w:r w:rsidRPr="00A53EB5">
        <w:rPr>
          <w:rFonts w:asciiTheme="minorHAnsi" w:eastAsiaTheme="minorHAnsi" w:hAnsiTheme="minorHAnsi" w:cstheme="minorHAnsi"/>
        </w:rPr>
        <w:t>document.</w:t>
      </w:r>
    </w:p>
    <w:p w:rsidR="00C405A6" w:rsidRDefault="00C405A6" w:rsidP="00175744">
      <w:pPr>
        <w:spacing w:after="200" w:line="276" w:lineRule="auto"/>
        <w:jc w:val="both"/>
        <w:rPr>
          <w:rFonts w:asciiTheme="minorHAnsi" w:eastAsiaTheme="minorHAnsi" w:hAnsiTheme="minorHAnsi" w:cstheme="minorHAnsi"/>
        </w:rPr>
      </w:pPr>
    </w:p>
    <w:p w:rsidR="007E1F5E" w:rsidRPr="00A53EB5" w:rsidRDefault="007E1F5E" w:rsidP="00175744">
      <w:pPr>
        <w:spacing w:after="200" w:line="276" w:lineRule="auto"/>
        <w:jc w:val="both"/>
        <w:rPr>
          <w:rFonts w:asciiTheme="minorHAnsi" w:eastAsiaTheme="minorHAnsi" w:hAnsiTheme="minorHAnsi" w:cstheme="minorHAnsi"/>
        </w:rPr>
      </w:pPr>
    </w:p>
    <w:p w:rsidR="00DC7B02" w:rsidRPr="00A53EB5" w:rsidRDefault="00446019"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szCs w:val="24"/>
        </w:rPr>
      </w:pPr>
      <w:r w:rsidRPr="00A53EB5">
        <w:rPr>
          <w:rFonts w:asciiTheme="minorHAnsi" w:eastAsiaTheme="minorHAnsi" w:hAnsiTheme="minorHAnsi" w:cstheme="minorHAnsi"/>
          <w:b/>
          <w:color w:val="E36C0A" w:themeColor="accent6" w:themeShade="BF"/>
          <w:szCs w:val="24"/>
        </w:rPr>
        <w:t xml:space="preserve">Additional </w:t>
      </w:r>
      <w:r w:rsidR="007E1F5E">
        <w:rPr>
          <w:rFonts w:asciiTheme="minorHAnsi" w:eastAsiaTheme="minorHAnsi" w:hAnsiTheme="minorHAnsi" w:cstheme="minorHAnsi"/>
          <w:b/>
          <w:color w:val="E36C0A" w:themeColor="accent6" w:themeShade="BF"/>
          <w:szCs w:val="24"/>
        </w:rPr>
        <w:t>r</w:t>
      </w:r>
      <w:r w:rsidRPr="00A53EB5">
        <w:rPr>
          <w:rFonts w:asciiTheme="minorHAnsi" w:eastAsiaTheme="minorHAnsi" w:hAnsiTheme="minorHAnsi" w:cstheme="minorHAnsi"/>
          <w:b/>
          <w:color w:val="E36C0A" w:themeColor="accent6" w:themeShade="BF"/>
          <w:szCs w:val="24"/>
        </w:rPr>
        <w:t xml:space="preserve">eporting </w:t>
      </w:r>
      <w:r w:rsidR="007E1F5E">
        <w:rPr>
          <w:rFonts w:asciiTheme="minorHAnsi" w:eastAsiaTheme="minorHAnsi" w:hAnsiTheme="minorHAnsi" w:cstheme="minorHAnsi"/>
          <w:b/>
          <w:color w:val="E36C0A" w:themeColor="accent6" w:themeShade="BF"/>
          <w:szCs w:val="24"/>
        </w:rPr>
        <w:t>o</w:t>
      </w:r>
      <w:r w:rsidRPr="00A53EB5">
        <w:rPr>
          <w:rFonts w:asciiTheme="minorHAnsi" w:eastAsiaTheme="minorHAnsi" w:hAnsiTheme="minorHAnsi" w:cstheme="minorHAnsi"/>
          <w:b/>
          <w:color w:val="E36C0A" w:themeColor="accent6" w:themeShade="BF"/>
          <w:szCs w:val="24"/>
        </w:rPr>
        <w:t>bligations</w:t>
      </w:r>
    </w:p>
    <w:p w:rsidR="00446019" w:rsidRPr="00A53EB5" w:rsidRDefault="00446019" w:rsidP="00201194">
      <w:pPr>
        <w:spacing w:after="200" w:line="276" w:lineRule="auto"/>
        <w:jc w:val="both"/>
        <w:rPr>
          <w:rFonts w:asciiTheme="minorHAnsi" w:eastAsiaTheme="minorHAnsi" w:hAnsiTheme="minorHAnsi" w:cstheme="minorHAnsi"/>
          <w:b/>
          <w:i/>
        </w:rPr>
      </w:pPr>
      <w:r w:rsidRPr="00A53EB5">
        <w:rPr>
          <w:rFonts w:asciiTheme="minorHAnsi" w:eastAsiaTheme="minorHAnsi" w:hAnsiTheme="minorHAnsi" w:cstheme="minorHAnsi"/>
          <w:b/>
          <w:i/>
        </w:rPr>
        <w:t>Financial</w:t>
      </w:r>
    </w:p>
    <w:p w:rsidR="00E86F0A" w:rsidRPr="00A53EB5" w:rsidRDefault="00201194" w:rsidP="00201194">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The r</w:t>
      </w:r>
      <w:r w:rsidR="00E86F0A" w:rsidRPr="00A53EB5">
        <w:rPr>
          <w:rFonts w:asciiTheme="minorHAnsi" w:eastAsiaTheme="minorHAnsi" w:hAnsiTheme="minorHAnsi" w:cstheme="minorHAnsi"/>
        </w:rPr>
        <w:t xml:space="preserve">equirement </w:t>
      </w:r>
      <w:r w:rsidRPr="00A53EB5">
        <w:rPr>
          <w:rFonts w:asciiTheme="minorHAnsi" w:eastAsiaTheme="minorHAnsi" w:hAnsiTheme="minorHAnsi" w:cstheme="minorHAnsi"/>
        </w:rPr>
        <w:t>to comply with a</w:t>
      </w:r>
      <w:r w:rsidR="00E86F0A" w:rsidRPr="00A53EB5">
        <w:rPr>
          <w:rFonts w:asciiTheme="minorHAnsi" w:eastAsiaTheme="minorHAnsi" w:hAnsiTheme="minorHAnsi" w:cstheme="minorHAnsi"/>
        </w:rPr>
        <w:t xml:space="preserve">ccounting </w:t>
      </w:r>
      <w:r w:rsidRPr="00A53EB5">
        <w:rPr>
          <w:rFonts w:asciiTheme="minorHAnsi" w:eastAsiaTheme="minorHAnsi" w:hAnsiTheme="minorHAnsi" w:cstheme="minorHAnsi"/>
        </w:rPr>
        <w:t xml:space="preserve">standards when preparing a financial </w:t>
      </w:r>
      <w:r w:rsidR="00B604BB" w:rsidRPr="00A53EB5">
        <w:rPr>
          <w:rFonts w:asciiTheme="minorHAnsi" w:eastAsiaTheme="minorHAnsi" w:hAnsiTheme="minorHAnsi" w:cstheme="minorHAnsi"/>
        </w:rPr>
        <w:t>report</w:t>
      </w:r>
      <w:r w:rsidRPr="00A53EB5">
        <w:rPr>
          <w:rFonts w:asciiTheme="minorHAnsi" w:eastAsiaTheme="minorHAnsi" w:hAnsiTheme="minorHAnsi" w:cstheme="minorHAnsi"/>
        </w:rPr>
        <w:t xml:space="preserve"> is an important governance measure which the IPA fully supports. We note however, that proposed</w:t>
      </w:r>
      <w:r w:rsidR="00E86F0A" w:rsidRPr="00A53EB5">
        <w:rPr>
          <w:rFonts w:asciiTheme="minorHAnsi" w:eastAsiaTheme="minorHAnsi" w:hAnsiTheme="minorHAnsi" w:cstheme="minorHAnsi"/>
        </w:rPr>
        <w:t xml:space="preserve"> compliance </w:t>
      </w:r>
      <w:r w:rsidRPr="00A53EB5">
        <w:rPr>
          <w:rFonts w:asciiTheme="minorHAnsi" w:eastAsiaTheme="minorHAnsi" w:hAnsiTheme="minorHAnsi" w:cstheme="minorHAnsi"/>
        </w:rPr>
        <w:t>requirement</w:t>
      </w:r>
      <w:r w:rsidR="00B604BB" w:rsidRPr="00A53EB5">
        <w:rPr>
          <w:rFonts w:asciiTheme="minorHAnsi" w:eastAsiaTheme="minorHAnsi" w:hAnsiTheme="minorHAnsi" w:cstheme="minorHAnsi"/>
        </w:rPr>
        <w:t>s</w:t>
      </w:r>
      <w:r w:rsidRPr="00A53EB5">
        <w:rPr>
          <w:rFonts w:asciiTheme="minorHAnsi" w:eastAsiaTheme="minorHAnsi" w:hAnsiTheme="minorHAnsi" w:cstheme="minorHAnsi"/>
        </w:rPr>
        <w:t xml:space="preserve"> </w:t>
      </w:r>
      <w:r w:rsidR="00E86F0A" w:rsidRPr="00A53EB5">
        <w:rPr>
          <w:rFonts w:asciiTheme="minorHAnsi" w:eastAsiaTheme="minorHAnsi" w:hAnsiTheme="minorHAnsi" w:cstheme="minorHAnsi"/>
        </w:rPr>
        <w:t xml:space="preserve">will be a major gear shift for some companies not currently required to comply with accounting standards, and </w:t>
      </w:r>
      <w:r w:rsidRPr="00A53EB5">
        <w:rPr>
          <w:rFonts w:asciiTheme="minorHAnsi" w:eastAsiaTheme="minorHAnsi" w:hAnsiTheme="minorHAnsi" w:cstheme="minorHAnsi"/>
        </w:rPr>
        <w:t xml:space="preserve">in this respect, </w:t>
      </w:r>
      <w:r w:rsidR="00E86F0A" w:rsidRPr="00A53EB5">
        <w:rPr>
          <w:rFonts w:asciiTheme="minorHAnsi" w:eastAsiaTheme="minorHAnsi" w:hAnsiTheme="minorHAnsi" w:cstheme="minorHAnsi"/>
        </w:rPr>
        <w:t xml:space="preserve">perhaps some form of reduced disclosure regime may warrant </w:t>
      </w:r>
      <w:r w:rsidR="00C405A6" w:rsidRPr="00A53EB5">
        <w:rPr>
          <w:rFonts w:asciiTheme="minorHAnsi" w:eastAsiaTheme="minorHAnsi" w:hAnsiTheme="minorHAnsi" w:cstheme="minorHAnsi"/>
        </w:rPr>
        <w:t xml:space="preserve">further </w:t>
      </w:r>
      <w:r w:rsidR="00E86F0A" w:rsidRPr="00A53EB5">
        <w:rPr>
          <w:rFonts w:asciiTheme="minorHAnsi" w:eastAsiaTheme="minorHAnsi" w:hAnsiTheme="minorHAnsi" w:cstheme="minorHAnsi"/>
        </w:rPr>
        <w:t>consideration</w:t>
      </w:r>
      <w:r w:rsidR="00C405A6" w:rsidRPr="00A53EB5">
        <w:rPr>
          <w:rFonts w:asciiTheme="minorHAnsi" w:eastAsiaTheme="minorHAnsi" w:hAnsiTheme="minorHAnsi" w:cstheme="minorHAnsi"/>
        </w:rPr>
        <w:t>.</w:t>
      </w:r>
    </w:p>
    <w:p w:rsidR="00446019" w:rsidRPr="00A53EB5" w:rsidRDefault="00446019" w:rsidP="00201194">
      <w:pPr>
        <w:spacing w:after="200" w:line="276" w:lineRule="auto"/>
        <w:jc w:val="both"/>
        <w:rPr>
          <w:rFonts w:asciiTheme="minorHAnsi" w:eastAsiaTheme="minorHAnsi" w:hAnsiTheme="minorHAnsi" w:cstheme="minorHAnsi"/>
          <w:b/>
          <w:i/>
        </w:rPr>
      </w:pPr>
      <w:r w:rsidRPr="00A53EB5">
        <w:rPr>
          <w:rFonts w:asciiTheme="minorHAnsi" w:eastAsiaTheme="minorHAnsi" w:hAnsiTheme="minorHAnsi" w:cstheme="minorHAnsi"/>
          <w:b/>
          <w:i/>
        </w:rPr>
        <w:t>Registers</w:t>
      </w:r>
    </w:p>
    <w:p w:rsidR="00201194" w:rsidRPr="00A53EB5" w:rsidRDefault="00201194" w:rsidP="00201194">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 xml:space="preserve">Nothing has come to our attention that would cause us to object to these amendments except where otherwise elsewhere identified in this response. </w:t>
      </w:r>
    </w:p>
    <w:p w:rsidR="00446019" w:rsidRPr="00A53EB5" w:rsidRDefault="00446019" w:rsidP="00201194">
      <w:pPr>
        <w:spacing w:after="200" w:line="276" w:lineRule="auto"/>
        <w:jc w:val="both"/>
        <w:rPr>
          <w:rFonts w:asciiTheme="minorHAnsi" w:eastAsiaTheme="minorHAnsi" w:hAnsiTheme="minorHAnsi" w:cstheme="minorHAnsi"/>
          <w:b/>
          <w:i/>
        </w:rPr>
      </w:pPr>
      <w:r w:rsidRPr="00A53EB5">
        <w:rPr>
          <w:rFonts w:asciiTheme="minorHAnsi" w:eastAsiaTheme="minorHAnsi" w:hAnsiTheme="minorHAnsi" w:cstheme="minorHAnsi"/>
          <w:b/>
          <w:i/>
        </w:rPr>
        <w:t xml:space="preserve">Related </w:t>
      </w:r>
      <w:r w:rsidR="007E1F5E">
        <w:rPr>
          <w:rFonts w:asciiTheme="minorHAnsi" w:eastAsiaTheme="minorHAnsi" w:hAnsiTheme="minorHAnsi" w:cstheme="minorHAnsi"/>
          <w:b/>
          <w:i/>
        </w:rPr>
        <w:t>p</w:t>
      </w:r>
      <w:r w:rsidRPr="00A53EB5">
        <w:rPr>
          <w:rFonts w:asciiTheme="minorHAnsi" w:eastAsiaTheme="minorHAnsi" w:hAnsiTheme="minorHAnsi" w:cstheme="minorHAnsi"/>
          <w:b/>
          <w:i/>
        </w:rPr>
        <w:t>arties</w:t>
      </w:r>
    </w:p>
    <w:p w:rsidR="00E86F0A" w:rsidRPr="00A53EB5" w:rsidRDefault="00201194" w:rsidP="00201194">
      <w:pPr>
        <w:spacing w:after="200" w:line="276" w:lineRule="auto"/>
        <w:jc w:val="both"/>
        <w:rPr>
          <w:rFonts w:asciiTheme="minorHAnsi" w:eastAsiaTheme="minorHAnsi" w:hAnsiTheme="minorHAnsi" w:cstheme="minorHAnsi"/>
          <w:b/>
          <w:i/>
        </w:rPr>
      </w:pPr>
      <w:r w:rsidRPr="00A53EB5">
        <w:rPr>
          <w:rFonts w:asciiTheme="minorHAnsi" w:eastAsiaTheme="minorHAnsi" w:hAnsiTheme="minorHAnsi" w:cstheme="minorHAnsi"/>
        </w:rPr>
        <w:t xml:space="preserve">The requirement to comply with </w:t>
      </w:r>
      <w:r w:rsidR="001154F8" w:rsidRPr="00A53EB5">
        <w:rPr>
          <w:rFonts w:asciiTheme="minorHAnsi" w:eastAsiaTheme="minorHAnsi" w:hAnsiTheme="minorHAnsi" w:cstheme="minorHAnsi"/>
        </w:rPr>
        <w:t>Chapter 2E of the Corporations Act, which applies to rel</w:t>
      </w:r>
      <w:r w:rsidRPr="00A53EB5">
        <w:rPr>
          <w:rFonts w:asciiTheme="minorHAnsi" w:eastAsiaTheme="minorHAnsi" w:hAnsiTheme="minorHAnsi" w:cstheme="minorHAnsi"/>
        </w:rPr>
        <w:t>ated parties</w:t>
      </w:r>
      <w:r w:rsidR="001154F8" w:rsidRPr="00A53EB5">
        <w:rPr>
          <w:rFonts w:asciiTheme="minorHAnsi" w:eastAsiaTheme="minorHAnsi" w:hAnsiTheme="minorHAnsi" w:cstheme="minorHAnsi"/>
        </w:rPr>
        <w:t xml:space="preserve">, </w:t>
      </w:r>
      <w:r w:rsidRPr="00A53EB5">
        <w:rPr>
          <w:rFonts w:asciiTheme="minorHAnsi" w:eastAsiaTheme="minorHAnsi" w:hAnsiTheme="minorHAnsi" w:cstheme="minorHAnsi"/>
        </w:rPr>
        <w:t xml:space="preserve">is an important governance measure which the IPA fully supports. We note however, that </w:t>
      </w:r>
      <w:r w:rsidR="00C405A6" w:rsidRPr="00A53EB5">
        <w:rPr>
          <w:rFonts w:asciiTheme="minorHAnsi" w:eastAsiaTheme="minorHAnsi" w:hAnsiTheme="minorHAnsi" w:cstheme="minorHAnsi"/>
        </w:rPr>
        <w:t xml:space="preserve">the </w:t>
      </w:r>
      <w:r w:rsidRPr="00A53EB5">
        <w:rPr>
          <w:rFonts w:asciiTheme="minorHAnsi" w:eastAsiaTheme="minorHAnsi" w:hAnsiTheme="minorHAnsi" w:cstheme="minorHAnsi"/>
        </w:rPr>
        <w:t xml:space="preserve">proposed compliance requirement will be a major </w:t>
      </w:r>
      <w:r w:rsidR="001154F8" w:rsidRPr="00A53EB5">
        <w:rPr>
          <w:rFonts w:asciiTheme="minorHAnsi" w:eastAsiaTheme="minorHAnsi" w:hAnsiTheme="minorHAnsi" w:cstheme="minorHAnsi"/>
        </w:rPr>
        <w:t xml:space="preserve">burden for </w:t>
      </w:r>
      <w:r w:rsidRPr="00A53EB5">
        <w:rPr>
          <w:rFonts w:asciiTheme="minorHAnsi" w:eastAsiaTheme="minorHAnsi" w:hAnsiTheme="minorHAnsi" w:cstheme="minorHAnsi"/>
        </w:rPr>
        <w:t>comp</w:t>
      </w:r>
      <w:r w:rsidR="001154F8" w:rsidRPr="00A53EB5">
        <w:rPr>
          <w:rFonts w:asciiTheme="minorHAnsi" w:eastAsiaTheme="minorHAnsi" w:hAnsiTheme="minorHAnsi" w:cstheme="minorHAnsi"/>
        </w:rPr>
        <w:t xml:space="preserve">anies not currently required to </w:t>
      </w:r>
      <w:r w:rsidRPr="00A53EB5">
        <w:rPr>
          <w:rFonts w:asciiTheme="minorHAnsi" w:eastAsiaTheme="minorHAnsi" w:hAnsiTheme="minorHAnsi" w:cstheme="minorHAnsi"/>
        </w:rPr>
        <w:t xml:space="preserve">comply </w:t>
      </w:r>
      <w:r w:rsidR="001154F8" w:rsidRPr="00A53EB5">
        <w:rPr>
          <w:rFonts w:asciiTheme="minorHAnsi" w:eastAsiaTheme="minorHAnsi" w:hAnsiTheme="minorHAnsi" w:cstheme="minorHAnsi"/>
        </w:rPr>
        <w:t xml:space="preserve">with related party restrictions and disclosures. This </w:t>
      </w:r>
      <w:r w:rsidR="00284B89" w:rsidRPr="00A53EB5">
        <w:rPr>
          <w:rFonts w:asciiTheme="minorHAnsi" w:eastAsiaTheme="minorHAnsi" w:hAnsiTheme="minorHAnsi" w:cstheme="minorHAnsi"/>
        </w:rPr>
        <w:t xml:space="preserve">is </w:t>
      </w:r>
      <w:r w:rsidR="001154F8" w:rsidRPr="00A53EB5">
        <w:rPr>
          <w:rFonts w:asciiTheme="minorHAnsi" w:eastAsiaTheme="minorHAnsi" w:hAnsiTheme="minorHAnsi" w:cstheme="minorHAnsi"/>
        </w:rPr>
        <w:t>particularly so for proprietary companies, many of which a</w:t>
      </w:r>
      <w:r w:rsidR="00284B89" w:rsidRPr="00A53EB5">
        <w:rPr>
          <w:rFonts w:asciiTheme="minorHAnsi" w:eastAsiaTheme="minorHAnsi" w:hAnsiTheme="minorHAnsi" w:cstheme="minorHAnsi"/>
        </w:rPr>
        <w:t>re</w:t>
      </w:r>
      <w:r w:rsidR="001154F8" w:rsidRPr="00A53EB5">
        <w:rPr>
          <w:rFonts w:asciiTheme="minorHAnsi" w:eastAsiaTheme="minorHAnsi" w:hAnsiTheme="minorHAnsi" w:cstheme="minorHAnsi"/>
        </w:rPr>
        <w:t xml:space="preserve"> fraught with complex structures</w:t>
      </w:r>
      <w:r w:rsidR="00284B89" w:rsidRPr="00A53EB5">
        <w:rPr>
          <w:rFonts w:asciiTheme="minorHAnsi" w:eastAsiaTheme="minorHAnsi" w:hAnsiTheme="minorHAnsi" w:cstheme="minorHAnsi"/>
        </w:rPr>
        <w:t xml:space="preserve"> </w:t>
      </w:r>
      <w:r w:rsidR="001154F8" w:rsidRPr="00A53EB5">
        <w:rPr>
          <w:rFonts w:asciiTheme="minorHAnsi" w:eastAsiaTheme="minorHAnsi" w:hAnsiTheme="minorHAnsi" w:cstheme="minorHAnsi"/>
        </w:rPr>
        <w:t>often involving a</w:t>
      </w:r>
      <w:r w:rsidR="00284B89" w:rsidRPr="00A53EB5">
        <w:rPr>
          <w:rFonts w:asciiTheme="minorHAnsi" w:eastAsiaTheme="minorHAnsi" w:hAnsiTheme="minorHAnsi" w:cstheme="minorHAnsi"/>
        </w:rPr>
        <w:t>n intricate</w:t>
      </w:r>
      <w:r w:rsidR="001154F8" w:rsidRPr="00A53EB5">
        <w:rPr>
          <w:rFonts w:asciiTheme="minorHAnsi" w:eastAsiaTheme="minorHAnsi" w:hAnsiTheme="minorHAnsi" w:cstheme="minorHAnsi"/>
        </w:rPr>
        <w:t xml:space="preserve"> web of </w:t>
      </w:r>
      <w:r w:rsidR="00284B89" w:rsidRPr="00A53EB5">
        <w:rPr>
          <w:rFonts w:asciiTheme="minorHAnsi" w:eastAsiaTheme="minorHAnsi" w:hAnsiTheme="minorHAnsi" w:cstheme="minorHAnsi"/>
        </w:rPr>
        <w:t>personal</w:t>
      </w:r>
      <w:r w:rsidR="00C405A6" w:rsidRPr="00A53EB5">
        <w:rPr>
          <w:rFonts w:asciiTheme="minorHAnsi" w:eastAsiaTheme="minorHAnsi" w:hAnsiTheme="minorHAnsi" w:cstheme="minorHAnsi"/>
        </w:rPr>
        <w:t xml:space="preserve"> and business</w:t>
      </w:r>
      <w:r w:rsidR="00284B89" w:rsidRPr="00A53EB5">
        <w:rPr>
          <w:rFonts w:asciiTheme="minorHAnsi" w:eastAsiaTheme="minorHAnsi" w:hAnsiTheme="minorHAnsi" w:cstheme="minorHAnsi"/>
        </w:rPr>
        <w:t xml:space="preserve"> </w:t>
      </w:r>
      <w:r w:rsidR="001154F8" w:rsidRPr="00A53EB5">
        <w:rPr>
          <w:rFonts w:asciiTheme="minorHAnsi" w:eastAsiaTheme="minorHAnsi" w:hAnsiTheme="minorHAnsi" w:cstheme="minorHAnsi"/>
        </w:rPr>
        <w:t>relationship</w:t>
      </w:r>
      <w:r w:rsidR="00284B89" w:rsidRPr="00A53EB5">
        <w:rPr>
          <w:rFonts w:asciiTheme="minorHAnsi" w:eastAsiaTheme="minorHAnsi" w:hAnsiTheme="minorHAnsi" w:cstheme="minorHAnsi"/>
        </w:rPr>
        <w:t>s</w:t>
      </w:r>
      <w:r w:rsidR="001154F8" w:rsidRPr="00A53EB5">
        <w:rPr>
          <w:rFonts w:asciiTheme="minorHAnsi" w:eastAsiaTheme="minorHAnsi" w:hAnsiTheme="minorHAnsi" w:cstheme="minorHAnsi"/>
        </w:rPr>
        <w:t>.</w:t>
      </w:r>
    </w:p>
    <w:p w:rsidR="00446019" w:rsidRPr="00A53EB5" w:rsidRDefault="00446019" w:rsidP="001154F8">
      <w:pPr>
        <w:spacing w:after="200" w:line="276" w:lineRule="auto"/>
        <w:jc w:val="both"/>
        <w:rPr>
          <w:rFonts w:asciiTheme="minorHAnsi" w:eastAsiaTheme="minorHAnsi" w:hAnsiTheme="minorHAnsi" w:cstheme="minorHAnsi"/>
          <w:b/>
          <w:i/>
        </w:rPr>
      </w:pPr>
      <w:r w:rsidRPr="00A53EB5">
        <w:rPr>
          <w:rFonts w:asciiTheme="minorHAnsi" w:eastAsiaTheme="minorHAnsi" w:hAnsiTheme="minorHAnsi" w:cstheme="minorHAnsi"/>
          <w:b/>
          <w:i/>
        </w:rPr>
        <w:t>Audits</w:t>
      </w:r>
      <w:r w:rsidR="00284B89" w:rsidRPr="00A53EB5">
        <w:rPr>
          <w:rFonts w:asciiTheme="minorHAnsi" w:eastAsiaTheme="minorHAnsi" w:hAnsiTheme="minorHAnsi" w:cstheme="minorHAnsi"/>
          <w:b/>
          <w:i/>
        </w:rPr>
        <w:t xml:space="preserve"> – CSF </w:t>
      </w:r>
      <w:r w:rsidR="00B604BB" w:rsidRPr="00A53EB5">
        <w:rPr>
          <w:rFonts w:asciiTheme="minorHAnsi" w:eastAsiaTheme="minorHAnsi" w:hAnsiTheme="minorHAnsi" w:cstheme="minorHAnsi"/>
          <w:b/>
          <w:i/>
        </w:rPr>
        <w:t>offers</w:t>
      </w:r>
      <w:r w:rsidR="00284B89" w:rsidRPr="00A53EB5">
        <w:rPr>
          <w:rFonts w:asciiTheme="minorHAnsi" w:eastAsiaTheme="minorHAnsi" w:hAnsiTheme="minorHAnsi" w:cstheme="minorHAnsi"/>
          <w:b/>
          <w:i/>
        </w:rPr>
        <w:t xml:space="preserve"> greater than $1 million</w:t>
      </w:r>
    </w:p>
    <w:p w:rsidR="001154F8" w:rsidRPr="00A53EB5" w:rsidRDefault="001154F8" w:rsidP="001154F8">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 xml:space="preserve">Except to confirm our support for an excellent mechanism of corporate governance which will provide credibility to the financial statements, we </w:t>
      </w:r>
      <w:r w:rsidR="00284B89" w:rsidRPr="00A53EB5">
        <w:rPr>
          <w:rFonts w:asciiTheme="minorHAnsi" w:eastAsiaTheme="minorHAnsi" w:hAnsiTheme="minorHAnsi" w:cstheme="minorHAnsi"/>
        </w:rPr>
        <w:t xml:space="preserve">have limited </w:t>
      </w:r>
      <w:r w:rsidRPr="00A53EB5">
        <w:rPr>
          <w:rFonts w:asciiTheme="minorHAnsi" w:eastAsiaTheme="minorHAnsi" w:hAnsiTheme="minorHAnsi" w:cstheme="minorHAnsi"/>
        </w:rPr>
        <w:t>further comment</w:t>
      </w:r>
      <w:r w:rsidR="00284B89" w:rsidRPr="00A53EB5">
        <w:rPr>
          <w:rFonts w:asciiTheme="minorHAnsi" w:eastAsiaTheme="minorHAnsi" w:hAnsiTheme="minorHAnsi" w:cstheme="minorHAnsi"/>
        </w:rPr>
        <w:t>ary</w:t>
      </w:r>
      <w:r w:rsidRPr="00A53EB5">
        <w:rPr>
          <w:rFonts w:asciiTheme="minorHAnsi" w:eastAsiaTheme="minorHAnsi" w:hAnsiTheme="minorHAnsi" w:cstheme="minorHAnsi"/>
        </w:rPr>
        <w:t xml:space="preserve"> on the proposed amendments. </w:t>
      </w:r>
      <w:r w:rsidR="00284B89" w:rsidRPr="00A53EB5">
        <w:rPr>
          <w:rFonts w:asciiTheme="minorHAnsi" w:eastAsiaTheme="minorHAnsi" w:hAnsiTheme="minorHAnsi" w:cstheme="minorHAnsi"/>
        </w:rPr>
        <w:t>Our only concern is the significant cost burden that a financial audit</w:t>
      </w:r>
      <w:r w:rsidR="00B604BB" w:rsidRPr="00A53EB5">
        <w:rPr>
          <w:rFonts w:asciiTheme="minorHAnsi" w:eastAsiaTheme="minorHAnsi" w:hAnsiTheme="minorHAnsi" w:cstheme="minorHAnsi"/>
        </w:rPr>
        <w:t xml:space="preserve"> will</w:t>
      </w:r>
      <w:r w:rsidR="00284B89" w:rsidRPr="00A53EB5">
        <w:rPr>
          <w:rFonts w:asciiTheme="minorHAnsi" w:eastAsiaTheme="minorHAnsi" w:hAnsiTheme="minorHAnsi" w:cstheme="minorHAnsi"/>
        </w:rPr>
        <w:t xml:space="preserve"> place on proprietary companies.</w:t>
      </w:r>
    </w:p>
    <w:p w:rsidR="00446019" w:rsidRPr="00A53EB5" w:rsidRDefault="00446019"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szCs w:val="24"/>
        </w:rPr>
      </w:pPr>
      <w:r w:rsidRPr="00A53EB5">
        <w:rPr>
          <w:rFonts w:asciiTheme="minorHAnsi" w:eastAsiaTheme="minorHAnsi" w:hAnsiTheme="minorHAnsi" w:cstheme="minorHAnsi"/>
          <w:b/>
          <w:color w:val="E36C0A" w:themeColor="accent6" w:themeShade="BF"/>
          <w:szCs w:val="24"/>
        </w:rPr>
        <w:t>Chapter 6 Exemptions</w:t>
      </w:r>
    </w:p>
    <w:p w:rsidR="00E86F0A" w:rsidRPr="00A53EB5" w:rsidRDefault="00B478AE" w:rsidP="00B478AE">
      <w:pPr>
        <w:spacing w:after="200" w:line="276" w:lineRule="auto"/>
        <w:jc w:val="both"/>
        <w:rPr>
          <w:rFonts w:asciiTheme="minorHAnsi" w:eastAsiaTheme="minorHAnsi" w:hAnsiTheme="minorHAnsi" w:cstheme="minorHAnsi"/>
          <w:b/>
        </w:rPr>
      </w:pPr>
      <w:r w:rsidRPr="00A53EB5">
        <w:rPr>
          <w:rFonts w:asciiTheme="minorHAnsi" w:eastAsiaTheme="minorHAnsi" w:hAnsiTheme="minorHAnsi" w:cstheme="minorHAnsi"/>
        </w:rPr>
        <w:t>Nothing has come to our attention that would cause us to object to these amendments except where otherwise elsewhere identified in this response</w:t>
      </w:r>
      <w:r w:rsidR="007E1F5E">
        <w:rPr>
          <w:rFonts w:asciiTheme="minorHAnsi" w:eastAsiaTheme="minorHAnsi" w:hAnsiTheme="minorHAnsi" w:cstheme="minorHAnsi"/>
        </w:rPr>
        <w:t>.</w:t>
      </w:r>
      <w:r w:rsidRPr="00A53EB5">
        <w:rPr>
          <w:rFonts w:asciiTheme="minorHAnsi" w:eastAsiaTheme="minorHAnsi" w:hAnsiTheme="minorHAnsi" w:cstheme="minorHAnsi"/>
          <w:b/>
        </w:rPr>
        <w:t xml:space="preserve"> </w:t>
      </w:r>
    </w:p>
    <w:p w:rsidR="006D7089" w:rsidRPr="00A53EB5" w:rsidRDefault="006D7089"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szCs w:val="24"/>
        </w:rPr>
      </w:pPr>
      <w:r w:rsidRPr="00A53EB5">
        <w:rPr>
          <w:rFonts w:asciiTheme="minorHAnsi" w:eastAsiaTheme="minorHAnsi" w:hAnsiTheme="minorHAnsi" w:cstheme="minorHAnsi"/>
          <w:b/>
          <w:color w:val="E36C0A" w:themeColor="accent6" w:themeShade="BF"/>
          <w:szCs w:val="24"/>
        </w:rPr>
        <w:t xml:space="preserve">Defective </w:t>
      </w:r>
      <w:r w:rsidR="007E1F5E">
        <w:rPr>
          <w:rFonts w:asciiTheme="minorHAnsi" w:eastAsiaTheme="minorHAnsi" w:hAnsiTheme="minorHAnsi" w:cstheme="minorHAnsi"/>
          <w:b/>
          <w:color w:val="E36C0A" w:themeColor="accent6" w:themeShade="BF"/>
          <w:szCs w:val="24"/>
        </w:rPr>
        <w:t>o</w:t>
      </w:r>
      <w:r w:rsidRPr="00A53EB5">
        <w:rPr>
          <w:rFonts w:asciiTheme="minorHAnsi" w:eastAsiaTheme="minorHAnsi" w:hAnsiTheme="minorHAnsi" w:cstheme="minorHAnsi"/>
          <w:b/>
          <w:color w:val="E36C0A" w:themeColor="accent6" w:themeShade="BF"/>
          <w:szCs w:val="24"/>
        </w:rPr>
        <w:t>ffers</w:t>
      </w:r>
    </w:p>
    <w:p w:rsidR="007E1F5E" w:rsidRDefault="00B478AE" w:rsidP="00B478AE">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Nothing has come to our attention that would cause us to object to these amendments except where otherwise elsewhere identified in this response</w:t>
      </w:r>
      <w:r w:rsidR="007E1F5E">
        <w:rPr>
          <w:rFonts w:asciiTheme="minorHAnsi" w:eastAsiaTheme="minorHAnsi" w:hAnsiTheme="minorHAnsi" w:cstheme="minorHAnsi"/>
        </w:rPr>
        <w:t>.</w:t>
      </w:r>
    </w:p>
    <w:p w:rsidR="007E1F5E" w:rsidRDefault="007E1F5E">
      <w:pPr>
        <w:rPr>
          <w:rFonts w:asciiTheme="minorHAnsi" w:eastAsiaTheme="minorHAnsi" w:hAnsiTheme="minorHAnsi" w:cstheme="minorHAnsi"/>
        </w:rPr>
      </w:pPr>
      <w:r>
        <w:rPr>
          <w:rFonts w:asciiTheme="minorHAnsi" w:eastAsiaTheme="minorHAnsi" w:hAnsiTheme="minorHAnsi" w:cstheme="minorHAnsi"/>
        </w:rPr>
        <w:br w:type="page"/>
      </w:r>
    </w:p>
    <w:p w:rsidR="007B2F34" w:rsidRPr="00A53EB5" w:rsidRDefault="007B2F34" w:rsidP="008243DC">
      <w:pPr>
        <w:pStyle w:val="ListParagraph"/>
        <w:numPr>
          <w:ilvl w:val="0"/>
          <w:numId w:val="5"/>
        </w:numPr>
        <w:spacing w:after="200" w:line="276" w:lineRule="auto"/>
        <w:jc w:val="both"/>
        <w:rPr>
          <w:rFonts w:asciiTheme="minorHAnsi" w:eastAsiaTheme="minorHAnsi" w:hAnsiTheme="minorHAnsi" w:cstheme="minorHAnsi"/>
          <w:b/>
          <w:color w:val="E36C0A" w:themeColor="accent6" w:themeShade="BF"/>
          <w:szCs w:val="24"/>
        </w:rPr>
      </w:pPr>
      <w:r w:rsidRPr="00A53EB5">
        <w:rPr>
          <w:rFonts w:asciiTheme="minorHAnsi" w:eastAsiaTheme="minorHAnsi" w:hAnsiTheme="minorHAnsi" w:cstheme="minorHAnsi"/>
          <w:b/>
          <w:color w:val="E36C0A" w:themeColor="accent6" w:themeShade="BF"/>
          <w:szCs w:val="24"/>
        </w:rPr>
        <w:t xml:space="preserve">General comments </w:t>
      </w:r>
    </w:p>
    <w:p w:rsidR="007D58D8" w:rsidRPr="00A53EB5" w:rsidRDefault="007B2F34" w:rsidP="00B478AE">
      <w:pPr>
        <w:spacing w:after="200" w:line="276" w:lineRule="auto"/>
        <w:jc w:val="both"/>
        <w:rPr>
          <w:rFonts w:asciiTheme="minorHAnsi" w:eastAsiaTheme="minorHAnsi" w:hAnsiTheme="minorHAnsi" w:cstheme="minorHAnsi"/>
          <w:b/>
          <w:i/>
        </w:rPr>
      </w:pPr>
      <w:r w:rsidRPr="00A53EB5">
        <w:rPr>
          <w:rFonts w:asciiTheme="minorHAnsi" w:eastAsiaTheme="minorHAnsi" w:hAnsiTheme="minorHAnsi" w:cstheme="minorHAnsi"/>
          <w:b/>
          <w:i/>
        </w:rPr>
        <w:t>Public company g</w:t>
      </w:r>
      <w:r w:rsidR="007D58D8" w:rsidRPr="00A53EB5">
        <w:rPr>
          <w:rFonts w:asciiTheme="minorHAnsi" w:eastAsiaTheme="minorHAnsi" w:hAnsiTheme="minorHAnsi" w:cstheme="minorHAnsi"/>
          <w:b/>
          <w:i/>
        </w:rPr>
        <w:t xml:space="preserve">overnance </w:t>
      </w:r>
      <w:r w:rsidR="007E1F5E">
        <w:rPr>
          <w:rFonts w:asciiTheme="minorHAnsi" w:eastAsiaTheme="minorHAnsi" w:hAnsiTheme="minorHAnsi" w:cstheme="minorHAnsi"/>
          <w:b/>
          <w:i/>
        </w:rPr>
        <w:t>c</w:t>
      </w:r>
      <w:r w:rsidR="007D58D8" w:rsidRPr="00A53EB5">
        <w:rPr>
          <w:rFonts w:asciiTheme="minorHAnsi" w:eastAsiaTheme="minorHAnsi" w:hAnsiTheme="minorHAnsi" w:cstheme="minorHAnsi"/>
          <w:b/>
          <w:i/>
        </w:rPr>
        <w:t>oncessions</w:t>
      </w:r>
    </w:p>
    <w:p w:rsidR="00E86F0A" w:rsidRPr="00A53EB5" w:rsidRDefault="007B2F34" w:rsidP="007B2F34">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Unlisted compa</w:t>
      </w:r>
      <w:r w:rsidR="007E1F5E">
        <w:rPr>
          <w:rFonts w:asciiTheme="minorHAnsi" w:eastAsiaTheme="minorHAnsi" w:hAnsiTheme="minorHAnsi" w:cstheme="minorHAnsi"/>
        </w:rPr>
        <w:t>nies choosing to adopt the CSF p</w:t>
      </w:r>
      <w:r w:rsidRPr="00A53EB5">
        <w:rPr>
          <w:rFonts w:asciiTheme="minorHAnsi" w:eastAsiaTheme="minorHAnsi" w:hAnsiTheme="minorHAnsi" w:cstheme="minorHAnsi"/>
        </w:rPr>
        <w:t xml:space="preserve">ublic company model will have concessions </w:t>
      </w:r>
      <w:r w:rsidR="00853607" w:rsidRPr="00A53EB5">
        <w:rPr>
          <w:rFonts w:asciiTheme="minorHAnsi" w:eastAsiaTheme="minorHAnsi" w:hAnsiTheme="minorHAnsi" w:cstheme="minorHAnsi"/>
        </w:rPr>
        <w:t xml:space="preserve">for a period of </w:t>
      </w:r>
      <w:r w:rsidR="007E1F5E">
        <w:rPr>
          <w:rFonts w:asciiTheme="minorHAnsi" w:eastAsiaTheme="minorHAnsi" w:hAnsiTheme="minorHAnsi" w:cstheme="minorHAnsi"/>
        </w:rPr>
        <w:t>five</w:t>
      </w:r>
      <w:r w:rsidR="00853607" w:rsidRPr="00A53EB5">
        <w:rPr>
          <w:rFonts w:asciiTheme="minorHAnsi" w:eastAsiaTheme="minorHAnsi" w:hAnsiTheme="minorHAnsi" w:cstheme="minorHAnsi"/>
        </w:rPr>
        <w:t xml:space="preserve"> </w:t>
      </w:r>
      <w:r w:rsidR="0055280B" w:rsidRPr="00A53EB5">
        <w:rPr>
          <w:rFonts w:asciiTheme="minorHAnsi" w:eastAsiaTheme="minorHAnsi" w:hAnsiTheme="minorHAnsi" w:cstheme="minorHAnsi"/>
        </w:rPr>
        <w:t>years that</w:t>
      </w:r>
      <w:r w:rsidR="00853607" w:rsidRPr="00A53EB5">
        <w:rPr>
          <w:rFonts w:asciiTheme="minorHAnsi" w:eastAsiaTheme="minorHAnsi" w:hAnsiTheme="minorHAnsi" w:cstheme="minorHAnsi"/>
        </w:rPr>
        <w:t xml:space="preserve"> </w:t>
      </w:r>
      <w:r w:rsidRPr="00A53EB5">
        <w:rPr>
          <w:rFonts w:asciiTheme="minorHAnsi" w:eastAsiaTheme="minorHAnsi" w:hAnsiTheme="minorHAnsi" w:cstheme="minorHAnsi"/>
        </w:rPr>
        <w:t>relat</w:t>
      </w:r>
      <w:r w:rsidR="00853607" w:rsidRPr="00A53EB5">
        <w:rPr>
          <w:rFonts w:asciiTheme="minorHAnsi" w:eastAsiaTheme="minorHAnsi" w:hAnsiTheme="minorHAnsi" w:cstheme="minorHAnsi"/>
        </w:rPr>
        <w:t>e</w:t>
      </w:r>
      <w:r w:rsidRPr="00A53EB5">
        <w:rPr>
          <w:rFonts w:asciiTheme="minorHAnsi" w:eastAsiaTheme="minorHAnsi" w:hAnsiTheme="minorHAnsi" w:cstheme="minorHAnsi"/>
        </w:rPr>
        <w:t xml:space="preserve"> to </w:t>
      </w:r>
      <w:r w:rsidR="00853607" w:rsidRPr="00A53EB5">
        <w:rPr>
          <w:rFonts w:asciiTheme="minorHAnsi" w:eastAsiaTheme="minorHAnsi" w:hAnsiTheme="minorHAnsi" w:cstheme="minorHAnsi"/>
        </w:rPr>
        <w:t xml:space="preserve">the </w:t>
      </w:r>
      <w:r w:rsidRPr="00A53EB5">
        <w:rPr>
          <w:rFonts w:asciiTheme="minorHAnsi" w:eastAsiaTheme="minorHAnsi" w:hAnsiTheme="minorHAnsi" w:cstheme="minorHAnsi"/>
        </w:rPr>
        <w:t xml:space="preserve">holding </w:t>
      </w:r>
      <w:r w:rsidR="00853607" w:rsidRPr="00A53EB5">
        <w:rPr>
          <w:rFonts w:asciiTheme="minorHAnsi" w:eastAsiaTheme="minorHAnsi" w:hAnsiTheme="minorHAnsi" w:cstheme="minorHAnsi"/>
        </w:rPr>
        <w:t xml:space="preserve">of </w:t>
      </w:r>
      <w:r w:rsidRPr="00A53EB5">
        <w:rPr>
          <w:rFonts w:asciiTheme="minorHAnsi" w:eastAsiaTheme="minorHAnsi" w:hAnsiTheme="minorHAnsi" w:cstheme="minorHAnsi"/>
        </w:rPr>
        <w:t xml:space="preserve">an AGM, </w:t>
      </w:r>
      <w:r w:rsidR="00853607" w:rsidRPr="00A53EB5">
        <w:rPr>
          <w:rFonts w:asciiTheme="minorHAnsi" w:eastAsiaTheme="minorHAnsi" w:hAnsiTheme="minorHAnsi" w:cstheme="minorHAnsi"/>
        </w:rPr>
        <w:t xml:space="preserve">an </w:t>
      </w:r>
      <w:r w:rsidRPr="00A53EB5">
        <w:rPr>
          <w:rFonts w:asciiTheme="minorHAnsi" w:eastAsiaTheme="minorHAnsi" w:hAnsiTheme="minorHAnsi" w:cstheme="minorHAnsi"/>
        </w:rPr>
        <w:t>option to post reports on-line</w:t>
      </w:r>
      <w:r w:rsidR="00853607" w:rsidRPr="00A53EB5">
        <w:rPr>
          <w:rFonts w:asciiTheme="minorHAnsi" w:eastAsiaTheme="minorHAnsi" w:hAnsiTheme="minorHAnsi" w:cstheme="minorHAnsi"/>
        </w:rPr>
        <w:t>,</w:t>
      </w:r>
      <w:r w:rsidRPr="00A53EB5">
        <w:rPr>
          <w:rFonts w:asciiTheme="minorHAnsi" w:eastAsiaTheme="minorHAnsi" w:hAnsiTheme="minorHAnsi" w:cstheme="minorHAnsi"/>
        </w:rPr>
        <w:t xml:space="preserve"> and </w:t>
      </w:r>
      <w:r w:rsidR="00853607" w:rsidRPr="00A53EB5">
        <w:rPr>
          <w:rFonts w:asciiTheme="minorHAnsi" w:eastAsiaTheme="minorHAnsi" w:hAnsiTheme="minorHAnsi" w:cstheme="minorHAnsi"/>
        </w:rPr>
        <w:t xml:space="preserve">the removal of the requirement to appoint an auditor unless the company engages in a CSF offer of greater than $1 million. The IPA is </w:t>
      </w:r>
      <w:r w:rsidR="00DF3388" w:rsidRPr="00A53EB5">
        <w:rPr>
          <w:rFonts w:asciiTheme="minorHAnsi" w:eastAsiaTheme="minorHAnsi" w:hAnsiTheme="minorHAnsi" w:cstheme="minorHAnsi"/>
        </w:rPr>
        <w:t>concerned</w:t>
      </w:r>
      <w:r w:rsidR="00853607" w:rsidRPr="00A53EB5">
        <w:rPr>
          <w:rFonts w:asciiTheme="minorHAnsi" w:eastAsiaTheme="minorHAnsi" w:hAnsiTheme="minorHAnsi" w:cstheme="minorHAnsi"/>
        </w:rPr>
        <w:t xml:space="preserve"> that after the initial five-year period, the concession will presumably be removed, in which case the </w:t>
      </w:r>
      <w:r w:rsidR="0055280B" w:rsidRPr="00A53EB5">
        <w:rPr>
          <w:rFonts w:asciiTheme="minorHAnsi" w:eastAsiaTheme="minorHAnsi" w:hAnsiTheme="minorHAnsi" w:cstheme="minorHAnsi"/>
        </w:rPr>
        <w:t>remaining</w:t>
      </w:r>
      <w:r w:rsidR="00853607" w:rsidRPr="00A53EB5">
        <w:rPr>
          <w:rFonts w:asciiTheme="minorHAnsi" w:eastAsiaTheme="minorHAnsi" w:hAnsiTheme="minorHAnsi" w:cstheme="minorHAnsi"/>
        </w:rPr>
        <w:t xml:space="preserve"> structure</w:t>
      </w:r>
      <w:r w:rsidR="009925D0" w:rsidRPr="00A53EB5">
        <w:rPr>
          <w:rFonts w:asciiTheme="minorHAnsi" w:eastAsiaTheme="minorHAnsi" w:hAnsiTheme="minorHAnsi" w:cstheme="minorHAnsi"/>
        </w:rPr>
        <w:t>,</w:t>
      </w:r>
      <w:r w:rsidR="00853607" w:rsidRPr="00A53EB5">
        <w:rPr>
          <w:rFonts w:asciiTheme="minorHAnsi" w:eastAsiaTheme="minorHAnsi" w:hAnsiTheme="minorHAnsi" w:cstheme="minorHAnsi"/>
        </w:rPr>
        <w:t xml:space="preserve"> along with all of the compliance burdens, may not be what was initially planned or desired.</w:t>
      </w:r>
    </w:p>
    <w:p w:rsidR="00F569F6" w:rsidRPr="00A53EB5" w:rsidRDefault="00F569F6" w:rsidP="00853607">
      <w:pPr>
        <w:spacing w:after="200" w:line="276" w:lineRule="auto"/>
        <w:jc w:val="both"/>
        <w:rPr>
          <w:rFonts w:asciiTheme="minorHAnsi" w:eastAsiaTheme="minorHAnsi" w:hAnsiTheme="minorHAnsi" w:cstheme="minorHAnsi"/>
          <w:b/>
          <w:i/>
        </w:rPr>
      </w:pPr>
      <w:r w:rsidRPr="00A53EB5">
        <w:rPr>
          <w:rFonts w:asciiTheme="minorHAnsi" w:eastAsiaTheme="minorHAnsi" w:hAnsiTheme="minorHAnsi" w:cstheme="minorHAnsi"/>
          <w:b/>
          <w:i/>
        </w:rPr>
        <w:t>F</w:t>
      </w:r>
      <w:r w:rsidR="00853607" w:rsidRPr="00A53EB5">
        <w:rPr>
          <w:rFonts w:asciiTheme="minorHAnsi" w:eastAsiaTheme="minorHAnsi" w:hAnsiTheme="minorHAnsi" w:cstheme="minorHAnsi"/>
          <w:b/>
          <w:i/>
        </w:rPr>
        <w:t>urther f</w:t>
      </w:r>
      <w:r w:rsidRPr="00A53EB5">
        <w:rPr>
          <w:rFonts w:asciiTheme="minorHAnsi" w:eastAsiaTheme="minorHAnsi" w:hAnsiTheme="minorHAnsi" w:cstheme="minorHAnsi"/>
          <w:b/>
          <w:i/>
        </w:rPr>
        <w:t xml:space="preserve">unding pressure on </w:t>
      </w:r>
      <w:r w:rsidR="00853607" w:rsidRPr="00A53EB5">
        <w:rPr>
          <w:rFonts w:asciiTheme="minorHAnsi" w:eastAsiaTheme="minorHAnsi" w:hAnsiTheme="minorHAnsi" w:cstheme="minorHAnsi"/>
          <w:b/>
          <w:i/>
        </w:rPr>
        <w:t>the regulator</w:t>
      </w:r>
    </w:p>
    <w:p w:rsidR="00E86F0A" w:rsidRPr="00A53EB5" w:rsidRDefault="00853607" w:rsidP="00853607">
      <w:pPr>
        <w:spacing w:after="200" w:line="276" w:lineRule="auto"/>
        <w:jc w:val="both"/>
        <w:rPr>
          <w:rFonts w:asciiTheme="minorHAnsi" w:eastAsiaTheme="minorHAnsi" w:hAnsiTheme="minorHAnsi" w:cstheme="minorHAnsi"/>
        </w:rPr>
      </w:pPr>
      <w:r w:rsidRPr="00A53EB5">
        <w:rPr>
          <w:rFonts w:asciiTheme="minorHAnsi" w:eastAsiaTheme="minorHAnsi" w:hAnsiTheme="minorHAnsi" w:cstheme="minorHAnsi"/>
        </w:rPr>
        <w:t xml:space="preserve">Our final comment relates to the enormous work that will no doubt be required by ASIC to continue to monitor the activities of companies undertaking the crowd sourced funding route, along with the activities of their intermediaries and their </w:t>
      </w:r>
      <w:r w:rsidR="009925D0" w:rsidRPr="00A53EB5">
        <w:rPr>
          <w:rFonts w:asciiTheme="minorHAnsi" w:eastAsiaTheme="minorHAnsi" w:hAnsiTheme="minorHAnsi" w:cstheme="minorHAnsi"/>
        </w:rPr>
        <w:t xml:space="preserve">respective </w:t>
      </w:r>
      <w:r w:rsidRPr="00A53EB5">
        <w:rPr>
          <w:rFonts w:asciiTheme="minorHAnsi" w:eastAsiaTheme="minorHAnsi" w:hAnsiTheme="minorHAnsi" w:cstheme="minorHAnsi"/>
        </w:rPr>
        <w:t>offer platforms. We fear that ASIC’s already under</w:t>
      </w:r>
      <w:r w:rsidR="00F26DD4">
        <w:rPr>
          <w:rFonts w:asciiTheme="minorHAnsi" w:eastAsiaTheme="minorHAnsi" w:hAnsiTheme="minorHAnsi" w:cstheme="minorHAnsi"/>
        </w:rPr>
        <w:t>-</w:t>
      </w:r>
      <w:r w:rsidRPr="00A53EB5">
        <w:rPr>
          <w:rFonts w:asciiTheme="minorHAnsi" w:eastAsiaTheme="minorHAnsi" w:hAnsiTheme="minorHAnsi" w:cstheme="minorHAnsi"/>
        </w:rPr>
        <w:t xml:space="preserve">resourced monitoring and </w:t>
      </w:r>
      <w:r w:rsidR="0055280B" w:rsidRPr="00A53EB5">
        <w:rPr>
          <w:rFonts w:asciiTheme="minorHAnsi" w:eastAsiaTheme="minorHAnsi" w:hAnsiTheme="minorHAnsi" w:cstheme="minorHAnsi"/>
        </w:rPr>
        <w:t>surveillance</w:t>
      </w:r>
      <w:r w:rsidRPr="00A53EB5">
        <w:rPr>
          <w:rFonts w:asciiTheme="minorHAnsi" w:eastAsiaTheme="minorHAnsi" w:hAnsiTheme="minorHAnsi" w:cstheme="minorHAnsi"/>
        </w:rPr>
        <w:t xml:space="preserve">/compliance </w:t>
      </w:r>
      <w:r w:rsidR="0055280B" w:rsidRPr="00A53EB5">
        <w:rPr>
          <w:rFonts w:asciiTheme="minorHAnsi" w:eastAsiaTheme="minorHAnsi" w:hAnsiTheme="minorHAnsi" w:cstheme="minorHAnsi"/>
        </w:rPr>
        <w:t>activities</w:t>
      </w:r>
      <w:r w:rsidRPr="00A53EB5">
        <w:rPr>
          <w:rFonts w:asciiTheme="minorHAnsi" w:eastAsiaTheme="minorHAnsi" w:hAnsiTheme="minorHAnsi" w:cstheme="minorHAnsi"/>
        </w:rPr>
        <w:t xml:space="preserve"> will be further stretched requiring even more funding from the public purse.</w:t>
      </w:r>
    </w:p>
    <w:p w:rsidR="00DC7B02" w:rsidRPr="00A53EB5" w:rsidRDefault="00DC7B02" w:rsidP="003B2A78">
      <w:pPr>
        <w:spacing w:after="200" w:line="276" w:lineRule="auto"/>
        <w:ind w:left="468"/>
        <w:jc w:val="both"/>
        <w:rPr>
          <w:rFonts w:asciiTheme="minorHAnsi" w:eastAsiaTheme="minorHAnsi" w:hAnsiTheme="minorHAnsi" w:cstheme="minorHAnsi"/>
        </w:rPr>
      </w:pPr>
    </w:p>
    <w:p w:rsidR="00003ADC" w:rsidRPr="00A53EB5" w:rsidRDefault="00003ADC" w:rsidP="00276096">
      <w:pPr>
        <w:spacing w:line="360" w:lineRule="auto"/>
        <w:rPr>
          <w:rFonts w:asciiTheme="minorHAnsi" w:hAnsiTheme="minorHAnsi" w:cstheme="minorHAnsi"/>
          <w:color w:val="000000"/>
        </w:rPr>
      </w:pPr>
    </w:p>
    <w:p w:rsidR="00003ADC" w:rsidRPr="00A53EB5" w:rsidRDefault="00003ADC" w:rsidP="00276096">
      <w:pPr>
        <w:spacing w:line="360" w:lineRule="auto"/>
        <w:rPr>
          <w:rFonts w:asciiTheme="minorHAnsi" w:hAnsiTheme="minorHAnsi" w:cstheme="minorHAnsi"/>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p w:rsidR="00003ADC" w:rsidRPr="008547E6" w:rsidRDefault="008547E6" w:rsidP="00276096">
      <w:pPr>
        <w:spacing w:line="360" w:lineRule="auto"/>
        <w:rPr>
          <w:rFonts w:asciiTheme="minorHAnsi" w:hAnsiTheme="minorHAnsi" w:cstheme="minorHAnsi"/>
          <w:b/>
          <w:color w:val="E36C0A" w:themeColor="accent6" w:themeShade="BF"/>
          <w:sz w:val="32"/>
          <w:szCs w:val="32"/>
        </w:rPr>
      </w:pPr>
      <w:r w:rsidRPr="008547E6">
        <w:rPr>
          <w:rFonts w:asciiTheme="minorHAnsi" w:hAnsiTheme="minorHAnsi" w:cstheme="minorHAnsi"/>
          <w:b/>
          <w:color w:val="E36C0A" w:themeColor="accent6" w:themeShade="BF"/>
          <w:sz w:val="32"/>
          <w:szCs w:val="32"/>
        </w:rPr>
        <w:t>R</w:t>
      </w:r>
      <w:r w:rsidR="00BE3030" w:rsidRPr="008547E6">
        <w:rPr>
          <w:rFonts w:asciiTheme="minorHAnsi" w:hAnsiTheme="minorHAnsi" w:cstheme="minorHAnsi"/>
          <w:b/>
          <w:color w:val="E36C0A" w:themeColor="accent6" w:themeShade="BF"/>
          <w:sz w:val="32"/>
          <w:szCs w:val="32"/>
        </w:rPr>
        <w:t>eferences</w:t>
      </w:r>
    </w:p>
    <w:p w:rsidR="00BE3030" w:rsidRPr="00A53EB5" w:rsidRDefault="00BE3030" w:rsidP="00276096">
      <w:pPr>
        <w:spacing w:line="360" w:lineRule="auto"/>
        <w:rPr>
          <w:rFonts w:asciiTheme="minorHAnsi" w:eastAsiaTheme="minorEastAsia" w:hAnsiTheme="minorHAnsi" w:cstheme="minorHAnsi"/>
        </w:rPr>
      </w:pPr>
    </w:p>
    <w:p w:rsidR="009925D0" w:rsidRPr="00A53EB5" w:rsidRDefault="00BE3030" w:rsidP="009925D0">
      <w:pPr>
        <w:spacing w:line="360" w:lineRule="auto"/>
        <w:rPr>
          <w:rFonts w:asciiTheme="minorHAnsi" w:eastAsiaTheme="minorEastAsia" w:hAnsiTheme="minorHAnsi" w:cstheme="minorHAnsi"/>
        </w:rPr>
      </w:pPr>
      <w:r w:rsidRPr="00A53EB5">
        <w:rPr>
          <w:rFonts w:asciiTheme="minorHAnsi" w:eastAsiaTheme="minorEastAsia" w:hAnsiTheme="minorHAnsi" w:cstheme="minorHAnsi"/>
        </w:rPr>
        <w:t xml:space="preserve">Blanding, </w:t>
      </w:r>
      <w:r w:rsidR="001C6E76" w:rsidRPr="00A53EB5">
        <w:rPr>
          <w:rFonts w:asciiTheme="minorHAnsi" w:eastAsiaTheme="minorEastAsia" w:hAnsiTheme="minorHAnsi" w:cstheme="minorHAnsi"/>
        </w:rPr>
        <w:t xml:space="preserve">M., </w:t>
      </w:r>
      <w:r w:rsidR="0061776D" w:rsidRPr="00A53EB5">
        <w:rPr>
          <w:rFonts w:asciiTheme="minorHAnsi" w:eastAsiaTheme="minorEastAsia" w:hAnsiTheme="minorHAnsi" w:cstheme="minorHAnsi"/>
        </w:rPr>
        <w:t>(</w:t>
      </w:r>
      <w:r w:rsidRPr="00A53EB5">
        <w:rPr>
          <w:rFonts w:asciiTheme="minorHAnsi" w:eastAsiaTheme="minorEastAsia" w:hAnsiTheme="minorHAnsi" w:cstheme="minorHAnsi"/>
        </w:rPr>
        <w:t>2013</w:t>
      </w:r>
      <w:r w:rsidR="0061776D" w:rsidRPr="00A53EB5">
        <w:rPr>
          <w:rFonts w:asciiTheme="minorHAnsi" w:eastAsiaTheme="minorEastAsia" w:hAnsiTheme="minorHAnsi" w:cstheme="minorHAnsi"/>
        </w:rPr>
        <w:t>)</w:t>
      </w:r>
      <w:r w:rsidRPr="00A53EB5">
        <w:rPr>
          <w:rFonts w:asciiTheme="minorHAnsi" w:eastAsiaTheme="minorEastAsia" w:hAnsiTheme="minorHAnsi" w:cstheme="minorHAnsi"/>
        </w:rPr>
        <w:t xml:space="preserve"> –“</w:t>
      </w:r>
      <w:r w:rsidRPr="00A53EB5">
        <w:rPr>
          <w:rFonts w:asciiTheme="minorHAnsi" w:eastAsiaTheme="minorEastAsia" w:hAnsiTheme="minorHAnsi" w:cstheme="minorHAnsi"/>
          <w:i/>
        </w:rPr>
        <w:t>The Little Black Book of Billionaire Secrets”.</w:t>
      </w:r>
      <w:r w:rsidR="0061776D" w:rsidRPr="00A53EB5">
        <w:rPr>
          <w:rFonts w:asciiTheme="minorHAnsi" w:eastAsiaTheme="minorEastAsia" w:hAnsiTheme="minorHAnsi" w:cstheme="minorHAnsi"/>
        </w:rPr>
        <w:t xml:space="preserve"> Forbes Magazine July 1, 2013</w:t>
      </w:r>
    </w:p>
    <w:p w:rsidR="001C6E76" w:rsidRPr="00A53EB5" w:rsidRDefault="001C6E76" w:rsidP="009925D0">
      <w:pPr>
        <w:spacing w:line="360" w:lineRule="auto"/>
        <w:rPr>
          <w:rFonts w:asciiTheme="minorHAnsi" w:eastAsiaTheme="minorHAnsi" w:hAnsiTheme="minorHAnsi" w:cstheme="minorHAnsi"/>
        </w:rPr>
      </w:pPr>
    </w:p>
    <w:p w:rsidR="001C6E76" w:rsidRPr="00A53EB5" w:rsidRDefault="00AE72DC" w:rsidP="009925D0">
      <w:pPr>
        <w:spacing w:line="360" w:lineRule="auto"/>
        <w:rPr>
          <w:rFonts w:asciiTheme="minorHAnsi" w:eastAsiaTheme="minorHAnsi" w:hAnsiTheme="minorHAnsi" w:cstheme="minorHAnsi"/>
          <w:i/>
        </w:rPr>
      </w:pPr>
      <w:r w:rsidRPr="00A53EB5">
        <w:rPr>
          <w:rFonts w:asciiTheme="minorHAnsi" w:eastAsiaTheme="minorHAnsi" w:hAnsiTheme="minorHAnsi" w:cstheme="minorHAnsi"/>
        </w:rPr>
        <w:t xml:space="preserve">Dias, </w:t>
      </w:r>
      <w:r w:rsidR="001C6E76" w:rsidRPr="00A53EB5">
        <w:rPr>
          <w:rFonts w:asciiTheme="minorHAnsi" w:eastAsiaTheme="minorHAnsi" w:hAnsiTheme="minorHAnsi" w:cstheme="minorHAnsi"/>
        </w:rPr>
        <w:t>D., (</w:t>
      </w:r>
      <w:r w:rsidRPr="00A53EB5">
        <w:rPr>
          <w:rFonts w:asciiTheme="minorHAnsi" w:eastAsiaTheme="minorHAnsi" w:hAnsiTheme="minorHAnsi" w:cstheme="minorHAnsi"/>
        </w:rPr>
        <w:t>2017</w:t>
      </w:r>
      <w:r w:rsidR="001C6E76" w:rsidRPr="00A53EB5">
        <w:rPr>
          <w:rFonts w:asciiTheme="minorHAnsi" w:eastAsiaTheme="minorHAnsi" w:hAnsiTheme="minorHAnsi" w:cstheme="minorHAnsi"/>
        </w:rPr>
        <w:t>) ‘</w:t>
      </w:r>
      <w:r w:rsidR="001C6E76" w:rsidRPr="00A53EB5">
        <w:rPr>
          <w:rFonts w:asciiTheme="minorHAnsi" w:eastAsiaTheme="minorHAnsi" w:hAnsiTheme="minorHAnsi" w:cstheme="minorHAnsi"/>
          <w:i/>
        </w:rPr>
        <w:t>Equity Crowd-Funding has finally passed in Australia: Fin Tech</w:t>
      </w:r>
      <w:r w:rsidRPr="00A53EB5">
        <w:rPr>
          <w:rFonts w:asciiTheme="minorHAnsi" w:eastAsiaTheme="minorHAnsi" w:hAnsiTheme="minorHAnsi" w:cstheme="minorHAnsi"/>
          <w:i/>
        </w:rPr>
        <w:t xml:space="preserve"> </w:t>
      </w:r>
      <w:r w:rsidR="001C6E76" w:rsidRPr="00A53EB5">
        <w:rPr>
          <w:rFonts w:asciiTheme="minorHAnsi" w:eastAsiaTheme="minorHAnsi" w:hAnsiTheme="minorHAnsi" w:cstheme="minorHAnsi"/>
          <w:i/>
        </w:rPr>
        <w:t xml:space="preserve">Australia, </w:t>
      </w:r>
    </w:p>
    <w:p w:rsidR="001C6E76" w:rsidRPr="00A53EB5" w:rsidRDefault="001C6E76" w:rsidP="009925D0">
      <w:pPr>
        <w:spacing w:line="360" w:lineRule="auto"/>
        <w:rPr>
          <w:rFonts w:asciiTheme="minorHAnsi" w:eastAsiaTheme="minorHAnsi" w:hAnsiTheme="minorHAnsi" w:cstheme="minorHAnsi"/>
          <w:i/>
        </w:rPr>
      </w:pPr>
    </w:p>
    <w:p w:rsidR="00AE72DC" w:rsidRPr="00A53EB5" w:rsidRDefault="001C6E76" w:rsidP="009925D0">
      <w:pPr>
        <w:spacing w:line="360" w:lineRule="auto"/>
        <w:rPr>
          <w:rFonts w:asciiTheme="minorHAnsi" w:eastAsiaTheme="minorEastAsia" w:hAnsiTheme="minorHAnsi" w:cstheme="minorHAnsi"/>
        </w:rPr>
      </w:pPr>
      <w:proofErr w:type="spellStart"/>
      <w:r w:rsidRPr="00A53EB5">
        <w:rPr>
          <w:rFonts w:asciiTheme="minorHAnsi" w:eastAsiaTheme="minorHAnsi" w:hAnsiTheme="minorHAnsi" w:cstheme="minorHAnsi"/>
          <w:i/>
        </w:rPr>
        <w:t>Equitise</w:t>
      </w:r>
      <w:proofErr w:type="spellEnd"/>
      <w:r w:rsidRPr="00A53EB5">
        <w:rPr>
          <w:rFonts w:asciiTheme="minorHAnsi" w:eastAsiaTheme="minorHAnsi" w:hAnsiTheme="minorHAnsi" w:cstheme="minorHAnsi"/>
          <w:i/>
        </w:rPr>
        <w:t xml:space="preserve"> and </w:t>
      </w:r>
      <w:proofErr w:type="spellStart"/>
      <w:r w:rsidRPr="00A53EB5">
        <w:rPr>
          <w:rFonts w:asciiTheme="minorHAnsi" w:eastAsiaTheme="minorHAnsi" w:hAnsiTheme="minorHAnsi" w:cstheme="minorHAnsi"/>
          <w:i/>
        </w:rPr>
        <w:t>Pozible</w:t>
      </w:r>
      <w:proofErr w:type="spellEnd"/>
      <w:r w:rsidRPr="00A53EB5">
        <w:rPr>
          <w:rFonts w:asciiTheme="minorHAnsi" w:eastAsiaTheme="minorHAnsi" w:hAnsiTheme="minorHAnsi" w:cstheme="minorHAnsi"/>
          <w:i/>
        </w:rPr>
        <w:t xml:space="preserve"> say retail investors should get ready’</w:t>
      </w:r>
      <w:r w:rsidRPr="00A53EB5">
        <w:rPr>
          <w:rFonts w:asciiTheme="minorHAnsi" w:eastAsiaTheme="minorHAnsi" w:hAnsiTheme="minorHAnsi" w:cstheme="minorHAnsi"/>
        </w:rPr>
        <w:t xml:space="preserve">, Article published in </w:t>
      </w:r>
      <w:proofErr w:type="spellStart"/>
      <w:r w:rsidRPr="00A53EB5">
        <w:rPr>
          <w:rFonts w:asciiTheme="minorHAnsi" w:eastAsiaTheme="minorHAnsi" w:hAnsiTheme="minorHAnsi" w:cstheme="minorHAnsi"/>
        </w:rPr>
        <w:t>smartcompany</w:t>
      </w:r>
      <w:proofErr w:type="spellEnd"/>
      <w:r w:rsidRPr="00A53EB5">
        <w:rPr>
          <w:rFonts w:asciiTheme="minorHAnsi" w:eastAsiaTheme="minorHAnsi" w:hAnsiTheme="minorHAnsi" w:cstheme="minorHAnsi"/>
        </w:rPr>
        <w:t xml:space="preserve"> Magazine, March 2017</w:t>
      </w:r>
      <w:r w:rsidR="00AE72DC" w:rsidRPr="00A53EB5">
        <w:rPr>
          <w:rFonts w:asciiTheme="minorHAnsi" w:eastAsiaTheme="minorHAnsi" w:hAnsiTheme="minorHAnsi" w:cstheme="minorHAnsi"/>
        </w:rPr>
        <w:t xml:space="preserve">. </w:t>
      </w:r>
    </w:p>
    <w:p w:rsidR="00DF71AB" w:rsidRPr="00A53EB5" w:rsidRDefault="00DF71AB" w:rsidP="00DF71AB">
      <w:pPr>
        <w:spacing w:line="360" w:lineRule="auto"/>
        <w:rPr>
          <w:rFonts w:asciiTheme="minorHAnsi" w:eastAsiaTheme="minorEastAsia" w:hAnsiTheme="minorHAnsi" w:cstheme="minorHAnsi"/>
        </w:rPr>
      </w:pPr>
    </w:p>
    <w:p w:rsidR="00DF71AB" w:rsidRPr="00A53EB5" w:rsidRDefault="00DF71AB" w:rsidP="00DF71AB">
      <w:pPr>
        <w:spacing w:line="360" w:lineRule="auto"/>
        <w:rPr>
          <w:rFonts w:asciiTheme="minorHAnsi" w:hAnsiTheme="minorHAnsi" w:cstheme="minorHAnsi"/>
          <w:color w:val="000000"/>
        </w:rPr>
      </w:pPr>
      <w:r w:rsidRPr="00A53EB5">
        <w:rPr>
          <w:rFonts w:asciiTheme="minorHAnsi" w:hAnsiTheme="minorHAnsi" w:cstheme="minorHAnsi"/>
          <w:color w:val="333333"/>
          <w:shd w:val="clear" w:color="auto" w:fill="FFFFFF"/>
        </w:rPr>
        <w:t>Ghosh, S., (2012</w:t>
      </w:r>
      <w:r w:rsidRPr="00A53EB5">
        <w:rPr>
          <w:rFonts w:asciiTheme="minorHAnsi" w:hAnsiTheme="minorHAnsi" w:cstheme="minorHAnsi"/>
          <w:b/>
          <w:color w:val="333333"/>
          <w:shd w:val="clear" w:color="auto" w:fill="FFFFFF"/>
        </w:rPr>
        <w:t>)</w:t>
      </w:r>
      <w:r w:rsidR="009925D0" w:rsidRPr="00A53EB5">
        <w:rPr>
          <w:rFonts w:asciiTheme="minorHAnsi" w:hAnsiTheme="minorHAnsi" w:cstheme="minorHAnsi"/>
          <w:b/>
          <w:color w:val="333333"/>
          <w:shd w:val="clear" w:color="auto" w:fill="FFFFFF"/>
        </w:rPr>
        <w:t xml:space="preserve">. </w:t>
      </w:r>
      <w:r w:rsidR="009925D0" w:rsidRPr="00A53EB5">
        <w:rPr>
          <w:rFonts w:asciiTheme="minorHAnsi" w:hAnsiTheme="minorHAnsi" w:cstheme="minorHAnsi"/>
          <w:color w:val="333333"/>
          <w:shd w:val="clear" w:color="auto" w:fill="FFFFFF"/>
        </w:rPr>
        <w:t>‘</w:t>
      </w:r>
      <w:r w:rsidRPr="00A53EB5">
        <w:rPr>
          <w:rFonts w:asciiTheme="minorHAnsi" w:hAnsiTheme="minorHAnsi" w:cstheme="minorHAnsi"/>
          <w:i/>
        </w:rPr>
        <w:t>The Venture Capital Secret: 3 Out of 4 Start-Ups Fail</w:t>
      </w:r>
      <w:r w:rsidR="009925D0" w:rsidRPr="00A53EB5">
        <w:rPr>
          <w:rFonts w:asciiTheme="minorHAnsi" w:hAnsiTheme="minorHAnsi" w:cstheme="minorHAnsi"/>
          <w:i/>
        </w:rPr>
        <w:t>’</w:t>
      </w:r>
      <w:r w:rsidR="009925D0" w:rsidRPr="00A53EB5">
        <w:rPr>
          <w:rFonts w:asciiTheme="minorHAnsi" w:hAnsiTheme="minorHAnsi" w:cstheme="minorHAnsi"/>
        </w:rPr>
        <w:t xml:space="preserve">  as</w:t>
      </w:r>
      <w:r w:rsidRPr="00A53EB5">
        <w:rPr>
          <w:rFonts w:asciiTheme="minorHAnsi" w:hAnsiTheme="minorHAnsi" w:cstheme="minorHAnsi"/>
        </w:rPr>
        <w:t xml:space="preserve">  cited by </w:t>
      </w:r>
      <w:r w:rsidRPr="00A53EB5">
        <w:rPr>
          <w:rFonts w:asciiTheme="minorHAnsi" w:hAnsiTheme="minorHAnsi" w:cstheme="minorHAnsi"/>
          <w:i/>
          <w:iCs/>
          <w:color w:val="333333"/>
          <w:bdr w:val="none" w:sz="0" w:space="0" w:color="auto" w:frame="1"/>
        </w:rPr>
        <w:t>Deborah Gage</w:t>
      </w:r>
      <w:r w:rsidR="009925D0" w:rsidRPr="00A53EB5">
        <w:rPr>
          <w:rFonts w:asciiTheme="minorHAnsi" w:hAnsiTheme="minorHAnsi" w:cstheme="minorHAnsi"/>
          <w:i/>
          <w:iCs/>
          <w:color w:val="333333"/>
          <w:bdr w:val="none" w:sz="0" w:space="0" w:color="auto" w:frame="1"/>
        </w:rPr>
        <w:t xml:space="preserve">, </w:t>
      </w:r>
      <w:r w:rsidRPr="00A53EB5">
        <w:rPr>
          <w:rFonts w:asciiTheme="minorHAnsi" w:hAnsiTheme="minorHAnsi" w:cstheme="minorHAnsi"/>
          <w:i/>
          <w:iCs/>
          <w:color w:val="333333"/>
          <w:bdr w:val="none" w:sz="0" w:space="0" w:color="auto" w:frame="1"/>
        </w:rPr>
        <w:t xml:space="preserve"> </w:t>
      </w:r>
      <w:r w:rsidRPr="00A53EB5">
        <w:rPr>
          <w:rFonts w:asciiTheme="minorHAnsi" w:hAnsiTheme="minorHAnsi" w:cstheme="minorHAnsi"/>
          <w:color w:val="333333"/>
        </w:rPr>
        <w:t>Sept. 20, 2012 ET Wall Street Times</w:t>
      </w:r>
    </w:p>
    <w:p w:rsidR="00BE3030" w:rsidRPr="00A53EB5" w:rsidRDefault="00BE3030" w:rsidP="00276096">
      <w:pPr>
        <w:spacing w:line="360" w:lineRule="auto"/>
        <w:rPr>
          <w:rFonts w:asciiTheme="minorHAnsi" w:hAnsiTheme="minorHAnsi" w:cstheme="minorHAnsi"/>
          <w:color w:val="000000"/>
          <w:lang w:val="en-US"/>
        </w:rPr>
      </w:pPr>
    </w:p>
    <w:p w:rsidR="002D2F4C" w:rsidRPr="00A53EB5" w:rsidRDefault="00587F9B" w:rsidP="00276096">
      <w:pPr>
        <w:spacing w:line="360" w:lineRule="auto"/>
        <w:rPr>
          <w:rFonts w:asciiTheme="minorHAnsi" w:eastAsiaTheme="minorEastAsia" w:hAnsiTheme="minorHAnsi" w:cstheme="minorHAnsi"/>
        </w:rPr>
      </w:pPr>
      <w:r w:rsidRPr="00A53EB5">
        <w:rPr>
          <w:rFonts w:asciiTheme="minorHAnsi" w:eastAsia="Calibri" w:hAnsiTheme="minorHAnsi" w:cstheme="minorHAnsi"/>
          <w:u w:val="single"/>
        </w:rPr>
        <w:t>Mroczkowski., N.A, “ Decision Time for Family Business”, National Accountant, National Institute of Accountants (NIA)., Oct/Nov 2007</w:t>
      </w:r>
    </w:p>
    <w:p w:rsidR="00587F9B" w:rsidRPr="00A53EB5" w:rsidRDefault="00587F9B" w:rsidP="00587F9B">
      <w:pPr>
        <w:jc w:val="both"/>
        <w:rPr>
          <w:rFonts w:asciiTheme="minorHAnsi" w:eastAsia="Calibri" w:hAnsiTheme="minorHAnsi" w:cstheme="minorHAnsi"/>
          <w:u w:val="single"/>
        </w:rPr>
      </w:pPr>
    </w:p>
    <w:p w:rsidR="00587F9B" w:rsidRPr="00A53EB5" w:rsidRDefault="00587F9B" w:rsidP="00587F9B">
      <w:pPr>
        <w:jc w:val="both"/>
        <w:rPr>
          <w:rFonts w:asciiTheme="minorHAnsi" w:eastAsia="Calibri" w:hAnsiTheme="minorHAnsi" w:cstheme="minorHAnsi"/>
        </w:rPr>
      </w:pPr>
      <w:r w:rsidRPr="00A53EB5">
        <w:rPr>
          <w:rFonts w:asciiTheme="minorHAnsi" w:eastAsia="Calibri" w:hAnsiTheme="minorHAnsi" w:cstheme="minorHAnsi"/>
          <w:u w:val="single"/>
        </w:rPr>
        <w:t>Mroczkowski, N.A., “Initial Public Offerings in Australia</w:t>
      </w:r>
      <w:r w:rsidRPr="00A53EB5">
        <w:rPr>
          <w:rFonts w:asciiTheme="minorHAnsi" w:eastAsia="Calibri" w:hAnsiTheme="minorHAnsi" w:cstheme="minorHAnsi"/>
        </w:rPr>
        <w:t>: An Empirical Examination of Initial Price and Aftermarket Operating Performance of Family and Non-Family Controlled Companies”, PhD Dissertation, Monash University, 2003</w:t>
      </w:r>
    </w:p>
    <w:p w:rsidR="009925D0" w:rsidRPr="00A53EB5" w:rsidRDefault="009925D0" w:rsidP="00276096">
      <w:pPr>
        <w:spacing w:line="360" w:lineRule="auto"/>
        <w:rPr>
          <w:rFonts w:asciiTheme="minorHAnsi" w:eastAsiaTheme="minorEastAsia" w:hAnsiTheme="minorHAnsi" w:cstheme="minorHAnsi"/>
          <w:b/>
          <w:highlight w:val="yellow"/>
        </w:rPr>
      </w:pPr>
    </w:p>
    <w:p w:rsidR="00FB30B9" w:rsidRPr="00A53EB5" w:rsidRDefault="00625680" w:rsidP="00276096">
      <w:pPr>
        <w:spacing w:line="360" w:lineRule="auto"/>
        <w:rPr>
          <w:rFonts w:asciiTheme="minorHAnsi" w:eastAsiaTheme="minorEastAsia" w:hAnsiTheme="minorHAnsi" w:cstheme="minorHAnsi"/>
          <w:b/>
        </w:rPr>
      </w:pPr>
      <w:r w:rsidRPr="00A53EB5">
        <w:rPr>
          <w:rFonts w:asciiTheme="minorHAnsi" w:hAnsiTheme="minorHAnsi" w:cstheme="minorHAnsi"/>
        </w:rPr>
        <w:t>Rock, K. (1986)</w:t>
      </w:r>
      <w:r w:rsidRPr="00A53EB5">
        <w:rPr>
          <w:rFonts w:asciiTheme="minorHAnsi" w:hAnsiTheme="minorHAnsi" w:cstheme="minorHAnsi"/>
          <w:lang w:val="en-US"/>
        </w:rPr>
        <w:t>,</w:t>
      </w:r>
      <w:r w:rsidRPr="00A53EB5">
        <w:rPr>
          <w:rFonts w:asciiTheme="minorHAnsi" w:hAnsiTheme="minorHAnsi" w:cstheme="minorHAnsi"/>
        </w:rPr>
        <w:t xml:space="preserve"> </w:t>
      </w:r>
      <w:r w:rsidRPr="00A53EB5">
        <w:rPr>
          <w:rFonts w:asciiTheme="minorHAnsi" w:hAnsiTheme="minorHAnsi" w:cstheme="minorHAnsi"/>
          <w:lang w:val="en-US"/>
        </w:rPr>
        <w:t>“</w:t>
      </w:r>
      <w:r w:rsidRPr="00A53EB5">
        <w:rPr>
          <w:rFonts w:asciiTheme="minorHAnsi" w:hAnsiTheme="minorHAnsi" w:cstheme="minorHAnsi"/>
        </w:rPr>
        <w:t xml:space="preserve">Why New-Issues are </w:t>
      </w:r>
      <w:proofErr w:type="spellStart"/>
      <w:r w:rsidRPr="00A53EB5">
        <w:rPr>
          <w:rFonts w:asciiTheme="minorHAnsi" w:hAnsiTheme="minorHAnsi" w:cstheme="minorHAnsi"/>
        </w:rPr>
        <w:t>Underpriced</w:t>
      </w:r>
      <w:proofErr w:type="spellEnd"/>
      <w:r w:rsidRPr="00A53EB5">
        <w:rPr>
          <w:rFonts w:asciiTheme="minorHAnsi" w:hAnsiTheme="minorHAnsi" w:cstheme="minorHAnsi"/>
          <w:lang w:val="en-US"/>
        </w:rPr>
        <w:t>”</w:t>
      </w:r>
      <w:r w:rsidRPr="00A53EB5">
        <w:rPr>
          <w:rFonts w:asciiTheme="minorHAnsi" w:hAnsiTheme="minorHAnsi" w:cstheme="minorHAnsi"/>
        </w:rPr>
        <w:t xml:space="preserve">. </w:t>
      </w:r>
      <w:r w:rsidRPr="00A53EB5">
        <w:rPr>
          <w:rFonts w:asciiTheme="minorHAnsi" w:hAnsiTheme="minorHAnsi" w:cstheme="minorHAnsi"/>
          <w:i/>
        </w:rPr>
        <w:t>Journal of Financial Economics,</w:t>
      </w:r>
      <w:r w:rsidRPr="00A53EB5">
        <w:rPr>
          <w:rFonts w:asciiTheme="minorHAnsi" w:hAnsiTheme="minorHAnsi" w:cstheme="minorHAnsi"/>
        </w:rPr>
        <w:t xml:space="preserve"> 15(2):</w:t>
      </w:r>
      <w:r w:rsidRPr="00A53EB5">
        <w:rPr>
          <w:rFonts w:asciiTheme="minorHAnsi" w:hAnsiTheme="minorHAnsi" w:cstheme="minorHAnsi"/>
          <w:lang w:val="en-US"/>
        </w:rPr>
        <w:t xml:space="preserve"> </w:t>
      </w:r>
      <w:r w:rsidRPr="00A53EB5">
        <w:rPr>
          <w:rFonts w:asciiTheme="minorHAnsi" w:hAnsiTheme="minorHAnsi" w:cstheme="minorHAnsi"/>
        </w:rPr>
        <w:t>187-212.</w:t>
      </w:r>
    </w:p>
    <w:p w:rsidR="009925D0" w:rsidRPr="00A53EB5" w:rsidRDefault="009925D0" w:rsidP="00276096">
      <w:pPr>
        <w:spacing w:line="360" w:lineRule="auto"/>
        <w:rPr>
          <w:rFonts w:asciiTheme="minorHAnsi" w:eastAsiaTheme="minorEastAsia" w:hAnsiTheme="minorHAnsi" w:cstheme="minorHAnsi"/>
        </w:rPr>
      </w:pPr>
    </w:p>
    <w:p w:rsidR="00FB30B9" w:rsidRPr="00A53EB5" w:rsidRDefault="00FB30B9" w:rsidP="00276096">
      <w:pPr>
        <w:spacing w:line="360" w:lineRule="auto"/>
        <w:rPr>
          <w:rFonts w:asciiTheme="minorHAnsi" w:hAnsiTheme="minorHAnsi" w:cstheme="minorHAnsi"/>
          <w:color w:val="000000"/>
        </w:rPr>
      </w:pPr>
      <w:proofErr w:type="spellStart"/>
      <w:r w:rsidRPr="00A53EB5">
        <w:rPr>
          <w:rFonts w:asciiTheme="minorHAnsi" w:eastAsiaTheme="minorEastAsia" w:hAnsiTheme="minorHAnsi" w:cstheme="minorHAnsi"/>
        </w:rPr>
        <w:t>Zein</w:t>
      </w:r>
      <w:proofErr w:type="spellEnd"/>
      <w:r w:rsidRPr="00A53EB5">
        <w:rPr>
          <w:rFonts w:asciiTheme="minorHAnsi" w:eastAsiaTheme="minorEastAsia" w:hAnsiTheme="minorHAnsi" w:cstheme="minorHAnsi"/>
        </w:rPr>
        <w:t xml:space="preserve">, </w:t>
      </w:r>
      <w:r w:rsidR="001C6E76" w:rsidRPr="00A53EB5">
        <w:rPr>
          <w:rFonts w:asciiTheme="minorHAnsi" w:eastAsiaTheme="minorEastAsia" w:hAnsiTheme="minorHAnsi" w:cstheme="minorHAnsi"/>
        </w:rPr>
        <w:t xml:space="preserve">J., </w:t>
      </w:r>
      <w:r w:rsidRPr="00A53EB5">
        <w:rPr>
          <w:rFonts w:asciiTheme="minorHAnsi" w:eastAsiaTheme="minorEastAsia" w:hAnsiTheme="minorHAnsi" w:cstheme="minorHAnsi"/>
        </w:rPr>
        <w:t>(2013) The Conversation</w:t>
      </w:r>
      <w:r w:rsidR="00625680" w:rsidRPr="00A53EB5">
        <w:rPr>
          <w:rFonts w:asciiTheme="minorHAnsi" w:eastAsiaTheme="minorEastAsia" w:hAnsiTheme="minorHAnsi" w:cstheme="minorHAnsi"/>
        </w:rPr>
        <w:t xml:space="preserve"> magazine</w:t>
      </w:r>
      <w:r w:rsidRPr="00A53EB5">
        <w:rPr>
          <w:rFonts w:asciiTheme="minorHAnsi" w:eastAsiaTheme="minorEastAsia" w:hAnsiTheme="minorHAnsi" w:cstheme="minorHAnsi"/>
        </w:rPr>
        <w:t>, November, 2013</w:t>
      </w:r>
    </w:p>
    <w:sectPr w:rsidR="00FB30B9" w:rsidRPr="00A53EB5" w:rsidSect="00D72BEA">
      <w:headerReference w:type="even" r:id="rId12"/>
      <w:headerReference w:type="default" r:id="rId13"/>
      <w:footerReference w:type="even" r:id="rId14"/>
      <w:footerReference w:type="default" r:id="rId15"/>
      <w:headerReference w:type="first" r:id="rId16"/>
      <w:footerReference w:type="first" r:id="rId17"/>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13F" w:rsidRDefault="0058513F">
      <w:r>
        <w:separator/>
      </w:r>
    </w:p>
  </w:endnote>
  <w:endnote w:type="continuationSeparator" w:id="0">
    <w:p w:rsidR="0058513F" w:rsidRDefault="0058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utura-Bold">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Open Sans">
    <w:altName w:val="Segoe U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Futura-Light">
    <w:panose1 w:val="00000000000000000000"/>
    <w:charset w:val="00"/>
    <w:family w:val="swiss"/>
    <w:notTrueType/>
    <w:pitch w:val="default"/>
    <w:sig w:usb0="00000003" w:usb1="00000000" w:usb2="00000000" w:usb3="00000000" w:csb0="00000001" w:csb1="00000000"/>
  </w:font>
  <w:font w:name="Futura-LightOblique">
    <w:panose1 w:val="00000000000000000000"/>
    <w:charset w:val="00"/>
    <w:family w:val="swiss"/>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Futura-BookObliqu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6B" w:rsidRDefault="001C0C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13641"/>
      <w:docPartObj>
        <w:docPartGallery w:val="Page Numbers (Bottom of Page)"/>
        <w:docPartUnique/>
      </w:docPartObj>
    </w:sdtPr>
    <w:sdtEndPr>
      <w:rPr>
        <w:noProof/>
      </w:rPr>
    </w:sdtEndPr>
    <w:sdtContent>
      <w:p w:rsidR="00DB220A" w:rsidRDefault="00DB220A">
        <w:pPr>
          <w:pStyle w:val="Footer"/>
          <w:jc w:val="center"/>
        </w:pPr>
        <w:r>
          <w:fldChar w:fldCharType="begin"/>
        </w:r>
        <w:r>
          <w:instrText xml:space="preserve"> PAGE   \* MERGEFORMAT </w:instrText>
        </w:r>
        <w:r>
          <w:fldChar w:fldCharType="separate"/>
        </w:r>
        <w:r w:rsidR="00ED33A4">
          <w:rPr>
            <w:noProof/>
          </w:rPr>
          <w:t>3</w:t>
        </w:r>
        <w:r>
          <w:rPr>
            <w:noProof/>
          </w:rPr>
          <w:fldChar w:fldCharType="end"/>
        </w:r>
      </w:p>
    </w:sdtContent>
  </w:sdt>
  <w:p w:rsidR="001C0C6B" w:rsidRDefault="001C0C6B" w:rsidP="00D72B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6B" w:rsidRDefault="001C0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13F" w:rsidRDefault="0058513F">
      <w:r>
        <w:separator/>
      </w:r>
    </w:p>
  </w:footnote>
  <w:footnote w:type="continuationSeparator" w:id="0">
    <w:p w:rsidR="0058513F" w:rsidRDefault="0058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6B" w:rsidRDefault="001C0C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6B" w:rsidRPr="00D91703" w:rsidRDefault="001C0C6B" w:rsidP="00D917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6B" w:rsidRDefault="001C0C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15:restartNumberingAfterBreak="0">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15:restartNumberingAfterBreak="0">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15:restartNumberingAfterBreak="0">
    <w:nsid w:val="095C498A"/>
    <w:multiLevelType w:val="hybridMultilevel"/>
    <w:tmpl w:val="D158A7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3182168"/>
    <w:multiLevelType w:val="hybridMultilevel"/>
    <w:tmpl w:val="B14094D2"/>
    <w:lvl w:ilvl="0" w:tplc="0C090001">
      <w:start w:val="1"/>
      <w:numFmt w:val="bullet"/>
      <w:lvlText w:val=""/>
      <w:lvlJc w:val="left"/>
      <w:pPr>
        <w:ind w:left="1188" w:hanging="360"/>
      </w:pPr>
      <w:rPr>
        <w:rFonts w:ascii="Symbol" w:hAnsi="Symbol" w:hint="default"/>
      </w:rPr>
    </w:lvl>
    <w:lvl w:ilvl="1" w:tplc="0C090003">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10" w15:restartNumberingAfterBreak="0">
    <w:nsid w:val="2932178C"/>
    <w:multiLevelType w:val="hybridMultilevel"/>
    <w:tmpl w:val="E214A7B4"/>
    <w:lvl w:ilvl="0" w:tplc="DB34F9B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B7FBC"/>
    <w:multiLevelType w:val="hybridMultilevel"/>
    <w:tmpl w:val="481001F2"/>
    <w:lvl w:ilvl="0" w:tplc="47F2676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556213"/>
    <w:multiLevelType w:val="hybridMultilevel"/>
    <w:tmpl w:val="9B6055FA"/>
    <w:lvl w:ilvl="0" w:tplc="0C090001">
      <w:start w:val="1"/>
      <w:numFmt w:val="bullet"/>
      <w:lvlText w:val=""/>
      <w:lvlJc w:val="left"/>
      <w:pPr>
        <w:ind w:left="1248" w:hanging="360"/>
      </w:pPr>
      <w:rPr>
        <w:rFonts w:ascii="Symbol" w:hAnsi="Symbol" w:hint="default"/>
      </w:rPr>
    </w:lvl>
    <w:lvl w:ilvl="1" w:tplc="0C090003" w:tentative="1">
      <w:start w:val="1"/>
      <w:numFmt w:val="bullet"/>
      <w:lvlText w:val="o"/>
      <w:lvlJc w:val="left"/>
      <w:pPr>
        <w:ind w:left="1968" w:hanging="360"/>
      </w:pPr>
      <w:rPr>
        <w:rFonts w:ascii="Courier New" w:hAnsi="Courier New" w:cs="Courier New" w:hint="default"/>
      </w:rPr>
    </w:lvl>
    <w:lvl w:ilvl="2" w:tplc="0C090005" w:tentative="1">
      <w:start w:val="1"/>
      <w:numFmt w:val="bullet"/>
      <w:lvlText w:val=""/>
      <w:lvlJc w:val="left"/>
      <w:pPr>
        <w:ind w:left="2688" w:hanging="360"/>
      </w:pPr>
      <w:rPr>
        <w:rFonts w:ascii="Wingdings" w:hAnsi="Wingdings" w:hint="default"/>
      </w:rPr>
    </w:lvl>
    <w:lvl w:ilvl="3" w:tplc="0C090001" w:tentative="1">
      <w:start w:val="1"/>
      <w:numFmt w:val="bullet"/>
      <w:lvlText w:val=""/>
      <w:lvlJc w:val="left"/>
      <w:pPr>
        <w:ind w:left="3408" w:hanging="360"/>
      </w:pPr>
      <w:rPr>
        <w:rFonts w:ascii="Symbol" w:hAnsi="Symbol" w:hint="default"/>
      </w:rPr>
    </w:lvl>
    <w:lvl w:ilvl="4" w:tplc="0C090003" w:tentative="1">
      <w:start w:val="1"/>
      <w:numFmt w:val="bullet"/>
      <w:lvlText w:val="o"/>
      <w:lvlJc w:val="left"/>
      <w:pPr>
        <w:ind w:left="4128" w:hanging="360"/>
      </w:pPr>
      <w:rPr>
        <w:rFonts w:ascii="Courier New" w:hAnsi="Courier New" w:cs="Courier New" w:hint="default"/>
      </w:rPr>
    </w:lvl>
    <w:lvl w:ilvl="5" w:tplc="0C090005" w:tentative="1">
      <w:start w:val="1"/>
      <w:numFmt w:val="bullet"/>
      <w:lvlText w:val=""/>
      <w:lvlJc w:val="left"/>
      <w:pPr>
        <w:ind w:left="4848" w:hanging="360"/>
      </w:pPr>
      <w:rPr>
        <w:rFonts w:ascii="Wingdings" w:hAnsi="Wingdings" w:hint="default"/>
      </w:rPr>
    </w:lvl>
    <w:lvl w:ilvl="6" w:tplc="0C090001" w:tentative="1">
      <w:start w:val="1"/>
      <w:numFmt w:val="bullet"/>
      <w:lvlText w:val=""/>
      <w:lvlJc w:val="left"/>
      <w:pPr>
        <w:ind w:left="5568" w:hanging="360"/>
      </w:pPr>
      <w:rPr>
        <w:rFonts w:ascii="Symbol" w:hAnsi="Symbol" w:hint="default"/>
      </w:rPr>
    </w:lvl>
    <w:lvl w:ilvl="7" w:tplc="0C090003" w:tentative="1">
      <w:start w:val="1"/>
      <w:numFmt w:val="bullet"/>
      <w:lvlText w:val="o"/>
      <w:lvlJc w:val="left"/>
      <w:pPr>
        <w:ind w:left="6288" w:hanging="360"/>
      </w:pPr>
      <w:rPr>
        <w:rFonts w:ascii="Courier New" w:hAnsi="Courier New" w:cs="Courier New" w:hint="default"/>
      </w:rPr>
    </w:lvl>
    <w:lvl w:ilvl="8" w:tplc="0C090005" w:tentative="1">
      <w:start w:val="1"/>
      <w:numFmt w:val="bullet"/>
      <w:lvlText w:val=""/>
      <w:lvlJc w:val="left"/>
      <w:pPr>
        <w:ind w:left="7008" w:hanging="360"/>
      </w:pPr>
      <w:rPr>
        <w:rFonts w:ascii="Wingdings" w:hAnsi="Wingdings" w:hint="default"/>
      </w:rPr>
    </w:lvl>
  </w:abstractNum>
  <w:abstractNum w:abstractNumId="13" w15:restartNumberingAfterBreak="0">
    <w:nsid w:val="6E1E3F59"/>
    <w:multiLevelType w:val="hybridMultilevel"/>
    <w:tmpl w:val="5E88FE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13645"/>
    <w:multiLevelType w:val="hybridMultilevel"/>
    <w:tmpl w:val="5508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084AE2"/>
    <w:multiLevelType w:val="hybridMultilevel"/>
    <w:tmpl w:val="2A3465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4"/>
  </w:num>
  <w:num w:numId="5">
    <w:abstractNumId w:val="13"/>
  </w:num>
  <w:num w:numId="6">
    <w:abstractNumId w:val="9"/>
  </w:num>
  <w:num w:numId="7">
    <w:abstractNumId w:val="8"/>
  </w:num>
  <w:num w:numId="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2E"/>
    <w:rsid w:val="00003ADC"/>
    <w:rsid w:val="0002398F"/>
    <w:rsid w:val="0003132A"/>
    <w:rsid w:val="00033B5F"/>
    <w:rsid w:val="0007176F"/>
    <w:rsid w:val="000914DB"/>
    <w:rsid w:val="0009435E"/>
    <w:rsid w:val="000B1006"/>
    <w:rsid w:val="000E6289"/>
    <w:rsid w:val="001000AD"/>
    <w:rsid w:val="00106E1F"/>
    <w:rsid w:val="00113BD5"/>
    <w:rsid w:val="001154F8"/>
    <w:rsid w:val="00115713"/>
    <w:rsid w:val="001201B5"/>
    <w:rsid w:val="00135229"/>
    <w:rsid w:val="00145A52"/>
    <w:rsid w:val="00147E13"/>
    <w:rsid w:val="00154208"/>
    <w:rsid w:val="00175744"/>
    <w:rsid w:val="001951E9"/>
    <w:rsid w:val="001A1638"/>
    <w:rsid w:val="001B7A72"/>
    <w:rsid w:val="001C0C6B"/>
    <w:rsid w:val="001C6E76"/>
    <w:rsid w:val="001D110D"/>
    <w:rsid w:val="001F4F6C"/>
    <w:rsid w:val="00201194"/>
    <w:rsid w:val="0021233C"/>
    <w:rsid w:val="00231772"/>
    <w:rsid w:val="00235D29"/>
    <w:rsid w:val="00245B5B"/>
    <w:rsid w:val="00247578"/>
    <w:rsid w:val="00276096"/>
    <w:rsid w:val="002827AA"/>
    <w:rsid w:val="0028432E"/>
    <w:rsid w:val="00284B89"/>
    <w:rsid w:val="002C3250"/>
    <w:rsid w:val="002D2F4C"/>
    <w:rsid w:val="002E6EE6"/>
    <w:rsid w:val="002F38AB"/>
    <w:rsid w:val="003059EA"/>
    <w:rsid w:val="003100FF"/>
    <w:rsid w:val="00315D7B"/>
    <w:rsid w:val="00345C07"/>
    <w:rsid w:val="00346826"/>
    <w:rsid w:val="0035722E"/>
    <w:rsid w:val="00357542"/>
    <w:rsid w:val="003758FD"/>
    <w:rsid w:val="003872F8"/>
    <w:rsid w:val="003A66C3"/>
    <w:rsid w:val="003A6E52"/>
    <w:rsid w:val="003B2A78"/>
    <w:rsid w:val="003B6BC0"/>
    <w:rsid w:val="003C5F40"/>
    <w:rsid w:val="003D0DBA"/>
    <w:rsid w:val="003D4752"/>
    <w:rsid w:val="003E5497"/>
    <w:rsid w:val="004022CB"/>
    <w:rsid w:val="004126E4"/>
    <w:rsid w:val="00425B90"/>
    <w:rsid w:val="00425DF4"/>
    <w:rsid w:val="00426C68"/>
    <w:rsid w:val="00442AD8"/>
    <w:rsid w:val="00446019"/>
    <w:rsid w:val="004550E5"/>
    <w:rsid w:val="00462FCC"/>
    <w:rsid w:val="004802D9"/>
    <w:rsid w:val="00485E2E"/>
    <w:rsid w:val="004923AA"/>
    <w:rsid w:val="004A0DC5"/>
    <w:rsid w:val="004A32B5"/>
    <w:rsid w:val="004B064C"/>
    <w:rsid w:val="004D4B93"/>
    <w:rsid w:val="005037EA"/>
    <w:rsid w:val="005118D0"/>
    <w:rsid w:val="00532ED6"/>
    <w:rsid w:val="0055280B"/>
    <w:rsid w:val="005645F1"/>
    <w:rsid w:val="0058513F"/>
    <w:rsid w:val="00587F9B"/>
    <w:rsid w:val="005A4F34"/>
    <w:rsid w:val="005D3BA4"/>
    <w:rsid w:val="005E6BE0"/>
    <w:rsid w:val="00611B46"/>
    <w:rsid w:val="00613AB5"/>
    <w:rsid w:val="0061658D"/>
    <w:rsid w:val="0061776D"/>
    <w:rsid w:val="00625680"/>
    <w:rsid w:val="006315D3"/>
    <w:rsid w:val="0063647C"/>
    <w:rsid w:val="00645DFE"/>
    <w:rsid w:val="00651A54"/>
    <w:rsid w:val="006546BC"/>
    <w:rsid w:val="0066124F"/>
    <w:rsid w:val="00661530"/>
    <w:rsid w:val="0066686C"/>
    <w:rsid w:val="0067594F"/>
    <w:rsid w:val="00686062"/>
    <w:rsid w:val="006A739C"/>
    <w:rsid w:val="006D7089"/>
    <w:rsid w:val="00705B4C"/>
    <w:rsid w:val="00722B21"/>
    <w:rsid w:val="0073556C"/>
    <w:rsid w:val="00737EF8"/>
    <w:rsid w:val="00740C1C"/>
    <w:rsid w:val="00744A3C"/>
    <w:rsid w:val="0074577F"/>
    <w:rsid w:val="0076500C"/>
    <w:rsid w:val="00774482"/>
    <w:rsid w:val="007804A5"/>
    <w:rsid w:val="0078636B"/>
    <w:rsid w:val="00796C61"/>
    <w:rsid w:val="007A230E"/>
    <w:rsid w:val="007B26D4"/>
    <w:rsid w:val="007B2F34"/>
    <w:rsid w:val="007B578F"/>
    <w:rsid w:val="007C2805"/>
    <w:rsid w:val="007D58D8"/>
    <w:rsid w:val="007E1F5E"/>
    <w:rsid w:val="007F4AEB"/>
    <w:rsid w:val="0080582F"/>
    <w:rsid w:val="008243DC"/>
    <w:rsid w:val="0082605F"/>
    <w:rsid w:val="00832388"/>
    <w:rsid w:val="00836E3A"/>
    <w:rsid w:val="00842699"/>
    <w:rsid w:val="00853607"/>
    <w:rsid w:val="008547E6"/>
    <w:rsid w:val="008635B2"/>
    <w:rsid w:val="00875BD7"/>
    <w:rsid w:val="00891689"/>
    <w:rsid w:val="00893205"/>
    <w:rsid w:val="008977E1"/>
    <w:rsid w:val="00897EC8"/>
    <w:rsid w:val="008A73AC"/>
    <w:rsid w:val="008B21BE"/>
    <w:rsid w:val="008B3632"/>
    <w:rsid w:val="008C3F7B"/>
    <w:rsid w:val="008C6AC4"/>
    <w:rsid w:val="008D3ABB"/>
    <w:rsid w:val="008E4797"/>
    <w:rsid w:val="008F5AEA"/>
    <w:rsid w:val="00904525"/>
    <w:rsid w:val="00914C7E"/>
    <w:rsid w:val="00917987"/>
    <w:rsid w:val="00931FB0"/>
    <w:rsid w:val="009408E4"/>
    <w:rsid w:val="00955FCD"/>
    <w:rsid w:val="009800E1"/>
    <w:rsid w:val="009856F7"/>
    <w:rsid w:val="009925D0"/>
    <w:rsid w:val="009950A7"/>
    <w:rsid w:val="009A0C73"/>
    <w:rsid w:val="009D4125"/>
    <w:rsid w:val="00A21497"/>
    <w:rsid w:val="00A53EB5"/>
    <w:rsid w:val="00A853AE"/>
    <w:rsid w:val="00A91298"/>
    <w:rsid w:val="00AB1AD2"/>
    <w:rsid w:val="00AB23BD"/>
    <w:rsid w:val="00AD36F0"/>
    <w:rsid w:val="00AE4492"/>
    <w:rsid w:val="00AE72DC"/>
    <w:rsid w:val="00AF6328"/>
    <w:rsid w:val="00B17717"/>
    <w:rsid w:val="00B24089"/>
    <w:rsid w:val="00B478AE"/>
    <w:rsid w:val="00B56641"/>
    <w:rsid w:val="00B604BB"/>
    <w:rsid w:val="00B6351B"/>
    <w:rsid w:val="00B667E2"/>
    <w:rsid w:val="00B72D4D"/>
    <w:rsid w:val="00B76724"/>
    <w:rsid w:val="00B85B2A"/>
    <w:rsid w:val="00B90001"/>
    <w:rsid w:val="00B95FF1"/>
    <w:rsid w:val="00BC23D9"/>
    <w:rsid w:val="00BC51E8"/>
    <w:rsid w:val="00BD0868"/>
    <w:rsid w:val="00BD1298"/>
    <w:rsid w:val="00BE3030"/>
    <w:rsid w:val="00BF51EE"/>
    <w:rsid w:val="00BF702E"/>
    <w:rsid w:val="00C405A6"/>
    <w:rsid w:val="00C513FB"/>
    <w:rsid w:val="00C52B67"/>
    <w:rsid w:val="00C61570"/>
    <w:rsid w:val="00C85F14"/>
    <w:rsid w:val="00C904EE"/>
    <w:rsid w:val="00C97104"/>
    <w:rsid w:val="00CB231D"/>
    <w:rsid w:val="00CB5B33"/>
    <w:rsid w:val="00D12929"/>
    <w:rsid w:val="00D23071"/>
    <w:rsid w:val="00D32953"/>
    <w:rsid w:val="00D42052"/>
    <w:rsid w:val="00D440FD"/>
    <w:rsid w:val="00D63E89"/>
    <w:rsid w:val="00D70B97"/>
    <w:rsid w:val="00D72BEA"/>
    <w:rsid w:val="00D83EF6"/>
    <w:rsid w:val="00D91703"/>
    <w:rsid w:val="00D940AE"/>
    <w:rsid w:val="00DA3D13"/>
    <w:rsid w:val="00DB220A"/>
    <w:rsid w:val="00DB2A50"/>
    <w:rsid w:val="00DC7B02"/>
    <w:rsid w:val="00DD492E"/>
    <w:rsid w:val="00DE1936"/>
    <w:rsid w:val="00DE7725"/>
    <w:rsid w:val="00DF02F6"/>
    <w:rsid w:val="00DF1DD3"/>
    <w:rsid w:val="00DF3388"/>
    <w:rsid w:val="00DF71AB"/>
    <w:rsid w:val="00E0519D"/>
    <w:rsid w:val="00E10123"/>
    <w:rsid w:val="00E26774"/>
    <w:rsid w:val="00E53200"/>
    <w:rsid w:val="00E630F9"/>
    <w:rsid w:val="00E86F0A"/>
    <w:rsid w:val="00EA27E1"/>
    <w:rsid w:val="00EA4C5C"/>
    <w:rsid w:val="00ED33A4"/>
    <w:rsid w:val="00EF1AB8"/>
    <w:rsid w:val="00F218F6"/>
    <w:rsid w:val="00F26DD4"/>
    <w:rsid w:val="00F4233D"/>
    <w:rsid w:val="00F42F01"/>
    <w:rsid w:val="00F45999"/>
    <w:rsid w:val="00F50505"/>
    <w:rsid w:val="00F569F6"/>
    <w:rsid w:val="00F63077"/>
    <w:rsid w:val="00F74162"/>
    <w:rsid w:val="00F74D96"/>
    <w:rsid w:val="00F76EB9"/>
    <w:rsid w:val="00F85050"/>
    <w:rsid w:val="00F979AE"/>
    <w:rsid w:val="00FA1F7E"/>
    <w:rsid w:val="00FB30B9"/>
    <w:rsid w:val="00FC4462"/>
    <w:rsid w:val="00FD7090"/>
    <w:rsid w:val="00FE2F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FB0C0506-74DB-4924-8B75-4ECBB015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92"/>
    <w:rPr>
      <w:sz w:val="24"/>
      <w:szCs w:val="24"/>
    </w:rPr>
  </w:style>
  <w:style w:type="paragraph" w:styleId="Heading1">
    <w:name w:val="heading 1"/>
    <w:basedOn w:val="Normal"/>
    <w:next w:val="Normal"/>
    <w:qFormat/>
    <w:pPr>
      <w:keepNext/>
      <w:suppressAutoHyphens/>
      <w:spacing w:before="240" w:after="60"/>
      <w:outlineLvl w:val="0"/>
    </w:pPr>
    <w:rPr>
      <w:rFonts w:ascii="Cambria" w:hAnsi="Cambria" w:cs="Calibri"/>
      <w:b/>
      <w:bCs/>
      <w:kern w:val="1"/>
      <w:sz w:val="32"/>
      <w:szCs w:val="32"/>
      <w:lang w:val="en-US" w:eastAsia="ar-SA"/>
    </w:rPr>
  </w:style>
  <w:style w:type="paragraph" w:styleId="Heading2">
    <w:name w:val="heading 2"/>
    <w:basedOn w:val="Normal"/>
    <w:next w:val="Normal"/>
    <w:qFormat/>
    <w:pPr>
      <w:keepNext/>
      <w:suppressAutoHyphens/>
      <w:spacing w:before="240" w:after="60"/>
      <w:outlineLvl w:val="1"/>
    </w:pPr>
    <w:rPr>
      <w:rFonts w:ascii="Cambria" w:hAnsi="Cambria" w:cs="Calibri"/>
      <w:b/>
      <w:bCs/>
      <w:i/>
      <w:iCs/>
      <w:sz w:val="28"/>
      <w:szCs w:val="28"/>
      <w:lang w:val="en-US" w:eastAsia="ar-SA"/>
    </w:rPr>
  </w:style>
  <w:style w:type="paragraph" w:styleId="Heading3">
    <w:name w:val="heading 3"/>
    <w:basedOn w:val="Normal"/>
    <w:next w:val="Normal"/>
    <w:qFormat/>
    <w:pPr>
      <w:keepNext/>
      <w:suppressAutoHyphens/>
      <w:spacing w:before="240" w:after="60"/>
      <w:outlineLvl w:val="2"/>
    </w:pPr>
    <w:rPr>
      <w:rFonts w:ascii="Cambria" w:hAnsi="Cambria" w:cs="Calibri"/>
      <w:b/>
      <w:bCs/>
      <w:sz w:val="26"/>
      <w:szCs w:val="26"/>
      <w:lang w:val="en-US" w:eastAsia="ar-SA"/>
    </w:rPr>
  </w:style>
  <w:style w:type="paragraph" w:styleId="Heading4">
    <w:name w:val="heading 4"/>
    <w:basedOn w:val="Normal"/>
    <w:next w:val="Normal"/>
    <w:qFormat/>
    <w:pPr>
      <w:keepNext/>
      <w:suppressAutoHyphens/>
      <w:spacing w:before="240" w:after="60"/>
      <w:outlineLvl w:val="3"/>
    </w:pPr>
    <w:rPr>
      <w:rFonts w:ascii="Calibri" w:hAnsi="Calibri" w:cs="Calibri"/>
      <w:b/>
      <w:bCs/>
      <w:sz w:val="28"/>
      <w:szCs w:val="28"/>
      <w:lang w:val="en-US" w:eastAsia="ar-SA"/>
    </w:rPr>
  </w:style>
  <w:style w:type="paragraph" w:styleId="Heading5">
    <w:name w:val="heading 5"/>
    <w:basedOn w:val="Normal"/>
    <w:next w:val="Normal"/>
    <w:qFormat/>
    <w:pPr>
      <w:suppressAutoHyphens/>
      <w:spacing w:before="240" w:after="60"/>
      <w:outlineLvl w:val="4"/>
    </w:pPr>
    <w:rPr>
      <w:rFonts w:ascii="Calibri" w:hAnsi="Calibri" w:cs="Calibri"/>
      <w:b/>
      <w:bCs/>
      <w:i/>
      <w:iCs/>
      <w:sz w:val="26"/>
      <w:szCs w:val="26"/>
      <w:lang w:val="en-US" w:eastAsia="ar-SA"/>
    </w:rPr>
  </w:style>
  <w:style w:type="paragraph" w:styleId="Heading6">
    <w:name w:val="heading 6"/>
    <w:basedOn w:val="Normal"/>
    <w:next w:val="Normal"/>
    <w:qFormat/>
    <w:pPr>
      <w:suppressAutoHyphens/>
      <w:spacing w:before="240" w:after="60"/>
      <w:outlineLvl w:val="5"/>
    </w:pPr>
    <w:rPr>
      <w:rFonts w:ascii="Calibri" w:hAnsi="Calibri" w:cs="Calibri"/>
      <w:b/>
      <w:bCs/>
      <w:sz w:val="20"/>
      <w:szCs w:val="20"/>
      <w:lang w:val="en-US" w:eastAsia="ar-SA"/>
    </w:rPr>
  </w:style>
  <w:style w:type="paragraph" w:styleId="Heading7">
    <w:name w:val="heading 7"/>
    <w:basedOn w:val="Normal"/>
    <w:next w:val="Normal"/>
    <w:qFormat/>
    <w:pPr>
      <w:suppressAutoHyphens/>
      <w:spacing w:before="240" w:after="60"/>
      <w:outlineLvl w:val="6"/>
    </w:pPr>
    <w:rPr>
      <w:rFonts w:ascii="Calibri" w:hAnsi="Calibri" w:cs="Calibri"/>
      <w:lang w:val="en-US" w:eastAsia="ar-SA"/>
    </w:rPr>
  </w:style>
  <w:style w:type="paragraph" w:styleId="Heading8">
    <w:name w:val="heading 8"/>
    <w:basedOn w:val="Normal"/>
    <w:next w:val="Normal"/>
    <w:qFormat/>
    <w:pPr>
      <w:suppressAutoHyphens/>
      <w:spacing w:before="240" w:after="60"/>
      <w:outlineLvl w:val="7"/>
    </w:pPr>
    <w:rPr>
      <w:rFonts w:ascii="Calibri" w:hAnsi="Calibri" w:cs="Calibri"/>
      <w:i/>
      <w:iCs/>
      <w:lang w:val="en-US" w:eastAsia="ar-SA"/>
    </w:rPr>
  </w:style>
  <w:style w:type="paragraph" w:styleId="Heading9">
    <w:name w:val="heading 9"/>
    <w:basedOn w:val="Normal"/>
    <w:next w:val="Normal"/>
    <w:qFormat/>
    <w:pPr>
      <w:suppressAutoHyphens/>
      <w:spacing w:before="240" w:after="60"/>
      <w:outlineLvl w:val="8"/>
    </w:pPr>
    <w:rPr>
      <w:rFonts w:ascii="Cambria" w:hAnsi="Cambria" w:cs="Calibri"/>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uppressAutoHyphens/>
      <w:spacing w:before="120" w:after="120"/>
    </w:pPr>
    <w:rPr>
      <w:rFonts w:ascii="Arial" w:hAnsi="Arial" w:cs="Arial"/>
      <w:sz w:val="20"/>
      <w:szCs w:val="22"/>
      <w:lang w:val="en-US" w:eastAsia="en-US" w:bidi="en-US"/>
    </w:rPr>
  </w:style>
  <w:style w:type="paragraph" w:customStyle="1" w:styleId="Subhead-Arial12ptbold">
    <w:name w:val="Subhead - Arial 12pt bold"/>
    <w:basedOn w:val="Normal"/>
    <w:qFormat/>
    <w:rsid w:val="006927E8"/>
    <w:pPr>
      <w:suppressAutoHyphens/>
    </w:pPr>
    <w:rPr>
      <w:rFonts w:ascii="Arial Bold" w:hAnsi="Arial Bold" w:cs="Calibri"/>
      <w:color w:val="272727"/>
      <w:lang w:val="en-US" w:eastAsia="en-US" w:bidi="en-US"/>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suppressAutoHyphens/>
      <w:autoSpaceDE w:val="0"/>
      <w:autoSpaceDN w:val="0"/>
      <w:adjustRightInd w:val="0"/>
      <w:spacing w:line="320" w:lineRule="atLeast"/>
      <w:textAlignment w:val="center"/>
    </w:pPr>
    <w:rPr>
      <w:rFonts w:ascii="Arial Bold" w:hAnsi="Arial Bold" w:cs="Futura-Bold"/>
      <w:bCs/>
      <w:color w:val="DF6C08"/>
      <w:sz w:val="28"/>
      <w:szCs w:val="28"/>
      <w:lang w:val="en-GB" w:eastAsia="en-US"/>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suppressAutoHyphens/>
    </w:pPr>
    <w:rPr>
      <w:rFonts w:ascii="Calibri" w:hAnsi="Calibri" w:cs="Calibri"/>
      <w:lang w:val="en-US" w:eastAsia="en-US" w:bidi="en-US"/>
    </w:r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uiPriority w:val="99"/>
    <w:rsid w:val="00561964"/>
    <w:pPr>
      <w:tabs>
        <w:tab w:val="center" w:pos="4320"/>
        <w:tab w:val="right" w:pos="8640"/>
      </w:tabs>
      <w:suppressAutoHyphens/>
    </w:pPr>
    <w:rPr>
      <w:rFonts w:ascii="Calibri" w:hAnsi="Calibri" w:cs="Calibri"/>
      <w:lang w:val="en-US" w:eastAsia="en-US" w:bidi="en-US"/>
    </w:rPr>
  </w:style>
  <w:style w:type="character" w:customStyle="1" w:styleId="FooterChar">
    <w:name w:val="Footer Char"/>
    <w:basedOn w:val="DefaultParagraphFont"/>
    <w:link w:val="Footer"/>
    <w:uiPriority w:val="99"/>
    <w:rsid w:val="00561964"/>
    <w:rPr>
      <w:rFonts w:ascii="Calibri" w:hAnsi="Calibri" w:cs="Calibri"/>
      <w:sz w:val="24"/>
      <w:szCs w:val="24"/>
      <w:lang w:val="en-US" w:bidi="en-US"/>
    </w:rPr>
  </w:style>
  <w:style w:type="paragraph" w:styleId="ListParagraph">
    <w:name w:val="List Paragraph"/>
    <w:basedOn w:val="Normal"/>
    <w:uiPriority w:val="34"/>
    <w:qFormat/>
    <w:rsid w:val="00737EF8"/>
    <w:pPr>
      <w:ind w:left="720"/>
      <w:contextualSpacing/>
    </w:pPr>
    <w:rPr>
      <w:szCs w:val="20"/>
      <w:lang w:eastAsia="en-US"/>
    </w:rPr>
  </w:style>
  <w:style w:type="character" w:styleId="CommentReference">
    <w:name w:val="annotation reference"/>
    <w:basedOn w:val="DefaultParagraphFont"/>
    <w:semiHidden/>
    <w:unhideWhenUsed/>
    <w:rsid w:val="004126E4"/>
    <w:rPr>
      <w:sz w:val="16"/>
      <w:szCs w:val="16"/>
    </w:rPr>
  </w:style>
  <w:style w:type="paragraph" w:styleId="CommentText">
    <w:name w:val="annotation text"/>
    <w:basedOn w:val="Normal"/>
    <w:link w:val="CommentTextChar"/>
    <w:semiHidden/>
    <w:unhideWhenUsed/>
    <w:rsid w:val="004126E4"/>
    <w:pPr>
      <w:suppressAutoHyphens/>
    </w:pPr>
    <w:rPr>
      <w:rFonts w:ascii="Calibri" w:hAnsi="Calibri" w:cs="Calibri"/>
      <w:sz w:val="20"/>
      <w:szCs w:val="20"/>
      <w:lang w:val="en-US" w:eastAsia="en-US" w:bidi="en-US"/>
    </w:rPr>
  </w:style>
  <w:style w:type="character" w:customStyle="1" w:styleId="CommentTextChar">
    <w:name w:val="Comment Text Char"/>
    <w:basedOn w:val="DefaultParagraphFont"/>
    <w:link w:val="CommentText"/>
    <w:semiHidden/>
    <w:rsid w:val="004126E4"/>
    <w:rPr>
      <w:rFonts w:ascii="Calibri" w:hAnsi="Calibri" w:cs="Calibri"/>
      <w:lang w:val="en-US" w:eastAsia="en-US" w:bidi="en-US"/>
    </w:rPr>
  </w:style>
  <w:style w:type="paragraph" w:styleId="CommentSubject">
    <w:name w:val="annotation subject"/>
    <w:basedOn w:val="CommentText"/>
    <w:next w:val="CommentText"/>
    <w:link w:val="CommentSubjectChar"/>
    <w:semiHidden/>
    <w:unhideWhenUsed/>
    <w:rsid w:val="004126E4"/>
    <w:rPr>
      <w:b/>
      <w:bCs/>
    </w:rPr>
  </w:style>
  <w:style w:type="character" w:customStyle="1" w:styleId="CommentSubjectChar">
    <w:name w:val="Comment Subject Char"/>
    <w:basedOn w:val="CommentTextChar"/>
    <w:link w:val="CommentSubject"/>
    <w:semiHidden/>
    <w:rsid w:val="004126E4"/>
    <w:rPr>
      <w:rFonts w:ascii="Calibri" w:hAnsi="Calibri" w:cs="Calibri"/>
      <w:b/>
      <w:bCs/>
      <w:lang w:val="en-US" w:eastAsia="en-US" w:bidi="en-US"/>
    </w:rPr>
  </w:style>
  <w:style w:type="paragraph" w:styleId="BalloonText">
    <w:name w:val="Balloon Text"/>
    <w:basedOn w:val="Normal"/>
    <w:link w:val="BalloonTextChar"/>
    <w:semiHidden/>
    <w:unhideWhenUsed/>
    <w:rsid w:val="004126E4"/>
    <w:pPr>
      <w:suppressAutoHyphens/>
    </w:pPr>
    <w:rPr>
      <w:rFonts w:ascii="Segoe UI" w:hAnsi="Segoe UI" w:cs="Segoe UI"/>
      <w:sz w:val="18"/>
      <w:szCs w:val="18"/>
      <w:lang w:val="en-US" w:eastAsia="en-US" w:bidi="en-US"/>
    </w:rPr>
  </w:style>
  <w:style w:type="character" w:customStyle="1" w:styleId="BalloonTextChar">
    <w:name w:val="Balloon Text Char"/>
    <w:basedOn w:val="DefaultParagraphFont"/>
    <w:link w:val="BalloonText"/>
    <w:semiHidden/>
    <w:rsid w:val="004126E4"/>
    <w:rPr>
      <w:rFonts w:ascii="Segoe UI" w:hAnsi="Segoe UI" w:cs="Segoe UI"/>
      <w:sz w:val="18"/>
      <w:szCs w:val="18"/>
      <w:lang w:val="en-US" w:eastAsia="en-US" w:bidi="en-US"/>
    </w:rPr>
  </w:style>
  <w:style w:type="character" w:customStyle="1" w:styleId="Mention">
    <w:name w:val="Mention"/>
    <w:basedOn w:val="DefaultParagraphFont"/>
    <w:uiPriority w:val="99"/>
    <w:semiHidden/>
    <w:unhideWhenUsed/>
    <w:rsid w:val="002C3250"/>
    <w:rPr>
      <w:color w:val="2B579A"/>
      <w:shd w:val="clear" w:color="auto" w:fill="E6E6E6"/>
    </w:rPr>
  </w:style>
  <w:style w:type="paragraph" w:styleId="FootnoteText">
    <w:name w:val="footnote text"/>
    <w:basedOn w:val="Normal"/>
    <w:link w:val="FootnoteTextChar"/>
    <w:semiHidden/>
    <w:unhideWhenUsed/>
    <w:rsid w:val="002C3250"/>
    <w:pPr>
      <w:suppressAutoHyphens/>
    </w:pPr>
    <w:rPr>
      <w:rFonts w:ascii="Calibri" w:hAnsi="Calibri" w:cs="Calibri"/>
      <w:sz w:val="20"/>
      <w:szCs w:val="20"/>
      <w:lang w:val="en-US" w:eastAsia="en-US" w:bidi="en-US"/>
    </w:rPr>
  </w:style>
  <w:style w:type="character" w:customStyle="1" w:styleId="FootnoteTextChar">
    <w:name w:val="Footnote Text Char"/>
    <w:basedOn w:val="DefaultParagraphFont"/>
    <w:link w:val="FootnoteText"/>
    <w:semiHidden/>
    <w:rsid w:val="002C3250"/>
    <w:rPr>
      <w:rFonts w:ascii="Calibri" w:hAnsi="Calibri" w:cs="Calibri"/>
      <w:lang w:val="en-US" w:eastAsia="en-US" w:bidi="en-US"/>
    </w:rPr>
  </w:style>
  <w:style w:type="character" w:styleId="FootnoteReference">
    <w:name w:val="footnote reference"/>
    <w:uiPriority w:val="99"/>
    <w:unhideWhenUsed/>
    <w:rsid w:val="002C3250"/>
    <w:rPr>
      <w:vertAlign w:val="superscript"/>
    </w:rPr>
  </w:style>
  <w:style w:type="paragraph" w:customStyle="1" w:styleId="p1">
    <w:name w:val="p1"/>
    <w:basedOn w:val="Normal"/>
    <w:rsid w:val="008D3ABB"/>
    <w:pPr>
      <w:spacing w:after="150"/>
    </w:pPr>
    <w:rPr>
      <w:rFonts w:ascii="Open Sans" w:hAnsi="Open Sans"/>
    </w:rPr>
  </w:style>
  <w:style w:type="character" w:styleId="Emphasis">
    <w:name w:val="Emphasis"/>
    <w:basedOn w:val="DefaultParagraphFont"/>
    <w:uiPriority w:val="20"/>
    <w:qFormat/>
    <w:rsid w:val="00F74D96"/>
    <w:rPr>
      <w:i/>
      <w:iCs/>
    </w:rPr>
  </w:style>
  <w:style w:type="paragraph" w:customStyle="1" w:styleId="EndNoteBibliography">
    <w:name w:val="EndNote Bibliography"/>
    <w:basedOn w:val="Normal"/>
    <w:link w:val="EndNoteBibliographyChar"/>
    <w:rsid w:val="009A0C73"/>
    <w:pPr>
      <w:spacing w:after="200"/>
    </w:pPr>
    <w:rPr>
      <w:rFonts w:ascii="Calibri" w:eastAsiaTheme="minorEastAsia" w:hAnsi="Calibri" w:cstheme="minorBidi"/>
      <w:noProof/>
      <w:sz w:val="22"/>
      <w:szCs w:val="22"/>
      <w:lang w:val="en-US" w:eastAsia="en-US" w:bidi="en-US"/>
    </w:rPr>
  </w:style>
  <w:style w:type="character" w:customStyle="1" w:styleId="EndNoteBibliographyChar">
    <w:name w:val="EndNote Bibliography Char"/>
    <w:basedOn w:val="FootnoteTextChar"/>
    <w:link w:val="EndNoteBibliography"/>
    <w:rsid w:val="009A0C73"/>
    <w:rPr>
      <w:rFonts w:ascii="Calibri" w:eastAsiaTheme="minorEastAsia" w:hAnsi="Calibri" w:cstheme="minorBidi"/>
      <w:noProof/>
      <w:sz w:val="22"/>
      <w:szCs w:val="22"/>
      <w:lang w:val="en-US" w:eastAsia="en-US" w:bidi="en-US"/>
    </w:rPr>
  </w:style>
  <w:style w:type="paragraph" w:customStyle="1" w:styleId="text">
    <w:name w:val="text"/>
    <w:basedOn w:val="Normal"/>
    <w:link w:val="textChar"/>
    <w:qFormat/>
    <w:rsid w:val="007A230E"/>
    <w:pPr>
      <w:spacing w:line="480" w:lineRule="auto"/>
      <w:ind w:firstLine="425"/>
      <w:jc w:val="both"/>
    </w:pPr>
    <w:rPr>
      <w:rFonts w:eastAsiaTheme="minorEastAsia"/>
      <w:lang w:eastAsia="zh-CN"/>
    </w:rPr>
  </w:style>
  <w:style w:type="character" w:customStyle="1" w:styleId="textChar">
    <w:name w:val="text Char"/>
    <w:link w:val="text"/>
    <w:locked/>
    <w:rsid w:val="007A230E"/>
    <w:rPr>
      <w:rFonts w:eastAsiaTheme="minorEastAsia"/>
      <w:sz w:val="24"/>
      <w:szCs w:val="24"/>
      <w:lang w:eastAsia="zh-CN"/>
    </w:rPr>
  </w:style>
  <w:style w:type="paragraph" w:styleId="NormalWeb">
    <w:name w:val="Normal (Web)"/>
    <w:basedOn w:val="Normal"/>
    <w:uiPriority w:val="99"/>
    <w:semiHidden/>
    <w:unhideWhenUsed/>
    <w:rsid w:val="00154208"/>
    <w:pPr>
      <w:spacing w:before="100" w:beforeAutospacing="1" w:after="100" w:afterAutospacing="1"/>
    </w:pPr>
    <w:rPr>
      <w:lang w:eastAsia="zh-CN"/>
    </w:rPr>
  </w:style>
  <w:style w:type="character" w:customStyle="1" w:styleId="blue">
    <w:name w:val="blue"/>
    <w:basedOn w:val="DefaultParagraphFont"/>
    <w:rsid w:val="00154208"/>
  </w:style>
  <w:style w:type="paragraph" w:styleId="TOC1">
    <w:name w:val="toc 1"/>
    <w:basedOn w:val="Normal"/>
    <w:next w:val="Normal"/>
    <w:autoRedefine/>
    <w:uiPriority w:val="39"/>
    <w:rsid w:val="00003ADC"/>
    <w:pPr>
      <w:tabs>
        <w:tab w:val="right" w:leader="dot" w:pos="9054"/>
      </w:tabs>
      <w:spacing w:after="100" w:line="288" w:lineRule="auto"/>
    </w:pPr>
    <w:rPr>
      <w:rFonts w:ascii="Arial" w:eastAsiaTheme="minorEastAsia" w:hAnsi="Arial" w:cstheme="minorBidi"/>
      <w:noProof/>
      <w:color w:val="484E41"/>
      <w:sz w:val="20"/>
      <w:szCs w:val="20"/>
    </w:rPr>
  </w:style>
  <w:style w:type="character" w:customStyle="1" w:styleId="apple-converted-space">
    <w:name w:val="apple-converted-space"/>
    <w:basedOn w:val="DefaultParagraphFont"/>
    <w:rsid w:val="00B9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937">
      <w:bodyDiv w:val="1"/>
      <w:marLeft w:val="0"/>
      <w:marRight w:val="0"/>
      <w:marTop w:val="0"/>
      <w:marBottom w:val="0"/>
      <w:divBdr>
        <w:top w:val="none" w:sz="0" w:space="0" w:color="auto"/>
        <w:left w:val="none" w:sz="0" w:space="0" w:color="auto"/>
        <w:bottom w:val="none" w:sz="0" w:space="0" w:color="auto"/>
        <w:right w:val="none" w:sz="0" w:space="0" w:color="auto"/>
      </w:divBdr>
    </w:div>
    <w:div w:id="168568344">
      <w:bodyDiv w:val="1"/>
      <w:marLeft w:val="0"/>
      <w:marRight w:val="0"/>
      <w:marTop w:val="0"/>
      <w:marBottom w:val="0"/>
      <w:divBdr>
        <w:top w:val="none" w:sz="0" w:space="0" w:color="auto"/>
        <w:left w:val="none" w:sz="0" w:space="0" w:color="auto"/>
        <w:bottom w:val="none" w:sz="0" w:space="0" w:color="auto"/>
        <w:right w:val="none" w:sz="0" w:space="0" w:color="auto"/>
      </w:divBdr>
    </w:div>
    <w:div w:id="192154169">
      <w:bodyDiv w:val="1"/>
      <w:marLeft w:val="0"/>
      <w:marRight w:val="0"/>
      <w:marTop w:val="0"/>
      <w:marBottom w:val="0"/>
      <w:divBdr>
        <w:top w:val="none" w:sz="0" w:space="0" w:color="auto"/>
        <w:left w:val="none" w:sz="0" w:space="0" w:color="auto"/>
        <w:bottom w:val="none" w:sz="0" w:space="0" w:color="auto"/>
        <w:right w:val="none" w:sz="0" w:space="0" w:color="auto"/>
      </w:divBdr>
    </w:div>
    <w:div w:id="254094264">
      <w:bodyDiv w:val="1"/>
      <w:marLeft w:val="0"/>
      <w:marRight w:val="0"/>
      <w:marTop w:val="0"/>
      <w:marBottom w:val="0"/>
      <w:divBdr>
        <w:top w:val="none" w:sz="0" w:space="0" w:color="auto"/>
        <w:left w:val="none" w:sz="0" w:space="0" w:color="auto"/>
        <w:bottom w:val="none" w:sz="0" w:space="0" w:color="auto"/>
        <w:right w:val="none" w:sz="0" w:space="0" w:color="auto"/>
      </w:divBdr>
      <w:divsChild>
        <w:div w:id="4480797">
          <w:marLeft w:val="0"/>
          <w:marRight w:val="0"/>
          <w:marTop w:val="0"/>
          <w:marBottom w:val="0"/>
          <w:divBdr>
            <w:top w:val="none" w:sz="0" w:space="0" w:color="auto"/>
            <w:left w:val="none" w:sz="0" w:space="0" w:color="auto"/>
            <w:bottom w:val="none" w:sz="0" w:space="0" w:color="auto"/>
            <w:right w:val="none" w:sz="0" w:space="0" w:color="auto"/>
          </w:divBdr>
        </w:div>
      </w:divsChild>
    </w:div>
    <w:div w:id="301816894">
      <w:bodyDiv w:val="1"/>
      <w:marLeft w:val="0"/>
      <w:marRight w:val="0"/>
      <w:marTop w:val="0"/>
      <w:marBottom w:val="0"/>
      <w:divBdr>
        <w:top w:val="none" w:sz="0" w:space="0" w:color="auto"/>
        <w:left w:val="none" w:sz="0" w:space="0" w:color="auto"/>
        <w:bottom w:val="none" w:sz="0" w:space="0" w:color="auto"/>
        <w:right w:val="none" w:sz="0" w:space="0" w:color="auto"/>
      </w:divBdr>
    </w:div>
    <w:div w:id="315496979">
      <w:bodyDiv w:val="1"/>
      <w:marLeft w:val="0"/>
      <w:marRight w:val="0"/>
      <w:marTop w:val="0"/>
      <w:marBottom w:val="0"/>
      <w:divBdr>
        <w:top w:val="none" w:sz="0" w:space="0" w:color="auto"/>
        <w:left w:val="none" w:sz="0" w:space="0" w:color="auto"/>
        <w:bottom w:val="none" w:sz="0" w:space="0" w:color="auto"/>
        <w:right w:val="none" w:sz="0" w:space="0" w:color="auto"/>
      </w:divBdr>
    </w:div>
    <w:div w:id="365181329">
      <w:bodyDiv w:val="1"/>
      <w:marLeft w:val="0"/>
      <w:marRight w:val="0"/>
      <w:marTop w:val="0"/>
      <w:marBottom w:val="0"/>
      <w:divBdr>
        <w:top w:val="none" w:sz="0" w:space="0" w:color="auto"/>
        <w:left w:val="none" w:sz="0" w:space="0" w:color="auto"/>
        <w:bottom w:val="none" w:sz="0" w:space="0" w:color="auto"/>
        <w:right w:val="none" w:sz="0" w:space="0" w:color="auto"/>
      </w:divBdr>
    </w:div>
    <w:div w:id="368182954">
      <w:bodyDiv w:val="1"/>
      <w:marLeft w:val="0"/>
      <w:marRight w:val="0"/>
      <w:marTop w:val="0"/>
      <w:marBottom w:val="0"/>
      <w:divBdr>
        <w:top w:val="none" w:sz="0" w:space="0" w:color="auto"/>
        <w:left w:val="none" w:sz="0" w:space="0" w:color="auto"/>
        <w:bottom w:val="none" w:sz="0" w:space="0" w:color="auto"/>
        <w:right w:val="none" w:sz="0" w:space="0" w:color="auto"/>
      </w:divBdr>
    </w:div>
    <w:div w:id="427434024">
      <w:bodyDiv w:val="1"/>
      <w:marLeft w:val="0"/>
      <w:marRight w:val="0"/>
      <w:marTop w:val="0"/>
      <w:marBottom w:val="0"/>
      <w:divBdr>
        <w:top w:val="none" w:sz="0" w:space="0" w:color="auto"/>
        <w:left w:val="none" w:sz="0" w:space="0" w:color="auto"/>
        <w:bottom w:val="none" w:sz="0" w:space="0" w:color="auto"/>
        <w:right w:val="none" w:sz="0" w:space="0" w:color="auto"/>
      </w:divBdr>
    </w:div>
    <w:div w:id="438985721">
      <w:bodyDiv w:val="1"/>
      <w:marLeft w:val="0"/>
      <w:marRight w:val="0"/>
      <w:marTop w:val="0"/>
      <w:marBottom w:val="0"/>
      <w:divBdr>
        <w:top w:val="none" w:sz="0" w:space="0" w:color="auto"/>
        <w:left w:val="none" w:sz="0" w:space="0" w:color="auto"/>
        <w:bottom w:val="none" w:sz="0" w:space="0" w:color="auto"/>
        <w:right w:val="none" w:sz="0" w:space="0" w:color="auto"/>
      </w:divBdr>
    </w:div>
    <w:div w:id="777528030">
      <w:bodyDiv w:val="1"/>
      <w:marLeft w:val="0"/>
      <w:marRight w:val="0"/>
      <w:marTop w:val="0"/>
      <w:marBottom w:val="0"/>
      <w:divBdr>
        <w:top w:val="none" w:sz="0" w:space="0" w:color="auto"/>
        <w:left w:val="none" w:sz="0" w:space="0" w:color="auto"/>
        <w:bottom w:val="none" w:sz="0" w:space="0" w:color="auto"/>
        <w:right w:val="none" w:sz="0" w:space="0" w:color="auto"/>
      </w:divBdr>
    </w:div>
    <w:div w:id="917712406">
      <w:bodyDiv w:val="1"/>
      <w:marLeft w:val="0"/>
      <w:marRight w:val="0"/>
      <w:marTop w:val="0"/>
      <w:marBottom w:val="0"/>
      <w:divBdr>
        <w:top w:val="none" w:sz="0" w:space="0" w:color="auto"/>
        <w:left w:val="none" w:sz="0" w:space="0" w:color="auto"/>
        <w:bottom w:val="none" w:sz="0" w:space="0" w:color="auto"/>
        <w:right w:val="none" w:sz="0" w:space="0" w:color="auto"/>
      </w:divBdr>
    </w:div>
    <w:div w:id="953828980">
      <w:bodyDiv w:val="1"/>
      <w:marLeft w:val="0"/>
      <w:marRight w:val="0"/>
      <w:marTop w:val="0"/>
      <w:marBottom w:val="0"/>
      <w:divBdr>
        <w:top w:val="none" w:sz="0" w:space="0" w:color="auto"/>
        <w:left w:val="none" w:sz="0" w:space="0" w:color="auto"/>
        <w:bottom w:val="none" w:sz="0" w:space="0" w:color="auto"/>
        <w:right w:val="none" w:sz="0" w:space="0" w:color="auto"/>
      </w:divBdr>
    </w:div>
    <w:div w:id="956449341">
      <w:bodyDiv w:val="1"/>
      <w:marLeft w:val="0"/>
      <w:marRight w:val="0"/>
      <w:marTop w:val="0"/>
      <w:marBottom w:val="0"/>
      <w:divBdr>
        <w:top w:val="none" w:sz="0" w:space="0" w:color="auto"/>
        <w:left w:val="none" w:sz="0" w:space="0" w:color="auto"/>
        <w:bottom w:val="none" w:sz="0" w:space="0" w:color="auto"/>
        <w:right w:val="none" w:sz="0" w:space="0" w:color="auto"/>
      </w:divBdr>
      <w:divsChild>
        <w:div w:id="62221628">
          <w:marLeft w:val="0"/>
          <w:marRight w:val="0"/>
          <w:marTop w:val="0"/>
          <w:marBottom w:val="0"/>
          <w:divBdr>
            <w:top w:val="none" w:sz="0" w:space="0" w:color="auto"/>
            <w:left w:val="none" w:sz="0" w:space="0" w:color="auto"/>
            <w:bottom w:val="none" w:sz="0" w:space="0" w:color="auto"/>
            <w:right w:val="none" w:sz="0" w:space="0" w:color="auto"/>
          </w:divBdr>
          <w:divsChild>
            <w:div w:id="1941327093">
              <w:marLeft w:val="0"/>
              <w:marRight w:val="0"/>
              <w:marTop w:val="0"/>
              <w:marBottom w:val="0"/>
              <w:divBdr>
                <w:top w:val="none" w:sz="0" w:space="0" w:color="auto"/>
                <w:left w:val="none" w:sz="0" w:space="0" w:color="auto"/>
                <w:bottom w:val="none" w:sz="0" w:space="0" w:color="auto"/>
                <w:right w:val="none" w:sz="0" w:space="0" w:color="auto"/>
              </w:divBdr>
              <w:divsChild>
                <w:div w:id="1646424181">
                  <w:marLeft w:val="0"/>
                  <w:marRight w:val="0"/>
                  <w:marTop w:val="0"/>
                  <w:marBottom w:val="0"/>
                  <w:divBdr>
                    <w:top w:val="none" w:sz="0" w:space="0" w:color="auto"/>
                    <w:left w:val="none" w:sz="0" w:space="0" w:color="auto"/>
                    <w:bottom w:val="none" w:sz="0" w:space="0" w:color="auto"/>
                    <w:right w:val="none" w:sz="0" w:space="0" w:color="auto"/>
                  </w:divBdr>
                  <w:divsChild>
                    <w:div w:id="67001349">
                      <w:marLeft w:val="-195"/>
                      <w:marRight w:val="-195"/>
                      <w:marTop w:val="0"/>
                      <w:marBottom w:val="0"/>
                      <w:divBdr>
                        <w:top w:val="none" w:sz="0" w:space="0" w:color="auto"/>
                        <w:left w:val="none" w:sz="0" w:space="0" w:color="auto"/>
                        <w:bottom w:val="none" w:sz="0" w:space="0" w:color="auto"/>
                        <w:right w:val="none" w:sz="0" w:space="0" w:color="auto"/>
                      </w:divBdr>
                      <w:divsChild>
                        <w:div w:id="1112238064">
                          <w:marLeft w:val="0"/>
                          <w:marRight w:val="0"/>
                          <w:marTop w:val="0"/>
                          <w:marBottom w:val="0"/>
                          <w:divBdr>
                            <w:top w:val="none" w:sz="0" w:space="0" w:color="auto"/>
                            <w:left w:val="none" w:sz="0" w:space="0" w:color="auto"/>
                            <w:bottom w:val="none" w:sz="0" w:space="0" w:color="auto"/>
                            <w:right w:val="none" w:sz="0" w:space="0" w:color="auto"/>
                          </w:divBdr>
                          <w:divsChild>
                            <w:div w:id="62804552">
                              <w:marLeft w:val="0"/>
                              <w:marRight w:val="0"/>
                              <w:marTop w:val="0"/>
                              <w:marBottom w:val="0"/>
                              <w:divBdr>
                                <w:top w:val="none" w:sz="0" w:space="0" w:color="auto"/>
                                <w:left w:val="none" w:sz="0" w:space="0" w:color="auto"/>
                                <w:bottom w:val="none" w:sz="0" w:space="0" w:color="auto"/>
                                <w:right w:val="none" w:sz="0" w:space="0" w:color="auto"/>
                              </w:divBdr>
                              <w:divsChild>
                                <w:div w:id="1484589160">
                                  <w:marLeft w:val="0"/>
                                  <w:marRight w:val="0"/>
                                  <w:marTop w:val="0"/>
                                  <w:marBottom w:val="0"/>
                                  <w:divBdr>
                                    <w:top w:val="none" w:sz="0" w:space="0" w:color="auto"/>
                                    <w:left w:val="none" w:sz="0" w:space="0" w:color="auto"/>
                                    <w:bottom w:val="none" w:sz="0" w:space="0" w:color="auto"/>
                                    <w:right w:val="none" w:sz="0" w:space="0" w:color="auto"/>
                                  </w:divBdr>
                                  <w:divsChild>
                                    <w:div w:id="30690822">
                                      <w:marLeft w:val="0"/>
                                      <w:marRight w:val="0"/>
                                      <w:marTop w:val="0"/>
                                      <w:marBottom w:val="0"/>
                                      <w:divBdr>
                                        <w:top w:val="none" w:sz="0" w:space="0" w:color="auto"/>
                                        <w:left w:val="none" w:sz="0" w:space="0" w:color="auto"/>
                                        <w:bottom w:val="none" w:sz="0" w:space="0" w:color="auto"/>
                                        <w:right w:val="none" w:sz="0" w:space="0" w:color="auto"/>
                                      </w:divBdr>
                                      <w:divsChild>
                                        <w:div w:id="8720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732031">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48265699">
      <w:bodyDiv w:val="1"/>
      <w:marLeft w:val="0"/>
      <w:marRight w:val="0"/>
      <w:marTop w:val="0"/>
      <w:marBottom w:val="0"/>
      <w:divBdr>
        <w:top w:val="none" w:sz="0" w:space="0" w:color="auto"/>
        <w:left w:val="none" w:sz="0" w:space="0" w:color="auto"/>
        <w:bottom w:val="none" w:sz="0" w:space="0" w:color="auto"/>
        <w:right w:val="none" w:sz="0" w:space="0" w:color="auto"/>
      </w:divBdr>
    </w:div>
    <w:div w:id="1170952192">
      <w:bodyDiv w:val="1"/>
      <w:marLeft w:val="0"/>
      <w:marRight w:val="0"/>
      <w:marTop w:val="0"/>
      <w:marBottom w:val="0"/>
      <w:divBdr>
        <w:top w:val="none" w:sz="0" w:space="0" w:color="auto"/>
        <w:left w:val="none" w:sz="0" w:space="0" w:color="auto"/>
        <w:bottom w:val="none" w:sz="0" w:space="0" w:color="auto"/>
        <w:right w:val="none" w:sz="0" w:space="0" w:color="auto"/>
      </w:divBdr>
    </w:div>
    <w:div w:id="1296789521">
      <w:bodyDiv w:val="1"/>
      <w:marLeft w:val="0"/>
      <w:marRight w:val="0"/>
      <w:marTop w:val="0"/>
      <w:marBottom w:val="0"/>
      <w:divBdr>
        <w:top w:val="none" w:sz="0" w:space="0" w:color="auto"/>
        <w:left w:val="none" w:sz="0" w:space="0" w:color="auto"/>
        <w:bottom w:val="none" w:sz="0" w:space="0" w:color="auto"/>
        <w:right w:val="none" w:sz="0" w:space="0" w:color="auto"/>
      </w:divBdr>
      <w:divsChild>
        <w:div w:id="67924909">
          <w:marLeft w:val="0"/>
          <w:marRight w:val="0"/>
          <w:marTop w:val="0"/>
          <w:marBottom w:val="0"/>
          <w:divBdr>
            <w:top w:val="none" w:sz="0" w:space="0" w:color="auto"/>
            <w:left w:val="none" w:sz="0" w:space="0" w:color="auto"/>
            <w:bottom w:val="none" w:sz="0" w:space="0" w:color="auto"/>
            <w:right w:val="none" w:sz="0" w:space="0" w:color="auto"/>
          </w:divBdr>
        </w:div>
      </w:divsChild>
    </w:div>
    <w:div w:id="1297488065">
      <w:bodyDiv w:val="1"/>
      <w:marLeft w:val="0"/>
      <w:marRight w:val="0"/>
      <w:marTop w:val="0"/>
      <w:marBottom w:val="0"/>
      <w:divBdr>
        <w:top w:val="none" w:sz="0" w:space="0" w:color="auto"/>
        <w:left w:val="none" w:sz="0" w:space="0" w:color="auto"/>
        <w:bottom w:val="none" w:sz="0" w:space="0" w:color="auto"/>
        <w:right w:val="none" w:sz="0" w:space="0" w:color="auto"/>
      </w:divBdr>
    </w:div>
    <w:div w:id="1360348851">
      <w:bodyDiv w:val="1"/>
      <w:marLeft w:val="0"/>
      <w:marRight w:val="0"/>
      <w:marTop w:val="0"/>
      <w:marBottom w:val="0"/>
      <w:divBdr>
        <w:top w:val="none" w:sz="0" w:space="0" w:color="auto"/>
        <w:left w:val="none" w:sz="0" w:space="0" w:color="auto"/>
        <w:bottom w:val="none" w:sz="0" w:space="0" w:color="auto"/>
        <w:right w:val="none" w:sz="0" w:space="0" w:color="auto"/>
      </w:divBdr>
      <w:divsChild>
        <w:div w:id="438768261">
          <w:marLeft w:val="0"/>
          <w:marRight w:val="0"/>
          <w:marTop w:val="0"/>
          <w:marBottom w:val="0"/>
          <w:divBdr>
            <w:top w:val="none" w:sz="0" w:space="0" w:color="auto"/>
            <w:left w:val="none" w:sz="0" w:space="0" w:color="auto"/>
            <w:bottom w:val="none" w:sz="0" w:space="0" w:color="auto"/>
            <w:right w:val="none" w:sz="0" w:space="0" w:color="auto"/>
          </w:divBdr>
          <w:divsChild>
            <w:div w:id="1717778850">
              <w:marLeft w:val="0"/>
              <w:marRight w:val="0"/>
              <w:marTop w:val="0"/>
              <w:marBottom w:val="375"/>
              <w:divBdr>
                <w:top w:val="none" w:sz="0" w:space="0" w:color="auto"/>
                <w:left w:val="none" w:sz="0" w:space="0" w:color="auto"/>
                <w:bottom w:val="none" w:sz="0" w:space="0" w:color="auto"/>
                <w:right w:val="none" w:sz="0" w:space="0" w:color="auto"/>
              </w:divBdr>
            </w:div>
          </w:divsChild>
        </w:div>
        <w:div w:id="1203400417">
          <w:marLeft w:val="1200"/>
          <w:marRight w:val="0"/>
          <w:marTop w:val="0"/>
          <w:marBottom w:val="0"/>
          <w:divBdr>
            <w:top w:val="none" w:sz="0" w:space="0" w:color="auto"/>
            <w:left w:val="none" w:sz="0" w:space="0" w:color="auto"/>
            <w:bottom w:val="none" w:sz="0" w:space="0" w:color="auto"/>
            <w:right w:val="none" w:sz="0" w:space="0" w:color="auto"/>
          </w:divBdr>
          <w:divsChild>
            <w:div w:id="1139345954">
              <w:marLeft w:val="150"/>
              <w:marRight w:val="150"/>
              <w:marTop w:val="0"/>
              <w:marBottom w:val="0"/>
              <w:divBdr>
                <w:top w:val="none" w:sz="0" w:space="0" w:color="auto"/>
                <w:left w:val="none" w:sz="0" w:space="0" w:color="auto"/>
                <w:bottom w:val="none" w:sz="0" w:space="0" w:color="auto"/>
                <w:right w:val="none" w:sz="0" w:space="0" w:color="auto"/>
              </w:divBdr>
              <w:divsChild>
                <w:div w:id="1816794282">
                  <w:marLeft w:val="0"/>
                  <w:marRight w:val="0"/>
                  <w:marTop w:val="0"/>
                  <w:marBottom w:val="0"/>
                  <w:divBdr>
                    <w:top w:val="none" w:sz="0" w:space="0" w:color="auto"/>
                    <w:left w:val="none" w:sz="0" w:space="0" w:color="auto"/>
                    <w:bottom w:val="none" w:sz="0" w:space="0" w:color="auto"/>
                    <w:right w:val="none" w:sz="0" w:space="0" w:color="auto"/>
                  </w:divBdr>
                  <w:divsChild>
                    <w:div w:id="202982261">
                      <w:marLeft w:val="0"/>
                      <w:marRight w:val="0"/>
                      <w:marTop w:val="0"/>
                      <w:marBottom w:val="0"/>
                      <w:divBdr>
                        <w:top w:val="none" w:sz="0" w:space="0" w:color="auto"/>
                        <w:left w:val="none" w:sz="0" w:space="0" w:color="auto"/>
                        <w:bottom w:val="none" w:sz="0" w:space="0" w:color="auto"/>
                        <w:right w:val="none" w:sz="0" w:space="0" w:color="auto"/>
                      </w:divBdr>
                      <w:divsChild>
                        <w:div w:id="1362509878">
                          <w:marLeft w:val="0"/>
                          <w:marRight w:val="2250"/>
                          <w:marTop w:val="0"/>
                          <w:marBottom w:val="30"/>
                          <w:divBdr>
                            <w:top w:val="none" w:sz="0" w:space="0" w:color="auto"/>
                            <w:left w:val="none" w:sz="0" w:space="0" w:color="auto"/>
                            <w:bottom w:val="none" w:sz="0" w:space="0" w:color="auto"/>
                            <w:right w:val="none" w:sz="0" w:space="0" w:color="auto"/>
                          </w:divBdr>
                          <w:divsChild>
                            <w:div w:id="1939290512">
                              <w:marLeft w:val="0"/>
                              <w:marRight w:val="0"/>
                              <w:marTop w:val="0"/>
                              <w:marBottom w:val="0"/>
                              <w:divBdr>
                                <w:top w:val="none" w:sz="0" w:space="0" w:color="auto"/>
                                <w:left w:val="none" w:sz="0" w:space="0" w:color="auto"/>
                                <w:bottom w:val="none" w:sz="0" w:space="0" w:color="auto"/>
                                <w:right w:val="none" w:sz="0" w:space="0" w:color="auto"/>
                              </w:divBdr>
                            </w:div>
                          </w:divsChild>
                        </w:div>
                        <w:div w:id="17331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002423">
      <w:bodyDiv w:val="1"/>
      <w:marLeft w:val="0"/>
      <w:marRight w:val="0"/>
      <w:marTop w:val="0"/>
      <w:marBottom w:val="0"/>
      <w:divBdr>
        <w:top w:val="none" w:sz="0" w:space="0" w:color="auto"/>
        <w:left w:val="none" w:sz="0" w:space="0" w:color="auto"/>
        <w:bottom w:val="none" w:sz="0" w:space="0" w:color="auto"/>
        <w:right w:val="none" w:sz="0" w:space="0" w:color="auto"/>
      </w:divBdr>
    </w:div>
    <w:div w:id="1518083505">
      <w:bodyDiv w:val="1"/>
      <w:marLeft w:val="0"/>
      <w:marRight w:val="0"/>
      <w:marTop w:val="0"/>
      <w:marBottom w:val="0"/>
      <w:divBdr>
        <w:top w:val="none" w:sz="0" w:space="0" w:color="auto"/>
        <w:left w:val="none" w:sz="0" w:space="0" w:color="auto"/>
        <w:bottom w:val="none" w:sz="0" w:space="0" w:color="auto"/>
        <w:right w:val="none" w:sz="0" w:space="0" w:color="auto"/>
      </w:divBdr>
    </w:div>
    <w:div w:id="1593272418">
      <w:bodyDiv w:val="1"/>
      <w:marLeft w:val="0"/>
      <w:marRight w:val="0"/>
      <w:marTop w:val="0"/>
      <w:marBottom w:val="0"/>
      <w:divBdr>
        <w:top w:val="none" w:sz="0" w:space="0" w:color="auto"/>
        <w:left w:val="none" w:sz="0" w:space="0" w:color="auto"/>
        <w:bottom w:val="none" w:sz="0" w:space="0" w:color="auto"/>
        <w:right w:val="none" w:sz="0" w:space="0" w:color="auto"/>
      </w:divBdr>
    </w:div>
    <w:div w:id="1657686681">
      <w:bodyDiv w:val="1"/>
      <w:marLeft w:val="0"/>
      <w:marRight w:val="0"/>
      <w:marTop w:val="0"/>
      <w:marBottom w:val="0"/>
      <w:divBdr>
        <w:top w:val="none" w:sz="0" w:space="0" w:color="auto"/>
        <w:left w:val="none" w:sz="0" w:space="0" w:color="auto"/>
        <w:bottom w:val="none" w:sz="0" w:space="0" w:color="auto"/>
        <w:right w:val="none" w:sz="0" w:space="0" w:color="auto"/>
      </w:divBdr>
    </w:div>
    <w:div w:id="1715693764">
      <w:bodyDiv w:val="1"/>
      <w:marLeft w:val="0"/>
      <w:marRight w:val="0"/>
      <w:marTop w:val="0"/>
      <w:marBottom w:val="0"/>
      <w:divBdr>
        <w:top w:val="none" w:sz="0" w:space="0" w:color="auto"/>
        <w:left w:val="none" w:sz="0" w:space="0" w:color="auto"/>
        <w:bottom w:val="none" w:sz="0" w:space="0" w:color="auto"/>
        <w:right w:val="none" w:sz="0" w:space="0" w:color="auto"/>
      </w:divBdr>
    </w:div>
    <w:div w:id="1836918741">
      <w:bodyDiv w:val="1"/>
      <w:marLeft w:val="0"/>
      <w:marRight w:val="0"/>
      <w:marTop w:val="0"/>
      <w:marBottom w:val="0"/>
      <w:divBdr>
        <w:top w:val="none" w:sz="0" w:space="0" w:color="auto"/>
        <w:left w:val="none" w:sz="0" w:space="0" w:color="auto"/>
        <w:bottom w:val="none" w:sz="0" w:space="0" w:color="auto"/>
        <w:right w:val="none" w:sz="0" w:space="0" w:color="auto"/>
      </w:divBdr>
    </w:div>
    <w:div w:id="1948926541">
      <w:bodyDiv w:val="1"/>
      <w:marLeft w:val="0"/>
      <w:marRight w:val="0"/>
      <w:marTop w:val="0"/>
      <w:marBottom w:val="0"/>
      <w:divBdr>
        <w:top w:val="none" w:sz="0" w:space="0" w:color="auto"/>
        <w:left w:val="none" w:sz="0" w:space="0" w:color="auto"/>
        <w:bottom w:val="none" w:sz="0" w:space="0" w:color="auto"/>
        <w:right w:val="none" w:sz="0" w:space="0" w:color="auto"/>
      </w:divBdr>
    </w:div>
    <w:div w:id="1993368629">
      <w:bodyDiv w:val="1"/>
      <w:marLeft w:val="0"/>
      <w:marRight w:val="0"/>
      <w:marTop w:val="0"/>
      <w:marBottom w:val="0"/>
      <w:divBdr>
        <w:top w:val="none" w:sz="0" w:space="0" w:color="auto"/>
        <w:left w:val="none" w:sz="0" w:space="0" w:color="auto"/>
        <w:bottom w:val="none" w:sz="0" w:space="0" w:color="auto"/>
        <w:right w:val="none" w:sz="0" w:space="0" w:color="auto"/>
      </w:divBdr>
    </w:div>
    <w:div w:id="2021227342">
      <w:bodyDiv w:val="1"/>
      <w:marLeft w:val="0"/>
      <w:marRight w:val="0"/>
      <w:marTop w:val="0"/>
      <w:marBottom w:val="0"/>
      <w:divBdr>
        <w:top w:val="none" w:sz="0" w:space="0" w:color="auto"/>
        <w:left w:val="none" w:sz="0" w:space="0" w:color="auto"/>
        <w:bottom w:val="none" w:sz="0" w:space="0" w:color="auto"/>
        <w:right w:val="none" w:sz="0" w:space="0" w:color="auto"/>
      </w:divBdr>
    </w:div>
    <w:div w:id="2054958248">
      <w:bodyDiv w:val="1"/>
      <w:marLeft w:val="0"/>
      <w:marRight w:val="0"/>
      <w:marTop w:val="0"/>
      <w:marBottom w:val="0"/>
      <w:divBdr>
        <w:top w:val="none" w:sz="0" w:space="0" w:color="auto"/>
        <w:left w:val="none" w:sz="0" w:space="0" w:color="auto"/>
        <w:bottom w:val="none" w:sz="0" w:space="0" w:color="auto"/>
        <w:right w:val="none" w:sz="0" w:space="0" w:color="auto"/>
      </w:divBdr>
      <w:divsChild>
        <w:div w:id="987785426">
          <w:marLeft w:val="0"/>
          <w:marRight w:val="0"/>
          <w:marTop w:val="0"/>
          <w:marBottom w:val="0"/>
          <w:divBdr>
            <w:top w:val="none" w:sz="0" w:space="0" w:color="auto"/>
            <w:left w:val="none" w:sz="0" w:space="0" w:color="auto"/>
            <w:bottom w:val="none" w:sz="0" w:space="0" w:color="auto"/>
            <w:right w:val="none" w:sz="0" w:space="0" w:color="auto"/>
          </w:divBdr>
        </w:div>
      </w:divsChild>
    </w:div>
    <w:div w:id="2121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customXml" Target="../customXml/item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mailto:vicki.stylianou@publicaccountants.org.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sef@treasury.gov.au?subject="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2017MG-93-24382</_dlc_DocId>
    <TaxCatchAll xmlns="d4dd4adf-ddb3-46a3-8d7c-fab3fb2a6bc7">
      <Value>7</Value>
    </TaxCatchAll>
    <_dlc_DocIdUrl xmlns="d4dd4adf-ddb3-46a3-8d7c-fab3fb2a6bc7">
      <Url>http://tweb/sites/mg/fsd/_layouts/15/DocIdRedir.aspx?ID=2017MG-93-24382</Url>
      <Description>2017MG-93-24382</Description>
    </_dlc_DocIdUrl>
    <IconOverlay xmlns="http://schemas.microsoft.com/sharepoint/v4" xsi:nil="true"/>
  </documentManagement>
</p:properties>
</file>

<file path=customXml/itemProps1.xml><?xml version="1.0" encoding="utf-8"?>
<ds:datastoreItem xmlns:ds="http://schemas.openxmlformats.org/officeDocument/2006/customXml" ds:itemID="{DC0172BA-11BE-43DA-BC21-B7907D5BF132}"/>
</file>

<file path=customXml/itemProps2.xml><?xml version="1.0" encoding="utf-8"?>
<ds:datastoreItem xmlns:ds="http://schemas.openxmlformats.org/officeDocument/2006/customXml" ds:itemID="{CBFC1304-2A8C-4940-A216-E402D987DBFA}"/>
</file>

<file path=customXml/itemProps3.xml><?xml version="1.0" encoding="utf-8"?>
<ds:datastoreItem xmlns:ds="http://schemas.openxmlformats.org/officeDocument/2006/customXml" ds:itemID="{D15E1D7D-CBB7-4484-BE64-719AFB8F2B57}"/>
</file>

<file path=customXml/itemProps4.xml><?xml version="1.0" encoding="utf-8"?>
<ds:datastoreItem xmlns:ds="http://schemas.openxmlformats.org/officeDocument/2006/customXml" ds:itemID="{C1F64F43-9FD0-44A7-B369-3CF3BF1ABD28}"/>
</file>

<file path=customXml/itemProps5.xml><?xml version="1.0" encoding="utf-8"?>
<ds:datastoreItem xmlns:ds="http://schemas.openxmlformats.org/officeDocument/2006/customXml" ds:itemID="{AFB661E1-AA7F-4182-BE56-4CE0068779CF}"/>
</file>

<file path=customXml/itemProps6.xml><?xml version="1.0" encoding="utf-8"?>
<ds:datastoreItem xmlns:ds="http://schemas.openxmlformats.org/officeDocument/2006/customXml" ds:itemID="{C533D5E6-CF2C-4FD5-BB04-97764442CB8E}"/>
</file>

<file path=docProps/app.xml><?xml version="1.0" encoding="utf-8"?>
<Properties xmlns="http://schemas.openxmlformats.org/officeDocument/2006/extended-properties" xmlns:vt="http://schemas.openxmlformats.org/officeDocument/2006/docPropsVTypes">
  <Template>Normal</Template>
  <TotalTime>108</TotalTime>
  <Pages>13</Pages>
  <Words>3817</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25525</CharactersWithSpaces>
  <SharedDoc>false</SharedDoc>
  <HLinks>
    <vt:vector size="30" baseType="variant">
      <vt:variant>
        <vt:i4>1966091</vt:i4>
      </vt:variant>
      <vt:variant>
        <vt:i4>0</vt:i4>
      </vt:variant>
      <vt:variant>
        <vt:i4>0</vt:i4>
      </vt:variant>
      <vt:variant>
        <vt:i4>5</vt:i4>
      </vt:variant>
      <vt:variant>
        <vt:lpwstr>mailto:natoffice@publicaccountants.org.au</vt:lpwstr>
      </vt:variant>
      <vt:variant>
        <vt:lpwstr/>
      </vt:variant>
      <vt:variant>
        <vt:i4>1703956</vt:i4>
      </vt:variant>
      <vt:variant>
        <vt:i4>7332</vt:i4>
      </vt:variant>
      <vt:variant>
        <vt:i4>1025</vt:i4>
      </vt:variant>
      <vt:variant>
        <vt:i4>1</vt:i4>
      </vt:variant>
      <vt:variant>
        <vt:lpwstr>wedgie dot point</vt:lpwstr>
      </vt:variant>
      <vt:variant>
        <vt:lpwstr/>
      </vt:variant>
      <vt:variant>
        <vt:i4>3932220</vt:i4>
      </vt:variant>
      <vt:variant>
        <vt:i4>-1</vt:i4>
      </vt:variant>
      <vt:variant>
        <vt:i4>1033</vt:i4>
      </vt:variant>
      <vt:variant>
        <vt:i4>1</vt:i4>
      </vt:variant>
      <vt:variant>
        <vt:lpwstr>NO099_Submission 01B front v2</vt:lpwstr>
      </vt:variant>
      <vt:variant>
        <vt:lpwstr/>
      </vt:variant>
      <vt:variant>
        <vt:i4>3997729</vt:i4>
      </vt:variant>
      <vt:variant>
        <vt:i4>-1</vt:i4>
      </vt:variant>
      <vt:variant>
        <vt:i4>1034</vt:i4>
      </vt:variant>
      <vt:variant>
        <vt:i4>1</vt:i4>
      </vt:variant>
      <vt:variant>
        <vt:lpwstr>NO023_IPACrestfull_wTAG_PMS</vt:lpwstr>
      </vt:variant>
      <vt:variant>
        <vt:lpwstr/>
      </vt:variant>
      <vt:variant>
        <vt:i4>3145799</vt:i4>
      </vt:variant>
      <vt:variant>
        <vt:i4>-1</vt:i4>
      </vt:variant>
      <vt:variant>
        <vt:i4>2056</vt:i4>
      </vt:variant>
      <vt:variant>
        <vt:i4>1</vt:i4>
      </vt:variant>
      <vt:variant>
        <vt:lpwstr>NO023_IPACrestfull_2011-Feb_300dpi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marketing.coord</dc:creator>
  <cp:lastModifiedBy>Vicki Stylianou</cp:lastModifiedBy>
  <cp:revision>8</cp:revision>
  <cp:lastPrinted>2017-06-05T02:37:00Z</cp:lastPrinted>
  <dcterms:created xsi:type="dcterms:W3CDTF">2017-06-06T03:37:00Z</dcterms:created>
  <dcterms:modified xsi:type="dcterms:W3CDTF">2017-06-06T05:21:00Z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3490b080-1175-4a45-945f-a89fa8565fa6</vt:lpwstr>
  </property>
</Properties>
</file>