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ED10A7" w:rsidP="00FB2175">
      <w:pPr>
        <w:pStyle w:val="Title"/>
        <w:jc w:val="both"/>
        <w:rPr>
          <w:b/>
          <w:color w:val="auto"/>
        </w:rPr>
      </w:pPr>
      <w:r>
        <w:rPr>
          <w:rFonts w:cs="Tahoma"/>
          <w:noProof/>
          <w:color w:val="0000FF"/>
          <w:sz w:val="60"/>
          <w:szCs w:val="60"/>
          <w:lang w:eastAsia="en-AU"/>
        </w:rPr>
        <w:drawing>
          <wp:anchor distT="0" distB="0" distL="114300" distR="114300" simplePos="0" relativeHeight="251659264" behindDoc="0" locked="0" layoutInCell="1" allowOverlap="1" wp14:anchorId="22A11510" wp14:editId="18B1C694">
            <wp:simplePos x="0" y="0"/>
            <wp:positionH relativeFrom="column">
              <wp:posOffset>-419418</wp:posOffset>
            </wp:positionH>
            <wp:positionV relativeFrom="paragraph">
              <wp:posOffset>-468947</wp:posOffset>
            </wp:positionV>
            <wp:extent cx="1363915" cy="866775"/>
            <wp:effectExtent l="0" t="0" r="825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4914" cy="867410"/>
                    </a:xfrm>
                    <a:prstGeom prst="rect">
                      <a:avLst/>
                    </a:prstGeom>
                    <a:noFill/>
                  </pic:spPr>
                </pic:pic>
              </a:graphicData>
            </a:graphic>
            <wp14:sizeRelH relativeFrom="page">
              <wp14:pctWidth>0</wp14:pctWidth>
            </wp14:sizeRelH>
            <wp14:sizeRelV relativeFrom="page">
              <wp14:pctHeight>0</wp14:pctHeight>
            </wp14:sizeRelV>
          </wp:anchor>
        </w:drawing>
      </w:r>
      <w:r>
        <w:rPr>
          <w:rFonts w:cs="Tahoma"/>
          <w:noProof/>
          <w:color w:val="0000FF"/>
          <w:sz w:val="60"/>
          <w:szCs w:val="60"/>
          <w:lang w:eastAsia="en-AU"/>
        </w:rPr>
        <mc:AlternateContent>
          <mc:Choice Requires="wps">
            <w:drawing>
              <wp:anchor distT="0" distB="0" distL="114300" distR="114300" simplePos="0" relativeHeight="251660288" behindDoc="1" locked="0" layoutInCell="1" allowOverlap="1" wp14:anchorId="771BE558" wp14:editId="043A490C">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 xmlns:a="http://schemas.openxmlformats.org/drawingml/2006/main">
                  <a:graphicData uri="http://schemas.microsoft.com/office/word/2010/wordprocessingShape">
                    <wps:wsp>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26" style="position:absolute;margin-left:-34.9pt;margin-top:-53.8pt;width:110.25pt;height:7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93AQMAAHgGAAAOAAAAZHJzL2Uyb0RvYy54bWysVVtP2zAUfp+0/2D5faQtBUZFiipQp0ls&#10;IGDi2XWcxpJjZ7Z726/f50tCxdAepvXBtc/9fOeSq+t9q8hWWCeNLun4ZESJ0NxUUq9L+uN5+ekz&#10;Jc4zXTFltCjpQTh6Pf/44WrXzcTENEZVwhIY0W6260raeN/NisLxRrTMnZhOaDBrY1vm8bTrorJs&#10;B+utKiaj0XmxM7bqrOHCOVBvE5POo/26Ftzf17UTnqiSIjYfTxvPVTiL+RWbrS3rGslzGOwfomiZ&#10;1HA6mLplnpGNlX+YaiW3xpnan3DTFqauJRcxB2QzHr3J5qlhnYi5ABzXDTC5/2eWf98+WCKrkp6i&#10;Upq1qNEjUGN6rQQBDQDtOjeD3FP3YPPL4Rqy3de2Df/Ig+wjqIcBVLH3hIM4no5G44szSjh4l6en&#10;07NRhL14Ve+s81+EaUm4lNTCfwSTbe+ch0uI9iIZ42oplSK1kmgZjcaixBr/In0TIYPTVAwH/ajh&#10;SGeAGkKB80Bxdr26UZZsWWgM/JbLkCo8rd2xRpY+uEEYzVeZ3TPSo0Qx58FIFrJltWm/mSoZvkCu&#10;ucdARicm8qQnw52LpgfPMYActZKaoA7I5hytHiwRx5kSKNY4Na6XSoRq5cgti7iE+JUOpzYBp8QN&#10;lCKUMhUv3vxBiST9KGp0Aco1SfCE+RNDzoxzoX0C1TWsEimPkEZfyzixQSOmojQMBss1/A+2s4H3&#10;bacos3xQFXF8B+Vcib8pDxrRs9F+UG6lNva9zBSyyp6TfA9SgiagtDLVATOCBgu9TVzHlxJ9eofa&#10;PzCLbQEiNqC/x1ErsyupyTdKGmN/vUcP8hhicCnZYfuU1P3cMIs+Vl81GvVyPJ2GdRUf07OLCR72&#10;mLM65uhNe2PQx+MYXbwGea/6a21N+4JFuQhewWKaw3dJubf948anrYhVy8ViEcWwojrm7/RTx/uR&#10;CnP4vH9htsvD6jEI302/qdjszcwm2VAPbRYbb2oZm/UV14w31ltsnLyKw/48fkep1w/G/DcAAAD/&#10;/wMAUEsDBBQABgAIAAAAIQDfA6OY4QAAAA0BAAAPAAAAZHJzL2Rvd25yZXYueG1sTI/BTsMwEETv&#10;SPyDtUhcUGs3QEpDnApVcESiASGObrJNIux1FLtJ+Hu2J7jNakYzb/Pt7KwYcQidJw2rpQKBVPm6&#10;o0bDx/vL4gFEiIZqYz2hhh8MsC0uL3KT1X6iPY5lbASXUMiMhjbGPpMyVC06E5a+R2Lv6AdnIp9D&#10;I+vBTFzurEyUSqUzHfFCa3rctVh9lyenYdxM+Pxpv272cvdW2jk52tdJan19NT89gog4x78wnPEZ&#10;HQpmOvgT1UFYDYt0w+iRxUqtUxDnyL1agziwuE2TO5BFLv9/UfwCAAD//wMAUEsBAi0AFAAGAAgA&#10;AAAhALaDOJL+AAAA4QEAABMAAAAAAAAAAAAAAAAAAAAAAFtDb250ZW50X1R5cGVzXS54bWxQSwEC&#10;LQAUAAYACAAAACEAOP0h/9YAAACUAQAACwAAAAAAAAAAAAAAAAAvAQAAX3JlbHMvLnJlbHNQSwEC&#10;LQAUAAYACAAAACEA2apfdwEDAAB4BgAADgAAAAAAAAAAAAAAAAAuAgAAZHJzL2Uyb0RvYy54bWxQ&#10;SwECLQAUAAYACAAAACEA3wOjmOEAAAANAQAADwAAAAAAAAAAAAAAAABbBQAAZHJzL2Rvd25yZXYu&#10;eG1sUEsFBgAAAAAEAAQA8wAAAGkGAAAAAA==&#10;" fillcolor="#404040" stroked="f" strokeweight="2pt">
                <v:fill color2="blue" rotate="t" angle="180" colors="0 #404040;26214f blue" focus="100%" type="gradient"/>
              </v:rect>
            </w:pict>
          </mc:Fallback>
        </mc:AlternateContent>
      </w:r>
    </w:p>
    <w:p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rsidR="00E03CF2" w:rsidRPr="00965416" w:rsidRDefault="00E03CF2"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r w:rsidRPr="00965416">
        <w:rPr>
          <w:rFonts w:ascii="Tahoma" w:hAnsi="Tahoma" w:cs="Tahoma"/>
          <w:color w:val="0000FF"/>
          <w:sz w:val="60"/>
          <w:szCs w:val="60"/>
          <w14:textOutline w14:w="9525" w14:cap="rnd" w14:cmpd="sng" w14:algn="ctr">
            <w14:noFill/>
            <w14:prstDash w14:val="solid"/>
            <w14:bevel/>
          </w14:textOutline>
        </w:rPr>
        <w:t>JOINT ECONOMIC FOREC</w:t>
      </w:r>
      <w:bookmarkStart w:id="0" w:name="_GoBack"/>
      <w:r w:rsidRPr="00965416">
        <w:rPr>
          <w:rFonts w:ascii="Tahoma" w:hAnsi="Tahoma" w:cs="Tahoma"/>
          <w:color w:val="0000FF"/>
          <w:sz w:val="60"/>
          <w:szCs w:val="60"/>
          <w14:textOutline w14:w="9525" w14:cap="rnd" w14:cmpd="sng" w14:algn="ctr">
            <w14:noFill/>
            <w14:prstDash w14:val="solid"/>
            <w14:bevel/>
          </w14:textOutline>
        </w:rPr>
        <w:t>A</w:t>
      </w:r>
      <w:bookmarkEnd w:id="0"/>
      <w:r w:rsidRPr="00965416">
        <w:rPr>
          <w:rFonts w:ascii="Tahoma" w:hAnsi="Tahoma" w:cs="Tahoma"/>
          <w:color w:val="0000FF"/>
          <w:sz w:val="60"/>
          <w:szCs w:val="60"/>
          <w14:textOutline w14:w="9525" w14:cap="rnd" w14:cmpd="sng" w14:algn="ctr">
            <w14:noFill/>
            <w14:prstDash w14:val="solid"/>
            <w14:bevel/>
          </w14:textOutline>
        </w:rPr>
        <w:t>STING GROUP REPORT</w:t>
      </w:r>
    </w:p>
    <w:p w:rsidR="00E03CF2" w:rsidRPr="00965416" w:rsidRDefault="00E03CF2" w:rsidP="00ED10A7">
      <w:pPr>
        <w:ind w:left="2127"/>
        <w:jc w:val="right"/>
        <w:rPr>
          <w:rFonts w:asciiTheme="minorHAnsi" w:hAnsiTheme="minorHAnsi" w:cs="Arial"/>
          <w:b/>
          <w:color w:val="0000FF"/>
          <w:sz w:val="22"/>
          <w:szCs w:val="22"/>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965416" w:rsidRPr="00965416" w:rsidRDefault="00F66A9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E</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CONOMIC OUTLOOK FOR </w:t>
      </w:r>
      <w:r w:rsidR="00965416">
        <w:rPr>
          <w:rFonts w:asciiTheme="minorHAnsi" w:hAnsiTheme="minorHAnsi" w:cs="Arial"/>
          <w:color w:val="0000FF"/>
          <w:sz w:val="40"/>
          <w:szCs w:val="40"/>
          <w14:textOutline w14:w="9525" w14:cap="rnd" w14:cmpd="sng" w14:algn="ctr">
            <w14:noFill/>
            <w14:prstDash w14:val="solid"/>
            <w14:bevel/>
          </w14:textOutline>
        </w:rPr>
        <w:br/>
      </w:r>
      <w:r w:rsidR="0058011F">
        <w:rPr>
          <w:rFonts w:asciiTheme="minorHAnsi" w:hAnsiTheme="minorHAnsi" w:cs="Arial"/>
          <w:color w:val="0000FF"/>
          <w:sz w:val="40"/>
          <w:szCs w:val="40"/>
          <w14:textOutline w14:w="9525" w14:cap="rnd" w14:cmpd="sng" w14:algn="ctr">
            <w14:noFill/>
            <w14:prstDash w14:val="solid"/>
            <w14:bevel/>
          </w14:textOutline>
        </w:rPr>
        <w:t>2013-14,</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 2014-15</w:t>
      </w:r>
      <w:r w:rsidR="0058011F">
        <w:rPr>
          <w:rFonts w:asciiTheme="minorHAnsi" w:hAnsiTheme="minorHAnsi" w:cs="Arial"/>
          <w:color w:val="0000FF"/>
          <w:sz w:val="40"/>
          <w:szCs w:val="40"/>
          <w14:textOutline w14:w="9525" w14:cap="rnd" w14:cmpd="sng" w14:algn="ctr">
            <w14:noFill/>
            <w14:prstDash w14:val="solid"/>
            <w14:bevel/>
          </w14:textOutline>
        </w:rPr>
        <w:t xml:space="preserve"> and 2015-16</w:t>
      </w:r>
    </w:p>
    <w:p w:rsidR="00965416" w:rsidRPr="00965416" w:rsidRDefault="00927C31"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March</w:t>
      </w:r>
      <w:r w:rsidR="0058011F">
        <w:rPr>
          <w:rFonts w:asciiTheme="minorHAnsi" w:hAnsiTheme="minorHAnsi" w:cs="Arial"/>
          <w:color w:val="0000FF"/>
          <w:sz w:val="40"/>
          <w:szCs w:val="40"/>
          <w14:textOutline w14:w="9525" w14:cap="rnd" w14:cmpd="sng" w14:algn="ctr">
            <w14:noFill/>
            <w14:prstDash w14:val="solid"/>
            <w14:bevel/>
          </w14:textOutline>
        </w:rPr>
        <w:t xml:space="preserve"> 2014</w:t>
      </w: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404040" w:themeColor="text1" w:themeTint="BF"/>
          <w:sz w:val="28"/>
          <w:szCs w:val="28"/>
          <w14:textOutline w14:w="9525" w14:cap="rnd" w14:cmpd="sng" w14:algn="ctr">
            <w14:noFill/>
            <w14:prstDash w14:val="solid"/>
            <w14:bevel/>
          </w14:textOutline>
        </w:rPr>
      </w:pP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t xml:space="preserve">This report incorporates domestic and international data </w:t>
      </w: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br/>
        <w:t xml:space="preserve">released up to </w:t>
      </w:r>
      <w:r w:rsidR="00737B36">
        <w:rPr>
          <w:rFonts w:asciiTheme="minorHAnsi" w:hAnsiTheme="minorHAnsi" w:cs="Arial"/>
          <w:color w:val="404040" w:themeColor="text1" w:themeTint="BF"/>
          <w:sz w:val="28"/>
          <w:szCs w:val="28"/>
          <w14:textOutline w14:w="9525" w14:cap="rnd" w14:cmpd="sng" w14:algn="ctr">
            <w14:noFill/>
            <w14:prstDash w14:val="solid"/>
            <w14:bevel/>
          </w14:textOutline>
        </w:rPr>
        <w:t>10</w:t>
      </w:r>
      <w:r w:rsidR="0058011F">
        <w:rPr>
          <w:rFonts w:asciiTheme="minorHAnsi" w:hAnsiTheme="minorHAnsi" w:cs="Arial"/>
          <w:color w:val="404040" w:themeColor="text1" w:themeTint="BF"/>
          <w:sz w:val="28"/>
          <w:szCs w:val="28"/>
          <w14:textOutline w14:w="9525" w14:cap="rnd" w14:cmpd="sng" w14:algn="ctr">
            <w14:noFill/>
            <w14:prstDash w14:val="solid"/>
            <w14:bevel/>
          </w14:textOutline>
        </w:rPr>
        <w:t xml:space="preserve"> </w:t>
      </w:r>
      <w:r w:rsidR="00DA11C0">
        <w:rPr>
          <w:rFonts w:asciiTheme="minorHAnsi" w:hAnsiTheme="minorHAnsi" w:cs="Arial"/>
          <w:color w:val="404040" w:themeColor="text1" w:themeTint="BF"/>
          <w:sz w:val="28"/>
          <w:szCs w:val="28"/>
          <w14:textOutline w14:w="9525" w14:cap="rnd" w14:cmpd="sng" w14:algn="ctr">
            <w14:noFill/>
            <w14:prstDash w14:val="solid"/>
            <w14:bevel/>
          </w14:textOutline>
        </w:rPr>
        <w:t xml:space="preserve">April </w:t>
      </w:r>
      <w:r w:rsidR="0058011F">
        <w:rPr>
          <w:rFonts w:asciiTheme="minorHAnsi" w:hAnsiTheme="minorHAnsi" w:cs="Arial"/>
          <w:color w:val="404040" w:themeColor="text1" w:themeTint="BF"/>
          <w:sz w:val="28"/>
          <w:szCs w:val="28"/>
          <w14:textOutline w14:w="9525" w14:cap="rnd" w14:cmpd="sng" w14:algn="ctr">
            <w14:noFill/>
            <w14:prstDash w14:val="solid"/>
            <w14:bevel/>
          </w14:textOutline>
        </w:rPr>
        <w:t>2014</w:t>
      </w:r>
    </w:p>
    <w:p w:rsidR="00E03CF2" w:rsidRPr="00E03CF2" w:rsidRDefault="00E03CF2" w:rsidP="00E03CF2">
      <w:pPr>
        <w:rPr>
          <w:highlight w:val="yellow"/>
        </w:rPr>
        <w:sectPr w:rsidR="00E03CF2" w:rsidRPr="00E03CF2" w:rsidSect="00965416">
          <w:headerReference w:type="default" r:id="rId10"/>
          <w:footerReference w:type="even" r:id="rId11"/>
          <w:footerReference w:type="default" r:id="rId12"/>
          <w:pgSz w:w="11907" w:h="16840" w:code="9"/>
          <w:pgMar w:top="1961" w:right="1418" w:bottom="1276" w:left="1418" w:header="567" w:footer="567"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242"/>
      </w:tblGrid>
      <w:tr w:rsidR="00851710" w:rsidRPr="00587BCC" w:rsidTr="00851710">
        <w:tc>
          <w:tcPr>
            <w:tcW w:w="9242" w:type="dxa"/>
            <w:shd w:val="pct10" w:color="auto" w:fill="auto"/>
          </w:tcPr>
          <w:p w:rsidR="00F07B76" w:rsidRPr="00926CCD" w:rsidRDefault="00851710" w:rsidP="00F07B76">
            <w:pPr>
              <w:pStyle w:val="IntenseQuote"/>
              <w:spacing w:after="0"/>
              <w:ind w:left="0"/>
              <w:rPr>
                <w:i w:val="0"/>
                <w:color w:val="0000FF"/>
                <w:sz w:val="28"/>
                <w:szCs w:val="28"/>
              </w:rPr>
            </w:pPr>
            <w:bookmarkStart w:id="1" w:name="_Toc336420544"/>
            <w:bookmarkStart w:id="2" w:name="_Toc361746136"/>
            <w:bookmarkStart w:id="3" w:name="_Toc90977883"/>
            <w:bookmarkStart w:id="4" w:name="_Toc185498655"/>
            <w:r w:rsidRPr="00926CCD">
              <w:rPr>
                <w:i w:val="0"/>
                <w:color w:val="0000FF"/>
                <w:sz w:val="28"/>
                <w:szCs w:val="28"/>
              </w:rPr>
              <w:lastRenderedPageBreak/>
              <w:t>EXECUTIVE SUMMARY</w:t>
            </w:r>
          </w:p>
          <w:p w:rsidR="00F2772F" w:rsidRPr="00F31251" w:rsidRDefault="00F2772F" w:rsidP="00F2772F">
            <w:pPr>
              <w:pStyle w:val="Bullet"/>
              <w:numPr>
                <w:ilvl w:val="0"/>
                <w:numId w:val="0"/>
              </w:numPr>
              <w:spacing w:before="120"/>
              <w:rPr>
                <w:rFonts w:asciiTheme="minorHAnsi" w:hAnsiTheme="minorHAnsi"/>
                <w:i/>
              </w:rPr>
            </w:pPr>
            <w:r w:rsidRPr="00F31251">
              <w:rPr>
                <w:rFonts w:asciiTheme="minorHAnsi" w:hAnsiTheme="minorHAnsi"/>
                <w:i/>
              </w:rPr>
              <w:t xml:space="preserve">The transition away from resources-investment led growth </w:t>
            </w:r>
            <w:r>
              <w:rPr>
                <w:rFonts w:asciiTheme="minorHAnsi" w:hAnsiTheme="minorHAnsi"/>
                <w:i/>
              </w:rPr>
              <w:t>has started,</w:t>
            </w:r>
            <w:r w:rsidRPr="00F31251">
              <w:rPr>
                <w:rFonts w:asciiTheme="minorHAnsi" w:hAnsiTheme="minorHAnsi"/>
                <w:i/>
              </w:rPr>
              <w:t xml:space="preserve"> with strong growth in resources exports and an increase in household sector expenditure. However, capital expenditure intentions in the non-resources business sector remain</w:t>
            </w:r>
            <w:r>
              <w:rPr>
                <w:rFonts w:asciiTheme="minorHAnsi" w:hAnsiTheme="minorHAnsi"/>
                <w:i/>
              </w:rPr>
              <w:t xml:space="preserve"> weak</w:t>
            </w:r>
            <w:r w:rsidRPr="00F31251">
              <w:rPr>
                <w:rFonts w:asciiTheme="minorHAnsi" w:hAnsiTheme="minorHAnsi"/>
                <w:i/>
              </w:rPr>
              <w:t xml:space="preserve">, and a soft labour market and uncertain job prospects continue to weigh on the outlook. </w:t>
            </w:r>
          </w:p>
          <w:p w:rsidR="00F2772F" w:rsidRDefault="00F2772F" w:rsidP="00F2772F">
            <w:pPr>
              <w:pStyle w:val="Bullet"/>
              <w:numPr>
                <w:ilvl w:val="0"/>
                <w:numId w:val="0"/>
              </w:numPr>
              <w:spacing w:before="120"/>
              <w:rPr>
                <w:rFonts w:asciiTheme="minorHAnsi" w:hAnsiTheme="minorHAnsi"/>
                <w:i/>
              </w:rPr>
            </w:pPr>
            <w:r w:rsidRPr="00F31251">
              <w:rPr>
                <w:rFonts w:asciiTheme="minorHAnsi" w:hAnsiTheme="minorHAnsi"/>
                <w:i/>
              </w:rPr>
              <w:t>Compared with the December report, forecast real GDP growth in 2013-14 has been revised higher to 2¾</w:t>
            </w:r>
            <w:r>
              <w:rPr>
                <w:rFonts w:asciiTheme="minorHAnsi" w:hAnsiTheme="minorHAnsi"/>
                <w:i/>
              </w:rPr>
              <w:t> </w:t>
            </w:r>
            <w:r w:rsidRPr="00F31251">
              <w:rPr>
                <w:rFonts w:asciiTheme="minorHAnsi" w:hAnsiTheme="minorHAnsi"/>
                <w:i/>
              </w:rPr>
              <w:t>per</w:t>
            </w:r>
            <w:r>
              <w:rPr>
                <w:rFonts w:asciiTheme="minorHAnsi" w:hAnsiTheme="minorHAnsi"/>
                <w:i/>
              </w:rPr>
              <w:t> </w:t>
            </w:r>
            <w:r w:rsidRPr="00F31251">
              <w:rPr>
                <w:rFonts w:asciiTheme="minorHAnsi" w:hAnsiTheme="minorHAnsi"/>
                <w:i/>
              </w:rPr>
              <w:t xml:space="preserve">cent, from 2½ per cent previously, owing to stronger-than-expected </w:t>
            </w:r>
            <w:r>
              <w:rPr>
                <w:rFonts w:asciiTheme="minorHAnsi" w:hAnsiTheme="minorHAnsi"/>
                <w:i/>
              </w:rPr>
              <w:t>activity</w:t>
            </w:r>
            <w:r w:rsidRPr="00F31251">
              <w:rPr>
                <w:rFonts w:asciiTheme="minorHAnsi" w:hAnsiTheme="minorHAnsi"/>
                <w:i/>
              </w:rPr>
              <w:t xml:space="preserve"> in the household sector. Growth forecasts in 2014-15 and 2015-16 are unchanged at 2½ per cent and 3 per cent, but an improvement in non-resources business investment could generate an upside surprise</w:t>
            </w:r>
            <w:r w:rsidR="00AD6A9C">
              <w:rPr>
                <w:rFonts w:asciiTheme="minorHAnsi" w:hAnsiTheme="minorHAnsi"/>
                <w:i/>
              </w:rPr>
              <w:t>.</w:t>
            </w:r>
          </w:p>
          <w:p w:rsidR="00F2772F" w:rsidRDefault="00F2772F" w:rsidP="00F2772F">
            <w:pPr>
              <w:pStyle w:val="Bullet"/>
              <w:numPr>
                <w:ilvl w:val="0"/>
                <w:numId w:val="0"/>
              </w:numPr>
              <w:spacing w:before="120"/>
              <w:rPr>
                <w:rFonts w:asciiTheme="minorHAnsi" w:hAnsiTheme="minorHAnsi"/>
                <w:i/>
              </w:rPr>
            </w:pPr>
            <w:r>
              <w:rPr>
                <w:rFonts w:asciiTheme="minorHAnsi" w:hAnsiTheme="minorHAnsi"/>
                <w:i/>
              </w:rPr>
              <w:t xml:space="preserve">The economic outlook remains uncertain owing to the conflicting influences of a sharp fall in resources investment, a declining terms of trade and fiscal consolidation against the </w:t>
            </w:r>
            <w:r w:rsidR="009A7479">
              <w:rPr>
                <w:rFonts w:asciiTheme="minorHAnsi" w:hAnsiTheme="minorHAnsi"/>
                <w:i/>
              </w:rPr>
              <w:t xml:space="preserve">stimulus from </w:t>
            </w:r>
            <w:r>
              <w:rPr>
                <w:rFonts w:asciiTheme="minorHAnsi" w:hAnsiTheme="minorHAnsi"/>
                <w:i/>
              </w:rPr>
              <w:t xml:space="preserve">historically low interest rates and an exchange rate that has retreated from its highs of early 2013. The uncertain economic outlook is reflected in the divergent forecasts among the agencies </w:t>
            </w:r>
            <w:r w:rsidR="004B049D">
              <w:rPr>
                <w:rFonts w:asciiTheme="minorHAnsi" w:hAnsiTheme="minorHAnsi"/>
                <w:i/>
              </w:rPr>
              <w:t xml:space="preserve">and the private sector </w:t>
            </w:r>
            <w:r>
              <w:rPr>
                <w:rFonts w:asciiTheme="minorHAnsi" w:hAnsiTheme="minorHAnsi"/>
                <w:i/>
              </w:rPr>
              <w:t>(Table 1</w:t>
            </w:r>
            <w:r w:rsidR="00FC591B">
              <w:rPr>
                <w:rFonts w:asciiTheme="minorHAnsi" w:hAnsiTheme="minorHAnsi"/>
                <w:i/>
              </w:rPr>
              <w:t>, Appendix B</w:t>
            </w:r>
            <w:r>
              <w:rPr>
                <w:rFonts w:asciiTheme="minorHAnsi" w:hAnsiTheme="minorHAnsi"/>
                <w:i/>
              </w:rPr>
              <w:t>).</w:t>
            </w:r>
          </w:p>
          <w:p w:rsidR="00F2772F" w:rsidRDefault="00C31DC6" w:rsidP="00F2772F">
            <w:pPr>
              <w:pStyle w:val="Bullet"/>
              <w:numPr>
                <w:ilvl w:val="0"/>
                <w:numId w:val="0"/>
              </w:numPr>
              <w:spacing w:before="120"/>
              <w:rPr>
                <w:rFonts w:asciiTheme="minorHAnsi" w:hAnsiTheme="minorHAnsi"/>
                <w:i/>
              </w:rPr>
            </w:pPr>
            <w:r>
              <w:rPr>
                <w:rFonts w:asciiTheme="minorHAnsi" w:hAnsiTheme="minorHAnsi"/>
                <w:i/>
              </w:rPr>
              <w:t>Forecast</w:t>
            </w:r>
            <w:r w:rsidR="00F2772F">
              <w:rPr>
                <w:rFonts w:asciiTheme="minorHAnsi" w:hAnsiTheme="minorHAnsi"/>
                <w:i/>
              </w:rPr>
              <w:t xml:space="preserve"> nominal GDP growth </w:t>
            </w:r>
            <w:r>
              <w:rPr>
                <w:rFonts w:asciiTheme="minorHAnsi" w:hAnsiTheme="minorHAnsi"/>
                <w:i/>
              </w:rPr>
              <w:t xml:space="preserve">in 2013-14 </w:t>
            </w:r>
            <w:r w:rsidR="00F2772F">
              <w:rPr>
                <w:rFonts w:asciiTheme="minorHAnsi" w:hAnsiTheme="minorHAnsi"/>
                <w:i/>
              </w:rPr>
              <w:t>has been revised higher to 4 per cent, from 3½ per cent previously, largely on account of the stronger-than-expected outcome in the December quarter. However, key commodity prices have fallen sharply since the beginning of the year. The profile of weaker growth in 2014-15 and stronger growth in 2015-16 mirror</w:t>
            </w:r>
            <w:r w:rsidR="00835E5F">
              <w:rPr>
                <w:rFonts w:asciiTheme="minorHAnsi" w:hAnsiTheme="minorHAnsi"/>
                <w:i/>
              </w:rPr>
              <w:t>s</w:t>
            </w:r>
            <w:r w:rsidR="00F2772F">
              <w:rPr>
                <w:rFonts w:asciiTheme="minorHAnsi" w:hAnsiTheme="minorHAnsi"/>
                <w:i/>
              </w:rPr>
              <w:t xml:space="preserve"> changes to the forecast terms of trade. </w:t>
            </w:r>
          </w:p>
          <w:p w:rsidR="00F2772F" w:rsidRDefault="00F2772F" w:rsidP="00F2772F">
            <w:pPr>
              <w:pStyle w:val="Bullet"/>
              <w:numPr>
                <w:ilvl w:val="0"/>
                <w:numId w:val="0"/>
              </w:numPr>
              <w:spacing w:before="120"/>
              <w:rPr>
                <w:rFonts w:asciiTheme="minorHAnsi" w:hAnsiTheme="minorHAnsi"/>
                <w:i/>
              </w:rPr>
            </w:pPr>
            <w:r>
              <w:rPr>
                <w:rFonts w:asciiTheme="minorHAnsi" w:hAnsiTheme="minorHAnsi"/>
                <w:i/>
              </w:rPr>
              <w:t xml:space="preserve">Consistent with </w:t>
            </w:r>
            <w:r w:rsidR="007B7B1B">
              <w:rPr>
                <w:rFonts w:asciiTheme="minorHAnsi" w:hAnsiTheme="minorHAnsi"/>
                <w:i/>
              </w:rPr>
              <w:t xml:space="preserve">the December report, the global </w:t>
            </w:r>
            <w:r>
              <w:rPr>
                <w:rFonts w:asciiTheme="minorHAnsi" w:hAnsiTheme="minorHAnsi"/>
                <w:i/>
              </w:rPr>
              <w:t xml:space="preserve">economy is expected to gradually improve in 2014. </w:t>
            </w:r>
            <w:r w:rsidRPr="006E025B">
              <w:rPr>
                <w:rFonts w:asciiTheme="minorHAnsi" w:hAnsiTheme="minorHAnsi"/>
                <w:i/>
              </w:rPr>
              <w:t>Advanced econom</w:t>
            </w:r>
            <w:r w:rsidR="00BD7C76">
              <w:rPr>
                <w:rFonts w:asciiTheme="minorHAnsi" w:hAnsiTheme="minorHAnsi"/>
                <w:i/>
              </w:rPr>
              <w:t xml:space="preserve">ies are picking up, especially </w:t>
            </w:r>
            <w:r w:rsidRPr="006E025B">
              <w:rPr>
                <w:rFonts w:asciiTheme="minorHAnsi" w:hAnsiTheme="minorHAnsi"/>
                <w:i/>
              </w:rPr>
              <w:t xml:space="preserve">the United States and the United Kingdom, while growth in China remains solid. Emerging market economies have softened </w:t>
            </w:r>
            <w:r>
              <w:rPr>
                <w:rFonts w:asciiTheme="minorHAnsi" w:hAnsiTheme="minorHAnsi"/>
                <w:i/>
              </w:rPr>
              <w:t xml:space="preserve">of late </w:t>
            </w:r>
            <w:r w:rsidRPr="006E025B">
              <w:rPr>
                <w:rFonts w:asciiTheme="minorHAnsi" w:hAnsiTheme="minorHAnsi"/>
                <w:i/>
              </w:rPr>
              <w:t xml:space="preserve">in part due to tighter global financial conditions, but emerging Asia is expected to benefit from a pickup in activity in the advanced economies. </w:t>
            </w:r>
            <w:r w:rsidR="00BD7C76">
              <w:rPr>
                <w:rFonts w:asciiTheme="minorHAnsi" w:hAnsiTheme="minorHAnsi"/>
                <w:i/>
              </w:rPr>
              <w:t>The</w:t>
            </w:r>
            <w:r w:rsidRPr="006E025B">
              <w:rPr>
                <w:rFonts w:asciiTheme="minorHAnsi" w:hAnsiTheme="minorHAnsi"/>
                <w:i/>
              </w:rPr>
              <w:t xml:space="preserve"> risks are </w:t>
            </w:r>
            <w:r w:rsidR="00BD7C76">
              <w:rPr>
                <w:rFonts w:asciiTheme="minorHAnsi" w:hAnsiTheme="minorHAnsi"/>
                <w:i/>
              </w:rPr>
              <w:t>more balanced than previously</w:t>
            </w:r>
            <w:r w:rsidRPr="006E025B">
              <w:rPr>
                <w:rFonts w:asciiTheme="minorHAnsi" w:hAnsiTheme="minorHAnsi"/>
                <w:i/>
              </w:rPr>
              <w:t>, with developments in US monetary policy an ongoing influence on US and global prospects.</w:t>
            </w:r>
          </w:p>
          <w:p w:rsidR="00E2081F" w:rsidRPr="00587BCC" w:rsidRDefault="00E2081F" w:rsidP="00926CCD">
            <w:pPr>
              <w:spacing w:after="200" w:line="276" w:lineRule="auto"/>
              <w:jc w:val="left"/>
              <w:rPr>
                <w:rFonts w:asciiTheme="minorHAnsi" w:hAnsiTheme="minorHAnsi" w:cstheme="minorBidi"/>
                <w:i/>
              </w:rPr>
            </w:pPr>
            <w:r w:rsidRPr="00587BCC">
              <w:rPr>
                <w:rFonts w:asciiTheme="minorHAnsi" w:hAnsiTheme="minorHAnsi" w:cs="Tahoma"/>
                <w:b/>
                <w:kern w:val="2"/>
              </w:rPr>
              <w:t xml:space="preserve">Table 1: Key </w:t>
            </w:r>
            <w:r w:rsidR="00E71FBE" w:rsidRPr="00587BCC">
              <w:rPr>
                <w:rFonts w:asciiTheme="minorHAnsi" w:hAnsiTheme="minorHAnsi" w:cs="Tahoma"/>
                <w:b/>
                <w:kern w:val="2"/>
              </w:rPr>
              <w:t>d</w:t>
            </w:r>
            <w:r w:rsidRPr="00587BCC">
              <w:rPr>
                <w:rFonts w:asciiTheme="minorHAnsi" w:hAnsiTheme="minorHAnsi" w:cs="Tahoma"/>
                <w:b/>
                <w:kern w:val="2"/>
              </w:rPr>
              <w:t>omestic</w:t>
            </w:r>
            <w:r w:rsidR="00F5083C" w:rsidRPr="00587BCC">
              <w:rPr>
                <w:rFonts w:asciiTheme="minorHAnsi" w:hAnsiTheme="minorHAnsi" w:cs="Tahoma"/>
                <w:b/>
                <w:kern w:val="2"/>
              </w:rPr>
              <w:t xml:space="preserve"> and </w:t>
            </w:r>
            <w:r w:rsidR="00E71FBE" w:rsidRPr="00587BCC">
              <w:rPr>
                <w:rFonts w:asciiTheme="minorHAnsi" w:hAnsiTheme="minorHAnsi" w:cs="Tahoma"/>
                <w:b/>
                <w:kern w:val="2"/>
              </w:rPr>
              <w:t>i</w:t>
            </w:r>
            <w:r w:rsidR="00F5083C" w:rsidRPr="00587BCC">
              <w:rPr>
                <w:rFonts w:asciiTheme="minorHAnsi" w:hAnsiTheme="minorHAnsi" w:cs="Tahoma"/>
                <w:b/>
                <w:kern w:val="2"/>
              </w:rPr>
              <w:t>nternational</w:t>
            </w:r>
            <w:r w:rsidR="00E71FBE" w:rsidRPr="00587BCC">
              <w:rPr>
                <w:rFonts w:asciiTheme="minorHAnsi" w:hAnsiTheme="minorHAnsi" w:cs="Tahoma"/>
                <w:b/>
                <w:kern w:val="2"/>
              </w:rPr>
              <w:t xml:space="preserve"> f</w:t>
            </w:r>
            <w:r w:rsidRPr="00587BCC">
              <w:rPr>
                <w:rFonts w:asciiTheme="minorHAnsi" w:hAnsiTheme="minorHAnsi" w:cs="Tahoma"/>
                <w:b/>
                <w:kern w:val="2"/>
              </w:rPr>
              <w:t>orecasts</w:t>
            </w:r>
            <w:r w:rsidRPr="00587BCC">
              <w:rPr>
                <w:rFonts w:asciiTheme="minorHAnsi" w:hAnsiTheme="minorHAnsi" w:cs="Tahoma"/>
                <w:b/>
                <w:kern w:val="2"/>
                <w:vertAlign w:val="superscript"/>
              </w:rPr>
              <w:t>(a)</w:t>
            </w:r>
          </w:p>
          <w:p w:rsidR="00B05208" w:rsidRPr="00FC7708" w:rsidRDefault="00D23C1F" w:rsidP="00A47D35">
            <w:pPr>
              <w:pStyle w:val="TableGraphic0"/>
            </w:pPr>
            <w:r>
              <w:object w:dxaOrig="12529" w:dyaOrig="3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8pt;height:192.85pt" o:ole="">
                  <v:imagedata r:id="rId13" o:title=""/>
                </v:shape>
                <o:OLEObject Type="Link" ProgID="Excel.Sheet.12" ShapeID="_x0000_i1025" DrawAspect="Content" r:id="rId14" UpdateMode="Always">
                  <o:LinkType>EnhancedMetaFile</o:LinkType>
                  <o:LockedField>false</o:LockedField>
                </o:OLEObject>
              </w:object>
            </w:r>
          </w:p>
          <w:p w:rsidR="00F043B9" w:rsidRPr="00CE5199" w:rsidRDefault="00F043B9" w:rsidP="00B05208">
            <w:pPr>
              <w:pStyle w:val="ChartandTableFootnoteAlpha"/>
              <w:keepNext/>
              <w:keepLines/>
              <w:tabs>
                <w:tab w:val="clear" w:pos="283"/>
              </w:tabs>
              <w:spacing w:line="240" w:lineRule="auto"/>
              <w:ind w:left="0" w:firstLine="0"/>
              <w:jc w:val="left"/>
              <w:rPr>
                <w:rFonts w:asciiTheme="minorHAnsi" w:hAnsiTheme="minorHAnsi"/>
                <w:kern w:val="2"/>
                <w:szCs w:val="16"/>
              </w:rPr>
            </w:pPr>
            <w:r w:rsidRPr="00CE5199">
              <w:rPr>
                <w:rFonts w:asciiTheme="minorHAnsi" w:hAnsiTheme="minorHAnsi"/>
                <w:kern w:val="2"/>
                <w:szCs w:val="16"/>
              </w:rPr>
              <w:t>Note: Text in blue indicates a forecast upgrade, while red text indicates a forecast downgrade.</w:t>
            </w:r>
            <w:r w:rsidR="006209D7" w:rsidRPr="00CE5199">
              <w:rPr>
                <w:rFonts w:asciiTheme="minorHAnsi" w:hAnsiTheme="minorHAnsi"/>
                <w:kern w:val="2"/>
                <w:szCs w:val="16"/>
              </w:rPr>
              <w:t xml:space="preserve"> Forecasts for the domestic economy are based on the assumption of a trade weighted index of around </w:t>
            </w:r>
            <w:r w:rsidR="001F3598" w:rsidRPr="00CE5199">
              <w:rPr>
                <w:rFonts w:asciiTheme="minorHAnsi" w:hAnsiTheme="minorHAnsi"/>
                <w:kern w:val="2"/>
                <w:szCs w:val="16"/>
              </w:rPr>
              <w:t>69</w:t>
            </w:r>
            <w:r w:rsidR="006209D7" w:rsidRPr="00CE5199">
              <w:rPr>
                <w:rFonts w:asciiTheme="minorHAnsi" w:hAnsiTheme="minorHAnsi"/>
                <w:kern w:val="2"/>
                <w:szCs w:val="16"/>
              </w:rPr>
              <w:t xml:space="preserve"> and $US exchange rate of around </w:t>
            </w:r>
            <w:r w:rsidR="001F3598" w:rsidRPr="00CE5199">
              <w:rPr>
                <w:rFonts w:asciiTheme="minorHAnsi" w:hAnsiTheme="minorHAnsi"/>
                <w:kern w:val="2"/>
                <w:szCs w:val="16"/>
              </w:rPr>
              <w:t>90</w:t>
            </w:r>
            <w:r w:rsidR="006209D7" w:rsidRPr="00CE5199">
              <w:rPr>
                <w:rFonts w:asciiTheme="minorHAnsi" w:hAnsiTheme="minorHAnsi"/>
                <w:kern w:val="2"/>
                <w:szCs w:val="16"/>
              </w:rPr>
              <w:t xml:space="preserve"> US cents.</w:t>
            </w:r>
          </w:p>
          <w:p w:rsidR="00E2081F" w:rsidRPr="00CE5199" w:rsidRDefault="00E2081F"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CE5199">
              <w:rPr>
                <w:rFonts w:asciiTheme="minorHAnsi" w:hAnsiTheme="minorHAnsi"/>
                <w:kern w:val="2"/>
                <w:szCs w:val="16"/>
              </w:rPr>
              <w:t>(a) Real GDP, nominal GDP</w:t>
            </w:r>
            <w:r w:rsidR="00E02C53" w:rsidRPr="00CE5199">
              <w:rPr>
                <w:rFonts w:asciiTheme="minorHAnsi" w:hAnsiTheme="minorHAnsi"/>
                <w:kern w:val="2"/>
                <w:szCs w:val="16"/>
              </w:rPr>
              <w:t>,</w:t>
            </w:r>
            <w:r w:rsidRPr="00CE5199">
              <w:rPr>
                <w:rFonts w:asciiTheme="minorHAnsi" w:hAnsiTheme="minorHAnsi"/>
                <w:kern w:val="2"/>
                <w:szCs w:val="16"/>
              </w:rPr>
              <w:t xml:space="preserve"> the terms of trade</w:t>
            </w:r>
            <w:r w:rsidR="00E02C53" w:rsidRPr="00CE5199">
              <w:rPr>
                <w:rFonts w:asciiTheme="minorHAnsi" w:hAnsiTheme="minorHAnsi"/>
                <w:kern w:val="2"/>
                <w:szCs w:val="16"/>
              </w:rPr>
              <w:t xml:space="preserve">, </w:t>
            </w:r>
            <w:r w:rsidR="00F5083C" w:rsidRPr="00CE5199">
              <w:rPr>
                <w:rFonts w:asciiTheme="minorHAnsi" w:hAnsiTheme="minorHAnsi"/>
                <w:kern w:val="2"/>
                <w:szCs w:val="16"/>
              </w:rPr>
              <w:t>w</w:t>
            </w:r>
            <w:r w:rsidR="00E02C53" w:rsidRPr="00CE5199">
              <w:rPr>
                <w:rFonts w:asciiTheme="minorHAnsi" w:hAnsiTheme="minorHAnsi"/>
                <w:kern w:val="2"/>
                <w:szCs w:val="16"/>
              </w:rPr>
              <w:t xml:space="preserve">orld GDP, </w:t>
            </w:r>
            <w:r w:rsidR="00F5083C" w:rsidRPr="00CE5199">
              <w:rPr>
                <w:rFonts w:asciiTheme="minorHAnsi" w:hAnsiTheme="minorHAnsi"/>
                <w:kern w:val="2"/>
                <w:szCs w:val="16"/>
              </w:rPr>
              <w:t>m</w:t>
            </w:r>
            <w:r w:rsidR="00E02C53" w:rsidRPr="00CE5199">
              <w:rPr>
                <w:rFonts w:asciiTheme="minorHAnsi" w:hAnsiTheme="minorHAnsi"/>
                <w:kern w:val="2"/>
                <w:szCs w:val="16"/>
              </w:rPr>
              <w:t xml:space="preserve">ajor trading partner </w:t>
            </w:r>
            <w:r w:rsidR="00F5083C" w:rsidRPr="00CE5199">
              <w:rPr>
                <w:rFonts w:asciiTheme="minorHAnsi" w:hAnsiTheme="minorHAnsi"/>
                <w:kern w:val="2"/>
                <w:szCs w:val="16"/>
              </w:rPr>
              <w:t>GDP, China and United States</w:t>
            </w:r>
            <w:r w:rsidRPr="00CE5199">
              <w:rPr>
                <w:rFonts w:asciiTheme="minorHAnsi" w:hAnsiTheme="minorHAnsi"/>
                <w:kern w:val="2"/>
                <w:szCs w:val="16"/>
              </w:rPr>
              <w:t xml:space="preserve"> are year-average growth. </w:t>
            </w:r>
            <w:r w:rsidR="00E02C53" w:rsidRPr="00CE5199">
              <w:rPr>
                <w:rFonts w:asciiTheme="minorHAnsi" w:hAnsiTheme="minorHAnsi"/>
                <w:kern w:val="2"/>
                <w:szCs w:val="16"/>
              </w:rPr>
              <w:t>U</w:t>
            </w:r>
            <w:r w:rsidRPr="00CE5199">
              <w:rPr>
                <w:rFonts w:asciiTheme="minorHAnsi" w:hAnsiTheme="minorHAnsi"/>
                <w:kern w:val="2"/>
                <w:szCs w:val="16"/>
              </w:rPr>
              <w:t>nderlying inflation and the WPI are through-the-year growth to the June quarter. The unemployment rate is the rate for the June quarter.</w:t>
            </w:r>
          </w:p>
          <w:p w:rsidR="00F043B9" w:rsidRPr="00CE5199" w:rsidRDefault="00F043B9"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CE5199">
              <w:rPr>
                <w:rFonts w:asciiTheme="minorHAnsi" w:hAnsiTheme="minorHAnsi"/>
                <w:kern w:val="2"/>
                <w:szCs w:val="16"/>
              </w:rPr>
              <w:t>(b) International GDP figures are calen</w:t>
            </w:r>
            <w:r w:rsidR="001943A2">
              <w:rPr>
                <w:rFonts w:asciiTheme="minorHAnsi" w:hAnsiTheme="minorHAnsi"/>
                <w:kern w:val="2"/>
                <w:szCs w:val="16"/>
              </w:rPr>
              <w:t>dar year average growth for 2013</w:t>
            </w:r>
            <w:r w:rsidRPr="00CE5199">
              <w:rPr>
                <w:rFonts w:asciiTheme="minorHAnsi" w:hAnsiTheme="minorHAnsi"/>
                <w:kern w:val="2"/>
                <w:szCs w:val="16"/>
              </w:rPr>
              <w:t>, 201</w:t>
            </w:r>
            <w:r w:rsidR="001943A2">
              <w:rPr>
                <w:rFonts w:asciiTheme="minorHAnsi" w:hAnsiTheme="minorHAnsi"/>
                <w:kern w:val="2"/>
                <w:szCs w:val="16"/>
              </w:rPr>
              <w:t>4, 2015</w:t>
            </w:r>
            <w:r w:rsidRPr="00CE5199">
              <w:rPr>
                <w:rFonts w:asciiTheme="minorHAnsi" w:hAnsiTheme="minorHAnsi"/>
                <w:kern w:val="2"/>
                <w:szCs w:val="16"/>
              </w:rPr>
              <w:t xml:space="preserve"> and 201</w:t>
            </w:r>
            <w:r w:rsidR="001943A2">
              <w:rPr>
                <w:rFonts w:asciiTheme="minorHAnsi" w:hAnsiTheme="minorHAnsi"/>
                <w:kern w:val="2"/>
                <w:szCs w:val="16"/>
              </w:rPr>
              <w:t>6</w:t>
            </w:r>
            <w:r w:rsidRPr="00CE5199">
              <w:rPr>
                <w:rFonts w:asciiTheme="minorHAnsi" w:hAnsiTheme="minorHAnsi"/>
                <w:kern w:val="2"/>
                <w:szCs w:val="16"/>
              </w:rPr>
              <w:t>.</w:t>
            </w:r>
          </w:p>
          <w:p w:rsidR="00926CCD" w:rsidRPr="00977811" w:rsidRDefault="00E2081F" w:rsidP="00E71FBE">
            <w:pPr>
              <w:spacing w:after="0" w:line="240" w:lineRule="auto"/>
              <w:rPr>
                <w:rFonts w:asciiTheme="minorHAnsi" w:hAnsiTheme="minorHAnsi" w:cs="Arial"/>
                <w:kern w:val="2"/>
                <w:sz w:val="16"/>
              </w:rPr>
            </w:pPr>
            <w:r w:rsidRPr="00CE5199">
              <w:rPr>
                <w:rFonts w:asciiTheme="minorHAnsi" w:hAnsiTheme="minorHAnsi" w:cs="Arial"/>
                <w:kern w:val="2"/>
                <w:sz w:val="16"/>
                <w:szCs w:val="16"/>
              </w:rPr>
              <w:t xml:space="preserve">Source:  ABS cat. </w:t>
            </w:r>
            <w:r w:rsidR="00E71FBE" w:rsidRPr="00CE5199">
              <w:rPr>
                <w:rFonts w:asciiTheme="minorHAnsi" w:hAnsiTheme="minorHAnsi" w:cs="Arial"/>
                <w:kern w:val="2"/>
                <w:sz w:val="16"/>
                <w:szCs w:val="16"/>
              </w:rPr>
              <w:t>n</w:t>
            </w:r>
            <w:r w:rsidRPr="00CE5199">
              <w:rPr>
                <w:rFonts w:asciiTheme="minorHAnsi" w:hAnsiTheme="minorHAnsi" w:cs="Arial"/>
                <w:kern w:val="2"/>
                <w:sz w:val="16"/>
                <w:szCs w:val="16"/>
              </w:rPr>
              <w:t>o. 5206.0, 5302.0, 6202.0, 6345.0, 6401.0 and Treasury.</w:t>
            </w:r>
          </w:p>
        </w:tc>
      </w:tr>
    </w:tbl>
    <w:p w:rsidR="00851710" w:rsidRPr="00587BCC" w:rsidRDefault="00851710" w:rsidP="00851710">
      <w:pPr>
        <w:pStyle w:val="Heading3"/>
        <w:rPr>
          <w:rFonts w:asciiTheme="minorHAnsi" w:hAnsiTheme="minorHAnsi"/>
        </w:rPr>
        <w:sectPr w:rsidR="00851710" w:rsidRPr="00587BCC" w:rsidSect="00C75446">
          <w:footerReference w:type="default" r:id="rId15"/>
          <w:headerReference w:type="first" r:id="rId16"/>
          <w:pgSz w:w="11906" w:h="16838"/>
          <w:pgMar w:top="1440" w:right="1440" w:bottom="1440" w:left="1440" w:header="709" w:footer="709" w:gutter="0"/>
          <w:cols w:space="708"/>
          <w:titlePg/>
          <w:docGrid w:linePitch="360"/>
        </w:sectPr>
      </w:pPr>
    </w:p>
    <w:p w:rsidR="00926CCD" w:rsidRPr="001E61ED" w:rsidRDefault="00926CCD" w:rsidP="00926CCD">
      <w:pPr>
        <w:pStyle w:val="IntenseQuote"/>
        <w:ind w:left="0"/>
        <w:rPr>
          <w:i w:val="0"/>
          <w:color w:val="0000FF"/>
          <w:sz w:val="28"/>
          <w:szCs w:val="24"/>
        </w:rPr>
      </w:pPr>
      <w:r w:rsidRPr="006E025B">
        <w:rPr>
          <w:i w:val="0"/>
          <w:color w:val="0000FF"/>
          <w:sz w:val="28"/>
          <w:szCs w:val="24"/>
        </w:rPr>
        <w:lastRenderedPageBreak/>
        <w:t>Outlook for the International Economy</w:t>
      </w:r>
    </w:p>
    <w:p w:rsidR="00F91A92" w:rsidRPr="00587BCC" w:rsidRDefault="00F91A92" w:rsidP="00F91A92">
      <w:pPr>
        <w:rPr>
          <w:rFonts w:asciiTheme="minorHAnsi" w:hAnsiTheme="minorHAnsi"/>
          <w:b/>
        </w:rPr>
      </w:pPr>
      <w:r w:rsidRPr="00587BCC">
        <w:rPr>
          <w:rFonts w:asciiTheme="minorHAnsi" w:hAnsiTheme="minorHAnsi"/>
          <w:b/>
        </w:rPr>
        <w:t>Table</w:t>
      </w:r>
      <w:r w:rsidR="00E71FBE" w:rsidRPr="00587BCC">
        <w:rPr>
          <w:rFonts w:asciiTheme="minorHAnsi" w:hAnsiTheme="minorHAnsi"/>
          <w:b/>
        </w:rPr>
        <w:t xml:space="preserve"> 2: Key i</w:t>
      </w:r>
      <w:r w:rsidR="00275E93" w:rsidRPr="00587BCC">
        <w:rPr>
          <w:rFonts w:asciiTheme="minorHAnsi" w:hAnsiTheme="minorHAnsi"/>
          <w:b/>
        </w:rPr>
        <w:t xml:space="preserve">nternational </w:t>
      </w:r>
      <w:r w:rsidR="00E71FBE" w:rsidRPr="00587BCC">
        <w:rPr>
          <w:rFonts w:asciiTheme="minorHAnsi" w:hAnsiTheme="minorHAnsi"/>
          <w:b/>
        </w:rPr>
        <w:t>f</w:t>
      </w:r>
      <w:r w:rsidR="00275E93" w:rsidRPr="00587BCC">
        <w:rPr>
          <w:rFonts w:asciiTheme="minorHAnsi" w:hAnsiTheme="minorHAnsi"/>
          <w:b/>
        </w:rPr>
        <w:t>orecasts</w:t>
      </w:r>
    </w:p>
    <w:p w:rsidR="001E61ED" w:rsidRPr="00587BCC" w:rsidRDefault="00236B60" w:rsidP="00FC7708">
      <w:pPr>
        <w:pStyle w:val="Bullet"/>
        <w:numPr>
          <w:ilvl w:val="0"/>
          <w:numId w:val="0"/>
        </w:numPr>
        <w:spacing w:line="240" w:lineRule="auto"/>
        <w:jc w:val="left"/>
        <w:rPr>
          <w:rFonts w:asciiTheme="minorHAnsi" w:hAnsiTheme="minorHAnsi"/>
          <w:b/>
          <w:color w:val="003399"/>
          <w:sz w:val="24"/>
        </w:rPr>
        <w:sectPr w:rsidR="001E61ED" w:rsidRPr="00587BCC" w:rsidSect="007D67FC">
          <w:headerReference w:type="default" r:id="rId17"/>
          <w:footerReference w:type="even" r:id="rId18"/>
          <w:footerReference w:type="default" r:id="rId19"/>
          <w:pgSz w:w="11907" w:h="16840" w:code="9"/>
          <w:pgMar w:top="1418" w:right="1100" w:bottom="1418" w:left="1100" w:header="567" w:footer="709" w:gutter="0"/>
          <w:cols w:space="709"/>
          <w:docGrid w:linePitch="272"/>
        </w:sectPr>
      </w:pPr>
      <w:r w:rsidRPr="00236B60">
        <w:rPr>
          <w:rFonts w:asciiTheme="minorHAnsi" w:hAnsiTheme="minorHAnsi"/>
          <w:b/>
          <w:color w:val="003399"/>
          <w:sz w:val="24"/>
        </w:rPr>
        <w:tab/>
      </w:r>
      <w:r w:rsidR="006E025B" w:rsidRPr="000C7C83">
        <w:rPr>
          <w:noProof/>
          <w:lang w:eastAsia="en-AU"/>
        </w:rPr>
        <w:drawing>
          <wp:inline distT="0" distB="0" distL="0" distR="0" wp14:anchorId="6F69295D" wp14:editId="3064B91E">
            <wp:extent cx="6047105" cy="3571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7105" cy="3571240"/>
                    </a:xfrm>
                    <a:prstGeom prst="rect">
                      <a:avLst/>
                    </a:prstGeom>
                    <a:noFill/>
                    <a:ln>
                      <a:noFill/>
                    </a:ln>
                  </pic:spPr>
                </pic:pic>
              </a:graphicData>
            </a:graphic>
          </wp:inline>
        </w:drawing>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p>
    <w:p w:rsidR="00DF3024" w:rsidRPr="006E025B" w:rsidRDefault="00DF3024" w:rsidP="00054F4F">
      <w:pPr>
        <w:rPr>
          <w:rFonts w:asciiTheme="minorHAnsi" w:hAnsiTheme="minorHAnsi"/>
          <w:b/>
          <w:color w:val="0000FF"/>
          <w:sz w:val="24"/>
        </w:rPr>
      </w:pPr>
      <w:r w:rsidRPr="006E025B">
        <w:rPr>
          <w:rFonts w:asciiTheme="minorHAnsi" w:hAnsiTheme="minorHAnsi"/>
          <w:b/>
          <w:color w:val="0000FF"/>
          <w:sz w:val="24"/>
        </w:rPr>
        <w:lastRenderedPageBreak/>
        <w:t>Global growth is lifting after subdued growth in 2013 …</w:t>
      </w:r>
    </w:p>
    <w:p w:rsidR="00D72AD2" w:rsidRPr="006E025B" w:rsidRDefault="00BD7C76" w:rsidP="00D72AD2">
      <w:pPr>
        <w:rPr>
          <w:rFonts w:asciiTheme="minorHAnsi" w:hAnsiTheme="minorHAnsi"/>
        </w:rPr>
      </w:pPr>
      <w:r>
        <w:rPr>
          <w:rFonts w:asciiTheme="minorHAnsi" w:hAnsiTheme="minorHAnsi"/>
        </w:rPr>
        <w:t>T</w:t>
      </w:r>
      <w:r w:rsidR="00D72AD2" w:rsidRPr="006E025B">
        <w:rPr>
          <w:rFonts w:asciiTheme="minorHAnsi" w:hAnsiTheme="minorHAnsi"/>
        </w:rPr>
        <w:t>he global economy is expected to improve over the forecast period with growth now forecast at around 3¾ per cent in each year.  This follows global growth of 3 per cent in 2013, the slowest pace since the global financial crisis. While weak, the 2013 result was slightly higher than the 2¾</w:t>
      </w:r>
      <w:r w:rsidR="00D72AD2">
        <w:rPr>
          <w:rFonts w:asciiTheme="minorHAnsi" w:hAnsiTheme="minorHAnsi"/>
        </w:rPr>
        <w:t> </w:t>
      </w:r>
      <w:r w:rsidR="00D72AD2" w:rsidRPr="006E025B">
        <w:rPr>
          <w:rFonts w:asciiTheme="minorHAnsi" w:hAnsiTheme="minorHAnsi"/>
        </w:rPr>
        <w:t>per</w:t>
      </w:r>
      <w:r w:rsidR="00D72AD2">
        <w:rPr>
          <w:rFonts w:asciiTheme="minorHAnsi" w:hAnsiTheme="minorHAnsi"/>
        </w:rPr>
        <w:t> </w:t>
      </w:r>
      <w:r w:rsidR="00D72AD2" w:rsidRPr="006E025B">
        <w:rPr>
          <w:rFonts w:asciiTheme="minorHAnsi" w:hAnsiTheme="minorHAnsi"/>
        </w:rPr>
        <w:t>cent forecast at December JEFG, owing to some positive late surprises. The improved outlook is largely driven by recoveries in ad</w:t>
      </w:r>
      <w:r>
        <w:rPr>
          <w:rFonts w:asciiTheme="minorHAnsi" w:hAnsiTheme="minorHAnsi"/>
        </w:rPr>
        <w:t xml:space="preserve">vanced economies, particularly </w:t>
      </w:r>
      <w:r w:rsidR="00D72AD2" w:rsidRPr="006E025B">
        <w:rPr>
          <w:rFonts w:asciiTheme="minorHAnsi" w:hAnsiTheme="minorHAnsi"/>
        </w:rPr>
        <w:t>the US.</w:t>
      </w:r>
    </w:p>
    <w:p w:rsidR="00D72AD2" w:rsidRPr="0025118B" w:rsidRDefault="00D72AD2" w:rsidP="00D72AD2">
      <w:pPr>
        <w:rPr>
          <w:rFonts w:asciiTheme="minorHAnsi" w:hAnsiTheme="minorHAnsi"/>
        </w:rPr>
      </w:pPr>
      <w:r w:rsidRPr="006E025B">
        <w:rPr>
          <w:rFonts w:asciiTheme="minorHAnsi" w:hAnsiTheme="minorHAnsi"/>
        </w:rPr>
        <w:t>Growing momentum in advanced economy recoveries accompanied by solid growth in China has seen the global growth forecast for 2014 upgraded by a quarter of a percentage point to 3¾ per cent —</w:t>
      </w:r>
      <w:r w:rsidR="00BD7C76">
        <w:rPr>
          <w:rFonts w:asciiTheme="minorHAnsi" w:hAnsiTheme="minorHAnsi"/>
        </w:rPr>
        <w:t xml:space="preserve"> </w:t>
      </w:r>
      <w:r w:rsidRPr="006E025B">
        <w:rPr>
          <w:rFonts w:asciiTheme="minorHAnsi" w:hAnsiTheme="minorHAnsi"/>
        </w:rPr>
        <w:t xml:space="preserve">despite some moderation in major emerging market economies such as Brazil and Russia. Several emerging market economies experienced acute bouts of financial market volatility in January, triggered by a range of concerns including the tapering of asset purchases by the US Federal Reserve but also weak Chinese PMI data and political uncertainty in individual countries.  </w:t>
      </w:r>
      <w:r w:rsidRPr="006E025B">
        <w:rPr>
          <w:rFonts w:asciiTheme="minorHAnsi" w:hAnsiTheme="minorHAnsi"/>
        </w:rPr>
        <w:lastRenderedPageBreak/>
        <w:t xml:space="preserve">While further volatility through the year remains possible for individual emerging market economies this is not expected to spill over to the global economy as a </w:t>
      </w:r>
      <w:r w:rsidRPr="0025118B">
        <w:rPr>
          <w:rFonts w:asciiTheme="minorHAnsi" w:hAnsiTheme="minorHAnsi"/>
        </w:rPr>
        <w:t xml:space="preserve">whole.   </w:t>
      </w:r>
    </w:p>
    <w:p w:rsidR="00D72AD2" w:rsidRPr="006E025B" w:rsidRDefault="00D72AD2" w:rsidP="00D72AD2">
      <w:pPr>
        <w:rPr>
          <w:rFonts w:asciiTheme="minorHAnsi" w:hAnsiTheme="minorHAnsi"/>
        </w:rPr>
      </w:pPr>
      <w:r w:rsidRPr="0025118B">
        <w:rPr>
          <w:rFonts w:asciiTheme="minorHAnsi" w:hAnsiTheme="minorHAnsi"/>
        </w:rPr>
        <w:t xml:space="preserve">Owing to advanced economy recoveries and more recent export data showing further shifts towards </w:t>
      </w:r>
      <w:r>
        <w:rPr>
          <w:rFonts w:asciiTheme="minorHAnsi" w:hAnsiTheme="minorHAnsi"/>
        </w:rPr>
        <w:t>fast</w:t>
      </w:r>
      <w:r>
        <w:rPr>
          <w:rFonts w:asciiTheme="minorHAnsi" w:hAnsiTheme="minorHAnsi"/>
        </w:rPr>
        <w:noBreakHyphen/>
        <w:t>growing Asian economies</w:t>
      </w:r>
      <w:r w:rsidR="00A72A32">
        <w:rPr>
          <w:rFonts w:asciiTheme="minorHAnsi" w:hAnsiTheme="minorHAnsi"/>
        </w:rPr>
        <w:t>,</w:t>
      </w:r>
      <w:r w:rsidRPr="0025118B">
        <w:rPr>
          <w:rFonts w:asciiTheme="minorHAnsi" w:hAnsiTheme="minorHAnsi"/>
        </w:rPr>
        <w:t xml:space="preserve"> Australia’s major trading partne</w:t>
      </w:r>
      <w:r w:rsidRPr="006E025B">
        <w:rPr>
          <w:rFonts w:asciiTheme="minorHAnsi" w:hAnsiTheme="minorHAnsi"/>
        </w:rPr>
        <w:t>r growth forecast for 2014 has also been upgraded by a quarter of a percentage point to 4¾</w:t>
      </w:r>
      <w:r>
        <w:rPr>
          <w:rFonts w:asciiTheme="minorHAnsi" w:hAnsiTheme="minorHAnsi"/>
        </w:rPr>
        <w:t> </w:t>
      </w:r>
      <w:r w:rsidRPr="006E025B">
        <w:rPr>
          <w:rFonts w:asciiTheme="minorHAnsi" w:hAnsiTheme="minorHAnsi"/>
        </w:rPr>
        <w:t>per</w:t>
      </w:r>
      <w:r>
        <w:rPr>
          <w:rFonts w:asciiTheme="minorHAnsi" w:hAnsiTheme="minorHAnsi"/>
        </w:rPr>
        <w:t> </w:t>
      </w:r>
      <w:r w:rsidRPr="006E025B">
        <w:rPr>
          <w:rFonts w:asciiTheme="minorHAnsi" w:hAnsiTheme="minorHAnsi"/>
        </w:rPr>
        <w:t>cent, and is projected to remain at that pace over the forecast period to 2016.</w:t>
      </w:r>
    </w:p>
    <w:p w:rsidR="00DF3024" w:rsidRPr="006E025B" w:rsidRDefault="00DF3024" w:rsidP="00054F4F">
      <w:pPr>
        <w:rPr>
          <w:rFonts w:asciiTheme="minorHAnsi" w:hAnsiTheme="minorHAnsi"/>
          <w:b/>
          <w:color w:val="0000FF"/>
          <w:sz w:val="24"/>
        </w:rPr>
      </w:pPr>
      <w:r w:rsidRPr="006E025B">
        <w:rPr>
          <w:rFonts w:asciiTheme="minorHAnsi" w:hAnsiTheme="minorHAnsi"/>
          <w:b/>
          <w:color w:val="0000FF"/>
          <w:sz w:val="24"/>
        </w:rPr>
        <w:t>… led by a strengthening recovery in the US with fewer political roadblocks…</w:t>
      </w:r>
    </w:p>
    <w:p w:rsidR="00D72AD2" w:rsidRPr="006E025B" w:rsidRDefault="00D72AD2" w:rsidP="00D72AD2">
      <w:pPr>
        <w:rPr>
          <w:rFonts w:asciiTheme="minorHAnsi" w:hAnsiTheme="minorHAnsi"/>
        </w:rPr>
      </w:pPr>
      <w:r w:rsidRPr="006E025B">
        <w:rPr>
          <w:rFonts w:asciiTheme="minorHAnsi" w:hAnsiTheme="minorHAnsi"/>
        </w:rPr>
        <w:t xml:space="preserve">The United States continues its steady recovery with encouraging signs in the </w:t>
      </w:r>
      <w:r w:rsidR="00BD7C76">
        <w:rPr>
          <w:rFonts w:asciiTheme="minorHAnsi" w:hAnsiTheme="minorHAnsi"/>
        </w:rPr>
        <w:t>second</w:t>
      </w:r>
      <w:r w:rsidRPr="006E025B">
        <w:rPr>
          <w:rFonts w:asciiTheme="minorHAnsi" w:hAnsiTheme="minorHAnsi"/>
        </w:rPr>
        <w:t xml:space="preserve"> half of 2013 as through-the-year growth </w:t>
      </w:r>
      <w:r w:rsidR="00BD7C76">
        <w:rPr>
          <w:rFonts w:asciiTheme="minorHAnsi" w:hAnsiTheme="minorHAnsi"/>
        </w:rPr>
        <w:t xml:space="preserve">to the December quarter </w:t>
      </w:r>
      <w:r w:rsidRPr="006E025B">
        <w:rPr>
          <w:rFonts w:asciiTheme="minorHAnsi" w:hAnsiTheme="minorHAnsi"/>
        </w:rPr>
        <w:t xml:space="preserve">accelerated to 2.5 per cent. While there have been concerns </w:t>
      </w:r>
      <w:r w:rsidR="00BD7C76">
        <w:rPr>
          <w:rFonts w:asciiTheme="minorHAnsi" w:hAnsiTheme="minorHAnsi"/>
        </w:rPr>
        <w:t>about</w:t>
      </w:r>
      <w:r w:rsidRPr="006E025B">
        <w:rPr>
          <w:rFonts w:asciiTheme="minorHAnsi" w:hAnsiTheme="minorHAnsi"/>
        </w:rPr>
        <w:t xml:space="preserve"> the extent to</w:t>
      </w:r>
      <w:r w:rsidR="00BD7C76">
        <w:rPr>
          <w:rFonts w:asciiTheme="minorHAnsi" w:hAnsiTheme="minorHAnsi"/>
        </w:rPr>
        <w:t xml:space="preserve"> which recent weak data reflect</w:t>
      </w:r>
      <w:r w:rsidR="00417D9B">
        <w:rPr>
          <w:rFonts w:asciiTheme="minorHAnsi" w:hAnsiTheme="minorHAnsi"/>
        </w:rPr>
        <w:t>s</w:t>
      </w:r>
      <w:r w:rsidRPr="006E025B">
        <w:rPr>
          <w:rFonts w:asciiTheme="minorHAnsi" w:hAnsiTheme="minorHAnsi"/>
        </w:rPr>
        <w:t xml:space="preserve"> </w:t>
      </w:r>
      <w:r>
        <w:rPr>
          <w:rFonts w:asciiTheme="minorHAnsi" w:hAnsiTheme="minorHAnsi"/>
        </w:rPr>
        <w:t xml:space="preserve">more than just </w:t>
      </w:r>
      <w:r w:rsidRPr="006E025B">
        <w:rPr>
          <w:rFonts w:asciiTheme="minorHAnsi" w:hAnsiTheme="minorHAnsi"/>
        </w:rPr>
        <w:t xml:space="preserve">the impact of severe weather, fundamentals continue </w:t>
      </w:r>
      <w:r w:rsidR="00417D9B">
        <w:rPr>
          <w:rFonts w:asciiTheme="minorHAnsi" w:hAnsiTheme="minorHAnsi"/>
        </w:rPr>
        <w:t xml:space="preserve">to </w:t>
      </w:r>
      <w:r w:rsidR="00BD7C76">
        <w:rPr>
          <w:rFonts w:asciiTheme="minorHAnsi" w:hAnsiTheme="minorHAnsi"/>
        </w:rPr>
        <w:t xml:space="preserve">suggest </w:t>
      </w:r>
      <w:r w:rsidRPr="006E025B">
        <w:rPr>
          <w:rFonts w:asciiTheme="minorHAnsi" w:hAnsiTheme="minorHAnsi"/>
        </w:rPr>
        <w:t xml:space="preserve">modestly above average growth. Continued improvements in the </w:t>
      </w:r>
      <w:r w:rsidRPr="006E025B">
        <w:rPr>
          <w:rFonts w:asciiTheme="minorHAnsi" w:hAnsiTheme="minorHAnsi"/>
        </w:rPr>
        <w:lastRenderedPageBreak/>
        <w:t xml:space="preserve">housing market, sturdier household finances and </w:t>
      </w:r>
      <w:r w:rsidR="00BD7C76">
        <w:rPr>
          <w:rFonts w:asciiTheme="minorHAnsi" w:hAnsiTheme="minorHAnsi"/>
        </w:rPr>
        <w:t xml:space="preserve">a rapid expansion in the supply of low-cost unconventional gas </w:t>
      </w:r>
      <w:r w:rsidRPr="006E025B">
        <w:rPr>
          <w:rFonts w:asciiTheme="minorHAnsi" w:hAnsiTheme="minorHAnsi"/>
        </w:rPr>
        <w:t>will provide continued support to consumption. Along with ample capacity and supportive financial conditions this is providing an important tailwind to the recovery and has seen the forecasts upgraded to 3</w:t>
      </w:r>
      <w:r>
        <w:rPr>
          <w:rFonts w:asciiTheme="minorHAnsi" w:hAnsiTheme="minorHAnsi"/>
        </w:rPr>
        <w:t> </w:t>
      </w:r>
      <w:r w:rsidRPr="006E025B">
        <w:rPr>
          <w:rFonts w:asciiTheme="minorHAnsi" w:hAnsiTheme="minorHAnsi"/>
        </w:rPr>
        <w:t>per</w:t>
      </w:r>
      <w:r>
        <w:rPr>
          <w:rFonts w:asciiTheme="minorHAnsi" w:hAnsiTheme="minorHAnsi"/>
        </w:rPr>
        <w:t> </w:t>
      </w:r>
      <w:r w:rsidRPr="006E025B">
        <w:rPr>
          <w:rFonts w:asciiTheme="minorHAnsi" w:hAnsiTheme="minorHAnsi"/>
        </w:rPr>
        <w:t>cent in both 2014 and 2015.</w:t>
      </w:r>
    </w:p>
    <w:p w:rsidR="00D72AD2" w:rsidRPr="006E025B" w:rsidRDefault="00D72AD2" w:rsidP="00D72AD2">
      <w:pPr>
        <w:rPr>
          <w:rFonts w:asciiTheme="minorHAnsi" w:hAnsiTheme="minorHAnsi"/>
        </w:rPr>
      </w:pPr>
      <w:r w:rsidRPr="006E025B">
        <w:rPr>
          <w:rFonts w:asciiTheme="minorHAnsi" w:hAnsiTheme="minorHAnsi"/>
        </w:rPr>
        <w:t xml:space="preserve">Since December JEFG short-term fiscal </w:t>
      </w:r>
      <w:r w:rsidR="00417D9B">
        <w:rPr>
          <w:rFonts w:asciiTheme="minorHAnsi" w:hAnsiTheme="minorHAnsi"/>
        </w:rPr>
        <w:t>uncertainty</w:t>
      </w:r>
      <w:r w:rsidRPr="006E025B">
        <w:rPr>
          <w:rFonts w:asciiTheme="minorHAnsi" w:hAnsiTheme="minorHAnsi"/>
        </w:rPr>
        <w:t xml:space="preserve"> in the US ha</w:t>
      </w:r>
      <w:r w:rsidR="00417D9B">
        <w:rPr>
          <w:rFonts w:asciiTheme="minorHAnsi" w:hAnsiTheme="minorHAnsi"/>
        </w:rPr>
        <w:t>s</w:t>
      </w:r>
      <w:r w:rsidRPr="006E025B">
        <w:rPr>
          <w:rFonts w:asciiTheme="minorHAnsi" w:hAnsiTheme="minorHAnsi"/>
        </w:rPr>
        <w:t xml:space="preserve"> abated with the passage of a bill by Congress to suspend the debt ceiling until March 2015. This follows the budget deal in December 2013, putting both these issues beyond the mid</w:t>
      </w:r>
      <w:r>
        <w:rPr>
          <w:rFonts w:asciiTheme="minorHAnsi" w:hAnsiTheme="minorHAnsi"/>
        </w:rPr>
        <w:t>-</w:t>
      </w:r>
      <w:r w:rsidRPr="006E025B">
        <w:rPr>
          <w:rFonts w:asciiTheme="minorHAnsi" w:hAnsiTheme="minorHAnsi"/>
        </w:rPr>
        <w:t>term elections in November. The easy passage of the debt ceiling bill suggests a change in atmospherics in Washington on fiscal issues</w:t>
      </w:r>
      <w:r>
        <w:rPr>
          <w:rFonts w:asciiTheme="minorHAnsi" w:hAnsiTheme="minorHAnsi"/>
        </w:rPr>
        <w:t xml:space="preserve"> at least for the time being</w:t>
      </w:r>
      <w:r w:rsidRPr="006E025B">
        <w:rPr>
          <w:rFonts w:asciiTheme="minorHAnsi" w:hAnsiTheme="minorHAnsi"/>
        </w:rPr>
        <w:t>.</w:t>
      </w:r>
    </w:p>
    <w:p w:rsidR="00D72AD2" w:rsidRPr="006E025B" w:rsidRDefault="00D72AD2" w:rsidP="00D72AD2">
      <w:pPr>
        <w:rPr>
          <w:rFonts w:asciiTheme="minorHAnsi" w:hAnsiTheme="minorHAnsi"/>
        </w:rPr>
      </w:pPr>
      <w:r w:rsidRPr="006E025B">
        <w:rPr>
          <w:rFonts w:asciiTheme="minorHAnsi" w:hAnsiTheme="minorHAnsi"/>
        </w:rPr>
        <w:t xml:space="preserve">The other major policy development in the US since December JEFG was the US Federal Reserve’s decision to begin gradually unwinding its asset purchases in January, followed by subsequent announcements in February and March to continue </w:t>
      </w:r>
      <w:r w:rsidR="00276B20">
        <w:rPr>
          <w:rFonts w:asciiTheme="minorHAnsi" w:hAnsiTheme="minorHAnsi"/>
        </w:rPr>
        <w:t>this process</w:t>
      </w:r>
      <w:r w:rsidRPr="006E025B">
        <w:rPr>
          <w:rFonts w:asciiTheme="minorHAnsi" w:hAnsiTheme="minorHAnsi"/>
        </w:rPr>
        <w:t xml:space="preserve">. Signalling a vote of confidence in the US recovery, the Fed’s announcements have largely avoided generating the same volatility and sharp rise in interest rates seen in mid-2013, suggesting that financial markets have taken in their stride the actual process of reducing the pace of asset purchases. Nonetheless, the US economy has a lot of ground to make up. </w:t>
      </w:r>
    </w:p>
    <w:p w:rsidR="00D72AD2" w:rsidRPr="006E025B" w:rsidRDefault="00D72AD2" w:rsidP="00D72AD2">
      <w:pPr>
        <w:rPr>
          <w:rFonts w:asciiTheme="minorHAnsi" w:hAnsiTheme="minorHAnsi"/>
        </w:rPr>
      </w:pPr>
      <w:r w:rsidRPr="006E025B">
        <w:rPr>
          <w:rFonts w:asciiTheme="minorHAnsi" w:hAnsiTheme="minorHAnsi"/>
        </w:rPr>
        <w:t>In Japan, growth in 2013, particularly in the first half, was boosted by fiscal and monetary stimulus from the first two arrows of Abenomics. The weaker than expected growth outcomes in the second half of 2013 suggested some stalling in the recovery, but this is largely due to poor net export performance</w:t>
      </w:r>
      <w:r>
        <w:rPr>
          <w:rFonts w:asciiTheme="minorHAnsi" w:hAnsiTheme="minorHAnsi"/>
        </w:rPr>
        <w:t xml:space="preserve"> with import growth surging ahead of export growth</w:t>
      </w:r>
      <w:r w:rsidRPr="006E025B">
        <w:rPr>
          <w:rFonts w:asciiTheme="minorHAnsi" w:hAnsiTheme="minorHAnsi"/>
        </w:rPr>
        <w:t>. Private demand continues to improve, with investment picking up in the December quarter</w:t>
      </w:r>
      <w:r>
        <w:rPr>
          <w:rFonts w:asciiTheme="minorHAnsi" w:hAnsiTheme="minorHAnsi"/>
        </w:rPr>
        <w:t xml:space="preserve"> and c</w:t>
      </w:r>
      <w:r w:rsidRPr="006E025B">
        <w:rPr>
          <w:rFonts w:asciiTheme="minorHAnsi" w:hAnsiTheme="minorHAnsi"/>
        </w:rPr>
        <w:t>ombined with a firming labour market and government stimulus to offset the</w:t>
      </w:r>
      <w:r>
        <w:rPr>
          <w:rFonts w:asciiTheme="minorHAnsi" w:hAnsiTheme="minorHAnsi"/>
        </w:rPr>
        <w:t xml:space="preserve"> first of two</w:t>
      </w:r>
      <w:r w:rsidRPr="006E025B">
        <w:rPr>
          <w:rFonts w:asciiTheme="minorHAnsi" w:hAnsiTheme="minorHAnsi"/>
        </w:rPr>
        <w:t xml:space="preserve"> consumption tax hike</w:t>
      </w:r>
      <w:r>
        <w:rPr>
          <w:rFonts w:asciiTheme="minorHAnsi" w:hAnsiTheme="minorHAnsi"/>
        </w:rPr>
        <w:t>s</w:t>
      </w:r>
      <w:r w:rsidRPr="006E025B">
        <w:rPr>
          <w:rFonts w:asciiTheme="minorHAnsi" w:hAnsiTheme="minorHAnsi"/>
        </w:rPr>
        <w:t xml:space="preserve">, </w:t>
      </w:r>
      <w:r w:rsidR="00276B20">
        <w:rPr>
          <w:rFonts w:asciiTheme="minorHAnsi" w:hAnsiTheme="minorHAnsi"/>
        </w:rPr>
        <w:t>on 1 </w:t>
      </w:r>
      <w:r>
        <w:rPr>
          <w:rFonts w:asciiTheme="minorHAnsi" w:hAnsiTheme="minorHAnsi"/>
        </w:rPr>
        <w:t>April,</w:t>
      </w:r>
      <w:r w:rsidRPr="006E025B">
        <w:rPr>
          <w:rFonts w:asciiTheme="minorHAnsi" w:hAnsiTheme="minorHAnsi"/>
        </w:rPr>
        <w:t xml:space="preserve"> the 2014 forecast for Japan has been upgraded by quarter of a percentage point to 1½</w:t>
      </w:r>
      <w:r>
        <w:rPr>
          <w:rFonts w:asciiTheme="minorHAnsi" w:hAnsiTheme="minorHAnsi"/>
        </w:rPr>
        <w:t> </w:t>
      </w:r>
      <w:r w:rsidRPr="006E025B">
        <w:rPr>
          <w:rFonts w:asciiTheme="minorHAnsi" w:hAnsiTheme="minorHAnsi"/>
        </w:rPr>
        <w:t>per</w:t>
      </w:r>
      <w:r>
        <w:rPr>
          <w:rFonts w:asciiTheme="minorHAnsi" w:hAnsiTheme="minorHAnsi"/>
        </w:rPr>
        <w:t> </w:t>
      </w:r>
      <w:r w:rsidRPr="006E025B">
        <w:rPr>
          <w:rFonts w:asciiTheme="minorHAnsi" w:hAnsiTheme="minorHAnsi"/>
        </w:rPr>
        <w:t xml:space="preserve">cent. </w:t>
      </w:r>
    </w:p>
    <w:p w:rsidR="00D72AD2" w:rsidRDefault="00D72AD2" w:rsidP="00D72AD2">
      <w:pPr>
        <w:rPr>
          <w:rFonts w:asciiTheme="minorHAnsi" w:hAnsiTheme="minorHAnsi"/>
        </w:rPr>
      </w:pPr>
      <w:r w:rsidRPr="006E025B">
        <w:rPr>
          <w:rFonts w:asciiTheme="minorHAnsi" w:hAnsiTheme="minorHAnsi"/>
        </w:rPr>
        <w:t xml:space="preserve">Broad-based inflation outcomes will assist in Japan making a sustained exit from persistent deflation and allowing wages to pick up and support consumption in the face of the tax hike. The structural reforms announced as part of the third arrow have largely disappointed in their pace and scope, and as such, until material benefits to Japan’s potential growth rate appear, growth over the forecast period is expected to revert to trend of </w:t>
      </w:r>
      <w:r w:rsidR="00417D9B" w:rsidRPr="006E025B">
        <w:rPr>
          <w:rFonts w:asciiTheme="minorHAnsi" w:hAnsiTheme="minorHAnsi"/>
        </w:rPr>
        <w:t xml:space="preserve">around </w:t>
      </w:r>
      <w:r w:rsidR="00417D9B">
        <w:rPr>
          <w:rFonts w:asciiTheme="minorHAnsi" w:hAnsiTheme="minorHAnsi"/>
        </w:rPr>
        <w:t xml:space="preserve">½ to </w:t>
      </w:r>
      <w:r w:rsidR="00417D9B" w:rsidRPr="006E025B">
        <w:rPr>
          <w:rFonts w:asciiTheme="minorHAnsi" w:hAnsiTheme="minorHAnsi"/>
        </w:rPr>
        <w:t>1</w:t>
      </w:r>
      <w:r w:rsidR="00417D9B">
        <w:rPr>
          <w:rFonts w:asciiTheme="minorHAnsi" w:hAnsiTheme="minorHAnsi"/>
        </w:rPr>
        <w:t> per cent</w:t>
      </w:r>
      <w:r w:rsidRPr="006E025B">
        <w:rPr>
          <w:rFonts w:asciiTheme="minorHAnsi" w:hAnsiTheme="minorHAnsi"/>
        </w:rPr>
        <w:t>.</w:t>
      </w:r>
    </w:p>
    <w:p w:rsidR="006E025B" w:rsidRPr="006E025B" w:rsidRDefault="006E025B" w:rsidP="006E025B">
      <w:pPr>
        <w:rPr>
          <w:rFonts w:asciiTheme="minorHAnsi" w:hAnsiTheme="minorHAnsi"/>
          <w:b/>
          <w:color w:val="0000FF"/>
          <w:sz w:val="24"/>
        </w:rPr>
      </w:pPr>
      <w:r w:rsidRPr="006E025B">
        <w:rPr>
          <w:rFonts w:asciiTheme="minorHAnsi" w:hAnsiTheme="minorHAnsi"/>
          <w:b/>
          <w:color w:val="0000FF"/>
          <w:sz w:val="24"/>
        </w:rPr>
        <w:lastRenderedPageBreak/>
        <w:t>… with growth in China still solid…</w:t>
      </w:r>
    </w:p>
    <w:p w:rsidR="006E025B" w:rsidRDefault="006E025B" w:rsidP="006E025B">
      <w:pPr>
        <w:rPr>
          <w:rFonts w:asciiTheme="minorHAnsi" w:hAnsiTheme="minorHAnsi"/>
        </w:rPr>
      </w:pPr>
      <w:r w:rsidRPr="006E025B">
        <w:rPr>
          <w:rFonts w:asciiTheme="minorHAnsi" w:hAnsiTheme="minorHAnsi"/>
        </w:rPr>
        <w:t>In China, the economy grew 7.7 per cent in 2013, unchanged from 2012, but slightly above the official growth target of 7.5 per cent. Following a moderation in the first half of 2013, growth picked up in the third quarter, led by the Chinese Government’s growth-supportive policy measures introduced mid-year including support for infrastructure spending and tax cuts, as well as improvements in external demand.</w:t>
      </w:r>
    </w:p>
    <w:p w:rsidR="009E6989" w:rsidRPr="00587BCC" w:rsidRDefault="009E6989" w:rsidP="00896059">
      <w:pPr>
        <w:spacing w:after="0"/>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Pr="00587BCC">
        <w:rPr>
          <w:rFonts w:asciiTheme="minorHAnsi" w:hAnsiTheme="minorHAnsi"/>
          <w:b/>
        </w:rPr>
        <w:t xml:space="preserve">: </w:t>
      </w:r>
      <w:r w:rsidR="006E025B" w:rsidRPr="006E025B">
        <w:rPr>
          <w:rFonts w:asciiTheme="minorHAnsi" w:hAnsiTheme="minorHAnsi"/>
          <w:b/>
        </w:rPr>
        <w:t>Contributions to Chinese growth</w:t>
      </w:r>
    </w:p>
    <w:p w:rsidR="009E6989" w:rsidRPr="00587BCC" w:rsidRDefault="006E025B" w:rsidP="00D32B81">
      <w:pPr>
        <w:spacing w:line="240" w:lineRule="auto"/>
        <w:jc w:val="left"/>
        <w:rPr>
          <w:rFonts w:asciiTheme="minorHAnsi" w:hAnsiTheme="minorHAnsi"/>
        </w:rPr>
      </w:pPr>
      <w:r w:rsidRPr="00CB4CA1">
        <w:rPr>
          <w:sz w:val="18"/>
          <w:szCs w:val="18"/>
        </w:rPr>
        <w:object w:dxaOrig="4530" w:dyaOrig="4440">
          <v:shape id="_x0000_i1026" type="#_x0000_t75" style="width:226.65pt;height:221.65pt" o:ole="">
            <v:imagedata r:id="rId21" o:title=""/>
          </v:shape>
          <o:OLEObject Type="Link" ProgID="Excel.Sheet.8" ShapeID="_x0000_i1026" DrawAspect="Content" r:id="rId22" UpdateMode="Always">
            <o:LinkType>EnhancedMetaFile</o:LinkType>
            <o:LockedField>false</o:LockedField>
            <o:FieldCodes>\* MERGEFORMAT</o:FieldCodes>
          </o:OLEObject>
        </w:object>
      </w:r>
      <w:r w:rsidR="009E6989" w:rsidRPr="00587BCC">
        <w:rPr>
          <w:rFonts w:asciiTheme="minorHAnsi" w:hAnsiTheme="minorHAnsi"/>
          <w:sz w:val="16"/>
          <w:szCs w:val="16"/>
        </w:rPr>
        <w:t xml:space="preserve">Source: </w:t>
      </w:r>
      <w:r w:rsidRPr="006E025B">
        <w:rPr>
          <w:rFonts w:asciiTheme="minorHAnsi" w:hAnsiTheme="minorHAnsi"/>
          <w:sz w:val="16"/>
          <w:szCs w:val="16"/>
        </w:rPr>
        <w:t>CEIC China Database and Treasury.</w:t>
      </w:r>
    </w:p>
    <w:p w:rsidR="006E025B" w:rsidRPr="006E025B" w:rsidRDefault="006E025B" w:rsidP="006E025B">
      <w:pPr>
        <w:rPr>
          <w:rFonts w:asciiTheme="minorHAnsi" w:hAnsiTheme="minorHAnsi"/>
        </w:rPr>
      </w:pPr>
      <w:r w:rsidRPr="006E025B">
        <w:rPr>
          <w:rFonts w:asciiTheme="minorHAnsi" w:hAnsiTheme="minorHAnsi"/>
        </w:rPr>
        <w:t xml:space="preserve">Looking ahead, China is expected to maintain solid but </w:t>
      </w:r>
      <w:r w:rsidR="00276B20">
        <w:rPr>
          <w:rFonts w:asciiTheme="minorHAnsi" w:hAnsiTheme="minorHAnsi"/>
        </w:rPr>
        <w:t>slowing</w:t>
      </w:r>
      <w:r w:rsidRPr="006E025B">
        <w:rPr>
          <w:rFonts w:asciiTheme="minorHAnsi" w:hAnsiTheme="minorHAnsi"/>
        </w:rPr>
        <w:t xml:space="preserve"> growth over the near term, and with this assessment unchanged since December JEFG, forecasts remain for growth to moderate from 7½ to 7 per cent out to 2016. Notwithstanding recent softening indicators, China is expected to achieve its growth target of around 7½ per cent this year, provided the Government can successfully manage the risks, particularly those emanating from the financial sector.  Further, with inflation remaining low there is room for the authorities to introduce growth-supporting measures if needed.</w:t>
      </w:r>
    </w:p>
    <w:p w:rsidR="006E025B" w:rsidRPr="006E025B" w:rsidRDefault="006E025B" w:rsidP="006E025B">
      <w:pPr>
        <w:rPr>
          <w:rFonts w:asciiTheme="minorHAnsi" w:hAnsiTheme="minorHAnsi"/>
        </w:rPr>
      </w:pPr>
      <w:r w:rsidRPr="006E025B">
        <w:rPr>
          <w:rFonts w:asciiTheme="minorHAnsi" w:hAnsiTheme="minorHAnsi"/>
        </w:rPr>
        <w:t>In the medium to longer term, if solid growth is to be sustained, the Chinese authorities must successfully transform the economy to a more balanced growth model with a focus on innovation and continually moving up the production chain into higher value-added products.</w:t>
      </w:r>
    </w:p>
    <w:p w:rsidR="006E025B" w:rsidRPr="006E025B" w:rsidRDefault="006E025B" w:rsidP="006E025B">
      <w:pPr>
        <w:rPr>
          <w:rFonts w:asciiTheme="minorHAnsi" w:hAnsiTheme="minorHAnsi"/>
          <w:b/>
          <w:color w:val="0000FF"/>
          <w:sz w:val="24"/>
        </w:rPr>
      </w:pPr>
      <w:r w:rsidRPr="006E025B">
        <w:rPr>
          <w:rFonts w:asciiTheme="minorHAnsi" w:hAnsiTheme="minorHAnsi"/>
          <w:b/>
          <w:color w:val="0000FF"/>
          <w:sz w:val="24"/>
        </w:rPr>
        <w:t>… while the emergent euro area recovery remains weak, uneven and fragile.</w:t>
      </w:r>
    </w:p>
    <w:p w:rsidR="00CA0D83" w:rsidRPr="00587BCC" w:rsidRDefault="006E025B" w:rsidP="006E025B">
      <w:pPr>
        <w:rPr>
          <w:rFonts w:asciiTheme="minorHAnsi" w:hAnsiTheme="minorHAnsi"/>
        </w:rPr>
      </w:pPr>
      <w:r w:rsidRPr="006E025B">
        <w:rPr>
          <w:rFonts w:asciiTheme="minorHAnsi" w:hAnsiTheme="minorHAnsi"/>
        </w:rPr>
        <w:lastRenderedPageBreak/>
        <w:t xml:space="preserve">Since December JEFG, the outlook for the euro area has </w:t>
      </w:r>
      <w:r w:rsidR="00276B20" w:rsidRPr="006E025B">
        <w:rPr>
          <w:rFonts w:asciiTheme="minorHAnsi" w:hAnsiTheme="minorHAnsi"/>
        </w:rPr>
        <w:t>slightly</w:t>
      </w:r>
      <w:r w:rsidR="00417D9B" w:rsidRPr="00417D9B">
        <w:rPr>
          <w:rFonts w:asciiTheme="minorHAnsi" w:hAnsiTheme="minorHAnsi"/>
        </w:rPr>
        <w:t xml:space="preserve"> </w:t>
      </w:r>
      <w:r w:rsidR="00417D9B" w:rsidRPr="006E025B">
        <w:rPr>
          <w:rFonts w:asciiTheme="minorHAnsi" w:hAnsiTheme="minorHAnsi"/>
        </w:rPr>
        <w:t>improved</w:t>
      </w:r>
      <w:r w:rsidRPr="006E025B">
        <w:rPr>
          <w:rFonts w:asciiTheme="minorHAnsi" w:hAnsiTheme="minorHAnsi"/>
        </w:rPr>
        <w:t xml:space="preserve">, mainly as a result of stronger-than-expected GDP outcomes in the second half of 2013, with euro area through-the-year growth </w:t>
      </w:r>
      <w:r w:rsidR="00276B20">
        <w:rPr>
          <w:rFonts w:asciiTheme="minorHAnsi" w:hAnsiTheme="minorHAnsi"/>
        </w:rPr>
        <w:t xml:space="preserve">to </w:t>
      </w:r>
      <w:r w:rsidRPr="006E025B">
        <w:rPr>
          <w:rFonts w:asciiTheme="minorHAnsi" w:hAnsiTheme="minorHAnsi"/>
        </w:rPr>
        <w:t xml:space="preserve">the December quarter </w:t>
      </w:r>
      <w:r w:rsidR="00276B20">
        <w:rPr>
          <w:rFonts w:asciiTheme="minorHAnsi" w:hAnsiTheme="minorHAnsi"/>
        </w:rPr>
        <w:t xml:space="preserve">positive </w:t>
      </w:r>
      <w:r w:rsidRPr="006E025B">
        <w:rPr>
          <w:rFonts w:asciiTheme="minorHAnsi" w:hAnsiTheme="minorHAnsi"/>
        </w:rPr>
        <w:t>for the first time in two years. The improvement has especially been seen in some of the poorly performing economies such as Portugal and the Netherlands. Aided by an improving global outlook, exports from the periphery, such as Spain, Ireland and Portugal have picked up.  Accordingly, while the recovery remains weak, uneven and fragile the euro area forecast for 2014 has bee</w:t>
      </w:r>
      <w:r w:rsidR="00D72AD2">
        <w:rPr>
          <w:rFonts w:asciiTheme="minorHAnsi" w:hAnsiTheme="minorHAnsi"/>
        </w:rPr>
        <w:t>n slightly pushed up to 1 </w:t>
      </w:r>
      <w:r w:rsidR="00BA12CA">
        <w:rPr>
          <w:rFonts w:asciiTheme="minorHAnsi" w:hAnsiTheme="minorHAnsi"/>
        </w:rPr>
        <w:t>per </w:t>
      </w:r>
      <w:r w:rsidRPr="006E025B">
        <w:rPr>
          <w:rFonts w:asciiTheme="minorHAnsi" w:hAnsiTheme="minorHAnsi"/>
        </w:rPr>
        <w:t>cent.</w:t>
      </w:r>
    </w:p>
    <w:p w:rsidR="00054F4F" w:rsidRPr="00587BCC" w:rsidRDefault="00054F4F" w:rsidP="006E025B">
      <w:pPr>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2</w:t>
      </w:r>
      <w:r w:rsidRPr="00587BCC">
        <w:rPr>
          <w:rFonts w:asciiTheme="minorHAnsi" w:hAnsiTheme="minorHAnsi"/>
          <w:b/>
        </w:rPr>
        <w:t xml:space="preserve">: </w:t>
      </w:r>
      <w:r w:rsidR="006E025B" w:rsidRPr="006E025B">
        <w:rPr>
          <w:rFonts w:asciiTheme="minorHAnsi" w:hAnsiTheme="minorHAnsi"/>
          <w:b/>
        </w:rPr>
        <w:t>Deflation in the euro area?</w:t>
      </w:r>
    </w:p>
    <w:p w:rsidR="00054F4F" w:rsidRPr="00587BCC" w:rsidRDefault="006E025B" w:rsidP="00054F4F">
      <w:pPr>
        <w:spacing w:line="240" w:lineRule="auto"/>
        <w:jc w:val="left"/>
        <w:rPr>
          <w:rFonts w:asciiTheme="minorHAnsi" w:hAnsiTheme="minorHAnsi"/>
        </w:rPr>
      </w:pPr>
      <w:r w:rsidRPr="00DA14B0">
        <w:object w:dxaOrig="4515" w:dyaOrig="4516">
          <v:shape id="_x0000_i1027" type="#_x0000_t75" style="width:224.75pt;height:224.75pt" o:ole="">
            <v:imagedata r:id="rId23" o:title=""/>
          </v:shape>
          <o:OLEObject Type="Link" ProgID="Excel.Sheet.12" ShapeID="_x0000_i1027" DrawAspect="Content" r:id="rId24" UpdateMode="Always">
            <o:LinkType>EnhancedMetaFile</o:LinkType>
            <o:LockedField>false</o:LockedField>
            <o:FieldCodes>\* MERGEFORMAT</o:FieldCodes>
          </o:OLEObject>
        </w:object>
      </w:r>
      <w:r w:rsidR="00054F4F" w:rsidRPr="00587BCC">
        <w:rPr>
          <w:rFonts w:asciiTheme="minorHAnsi" w:hAnsiTheme="minorHAnsi"/>
          <w:sz w:val="16"/>
          <w:szCs w:val="16"/>
        </w:rPr>
        <w:t xml:space="preserve">Source: </w:t>
      </w:r>
      <w:r w:rsidRPr="006E025B">
        <w:rPr>
          <w:rFonts w:asciiTheme="minorHAnsi" w:hAnsiTheme="minorHAnsi"/>
          <w:sz w:val="16"/>
          <w:szCs w:val="16"/>
        </w:rPr>
        <w:t>Thomson Reuters Datastream.</w:t>
      </w:r>
    </w:p>
    <w:p w:rsidR="006E025B" w:rsidRPr="006E025B" w:rsidRDefault="006E025B" w:rsidP="006E025B">
      <w:pPr>
        <w:rPr>
          <w:rFonts w:asciiTheme="minorHAnsi" w:hAnsiTheme="minorHAnsi"/>
        </w:rPr>
      </w:pPr>
      <w:r w:rsidRPr="006E025B">
        <w:rPr>
          <w:rFonts w:asciiTheme="minorHAnsi" w:hAnsiTheme="minorHAnsi"/>
        </w:rPr>
        <w:t>General disinflation in the euro area combined with anaemic growth, may see longer term inflation expectations drift down, raising the risk of deflation. While lower inflation in the periphery, and in some cases deflation, is improving competitiveness</w:t>
      </w:r>
      <w:r w:rsidR="00276B20">
        <w:rPr>
          <w:rFonts w:asciiTheme="minorHAnsi" w:hAnsiTheme="minorHAnsi"/>
        </w:rPr>
        <w:t xml:space="preserve"> relative to G</w:t>
      </w:r>
      <w:r w:rsidRPr="006E025B">
        <w:rPr>
          <w:rFonts w:asciiTheme="minorHAnsi" w:hAnsiTheme="minorHAnsi"/>
        </w:rPr>
        <w:t>ermany, the pr</w:t>
      </w:r>
      <w:r w:rsidR="00D72AD2">
        <w:rPr>
          <w:rFonts w:asciiTheme="minorHAnsi" w:hAnsiTheme="minorHAnsi"/>
        </w:rPr>
        <w:t xml:space="preserve">ospect of widespread deflation </w:t>
      </w:r>
      <w:r w:rsidRPr="006E025B">
        <w:rPr>
          <w:rFonts w:asciiTheme="minorHAnsi" w:hAnsiTheme="minorHAnsi"/>
        </w:rPr>
        <w:t>carries the risk of increasing real debt burdens and prematurely raising real interest rates. Persistent weak inflation outcomes raise the prospect of further monetary expansion, notwithstanding the political complications for the European Central Bank (ECB) in undertaking any form of unconventional monetary policy.</w:t>
      </w:r>
    </w:p>
    <w:p w:rsidR="006E025B" w:rsidRPr="006E025B" w:rsidRDefault="006E025B" w:rsidP="006E025B">
      <w:pPr>
        <w:rPr>
          <w:rFonts w:asciiTheme="minorHAnsi" w:hAnsiTheme="minorHAnsi"/>
          <w:b/>
          <w:color w:val="0000FF"/>
          <w:sz w:val="24"/>
        </w:rPr>
      </w:pPr>
      <w:r w:rsidRPr="006E025B">
        <w:rPr>
          <w:rFonts w:asciiTheme="minorHAnsi" w:hAnsiTheme="minorHAnsi"/>
          <w:b/>
          <w:color w:val="0000FF"/>
          <w:sz w:val="24"/>
        </w:rPr>
        <w:t>Emerging Asia has weakened lately but there are signs of improvement.</w:t>
      </w:r>
    </w:p>
    <w:p w:rsidR="00D72AD2" w:rsidRPr="006E025B" w:rsidRDefault="00D72AD2" w:rsidP="00D72AD2">
      <w:pPr>
        <w:rPr>
          <w:rFonts w:asciiTheme="minorHAnsi" w:hAnsiTheme="minorHAnsi"/>
        </w:rPr>
      </w:pPr>
      <w:r w:rsidRPr="006E025B">
        <w:rPr>
          <w:rFonts w:asciiTheme="minorHAnsi" w:hAnsiTheme="minorHAnsi"/>
        </w:rPr>
        <w:t xml:space="preserve">In India there are early signs of improving conditions on the back of stronger export growth and solid agricultural output. However, weakness in </w:t>
      </w:r>
      <w:r w:rsidRPr="006E025B">
        <w:rPr>
          <w:rFonts w:asciiTheme="minorHAnsi" w:hAnsiTheme="minorHAnsi"/>
        </w:rPr>
        <w:lastRenderedPageBreak/>
        <w:t xml:space="preserve">consumption and investment, the primary drivers of the current slowdown and as much explained by structural as cyclical factors, have so far showed little signs of abating. </w:t>
      </w:r>
      <w:r w:rsidR="00276B20">
        <w:rPr>
          <w:rFonts w:asciiTheme="minorHAnsi" w:hAnsiTheme="minorHAnsi"/>
        </w:rPr>
        <w:t>India’s m</w:t>
      </w:r>
      <w:r w:rsidRPr="006E025B">
        <w:rPr>
          <w:rFonts w:asciiTheme="minorHAnsi" w:hAnsiTheme="minorHAnsi"/>
        </w:rPr>
        <w:t>edium</w:t>
      </w:r>
      <w:r>
        <w:rPr>
          <w:rFonts w:asciiTheme="minorHAnsi" w:hAnsiTheme="minorHAnsi"/>
        </w:rPr>
        <w:t>-</w:t>
      </w:r>
      <w:r w:rsidRPr="006E025B">
        <w:rPr>
          <w:rFonts w:asciiTheme="minorHAnsi" w:hAnsiTheme="minorHAnsi"/>
        </w:rPr>
        <w:t xml:space="preserve">term growth potential remains constrained by </w:t>
      </w:r>
      <w:r w:rsidR="00417D9B" w:rsidRPr="006E025B">
        <w:rPr>
          <w:rFonts w:asciiTheme="minorHAnsi" w:hAnsiTheme="minorHAnsi"/>
        </w:rPr>
        <w:t>significant structural impediments to growth</w:t>
      </w:r>
      <w:r w:rsidR="00417D9B">
        <w:rPr>
          <w:rFonts w:asciiTheme="minorHAnsi" w:hAnsiTheme="minorHAnsi"/>
        </w:rPr>
        <w:t>, a lack of fiscal space to implement reforms and a weak business climate</w:t>
      </w:r>
      <w:r w:rsidRPr="006E025B">
        <w:rPr>
          <w:rFonts w:asciiTheme="minorHAnsi" w:hAnsiTheme="minorHAnsi"/>
        </w:rPr>
        <w:t>. Little reform progress is expected before the general elections commencing in April 2014. In late January, the Reserve Bank of India surprised markets by tightening monetary policy further to offset the sell-off in the rupee and tackle rising inflation. The move comes as the central bank takes steps toward introducing a new monetary policy framework, which includes inflation targeting.</w:t>
      </w:r>
    </w:p>
    <w:p w:rsidR="00D72AD2" w:rsidRDefault="00D72AD2" w:rsidP="00D72AD2">
      <w:pPr>
        <w:rPr>
          <w:rFonts w:asciiTheme="minorHAnsi" w:hAnsiTheme="minorHAnsi"/>
        </w:rPr>
      </w:pPr>
      <w:r w:rsidRPr="006E025B">
        <w:rPr>
          <w:rFonts w:asciiTheme="minorHAnsi" w:hAnsiTheme="minorHAnsi"/>
        </w:rPr>
        <w:t xml:space="preserve">In Indonesia, growth moderated in 2013 with </w:t>
      </w:r>
      <w:r>
        <w:rPr>
          <w:rFonts w:asciiTheme="minorHAnsi" w:hAnsiTheme="minorHAnsi"/>
        </w:rPr>
        <w:t xml:space="preserve">a slowing in </w:t>
      </w:r>
      <w:r w:rsidRPr="006E025B">
        <w:rPr>
          <w:rFonts w:asciiTheme="minorHAnsi" w:hAnsiTheme="minorHAnsi"/>
        </w:rPr>
        <w:t xml:space="preserve">investment </w:t>
      </w:r>
      <w:r>
        <w:rPr>
          <w:rFonts w:asciiTheme="minorHAnsi" w:hAnsiTheme="minorHAnsi"/>
        </w:rPr>
        <w:t xml:space="preserve">on the back of tighter financial conditions, </w:t>
      </w:r>
      <w:r w:rsidRPr="006E025B">
        <w:rPr>
          <w:rFonts w:asciiTheme="minorHAnsi" w:hAnsiTheme="minorHAnsi"/>
        </w:rPr>
        <w:t>and the economy fac</w:t>
      </w:r>
      <w:r>
        <w:rPr>
          <w:rFonts w:asciiTheme="minorHAnsi" w:hAnsiTheme="minorHAnsi"/>
        </w:rPr>
        <w:t>ed</w:t>
      </w:r>
      <w:r w:rsidRPr="006E025B">
        <w:rPr>
          <w:rFonts w:asciiTheme="minorHAnsi" w:hAnsiTheme="minorHAnsi"/>
        </w:rPr>
        <w:t xml:space="preserve"> headwinds from the effects of renewed financial market turbulence and higher subsidised fuel prices. While financial conditions and structural impediments will weigh on growth, resilient domestic demand and a pick-up in exports to advanced economies are expected to support growth at relatively robust levels</w:t>
      </w:r>
      <w:r>
        <w:rPr>
          <w:rFonts w:asciiTheme="minorHAnsi" w:hAnsiTheme="minorHAnsi"/>
        </w:rPr>
        <w:t xml:space="preserve"> of around 5¾ per cent in 2014. </w:t>
      </w:r>
      <w:r w:rsidRPr="006E025B">
        <w:rPr>
          <w:rFonts w:asciiTheme="minorHAnsi" w:hAnsiTheme="minorHAnsi"/>
        </w:rPr>
        <w:t>A key risk is the possibility of political instability and protectionist policies in the lead up to the presidential election in the middle of this year.</w:t>
      </w: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Pr="00587BCC" w:rsidRDefault="00755AF7" w:rsidP="00054F4F">
      <w:pPr>
        <w:rPr>
          <w:rFonts w:asciiTheme="minorHAnsi" w:hAnsiTheme="minorHAnsi"/>
        </w:rPr>
      </w:pPr>
    </w:p>
    <w:p w:rsidR="009E6989" w:rsidRPr="00587BCC" w:rsidRDefault="009E6989" w:rsidP="00F23396">
      <w:pPr>
        <w:rPr>
          <w:rFonts w:asciiTheme="minorHAnsi" w:hAnsiTheme="minorHAnsi"/>
        </w:rPr>
        <w:sectPr w:rsidR="009E6989" w:rsidRPr="00587BCC" w:rsidSect="009E6989">
          <w:type w:val="continuous"/>
          <w:pgSz w:w="11907" w:h="16840" w:code="9"/>
          <w:pgMar w:top="1418" w:right="1100" w:bottom="1418" w:left="1100" w:header="567" w:footer="709" w:gutter="0"/>
          <w:cols w:num="2" w:space="709"/>
          <w:docGrid w:linePitch="272"/>
        </w:sectPr>
      </w:pPr>
    </w:p>
    <w:p w:rsidR="00F23396" w:rsidRPr="00587BCC" w:rsidRDefault="00F23396" w:rsidP="00F23396">
      <w:pPr>
        <w:rPr>
          <w:rFonts w:asciiTheme="minorHAnsi" w:hAnsiTheme="minorHAnsi"/>
        </w:rPr>
      </w:pPr>
    </w:p>
    <w:p w:rsidR="00F0788A" w:rsidRPr="00755AF7" w:rsidRDefault="00851710" w:rsidP="00F0788A">
      <w:pPr>
        <w:pStyle w:val="IntenseQuote"/>
        <w:ind w:left="0"/>
        <w:rPr>
          <w:i w:val="0"/>
          <w:color w:val="0000FF"/>
          <w:sz w:val="28"/>
          <w:szCs w:val="24"/>
        </w:rPr>
      </w:pPr>
      <w:r w:rsidRPr="00755AF7">
        <w:rPr>
          <w:i w:val="0"/>
          <w:color w:val="0000FF"/>
          <w:sz w:val="28"/>
          <w:szCs w:val="24"/>
        </w:rPr>
        <w:t xml:space="preserve">Outlook for the </w:t>
      </w:r>
      <w:r w:rsidR="003268F4" w:rsidRPr="00755AF7">
        <w:rPr>
          <w:i w:val="0"/>
          <w:color w:val="0000FF"/>
          <w:sz w:val="28"/>
          <w:szCs w:val="24"/>
        </w:rPr>
        <w:t xml:space="preserve">Domestic </w:t>
      </w:r>
      <w:r w:rsidR="00E71FBE" w:rsidRPr="00755AF7">
        <w:rPr>
          <w:i w:val="0"/>
          <w:color w:val="0000FF"/>
          <w:sz w:val="28"/>
          <w:szCs w:val="24"/>
        </w:rPr>
        <w:t>E</w:t>
      </w:r>
      <w:r w:rsidRPr="00755AF7">
        <w:rPr>
          <w:i w:val="0"/>
          <w:color w:val="0000FF"/>
          <w:sz w:val="28"/>
          <w:szCs w:val="24"/>
        </w:rPr>
        <w:t>conomy</w:t>
      </w:r>
    </w:p>
    <w:p w:rsidR="00F0788A" w:rsidRPr="00587BCC" w:rsidRDefault="00F0788A" w:rsidP="00FB1B2F">
      <w:pPr>
        <w:pStyle w:val="Bullet"/>
        <w:numPr>
          <w:ilvl w:val="0"/>
          <w:numId w:val="0"/>
        </w:numPr>
        <w:spacing w:line="240" w:lineRule="auto"/>
        <w:jc w:val="left"/>
        <w:rPr>
          <w:rFonts w:asciiTheme="minorHAnsi" w:hAnsiTheme="minorHAnsi"/>
          <w:b/>
          <w:color w:val="003399"/>
          <w:sz w:val="24"/>
        </w:rPr>
        <w:sectPr w:rsidR="00F0788A" w:rsidRPr="00587BCC" w:rsidSect="00F0788A">
          <w:headerReference w:type="default" r:id="rId25"/>
          <w:footerReference w:type="even" r:id="rId26"/>
          <w:footerReference w:type="default" r:id="rId27"/>
          <w:pgSz w:w="11907" w:h="16840" w:code="9"/>
          <w:pgMar w:top="1418" w:right="1100" w:bottom="1418" w:left="1100" w:header="567" w:footer="709" w:gutter="0"/>
          <w:cols w:space="709"/>
          <w:docGrid w:linePitch="272"/>
        </w:sectPr>
      </w:pPr>
    </w:p>
    <w:p w:rsidR="00FB1B2F" w:rsidRPr="00755AF7" w:rsidRDefault="00DC5F14" w:rsidP="00181FB1">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lastRenderedPageBreak/>
        <w:t>Below trend growth as the move away from</w:t>
      </w:r>
      <w:r w:rsidR="00761A98">
        <w:rPr>
          <w:rFonts w:asciiTheme="minorHAnsi" w:hAnsiTheme="minorHAnsi"/>
          <w:b/>
          <w:color w:val="0000FF"/>
          <w:sz w:val="24"/>
        </w:rPr>
        <w:t xml:space="preserve"> resources investment </w:t>
      </w:r>
      <w:r>
        <w:rPr>
          <w:rFonts w:asciiTheme="minorHAnsi" w:hAnsiTheme="minorHAnsi"/>
          <w:b/>
          <w:color w:val="0000FF"/>
          <w:sz w:val="24"/>
        </w:rPr>
        <w:t xml:space="preserve">continues… </w:t>
      </w:r>
    </w:p>
    <w:p w:rsidR="006E591E" w:rsidRDefault="00977811" w:rsidP="00C45535">
      <w:pPr>
        <w:rPr>
          <w:rFonts w:asciiTheme="minorHAnsi" w:hAnsiTheme="minorHAnsi"/>
          <w:lang w:eastAsia="ja-JP"/>
        </w:rPr>
      </w:pPr>
      <w:r>
        <w:rPr>
          <w:rFonts w:asciiTheme="minorHAnsi" w:hAnsiTheme="minorHAnsi"/>
          <w:lang w:eastAsia="ja-JP"/>
        </w:rPr>
        <w:t xml:space="preserve">The outlook for </w:t>
      </w:r>
      <w:r w:rsidR="00276B20">
        <w:rPr>
          <w:rFonts w:asciiTheme="minorHAnsi" w:hAnsiTheme="minorHAnsi"/>
          <w:lang w:eastAsia="ja-JP"/>
        </w:rPr>
        <w:t xml:space="preserve">real </w:t>
      </w:r>
      <w:r>
        <w:rPr>
          <w:rFonts w:asciiTheme="minorHAnsi" w:hAnsiTheme="minorHAnsi"/>
          <w:lang w:eastAsia="ja-JP"/>
        </w:rPr>
        <w:t>GDP continues to be dominated by the opposing effects of a sharp fall in resources investment, a declining terms of trade, and continued fiscal consolidation, against a recovery in the non-resources sectors as they respond to historically low interest rates and a weaker exchange rate over the past year.</w:t>
      </w:r>
    </w:p>
    <w:p w:rsidR="00AD6A9C" w:rsidRDefault="00977811" w:rsidP="00C45535">
      <w:pPr>
        <w:rPr>
          <w:rFonts w:asciiTheme="minorHAnsi" w:hAnsiTheme="minorHAnsi"/>
          <w:lang w:eastAsia="ja-JP"/>
        </w:rPr>
      </w:pPr>
      <w:r>
        <w:rPr>
          <w:rFonts w:asciiTheme="minorHAnsi" w:hAnsiTheme="minorHAnsi"/>
          <w:lang w:eastAsia="ja-JP"/>
        </w:rPr>
        <w:t xml:space="preserve">Since December JEFG, the outlook for the household sector has strengthened, but this has been partly offset by weaker-than-expected investment intentions in the non-resources business sector. </w:t>
      </w:r>
      <w:r w:rsidR="00AD6A9C">
        <w:rPr>
          <w:rFonts w:asciiTheme="minorHAnsi" w:hAnsiTheme="minorHAnsi"/>
          <w:lang w:eastAsia="ja-JP"/>
        </w:rPr>
        <w:t>The profile for resources investment and exports is broadly unchanged.</w:t>
      </w:r>
    </w:p>
    <w:p w:rsidR="00AD6A9C" w:rsidRDefault="00977811" w:rsidP="00AD6A9C">
      <w:pPr>
        <w:rPr>
          <w:rFonts w:asciiTheme="minorHAnsi" w:hAnsiTheme="minorHAnsi"/>
          <w:lang w:eastAsia="ja-JP"/>
        </w:rPr>
      </w:pPr>
      <w:r>
        <w:rPr>
          <w:rFonts w:asciiTheme="minorHAnsi" w:hAnsiTheme="minorHAnsi"/>
          <w:lang w:eastAsia="ja-JP"/>
        </w:rPr>
        <w:t xml:space="preserve">Overall, </w:t>
      </w:r>
      <w:r w:rsidR="00AD6A9C">
        <w:rPr>
          <w:rFonts w:asciiTheme="minorHAnsi" w:hAnsiTheme="minorHAnsi"/>
          <w:lang w:eastAsia="ja-JP"/>
        </w:rPr>
        <w:t xml:space="preserve">forecast </w:t>
      </w:r>
      <w:r>
        <w:rPr>
          <w:rFonts w:asciiTheme="minorHAnsi" w:hAnsiTheme="minorHAnsi"/>
          <w:lang w:eastAsia="ja-JP"/>
        </w:rPr>
        <w:t xml:space="preserve">real GDP growth </w:t>
      </w:r>
      <w:r w:rsidR="00AD6A9C">
        <w:rPr>
          <w:rFonts w:asciiTheme="minorHAnsi" w:hAnsiTheme="minorHAnsi"/>
          <w:lang w:eastAsia="ja-JP"/>
        </w:rPr>
        <w:t xml:space="preserve">in 2013-14 </w:t>
      </w:r>
      <w:r>
        <w:rPr>
          <w:rFonts w:asciiTheme="minorHAnsi" w:hAnsiTheme="minorHAnsi"/>
          <w:lang w:eastAsia="ja-JP"/>
        </w:rPr>
        <w:t xml:space="preserve">has been revised higher </w:t>
      </w:r>
      <w:r w:rsidR="00AD6A9C">
        <w:rPr>
          <w:rFonts w:asciiTheme="minorHAnsi" w:hAnsiTheme="minorHAnsi"/>
          <w:lang w:eastAsia="ja-JP"/>
        </w:rPr>
        <w:t>to 2¾ per cent, from 2½ per cent previously. Forecast growth remains unchanged in 2014-15 and 2015-16 at 2½ per cent and 3 per cent, but an imp</w:t>
      </w:r>
      <w:r w:rsidR="00D01D08">
        <w:rPr>
          <w:rFonts w:asciiTheme="minorHAnsi" w:hAnsiTheme="minorHAnsi"/>
          <w:lang w:eastAsia="ja-JP"/>
        </w:rPr>
        <w:t>r</w:t>
      </w:r>
      <w:r w:rsidR="00AD6A9C">
        <w:rPr>
          <w:rFonts w:asciiTheme="minorHAnsi" w:hAnsiTheme="minorHAnsi"/>
          <w:lang w:eastAsia="ja-JP"/>
        </w:rPr>
        <w:t>ovement in non-resources business investment could generate an upside surprise</w:t>
      </w:r>
      <w:r w:rsidR="0087450B">
        <w:rPr>
          <w:rFonts w:asciiTheme="minorHAnsi" w:hAnsiTheme="minorHAnsi"/>
          <w:lang w:eastAsia="ja-JP"/>
        </w:rPr>
        <w:t xml:space="preserve"> (</w:t>
      </w:r>
      <w:r w:rsidR="00F03AF3">
        <w:rPr>
          <w:rFonts w:asciiTheme="minorHAnsi" w:hAnsiTheme="minorHAnsi"/>
          <w:lang w:eastAsia="ja-JP"/>
        </w:rPr>
        <w:t>C</w:t>
      </w:r>
      <w:r w:rsidR="0087450B">
        <w:rPr>
          <w:rFonts w:asciiTheme="minorHAnsi" w:hAnsiTheme="minorHAnsi"/>
          <w:lang w:eastAsia="ja-JP"/>
        </w:rPr>
        <w:t>hart 3)</w:t>
      </w:r>
      <w:r w:rsidR="00AD6A9C">
        <w:rPr>
          <w:rFonts w:asciiTheme="minorHAnsi" w:hAnsiTheme="minorHAnsi"/>
          <w:lang w:eastAsia="ja-JP"/>
        </w:rPr>
        <w:t>.</w:t>
      </w:r>
    </w:p>
    <w:p w:rsidR="00761A98" w:rsidRPr="00587BCC" w:rsidRDefault="00761A98" w:rsidP="00761A98">
      <w:pPr>
        <w:keepNext/>
        <w:spacing w:after="0"/>
        <w:jc w:val="center"/>
        <w:rPr>
          <w:rFonts w:asciiTheme="minorHAnsi" w:hAnsiTheme="minorHAnsi"/>
          <w:b/>
        </w:rPr>
      </w:pPr>
      <w:r w:rsidRPr="00587BCC">
        <w:rPr>
          <w:rFonts w:asciiTheme="minorHAnsi" w:hAnsiTheme="minorHAnsi"/>
          <w:b/>
        </w:rPr>
        <w:t>Chart 3: Real GDP forecasts</w:t>
      </w:r>
    </w:p>
    <w:p w:rsidR="00BA12CA" w:rsidRDefault="00A72A32" w:rsidP="00A72A32">
      <w:pPr>
        <w:pStyle w:val="ChartGraphic0"/>
      </w:pPr>
      <w:r>
        <w:object w:dxaOrig="4590" w:dyaOrig="4230">
          <v:shape id="_x0000_i1028" type="#_x0000_t75" style="width:229.75pt;height:211.6pt" o:ole="">
            <v:imagedata r:id="rId28" o:title=""/>
          </v:shape>
          <o:OLEObject Type="Link" ProgID="Excel.Sheet.12" ShapeID="_x0000_i1028" DrawAspect="Content" r:id="rId29" UpdateMode="Always">
            <o:LinkType>EnhancedMetaFile</o:LinkType>
            <o:LockedField>false</o:LockedField>
          </o:OLEObject>
        </w:object>
      </w:r>
    </w:p>
    <w:p w:rsidR="00761A98" w:rsidRPr="00587BCC" w:rsidRDefault="00761A98" w:rsidP="00761A98">
      <w:pPr>
        <w:pStyle w:val="ChartGraphic0"/>
        <w:spacing w:after="240"/>
        <w:jc w:val="left"/>
        <w:rPr>
          <w:rFonts w:asciiTheme="minorHAnsi" w:hAnsiTheme="minorHAnsi"/>
        </w:rPr>
      </w:pPr>
      <w:r w:rsidRPr="00587BCC">
        <w:rPr>
          <w:rFonts w:asciiTheme="minorHAnsi" w:hAnsiTheme="minorHAnsi"/>
          <w:color w:val="auto"/>
          <w:kern w:val="2"/>
          <w:sz w:val="16"/>
        </w:rPr>
        <w:t>Source:  ABS cat. no. 5206.0 and Treasury.</w:t>
      </w:r>
    </w:p>
    <w:p w:rsidR="00443DD5" w:rsidRPr="00BA12CA" w:rsidRDefault="00AD6A9C" w:rsidP="00443DD5">
      <w:pPr>
        <w:pStyle w:val="Bullet"/>
        <w:numPr>
          <w:ilvl w:val="0"/>
          <w:numId w:val="0"/>
        </w:numPr>
        <w:rPr>
          <w:rFonts w:asciiTheme="minorHAnsi" w:eastAsiaTheme="minorEastAsia" w:hAnsiTheme="minorHAnsi"/>
          <w:lang w:eastAsia="ja-JP"/>
        </w:rPr>
      </w:pPr>
      <w:r>
        <w:rPr>
          <w:rFonts w:asciiTheme="minorHAnsi" w:hAnsiTheme="minorHAnsi"/>
          <w:lang w:eastAsia="ja-JP"/>
        </w:rPr>
        <w:t>The economic outlook remains uncertain as is evident in the divergent forecasts among the JEFG agencies and the private sector</w:t>
      </w:r>
      <w:r w:rsidR="00443DD5">
        <w:rPr>
          <w:rFonts w:asciiTheme="minorHAnsi" w:hAnsiTheme="minorHAnsi"/>
          <w:lang w:eastAsia="ja-JP"/>
        </w:rPr>
        <w:t xml:space="preserve"> (see Appendix B)</w:t>
      </w:r>
      <w:r>
        <w:rPr>
          <w:rFonts w:asciiTheme="minorHAnsi" w:hAnsiTheme="minorHAnsi"/>
          <w:lang w:eastAsia="ja-JP"/>
        </w:rPr>
        <w:t xml:space="preserve">. Forecast real GDP is broadly in line with the Consensus median </w:t>
      </w:r>
      <w:r w:rsidRPr="00BA12CA">
        <w:rPr>
          <w:rFonts w:asciiTheme="minorHAnsi" w:hAnsiTheme="minorHAnsi"/>
          <w:lang w:eastAsia="ja-JP"/>
        </w:rPr>
        <w:lastRenderedPageBreak/>
        <w:t>forecast</w:t>
      </w:r>
      <w:r w:rsidR="00443DD5" w:rsidRPr="00BA12CA">
        <w:rPr>
          <w:rFonts w:asciiTheme="minorHAnsi" w:eastAsiaTheme="minorEastAsia" w:hAnsiTheme="minorHAnsi"/>
          <w:szCs w:val="20"/>
          <w:lang w:eastAsia="ja-JP"/>
        </w:rPr>
        <w:t>, while the</w:t>
      </w:r>
      <w:r w:rsidR="00443DD5" w:rsidRPr="005C03A9">
        <w:rPr>
          <w:rFonts w:asciiTheme="minorHAnsi" w:eastAsiaTheme="minorEastAsia" w:hAnsiTheme="minorHAnsi"/>
          <w:szCs w:val="20"/>
          <w:lang w:eastAsia="ja-JP"/>
        </w:rPr>
        <w:t xml:space="preserve"> forecast unemployment </w:t>
      </w:r>
      <w:r w:rsidR="00443DD5" w:rsidRPr="00BA12CA">
        <w:rPr>
          <w:rFonts w:asciiTheme="minorHAnsi" w:eastAsiaTheme="minorEastAsia" w:hAnsiTheme="minorHAnsi"/>
          <w:szCs w:val="20"/>
          <w:lang w:eastAsia="ja-JP"/>
        </w:rPr>
        <w:t>rate</w:t>
      </w:r>
      <w:r w:rsidR="005C03A9" w:rsidRPr="00BA12CA">
        <w:rPr>
          <w:rFonts w:asciiTheme="minorHAnsi" w:eastAsiaTheme="minorEastAsia" w:hAnsiTheme="minorHAnsi"/>
          <w:szCs w:val="20"/>
          <w:lang w:eastAsia="ja-JP"/>
        </w:rPr>
        <w:t xml:space="preserve"> is higher than consensus in 2015</w:t>
      </w:r>
      <w:r w:rsidR="00443DD5" w:rsidRPr="00BA12CA">
        <w:rPr>
          <w:rFonts w:asciiTheme="minorHAnsi" w:eastAsiaTheme="minorEastAsia" w:hAnsiTheme="minorHAnsi"/>
          <w:szCs w:val="20"/>
          <w:lang w:eastAsia="ja-JP"/>
        </w:rPr>
        <w:t xml:space="preserve"> and commodity prices are below median expectations</w:t>
      </w:r>
      <w:r w:rsidR="00443DD5" w:rsidRPr="00BA12CA">
        <w:rPr>
          <w:rFonts w:asciiTheme="minorHAnsi" w:eastAsiaTheme="minorEastAsia" w:hAnsiTheme="minorHAnsi"/>
          <w:lang w:eastAsia="ja-JP"/>
        </w:rPr>
        <w:t xml:space="preserve">. </w:t>
      </w:r>
    </w:p>
    <w:p w:rsidR="00761A98" w:rsidRPr="00587BCC" w:rsidRDefault="00761A98" w:rsidP="00761A98">
      <w:pPr>
        <w:pStyle w:val="Bullet"/>
        <w:numPr>
          <w:ilvl w:val="0"/>
          <w:numId w:val="0"/>
        </w:numPr>
        <w:rPr>
          <w:rFonts w:asciiTheme="minorHAnsi" w:eastAsiaTheme="minorEastAsia" w:hAnsiTheme="minorHAnsi"/>
          <w:lang w:eastAsia="ja-JP"/>
        </w:rPr>
      </w:pPr>
      <w:r w:rsidRPr="00BA12CA">
        <w:rPr>
          <w:rFonts w:asciiTheme="minorHAnsi" w:eastAsiaTheme="minorEastAsia" w:hAnsiTheme="minorHAnsi"/>
          <w:szCs w:val="20"/>
          <w:lang w:eastAsia="ja-JP"/>
        </w:rPr>
        <w:t>The degree of uncertainty can be estimated based on past forecast errors and</w:t>
      </w:r>
      <w:r w:rsidRPr="002E5058">
        <w:rPr>
          <w:rFonts w:asciiTheme="minorHAnsi" w:eastAsiaTheme="minorEastAsia" w:hAnsiTheme="minorHAnsi"/>
          <w:szCs w:val="20"/>
          <w:lang w:eastAsia="ja-JP"/>
        </w:rPr>
        <w:t xml:space="preserve"> presented using confidence intervals. The average annualised real GDP growth over the two years </w:t>
      </w:r>
      <w:r w:rsidR="00C61DAA" w:rsidRPr="002E5058">
        <w:rPr>
          <w:rFonts w:asciiTheme="minorHAnsi" w:eastAsiaTheme="minorEastAsia" w:hAnsiTheme="minorHAnsi"/>
          <w:szCs w:val="20"/>
          <w:lang w:eastAsia="ja-JP"/>
        </w:rPr>
        <w:t xml:space="preserve">from 2012-13 </w:t>
      </w:r>
      <w:r w:rsidRPr="002E5058">
        <w:rPr>
          <w:rFonts w:asciiTheme="minorHAnsi" w:eastAsiaTheme="minorEastAsia" w:hAnsiTheme="minorHAnsi"/>
          <w:szCs w:val="20"/>
          <w:lang w:eastAsia="ja-JP"/>
        </w:rPr>
        <w:t xml:space="preserve">to </w:t>
      </w:r>
      <w:r w:rsidR="00C61DAA" w:rsidRPr="002E5058">
        <w:rPr>
          <w:rFonts w:asciiTheme="minorHAnsi" w:eastAsiaTheme="minorEastAsia" w:hAnsiTheme="minorHAnsi"/>
          <w:szCs w:val="20"/>
          <w:lang w:eastAsia="ja-JP"/>
        </w:rPr>
        <w:t>2014-15</w:t>
      </w:r>
      <w:r w:rsidRPr="002E5058">
        <w:rPr>
          <w:rFonts w:asciiTheme="minorHAnsi" w:eastAsiaTheme="minorEastAsia" w:hAnsiTheme="minorHAnsi"/>
          <w:szCs w:val="20"/>
          <w:lang w:eastAsia="ja-JP"/>
        </w:rPr>
        <w:t xml:space="preserve"> is expected to be </w:t>
      </w:r>
      <w:r w:rsidR="00C61DAA" w:rsidRPr="002E5058">
        <w:rPr>
          <w:rFonts w:asciiTheme="minorHAnsi" w:eastAsiaTheme="minorEastAsia" w:hAnsiTheme="minorHAnsi"/>
          <w:szCs w:val="20"/>
          <w:lang w:eastAsia="ja-JP"/>
        </w:rPr>
        <w:t xml:space="preserve">around 2.6 </w:t>
      </w:r>
      <w:r w:rsidRPr="002E5058">
        <w:rPr>
          <w:rFonts w:asciiTheme="minorHAnsi" w:eastAsiaTheme="minorEastAsia" w:hAnsiTheme="minorHAnsi"/>
          <w:szCs w:val="20"/>
          <w:lang w:eastAsia="ja-JP"/>
        </w:rPr>
        <w:t xml:space="preserve">per cent, with the </w:t>
      </w:r>
      <w:r w:rsidR="00C61DAA" w:rsidRPr="002E5058">
        <w:rPr>
          <w:rFonts w:asciiTheme="minorHAnsi" w:eastAsiaTheme="minorEastAsia" w:hAnsiTheme="minorHAnsi"/>
          <w:szCs w:val="20"/>
          <w:lang w:eastAsia="ja-JP"/>
        </w:rPr>
        <w:t>70</w:t>
      </w:r>
      <w:r w:rsidRPr="002E5058">
        <w:rPr>
          <w:rFonts w:asciiTheme="minorHAnsi" w:eastAsiaTheme="minorEastAsia" w:hAnsiTheme="minorHAnsi"/>
          <w:szCs w:val="20"/>
          <w:lang w:eastAsia="ja-JP"/>
        </w:rPr>
        <w:t xml:space="preserve"> per cent confidence interval from </w:t>
      </w:r>
      <w:r w:rsidR="00C61DAA" w:rsidRPr="002E5058">
        <w:rPr>
          <w:rFonts w:asciiTheme="minorHAnsi" w:eastAsiaTheme="minorEastAsia" w:hAnsiTheme="minorHAnsi"/>
          <w:szCs w:val="20"/>
          <w:lang w:eastAsia="ja-JP"/>
        </w:rPr>
        <w:t xml:space="preserve">1.8 </w:t>
      </w:r>
      <w:r w:rsidRPr="002E5058">
        <w:rPr>
          <w:rFonts w:asciiTheme="minorHAnsi" w:eastAsiaTheme="minorEastAsia" w:hAnsiTheme="minorHAnsi"/>
          <w:szCs w:val="20"/>
          <w:lang w:eastAsia="ja-JP"/>
        </w:rPr>
        <w:t xml:space="preserve">to </w:t>
      </w:r>
      <w:r w:rsidR="00C61DAA" w:rsidRPr="002E5058">
        <w:rPr>
          <w:rFonts w:asciiTheme="minorHAnsi" w:eastAsiaTheme="minorEastAsia" w:hAnsiTheme="minorHAnsi"/>
          <w:szCs w:val="20"/>
          <w:lang w:eastAsia="ja-JP"/>
        </w:rPr>
        <w:t>3.4</w:t>
      </w:r>
      <w:r w:rsidR="007A03DD" w:rsidRPr="002E5058">
        <w:rPr>
          <w:rFonts w:asciiTheme="minorHAnsi" w:eastAsiaTheme="minorEastAsia" w:hAnsiTheme="minorHAnsi"/>
          <w:szCs w:val="20"/>
          <w:lang w:eastAsia="ja-JP"/>
        </w:rPr>
        <w:t xml:space="preserve"> per cent (Chart </w:t>
      </w:r>
      <w:r w:rsidRPr="002E5058">
        <w:rPr>
          <w:rFonts w:asciiTheme="minorHAnsi" w:eastAsiaTheme="minorEastAsia" w:hAnsiTheme="minorHAnsi"/>
          <w:szCs w:val="20"/>
          <w:lang w:eastAsia="ja-JP"/>
        </w:rPr>
        <w:t>4). See Appendix A for an explanation of the confidence interval methodology and its interpretation.</w:t>
      </w:r>
    </w:p>
    <w:p w:rsidR="00761A98" w:rsidRPr="00587BCC" w:rsidRDefault="00761A98" w:rsidP="00761A98">
      <w:pPr>
        <w:keepNext/>
        <w:autoSpaceDE w:val="0"/>
        <w:autoSpaceDN w:val="0"/>
        <w:spacing w:after="0"/>
        <w:jc w:val="center"/>
        <w:rPr>
          <w:rFonts w:asciiTheme="minorHAnsi" w:hAnsiTheme="minorHAnsi"/>
          <w:b/>
          <w:szCs w:val="20"/>
        </w:rPr>
      </w:pPr>
      <w:r w:rsidRPr="00587BCC">
        <w:rPr>
          <w:rFonts w:asciiTheme="minorHAnsi" w:hAnsiTheme="minorHAnsi"/>
          <w:b/>
          <w:szCs w:val="20"/>
        </w:rPr>
        <w:t>Chart 4: Confidence intervals around forecast real GDP</w:t>
      </w:r>
    </w:p>
    <w:p w:rsidR="00761A98" w:rsidRPr="00BA12CA" w:rsidRDefault="007F1931" w:rsidP="00BA12CA">
      <w:pPr>
        <w:pStyle w:val="ChartGraphic0"/>
        <w:jc w:val="left"/>
        <w:rPr>
          <w:rFonts w:asciiTheme="minorHAnsi" w:hAnsiTheme="minorHAnsi"/>
          <w:sz w:val="16"/>
          <w:szCs w:val="16"/>
        </w:rPr>
      </w:pPr>
      <w:r>
        <w:object w:dxaOrig="4230" w:dyaOrig="4230">
          <v:shape id="_x0000_i1029" type="#_x0000_t75" style="width:212.25pt;height:212.25pt" o:ole="">
            <v:imagedata r:id="rId30" o:title=""/>
          </v:shape>
          <o:OLEObject Type="Link" ProgID="Excel.Sheet.8" ShapeID="_x0000_i1029" DrawAspect="Content" r:id="rId31" UpdateMode="Always">
            <o:LinkType>EnhancedMetaFile</o:LinkType>
            <o:LockedField>false</o:LockedField>
          </o:OLEObject>
        </w:object>
      </w:r>
      <w:r w:rsidR="00761A98" w:rsidRPr="00BA12CA">
        <w:rPr>
          <w:rFonts w:asciiTheme="minorHAnsi" w:hAnsiTheme="minorHAnsi"/>
          <w:sz w:val="16"/>
          <w:szCs w:val="16"/>
        </w:rPr>
        <w:t>Note: Confidence intervals are based on Budget forecast errors (please see Appendix A for further information).</w:t>
      </w:r>
    </w:p>
    <w:p w:rsidR="00761A98" w:rsidRPr="00BA12CA" w:rsidRDefault="00761A98" w:rsidP="00BA12CA">
      <w:pPr>
        <w:spacing w:line="240" w:lineRule="auto"/>
        <w:jc w:val="left"/>
        <w:rPr>
          <w:rFonts w:asciiTheme="minorHAnsi" w:hAnsiTheme="minorHAnsi"/>
          <w:sz w:val="16"/>
          <w:szCs w:val="16"/>
        </w:rPr>
      </w:pPr>
      <w:r w:rsidRPr="00BA12CA">
        <w:rPr>
          <w:rFonts w:asciiTheme="minorHAnsi" w:hAnsiTheme="minorHAnsi"/>
          <w:sz w:val="16"/>
          <w:szCs w:val="16"/>
        </w:rPr>
        <w:t>Source: ABS cat. no. 5206.0, Budget papers and Treasury.</w:t>
      </w:r>
    </w:p>
    <w:p w:rsidR="00443DD5" w:rsidRDefault="00443DD5" w:rsidP="00443DD5">
      <w:pPr>
        <w:rPr>
          <w:rFonts w:asciiTheme="minorHAnsi" w:hAnsiTheme="minorHAnsi"/>
          <w:lang w:eastAsia="ja-JP"/>
        </w:rPr>
      </w:pPr>
      <w:r>
        <w:rPr>
          <w:rFonts w:asciiTheme="minorHAnsi" w:hAnsiTheme="minorHAnsi"/>
          <w:lang w:eastAsia="ja-JP"/>
        </w:rPr>
        <w:t>The JEFG forecasts are based on an interest rate profile consistent with market expectations and includes two 25 basis point interest rate increases by the end of 2015, an</w:t>
      </w:r>
      <w:r w:rsidR="005E23CD">
        <w:rPr>
          <w:rFonts w:asciiTheme="minorHAnsi" w:hAnsiTheme="minorHAnsi"/>
          <w:lang w:eastAsia="ja-JP"/>
        </w:rPr>
        <w:t xml:space="preserve">d an exchange rate that remains unchanged at a trade weighted index of around 69 and a US </w:t>
      </w:r>
      <w:r w:rsidR="00D06E04">
        <w:rPr>
          <w:rFonts w:asciiTheme="minorHAnsi" w:hAnsiTheme="minorHAnsi"/>
          <w:lang w:eastAsia="ja-JP"/>
        </w:rPr>
        <w:t>exchange rate of around US 90c.</w:t>
      </w:r>
    </w:p>
    <w:p w:rsidR="00761A98" w:rsidRPr="0098768B" w:rsidRDefault="00DC5F14" w:rsidP="0098768B">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reflecting a</w:t>
      </w:r>
      <w:r w:rsidR="0098768B" w:rsidRPr="0098768B">
        <w:rPr>
          <w:rFonts w:asciiTheme="minorHAnsi" w:hAnsiTheme="minorHAnsi"/>
          <w:b/>
          <w:color w:val="0000FF"/>
          <w:sz w:val="24"/>
        </w:rPr>
        <w:t>n improved outlook for the household sector</w:t>
      </w:r>
      <w:r>
        <w:rPr>
          <w:rFonts w:asciiTheme="minorHAnsi" w:hAnsiTheme="minorHAnsi"/>
          <w:b/>
          <w:color w:val="0000FF"/>
          <w:sz w:val="24"/>
        </w:rPr>
        <w:t xml:space="preserve"> … </w:t>
      </w:r>
    </w:p>
    <w:p w:rsidR="005E23CD" w:rsidRDefault="005E23CD" w:rsidP="005E23CD">
      <w:pPr>
        <w:rPr>
          <w:rFonts w:asciiTheme="minorHAnsi" w:hAnsiTheme="minorHAnsi"/>
          <w:lang w:eastAsia="ja-JP"/>
        </w:rPr>
      </w:pPr>
      <w:r>
        <w:rPr>
          <w:rFonts w:asciiTheme="minorHAnsi" w:hAnsiTheme="minorHAnsi"/>
          <w:lang w:eastAsia="ja-JP"/>
        </w:rPr>
        <w:t>Forecast c</w:t>
      </w:r>
      <w:r w:rsidR="0098768B" w:rsidRPr="00C45535">
        <w:rPr>
          <w:rFonts w:asciiTheme="minorHAnsi" w:hAnsiTheme="minorHAnsi"/>
          <w:lang w:eastAsia="ja-JP"/>
        </w:rPr>
        <w:t xml:space="preserve">onsumption growth </w:t>
      </w:r>
      <w:r>
        <w:rPr>
          <w:rFonts w:asciiTheme="minorHAnsi" w:hAnsiTheme="minorHAnsi"/>
          <w:lang w:eastAsia="ja-JP"/>
        </w:rPr>
        <w:t xml:space="preserve">has been revised higher since </w:t>
      </w:r>
      <w:r w:rsidR="0098768B">
        <w:rPr>
          <w:rFonts w:asciiTheme="minorHAnsi" w:hAnsiTheme="minorHAnsi"/>
          <w:lang w:eastAsia="ja-JP"/>
        </w:rPr>
        <w:t xml:space="preserve">December </w:t>
      </w:r>
      <w:r w:rsidR="00443DD5">
        <w:rPr>
          <w:rFonts w:asciiTheme="minorHAnsi" w:hAnsiTheme="minorHAnsi"/>
          <w:lang w:eastAsia="ja-JP"/>
        </w:rPr>
        <w:t>JEFG</w:t>
      </w:r>
      <w:r w:rsidR="0098768B" w:rsidRPr="00C45535">
        <w:rPr>
          <w:rFonts w:asciiTheme="minorHAnsi" w:hAnsiTheme="minorHAnsi"/>
          <w:lang w:eastAsia="ja-JP"/>
        </w:rPr>
        <w:t xml:space="preserve">. </w:t>
      </w:r>
      <w:r>
        <w:rPr>
          <w:rFonts w:asciiTheme="minorHAnsi" w:hAnsiTheme="minorHAnsi"/>
          <w:lang w:eastAsia="ja-JP"/>
        </w:rPr>
        <w:t xml:space="preserve">Household consumption is forecast to grow by 2½ per cent </w:t>
      </w:r>
      <w:r w:rsidRPr="00C45535">
        <w:rPr>
          <w:rFonts w:asciiTheme="minorHAnsi" w:hAnsiTheme="minorHAnsi"/>
          <w:lang w:eastAsia="ja-JP"/>
        </w:rPr>
        <w:t>2013-14</w:t>
      </w:r>
      <w:r>
        <w:rPr>
          <w:rFonts w:asciiTheme="minorHAnsi" w:hAnsiTheme="minorHAnsi"/>
          <w:lang w:eastAsia="ja-JP"/>
        </w:rPr>
        <w:t>, 3 per cent</w:t>
      </w:r>
      <w:r w:rsidRPr="00C45535">
        <w:rPr>
          <w:rFonts w:asciiTheme="minorHAnsi" w:hAnsiTheme="minorHAnsi"/>
          <w:lang w:eastAsia="ja-JP"/>
        </w:rPr>
        <w:t xml:space="preserve"> </w:t>
      </w:r>
      <w:r>
        <w:rPr>
          <w:rFonts w:asciiTheme="minorHAnsi" w:hAnsiTheme="minorHAnsi"/>
          <w:lang w:eastAsia="ja-JP"/>
        </w:rPr>
        <w:t xml:space="preserve">in </w:t>
      </w:r>
      <w:r w:rsidRPr="00C45535">
        <w:rPr>
          <w:rFonts w:asciiTheme="minorHAnsi" w:hAnsiTheme="minorHAnsi"/>
          <w:lang w:eastAsia="ja-JP"/>
        </w:rPr>
        <w:t>2014-15</w:t>
      </w:r>
      <w:r>
        <w:rPr>
          <w:rFonts w:asciiTheme="minorHAnsi" w:hAnsiTheme="minorHAnsi"/>
          <w:lang w:eastAsia="ja-JP"/>
        </w:rPr>
        <w:t xml:space="preserve"> and 3¼ per cent in 2015-16, as the household </w:t>
      </w:r>
      <w:r>
        <w:rPr>
          <w:rFonts w:asciiTheme="minorHAnsi" w:hAnsiTheme="minorHAnsi"/>
          <w:lang w:eastAsia="ja-JP"/>
        </w:rPr>
        <w:lastRenderedPageBreak/>
        <w:t>sector and other parts of the non-resources economy continue</w:t>
      </w:r>
      <w:r w:rsidR="001C4594">
        <w:rPr>
          <w:rFonts w:asciiTheme="minorHAnsi" w:hAnsiTheme="minorHAnsi"/>
          <w:lang w:eastAsia="ja-JP"/>
        </w:rPr>
        <w:t xml:space="preserve"> to respond to </w:t>
      </w:r>
      <w:r>
        <w:rPr>
          <w:rFonts w:asciiTheme="minorHAnsi" w:hAnsiTheme="minorHAnsi"/>
          <w:lang w:eastAsia="ja-JP"/>
        </w:rPr>
        <w:t>low interest rate</w:t>
      </w:r>
      <w:r w:rsidR="00276B20">
        <w:rPr>
          <w:rFonts w:asciiTheme="minorHAnsi" w:hAnsiTheme="minorHAnsi"/>
          <w:lang w:eastAsia="ja-JP"/>
        </w:rPr>
        <w:t>s</w:t>
      </w:r>
      <w:r>
        <w:rPr>
          <w:rFonts w:asciiTheme="minorHAnsi" w:hAnsiTheme="minorHAnsi"/>
          <w:lang w:eastAsia="ja-JP"/>
        </w:rPr>
        <w:t xml:space="preserve">. </w:t>
      </w:r>
    </w:p>
    <w:p w:rsidR="002D3379" w:rsidRDefault="007814BC" w:rsidP="00C45535">
      <w:pPr>
        <w:rPr>
          <w:rFonts w:asciiTheme="minorHAnsi" w:hAnsiTheme="minorHAnsi"/>
          <w:lang w:eastAsia="ja-JP"/>
        </w:rPr>
      </w:pPr>
      <w:r>
        <w:rPr>
          <w:rFonts w:asciiTheme="minorHAnsi" w:hAnsiTheme="minorHAnsi"/>
          <w:lang w:eastAsia="ja-JP"/>
        </w:rPr>
        <w:t>Recent gains in household wealth have been driven by rising equity and house prices</w:t>
      </w:r>
      <w:r w:rsidR="0087450B">
        <w:rPr>
          <w:rFonts w:asciiTheme="minorHAnsi" w:hAnsiTheme="minorHAnsi"/>
          <w:lang w:eastAsia="ja-JP"/>
        </w:rPr>
        <w:t xml:space="preserve"> (</w:t>
      </w:r>
      <w:r w:rsidR="00F03AF3">
        <w:rPr>
          <w:rFonts w:asciiTheme="minorHAnsi" w:hAnsiTheme="minorHAnsi"/>
          <w:lang w:eastAsia="ja-JP"/>
        </w:rPr>
        <w:t>C</w:t>
      </w:r>
      <w:r w:rsidR="0087450B">
        <w:rPr>
          <w:rFonts w:asciiTheme="minorHAnsi" w:hAnsiTheme="minorHAnsi"/>
          <w:lang w:eastAsia="ja-JP"/>
        </w:rPr>
        <w:t>hart 5)</w:t>
      </w:r>
      <w:r>
        <w:rPr>
          <w:rFonts w:asciiTheme="minorHAnsi" w:hAnsiTheme="minorHAnsi"/>
          <w:lang w:eastAsia="ja-JP"/>
        </w:rPr>
        <w:t>. Consumption has responded to these gains</w:t>
      </w:r>
      <w:r w:rsidR="00B74DB4">
        <w:rPr>
          <w:rFonts w:asciiTheme="minorHAnsi" w:hAnsiTheme="minorHAnsi"/>
          <w:lang w:eastAsia="ja-JP"/>
        </w:rPr>
        <w:t xml:space="preserve"> growing at an annualised rate of 3 per cent over t</w:t>
      </w:r>
      <w:r w:rsidR="002D3379">
        <w:rPr>
          <w:rFonts w:asciiTheme="minorHAnsi" w:hAnsiTheme="minorHAnsi"/>
          <w:lang w:eastAsia="ja-JP"/>
        </w:rPr>
        <w:t>he second half of 2013</w:t>
      </w:r>
      <w:r w:rsidR="00D5242C">
        <w:rPr>
          <w:rFonts w:asciiTheme="minorHAnsi" w:hAnsiTheme="minorHAnsi"/>
          <w:lang w:eastAsia="ja-JP"/>
        </w:rPr>
        <w:t>, despite ongoing weakness in labour income growth</w:t>
      </w:r>
      <w:r w:rsidR="002D3379">
        <w:rPr>
          <w:rFonts w:asciiTheme="minorHAnsi" w:hAnsiTheme="minorHAnsi"/>
          <w:lang w:eastAsia="ja-JP"/>
        </w:rPr>
        <w:t xml:space="preserve">. </w:t>
      </w:r>
    </w:p>
    <w:p w:rsidR="003D4244" w:rsidRPr="003D4244" w:rsidRDefault="003D4244" w:rsidP="003D4244">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sidR="0087450B">
        <w:rPr>
          <w:rFonts w:asciiTheme="minorHAnsi" w:hAnsiTheme="minorHAnsi"/>
          <w:b/>
          <w:szCs w:val="20"/>
        </w:rPr>
        <w:t>5</w:t>
      </w:r>
      <w:r w:rsidRPr="003D4244">
        <w:rPr>
          <w:rFonts w:asciiTheme="minorHAnsi" w:hAnsiTheme="minorHAnsi"/>
          <w:b/>
          <w:szCs w:val="20"/>
        </w:rPr>
        <w:t xml:space="preserve">: </w:t>
      </w:r>
      <w:r w:rsidR="00D5242C">
        <w:rPr>
          <w:rFonts w:asciiTheme="minorHAnsi" w:hAnsiTheme="minorHAnsi"/>
          <w:b/>
          <w:szCs w:val="20"/>
        </w:rPr>
        <w:t>H</w:t>
      </w:r>
      <w:r w:rsidRPr="003D4244">
        <w:rPr>
          <w:rFonts w:asciiTheme="minorHAnsi" w:hAnsiTheme="minorHAnsi"/>
          <w:b/>
          <w:szCs w:val="20"/>
        </w:rPr>
        <w:t>ouse and equity prices</w:t>
      </w:r>
    </w:p>
    <w:p w:rsidR="003D4244" w:rsidRDefault="00A47D35" w:rsidP="005131F5">
      <w:pPr>
        <w:pStyle w:val="ChartGraphic0"/>
      </w:pPr>
      <w:r>
        <w:object w:dxaOrig="4530" w:dyaOrig="4515">
          <v:shape id="_x0000_i1030" type="#_x0000_t75" style="width:226.65pt;height:226pt" o:ole="">
            <v:imagedata r:id="rId32" o:title=""/>
          </v:shape>
          <o:OLEObject Type="Link" ProgID="Excel.Sheet.12" ShapeID="_x0000_i1030" DrawAspect="Content" r:id="rId33" UpdateMode="Always">
            <o:LinkType>EnhancedMetaFile</o:LinkType>
            <o:LockedField>false</o:LockedField>
          </o:OLEObject>
        </w:object>
      </w:r>
    </w:p>
    <w:p w:rsidR="00BA12CA" w:rsidRPr="00587BCC" w:rsidRDefault="00BA12CA" w:rsidP="00BA12CA">
      <w:pPr>
        <w:pStyle w:val="ChartGraphic0"/>
        <w:spacing w:after="240"/>
        <w:jc w:val="left"/>
        <w:rPr>
          <w:rFonts w:asciiTheme="minorHAnsi" w:hAnsiTheme="minorHAnsi"/>
        </w:rPr>
      </w:pPr>
      <w:r w:rsidRPr="00587BCC">
        <w:rPr>
          <w:rFonts w:asciiTheme="minorHAnsi" w:hAnsiTheme="minorHAnsi"/>
          <w:color w:val="auto"/>
          <w:kern w:val="2"/>
          <w:sz w:val="16"/>
        </w:rPr>
        <w:t xml:space="preserve">Source:  ABS cat. no. </w:t>
      </w:r>
      <w:r>
        <w:rPr>
          <w:rFonts w:asciiTheme="minorHAnsi" w:hAnsiTheme="minorHAnsi"/>
          <w:color w:val="auto"/>
          <w:kern w:val="2"/>
          <w:sz w:val="16"/>
        </w:rPr>
        <w:t>6416.0</w:t>
      </w:r>
      <w:r w:rsidR="001C4594">
        <w:rPr>
          <w:rFonts w:asciiTheme="minorHAnsi" w:hAnsiTheme="minorHAnsi"/>
          <w:color w:val="auto"/>
          <w:kern w:val="2"/>
          <w:sz w:val="16"/>
        </w:rPr>
        <w:t xml:space="preserve"> and RBA</w:t>
      </w:r>
      <w:r w:rsidRPr="00587BCC">
        <w:rPr>
          <w:rFonts w:asciiTheme="minorHAnsi" w:hAnsiTheme="minorHAnsi"/>
          <w:color w:val="auto"/>
          <w:kern w:val="2"/>
          <w:sz w:val="16"/>
        </w:rPr>
        <w:t>.</w:t>
      </w:r>
    </w:p>
    <w:p w:rsidR="00443DD5" w:rsidRDefault="00D01D08" w:rsidP="00443DD5">
      <w:pPr>
        <w:rPr>
          <w:rFonts w:asciiTheme="minorHAnsi" w:hAnsiTheme="minorHAnsi"/>
          <w:lang w:eastAsia="ja-JP"/>
        </w:rPr>
      </w:pPr>
      <w:r>
        <w:rPr>
          <w:rFonts w:asciiTheme="minorHAnsi" w:hAnsiTheme="minorHAnsi"/>
          <w:lang w:eastAsia="ja-JP"/>
        </w:rPr>
        <w:t>The recent improvement in consumption at a time of modest income growth has generated a decline</w:t>
      </w:r>
      <w:r w:rsidR="00A4526C">
        <w:rPr>
          <w:rFonts w:asciiTheme="minorHAnsi" w:hAnsiTheme="minorHAnsi"/>
          <w:lang w:eastAsia="ja-JP"/>
        </w:rPr>
        <w:t xml:space="preserve"> </w:t>
      </w:r>
      <w:r>
        <w:rPr>
          <w:rFonts w:asciiTheme="minorHAnsi" w:hAnsiTheme="minorHAnsi"/>
          <w:lang w:eastAsia="ja-JP"/>
        </w:rPr>
        <w:t>in the household saving ratio</w:t>
      </w:r>
      <w:r w:rsidR="00443DD5">
        <w:rPr>
          <w:rFonts w:asciiTheme="minorHAnsi" w:hAnsiTheme="minorHAnsi"/>
          <w:lang w:eastAsia="ja-JP"/>
        </w:rPr>
        <w:t xml:space="preserve">. </w:t>
      </w:r>
      <w:r w:rsidR="002C6DAC">
        <w:rPr>
          <w:rFonts w:asciiTheme="minorHAnsi" w:hAnsiTheme="minorHAnsi"/>
          <w:lang w:eastAsia="ja-JP"/>
        </w:rPr>
        <w:t xml:space="preserve">After peaking in </w:t>
      </w:r>
      <w:r w:rsidR="002D3379">
        <w:rPr>
          <w:rFonts w:asciiTheme="minorHAnsi" w:hAnsiTheme="minorHAnsi"/>
          <w:lang w:eastAsia="ja-JP"/>
        </w:rPr>
        <w:t>early 2012 the trend saving ratio</w:t>
      </w:r>
      <w:r w:rsidR="002C6DAC">
        <w:rPr>
          <w:rFonts w:asciiTheme="minorHAnsi" w:hAnsiTheme="minorHAnsi"/>
          <w:lang w:eastAsia="ja-JP"/>
        </w:rPr>
        <w:t xml:space="preserve"> has declined by around 2 percentage points to 9.9 </w:t>
      </w:r>
      <w:r w:rsidR="002D3379">
        <w:rPr>
          <w:rFonts w:asciiTheme="minorHAnsi" w:hAnsiTheme="minorHAnsi"/>
          <w:lang w:eastAsia="ja-JP"/>
        </w:rPr>
        <w:t xml:space="preserve">per cent </w:t>
      </w:r>
      <w:r w:rsidR="002C6DAC">
        <w:rPr>
          <w:rFonts w:asciiTheme="minorHAnsi" w:hAnsiTheme="minorHAnsi"/>
          <w:lang w:eastAsia="ja-JP"/>
        </w:rPr>
        <w:t xml:space="preserve">in the December </w:t>
      </w:r>
      <w:r w:rsidR="00BA12CA">
        <w:rPr>
          <w:rFonts w:asciiTheme="minorHAnsi" w:hAnsiTheme="minorHAnsi"/>
          <w:lang w:eastAsia="ja-JP"/>
        </w:rPr>
        <w:t xml:space="preserve">2013 </w:t>
      </w:r>
      <w:r w:rsidR="005E23CD">
        <w:rPr>
          <w:rFonts w:asciiTheme="minorHAnsi" w:hAnsiTheme="minorHAnsi"/>
          <w:lang w:eastAsia="ja-JP"/>
        </w:rPr>
        <w:t>quarter (</w:t>
      </w:r>
      <w:r w:rsidR="00F03AF3">
        <w:rPr>
          <w:rFonts w:asciiTheme="minorHAnsi" w:hAnsiTheme="minorHAnsi"/>
          <w:lang w:eastAsia="ja-JP"/>
        </w:rPr>
        <w:t>C</w:t>
      </w:r>
      <w:r w:rsidR="005E23CD">
        <w:rPr>
          <w:rFonts w:asciiTheme="minorHAnsi" w:hAnsiTheme="minorHAnsi"/>
          <w:lang w:eastAsia="ja-JP"/>
        </w:rPr>
        <w:t>hart 6).</w:t>
      </w:r>
    </w:p>
    <w:p w:rsidR="00145CFC" w:rsidRPr="0087450B" w:rsidRDefault="00595D48" w:rsidP="0087450B">
      <w:pPr>
        <w:rPr>
          <w:rFonts w:asciiTheme="minorHAnsi" w:hAnsiTheme="minorHAnsi"/>
          <w:lang w:eastAsia="ja-JP"/>
        </w:rPr>
      </w:pPr>
      <w:r w:rsidRPr="00C45535">
        <w:rPr>
          <w:rFonts w:asciiTheme="minorHAnsi" w:hAnsiTheme="minorHAnsi"/>
          <w:lang w:eastAsia="ja-JP"/>
        </w:rPr>
        <w:t xml:space="preserve">Household income is expected to </w:t>
      </w:r>
      <w:r w:rsidR="001040D3">
        <w:rPr>
          <w:rFonts w:asciiTheme="minorHAnsi" w:hAnsiTheme="minorHAnsi"/>
          <w:lang w:eastAsia="ja-JP"/>
        </w:rPr>
        <w:t xml:space="preserve">grow a little more strongly than </w:t>
      </w:r>
      <w:r w:rsidR="00C858CE">
        <w:rPr>
          <w:rFonts w:asciiTheme="minorHAnsi" w:hAnsiTheme="minorHAnsi"/>
          <w:lang w:eastAsia="ja-JP"/>
        </w:rPr>
        <w:t xml:space="preserve">expected in </w:t>
      </w:r>
      <w:r w:rsidR="001040D3">
        <w:rPr>
          <w:rFonts w:asciiTheme="minorHAnsi" w:hAnsiTheme="minorHAnsi"/>
          <w:lang w:eastAsia="ja-JP"/>
        </w:rPr>
        <w:t>December</w:t>
      </w:r>
      <w:r w:rsidR="003F234D">
        <w:rPr>
          <w:rFonts w:asciiTheme="minorHAnsi" w:hAnsiTheme="minorHAnsi"/>
          <w:lang w:eastAsia="ja-JP"/>
        </w:rPr>
        <w:t>, reflecting slightly stronger wages growth,</w:t>
      </w:r>
      <w:r w:rsidR="001040D3">
        <w:rPr>
          <w:rFonts w:asciiTheme="minorHAnsi" w:hAnsiTheme="minorHAnsi"/>
          <w:lang w:eastAsia="ja-JP"/>
        </w:rPr>
        <w:t xml:space="preserve"> but still </w:t>
      </w:r>
      <w:r w:rsidR="003F234D">
        <w:rPr>
          <w:rFonts w:asciiTheme="minorHAnsi" w:hAnsiTheme="minorHAnsi"/>
          <w:lang w:eastAsia="ja-JP"/>
        </w:rPr>
        <w:t xml:space="preserve">remain weak by historical standards. </w:t>
      </w:r>
      <w:r w:rsidR="005E23CD">
        <w:rPr>
          <w:rFonts w:asciiTheme="minorHAnsi" w:hAnsiTheme="minorHAnsi"/>
          <w:lang w:eastAsia="ja-JP"/>
        </w:rPr>
        <w:t>G</w:t>
      </w:r>
      <w:r w:rsidR="00A4526C">
        <w:rPr>
          <w:rFonts w:asciiTheme="minorHAnsi" w:hAnsiTheme="minorHAnsi"/>
          <w:lang w:eastAsia="ja-JP"/>
        </w:rPr>
        <w:t xml:space="preserve">ains in household wealth are expected to support </w:t>
      </w:r>
      <w:r w:rsidR="003C669E">
        <w:rPr>
          <w:rFonts w:asciiTheme="minorHAnsi" w:hAnsiTheme="minorHAnsi"/>
          <w:lang w:eastAsia="ja-JP"/>
        </w:rPr>
        <w:t xml:space="preserve">a </w:t>
      </w:r>
      <w:r w:rsidR="00A4526C">
        <w:rPr>
          <w:rFonts w:asciiTheme="minorHAnsi" w:hAnsiTheme="minorHAnsi"/>
          <w:lang w:eastAsia="ja-JP"/>
        </w:rPr>
        <w:t>further modest decline in the saving ratio to 8¾ per cent in 2015-16</w:t>
      </w:r>
      <w:r w:rsidR="005E23CD">
        <w:rPr>
          <w:rFonts w:asciiTheme="minorHAnsi" w:hAnsiTheme="minorHAnsi"/>
          <w:lang w:eastAsia="ja-JP"/>
        </w:rPr>
        <w:t>.</w:t>
      </w:r>
    </w:p>
    <w:p w:rsidR="00145CFC" w:rsidRPr="003D4244" w:rsidRDefault="00145CFC" w:rsidP="00BA12CA">
      <w:pPr>
        <w:keepNext/>
        <w:autoSpaceDE w:val="0"/>
        <w:autoSpaceDN w:val="0"/>
        <w:spacing w:after="0"/>
        <w:jc w:val="center"/>
        <w:rPr>
          <w:rFonts w:asciiTheme="minorHAnsi" w:hAnsiTheme="minorHAnsi"/>
          <w:b/>
          <w:szCs w:val="20"/>
        </w:rPr>
      </w:pPr>
      <w:r w:rsidRPr="003D4244">
        <w:rPr>
          <w:rFonts w:asciiTheme="minorHAnsi" w:hAnsiTheme="minorHAnsi"/>
          <w:b/>
          <w:szCs w:val="20"/>
        </w:rPr>
        <w:lastRenderedPageBreak/>
        <w:t xml:space="preserve">Chart </w:t>
      </w:r>
      <w:r w:rsidR="0087450B">
        <w:rPr>
          <w:rFonts w:asciiTheme="minorHAnsi" w:hAnsiTheme="minorHAnsi"/>
          <w:b/>
          <w:szCs w:val="20"/>
        </w:rPr>
        <w:t>6</w:t>
      </w:r>
      <w:r w:rsidRPr="003D4244">
        <w:rPr>
          <w:rFonts w:asciiTheme="minorHAnsi" w:hAnsiTheme="minorHAnsi"/>
          <w:b/>
          <w:szCs w:val="20"/>
        </w:rPr>
        <w:t xml:space="preserve">: </w:t>
      </w:r>
      <w:r w:rsidR="00B24EBA">
        <w:rPr>
          <w:rFonts w:asciiTheme="minorHAnsi" w:hAnsiTheme="minorHAnsi"/>
          <w:b/>
          <w:szCs w:val="20"/>
        </w:rPr>
        <w:t>Trend h</w:t>
      </w:r>
      <w:r w:rsidRPr="003D4244">
        <w:rPr>
          <w:rFonts w:asciiTheme="minorHAnsi" w:hAnsiTheme="minorHAnsi"/>
          <w:b/>
          <w:szCs w:val="20"/>
        </w:rPr>
        <w:t xml:space="preserve">ousehold </w:t>
      </w:r>
      <w:r>
        <w:rPr>
          <w:rFonts w:asciiTheme="minorHAnsi" w:hAnsiTheme="minorHAnsi"/>
          <w:b/>
          <w:szCs w:val="20"/>
        </w:rPr>
        <w:t>savings rate</w:t>
      </w:r>
    </w:p>
    <w:p w:rsidR="00145CFC" w:rsidRDefault="00321AF2" w:rsidP="00B24EBA">
      <w:pPr>
        <w:pStyle w:val="TableGraphic0"/>
      </w:pPr>
      <w:r>
        <w:object w:dxaOrig="4516" w:dyaOrig="4530">
          <v:shape id="_x0000_i1031" type="#_x0000_t75" style="width:226pt;height:226.65pt" o:ole="">
            <v:imagedata r:id="rId34" o:title=""/>
          </v:shape>
          <o:OLEObject Type="Link" ProgID="Excel.Sheet.12" ShapeID="_x0000_i1031" DrawAspect="Content" r:id="rId35" UpdateMode="Always">
            <o:LinkType>EnhancedMetaFile</o:LinkType>
            <o:LockedField>false</o:LockedField>
          </o:OLEObject>
        </w:object>
      </w:r>
    </w:p>
    <w:p w:rsidR="00BA12CA" w:rsidRPr="00587BCC" w:rsidRDefault="00BA12CA" w:rsidP="00BA12CA">
      <w:pPr>
        <w:pStyle w:val="ChartGraphic0"/>
        <w:spacing w:after="240"/>
        <w:jc w:val="left"/>
        <w:rPr>
          <w:rFonts w:asciiTheme="minorHAnsi" w:hAnsiTheme="minorHAnsi"/>
        </w:rPr>
      </w:pPr>
      <w:r w:rsidRPr="00587BCC">
        <w:rPr>
          <w:rFonts w:asciiTheme="minorHAnsi" w:hAnsiTheme="minorHAnsi"/>
          <w:color w:val="auto"/>
          <w:kern w:val="2"/>
          <w:sz w:val="16"/>
        </w:rPr>
        <w:t>Source:  ABS cat. no. 5206.0.</w:t>
      </w:r>
    </w:p>
    <w:p w:rsidR="007820C9" w:rsidRDefault="007820C9" w:rsidP="00D72CBD">
      <w:pPr>
        <w:rPr>
          <w:rFonts w:asciiTheme="minorHAnsi" w:hAnsiTheme="minorHAnsi"/>
          <w:lang w:eastAsia="ja-JP"/>
        </w:rPr>
      </w:pPr>
      <w:r>
        <w:rPr>
          <w:rFonts w:asciiTheme="minorHAnsi" w:hAnsiTheme="minorHAnsi"/>
          <w:lang w:eastAsia="ja-JP"/>
        </w:rPr>
        <w:t xml:space="preserve">Dwelling investment is </w:t>
      </w:r>
      <w:r w:rsidR="00C858CE">
        <w:rPr>
          <w:rFonts w:asciiTheme="minorHAnsi" w:hAnsiTheme="minorHAnsi"/>
          <w:lang w:eastAsia="ja-JP"/>
        </w:rPr>
        <w:t xml:space="preserve">also </w:t>
      </w:r>
      <w:r w:rsidR="00D72CBD">
        <w:rPr>
          <w:rFonts w:asciiTheme="minorHAnsi" w:hAnsiTheme="minorHAnsi"/>
          <w:lang w:eastAsia="ja-JP"/>
        </w:rPr>
        <w:t>forecast</w:t>
      </w:r>
      <w:r>
        <w:rPr>
          <w:rFonts w:asciiTheme="minorHAnsi" w:hAnsiTheme="minorHAnsi"/>
          <w:lang w:eastAsia="ja-JP"/>
        </w:rPr>
        <w:t xml:space="preserve"> to gro</w:t>
      </w:r>
      <w:r w:rsidR="00C858CE">
        <w:rPr>
          <w:rFonts w:asciiTheme="minorHAnsi" w:hAnsiTheme="minorHAnsi"/>
          <w:lang w:eastAsia="ja-JP"/>
        </w:rPr>
        <w:t xml:space="preserve">w more rapidly than </w:t>
      </w:r>
      <w:r w:rsidR="00D72CBD">
        <w:rPr>
          <w:rFonts w:asciiTheme="minorHAnsi" w:hAnsiTheme="minorHAnsi"/>
          <w:lang w:eastAsia="ja-JP"/>
        </w:rPr>
        <w:t xml:space="preserve">expected </w:t>
      </w:r>
      <w:r w:rsidR="00C858CE">
        <w:rPr>
          <w:rFonts w:asciiTheme="minorHAnsi" w:hAnsiTheme="minorHAnsi"/>
          <w:lang w:eastAsia="ja-JP"/>
        </w:rPr>
        <w:t>in December</w:t>
      </w:r>
      <w:r w:rsidR="00D72CBD">
        <w:rPr>
          <w:rFonts w:asciiTheme="minorHAnsi" w:hAnsiTheme="minorHAnsi"/>
          <w:lang w:eastAsia="ja-JP"/>
        </w:rPr>
        <w:t xml:space="preserve">, with leading indicators suggesting that </w:t>
      </w:r>
      <w:r w:rsidR="00125E1A">
        <w:rPr>
          <w:rFonts w:asciiTheme="minorHAnsi" w:hAnsiTheme="minorHAnsi"/>
          <w:lang w:eastAsia="ja-JP"/>
        </w:rPr>
        <w:t>dwelling</w:t>
      </w:r>
      <w:r w:rsidR="00D72CBD">
        <w:rPr>
          <w:rFonts w:asciiTheme="minorHAnsi" w:hAnsiTheme="minorHAnsi"/>
          <w:lang w:eastAsia="ja-JP"/>
        </w:rPr>
        <w:t xml:space="preserve"> construction activity will rise strongly in the near term. </w:t>
      </w:r>
      <w:r w:rsidR="00D5242C">
        <w:rPr>
          <w:rFonts w:asciiTheme="minorHAnsi" w:hAnsiTheme="minorHAnsi"/>
          <w:lang w:eastAsia="ja-JP"/>
        </w:rPr>
        <w:t xml:space="preserve">Dwelling investment </w:t>
      </w:r>
      <w:r w:rsidR="00C858CE">
        <w:rPr>
          <w:rFonts w:asciiTheme="minorHAnsi" w:hAnsiTheme="minorHAnsi"/>
          <w:lang w:eastAsia="ja-JP"/>
        </w:rPr>
        <w:t xml:space="preserve">is forecast to grow by </w:t>
      </w:r>
      <w:r>
        <w:rPr>
          <w:rFonts w:asciiTheme="minorHAnsi" w:hAnsiTheme="minorHAnsi"/>
          <w:lang w:eastAsia="ja-JP"/>
        </w:rPr>
        <w:t xml:space="preserve">3½ per cent in 2013-14, 7½ per cent </w:t>
      </w:r>
      <w:r w:rsidR="00E5181C">
        <w:rPr>
          <w:rFonts w:asciiTheme="minorHAnsi" w:hAnsiTheme="minorHAnsi"/>
          <w:lang w:eastAsia="ja-JP"/>
        </w:rPr>
        <w:t>in 2014</w:t>
      </w:r>
      <w:r w:rsidR="00C858CE">
        <w:rPr>
          <w:rFonts w:asciiTheme="minorHAnsi" w:hAnsiTheme="minorHAnsi"/>
          <w:lang w:eastAsia="ja-JP"/>
        </w:rPr>
        <w:t>-15</w:t>
      </w:r>
      <w:r>
        <w:rPr>
          <w:rFonts w:asciiTheme="minorHAnsi" w:hAnsiTheme="minorHAnsi"/>
          <w:lang w:eastAsia="ja-JP"/>
        </w:rPr>
        <w:t xml:space="preserve"> and 5½ per cent</w:t>
      </w:r>
      <w:r w:rsidR="00E5181C">
        <w:rPr>
          <w:rFonts w:asciiTheme="minorHAnsi" w:hAnsiTheme="minorHAnsi"/>
          <w:lang w:eastAsia="ja-JP"/>
        </w:rPr>
        <w:t xml:space="preserve"> in 2015</w:t>
      </w:r>
      <w:r w:rsidR="00C858CE">
        <w:rPr>
          <w:rFonts w:asciiTheme="minorHAnsi" w:hAnsiTheme="minorHAnsi"/>
          <w:lang w:eastAsia="ja-JP"/>
        </w:rPr>
        <w:noBreakHyphen/>
      </w:r>
      <w:r w:rsidR="00E5181C">
        <w:rPr>
          <w:rFonts w:asciiTheme="minorHAnsi" w:hAnsiTheme="minorHAnsi"/>
          <w:lang w:eastAsia="ja-JP"/>
        </w:rPr>
        <w:t>16</w:t>
      </w:r>
      <w:r>
        <w:rPr>
          <w:rFonts w:asciiTheme="minorHAnsi" w:hAnsiTheme="minorHAnsi"/>
          <w:lang w:eastAsia="ja-JP"/>
        </w:rPr>
        <w:t xml:space="preserve">. </w:t>
      </w:r>
    </w:p>
    <w:p w:rsidR="00BA12CA" w:rsidRDefault="003A2AD8" w:rsidP="00287006">
      <w:pPr>
        <w:rPr>
          <w:rFonts w:asciiTheme="minorHAnsi" w:hAnsiTheme="minorHAnsi"/>
          <w:lang w:eastAsia="ja-JP"/>
        </w:rPr>
      </w:pPr>
      <w:r>
        <w:rPr>
          <w:rFonts w:asciiTheme="minorHAnsi" w:hAnsiTheme="minorHAnsi"/>
          <w:lang w:eastAsia="ja-JP"/>
        </w:rPr>
        <w:t>R</w:t>
      </w:r>
      <w:r w:rsidR="007820C9" w:rsidRPr="00C45535">
        <w:rPr>
          <w:rFonts w:asciiTheme="minorHAnsi" w:hAnsiTheme="minorHAnsi"/>
          <w:lang w:eastAsia="ja-JP"/>
        </w:rPr>
        <w:t xml:space="preserve">ecent outcomes indicate there </w:t>
      </w:r>
      <w:r w:rsidR="006E591E">
        <w:rPr>
          <w:rFonts w:asciiTheme="minorHAnsi" w:hAnsiTheme="minorHAnsi"/>
          <w:lang w:eastAsia="ja-JP"/>
        </w:rPr>
        <w:t>has been</w:t>
      </w:r>
      <w:r w:rsidR="007820C9" w:rsidRPr="00C45535">
        <w:rPr>
          <w:rFonts w:asciiTheme="minorHAnsi" w:hAnsiTheme="minorHAnsi"/>
          <w:lang w:eastAsia="ja-JP"/>
        </w:rPr>
        <w:t xml:space="preserve"> a longer than </w:t>
      </w:r>
      <w:r w:rsidR="00C858CE">
        <w:rPr>
          <w:rFonts w:asciiTheme="minorHAnsi" w:hAnsiTheme="minorHAnsi"/>
          <w:lang w:eastAsia="ja-JP"/>
        </w:rPr>
        <w:t>usual</w:t>
      </w:r>
      <w:r w:rsidR="007820C9" w:rsidRPr="00C45535">
        <w:rPr>
          <w:rFonts w:asciiTheme="minorHAnsi" w:hAnsiTheme="minorHAnsi"/>
          <w:lang w:eastAsia="ja-JP"/>
        </w:rPr>
        <w:t xml:space="preserve"> delay between </w:t>
      </w:r>
      <w:r w:rsidR="00C858CE">
        <w:rPr>
          <w:rFonts w:asciiTheme="minorHAnsi" w:hAnsiTheme="minorHAnsi"/>
          <w:lang w:eastAsia="ja-JP"/>
        </w:rPr>
        <w:t xml:space="preserve">building approvals and </w:t>
      </w:r>
      <w:r w:rsidR="007820C9" w:rsidRPr="00C45535">
        <w:rPr>
          <w:rFonts w:asciiTheme="minorHAnsi" w:hAnsiTheme="minorHAnsi"/>
          <w:lang w:eastAsia="ja-JP"/>
        </w:rPr>
        <w:t>activity</w:t>
      </w:r>
      <w:r>
        <w:rPr>
          <w:rFonts w:asciiTheme="minorHAnsi" w:hAnsiTheme="minorHAnsi"/>
          <w:lang w:eastAsia="ja-JP"/>
        </w:rPr>
        <w:t xml:space="preserve">. </w:t>
      </w:r>
      <w:r w:rsidR="00F20470">
        <w:rPr>
          <w:rFonts w:asciiTheme="minorHAnsi" w:hAnsiTheme="minorHAnsi"/>
          <w:lang w:eastAsia="ja-JP"/>
        </w:rPr>
        <w:t xml:space="preserve">Building approvals for dwellings have risen by </w:t>
      </w:r>
      <w:r w:rsidR="0087450B">
        <w:rPr>
          <w:rFonts w:asciiTheme="minorHAnsi" w:hAnsiTheme="minorHAnsi"/>
          <w:lang w:eastAsia="ja-JP"/>
        </w:rPr>
        <w:t>23</w:t>
      </w:r>
      <w:r w:rsidR="00F20470">
        <w:rPr>
          <w:rFonts w:asciiTheme="minorHAnsi" w:hAnsiTheme="minorHAnsi"/>
          <w:lang w:eastAsia="ja-JP"/>
        </w:rPr>
        <w:t xml:space="preserve"> per cent over the past year, and in trend terms are at their highest level ever</w:t>
      </w:r>
      <w:r w:rsidR="009E3B12">
        <w:rPr>
          <w:rFonts w:asciiTheme="minorHAnsi" w:hAnsiTheme="minorHAnsi"/>
          <w:lang w:eastAsia="ja-JP"/>
        </w:rPr>
        <w:t xml:space="preserve"> (</w:t>
      </w:r>
      <w:r w:rsidR="00F03AF3">
        <w:rPr>
          <w:rFonts w:asciiTheme="minorHAnsi" w:hAnsiTheme="minorHAnsi"/>
          <w:lang w:eastAsia="ja-JP"/>
        </w:rPr>
        <w:t>C</w:t>
      </w:r>
      <w:r w:rsidR="009E3B12">
        <w:rPr>
          <w:rFonts w:asciiTheme="minorHAnsi" w:hAnsiTheme="minorHAnsi"/>
          <w:lang w:eastAsia="ja-JP"/>
        </w:rPr>
        <w:t>hart 7)</w:t>
      </w:r>
      <w:r w:rsidR="00F20470">
        <w:rPr>
          <w:rFonts w:asciiTheme="minorHAnsi" w:hAnsiTheme="minorHAnsi"/>
          <w:lang w:eastAsia="ja-JP"/>
        </w:rPr>
        <w:t xml:space="preserve">. However, dwelling investment is only growing modestly, </w:t>
      </w:r>
      <w:r w:rsidR="003830D3">
        <w:rPr>
          <w:rFonts w:asciiTheme="minorHAnsi" w:hAnsiTheme="minorHAnsi"/>
          <w:lang w:eastAsia="ja-JP"/>
        </w:rPr>
        <w:t xml:space="preserve">with investment in new housing </w:t>
      </w:r>
      <w:r w:rsidR="00F20470">
        <w:rPr>
          <w:rFonts w:asciiTheme="minorHAnsi" w:hAnsiTheme="minorHAnsi"/>
          <w:lang w:eastAsia="ja-JP"/>
        </w:rPr>
        <w:t xml:space="preserve">rising by </w:t>
      </w:r>
      <w:r w:rsidR="003830D3">
        <w:rPr>
          <w:rFonts w:asciiTheme="minorHAnsi" w:hAnsiTheme="minorHAnsi"/>
          <w:lang w:eastAsia="ja-JP"/>
        </w:rPr>
        <w:t>2.7</w:t>
      </w:r>
      <w:r w:rsidR="00F20470">
        <w:rPr>
          <w:rFonts w:asciiTheme="minorHAnsi" w:hAnsiTheme="minorHAnsi"/>
          <w:lang w:eastAsia="ja-JP"/>
        </w:rPr>
        <w:t xml:space="preserve"> per cent through the year and </w:t>
      </w:r>
      <w:r w:rsidR="003830D3">
        <w:rPr>
          <w:rFonts w:asciiTheme="minorHAnsi" w:hAnsiTheme="minorHAnsi"/>
          <w:lang w:eastAsia="ja-JP"/>
        </w:rPr>
        <w:t>falling by 0.1</w:t>
      </w:r>
      <w:r w:rsidR="00F20470">
        <w:rPr>
          <w:rFonts w:asciiTheme="minorHAnsi" w:hAnsiTheme="minorHAnsi"/>
          <w:lang w:eastAsia="ja-JP"/>
        </w:rPr>
        <w:t xml:space="preserve"> per cent in the December quarter. </w:t>
      </w:r>
    </w:p>
    <w:p w:rsidR="00125E1A" w:rsidRDefault="00BA12CA" w:rsidP="00287006">
      <w:pPr>
        <w:rPr>
          <w:rFonts w:asciiTheme="minorHAnsi" w:hAnsiTheme="minorHAnsi"/>
          <w:lang w:eastAsia="ja-JP"/>
        </w:rPr>
      </w:pPr>
      <w:r>
        <w:rPr>
          <w:rFonts w:asciiTheme="minorHAnsi" w:hAnsiTheme="minorHAnsi"/>
          <w:lang w:eastAsia="ja-JP"/>
        </w:rPr>
        <w:t xml:space="preserve">Liaison suggests that part of the reason for the longer than usual delay is the larger contribution being made by higher density approvals, which are more complex projects to manage. If this is the case, dwelling construction activity should rise strongly over the near term, with strong fundamentals, </w:t>
      </w:r>
      <w:r w:rsidR="00D5242C">
        <w:rPr>
          <w:rFonts w:asciiTheme="minorHAnsi" w:hAnsiTheme="minorHAnsi"/>
          <w:lang w:eastAsia="ja-JP"/>
        </w:rPr>
        <w:t xml:space="preserve">including </w:t>
      </w:r>
      <w:r>
        <w:rPr>
          <w:rFonts w:asciiTheme="minorHAnsi" w:hAnsiTheme="minorHAnsi"/>
          <w:lang w:eastAsia="ja-JP"/>
        </w:rPr>
        <w:t>population growth and interest rates, supporting continued growth further out.</w:t>
      </w:r>
    </w:p>
    <w:p w:rsidR="0034085D" w:rsidRPr="003D4244" w:rsidRDefault="003D4244" w:rsidP="0034085D">
      <w:pPr>
        <w:keepNext/>
        <w:autoSpaceDE w:val="0"/>
        <w:autoSpaceDN w:val="0"/>
        <w:spacing w:after="0"/>
        <w:jc w:val="center"/>
        <w:rPr>
          <w:rFonts w:asciiTheme="minorHAnsi" w:hAnsiTheme="minorHAnsi"/>
          <w:b/>
          <w:szCs w:val="20"/>
        </w:rPr>
      </w:pPr>
      <w:r w:rsidRPr="003D4244">
        <w:rPr>
          <w:rFonts w:asciiTheme="minorHAnsi" w:hAnsiTheme="minorHAnsi"/>
          <w:b/>
          <w:szCs w:val="20"/>
        </w:rPr>
        <w:lastRenderedPageBreak/>
        <w:t xml:space="preserve">Chart </w:t>
      </w:r>
      <w:r w:rsidR="009E3B12">
        <w:rPr>
          <w:rFonts w:asciiTheme="minorHAnsi" w:hAnsiTheme="minorHAnsi"/>
          <w:b/>
          <w:szCs w:val="20"/>
        </w:rPr>
        <w:t>7</w:t>
      </w:r>
      <w:r w:rsidRPr="003D4244">
        <w:rPr>
          <w:rFonts w:asciiTheme="minorHAnsi" w:hAnsiTheme="minorHAnsi"/>
          <w:b/>
          <w:szCs w:val="20"/>
        </w:rPr>
        <w:t>: Residential building approvals</w:t>
      </w:r>
    </w:p>
    <w:p w:rsidR="00717ED3" w:rsidRPr="00587BCC" w:rsidRDefault="00917111" w:rsidP="00717ED3">
      <w:pPr>
        <w:pStyle w:val="ChartGraphic0"/>
        <w:spacing w:after="240"/>
        <w:jc w:val="left"/>
        <w:rPr>
          <w:rFonts w:asciiTheme="minorHAnsi" w:hAnsiTheme="minorHAnsi"/>
        </w:rPr>
      </w:pPr>
      <w:r>
        <w:object w:dxaOrig="4500" w:dyaOrig="4530">
          <v:shape id="_x0000_i1032" type="#_x0000_t75" style="width:225.4pt;height:227.25pt" o:ole="">
            <v:imagedata r:id="rId36" o:title=""/>
          </v:shape>
          <o:OLEObject Type="Link" ProgID="Excel.Sheet.12" ShapeID="_x0000_i1032" DrawAspect="Content" r:id="rId37" UpdateMode="Always">
            <o:LinkType>EnhancedMetaFile</o:LinkType>
            <o:LockedField>false</o:LockedField>
          </o:OLEObject>
        </w:object>
      </w:r>
      <w:r w:rsidR="0087450B">
        <w:rPr>
          <w:rFonts w:asciiTheme="minorHAnsi" w:hAnsiTheme="minorHAnsi"/>
          <w:lang w:eastAsia="ja-JP"/>
        </w:rPr>
        <w:t xml:space="preserve"> </w:t>
      </w:r>
      <w:r w:rsidR="00717ED3" w:rsidRPr="00587BCC">
        <w:rPr>
          <w:rFonts w:asciiTheme="minorHAnsi" w:hAnsiTheme="minorHAnsi"/>
          <w:color w:val="auto"/>
          <w:kern w:val="2"/>
          <w:sz w:val="16"/>
        </w:rPr>
        <w:t xml:space="preserve">Source:  ABS cat. no. </w:t>
      </w:r>
      <w:r w:rsidR="00717ED3">
        <w:rPr>
          <w:rFonts w:asciiTheme="minorHAnsi" w:hAnsiTheme="minorHAnsi"/>
          <w:color w:val="auto"/>
          <w:kern w:val="2"/>
          <w:sz w:val="16"/>
        </w:rPr>
        <w:t>8731.0</w:t>
      </w:r>
      <w:r w:rsidR="00717ED3" w:rsidRPr="00587BCC">
        <w:rPr>
          <w:rFonts w:asciiTheme="minorHAnsi" w:hAnsiTheme="minorHAnsi"/>
          <w:color w:val="auto"/>
          <w:kern w:val="2"/>
          <w:sz w:val="16"/>
        </w:rPr>
        <w:t>.</w:t>
      </w:r>
    </w:p>
    <w:p w:rsidR="003D4244" w:rsidRDefault="0087450B" w:rsidP="00BA12CA">
      <w:pPr>
        <w:spacing w:line="240" w:lineRule="auto"/>
        <w:rPr>
          <w:rFonts w:asciiTheme="minorHAnsi" w:hAnsiTheme="minorHAnsi"/>
          <w:lang w:eastAsia="ja-JP"/>
        </w:rPr>
      </w:pPr>
      <w:r w:rsidRPr="00993702">
        <w:rPr>
          <w:rFonts w:asciiTheme="minorHAnsi" w:hAnsiTheme="minorHAnsi"/>
          <w:lang w:eastAsia="ja-JP"/>
        </w:rPr>
        <w:t xml:space="preserve">One development </w:t>
      </w:r>
      <w:r w:rsidR="00D5242C">
        <w:rPr>
          <w:rFonts w:asciiTheme="minorHAnsi" w:hAnsiTheme="minorHAnsi"/>
          <w:lang w:eastAsia="ja-JP"/>
        </w:rPr>
        <w:t>worth</w:t>
      </w:r>
      <w:r w:rsidRPr="00993702">
        <w:rPr>
          <w:rFonts w:asciiTheme="minorHAnsi" w:hAnsiTheme="minorHAnsi"/>
          <w:lang w:eastAsia="ja-JP"/>
        </w:rPr>
        <w:t xml:space="preserve"> watch</w:t>
      </w:r>
      <w:r w:rsidR="00D5242C">
        <w:rPr>
          <w:rFonts w:asciiTheme="minorHAnsi" w:hAnsiTheme="minorHAnsi"/>
          <w:lang w:eastAsia="ja-JP"/>
        </w:rPr>
        <w:t>ing</w:t>
      </w:r>
      <w:r w:rsidRPr="00993702">
        <w:rPr>
          <w:rFonts w:asciiTheme="minorHAnsi" w:hAnsiTheme="minorHAnsi"/>
          <w:lang w:eastAsia="ja-JP"/>
        </w:rPr>
        <w:t xml:space="preserve"> is the recent weakness in alterations and additions, which declined by more than 10 per cent over lat</w:t>
      </w:r>
      <w:r>
        <w:rPr>
          <w:rFonts w:asciiTheme="minorHAnsi" w:hAnsiTheme="minorHAnsi"/>
          <w:lang w:eastAsia="ja-JP"/>
        </w:rPr>
        <w:t>e 2011 and 2012 and has yet to recover. This is surprising given that the c</w:t>
      </w:r>
      <w:r w:rsidRPr="00993702">
        <w:rPr>
          <w:rFonts w:asciiTheme="minorHAnsi" w:hAnsiTheme="minorHAnsi"/>
          <w:lang w:eastAsia="ja-JP"/>
        </w:rPr>
        <w:t xml:space="preserve">onstruction of new dwellings grew over the same period </w:t>
      </w:r>
      <w:r>
        <w:rPr>
          <w:rFonts w:asciiTheme="minorHAnsi" w:hAnsiTheme="minorHAnsi"/>
          <w:lang w:eastAsia="ja-JP"/>
        </w:rPr>
        <w:t xml:space="preserve">and that house prices </w:t>
      </w:r>
      <w:r w:rsidR="00160B07">
        <w:rPr>
          <w:rFonts w:asciiTheme="minorHAnsi" w:hAnsiTheme="minorHAnsi"/>
          <w:lang w:eastAsia="ja-JP"/>
        </w:rPr>
        <w:t xml:space="preserve">and turnover </w:t>
      </w:r>
      <w:r>
        <w:rPr>
          <w:rFonts w:asciiTheme="minorHAnsi" w:hAnsiTheme="minorHAnsi"/>
          <w:lang w:eastAsia="ja-JP"/>
        </w:rPr>
        <w:t>have risen strongly since</w:t>
      </w:r>
      <w:r w:rsidRPr="00993702">
        <w:rPr>
          <w:rFonts w:asciiTheme="minorHAnsi" w:hAnsiTheme="minorHAnsi"/>
          <w:lang w:eastAsia="ja-JP"/>
        </w:rPr>
        <w:t>. The disparity could be due to the difficulty associated with measuring alterations and additions if more of this work is being done directly by home owners. However, some of this activity would appear in consumption if this were the case.</w:t>
      </w:r>
      <w:r>
        <w:rPr>
          <w:rFonts w:asciiTheme="minorHAnsi" w:hAnsiTheme="minorHAnsi"/>
          <w:lang w:eastAsia="ja-JP"/>
        </w:rPr>
        <w:t xml:space="preserve"> </w:t>
      </w:r>
    </w:p>
    <w:p w:rsidR="00B74DB4" w:rsidRPr="00344E47" w:rsidRDefault="00DC5F14" w:rsidP="00344E47">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offset by a steeper</w:t>
      </w:r>
      <w:r w:rsidR="00344E47" w:rsidRPr="00344E47">
        <w:rPr>
          <w:rFonts w:asciiTheme="minorHAnsi" w:hAnsiTheme="minorHAnsi"/>
          <w:b/>
          <w:color w:val="0000FF"/>
          <w:sz w:val="24"/>
        </w:rPr>
        <w:t xml:space="preserve"> decline in business investment</w:t>
      </w:r>
      <w:r>
        <w:rPr>
          <w:rFonts w:asciiTheme="minorHAnsi" w:hAnsiTheme="minorHAnsi"/>
          <w:b/>
          <w:color w:val="0000FF"/>
          <w:sz w:val="24"/>
        </w:rPr>
        <w:t>.</w:t>
      </w:r>
      <w:r w:rsidR="00344E47" w:rsidRPr="00344E47">
        <w:rPr>
          <w:rFonts w:asciiTheme="minorHAnsi" w:hAnsiTheme="minorHAnsi"/>
          <w:b/>
          <w:color w:val="0000FF"/>
          <w:sz w:val="24"/>
        </w:rPr>
        <w:t xml:space="preserve"> </w:t>
      </w:r>
    </w:p>
    <w:p w:rsidR="00E64A9C" w:rsidRDefault="00C246CF" w:rsidP="00E64A9C">
      <w:pPr>
        <w:rPr>
          <w:rFonts w:asciiTheme="minorHAnsi" w:hAnsiTheme="minorHAnsi"/>
          <w:lang w:eastAsia="ja-JP"/>
        </w:rPr>
      </w:pPr>
      <w:r>
        <w:rPr>
          <w:rFonts w:asciiTheme="minorHAnsi" w:hAnsiTheme="minorHAnsi"/>
          <w:lang w:eastAsia="ja-JP"/>
        </w:rPr>
        <w:t xml:space="preserve">A key recent source of uncertainty </w:t>
      </w:r>
      <w:r w:rsidR="009337F0">
        <w:rPr>
          <w:rFonts w:asciiTheme="minorHAnsi" w:hAnsiTheme="minorHAnsi"/>
          <w:lang w:eastAsia="ja-JP"/>
        </w:rPr>
        <w:t>for</w:t>
      </w:r>
      <w:r>
        <w:rPr>
          <w:rFonts w:asciiTheme="minorHAnsi" w:hAnsiTheme="minorHAnsi"/>
          <w:lang w:eastAsia="ja-JP"/>
        </w:rPr>
        <w:t xml:space="preserve"> the outlook has been </w:t>
      </w:r>
      <w:r w:rsidR="005D1B02">
        <w:rPr>
          <w:rFonts w:asciiTheme="minorHAnsi" w:hAnsiTheme="minorHAnsi"/>
          <w:lang w:eastAsia="ja-JP"/>
        </w:rPr>
        <w:t xml:space="preserve">the scale and timing of </w:t>
      </w:r>
      <w:r w:rsidR="006E591E">
        <w:rPr>
          <w:rFonts w:asciiTheme="minorHAnsi" w:hAnsiTheme="minorHAnsi"/>
          <w:lang w:eastAsia="ja-JP"/>
        </w:rPr>
        <w:t xml:space="preserve">the anticipated </w:t>
      </w:r>
      <w:r w:rsidR="005D1B02">
        <w:rPr>
          <w:rFonts w:asciiTheme="minorHAnsi" w:hAnsiTheme="minorHAnsi"/>
          <w:lang w:eastAsia="ja-JP"/>
        </w:rPr>
        <w:t>recovery in non-resources</w:t>
      </w:r>
      <w:r w:rsidR="00160B07">
        <w:rPr>
          <w:rFonts w:asciiTheme="minorHAnsi" w:hAnsiTheme="minorHAnsi"/>
          <w:lang w:eastAsia="ja-JP"/>
        </w:rPr>
        <w:t xml:space="preserve"> business</w:t>
      </w:r>
      <w:r w:rsidR="005D1B02">
        <w:rPr>
          <w:rFonts w:asciiTheme="minorHAnsi" w:hAnsiTheme="minorHAnsi"/>
          <w:lang w:eastAsia="ja-JP"/>
        </w:rPr>
        <w:t xml:space="preserve"> investment. </w:t>
      </w:r>
      <w:r w:rsidR="00E7035A">
        <w:rPr>
          <w:rFonts w:asciiTheme="minorHAnsi" w:hAnsiTheme="minorHAnsi"/>
          <w:lang w:eastAsia="ja-JP"/>
        </w:rPr>
        <w:t xml:space="preserve">While </w:t>
      </w:r>
      <w:r w:rsidR="005D1B02">
        <w:rPr>
          <w:rFonts w:asciiTheme="minorHAnsi" w:hAnsiTheme="minorHAnsi"/>
          <w:lang w:eastAsia="ja-JP"/>
        </w:rPr>
        <w:t xml:space="preserve">the timing of the fall in resources investment </w:t>
      </w:r>
      <w:r w:rsidR="00E7035A">
        <w:rPr>
          <w:rFonts w:asciiTheme="minorHAnsi" w:hAnsiTheme="minorHAnsi"/>
          <w:lang w:eastAsia="ja-JP"/>
        </w:rPr>
        <w:t xml:space="preserve">is also uncertain, there is more confidence about </w:t>
      </w:r>
      <w:r w:rsidR="009337F0">
        <w:rPr>
          <w:rFonts w:asciiTheme="minorHAnsi" w:hAnsiTheme="minorHAnsi"/>
          <w:lang w:eastAsia="ja-JP"/>
        </w:rPr>
        <w:t xml:space="preserve">the magnitude of </w:t>
      </w:r>
      <w:r w:rsidR="00E7035A">
        <w:rPr>
          <w:rFonts w:asciiTheme="minorHAnsi" w:hAnsiTheme="minorHAnsi"/>
          <w:lang w:eastAsia="ja-JP"/>
        </w:rPr>
        <w:t xml:space="preserve">the decline given the small number of large LNG projects that are </w:t>
      </w:r>
      <w:r w:rsidR="006E591E">
        <w:rPr>
          <w:rFonts w:asciiTheme="minorHAnsi" w:hAnsiTheme="minorHAnsi"/>
          <w:lang w:eastAsia="ja-JP"/>
        </w:rPr>
        <w:t>underpinning</w:t>
      </w:r>
      <w:r w:rsidR="00E7035A">
        <w:rPr>
          <w:rFonts w:asciiTheme="minorHAnsi" w:hAnsiTheme="minorHAnsi"/>
          <w:lang w:eastAsia="ja-JP"/>
        </w:rPr>
        <w:t xml:space="preserve"> this profile, and the small number and significance of any other projects that are likely to be approved in the near</w:t>
      </w:r>
      <w:r w:rsidR="006E591E">
        <w:rPr>
          <w:rFonts w:asciiTheme="minorHAnsi" w:hAnsiTheme="minorHAnsi"/>
          <w:lang w:eastAsia="ja-JP"/>
        </w:rPr>
        <w:t xml:space="preserve"> </w:t>
      </w:r>
      <w:r w:rsidR="00E7035A">
        <w:rPr>
          <w:rFonts w:asciiTheme="minorHAnsi" w:hAnsiTheme="minorHAnsi"/>
          <w:lang w:eastAsia="ja-JP"/>
        </w:rPr>
        <w:t>term.</w:t>
      </w:r>
      <w:r>
        <w:rPr>
          <w:rFonts w:asciiTheme="minorHAnsi" w:hAnsiTheme="minorHAnsi"/>
          <w:lang w:eastAsia="ja-JP"/>
        </w:rPr>
        <w:t xml:space="preserve"> </w:t>
      </w:r>
    </w:p>
    <w:p w:rsidR="00E64A9C" w:rsidRDefault="00E64A9C" w:rsidP="00E64A9C">
      <w:pPr>
        <w:rPr>
          <w:rFonts w:asciiTheme="minorHAnsi" w:hAnsiTheme="minorHAnsi"/>
          <w:lang w:eastAsia="ja-JP"/>
        </w:rPr>
      </w:pPr>
      <w:r>
        <w:rPr>
          <w:rFonts w:asciiTheme="minorHAnsi" w:hAnsiTheme="minorHAnsi"/>
          <w:lang w:eastAsia="ja-JP"/>
        </w:rPr>
        <w:t xml:space="preserve">Investment outcomes in the December quarter </w:t>
      </w:r>
      <w:r w:rsidR="00E7035A">
        <w:rPr>
          <w:rFonts w:asciiTheme="minorHAnsi" w:hAnsiTheme="minorHAnsi"/>
          <w:lang w:eastAsia="ja-JP"/>
        </w:rPr>
        <w:t>were</w:t>
      </w:r>
      <w:r>
        <w:rPr>
          <w:rFonts w:asciiTheme="minorHAnsi" w:hAnsiTheme="minorHAnsi"/>
          <w:lang w:eastAsia="ja-JP"/>
        </w:rPr>
        <w:t xml:space="preserve"> weak</w:t>
      </w:r>
      <w:r w:rsidR="00E7035A">
        <w:rPr>
          <w:rFonts w:asciiTheme="minorHAnsi" w:hAnsiTheme="minorHAnsi"/>
          <w:lang w:eastAsia="ja-JP"/>
        </w:rPr>
        <w:t xml:space="preserve">er than expected, with </w:t>
      </w:r>
      <w:r w:rsidR="009337F0">
        <w:rPr>
          <w:rFonts w:asciiTheme="minorHAnsi" w:hAnsiTheme="minorHAnsi"/>
          <w:lang w:eastAsia="ja-JP"/>
        </w:rPr>
        <w:t xml:space="preserve">weakness </w:t>
      </w:r>
      <w:r w:rsidR="005006F8">
        <w:rPr>
          <w:rFonts w:asciiTheme="minorHAnsi" w:hAnsiTheme="minorHAnsi"/>
          <w:lang w:eastAsia="ja-JP"/>
        </w:rPr>
        <w:t xml:space="preserve">across </w:t>
      </w:r>
      <w:r w:rsidR="009337F0">
        <w:rPr>
          <w:rFonts w:asciiTheme="minorHAnsi" w:hAnsiTheme="minorHAnsi"/>
          <w:lang w:eastAsia="ja-JP"/>
        </w:rPr>
        <w:t xml:space="preserve">both </w:t>
      </w:r>
      <w:r w:rsidR="005006F8">
        <w:rPr>
          <w:rFonts w:asciiTheme="minorHAnsi" w:hAnsiTheme="minorHAnsi"/>
          <w:lang w:eastAsia="ja-JP"/>
        </w:rPr>
        <w:t>asset types and industry sectors</w:t>
      </w:r>
      <w:r>
        <w:rPr>
          <w:rFonts w:asciiTheme="minorHAnsi" w:hAnsiTheme="minorHAnsi"/>
          <w:lang w:eastAsia="ja-JP"/>
        </w:rPr>
        <w:t xml:space="preserve">. </w:t>
      </w:r>
      <w:r w:rsidR="005006F8">
        <w:rPr>
          <w:rFonts w:asciiTheme="minorHAnsi" w:hAnsiTheme="minorHAnsi"/>
          <w:lang w:eastAsia="ja-JP"/>
        </w:rPr>
        <w:t xml:space="preserve">This result indicates that both the </w:t>
      </w:r>
      <w:r w:rsidR="00160B07">
        <w:rPr>
          <w:rFonts w:asciiTheme="minorHAnsi" w:hAnsiTheme="minorHAnsi"/>
          <w:lang w:eastAsia="ja-JP"/>
        </w:rPr>
        <w:t>lumpiness</w:t>
      </w:r>
      <w:r w:rsidR="00B15717">
        <w:rPr>
          <w:rFonts w:asciiTheme="minorHAnsi" w:hAnsiTheme="minorHAnsi"/>
          <w:lang w:eastAsia="ja-JP"/>
        </w:rPr>
        <w:t xml:space="preserve"> of </w:t>
      </w:r>
      <w:r w:rsidR="00160B07">
        <w:rPr>
          <w:rFonts w:asciiTheme="minorHAnsi" w:hAnsiTheme="minorHAnsi"/>
          <w:lang w:eastAsia="ja-JP"/>
        </w:rPr>
        <w:t>resources-</w:t>
      </w:r>
      <w:r w:rsidR="005006F8">
        <w:rPr>
          <w:rFonts w:asciiTheme="minorHAnsi" w:hAnsiTheme="minorHAnsi"/>
          <w:lang w:eastAsia="ja-JP"/>
        </w:rPr>
        <w:t xml:space="preserve">related </w:t>
      </w:r>
      <w:r w:rsidR="00B15717">
        <w:rPr>
          <w:rFonts w:asciiTheme="minorHAnsi" w:hAnsiTheme="minorHAnsi"/>
          <w:lang w:eastAsia="ja-JP"/>
        </w:rPr>
        <w:t xml:space="preserve">investment </w:t>
      </w:r>
      <w:r w:rsidR="005006F8">
        <w:rPr>
          <w:rFonts w:asciiTheme="minorHAnsi" w:hAnsiTheme="minorHAnsi"/>
          <w:lang w:eastAsia="ja-JP"/>
        </w:rPr>
        <w:t xml:space="preserve">and </w:t>
      </w:r>
      <w:r w:rsidR="00B15717">
        <w:rPr>
          <w:rFonts w:asciiTheme="minorHAnsi" w:hAnsiTheme="minorHAnsi"/>
          <w:lang w:eastAsia="ja-JP"/>
        </w:rPr>
        <w:t xml:space="preserve">caution in the </w:t>
      </w:r>
      <w:r w:rsidR="005006F8">
        <w:rPr>
          <w:rFonts w:asciiTheme="minorHAnsi" w:hAnsiTheme="minorHAnsi"/>
          <w:lang w:eastAsia="ja-JP"/>
        </w:rPr>
        <w:t xml:space="preserve">non-resource </w:t>
      </w:r>
      <w:r w:rsidR="00B15717">
        <w:rPr>
          <w:rFonts w:asciiTheme="minorHAnsi" w:hAnsiTheme="minorHAnsi"/>
          <w:lang w:eastAsia="ja-JP"/>
        </w:rPr>
        <w:t>sector affected the outcome</w:t>
      </w:r>
      <w:r w:rsidR="00993702">
        <w:rPr>
          <w:rFonts w:asciiTheme="minorHAnsi" w:hAnsiTheme="minorHAnsi"/>
          <w:lang w:eastAsia="ja-JP"/>
        </w:rPr>
        <w:t xml:space="preserve">. The December outcome </w:t>
      </w:r>
      <w:r w:rsidR="00A970F2">
        <w:rPr>
          <w:rFonts w:asciiTheme="minorHAnsi" w:hAnsiTheme="minorHAnsi"/>
          <w:lang w:eastAsia="ja-JP"/>
        </w:rPr>
        <w:t xml:space="preserve">is </w:t>
      </w:r>
      <w:r w:rsidR="00993702">
        <w:rPr>
          <w:rFonts w:asciiTheme="minorHAnsi" w:hAnsiTheme="minorHAnsi"/>
          <w:lang w:eastAsia="ja-JP"/>
        </w:rPr>
        <w:t xml:space="preserve">also </w:t>
      </w:r>
      <w:r w:rsidR="00A970F2">
        <w:rPr>
          <w:rFonts w:asciiTheme="minorHAnsi" w:hAnsiTheme="minorHAnsi"/>
          <w:lang w:eastAsia="ja-JP"/>
        </w:rPr>
        <w:t>consistent with reports from business liaison</w:t>
      </w:r>
      <w:r w:rsidR="00BD00AB">
        <w:rPr>
          <w:rFonts w:asciiTheme="minorHAnsi" w:hAnsiTheme="minorHAnsi"/>
          <w:lang w:eastAsia="ja-JP"/>
        </w:rPr>
        <w:t xml:space="preserve"> that firms are reluctant to replace capital until they have a clearer sense that demand is improving</w:t>
      </w:r>
      <w:r w:rsidR="00A970F2">
        <w:rPr>
          <w:rFonts w:asciiTheme="minorHAnsi" w:hAnsiTheme="minorHAnsi"/>
          <w:lang w:eastAsia="ja-JP"/>
        </w:rPr>
        <w:t xml:space="preserve">. </w:t>
      </w:r>
    </w:p>
    <w:p w:rsidR="00701AD9" w:rsidRDefault="00701AD9" w:rsidP="00C45535">
      <w:pPr>
        <w:rPr>
          <w:rFonts w:asciiTheme="minorHAnsi" w:hAnsiTheme="minorHAnsi"/>
          <w:lang w:eastAsia="ja-JP"/>
        </w:rPr>
      </w:pPr>
      <w:r>
        <w:rPr>
          <w:rFonts w:asciiTheme="minorHAnsi" w:hAnsiTheme="minorHAnsi"/>
          <w:lang w:eastAsia="ja-JP"/>
        </w:rPr>
        <w:lastRenderedPageBreak/>
        <w:t xml:space="preserve">Capital expenditure intentions for 2014-15 were surveyed for the first time and </w:t>
      </w:r>
      <w:r w:rsidR="006E591E">
        <w:rPr>
          <w:rFonts w:asciiTheme="minorHAnsi" w:hAnsiTheme="minorHAnsi"/>
          <w:lang w:eastAsia="ja-JP"/>
        </w:rPr>
        <w:t xml:space="preserve">also </w:t>
      </w:r>
      <w:r>
        <w:rPr>
          <w:rFonts w:asciiTheme="minorHAnsi" w:hAnsiTheme="minorHAnsi"/>
          <w:lang w:eastAsia="ja-JP"/>
        </w:rPr>
        <w:t xml:space="preserve">indicated that investment plans </w:t>
      </w:r>
      <w:r w:rsidR="009337F0">
        <w:rPr>
          <w:rFonts w:asciiTheme="minorHAnsi" w:hAnsiTheme="minorHAnsi"/>
          <w:lang w:eastAsia="ja-JP"/>
        </w:rPr>
        <w:t>remain</w:t>
      </w:r>
      <w:r>
        <w:rPr>
          <w:rFonts w:asciiTheme="minorHAnsi" w:hAnsiTheme="minorHAnsi"/>
          <w:lang w:eastAsia="ja-JP"/>
        </w:rPr>
        <w:t xml:space="preserve"> </w:t>
      </w:r>
      <w:r w:rsidR="0047175C">
        <w:rPr>
          <w:rFonts w:asciiTheme="minorHAnsi" w:hAnsiTheme="minorHAnsi"/>
          <w:lang w:eastAsia="ja-JP"/>
        </w:rPr>
        <w:t xml:space="preserve">more </w:t>
      </w:r>
      <w:r>
        <w:rPr>
          <w:rFonts w:asciiTheme="minorHAnsi" w:hAnsiTheme="minorHAnsi"/>
          <w:lang w:eastAsia="ja-JP"/>
        </w:rPr>
        <w:t xml:space="preserve">conservative </w:t>
      </w:r>
      <w:r w:rsidR="0047175C">
        <w:rPr>
          <w:rFonts w:asciiTheme="minorHAnsi" w:hAnsiTheme="minorHAnsi"/>
          <w:lang w:eastAsia="ja-JP"/>
        </w:rPr>
        <w:t xml:space="preserve">than expected </w:t>
      </w:r>
      <w:r>
        <w:rPr>
          <w:rFonts w:asciiTheme="minorHAnsi" w:hAnsiTheme="minorHAnsi"/>
          <w:lang w:eastAsia="ja-JP"/>
        </w:rPr>
        <w:t xml:space="preserve">outside the resources sector. </w:t>
      </w:r>
      <w:r w:rsidR="000F31FF">
        <w:rPr>
          <w:rFonts w:asciiTheme="minorHAnsi" w:hAnsiTheme="minorHAnsi"/>
          <w:lang w:eastAsia="ja-JP"/>
        </w:rPr>
        <w:t>In particular,</w:t>
      </w:r>
      <w:r>
        <w:rPr>
          <w:rFonts w:asciiTheme="minorHAnsi" w:hAnsiTheme="minorHAnsi"/>
          <w:lang w:eastAsia="ja-JP"/>
        </w:rPr>
        <w:t xml:space="preserve"> weaker </w:t>
      </w:r>
      <w:r w:rsidR="00156FD7">
        <w:rPr>
          <w:rFonts w:asciiTheme="minorHAnsi" w:hAnsiTheme="minorHAnsi"/>
          <w:lang w:eastAsia="ja-JP"/>
        </w:rPr>
        <w:t xml:space="preserve">near-term </w:t>
      </w:r>
      <w:r w:rsidR="000F31FF">
        <w:rPr>
          <w:rFonts w:asciiTheme="minorHAnsi" w:hAnsiTheme="minorHAnsi"/>
          <w:lang w:eastAsia="ja-JP"/>
        </w:rPr>
        <w:t xml:space="preserve">intentions for new </w:t>
      </w:r>
      <w:r>
        <w:rPr>
          <w:rFonts w:asciiTheme="minorHAnsi" w:hAnsiTheme="minorHAnsi"/>
          <w:lang w:eastAsia="ja-JP"/>
        </w:rPr>
        <w:t xml:space="preserve">machinery and equipment </w:t>
      </w:r>
      <w:r w:rsidR="000F31FF">
        <w:rPr>
          <w:rFonts w:asciiTheme="minorHAnsi" w:hAnsiTheme="minorHAnsi"/>
          <w:lang w:eastAsia="ja-JP"/>
        </w:rPr>
        <w:t xml:space="preserve">investment </w:t>
      </w:r>
      <w:r>
        <w:rPr>
          <w:rFonts w:asciiTheme="minorHAnsi" w:hAnsiTheme="minorHAnsi"/>
          <w:lang w:eastAsia="ja-JP"/>
        </w:rPr>
        <w:t xml:space="preserve">has driven a fall in </w:t>
      </w:r>
      <w:r w:rsidR="00156FD7">
        <w:rPr>
          <w:rFonts w:asciiTheme="minorHAnsi" w:hAnsiTheme="minorHAnsi"/>
          <w:lang w:eastAsia="ja-JP"/>
        </w:rPr>
        <w:t>forecast</w:t>
      </w:r>
      <w:r>
        <w:rPr>
          <w:rFonts w:asciiTheme="minorHAnsi" w:hAnsiTheme="minorHAnsi"/>
          <w:lang w:eastAsia="ja-JP"/>
        </w:rPr>
        <w:t xml:space="preserve"> </w:t>
      </w:r>
      <w:r w:rsidR="00ED4688">
        <w:rPr>
          <w:rFonts w:asciiTheme="minorHAnsi" w:hAnsiTheme="minorHAnsi"/>
          <w:lang w:eastAsia="ja-JP"/>
        </w:rPr>
        <w:t xml:space="preserve">new </w:t>
      </w:r>
      <w:r>
        <w:rPr>
          <w:rFonts w:asciiTheme="minorHAnsi" w:hAnsiTheme="minorHAnsi"/>
          <w:lang w:eastAsia="ja-JP"/>
        </w:rPr>
        <w:t>business investment in 2013-14</w:t>
      </w:r>
      <w:r w:rsidR="000E4360">
        <w:rPr>
          <w:rFonts w:asciiTheme="minorHAnsi" w:hAnsiTheme="minorHAnsi"/>
          <w:lang w:eastAsia="ja-JP"/>
        </w:rPr>
        <w:t xml:space="preserve"> </w:t>
      </w:r>
      <w:r w:rsidR="00156FD7">
        <w:rPr>
          <w:rFonts w:asciiTheme="minorHAnsi" w:hAnsiTheme="minorHAnsi"/>
          <w:lang w:eastAsia="ja-JP"/>
        </w:rPr>
        <w:t xml:space="preserve">and 2014-15, </w:t>
      </w:r>
      <w:r w:rsidR="000E4360">
        <w:rPr>
          <w:rFonts w:asciiTheme="minorHAnsi" w:hAnsiTheme="minorHAnsi"/>
          <w:lang w:eastAsia="ja-JP"/>
        </w:rPr>
        <w:t xml:space="preserve">with investment forecast to </w:t>
      </w:r>
      <w:r w:rsidR="00156FD7">
        <w:rPr>
          <w:rFonts w:asciiTheme="minorHAnsi" w:hAnsiTheme="minorHAnsi"/>
          <w:lang w:eastAsia="ja-JP"/>
        </w:rPr>
        <w:t xml:space="preserve">decline </w:t>
      </w:r>
      <w:r w:rsidR="000E4360">
        <w:rPr>
          <w:rFonts w:asciiTheme="minorHAnsi" w:hAnsiTheme="minorHAnsi"/>
          <w:lang w:eastAsia="ja-JP"/>
        </w:rPr>
        <w:t xml:space="preserve">by 4 per cent and </w:t>
      </w:r>
      <w:r w:rsidR="00156FD7">
        <w:rPr>
          <w:rFonts w:asciiTheme="minorHAnsi" w:hAnsiTheme="minorHAnsi"/>
          <w:lang w:eastAsia="ja-JP"/>
        </w:rPr>
        <w:t xml:space="preserve">5½ per cent. </w:t>
      </w:r>
    </w:p>
    <w:p w:rsidR="00156FD7" w:rsidRDefault="00B15717" w:rsidP="00C45535">
      <w:pPr>
        <w:rPr>
          <w:rFonts w:asciiTheme="minorHAnsi" w:hAnsiTheme="minorHAnsi"/>
          <w:lang w:eastAsia="ja-JP"/>
        </w:rPr>
      </w:pPr>
      <w:r>
        <w:rPr>
          <w:rFonts w:asciiTheme="minorHAnsi" w:hAnsiTheme="minorHAnsi"/>
          <w:lang w:eastAsia="ja-JP"/>
        </w:rPr>
        <w:t xml:space="preserve">Investment in </w:t>
      </w:r>
      <w:r w:rsidR="000F31FF">
        <w:rPr>
          <w:rFonts w:asciiTheme="minorHAnsi" w:hAnsiTheme="minorHAnsi"/>
          <w:lang w:eastAsia="ja-JP"/>
        </w:rPr>
        <w:t xml:space="preserve">new </w:t>
      </w:r>
      <w:r>
        <w:rPr>
          <w:rFonts w:asciiTheme="minorHAnsi" w:hAnsiTheme="minorHAnsi"/>
          <w:lang w:eastAsia="ja-JP"/>
        </w:rPr>
        <w:t>m</w:t>
      </w:r>
      <w:r w:rsidR="00156FD7" w:rsidRPr="00156FD7">
        <w:rPr>
          <w:rFonts w:asciiTheme="minorHAnsi" w:hAnsiTheme="minorHAnsi"/>
          <w:lang w:eastAsia="ja-JP"/>
        </w:rPr>
        <w:t>achinery and equipment and</w:t>
      </w:r>
      <w:r w:rsidR="000F31FF">
        <w:rPr>
          <w:rFonts w:asciiTheme="minorHAnsi" w:hAnsiTheme="minorHAnsi"/>
          <w:lang w:eastAsia="ja-JP"/>
        </w:rPr>
        <w:t xml:space="preserve"> new</w:t>
      </w:r>
      <w:r w:rsidR="00156FD7" w:rsidRPr="00156FD7">
        <w:rPr>
          <w:rFonts w:asciiTheme="minorHAnsi" w:hAnsiTheme="minorHAnsi"/>
          <w:lang w:eastAsia="ja-JP"/>
        </w:rPr>
        <w:t xml:space="preserve"> buildings is expected to</w:t>
      </w:r>
      <w:r w:rsidR="00EF2E63">
        <w:rPr>
          <w:rFonts w:asciiTheme="minorHAnsi" w:hAnsiTheme="minorHAnsi"/>
          <w:lang w:eastAsia="ja-JP"/>
        </w:rPr>
        <w:t xml:space="preserve"> pick</w:t>
      </w:r>
      <w:r w:rsidR="009337F0">
        <w:rPr>
          <w:rFonts w:asciiTheme="minorHAnsi" w:hAnsiTheme="minorHAnsi"/>
          <w:lang w:eastAsia="ja-JP"/>
        </w:rPr>
        <w:t>-</w:t>
      </w:r>
      <w:r w:rsidR="00EF2E63">
        <w:rPr>
          <w:rFonts w:asciiTheme="minorHAnsi" w:hAnsiTheme="minorHAnsi"/>
          <w:lang w:eastAsia="ja-JP"/>
        </w:rPr>
        <w:t>up in 2015-16 following the earlier period of restrained investment as firms respond to improving demand and existing levels of spare capacity are absorbed</w:t>
      </w:r>
      <w:r w:rsidR="00156FD7" w:rsidRPr="00156FD7">
        <w:rPr>
          <w:rFonts w:asciiTheme="minorHAnsi" w:hAnsiTheme="minorHAnsi"/>
          <w:lang w:eastAsia="ja-JP"/>
        </w:rPr>
        <w:t>.</w:t>
      </w:r>
      <w:r w:rsidR="00156FD7">
        <w:rPr>
          <w:rFonts w:asciiTheme="minorHAnsi" w:hAnsiTheme="minorHAnsi"/>
          <w:lang w:eastAsia="ja-JP"/>
        </w:rPr>
        <w:t xml:space="preserve"> Resources investment is still expec</w:t>
      </w:r>
      <w:r w:rsidR="009337F0">
        <w:rPr>
          <w:rFonts w:asciiTheme="minorHAnsi" w:hAnsiTheme="minorHAnsi"/>
          <w:lang w:eastAsia="ja-JP"/>
        </w:rPr>
        <w:t>ted to fall sharply</w:t>
      </w:r>
      <w:r w:rsidR="00156FD7">
        <w:rPr>
          <w:rFonts w:asciiTheme="minorHAnsi" w:hAnsiTheme="minorHAnsi"/>
          <w:lang w:eastAsia="ja-JP"/>
        </w:rPr>
        <w:t xml:space="preserve"> in 2015-16, but overall </w:t>
      </w:r>
      <w:r w:rsidR="000F31FF">
        <w:rPr>
          <w:rFonts w:asciiTheme="minorHAnsi" w:hAnsiTheme="minorHAnsi"/>
          <w:lang w:eastAsia="ja-JP"/>
        </w:rPr>
        <w:t xml:space="preserve">new </w:t>
      </w:r>
      <w:r w:rsidR="00156FD7">
        <w:rPr>
          <w:rFonts w:asciiTheme="minorHAnsi" w:hAnsiTheme="minorHAnsi"/>
          <w:lang w:eastAsia="ja-JP"/>
        </w:rPr>
        <w:t>business investment forecasts have been upgraded to a decline of 3½ per cent from a fall of 4 per cent in the December round</w:t>
      </w:r>
      <w:r w:rsidR="009E3B12">
        <w:rPr>
          <w:rFonts w:asciiTheme="minorHAnsi" w:hAnsiTheme="minorHAnsi"/>
          <w:lang w:eastAsia="ja-JP"/>
        </w:rPr>
        <w:t xml:space="preserve"> (</w:t>
      </w:r>
      <w:r w:rsidR="00F03AF3">
        <w:rPr>
          <w:rFonts w:asciiTheme="minorHAnsi" w:hAnsiTheme="minorHAnsi"/>
          <w:lang w:eastAsia="ja-JP"/>
        </w:rPr>
        <w:t>C</w:t>
      </w:r>
      <w:r w:rsidR="009E3B12">
        <w:rPr>
          <w:rFonts w:asciiTheme="minorHAnsi" w:hAnsiTheme="minorHAnsi"/>
          <w:lang w:eastAsia="ja-JP"/>
        </w:rPr>
        <w:t>hart 8)</w:t>
      </w:r>
      <w:r w:rsidR="00156FD7">
        <w:rPr>
          <w:rFonts w:asciiTheme="minorHAnsi" w:hAnsiTheme="minorHAnsi"/>
          <w:lang w:eastAsia="ja-JP"/>
        </w:rPr>
        <w:t xml:space="preserve">. </w:t>
      </w:r>
    </w:p>
    <w:p w:rsidR="003D4244" w:rsidRPr="003D4244" w:rsidRDefault="009E3B12" w:rsidP="003D4244">
      <w:pPr>
        <w:keepNext/>
        <w:autoSpaceDE w:val="0"/>
        <w:autoSpaceDN w:val="0"/>
        <w:spacing w:after="0"/>
        <w:jc w:val="center"/>
        <w:rPr>
          <w:rFonts w:asciiTheme="minorHAnsi" w:hAnsiTheme="minorHAnsi"/>
          <w:b/>
          <w:szCs w:val="20"/>
        </w:rPr>
      </w:pPr>
      <w:r>
        <w:rPr>
          <w:rFonts w:asciiTheme="minorHAnsi" w:hAnsiTheme="minorHAnsi"/>
          <w:b/>
          <w:szCs w:val="20"/>
        </w:rPr>
        <w:t>Chart 8</w:t>
      </w:r>
      <w:r w:rsidR="003D4244" w:rsidRPr="003D4244">
        <w:rPr>
          <w:rFonts w:asciiTheme="minorHAnsi" w:hAnsiTheme="minorHAnsi"/>
          <w:b/>
          <w:szCs w:val="20"/>
        </w:rPr>
        <w:t xml:space="preserve">: </w:t>
      </w:r>
      <w:r w:rsidR="00A72A32">
        <w:rPr>
          <w:rFonts w:asciiTheme="minorHAnsi" w:hAnsiTheme="minorHAnsi"/>
          <w:b/>
          <w:szCs w:val="20"/>
        </w:rPr>
        <w:t>Contributions to growth in new business investment, resources and non-resources sectors</w:t>
      </w:r>
    </w:p>
    <w:p w:rsidR="00717ED3" w:rsidRPr="00587BCC" w:rsidRDefault="00A72A32" w:rsidP="00717ED3">
      <w:pPr>
        <w:spacing w:line="240" w:lineRule="auto"/>
        <w:rPr>
          <w:rFonts w:asciiTheme="minorHAnsi" w:hAnsiTheme="minorHAnsi"/>
          <w:lang w:eastAsia="ja-JP"/>
        </w:rPr>
      </w:pPr>
      <w:r>
        <w:rPr>
          <w:rFonts w:asciiTheme="minorHAnsi" w:hAnsiTheme="minorHAnsi"/>
          <w:lang w:eastAsia="ja-JP"/>
        </w:rPr>
        <w:object w:dxaOrig="4485" w:dyaOrig="4515">
          <v:shape id="_x0000_i1033" type="#_x0000_t75" style="width:224.15pt;height:226.65pt" o:ole="">
            <v:imagedata r:id="rId38" o:title=""/>
          </v:shape>
          <o:OLEObject Type="Link" ProgID="Excel.Sheet.12" ShapeID="_x0000_i1033" DrawAspect="Content" r:id="rId39" UpdateMode="Always">
            <o:LinkType>EnhancedMetaFile</o:LinkType>
            <o:LockedField>false</o:LockedField>
          </o:OLEObject>
        </w:object>
      </w:r>
      <w:r w:rsidR="00717ED3" w:rsidRPr="00587BCC">
        <w:rPr>
          <w:rFonts w:asciiTheme="minorHAnsi" w:hAnsiTheme="minorHAnsi"/>
          <w:kern w:val="2"/>
          <w:sz w:val="16"/>
        </w:rPr>
        <w:t>Source:  ABS cat. no. 520</w:t>
      </w:r>
      <w:r w:rsidR="00717ED3">
        <w:rPr>
          <w:rFonts w:asciiTheme="minorHAnsi" w:hAnsiTheme="minorHAnsi"/>
          <w:kern w:val="2"/>
          <w:sz w:val="16"/>
        </w:rPr>
        <w:t>4</w:t>
      </w:r>
      <w:r w:rsidR="00717ED3" w:rsidRPr="00587BCC">
        <w:rPr>
          <w:rFonts w:asciiTheme="minorHAnsi" w:hAnsiTheme="minorHAnsi"/>
          <w:kern w:val="2"/>
          <w:sz w:val="16"/>
        </w:rPr>
        <w:t>.0 and Treasury.</w:t>
      </w:r>
    </w:p>
    <w:p w:rsidR="00F9223A" w:rsidRPr="00F9223A" w:rsidRDefault="00F9223A" w:rsidP="00F9223A">
      <w:pPr>
        <w:pStyle w:val="Bullet"/>
        <w:numPr>
          <w:ilvl w:val="0"/>
          <w:numId w:val="0"/>
        </w:numPr>
        <w:spacing w:line="240" w:lineRule="auto"/>
        <w:rPr>
          <w:rFonts w:asciiTheme="minorHAnsi" w:hAnsiTheme="minorHAnsi"/>
          <w:b/>
          <w:color w:val="0000FF"/>
          <w:sz w:val="24"/>
        </w:rPr>
      </w:pPr>
      <w:r w:rsidRPr="00F9223A">
        <w:rPr>
          <w:rFonts w:asciiTheme="minorHAnsi" w:hAnsiTheme="minorHAnsi"/>
          <w:b/>
          <w:color w:val="0000FF"/>
          <w:sz w:val="24"/>
        </w:rPr>
        <w:t xml:space="preserve">Net exports </w:t>
      </w:r>
      <w:r w:rsidR="00160B07">
        <w:rPr>
          <w:rFonts w:asciiTheme="minorHAnsi" w:hAnsiTheme="minorHAnsi"/>
          <w:b/>
          <w:color w:val="0000FF"/>
          <w:sz w:val="24"/>
        </w:rPr>
        <w:t xml:space="preserve">are </w:t>
      </w:r>
      <w:r w:rsidRPr="00F9223A">
        <w:rPr>
          <w:rFonts w:asciiTheme="minorHAnsi" w:hAnsiTheme="minorHAnsi"/>
          <w:b/>
          <w:color w:val="0000FF"/>
          <w:sz w:val="24"/>
        </w:rPr>
        <w:t>forecast to contribute to growth consistently</w:t>
      </w:r>
      <w:r w:rsidR="00382CAF">
        <w:rPr>
          <w:rFonts w:asciiTheme="minorHAnsi" w:hAnsiTheme="minorHAnsi"/>
          <w:b/>
          <w:color w:val="0000FF"/>
          <w:sz w:val="24"/>
        </w:rPr>
        <w:t xml:space="preserve"> …</w:t>
      </w:r>
    </w:p>
    <w:p w:rsidR="0060683F" w:rsidRDefault="0060683F" w:rsidP="00C45535">
      <w:pPr>
        <w:rPr>
          <w:rFonts w:asciiTheme="minorHAnsi" w:hAnsiTheme="minorHAnsi"/>
          <w:lang w:eastAsia="ja-JP"/>
        </w:rPr>
      </w:pPr>
      <w:r>
        <w:rPr>
          <w:rFonts w:asciiTheme="minorHAnsi" w:hAnsiTheme="minorHAnsi"/>
          <w:lang w:eastAsia="ja-JP"/>
        </w:rPr>
        <w:t xml:space="preserve">An ongoing </w:t>
      </w:r>
      <w:r w:rsidR="00FE6B07">
        <w:rPr>
          <w:rFonts w:asciiTheme="minorHAnsi" w:hAnsiTheme="minorHAnsi"/>
          <w:lang w:eastAsia="ja-JP"/>
        </w:rPr>
        <w:t>aspect</w:t>
      </w:r>
      <w:r>
        <w:rPr>
          <w:rFonts w:asciiTheme="minorHAnsi" w:hAnsiTheme="minorHAnsi"/>
          <w:lang w:eastAsia="ja-JP"/>
        </w:rPr>
        <w:t xml:space="preserve"> of the move beyond the investment phase of the resources boom is the corresponding rise in export volumes and decreased requirement for capital related imports. </w:t>
      </w:r>
    </w:p>
    <w:p w:rsidR="003B60B4" w:rsidRDefault="003B60B4" w:rsidP="00C45535">
      <w:pPr>
        <w:rPr>
          <w:rFonts w:asciiTheme="minorHAnsi" w:hAnsiTheme="minorHAnsi"/>
          <w:lang w:eastAsia="ja-JP"/>
        </w:rPr>
      </w:pPr>
      <w:r>
        <w:rPr>
          <w:rFonts w:asciiTheme="minorHAnsi" w:hAnsiTheme="minorHAnsi"/>
          <w:lang w:eastAsia="ja-JP"/>
        </w:rPr>
        <w:t>The forecast contribution from net exports has been increased to 1¾ percentage points (from 1¼ percentage points</w:t>
      </w:r>
      <w:r w:rsidR="009337F0">
        <w:rPr>
          <w:rFonts w:asciiTheme="minorHAnsi" w:hAnsiTheme="minorHAnsi"/>
          <w:lang w:eastAsia="ja-JP"/>
        </w:rPr>
        <w:t xml:space="preserve"> in the December round</w:t>
      </w:r>
      <w:r>
        <w:rPr>
          <w:rFonts w:asciiTheme="minorHAnsi" w:hAnsiTheme="minorHAnsi"/>
          <w:lang w:eastAsia="ja-JP"/>
        </w:rPr>
        <w:t>) in 2013-14, but remains unchanged at 1 percentage points in 2014-15 and 1¼ percentage points in 2015-16</w:t>
      </w:r>
      <w:r w:rsidR="009337F0">
        <w:rPr>
          <w:rFonts w:asciiTheme="minorHAnsi" w:hAnsiTheme="minorHAnsi"/>
          <w:lang w:eastAsia="ja-JP"/>
        </w:rPr>
        <w:t>.</w:t>
      </w:r>
    </w:p>
    <w:p w:rsidR="007722E5" w:rsidRDefault="002E0F08" w:rsidP="007722E5">
      <w:pPr>
        <w:rPr>
          <w:rFonts w:asciiTheme="minorHAnsi" w:hAnsiTheme="minorHAnsi"/>
          <w:lang w:eastAsia="ja-JP"/>
        </w:rPr>
      </w:pPr>
      <w:r>
        <w:rPr>
          <w:rFonts w:asciiTheme="minorHAnsi" w:hAnsiTheme="minorHAnsi"/>
          <w:lang w:eastAsia="ja-JP"/>
        </w:rPr>
        <w:lastRenderedPageBreak/>
        <w:t>The upgrade to the net exports contribution in 2013-14 has been driven by a downgrade to import forecasts</w:t>
      </w:r>
      <w:r w:rsidR="00FE6B07">
        <w:rPr>
          <w:rFonts w:asciiTheme="minorHAnsi" w:hAnsiTheme="minorHAnsi"/>
          <w:lang w:eastAsia="ja-JP"/>
        </w:rPr>
        <w:t>, reflecting the December quarter outcome and the revised outlook for investment</w:t>
      </w:r>
      <w:r>
        <w:rPr>
          <w:rFonts w:asciiTheme="minorHAnsi" w:hAnsiTheme="minorHAnsi"/>
          <w:lang w:eastAsia="ja-JP"/>
        </w:rPr>
        <w:t>.</w:t>
      </w:r>
      <w:r w:rsidR="00B15717">
        <w:rPr>
          <w:rFonts w:asciiTheme="minorHAnsi" w:hAnsiTheme="minorHAnsi"/>
          <w:lang w:eastAsia="ja-JP"/>
        </w:rPr>
        <w:t xml:space="preserve"> Over the </w:t>
      </w:r>
      <w:r w:rsidR="00B15717" w:rsidRPr="007722E5">
        <w:rPr>
          <w:rFonts w:asciiTheme="minorHAnsi" w:hAnsiTheme="minorHAnsi"/>
          <w:lang w:eastAsia="ja-JP"/>
        </w:rPr>
        <w:t xml:space="preserve">forecast period, imports of capital goods are expected to decline as </w:t>
      </w:r>
      <w:r w:rsidR="0087450B" w:rsidRPr="007722E5">
        <w:rPr>
          <w:rFonts w:asciiTheme="minorHAnsi" w:hAnsiTheme="minorHAnsi"/>
          <w:lang w:eastAsia="ja-JP"/>
        </w:rPr>
        <w:t>construction on LNG projects winds down</w:t>
      </w:r>
      <w:r w:rsidR="00F03AF3">
        <w:rPr>
          <w:rFonts w:asciiTheme="minorHAnsi" w:hAnsiTheme="minorHAnsi"/>
          <w:lang w:eastAsia="ja-JP"/>
        </w:rPr>
        <w:t xml:space="preserve"> (C</w:t>
      </w:r>
      <w:r w:rsidR="00027C06">
        <w:rPr>
          <w:rFonts w:asciiTheme="minorHAnsi" w:hAnsiTheme="minorHAnsi"/>
          <w:lang w:eastAsia="ja-JP"/>
        </w:rPr>
        <w:t>hart 9)</w:t>
      </w:r>
      <w:r w:rsidR="0087450B" w:rsidRPr="007722E5">
        <w:rPr>
          <w:rFonts w:asciiTheme="minorHAnsi" w:hAnsiTheme="minorHAnsi"/>
          <w:lang w:eastAsia="ja-JP"/>
        </w:rPr>
        <w:t xml:space="preserve">. </w:t>
      </w:r>
      <w:r w:rsidRPr="007722E5">
        <w:rPr>
          <w:rFonts w:asciiTheme="minorHAnsi" w:hAnsiTheme="minorHAnsi"/>
          <w:lang w:eastAsia="ja-JP"/>
        </w:rPr>
        <w:t xml:space="preserve"> </w:t>
      </w:r>
    </w:p>
    <w:p w:rsidR="007722E5" w:rsidRPr="00717ED3" w:rsidRDefault="007722E5" w:rsidP="00717ED3">
      <w:pPr>
        <w:keepNext/>
        <w:autoSpaceDE w:val="0"/>
        <w:autoSpaceDN w:val="0"/>
        <w:spacing w:after="0"/>
        <w:jc w:val="center"/>
        <w:rPr>
          <w:rFonts w:asciiTheme="minorHAnsi" w:hAnsiTheme="minorHAnsi"/>
          <w:b/>
          <w:szCs w:val="20"/>
        </w:rPr>
      </w:pPr>
      <w:r w:rsidRPr="007722E5">
        <w:rPr>
          <w:rFonts w:asciiTheme="minorHAnsi" w:hAnsiTheme="minorHAnsi"/>
          <w:b/>
          <w:szCs w:val="20"/>
        </w:rPr>
        <w:t>Chart 9: Import volumes</w:t>
      </w:r>
    </w:p>
    <w:p w:rsidR="007722E5" w:rsidRDefault="00B169A0" w:rsidP="00B169A0">
      <w:pPr>
        <w:pStyle w:val="ChartGraphic0"/>
      </w:pPr>
      <w:r>
        <w:object w:dxaOrig="4516" w:dyaOrig="4515">
          <v:shape id="_x0000_i1034" type="#_x0000_t75" style="width:226pt;height:226pt" o:ole="">
            <v:imagedata r:id="rId40" o:title=""/>
          </v:shape>
          <o:OLEObject Type="Link" ProgID="Excel.Sheet.12" ShapeID="_x0000_i1034" DrawAspect="Content" r:id="rId41" UpdateMode="Always">
            <o:LinkType>EnhancedMetaFile</o:LinkType>
            <o:LockedField>false</o:LockedField>
          </o:OLEObject>
        </w:object>
      </w:r>
    </w:p>
    <w:p w:rsidR="00717ED3" w:rsidRPr="00587BCC" w:rsidRDefault="00717ED3" w:rsidP="00717ED3">
      <w:pPr>
        <w:spacing w:line="240" w:lineRule="auto"/>
        <w:rPr>
          <w:rFonts w:asciiTheme="minorHAnsi" w:hAnsiTheme="minorHAnsi"/>
          <w:lang w:eastAsia="ja-JP"/>
        </w:rPr>
      </w:pPr>
      <w:r>
        <w:rPr>
          <w:rFonts w:asciiTheme="minorHAnsi" w:hAnsiTheme="minorHAnsi"/>
          <w:kern w:val="2"/>
          <w:sz w:val="16"/>
        </w:rPr>
        <w:t>Source:  ABS cat. no. 5302</w:t>
      </w:r>
      <w:r w:rsidRPr="00587BCC">
        <w:rPr>
          <w:rFonts w:asciiTheme="minorHAnsi" w:hAnsiTheme="minorHAnsi"/>
          <w:kern w:val="2"/>
          <w:sz w:val="16"/>
        </w:rPr>
        <w:t>.0 and Treasury.</w:t>
      </w:r>
    </w:p>
    <w:p w:rsidR="007F7BE7" w:rsidRPr="002758A7" w:rsidRDefault="00382CAF" w:rsidP="002758A7">
      <w:pPr>
        <w:pStyle w:val="Bullet"/>
        <w:numPr>
          <w:ilvl w:val="0"/>
          <w:numId w:val="0"/>
        </w:numPr>
        <w:spacing w:line="240" w:lineRule="auto"/>
        <w:rPr>
          <w:rFonts w:asciiTheme="minorHAnsi" w:hAnsiTheme="minorHAnsi"/>
          <w:b/>
          <w:color w:val="0000FF"/>
          <w:sz w:val="24"/>
        </w:rPr>
      </w:pPr>
      <w:r w:rsidRPr="007722E5">
        <w:rPr>
          <w:rFonts w:asciiTheme="minorHAnsi" w:hAnsiTheme="minorHAnsi"/>
          <w:b/>
          <w:color w:val="0000FF"/>
          <w:sz w:val="24"/>
        </w:rPr>
        <w:t>… with e</w:t>
      </w:r>
      <w:r w:rsidR="007F7BE7" w:rsidRPr="007722E5">
        <w:rPr>
          <w:rFonts w:asciiTheme="minorHAnsi" w:hAnsiTheme="minorHAnsi"/>
          <w:b/>
          <w:color w:val="0000FF"/>
          <w:sz w:val="24"/>
        </w:rPr>
        <w:t>xport volumes remain</w:t>
      </w:r>
      <w:r w:rsidRPr="007722E5">
        <w:rPr>
          <w:rFonts w:asciiTheme="minorHAnsi" w:hAnsiTheme="minorHAnsi"/>
          <w:b/>
          <w:color w:val="0000FF"/>
          <w:sz w:val="24"/>
        </w:rPr>
        <w:t>ing</w:t>
      </w:r>
      <w:r w:rsidR="007F7BE7" w:rsidRPr="007722E5">
        <w:rPr>
          <w:rFonts w:asciiTheme="minorHAnsi" w:hAnsiTheme="minorHAnsi"/>
          <w:b/>
          <w:color w:val="0000FF"/>
          <w:sz w:val="24"/>
        </w:rPr>
        <w:t xml:space="preserve"> strong but </w:t>
      </w:r>
      <w:r w:rsidR="002758A7" w:rsidRPr="007722E5">
        <w:rPr>
          <w:rFonts w:asciiTheme="minorHAnsi" w:hAnsiTheme="minorHAnsi"/>
          <w:b/>
          <w:color w:val="0000FF"/>
          <w:sz w:val="24"/>
        </w:rPr>
        <w:t>prices weaker in 2014-1</w:t>
      </w:r>
      <w:r w:rsidRPr="007722E5">
        <w:rPr>
          <w:rFonts w:asciiTheme="minorHAnsi" w:hAnsiTheme="minorHAnsi"/>
          <w:b/>
          <w:color w:val="0000FF"/>
          <w:sz w:val="24"/>
        </w:rPr>
        <w:t>5.</w:t>
      </w:r>
      <w:r>
        <w:rPr>
          <w:rFonts w:asciiTheme="minorHAnsi" w:hAnsiTheme="minorHAnsi"/>
          <w:b/>
          <w:color w:val="0000FF"/>
          <w:sz w:val="24"/>
        </w:rPr>
        <w:t xml:space="preserve"> </w:t>
      </w:r>
    </w:p>
    <w:p w:rsidR="00BD00AB" w:rsidRDefault="00BD00AB" w:rsidP="00C45535">
      <w:pPr>
        <w:rPr>
          <w:rFonts w:asciiTheme="minorHAnsi" w:hAnsiTheme="minorHAnsi"/>
          <w:lang w:eastAsia="ja-JP"/>
        </w:rPr>
      </w:pPr>
      <w:r w:rsidRPr="00BD00AB">
        <w:rPr>
          <w:rFonts w:asciiTheme="minorHAnsi" w:hAnsiTheme="minorHAnsi"/>
          <w:lang w:eastAsia="ja-JP"/>
        </w:rPr>
        <w:t xml:space="preserve">Exports are forecast to continue growing strongly, driven by </w:t>
      </w:r>
      <w:r w:rsidR="00F477A5">
        <w:rPr>
          <w:rFonts w:asciiTheme="minorHAnsi" w:hAnsiTheme="minorHAnsi"/>
          <w:lang w:eastAsia="ja-JP"/>
        </w:rPr>
        <w:t xml:space="preserve">rising </w:t>
      </w:r>
      <w:r w:rsidRPr="00BD00AB">
        <w:rPr>
          <w:rFonts w:asciiTheme="minorHAnsi" w:hAnsiTheme="minorHAnsi"/>
          <w:lang w:eastAsia="ja-JP"/>
        </w:rPr>
        <w:t>commodities export</w:t>
      </w:r>
      <w:r w:rsidR="009337F0">
        <w:rPr>
          <w:rFonts w:asciiTheme="minorHAnsi" w:hAnsiTheme="minorHAnsi"/>
          <w:lang w:eastAsia="ja-JP"/>
        </w:rPr>
        <w:t xml:space="preserve"> volume</w:t>
      </w:r>
      <w:r w:rsidRPr="00BD00AB">
        <w:rPr>
          <w:rFonts w:asciiTheme="minorHAnsi" w:hAnsiTheme="minorHAnsi"/>
          <w:lang w:eastAsia="ja-JP"/>
        </w:rPr>
        <w:t xml:space="preserve">s generated by the completion </w:t>
      </w:r>
      <w:r w:rsidRPr="009E6D5F">
        <w:rPr>
          <w:rFonts w:asciiTheme="minorHAnsi" w:hAnsiTheme="minorHAnsi"/>
          <w:lang w:eastAsia="ja-JP"/>
        </w:rPr>
        <w:t>of major expansion projects. An upgrade to forecast growth in 2013-14, from 5 per cent to 5 ½ per cent, reflects recent strength in rural exports</w:t>
      </w:r>
      <w:r w:rsidR="009E6D5F" w:rsidRPr="009E6D5F">
        <w:rPr>
          <w:rFonts w:asciiTheme="minorHAnsi" w:hAnsiTheme="minorHAnsi"/>
          <w:lang w:eastAsia="ja-JP"/>
        </w:rPr>
        <w:t xml:space="preserve"> following strong winter crop production in Western Australia and parts of South Australia and Victoria</w:t>
      </w:r>
      <w:r w:rsidRPr="009E6D5F">
        <w:rPr>
          <w:rFonts w:asciiTheme="minorHAnsi" w:hAnsiTheme="minorHAnsi"/>
          <w:lang w:eastAsia="ja-JP"/>
        </w:rPr>
        <w:t>.</w:t>
      </w:r>
    </w:p>
    <w:p w:rsidR="00696310" w:rsidRDefault="00BD00AB" w:rsidP="00C45535">
      <w:pPr>
        <w:rPr>
          <w:rFonts w:asciiTheme="minorHAnsi" w:hAnsiTheme="minorHAnsi"/>
          <w:lang w:eastAsia="ja-JP"/>
        </w:rPr>
      </w:pPr>
      <w:r w:rsidRPr="00BD00AB">
        <w:rPr>
          <w:rFonts w:asciiTheme="minorHAnsi" w:hAnsiTheme="minorHAnsi"/>
          <w:lang w:eastAsia="ja-JP"/>
        </w:rPr>
        <w:t xml:space="preserve">Export growth is forecast to be weaker in 2014-15, and unchanged in 2015-16 compared with December, reflecting downgraded </w:t>
      </w:r>
      <w:r w:rsidRPr="00027C06">
        <w:rPr>
          <w:rFonts w:asciiTheme="minorHAnsi" w:hAnsiTheme="minorHAnsi"/>
          <w:lang w:eastAsia="ja-JP"/>
        </w:rPr>
        <w:t>forecasts for rural and non</w:t>
      </w:r>
      <w:r w:rsidRPr="00BD00AB">
        <w:rPr>
          <w:rFonts w:asciiTheme="minorHAnsi" w:hAnsiTheme="minorHAnsi"/>
          <w:lang w:eastAsia="ja-JP"/>
        </w:rPr>
        <w:t>-bulk commodity exports in 2014-15</w:t>
      </w:r>
      <w:r>
        <w:rPr>
          <w:rFonts w:asciiTheme="minorHAnsi" w:hAnsiTheme="minorHAnsi"/>
          <w:lang w:eastAsia="ja-JP"/>
        </w:rPr>
        <w:t xml:space="preserve"> based on the most recent forecasts from ABARES and BREE</w:t>
      </w:r>
      <w:r w:rsidRPr="00BD00AB">
        <w:rPr>
          <w:rFonts w:asciiTheme="minorHAnsi" w:hAnsiTheme="minorHAnsi"/>
          <w:lang w:eastAsia="ja-JP"/>
        </w:rPr>
        <w:t>.</w:t>
      </w:r>
      <w:r w:rsidR="00160B07">
        <w:rPr>
          <w:rFonts w:asciiTheme="minorHAnsi" w:hAnsiTheme="minorHAnsi"/>
          <w:lang w:eastAsia="ja-JP"/>
        </w:rPr>
        <w:t xml:space="preserve"> T</w:t>
      </w:r>
      <w:r w:rsidR="009E6D5F">
        <w:rPr>
          <w:rFonts w:asciiTheme="minorHAnsi" w:hAnsiTheme="minorHAnsi"/>
          <w:lang w:eastAsia="ja-JP"/>
        </w:rPr>
        <w:t>he downgrade in</w:t>
      </w:r>
      <w:r w:rsidR="00160B07">
        <w:rPr>
          <w:rFonts w:asciiTheme="minorHAnsi" w:hAnsiTheme="minorHAnsi"/>
          <w:lang w:eastAsia="ja-JP"/>
        </w:rPr>
        <w:t xml:space="preserve"> rural exports reflects</w:t>
      </w:r>
      <w:r w:rsidR="009E6D5F">
        <w:rPr>
          <w:rFonts w:asciiTheme="minorHAnsi" w:hAnsiTheme="minorHAnsi"/>
          <w:lang w:eastAsia="ja-JP"/>
        </w:rPr>
        <w:t xml:space="preserve"> the current drought in Queensland, New South Wales and parts of South Australia and Victoria.</w:t>
      </w:r>
      <w:r w:rsidRPr="00BD00AB">
        <w:rPr>
          <w:rFonts w:asciiTheme="minorHAnsi" w:hAnsiTheme="minorHAnsi"/>
          <w:lang w:eastAsia="ja-JP"/>
        </w:rPr>
        <w:t xml:space="preserve"> </w:t>
      </w:r>
      <w:r w:rsidR="005845B7">
        <w:rPr>
          <w:rFonts w:asciiTheme="minorHAnsi" w:hAnsiTheme="minorHAnsi"/>
          <w:lang w:eastAsia="ja-JP"/>
        </w:rPr>
        <w:t>Exports are forecast to grow by 5½ per cent in 2014-15 and 7 per</w:t>
      </w:r>
      <w:r w:rsidR="008A2243">
        <w:rPr>
          <w:rFonts w:asciiTheme="minorHAnsi" w:hAnsiTheme="minorHAnsi"/>
          <w:lang w:eastAsia="ja-JP"/>
        </w:rPr>
        <w:t> </w:t>
      </w:r>
      <w:r w:rsidR="005845B7">
        <w:rPr>
          <w:rFonts w:asciiTheme="minorHAnsi" w:hAnsiTheme="minorHAnsi"/>
          <w:lang w:eastAsia="ja-JP"/>
        </w:rPr>
        <w:t>cent in 2015-16.</w:t>
      </w:r>
    </w:p>
    <w:p w:rsidR="00ED04D3" w:rsidRPr="00ED04D3" w:rsidRDefault="00ED04D3" w:rsidP="00ED04D3">
      <w:pPr>
        <w:rPr>
          <w:rFonts w:asciiTheme="minorHAnsi" w:hAnsiTheme="minorHAnsi"/>
          <w:lang w:eastAsia="ja-JP"/>
        </w:rPr>
      </w:pPr>
      <w:r w:rsidRPr="00ED04D3">
        <w:rPr>
          <w:rFonts w:asciiTheme="minorHAnsi" w:hAnsiTheme="minorHAnsi"/>
          <w:lang w:eastAsia="ja-JP"/>
        </w:rPr>
        <w:t xml:space="preserve">After holding up during the second half of 2013, iron ore and coal prices have fallen sharply since the </w:t>
      </w:r>
      <w:r w:rsidRPr="00ED04D3">
        <w:rPr>
          <w:rFonts w:asciiTheme="minorHAnsi" w:hAnsiTheme="minorHAnsi"/>
          <w:lang w:eastAsia="ja-JP"/>
        </w:rPr>
        <w:lastRenderedPageBreak/>
        <w:t>beginning of the year</w:t>
      </w:r>
      <w:r w:rsidR="009337F0">
        <w:rPr>
          <w:rFonts w:asciiTheme="minorHAnsi" w:hAnsiTheme="minorHAnsi"/>
          <w:lang w:eastAsia="ja-JP"/>
        </w:rPr>
        <w:t>, with i</w:t>
      </w:r>
      <w:r w:rsidRPr="00ED04D3">
        <w:rPr>
          <w:rFonts w:asciiTheme="minorHAnsi" w:hAnsiTheme="minorHAnsi"/>
          <w:lang w:eastAsia="ja-JP"/>
        </w:rPr>
        <w:t>ron ore and thermal coal prices down around 13 per cent and prices of metallurgical coal around 19 per cent. The soft prices are due to weaker demand for steel, a period of negative sentiment around China’s economic growth prospects, as well as ample supply, including from Australia, where coal export volumes were up 12 per cen</w:t>
      </w:r>
      <w:r>
        <w:rPr>
          <w:rFonts w:asciiTheme="minorHAnsi" w:hAnsiTheme="minorHAnsi"/>
          <w:lang w:eastAsia="ja-JP"/>
        </w:rPr>
        <w:t>t in the December 2013 quarter.</w:t>
      </w:r>
    </w:p>
    <w:p w:rsidR="00ED04D3" w:rsidRPr="00ED04D3" w:rsidRDefault="00ED04D3" w:rsidP="00ED04D3">
      <w:pPr>
        <w:rPr>
          <w:rFonts w:asciiTheme="minorHAnsi" w:hAnsiTheme="minorHAnsi"/>
          <w:lang w:eastAsia="ja-JP"/>
        </w:rPr>
      </w:pPr>
      <w:r w:rsidRPr="00ED04D3">
        <w:rPr>
          <w:rFonts w:asciiTheme="minorHAnsi" w:hAnsiTheme="minorHAnsi"/>
          <w:lang w:eastAsia="ja-JP"/>
        </w:rPr>
        <w:t xml:space="preserve">In line with recent falls, export price forecasts have been revised down for the remainder of 2013-14. Iron ore prices are expected to fall further in 2014-15 and 2015-16, albeit at a slower rate than forecast in </w:t>
      </w:r>
      <w:r w:rsidRPr="00B239E0">
        <w:rPr>
          <w:rFonts w:asciiTheme="minorHAnsi" w:hAnsiTheme="minorHAnsi"/>
          <w:lang w:eastAsia="ja-JP"/>
        </w:rPr>
        <w:t>December</w:t>
      </w:r>
      <w:r w:rsidR="00F477A5" w:rsidRPr="00B239E0">
        <w:rPr>
          <w:rFonts w:asciiTheme="minorHAnsi" w:hAnsiTheme="minorHAnsi"/>
          <w:lang w:eastAsia="ja-JP"/>
        </w:rPr>
        <w:t xml:space="preserve"> to reach an unchanged level</w:t>
      </w:r>
      <w:r w:rsidRPr="00ED04D3">
        <w:rPr>
          <w:rFonts w:asciiTheme="minorHAnsi" w:hAnsiTheme="minorHAnsi"/>
          <w:lang w:eastAsia="ja-JP"/>
        </w:rPr>
        <w:t>. The decline</w:t>
      </w:r>
      <w:r w:rsidR="001C4594">
        <w:rPr>
          <w:rFonts w:asciiTheme="minorHAnsi" w:hAnsiTheme="minorHAnsi"/>
          <w:lang w:eastAsia="ja-JP"/>
        </w:rPr>
        <w:t xml:space="preserve"> in the near-term</w:t>
      </w:r>
      <w:r w:rsidRPr="00ED04D3">
        <w:rPr>
          <w:rFonts w:asciiTheme="minorHAnsi" w:hAnsiTheme="minorHAnsi"/>
          <w:lang w:eastAsia="ja-JP"/>
        </w:rPr>
        <w:t xml:space="preserve"> reflects growing global supply and slower demand growth for steel. Metallurgical and thermal coal prices are both expected to recover slightly from their current low spot prices, but have been revised down </w:t>
      </w:r>
      <w:r w:rsidR="009337F0">
        <w:rPr>
          <w:rFonts w:asciiTheme="minorHAnsi" w:hAnsiTheme="minorHAnsi"/>
          <w:lang w:eastAsia="ja-JP"/>
        </w:rPr>
        <w:t>from</w:t>
      </w:r>
      <w:r w:rsidR="000A48E0">
        <w:rPr>
          <w:rFonts w:asciiTheme="minorHAnsi" w:hAnsiTheme="minorHAnsi"/>
          <w:lang w:eastAsia="ja-JP"/>
        </w:rPr>
        <w:t xml:space="preserve"> the December round. M</w:t>
      </w:r>
      <w:r w:rsidRPr="00ED04D3">
        <w:rPr>
          <w:rFonts w:asciiTheme="minorHAnsi" w:hAnsiTheme="minorHAnsi"/>
          <w:lang w:eastAsia="ja-JP"/>
        </w:rPr>
        <w:t xml:space="preserve">etallurgical coal prices </w:t>
      </w:r>
      <w:r w:rsidR="000A48E0">
        <w:rPr>
          <w:rFonts w:asciiTheme="minorHAnsi" w:hAnsiTheme="minorHAnsi"/>
          <w:lang w:eastAsia="ja-JP"/>
        </w:rPr>
        <w:t xml:space="preserve">are expected to rise </w:t>
      </w:r>
      <w:r w:rsidRPr="00ED04D3">
        <w:rPr>
          <w:rFonts w:asciiTheme="minorHAnsi" w:hAnsiTheme="minorHAnsi"/>
          <w:lang w:eastAsia="ja-JP"/>
        </w:rPr>
        <w:t xml:space="preserve">slightly over the forecasting period as global supply growth slows, and thermal coal </w:t>
      </w:r>
      <w:r w:rsidR="000A48E0">
        <w:rPr>
          <w:rFonts w:asciiTheme="minorHAnsi" w:hAnsiTheme="minorHAnsi"/>
          <w:lang w:eastAsia="ja-JP"/>
        </w:rPr>
        <w:t>prices are forecast to remain stable</w:t>
      </w:r>
      <w:r w:rsidRPr="00ED04D3">
        <w:rPr>
          <w:rFonts w:asciiTheme="minorHAnsi" w:hAnsiTheme="minorHAnsi"/>
          <w:lang w:eastAsia="ja-JP"/>
        </w:rPr>
        <w:t xml:space="preserve">.    </w:t>
      </w:r>
    </w:p>
    <w:p w:rsidR="0097372F" w:rsidRDefault="00ED04D3" w:rsidP="00ED04D3">
      <w:pPr>
        <w:rPr>
          <w:rFonts w:asciiTheme="minorHAnsi" w:hAnsiTheme="minorHAnsi"/>
          <w:lang w:eastAsia="ja-JP"/>
        </w:rPr>
      </w:pPr>
      <w:r w:rsidRPr="00ED04D3">
        <w:rPr>
          <w:rFonts w:asciiTheme="minorHAnsi" w:hAnsiTheme="minorHAnsi"/>
          <w:lang w:eastAsia="ja-JP"/>
        </w:rPr>
        <w:t xml:space="preserve">Changes to the export price forecasts have been the main influence on changes to the forecast terms of trade. Forecast terms of trade growth has been downgraded in 2014-15 and upgraded in 2015-16 to reach approximately the same level. </w:t>
      </w:r>
      <w:r w:rsidR="0097372F">
        <w:rPr>
          <w:rFonts w:asciiTheme="minorHAnsi" w:hAnsiTheme="minorHAnsi"/>
          <w:lang w:eastAsia="ja-JP"/>
        </w:rPr>
        <w:t>Overall the terms of trade are expected to fall by 5 per cent in 2013-14, 6½ per cent in 2014-1</w:t>
      </w:r>
      <w:r>
        <w:rPr>
          <w:rFonts w:asciiTheme="minorHAnsi" w:hAnsiTheme="minorHAnsi"/>
          <w:lang w:eastAsia="ja-JP"/>
        </w:rPr>
        <w:t>5 and 1¾ per cent in 2015-16</w:t>
      </w:r>
      <w:r w:rsidR="004F0A1C">
        <w:rPr>
          <w:rFonts w:asciiTheme="minorHAnsi" w:hAnsiTheme="minorHAnsi"/>
          <w:lang w:eastAsia="ja-JP"/>
        </w:rPr>
        <w:t xml:space="preserve"> (chart </w:t>
      </w:r>
      <w:r w:rsidR="00027C06">
        <w:rPr>
          <w:rFonts w:asciiTheme="minorHAnsi" w:hAnsiTheme="minorHAnsi"/>
          <w:lang w:eastAsia="ja-JP"/>
        </w:rPr>
        <w:t>10</w:t>
      </w:r>
      <w:r w:rsidR="004F0A1C">
        <w:rPr>
          <w:rFonts w:asciiTheme="minorHAnsi" w:hAnsiTheme="minorHAnsi"/>
          <w:lang w:eastAsia="ja-JP"/>
        </w:rPr>
        <w:t>)</w:t>
      </w:r>
      <w:r w:rsidR="0097372F">
        <w:rPr>
          <w:rFonts w:asciiTheme="minorHAnsi" w:hAnsiTheme="minorHAnsi"/>
          <w:lang w:eastAsia="ja-JP"/>
        </w:rPr>
        <w:t xml:space="preserve">. </w:t>
      </w:r>
    </w:p>
    <w:p w:rsidR="00917111" w:rsidRDefault="00917111" w:rsidP="00917111">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sidR="00027C06">
        <w:rPr>
          <w:rFonts w:asciiTheme="minorHAnsi" w:hAnsiTheme="minorHAnsi"/>
          <w:b/>
          <w:szCs w:val="20"/>
        </w:rPr>
        <w:t>10</w:t>
      </w:r>
      <w:r w:rsidRPr="003D4244">
        <w:rPr>
          <w:rFonts w:asciiTheme="minorHAnsi" w:hAnsiTheme="minorHAnsi"/>
          <w:b/>
          <w:szCs w:val="20"/>
        </w:rPr>
        <w:t xml:space="preserve">: </w:t>
      </w:r>
      <w:r>
        <w:rPr>
          <w:rFonts w:asciiTheme="minorHAnsi" w:hAnsiTheme="minorHAnsi"/>
          <w:b/>
          <w:szCs w:val="20"/>
        </w:rPr>
        <w:t>Terms of trade</w:t>
      </w:r>
    </w:p>
    <w:p w:rsidR="00917111" w:rsidRDefault="005E27E0" w:rsidP="00B24EBA">
      <w:pPr>
        <w:pStyle w:val="TableGraphic0"/>
      </w:pPr>
      <w:r>
        <w:object w:dxaOrig="4516" w:dyaOrig="4515">
          <v:shape id="_x0000_i1035" type="#_x0000_t75" style="width:226pt;height:226pt" o:ole="">
            <v:imagedata r:id="rId42" o:title=""/>
          </v:shape>
          <o:OLEObject Type="Link" ProgID="Excel.Sheet.12" ShapeID="_x0000_i1035" DrawAspect="Content" r:id="rId43" UpdateMode="Always">
            <o:LinkType>EnhancedMetaFile</o:LinkType>
            <o:LockedField>false</o:LockedField>
          </o:OLEObject>
        </w:object>
      </w:r>
    </w:p>
    <w:p w:rsidR="00717ED3" w:rsidRPr="00587BCC" w:rsidRDefault="00717ED3" w:rsidP="00717ED3">
      <w:pPr>
        <w:spacing w:line="240" w:lineRule="auto"/>
        <w:rPr>
          <w:rFonts w:asciiTheme="minorHAnsi" w:hAnsiTheme="minorHAnsi"/>
          <w:lang w:eastAsia="ja-JP"/>
        </w:rPr>
      </w:pPr>
      <w:r w:rsidRPr="00587BCC">
        <w:rPr>
          <w:rFonts w:asciiTheme="minorHAnsi" w:hAnsiTheme="minorHAnsi"/>
          <w:kern w:val="2"/>
          <w:sz w:val="16"/>
        </w:rPr>
        <w:t>Source:  ABS cat. no. 520</w:t>
      </w:r>
      <w:r>
        <w:rPr>
          <w:rFonts w:asciiTheme="minorHAnsi" w:hAnsiTheme="minorHAnsi"/>
          <w:kern w:val="2"/>
          <w:sz w:val="16"/>
        </w:rPr>
        <w:t>6</w:t>
      </w:r>
      <w:r w:rsidRPr="00587BCC">
        <w:rPr>
          <w:rFonts w:asciiTheme="minorHAnsi" w:hAnsiTheme="minorHAnsi"/>
          <w:kern w:val="2"/>
          <w:sz w:val="16"/>
        </w:rPr>
        <w:t>.0 and Treasury.</w:t>
      </w:r>
    </w:p>
    <w:p w:rsidR="005845B7" w:rsidRDefault="005845B7" w:rsidP="00C45535">
      <w:pPr>
        <w:rPr>
          <w:rFonts w:asciiTheme="minorHAnsi" w:hAnsiTheme="minorHAnsi"/>
          <w:lang w:eastAsia="ja-JP"/>
        </w:rPr>
      </w:pPr>
      <w:r>
        <w:rPr>
          <w:rFonts w:asciiTheme="minorHAnsi" w:hAnsiTheme="minorHAnsi"/>
          <w:lang w:eastAsia="ja-JP"/>
        </w:rPr>
        <w:lastRenderedPageBreak/>
        <w:t xml:space="preserve">There are risks associated with the exports forecast. Firstly, non-resources exports have been subdued under the influence of a strong exchange rate </w:t>
      </w:r>
      <w:r w:rsidR="009C024C">
        <w:rPr>
          <w:rFonts w:asciiTheme="minorHAnsi" w:hAnsiTheme="minorHAnsi"/>
          <w:lang w:eastAsia="ja-JP"/>
        </w:rPr>
        <w:t>for an extended period</w:t>
      </w:r>
      <w:r w:rsidR="006875E5">
        <w:rPr>
          <w:rFonts w:asciiTheme="minorHAnsi" w:hAnsiTheme="minorHAnsi"/>
          <w:lang w:eastAsia="ja-JP"/>
        </w:rPr>
        <w:t>. A weaker exchange rate, which is historically an outcome associated with a fall in the terms of trade, would benefit exports in general.</w:t>
      </w:r>
    </w:p>
    <w:p w:rsidR="00ED04D3" w:rsidRDefault="00ED04D3" w:rsidP="00C45535">
      <w:pPr>
        <w:rPr>
          <w:rFonts w:asciiTheme="minorHAnsi" w:hAnsiTheme="minorHAnsi"/>
          <w:lang w:eastAsia="ja-JP"/>
        </w:rPr>
      </w:pPr>
      <w:r w:rsidRPr="00ED04D3">
        <w:rPr>
          <w:rFonts w:asciiTheme="minorHAnsi" w:hAnsiTheme="minorHAnsi"/>
          <w:lang w:eastAsia="ja-JP"/>
        </w:rPr>
        <w:t>Conversely, recent falls in coal prices may force some Australian production to shut down, although the influence of ‘take or pay’ contracts with infrastructure pr</w:t>
      </w:r>
      <w:r w:rsidR="00272A1A">
        <w:rPr>
          <w:rFonts w:asciiTheme="minorHAnsi" w:hAnsiTheme="minorHAnsi"/>
          <w:lang w:eastAsia="ja-JP"/>
        </w:rPr>
        <w:t>oviders appears to be limiting the</w:t>
      </w:r>
      <w:r w:rsidRPr="00ED04D3">
        <w:rPr>
          <w:rFonts w:asciiTheme="minorHAnsi" w:hAnsiTheme="minorHAnsi"/>
          <w:lang w:eastAsia="ja-JP"/>
        </w:rPr>
        <w:t xml:space="preserve"> supply response </w:t>
      </w:r>
      <w:r w:rsidR="00272A1A">
        <w:rPr>
          <w:rFonts w:asciiTheme="minorHAnsi" w:hAnsiTheme="minorHAnsi"/>
          <w:lang w:eastAsia="ja-JP"/>
        </w:rPr>
        <w:t>to date</w:t>
      </w:r>
      <w:r w:rsidRPr="00ED04D3">
        <w:rPr>
          <w:rFonts w:asciiTheme="minorHAnsi" w:hAnsiTheme="minorHAnsi"/>
          <w:lang w:eastAsia="ja-JP"/>
        </w:rPr>
        <w:t xml:space="preserve">.  </w:t>
      </w:r>
    </w:p>
    <w:p w:rsidR="006875E5" w:rsidRDefault="006875E5" w:rsidP="00C45535">
      <w:pPr>
        <w:rPr>
          <w:rFonts w:asciiTheme="minorHAnsi" w:hAnsiTheme="minorHAnsi"/>
          <w:lang w:eastAsia="ja-JP"/>
        </w:rPr>
      </w:pPr>
      <w:r>
        <w:rPr>
          <w:rFonts w:asciiTheme="minorHAnsi" w:hAnsiTheme="minorHAnsi"/>
          <w:lang w:eastAsia="ja-JP"/>
        </w:rPr>
        <w:t xml:space="preserve">Another </w:t>
      </w:r>
      <w:r w:rsidR="009E3B12">
        <w:rPr>
          <w:rFonts w:asciiTheme="minorHAnsi" w:hAnsiTheme="minorHAnsi"/>
          <w:lang w:eastAsia="ja-JP"/>
        </w:rPr>
        <w:t xml:space="preserve">downside </w:t>
      </w:r>
      <w:r>
        <w:rPr>
          <w:rFonts w:asciiTheme="minorHAnsi" w:hAnsiTheme="minorHAnsi"/>
          <w:lang w:eastAsia="ja-JP"/>
        </w:rPr>
        <w:t>risk is the uncertainty surrounding the timing of the increase in supply from newly completed resources projects</w:t>
      </w:r>
      <w:r w:rsidR="00932CCB">
        <w:rPr>
          <w:rFonts w:asciiTheme="minorHAnsi" w:hAnsiTheme="minorHAnsi"/>
          <w:lang w:eastAsia="ja-JP"/>
        </w:rPr>
        <w:t xml:space="preserve">, particularly LNG projects that </w:t>
      </w:r>
      <w:r w:rsidR="00CF0D8D">
        <w:rPr>
          <w:rFonts w:asciiTheme="minorHAnsi" w:hAnsiTheme="minorHAnsi"/>
          <w:lang w:eastAsia="ja-JP"/>
        </w:rPr>
        <w:t>rely on gas sources that use more recently developed extraction technologies.</w:t>
      </w:r>
      <w:r w:rsidR="00EA0971">
        <w:rPr>
          <w:rFonts w:asciiTheme="minorHAnsi" w:hAnsiTheme="minorHAnsi"/>
          <w:lang w:eastAsia="ja-JP"/>
        </w:rPr>
        <w:t xml:space="preserve"> There </w:t>
      </w:r>
      <w:r w:rsidR="000A48E0">
        <w:rPr>
          <w:rFonts w:asciiTheme="minorHAnsi" w:hAnsiTheme="minorHAnsi"/>
          <w:lang w:eastAsia="ja-JP"/>
        </w:rPr>
        <w:t>is also more uncertainty</w:t>
      </w:r>
      <w:r w:rsidR="00EA0971">
        <w:rPr>
          <w:rFonts w:asciiTheme="minorHAnsi" w:hAnsiTheme="minorHAnsi"/>
          <w:lang w:eastAsia="ja-JP"/>
        </w:rPr>
        <w:t xml:space="preserve"> associated with the price of LNG</w:t>
      </w:r>
      <w:r w:rsidR="009E3B12">
        <w:rPr>
          <w:rFonts w:asciiTheme="minorHAnsi" w:hAnsiTheme="minorHAnsi"/>
          <w:lang w:eastAsia="ja-JP"/>
        </w:rPr>
        <w:t xml:space="preserve"> exports,</w:t>
      </w:r>
      <w:r w:rsidR="00EA0971">
        <w:rPr>
          <w:rFonts w:asciiTheme="minorHAnsi" w:hAnsiTheme="minorHAnsi"/>
          <w:lang w:eastAsia="ja-JP"/>
        </w:rPr>
        <w:t xml:space="preserve"> </w:t>
      </w:r>
      <w:r w:rsidR="009E3B12">
        <w:rPr>
          <w:rFonts w:asciiTheme="minorHAnsi" w:hAnsiTheme="minorHAnsi"/>
          <w:lang w:eastAsia="ja-JP"/>
        </w:rPr>
        <w:t>not only because prices depend</w:t>
      </w:r>
      <w:r w:rsidR="009E3B12" w:rsidRPr="009E3B12">
        <w:rPr>
          <w:rFonts w:asciiTheme="minorHAnsi" w:hAnsiTheme="minorHAnsi"/>
          <w:lang w:eastAsia="ja-JP"/>
        </w:rPr>
        <w:t xml:space="preserve"> on an uncertain oil price, but also because the pricing in contracts is opaque</w:t>
      </w:r>
      <w:r w:rsidR="009E3B12">
        <w:rPr>
          <w:rFonts w:asciiTheme="minorHAnsi" w:hAnsiTheme="minorHAnsi"/>
          <w:lang w:eastAsia="ja-JP"/>
        </w:rPr>
        <w:t xml:space="preserve">. </w:t>
      </w:r>
    </w:p>
    <w:p w:rsidR="007F7BE7" w:rsidRPr="007F7BE7" w:rsidRDefault="00ED0C6E" w:rsidP="007F7BE7">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The outlook is a balance between</w:t>
      </w:r>
      <w:r w:rsidR="001224AB">
        <w:rPr>
          <w:rFonts w:asciiTheme="minorHAnsi" w:hAnsiTheme="minorHAnsi"/>
          <w:b/>
          <w:color w:val="0000FF"/>
          <w:sz w:val="24"/>
        </w:rPr>
        <w:t xml:space="preserve"> </w:t>
      </w:r>
      <w:r w:rsidR="00F92B6C">
        <w:rPr>
          <w:rFonts w:asciiTheme="minorHAnsi" w:hAnsiTheme="minorHAnsi"/>
          <w:b/>
          <w:color w:val="0000FF"/>
          <w:sz w:val="24"/>
        </w:rPr>
        <w:t>opposing forces</w:t>
      </w:r>
      <w:r>
        <w:rPr>
          <w:rFonts w:asciiTheme="minorHAnsi" w:hAnsiTheme="minorHAnsi"/>
          <w:b/>
          <w:color w:val="0000FF"/>
          <w:sz w:val="24"/>
        </w:rPr>
        <w:t xml:space="preserve">… </w:t>
      </w:r>
    </w:p>
    <w:p w:rsidR="00F92B6C" w:rsidRDefault="007A261E" w:rsidP="00C45535">
      <w:pPr>
        <w:rPr>
          <w:rFonts w:asciiTheme="minorHAnsi" w:hAnsiTheme="minorHAnsi"/>
          <w:lang w:eastAsia="ja-JP"/>
        </w:rPr>
      </w:pPr>
      <w:r>
        <w:rPr>
          <w:rFonts w:asciiTheme="minorHAnsi" w:hAnsiTheme="minorHAnsi"/>
          <w:lang w:eastAsia="ja-JP"/>
        </w:rPr>
        <w:t>Overall</w:t>
      </w:r>
      <w:r w:rsidR="000532DA">
        <w:rPr>
          <w:rFonts w:asciiTheme="minorHAnsi" w:hAnsiTheme="minorHAnsi"/>
          <w:lang w:eastAsia="ja-JP"/>
        </w:rPr>
        <w:t>,</w:t>
      </w:r>
      <w:r>
        <w:rPr>
          <w:rFonts w:asciiTheme="minorHAnsi" w:hAnsiTheme="minorHAnsi"/>
          <w:lang w:eastAsia="ja-JP"/>
        </w:rPr>
        <w:t xml:space="preserve"> the resources sector is forecast to continue contributing to growth. However, with the decline in resources investment, this contribution to growth will be </w:t>
      </w:r>
      <w:r w:rsidR="00F92B6C">
        <w:rPr>
          <w:rFonts w:asciiTheme="minorHAnsi" w:hAnsiTheme="minorHAnsi"/>
          <w:lang w:eastAsia="ja-JP"/>
        </w:rPr>
        <w:t>smaller than in previous years despite the benefit of higher exports</w:t>
      </w:r>
      <w:r w:rsidR="00027C06">
        <w:rPr>
          <w:rFonts w:asciiTheme="minorHAnsi" w:hAnsiTheme="minorHAnsi"/>
          <w:lang w:eastAsia="ja-JP"/>
        </w:rPr>
        <w:t xml:space="preserve"> (chart 11)</w:t>
      </w:r>
      <w:r w:rsidR="00F92B6C">
        <w:rPr>
          <w:rFonts w:asciiTheme="minorHAnsi" w:hAnsiTheme="minorHAnsi"/>
          <w:lang w:eastAsia="ja-JP"/>
        </w:rPr>
        <w:t xml:space="preserve">. </w:t>
      </w:r>
    </w:p>
    <w:p w:rsidR="004E3EE9" w:rsidRPr="003D4244" w:rsidRDefault="004E3EE9" w:rsidP="004E3EE9">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sidR="00027C06">
        <w:rPr>
          <w:rFonts w:asciiTheme="minorHAnsi" w:hAnsiTheme="minorHAnsi"/>
          <w:b/>
          <w:szCs w:val="20"/>
        </w:rPr>
        <w:t>11</w:t>
      </w:r>
      <w:r w:rsidRPr="003D4244">
        <w:rPr>
          <w:rFonts w:asciiTheme="minorHAnsi" w:hAnsiTheme="minorHAnsi"/>
          <w:b/>
          <w:szCs w:val="20"/>
        </w:rPr>
        <w:t xml:space="preserve">: </w:t>
      </w:r>
      <w:r w:rsidR="00A72A32">
        <w:rPr>
          <w:rFonts w:asciiTheme="minorHAnsi" w:hAnsiTheme="minorHAnsi"/>
          <w:b/>
          <w:szCs w:val="20"/>
        </w:rPr>
        <w:t>Contributions to GDP growth</w:t>
      </w:r>
    </w:p>
    <w:p w:rsidR="00AD77C5" w:rsidRDefault="005F73D9" w:rsidP="00B74F59">
      <w:pPr>
        <w:pStyle w:val="TableGraphic0"/>
        <w:jc w:val="center"/>
      </w:pPr>
      <w:r>
        <w:object w:dxaOrig="4530" w:dyaOrig="4515">
          <v:shape id="_x0000_i1036" type="#_x0000_t75" style="width:226.65pt;height:226pt" o:ole="">
            <v:imagedata r:id="rId44" o:title=""/>
          </v:shape>
          <o:OLEObject Type="Link" ProgID="Excel.Sheet.12" ShapeID="_x0000_i1036" DrawAspect="Content" r:id="rId45" UpdateMode="Always">
            <o:LinkType>EnhancedMetaFile</o:LinkType>
            <o:LockedField>false</o:LockedField>
            <o:FieldCodes>\* MERGEFORMAT</o:FieldCodes>
          </o:OLEObject>
        </w:object>
      </w:r>
    </w:p>
    <w:p w:rsidR="00717ED3" w:rsidRPr="00587BCC" w:rsidRDefault="00717ED3" w:rsidP="00717ED3">
      <w:pPr>
        <w:spacing w:line="240" w:lineRule="auto"/>
        <w:rPr>
          <w:rFonts w:asciiTheme="minorHAnsi" w:hAnsiTheme="minorHAnsi"/>
          <w:lang w:eastAsia="ja-JP"/>
        </w:rPr>
      </w:pPr>
      <w:r w:rsidRPr="00587BCC">
        <w:rPr>
          <w:rFonts w:asciiTheme="minorHAnsi" w:hAnsiTheme="minorHAnsi"/>
          <w:kern w:val="2"/>
          <w:sz w:val="16"/>
        </w:rPr>
        <w:t>Source:  ABS cat. no. 520</w:t>
      </w:r>
      <w:r>
        <w:rPr>
          <w:rFonts w:asciiTheme="minorHAnsi" w:hAnsiTheme="minorHAnsi"/>
          <w:kern w:val="2"/>
          <w:sz w:val="16"/>
        </w:rPr>
        <w:t>4</w:t>
      </w:r>
      <w:r w:rsidRPr="00587BCC">
        <w:rPr>
          <w:rFonts w:asciiTheme="minorHAnsi" w:hAnsiTheme="minorHAnsi"/>
          <w:kern w:val="2"/>
          <w:sz w:val="16"/>
        </w:rPr>
        <w:t>.0 and Treasury.</w:t>
      </w:r>
    </w:p>
    <w:p w:rsidR="000532DA" w:rsidRDefault="004B4E16" w:rsidP="00C45535">
      <w:pPr>
        <w:rPr>
          <w:rFonts w:asciiTheme="minorHAnsi" w:hAnsiTheme="minorHAnsi"/>
          <w:lang w:eastAsia="ja-JP"/>
        </w:rPr>
      </w:pPr>
      <w:r>
        <w:rPr>
          <w:rFonts w:asciiTheme="minorHAnsi" w:hAnsiTheme="minorHAnsi"/>
          <w:lang w:eastAsia="ja-JP"/>
        </w:rPr>
        <w:t xml:space="preserve">The other identifiable factor that is weighing on growth is the public sector. </w:t>
      </w:r>
      <w:r w:rsidR="00ED4688">
        <w:rPr>
          <w:rFonts w:asciiTheme="minorHAnsi" w:hAnsiTheme="minorHAnsi"/>
          <w:lang w:eastAsia="ja-JP"/>
        </w:rPr>
        <w:t xml:space="preserve">Public final demand growth </w:t>
      </w:r>
      <w:r w:rsidR="00ED4688">
        <w:rPr>
          <w:rFonts w:asciiTheme="minorHAnsi" w:hAnsiTheme="minorHAnsi"/>
          <w:lang w:eastAsia="ja-JP"/>
        </w:rPr>
        <w:lastRenderedPageBreak/>
        <w:t>is forecast to remain well below</w:t>
      </w:r>
      <w:r w:rsidR="00D531A2">
        <w:rPr>
          <w:rFonts w:asciiTheme="minorHAnsi" w:hAnsiTheme="minorHAnsi"/>
          <w:lang w:eastAsia="ja-JP"/>
        </w:rPr>
        <w:t xml:space="preserve"> average, as all levels of government continue to pursue fiscal consolidation. These forecasts are based on </w:t>
      </w:r>
      <w:r>
        <w:rPr>
          <w:rFonts w:asciiTheme="minorHAnsi" w:hAnsiTheme="minorHAnsi"/>
          <w:lang w:eastAsia="ja-JP"/>
        </w:rPr>
        <w:t xml:space="preserve">a </w:t>
      </w:r>
      <w:r w:rsidR="00D531A2">
        <w:rPr>
          <w:rFonts w:asciiTheme="minorHAnsi" w:hAnsiTheme="minorHAnsi"/>
          <w:lang w:eastAsia="ja-JP"/>
        </w:rPr>
        <w:t xml:space="preserve">direct </w:t>
      </w:r>
      <w:r>
        <w:rPr>
          <w:rFonts w:asciiTheme="minorHAnsi" w:hAnsiTheme="minorHAnsi"/>
          <w:lang w:eastAsia="ja-JP"/>
        </w:rPr>
        <w:t>translation</w:t>
      </w:r>
      <w:r w:rsidR="00D531A2">
        <w:rPr>
          <w:rFonts w:asciiTheme="minorHAnsi" w:hAnsiTheme="minorHAnsi"/>
          <w:lang w:eastAsia="ja-JP"/>
        </w:rPr>
        <w:t xml:space="preserve"> of the fiscal </w:t>
      </w:r>
      <w:r w:rsidR="000532DA">
        <w:rPr>
          <w:rFonts w:asciiTheme="minorHAnsi" w:hAnsiTheme="minorHAnsi"/>
          <w:lang w:eastAsia="ja-JP"/>
        </w:rPr>
        <w:t xml:space="preserve">settings outlined in MYEFO and the latest available state budgets. </w:t>
      </w:r>
    </w:p>
    <w:p w:rsidR="00D531A2" w:rsidRDefault="00D531A2" w:rsidP="00C45535">
      <w:pPr>
        <w:rPr>
          <w:rFonts w:asciiTheme="minorHAnsi" w:hAnsiTheme="minorHAnsi"/>
          <w:lang w:eastAsia="ja-JP"/>
        </w:rPr>
      </w:pPr>
      <w:r>
        <w:rPr>
          <w:rFonts w:asciiTheme="minorHAnsi" w:hAnsiTheme="minorHAnsi"/>
          <w:lang w:eastAsia="ja-JP"/>
        </w:rPr>
        <w:t xml:space="preserve">New public demand is forecast to grow by 1¼ per cent in 2013-14 and 2014-15 and by 1 per cent in 2015-16, </w:t>
      </w:r>
      <w:r w:rsidR="00780A28">
        <w:rPr>
          <w:rFonts w:asciiTheme="minorHAnsi" w:hAnsiTheme="minorHAnsi"/>
          <w:lang w:eastAsia="ja-JP"/>
        </w:rPr>
        <w:t>which is a</w:t>
      </w:r>
      <w:r>
        <w:rPr>
          <w:rFonts w:asciiTheme="minorHAnsi" w:hAnsiTheme="minorHAnsi"/>
          <w:lang w:eastAsia="ja-JP"/>
        </w:rPr>
        <w:t xml:space="preserve"> </w:t>
      </w:r>
      <w:r w:rsidR="00780A28">
        <w:rPr>
          <w:rFonts w:asciiTheme="minorHAnsi" w:hAnsiTheme="minorHAnsi"/>
          <w:lang w:eastAsia="ja-JP"/>
        </w:rPr>
        <w:t xml:space="preserve">slight upgrade in 2013-14 and 2014-15 and a slight downgrade in 2015-16. Over the past 10 years, new public final demand has averaged </w:t>
      </w:r>
      <w:r w:rsidR="009337F0">
        <w:rPr>
          <w:rFonts w:asciiTheme="minorHAnsi" w:hAnsiTheme="minorHAnsi"/>
          <w:lang w:eastAsia="ja-JP"/>
        </w:rPr>
        <w:t>a robust 3.4</w:t>
      </w:r>
      <w:r w:rsidR="00780A28">
        <w:rPr>
          <w:rFonts w:asciiTheme="minorHAnsi" w:hAnsiTheme="minorHAnsi"/>
          <w:lang w:eastAsia="ja-JP"/>
        </w:rPr>
        <w:t xml:space="preserve"> per cent growth, so these forecasts represent a significantly smaller than average </w:t>
      </w:r>
      <w:r w:rsidR="00F92B6C">
        <w:rPr>
          <w:rFonts w:asciiTheme="minorHAnsi" w:hAnsiTheme="minorHAnsi"/>
          <w:lang w:eastAsia="ja-JP"/>
        </w:rPr>
        <w:t xml:space="preserve">contribution to overall growth. </w:t>
      </w:r>
    </w:p>
    <w:p w:rsidR="002F61B3" w:rsidRDefault="004B4E16" w:rsidP="00C45535">
      <w:pPr>
        <w:rPr>
          <w:rFonts w:asciiTheme="minorHAnsi" w:hAnsiTheme="minorHAnsi"/>
          <w:lang w:eastAsia="ja-JP"/>
        </w:rPr>
      </w:pPr>
      <w:r>
        <w:rPr>
          <w:rFonts w:asciiTheme="minorHAnsi" w:hAnsiTheme="minorHAnsi"/>
          <w:lang w:eastAsia="ja-JP"/>
        </w:rPr>
        <w:t>T</w:t>
      </w:r>
      <w:r w:rsidR="00F92B6C">
        <w:rPr>
          <w:rFonts w:asciiTheme="minorHAnsi" w:hAnsiTheme="minorHAnsi"/>
          <w:lang w:eastAsia="ja-JP"/>
        </w:rPr>
        <w:t xml:space="preserve">he positive influence on the economy </w:t>
      </w:r>
      <w:r>
        <w:rPr>
          <w:rFonts w:asciiTheme="minorHAnsi" w:hAnsiTheme="minorHAnsi"/>
          <w:lang w:eastAsia="ja-JP"/>
        </w:rPr>
        <w:t xml:space="preserve">from accommodative monetary policy </w:t>
      </w:r>
      <w:r w:rsidR="00F92B6C">
        <w:rPr>
          <w:rFonts w:asciiTheme="minorHAnsi" w:hAnsiTheme="minorHAnsi"/>
          <w:lang w:eastAsia="ja-JP"/>
        </w:rPr>
        <w:t xml:space="preserve">is more difficult to predict. </w:t>
      </w:r>
      <w:r>
        <w:rPr>
          <w:rFonts w:asciiTheme="minorHAnsi" w:hAnsiTheme="minorHAnsi"/>
          <w:lang w:eastAsia="ja-JP"/>
        </w:rPr>
        <w:t>Sustained low interest rates are</w:t>
      </w:r>
      <w:r w:rsidR="00F92B6C">
        <w:rPr>
          <w:rFonts w:asciiTheme="minorHAnsi" w:hAnsiTheme="minorHAnsi"/>
          <w:lang w:eastAsia="ja-JP"/>
        </w:rPr>
        <w:t xml:space="preserve"> most clearly affecting the dwelling sector, and there are </w:t>
      </w:r>
      <w:r>
        <w:rPr>
          <w:rFonts w:asciiTheme="minorHAnsi" w:hAnsiTheme="minorHAnsi"/>
          <w:lang w:eastAsia="ja-JP"/>
        </w:rPr>
        <w:t>clearer</w:t>
      </w:r>
      <w:r w:rsidR="00F92B6C">
        <w:rPr>
          <w:rFonts w:asciiTheme="minorHAnsi" w:hAnsiTheme="minorHAnsi"/>
          <w:lang w:eastAsia="ja-JP"/>
        </w:rPr>
        <w:t xml:space="preserve"> signs that household consumption</w:t>
      </w:r>
      <w:r>
        <w:rPr>
          <w:rFonts w:asciiTheme="minorHAnsi" w:hAnsiTheme="minorHAnsi"/>
          <w:lang w:eastAsia="ja-JP"/>
        </w:rPr>
        <w:t xml:space="preserve"> is also beginning to respond</w:t>
      </w:r>
      <w:r w:rsidR="0065610B">
        <w:rPr>
          <w:rFonts w:asciiTheme="minorHAnsi" w:hAnsiTheme="minorHAnsi"/>
          <w:lang w:eastAsia="ja-JP"/>
        </w:rPr>
        <w:t>. However, household consumption</w:t>
      </w:r>
      <w:r w:rsidR="00366018">
        <w:rPr>
          <w:rFonts w:asciiTheme="minorHAnsi" w:hAnsiTheme="minorHAnsi"/>
          <w:lang w:eastAsia="ja-JP"/>
        </w:rPr>
        <w:t>, while improving,</w:t>
      </w:r>
      <w:r w:rsidR="0065610B">
        <w:rPr>
          <w:rFonts w:asciiTheme="minorHAnsi" w:hAnsiTheme="minorHAnsi"/>
          <w:lang w:eastAsia="ja-JP"/>
        </w:rPr>
        <w:t xml:space="preserve"> </w:t>
      </w:r>
      <w:r w:rsidR="000532DA">
        <w:rPr>
          <w:rFonts w:asciiTheme="minorHAnsi" w:hAnsiTheme="minorHAnsi"/>
          <w:lang w:eastAsia="ja-JP"/>
        </w:rPr>
        <w:t>is expected</w:t>
      </w:r>
      <w:r w:rsidR="009337F0">
        <w:rPr>
          <w:rFonts w:asciiTheme="minorHAnsi" w:hAnsiTheme="minorHAnsi"/>
          <w:lang w:eastAsia="ja-JP"/>
        </w:rPr>
        <w:t xml:space="preserve"> to</w:t>
      </w:r>
      <w:r w:rsidR="0065610B">
        <w:rPr>
          <w:rFonts w:asciiTheme="minorHAnsi" w:hAnsiTheme="minorHAnsi"/>
          <w:lang w:eastAsia="ja-JP"/>
        </w:rPr>
        <w:t xml:space="preserve"> remain limited by weak income growth</w:t>
      </w:r>
      <w:r w:rsidR="00366018">
        <w:rPr>
          <w:rFonts w:asciiTheme="minorHAnsi" w:hAnsiTheme="minorHAnsi"/>
          <w:lang w:eastAsia="ja-JP"/>
        </w:rPr>
        <w:t>,</w:t>
      </w:r>
      <w:r w:rsidR="000532DA">
        <w:rPr>
          <w:rFonts w:asciiTheme="minorHAnsi" w:hAnsiTheme="minorHAnsi"/>
          <w:lang w:eastAsia="ja-JP"/>
        </w:rPr>
        <w:t xml:space="preserve"> and a still-elevated household saving ratio. </w:t>
      </w:r>
    </w:p>
    <w:p w:rsidR="00366018" w:rsidRDefault="000532DA" w:rsidP="00C45535">
      <w:pPr>
        <w:rPr>
          <w:rFonts w:asciiTheme="minorHAnsi" w:hAnsiTheme="minorHAnsi"/>
          <w:lang w:eastAsia="ja-JP"/>
        </w:rPr>
      </w:pPr>
      <w:r>
        <w:rPr>
          <w:rFonts w:asciiTheme="minorHAnsi" w:hAnsiTheme="minorHAnsi"/>
          <w:lang w:eastAsia="ja-JP"/>
        </w:rPr>
        <w:t xml:space="preserve">Businesses </w:t>
      </w:r>
      <w:r w:rsidR="00CD6651">
        <w:rPr>
          <w:rFonts w:asciiTheme="minorHAnsi" w:hAnsiTheme="minorHAnsi"/>
          <w:lang w:eastAsia="ja-JP"/>
        </w:rPr>
        <w:t xml:space="preserve">should also </w:t>
      </w:r>
      <w:r w:rsidR="00366018">
        <w:rPr>
          <w:rFonts w:asciiTheme="minorHAnsi" w:hAnsiTheme="minorHAnsi"/>
          <w:lang w:eastAsia="ja-JP"/>
        </w:rPr>
        <w:t>start to respond to better demand and catch up on prior investment forgone</w:t>
      </w:r>
      <w:r w:rsidR="00CD6651">
        <w:rPr>
          <w:rFonts w:asciiTheme="minorHAnsi" w:hAnsiTheme="minorHAnsi"/>
          <w:lang w:eastAsia="ja-JP"/>
        </w:rPr>
        <w:t>, once existing levels of spare capacity are absorbed</w:t>
      </w:r>
      <w:r w:rsidR="00366018">
        <w:rPr>
          <w:rFonts w:asciiTheme="minorHAnsi" w:hAnsiTheme="minorHAnsi"/>
          <w:lang w:eastAsia="ja-JP"/>
        </w:rPr>
        <w:t xml:space="preserve">. </w:t>
      </w:r>
      <w:r w:rsidR="00CD6651">
        <w:rPr>
          <w:rFonts w:asciiTheme="minorHAnsi" w:hAnsiTheme="minorHAnsi"/>
          <w:lang w:eastAsia="ja-JP"/>
        </w:rPr>
        <w:t>This is expected to start happening in a meaningful way in 2015-16 (</w:t>
      </w:r>
      <w:r w:rsidR="004F0A1C">
        <w:rPr>
          <w:rFonts w:asciiTheme="minorHAnsi" w:hAnsiTheme="minorHAnsi"/>
          <w:lang w:eastAsia="ja-JP"/>
        </w:rPr>
        <w:t>chart 8</w:t>
      </w:r>
      <w:r w:rsidR="00CD6651">
        <w:rPr>
          <w:rFonts w:asciiTheme="minorHAnsi" w:hAnsiTheme="minorHAnsi"/>
          <w:lang w:eastAsia="ja-JP"/>
        </w:rPr>
        <w:t xml:space="preserve">). However, were this to happen sooner or more strongly than forecast, as expected by the RBA, overall GDP growth could </w:t>
      </w:r>
      <w:r w:rsidR="009337F0">
        <w:rPr>
          <w:rFonts w:asciiTheme="minorHAnsi" w:hAnsiTheme="minorHAnsi"/>
          <w:lang w:eastAsia="ja-JP"/>
        </w:rPr>
        <w:t>be stronger than forecast</w:t>
      </w:r>
      <w:r w:rsidR="00CD6651">
        <w:rPr>
          <w:rFonts w:asciiTheme="minorHAnsi" w:hAnsiTheme="minorHAnsi"/>
          <w:lang w:eastAsia="ja-JP"/>
        </w:rPr>
        <w:t>.</w:t>
      </w:r>
    </w:p>
    <w:p w:rsidR="00366018" w:rsidRPr="007F12F9" w:rsidRDefault="000D5B20" w:rsidP="007F12F9">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which is generating a soft labour market with weak wage growth…</w:t>
      </w:r>
    </w:p>
    <w:p w:rsidR="007F12F9" w:rsidRDefault="007F12F9" w:rsidP="00C45535">
      <w:pPr>
        <w:rPr>
          <w:rFonts w:asciiTheme="minorHAnsi" w:hAnsiTheme="minorHAnsi"/>
          <w:lang w:eastAsia="ja-JP"/>
        </w:rPr>
      </w:pPr>
      <w:r>
        <w:rPr>
          <w:rFonts w:asciiTheme="minorHAnsi" w:hAnsiTheme="minorHAnsi"/>
          <w:lang w:eastAsia="ja-JP"/>
        </w:rPr>
        <w:t xml:space="preserve">Notwithstanding </w:t>
      </w:r>
      <w:r w:rsidR="008D1924">
        <w:rPr>
          <w:rFonts w:asciiTheme="minorHAnsi" w:hAnsiTheme="minorHAnsi"/>
          <w:lang w:eastAsia="ja-JP"/>
        </w:rPr>
        <w:t>better employment growth in early 2014</w:t>
      </w:r>
      <w:r>
        <w:rPr>
          <w:rFonts w:asciiTheme="minorHAnsi" w:hAnsiTheme="minorHAnsi"/>
          <w:lang w:eastAsia="ja-JP"/>
        </w:rPr>
        <w:t xml:space="preserve">, </w:t>
      </w:r>
      <w:r w:rsidR="008D1924">
        <w:rPr>
          <w:rFonts w:asciiTheme="minorHAnsi" w:hAnsiTheme="minorHAnsi"/>
          <w:lang w:eastAsia="ja-JP"/>
        </w:rPr>
        <w:t xml:space="preserve">overall </w:t>
      </w:r>
      <w:r>
        <w:rPr>
          <w:rFonts w:asciiTheme="minorHAnsi" w:hAnsiTheme="minorHAnsi"/>
          <w:lang w:eastAsia="ja-JP"/>
        </w:rPr>
        <w:t>employment growth has</w:t>
      </w:r>
      <w:r w:rsidR="00E27DEB">
        <w:rPr>
          <w:rFonts w:asciiTheme="minorHAnsi" w:hAnsiTheme="minorHAnsi"/>
          <w:lang w:eastAsia="ja-JP"/>
        </w:rPr>
        <w:t xml:space="preserve"> been weak </w:t>
      </w:r>
      <w:r w:rsidR="008D1924">
        <w:rPr>
          <w:rFonts w:asciiTheme="minorHAnsi" w:hAnsiTheme="minorHAnsi"/>
          <w:lang w:eastAsia="ja-JP"/>
        </w:rPr>
        <w:t xml:space="preserve">in </w:t>
      </w:r>
      <w:r w:rsidR="00E27DEB">
        <w:rPr>
          <w:rFonts w:asciiTheme="minorHAnsi" w:hAnsiTheme="minorHAnsi"/>
          <w:lang w:eastAsia="ja-JP"/>
        </w:rPr>
        <w:t>2013-14</w:t>
      </w:r>
      <w:r w:rsidR="004B4E16">
        <w:rPr>
          <w:rFonts w:asciiTheme="minorHAnsi" w:hAnsiTheme="minorHAnsi"/>
          <w:lang w:eastAsia="ja-JP"/>
        </w:rPr>
        <w:t xml:space="preserve"> averaging </w:t>
      </w:r>
      <w:r w:rsidR="008D1924">
        <w:rPr>
          <w:rFonts w:asciiTheme="minorHAnsi" w:hAnsiTheme="minorHAnsi"/>
          <w:lang w:eastAsia="ja-JP"/>
        </w:rPr>
        <w:t>around 8</w:t>
      </w:r>
      <w:r w:rsidR="004B4E16">
        <w:rPr>
          <w:rFonts w:asciiTheme="minorHAnsi" w:hAnsiTheme="minorHAnsi"/>
          <w:lang w:eastAsia="ja-JP"/>
        </w:rPr>
        <w:t>,000 jobs per month. The</w:t>
      </w:r>
      <w:r>
        <w:rPr>
          <w:rFonts w:asciiTheme="minorHAnsi" w:hAnsiTheme="minorHAnsi"/>
          <w:lang w:eastAsia="ja-JP"/>
        </w:rPr>
        <w:t xml:space="preserve"> unemployment rate </w:t>
      </w:r>
      <w:r w:rsidR="008D1924">
        <w:rPr>
          <w:rFonts w:asciiTheme="minorHAnsi" w:hAnsiTheme="minorHAnsi"/>
          <w:lang w:eastAsia="ja-JP"/>
        </w:rPr>
        <w:t>is 5.8</w:t>
      </w:r>
      <w:r>
        <w:rPr>
          <w:rFonts w:asciiTheme="minorHAnsi" w:hAnsiTheme="minorHAnsi"/>
          <w:lang w:eastAsia="ja-JP"/>
        </w:rPr>
        <w:t xml:space="preserve"> per cent</w:t>
      </w:r>
      <w:r w:rsidR="004B4E16">
        <w:rPr>
          <w:rFonts w:asciiTheme="minorHAnsi" w:hAnsiTheme="minorHAnsi"/>
          <w:lang w:eastAsia="ja-JP"/>
        </w:rPr>
        <w:t xml:space="preserve"> and would be higher still if the participation rate had not declined over the past year</w:t>
      </w:r>
      <w:r>
        <w:rPr>
          <w:rFonts w:asciiTheme="minorHAnsi" w:hAnsiTheme="minorHAnsi"/>
          <w:lang w:eastAsia="ja-JP"/>
        </w:rPr>
        <w:t xml:space="preserve">. </w:t>
      </w:r>
    </w:p>
    <w:p w:rsidR="00C13638" w:rsidRPr="00FC591B" w:rsidRDefault="00C13638" w:rsidP="00C45535">
      <w:pPr>
        <w:rPr>
          <w:rFonts w:asciiTheme="minorHAnsi" w:hAnsiTheme="minorHAnsi"/>
          <w:lang w:eastAsia="ja-JP"/>
        </w:rPr>
      </w:pPr>
      <w:r w:rsidRPr="00FC591B">
        <w:rPr>
          <w:rFonts w:asciiTheme="minorHAnsi" w:hAnsiTheme="minorHAnsi"/>
          <w:lang w:eastAsia="ja-JP"/>
        </w:rPr>
        <w:t xml:space="preserve">While </w:t>
      </w:r>
      <w:r w:rsidR="008D1924" w:rsidRPr="00FC591B">
        <w:rPr>
          <w:rFonts w:asciiTheme="minorHAnsi" w:hAnsiTheme="minorHAnsi"/>
          <w:lang w:eastAsia="ja-JP"/>
        </w:rPr>
        <w:t xml:space="preserve">some of the </w:t>
      </w:r>
      <w:r w:rsidRPr="00FC591B">
        <w:rPr>
          <w:rFonts w:asciiTheme="minorHAnsi" w:hAnsiTheme="minorHAnsi"/>
          <w:lang w:eastAsia="ja-JP"/>
        </w:rPr>
        <w:t xml:space="preserve">strong </w:t>
      </w:r>
      <w:r w:rsidR="008D1924" w:rsidRPr="00FC591B">
        <w:rPr>
          <w:rFonts w:asciiTheme="minorHAnsi" w:hAnsiTheme="minorHAnsi"/>
          <w:lang w:eastAsia="ja-JP"/>
        </w:rPr>
        <w:t xml:space="preserve">monthly outcomes in early 2014 were </w:t>
      </w:r>
      <w:r w:rsidRPr="00FC591B">
        <w:rPr>
          <w:rFonts w:asciiTheme="minorHAnsi" w:hAnsiTheme="minorHAnsi"/>
          <w:lang w:eastAsia="ja-JP"/>
        </w:rPr>
        <w:t xml:space="preserve">partly due to random sampling, the underlying </w:t>
      </w:r>
      <w:r w:rsidR="008D1924" w:rsidRPr="00FC591B">
        <w:rPr>
          <w:rFonts w:asciiTheme="minorHAnsi" w:hAnsiTheme="minorHAnsi"/>
          <w:lang w:eastAsia="ja-JP"/>
        </w:rPr>
        <w:t xml:space="preserve">improvement </w:t>
      </w:r>
      <w:r w:rsidRPr="00FC591B">
        <w:rPr>
          <w:rFonts w:asciiTheme="minorHAnsi" w:hAnsiTheme="minorHAnsi"/>
          <w:lang w:eastAsia="ja-JP"/>
        </w:rPr>
        <w:t>together with a continued modest strengthening in job advertisement data, suggest employment growth to the June quarter 2014 will be a little st</w:t>
      </w:r>
      <w:r w:rsidR="008D1924" w:rsidRPr="00FC591B">
        <w:rPr>
          <w:rFonts w:asciiTheme="minorHAnsi" w:hAnsiTheme="minorHAnsi"/>
          <w:lang w:eastAsia="ja-JP"/>
        </w:rPr>
        <w:t>r</w:t>
      </w:r>
      <w:r w:rsidRPr="00FC591B">
        <w:rPr>
          <w:rFonts w:asciiTheme="minorHAnsi" w:hAnsiTheme="minorHAnsi"/>
          <w:lang w:eastAsia="ja-JP"/>
        </w:rPr>
        <w:t xml:space="preserve">onger than expected in the December round. </w:t>
      </w:r>
    </w:p>
    <w:p w:rsidR="00091992" w:rsidRPr="00FC591B" w:rsidRDefault="005D2A28" w:rsidP="00C45535">
      <w:pPr>
        <w:rPr>
          <w:rFonts w:asciiTheme="minorHAnsi" w:hAnsiTheme="minorHAnsi"/>
          <w:lang w:eastAsia="ja-JP"/>
        </w:rPr>
      </w:pPr>
      <w:r w:rsidRPr="00FC591B">
        <w:rPr>
          <w:rFonts w:asciiTheme="minorHAnsi" w:hAnsiTheme="minorHAnsi"/>
          <w:lang w:eastAsia="ja-JP"/>
        </w:rPr>
        <w:t>T</w:t>
      </w:r>
      <w:r w:rsidR="00091992" w:rsidRPr="00FC591B">
        <w:rPr>
          <w:rFonts w:asciiTheme="minorHAnsi" w:hAnsiTheme="minorHAnsi"/>
          <w:lang w:eastAsia="ja-JP"/>
        </w:rPr>
        <w:t xml:space="preserve">he participation </w:t>
      </w:r>
      <w:r w:rsidR="00464B26" w:rsidRPr="00FC591B">
        <w:rPr>
          <w:rFonts w:asciiTheme="minorHAnsi" w:hAnsiTheme="minorHAnsi"/>
          <w:lang w:eastAsia="ja-JP"/>
        </w:rPr>
        <w:t xml:space="preserve">rate is expected to drift lower. The </w:t>
      </w:r>
      <w:r w:rsidR="00272A1A" w:rsidRPr="00FC591B">
        <w:rPr>
          <w:rFonts w:asciiTheme="minorHAnsi" w:hAnsiTheme="minorHAnsi"/>
          <w:lang w:eastAsia="ja-JP"/>
        </w:rPr>
        <w:t>March</w:t>
      </w:r>
      <w:r w:rsidR="00464B26" w:rsidRPr="00FC591B">
        <w:rPr>
          <w:rFonts w:asciiTheme="minorHAnsi" w:hAnsiTheme="minorHAnsi"/>
          <w:lang w:eastAsia="ja-JP"/>
        </w:rPr>
        <w:t xml:space="preserve"> forecasts include a </w:t>
      </w:r>
      <w:r w:rsidR="002F61B3" w:rsidRPr="00FC591B">
        <w:rPr>
          <w:rFonts w:asciiTheme="minorHAnsi" w:hAnsiTheme="minorHAnsi"/>
          <w:lang w:eastAsia="ja-JP"/>
        </w:rPr>
        <w:t xml:space="preserve">new methodology that </w:t>
      </w:r>
      <w:r w:rsidR="002F61B3" w:rsidRPr="00FC591B">
        <w:rPr>
          <w:rFonts w:asciiTheme="minorHAnsi" w:hAnsiTheme="minorHAnsi"/>
          <w:lang w:eastAsia="ja-JP"/>
        </w:rPr>
        <w:lastRenderedPageBreak/>
        <w:t xml:space="preserve">captures </w:t>
      </w:r>
      <w:r w:rsidR="00464B26" w:rsidRPr="00FC591B">
        <w:rPr>
          <w:rFonts w:asciiTheme="minorHAnsi" w:hAnsiTheme="minorHAnsi"/>
          <w:lang w:eastAsia="ja-JP"/>
        </w:rPr>
        <w:t>the influence</w:t>
      </w:r>
      <w:r w:rsidR="00091992" w:rsidRPr="00FC591B">
        <w:rPr>
          <w:rFonts w:asciiTheme="minorHAnsi" w:hAnsiTheme="minorHAnsi"/>
          <w:lang w:eastAsia="ja-JP"/>
        </w:rPr>
        <w:t xml:space="preserve"> </w:t>
      </w:r>
      <w:r w:rsidR="00464B26" w:rsidRPr="00FC591B">
        <w:rPr>
          <w:rFonts w:asciiTheme="minorHAnsi" w:hAnsiTheme="minorHAnsi"/>
          <w:lang w:eastAsia="ja-JP"/>
        </w:rPr>
        <w:t>of discouraged workers</w:t>
      </w:r>
      <w:r w:rsidR="00C13638" w:rsidRPr="00FC591B">
        <w:rPr>
          <w:rFonts w:asciiTheme="minorHAnsi" w:hAnsiTheme="minorHAnsi"/>
          <w:lang w:eastAsia="ja-JP"/>
        </w:rPr>
        <w:t>, which appears to have been the dominant driver of the recent trend de</w:t>
      </w:r>
      <w:r w:rsidR="008D1924" w:rsidRPr="00FC591B">
        <w:rPr>
          <w:rFonts w:asciiTheme="minorHAnsi" w:hAnsiTheme="minorHAnsi"/>
          <w:lang w:eastAsia="ja-JP"/>
        </w:rPr>
        <w:t>c</w:t>
      </w:r>
      <w:r w:rsidR="00C13638" w:rsidRPr="00FC591B">
        <w:rPr>
          <w:rFonts w:asciiTheme="minorHAnsi" w:hAnsiTheme="minorHAnsi"/>
          <w:lang w:eastAsia="ja-JP"/>
        </w:rPr>
        <w:t>line in the partic</w:t>
      </w:r>
      <w:r w:rsidR="008D1924" w:rsidRPr="00FC591B">
        <w:rPr>
          <w:rFonts w:asciiTheme="minorHAnsi" w:hAnsiTheme="minorHAnsi"/>
          <w:lang w:eastAsia="ja-JP"/>
        </w:rPr>
        <w:t>i</w:t>
      </w:r>
      <w:r w:rsidR="00C13638" w:rsidRPr="00FC591B">
        <w:rPr>
          <w:rFonts w:asciiTheme="minorHAnsi" w:hAnsiTheme="minorHAnsi"/>
          <w:lang w:eastAsia="ja-JP"/>
        </w:rPr>
        <w:t>pation rate</w:t>
      </w:r>
      <w:r w:rsidR="00464B26" w:rsidRPr="00FC591B">
        <w:rPr>
          <w:rFonts w:asciiTheme="minorHAnsi" w:hAnsiTheme="minorHAnsi"/>
          <w:lang w:eastAsia="ja-JP"/>
        </w:rPr>
        <w:t>. The participation rate is forecast to fall</w:t>
      </w:r>
      <w:r w:rsidR="00091992" w:rsidRPr="00FC591B">
        <w:rPr>
          <w:rFonts w:asciiTheme="minorHAnsi" w:hAnsiTheme="minorHAnsi"/>
          <w:lang w:eastAsia="ja-JP"/>
        </w:rPr>
        <w:t xml:space="preserve"> </w:t>
      </w:r>
      <w:r w:rsidR="00C13638" w:rsidRPr="00FC591B">
        <w:rPr>
          <w:rFonts w:asciiTheme="minorHAnsi" w:hAnsiTheme="minorHAnsi"/>
          <w:lang w:eastAsia="ja-JP"/>
        </w:rPr>
        <w:t xml:space="preserve">further to </w:t>
      </w:r>
      <w:r w:rsidR="00091992" w:rsidRPr="00FC591B">
        <w:rPr>
          <w:rFonts w:asciiTheme="minorHAnsi" w:hAnsiTheme="minorHAnsi"/>
          <w:lang w:eastAsia="ja-JP"/>
        </w:rPr>
        <w:t>64½ per cent in the June</w:t>
      </w:r>
      <w:r w:rsidR="00464B26" w:rsidRPr="00FC591B">
        <w:rPr>
          <w:rFonts w:asciiTheme="minorHAnsi" w:hAnsiTheme="minorHAnsi"/>
          <w:lang w:eastAsia="ja-JP"/>
        </w:rPr>
        <w:t xml:space="preserve"> quarter of both 2015 and 2016. </w:t>
      </w:r>
    </w:p>
    <w:p w:rsidR="00054ACC" w:rsidRDefault="00C13638" w:rsidP="00C13638">
      <w:pPr>
        <w:rPr>
          <w:rFonts w:asciiTheme="minorHAnsi" w:hAnsiTheme="minorHAnsi"/>
          <w:lang w:eastAsia="ja-JP"/>
        </w:rPr>
      </w:pPr>
      <w:r w:rsidRPr="00FC591B">
        <w:rPr>
          <w:rFonts w:asciiTheme="minorHAnsi" w:hAnsiTheme="minorHAnsi"/>
          <w:lang w:eastAsia="ja-JP"/>
        </w:rPr>
        <w:t xml:space="preserve">With the forecast participation rate a little lower than in the December round, </w:t>
      </w:r>
      <w:r w:rsidR="005658FF" w:rsidRPr="00FC591B">
        <w:rPr>
          <w:rFonts w:asciiTheme="minorHAnsi" w:hAnsiTheme="minorHAnsi"/>
          <w:lang w:eastAsia="ja-JP"/>
        </w:rPr>
        <w:t xml:space="preserve">the unemployment rate forecast is </w:t>
      </w:r>
      <w:r w:rsidRPr="00FC591B">
        <w:rPr>
          <w:rFonts w:asciiTheme="minorHAnsi" w:hAnsiTheme="minorHAnsi"/>
          <w:lang w:eastAsia="ja-JP"/>
        </w:rPr>
        <w:t xml:space="preserve">also </w:t>
      </w:r>
      <w:r w:rsidR="005658FF" w:rsidRPr="00FC591B">
        <w:rPr>
          <w:rFonts w:asciiTheme="minorHAnsi" w:hAnsiTheme="minorHAnsi"/>
          <w:lang w:eastAsia="ja-JP"/>
        </w:rPr>
        <w:t>marginally lower in the June quarter 2015, but is unchanged in rounded terms. Across the forecast period,</w:t>
      </w:r>
      <w:r w:rsidR="00054ACC" w:rsidRPr="00FC591B">
        <w:rPr>
          <w:rFonts w:asciiTheme="minorHAnsi" w:hAnsiTheme="minorHAnsi"/>
          <w:lang w:eastAsia="ja-JP"/>
        </w:rPr>
        <w:t xml:space="preserve"> unemployment </w:t>
      </w:r>
      <w:r w:rsidR="005658FF" w:rsidRPr="00FC591B">
        <w:rPr>
          <w:rFonts w:asciiTheme="minorHAnsi" w:hAnsiTheme="minorHAnsi"/>
          <w:lang w:eastAsia="ja-JP"/>
        </w:rPr>
        <w:t>is still expected to drift</w:t>
      </w:r>
      <w:r w:rsidR="00054ACC" w:rsidRPr="00FC591B">
        <w:rPr>
          <w:rFonts w:asciiTheme="minorHAnsi" w:hAnsiTheme="minorHAnsi"/>
          <w:lang w:eastAsia="ja-JP"/>
        </w:rPr>
        <w:t xml:space="preserve"> up slowly </w:t>
      </w:r>
      <w:r w:rsidR="005658FF" w:rsidRPr="00FC591B">
        <w:rPr>
          <w:rFonts w:asciiTheme="minorHAnsi" w:hAnsiTheme="minorHAnsi"/>
          <w:lang w:eastAsia="ja-JP"/>
        </w:rPr>
        <w:t>before</w:t>
      </w:r>
      <w:r w:rsidR="00054ACC" w:rsidRPr="00FC591B">
        <w:rPr>
          <w:rFonts w:asciiTheme="minorHAnsi" w:hAnsiTheme="minorHAnsi"/>
          <w:lang w:eastAsia="ja-JP"/>
        </w:rPr>
        <w:t xml:space="preserve"> stabilising</w:t>
      </w:r>
      <w:r w:rsidRPr="00FC591B">
        <w:rPr>
          <w:rFonts w:asciiTheme="minorHAnsi" w:hAnsiTheme="minorHAnsi"/>
          <w:lang w:eastAsia="ja-JP"/>
        </w:rPr>
        <w:t xml:space="preserve"> at 6¼ per cent</w:t>
      </w:r>
      <w:r w:rsidR="00054ACC" w:rsidRPr="00FC591B">
        <w:rPr>
          <w:rFonts w:asciiTheme="minorHAnsi" w:hAnsiTheme="minorHAnsi"/>
          <w:lang w:eastAsia="ja-JP"/>
        </w:rPr>
        <w:t xml:space="preserve"> </w:t>
      </w:r>
      <w:r w:rsidR="00C62246" w:rsidRPr="00FC591B">
        <w:rPr>
          <w:rFonts w:asciiTheme="minorHAnsi" w:hAnsiTheme="minorHAnsi"/>
          <w:lang w:eastAsia="ja-JP"/>
        </w:rPr>
        <w:t xml:space="preserve">(chart </w:t>
      </w:r>
      <w:r w:rsidR="00027C06" w:rsidRPr="00FC591B">
        <w:rPr>
          <w:rFonts w:asciiTheme="minorHAnsi" w:hAnsiTheme="minorHAnsi"/>
          <w:lang w:eastAsia="ja-JP"/>
        </w:rPr>
        <w:t>12</w:t>
      </w:r>
      <w:r w:rsidR="00C62246" w:rsidRPr="00FC591B">
        <w:rPr>
          <w:rFonts w:asciiTheme="minorHAnsi" w:hAnsiTheme="minorHAnsi"/>
          <w:lang w:eastAsia="ja-JP"/>
        </w:rPr>
        <w:t>)</w:t>
      </w:r>
      <w:r w:rsidR="00054ACC" w:rsidRPr="00FC591B">
        <w:rPr>
          <w:rFonts w:asciiTheme="minorHAnsi" w:hAnsiTheme="minorHAnsi"/>
          <w:lang w:eastAsia="ja-JP"/>
        </w:rPr>
        <w:t>.</w:t>
      </w:r>
    </w:p>
    <w:p w:rsidR="00272A1A" w:rsidRDefault="003D4244" w:rsidP="006E10B1">
      <w:pPr>
        <w:keepNext/>
        <w:autoSpaceDE w:val="0"/>
        <w:autoSpaceDN w:val="0"/>
        <w:spacing w:after="0"/>
        <w:jc w:val="center"/>
      </w:pPr>
      <w:r w:rsidRPr="003D4244">
        <w:rPr>
          <w:rFonts w:asciiTheme="minorHAnsi" w:hAnsiTheme="minorHAnsi"/>
          <w:b/>
          <w:szCs w:val="20"/>
        </w:rPr>
        <w:t xml:space="preserve">Chart </w:t>
      </w:r>
      <w:r w:rsidR="00027C06">
        <w:rPr>
          <w:rFonts w:asciiTheme="minorHAnsi" w:hAnsiTheme="minorHAnsi"/>
          <w:b/>
          <w:szCs w:val="20"/>
        </w:rPr>
        <w:t>12</w:t>
      </w:r>
      <w:r w:rsidRPr="003D4244">
        <w:rPr>
          <w:rFonts w:asciiTheme="minorHAnsi" w:hAnsiTheme="minorHAnsi"/>
          <w:b/>
          <w:szCs w:val="20"/>
        </w:rPr>
        <w:t>: Unemployment and participation rates</w:t>
      </w:r>
    </w:p>
    <w:p w:rsidR="006E10B1" w:rsidRDefault="006E10B1" w:rsidP="006E10B1">
      <w:pPr>
        <w:pStyle w:val="ChartGraphic0"/>
      </w:pPr>
      <w:r>
        <w:object w:dxaOrig="4516" w:dyaOrig="4515">
          <v:shape id="_x0000_i1037" type="#_x0000_t75" style="width:226pt;height:226pt" o:ole="">
            <v:imagedata r:id="rId46" o:title=""/>
          </v:shape>
          <o:OLEObject Type="Link" ProgID="Excel.Sheet.12" ShapeID="_x0000_i1037" DrawAspect="Content" r:id="rId47" UpdateMode="Always">
            <o:LinkType>EnhancedMetaFile</o:LinkType>
            <o:LockedField>false</o:LockedField>
          </o:OLEObject>
        </w:object>
      </w:r>
    </w:p>
    <w:p w:rsidR="006E10B1" w:rsidRDefault="006E10B1" w:rsidP="0034085D">
      <w:pPr>
        <w:spacing w:line="240" w:lineRule="auto"/>
        <w:rPr>
          <w:rFonts w:asciiTheme="minorHAnsi" w:hAnsiTheme="minorHAnsi"/>
          <w:kern w:val="2"/>
          <w:sz w:val="16"/>
        </w:rPr>
      </w:pPr>
    </w:p>
    <w:p w:rsidR="003D4244" w:rsidRDefault="00717ED3" w:rsidP="0034085D">
      <w:pPr>
        <w:spacing w:line="240" w:lineRule="auto"/>
        <w:rPr>
          <w:rFonts w:asciiTheme="minorHAnsi" w:hAnsiTheme="minorHAnsi"/>
          <w:lang w:eastAsia="ja-JP"/>
        </w:rPr>
      </w:pPr>
      <w:r>
        <w:rPr>
          <w:rFonts w:asciiTheme="minorHAnsi" w:hAnsiTheme="minorHAnsi"/>
          <w:kern w:val="2"/>
          <w:sz w:val="16"/>
        </w:rPr>
        <w:t>Source:  ABS cat. no. 6</w:t>
      </w:r>
      <w:r w:rsidRPr="00587BCC">
        <w:rPr>
          <w:rFonts w:asciiTheme="minorHAnsi" w:hAnsiTheme="minorHAnsi"/>
          <w:kern w:val="2"/>
          <w:sz w:val="16"/>
        </w:rPr>
        <w:t>20</w:t>
      </w:r>
      <w:r>
        <w:rPr>
          <w:rFonts w:asciiTheme="minorHAnsi" w:hAnsiTheme="minorHAnsi"/>
          <w:kern w:val="2"/>
          <w:sz w:val="16"/>
        </w:rPr>
        <w:t>2</w:t>
      </w:r>
      <w:r w:rsidRPr="00587BCC">
        <w:rPr>
          <w:rFonts w:asciiTheme="minorHAnsi" w:hAnsiTheme="minorHAnsi"/>
          <w:kern w:val="2"/>
          <w:sz w:val="16"/>
        </w:rPr>
        <w:t>.0 and Treasury.</w:t>
      </w:r>
    </w:p>
    <w:p w:rsidR="00081FB3" w:rsidRDefault="00A970F2" w:rsidP="00C45535">
      <w:pPr>
        <w:rPr>
          <w:rFonts w:asciiTheme="minorHAnsi" w:hAnsiTheme="minorHAnsi"/>
          <w:lang w:eastAsia="ja-JP"/>
        </w:rPr>
      </w:pPr>
      <w:r>
        <w:rPr>
          <w:rFonts w:asciiTheme="minorHAnsi" w:hAnsiTheme="minorHAnsi"/>
          <w:lang w:eastAsia="ja-JP"/>
        </w:rPr>
        <w:t xml:space="preserve">Recent wage growth </w:t>
      </w:r>
      <w:r w:rsidR="009337F0">
        <w:rPr>
          <w:rFonts w:asciiTheme="minorHAnsi" w:hAnsiTheme="minorHAnsi"/>
          <w:lang w:eastAsia="ja-JP"/>
        </w:rPr>
        <w:t>has</w:t>
      </w:r>
      <w:r>
        <w:rPr>
          <w:rFonts w:asciiTheme="minorHAnsi" w:hAnsiTheme="minorHAnsi"/>
          <w:lang w:eastAsia="ja-JP"/>
        </w:rPr>
        <w:t xml:space="preserve"> been very subdued, and weak wage growth is forecast to continue</w:t>
      </w:r>
      <w:r w:rsidR="00CC6517">
        <w:rPr>
          <w:rFonts w:asciiTheme="minorHAnsi" w:hAnsiTheme="minorHAnsi"/>
          <w:lang w:eastAsia="ja-JP"/>
        </w:rPr>
        <w:t>,</w:t>
      </w:r>
      <w:r>
        <w:rPr>
          <w:rFonts w:asciiTheme="minorHAnsi" w:hAnsiTheme="minorHAnsi"/>
          <w:lang w:eastAsia="ja-JP"/>
        </w:rPr>
        <w:t xml:space="preserve"> reflecting the spare capacity expected to persist in the labour market. </w:t>
      </w:r>
      <w:r w:rsidR="00CC6517">
        <w:rPr>
          <w:rFonts w:asciiTheme="minorHAnsi" w:hAnsiTheme="minorHAnsi"/>
          <w:lang w:eastAsia="ja-JP"/>
        </w:rPr>
        <w:t>Marginally lower unemployment in 2015 has led to a small upgrade to forecast wage growth that year.</w:t>
      </w:r>
      <w:r w:rsidR="00050750">
        <w:rPr>
          <w:rFonts w:asciiTheme="minorHAnsi" w:hAnsiTheme="minorHAnsi"/>
          <w:lang w:eastAsia="ja-JP"/>
        </w:rPr>
        <w:t xml:space="preserve"> </w:t>
      </w:r>
      <w:r w:rsidR="00081FB3">
        <w:rPr>
          <w:rFonts w:asciiTheme="minorHAnsi" w:hAnsiTheme="minorHAnsi"/>
          <w:lang w:eastAsia="ja-JP"/>
        </w:rPr>
        <w:t>The wage price index is forecast to grow 2¾ per cent through the year to the June quarter 2014,</w:t>
      </w:r>
      <w:r w:rsidR="0085686A">
        <w:rPr>
          <w:rFonts w:asciiTheme="minorHAnsi" w:hAnsiTheme="minorHAnsi"/>
          <w:lang w:eastAsia="ja-JP"/>
        </w:rPr>
        <w:t xml:space="preserve"> and</w:t>
      </w:r>
      <w:r w:rsidR="00081FB3">
        <w:rPr>
          <w:rFonts w:asciiTheme="minorHAnsi" w:hAnsiTheme="minorHAnsi"/>
          <w:lang w:eastAsia="ja-JP"/>
        </w:rPr>
        <w:t xml:space="preserve"> 3 per cent to </w:t>
      </w:r>
      <w:r w:rsidR="0085686A">
        <w:rPr>
          <w:rFonts w:asciiTheme="minorHAnsi" w:hAnsiTheme="minorHAnsi"/>
          <w:lang w:eastAsia="ja-JP"/>
        </w:rPr>
        <w:t xml:space="preserve">both </w:t>
      </w:r>
      <w:r w:rsidR="00081FB3">
        <w:rPr>
          <w:rFonts w:asciiTheme="minorHAnsi" w:hAnsiTheme="minorHAnsi"/>
          <w:lang w:eastAsia="ja-JP"/>
        </w:rPr>
        <w:t>June 2015 and June 2016</w:t>
      </w:r>
      <w:r w:rsidR="00C62246">
        <w:rPr>
          <w:rFonts w:asciiTheme="minorHAnsi" w:hAnsiTheme="minorHAnsi"/>
          <w:lang w:eastAsia="ja-JP"/>
        </w:rPr>
        <w:t xml:space="preserve"> (chart </w:t>
      </w:r>
      <w:r w:rsidR="00027C06">
        <w:rPr>
          <w:rFonts w:asciiTheme="minorHAnsi" w:hAnsiTheme="minorHAnsi"/>
          <w:lang w:eastAsia="ja-JP"/>
        </w:rPr>
        <w:t>13</w:t>
      </w:r>
      <w:r w:rsidR="00C62246">
        <w:rPr>
          <w:rFonts w:asciiTheme="minorHAnsi" w:hAnsiTheme="minorHAnsi"/>
          <w:lang w:eastAsia="ja-JP"/>
        </w:rPr>
        <w:t>)</w:t>
      </w:r>
      <w:r w:rsidR="00081FB3">
        <w:rPr>
          <w:rFonts w:asciiTheme="minorHAnsi" w:hAnsiTheme="minorHAnsi"/>
          <w:lang w:eastAsia="ja-JP"/>
        </w:rPr>
        <w:t xml:space="preserve">. </w:t>
      </w:r>
    </w:p>
    <w:p w:rsidR="003D4244" w:rsidRPr="003D4244" w:rsidRDefault="003D4244" w:rsidP="003D4244">
      <w:pPr>
        <w:keepNext/>
        <w:autoSpaceDE w:val="0"/>
        <w:autoSpaceDN w:val="0"/>
        <w:spacing w:after="0"/>
        <w:jc w:val="center"/>
        <w:rPr>
          <w:rFonts w:asciiTheme="minorHAnsi" w:hAnsiTheme="minorHAnsi"/>
          <w:b/>
          <w:szCs w:val="20"/>
        </w:rPr>
      </w:pPr>
      <w:r w:rsidRPr="003D4244">
        <w:rPr>
          <w:rFonts w:asciiTheme="minorHAnsi" w:hAnsiTheme="minorHAnsi"/>
          <w:b/>
          <w:szCs w:val="20"/>
        </w:rPr>
        <w:lastRenderedPageBreak/>
        <w:t xml:space="preserve">Chart </w:t>
      </w:r>
      <w:r w:rsidR="00027C06">
        <w:rPr>
          <w:rFonts w:asciiTheme="minorHAnsi" w:hAnsiTheme="minorHAnsi"/>
          <w:b/>
          <w:szCs w:val="20"/>
        </w:rPr>
        <w:t>13</w:t>
      </w:r>
      <w:r w:rsidRPr="003D4244">
        <w:rPr>
          <w:rFonts w:asciiTheme="minorHAnsi" w:hAnsiTheme="minorHAnsi"/>
          <w:b/>
          <w:szCs w:val="20"/>
        </w:rPr>
        <w:t>: Wage price index</w:t>
      </w:r>
    </w:p>
    <w:p w:rsidR="003D4244" w:rsidRDefault="00516B75" w:rsidP="00145CFC">
      <w:pPr>
        <w:pStyle w:val="TableGraphic0"/>
      </w:pPr>
      <w:r>
        <w:object w:dxaOrig="4516" w:dyaOrig="4515">
          <v:shape id="_x0000_i1038" type="#_x0000_t75" style="width:224.75pt;height:224.75pt" o:ole="">
            <v:imagedata r:id="rId48" o:title=""/>
          </v:shape>
          <o:OLEObject Type="Link" ProgID="Excel.Sheet.12" ShapeID="_x0000_i1038" DrawAspect="Content" r:id="rId49" UpdateMode="Always">
            <o:LinkType>EnhancedMetaFile</o:LinkType>
            <o:LockedField>false</o:LockedField>
          </o:OLEObject>
        </w:object>
      </w:r>
    </w:p>
    <w:p w:rsidR="00717ED3" w:rsidRPr="00717ED3" w:rsidRDefault="00717ED3" w:rsidP="00717ED3">
      <w:pPr>
        <w:rPr>
          <w:lang w:eastAsia="en-AU"/>
        </w:rPr>
      </w:pPr>
      <w:r>
        <w:rPr>
          <w:rFonts w:asciiTheme="minorHAnsi" w:hAnsiTheme="minorHAnsi"/>
          <w:kern w:val="2"/>
          <w:sz w:val="16"/>
        </w:rPr>
        <w:t>Source:  ABS cat. no. 6345</w:t>
      </w:r>
      <w:r w:rsidRPr="00587BCC">
        <w:rPr>
          <w:rFonts w:asciiTheme="minorHAnsi" w:hAnsiTheme="minorHAnsi"/>
          <w:kern w:val="2"/>
          <w:sz w:val="16"/>
        </w:rPr>
        <w:t>.0 and Treasury.</w:t>
      </w:r>
    </w:p>
    <w:p w:rsidR="00446045" w:rsidRDefault="00327234" w:rsidP="00C45535">
      <w:pPr>
        <w:rPr>
          <w:rFonts w:asciiTheme="minorHAnsi" w:hAnsiTheme="minorHAnsi"/>
          <w:lang w:eastAsia="ja-JP"/>
        </w:rPr>
      </w:pPr>
      <w:r>
        <w:rPr>
          <w:rFonts w:asciiTheme="minorHAnsi" w:hAnsiTheme="minorHAnsi"/>
          <w:lang w:eastAsia="ja-JP"/>
        </w:rPr>
        <w:t>The December quarter CPI outcome was a little above expectations</w:t>
      </w:r>
      <w:r w:rsidR="00EC7E9A">
        <w:rPr>
          <w:rFonts w:asciiTheme="minorHAnsi" w:hAnsiTheme="minorHAnsi"/>
          <w:lang w:eastAsia="ja-JP"/>
        </w:rPr>
        <w:t xml:space="preserve"> at 0.8 per cent and 2.7 per cent through the year</w:t>
      </w:r>
      <w:r>
        <w:rPr>
          <w:rFonts w:asciiTheme="minorHAnsi" w:hAnsiTheme="minorHAnsi"/>
          <w:lang w:eastAsia="ja-JP"/>
        </w:rPr>
        <w:t xml:space="preserve">. </w:t>
      </w:r>
      <w:r w:rsidR="00446045">
        <w:rPr>
          <w:rFonts w:asciiTheme="minorHAnsi" w:hAnsiTheme="minorHAnsi"/>
          <w:lang w:eastAsia="ja-JP"/>
        </w:rPr>
        <w:t>Price</w:t>
      </w:r>
      <w:r w:rsidR="00EC7E9A">
        <w:rPr>
          <w:rFonts w:asciiTheme="minorHAnsi" w:hAnsiTheme="minorHAnsi"/>
          <w:lang w:eastAsia="ja-JP"/>
        </w:rPr>
        <w:t>s of</w:t>
      </w:r>
      <w:r w:rsidR="00446045">
        <w:rPr>
          <w:rFonts w:asciiTheme="minorHAnsi" w:hAnsiTheme="minorHAnsi"/>
          <w:lang w:eastAsia="ja-JP"/>
        </w:rPr>
        <w:t xml:space="preserve"> tradable items </w:t>
      </w:r>
      <w:r w:rsidR="00EC7E9A">
        <w:rPr>
          <w:rFonts w:asciiTheme="minorHAnsi" w:hAnsiTheme="minorHAnsi"/>
          <w:lang w:eastAsia="ja-JP"/>
        </w:rPr>
        <w:t>rose reflecting the depreciation</w:t>
      </w:r>
      <w:r w:rsidR="00272A1A">
        <w:rPr>
          <w:rFonts w:asciiTheme="minorHAnsi" w:hAnsiTheme="minorHAnsi"/>
          <w:lang w:eastAsia="ja-JP"/>
        </w:rPr>
        <w:t xml:space="preserve"> of the exchange rate</w:t>
      </w:r>
      <w:r w:rsidR="00EC7E9A">
        <w:rPr>
          <w:rFonts w:asciiTheme="minorHAnsi" w:hAnsiTheme="minorHAnsi"/>
          <w:lang w:eastAsia="ja-JP"/>
        </w:rPr>
        <w:t xml:space="preserve"> experienced over 2013, but non-tradable inflation remained above 3½ per cent in through-the-year terms, where it has been for most of the previous four years</w:t>
      </w:r>
      <w:r w:rsidR="00E570BA">
        <w:rPr>
          <w:rFonts w:asciiTheme="minorHAnsi" w:hAnsiTheme="minorHAnsi"/>
          <w:lang w:eastAsia="ja-JP"/>
        </w:rPr>
        <w:t xml:space="preserve"> (chart 14)</w:t>
      </w:r>
      <w:r w:rsidR="00EC7E9A">
        <w:rPr>
          <w:rFonts w:asciiTheme="minorHAnsi" w:hAnsiTheme="minorHAnsi"/>
          <w:lang w:eastAsia="ja-JP"/>
        </w:rPr>
        <w:t xml:space="preserve">. </w:t>
      </w:r>
    </w:p>
    <w:p w:rsidR="003D4244" w:rsidRPr="003D4244" w:rsidRDefault="00E570BA" w:rsidP="003D4244">
      <w:pPr>
        <w:keepNext/>
        <w:autoSpaceDE w:val="0"/>
        <w:autoSpaceDN w:val="0"/>
        <w:spacing w:after="0"/>
        <w:jc w:val="center"/>
        <w:rPr>
          <w:rFonts w:asciiTheme="minorHAnsi" w:hAnsiTheme="minorHAnsi"/>
          <w:b/>
          <w:szCs w:val="20"/>
        </w:rPr>
      </w:pPr>
      <w:r>
        <w:rPr>
          <w:rFonts w:asciiTheme="minorHAnsi" w:hAnsiTheme="minorHAnsi"/>
          <w:b/>
          <w:szCs w:val="20"/>
        </w:rPr>
        <w:t>Chart 14</w:t>
      </w:r>
      <w:r w:rsidR="003D4244" w:rsidRPr="003D4244">
        <w:rPr>
          <w:rFonts w:asciiTheme="minorHAnsi" w:hAnsiTheme="minorHAnsi"/>
          <w:b/>
          <w:szCs w:val="20"/>
        </w:rPr>
        <w:t>: Contributions to annual CPI outcomes</w:t>
      </w:r>
    </w:p>
    <w:p w:rsidR="00717ED3" w:rsidRPr="00717ED3" w:rsidRDefault="008A2243" w:rsidP="00717ED3">
      <w:pPr>
        <w:pStyle w:val="TableGraphic0"/>
      </w:pPr>
      <w:r>
        <w:object w:dxaOrig="4516" w:dyaOrig="5220">
          <v:shape id="_x0000_i1039" type="#_x0000_t75" style="width:224.75pt;height:259.85pt" o:ole="">
            <v:imagedata r:id="rId50" o:title=""/>
          </v:shape>
          <o:OLEObject Type="Link" ProgID="Excel.Sheet.12" ShapeID="_x0000_i1039" DrawAspect="Content" r:id="rId51" UpdateMode="Always">
            <o:LinkType>EnhancedMetaFile</o:LinkType>
            <o:LockedField>false</o:LockedField>
          </o:OLEObject>
        </w:object>
      </w:r>
      <w:r w:rsidR="00717ED3">
        <w:rPr>
          <w:rFonts w:asciiTheme="minorHAnsi" w:hAnsiTheme="minorHAnsi"/>
          <w:kern w:val="2"/>
          <w:sz w:val="16"/>
        </w:rPr>
        <w:t>Source:  ABS cat. no. 6401</w:t>
      </w:r>
      <w:r w:rsidR="00717ED3" w:rsidRPr="00587BCC">
        <w:rPr>
          <w:rFonts w:asciiTheme="minorHAnsi" w:hAnsiTheme="minorHAnsi"/>
          <w:kern w:val="2"/>
          <w:sz w:val="16"/>
        </w:rPr>
        <w:t>.0 and Treasury.</w:t>
      </w:r>
    </w:p>
    <w:p w:rsidR="006F340E" w:rsidRDefault="006F340E" w:rsidP="00C45535">
      <w:pPr>
        <w:rPr>
          <w:rFonts w:asciiTheme="minorHAnsi" w:hAnsiTheme="minorHAnsi"/>
          <w:lang w:eastAsia="ja-JP"/>
        </w:rPr>
      </w:pPr>
    </w:p>
    <w:p w:rsidR="005C60AA" w:rsidRPr="00B239E0" w:rsidRDefault="0085686A" w:rsidP="00C45535">
      <w:pPr>
        <w:rPr>
          <w:rFonts w:asciiTheme="minorHAnsi" w:hAnsiTheme="minorHAnsi"/>
          <w:lang w:eastAsia="ja-JP"/>
        </w:rPr>
      </w:pPr>
      <w:r>
        <w:rPr>
          <w:rFonts w:asciiTheme="minorHAnsi" w:hAnsiTheme="minorHAnsi"/>
          <w:lang w:eastAsia="ja-JP"/>
        </w:rPr>
        <w:t>A muted</w:t>
      </w:r>
      <w:r w:rsidR="005C60AA" w:rsidRPr="00B239E0">
        <w:rPr>
          <w:rFonts w:asciiTheme="minorHAnsi" w:hAnsiTheme="minorHAnsi"/>
          <w:lang w:eastAsia="ja-JP"/>
        </w:rPr>
        <w:t xml:space="preserve"> response to weak growth in unit labour costs from sectors that would normally be expected to </w:t>
      </w:r>
      <w:r w:rsidR="005C60AA" w:rsidRPr="00B239E0">
        <w:rPr>
          <w:rFonts w:asciiTheme="minorHAnsi" w:hAnsiTheme="minorHAnsi"/>
          <w:lang w:eastAsia="ja-JP"/>
        </w:rPr>
        <w:lastRenderedPageBreak/>
        <w:t>generate lower prices because of their heavy reliance on labour inputs</w:t>
      </w:r>
      <w:r>
        <w:rPr>
          <w:rFonts w:asciiTheme="minorHAnsi" w:hAnsiTheme="minorHAnsi"/>
          <w:lang w:eastAsia="ja-JP"/>
        </w:rPr>
        <w:t xml:space="preserve"> appears to have contributed to the stronger than expected outcome</w:t>
      </w:r>
      <w:r w:rsidR="005C60AA" w:rsidRPr="00B239E0">
        <w:rPr>
          <w:rFonts w:asciiTheme="minorHAnsi" w:hAnsiTheme="minorHAnsi"/>
          <w:lang w:eastAsia="ja-JP"/>
        </w:rPr>
        <w:t>.</w:t>
      </w:r>
      <w:r>
        <w:rPr>
          <w:rFonts w:asciiTheme="minorHAnsi" w:hAnsiTheme="minorHAnsi"/>
          <w:lang w:eastAsia="ja-JP"/>
        </w:rPr>
        <w:t xml:space="preserve"> The March quarter result, rel</w:t>
      </w:r>
      <w:r w:rsidR="009337F0">
        <w:rPr>
          <w:rFonts w:asciiTheme="minorHAnsi" w:hAnsiTheme="minorHAnsi"/>
          <w:lang w:eastAsia="ja-JP"/>
        </w:rPr>
        <w:t xml:space="preserve">eased on 23 April, should help </w:t>
      </w:r>
      <w:r>
        <w:rPr>
          <w:rFonts w:asciiTheme="minorHAnsi" w:hAnsiTheme="minorHAnsi"/>
          <w:lang w:eastAsia="ja-JP"/>
        </w:rPr>
        <w:t xml:space="preserve">shed light on whether this response is merely delayed, or if the services sector has been able to raise profit margins. </w:t>
      </w:r>
    </w:p>
    <w:p w:rsidR="0085686A" w:rsidRDefault="00A72A32" w:rsidP="00A72A32">
      <w:pPr>
        <w:rPr>
          <w:rFonts w:asciiTheme="minorHAnsi" w:hAnsiTheme="minorHAnsi"/>
          <w:lang w:eastAsia="ja-JP"/>
        </w:rPr>
      </w:pPr>
      <w:r>
        <w:rPr>
          <w:rFonts w:asciiTheme="minorHAnsi" w:hAnsiTheme="minorHAnsi"/>
          <w:lang w:eastAsia="ja-JP"/>
        </w:rPr>
        <w:t>The M</w:t>
      </w:r>
      <w:r w:rsidR="00EC7E9A">
        <w:rPr>
          <w:rFonts w:asciiTheme="minorHAnsi" w:hAnsiTheme="minorHAnsi"/>
          <w:lang w:eastAsia="ja-JP"/>
        </w:rPr>
        <w:t>arch round forecast</w:t>
      </w:r>
      <w:r w:rsidR="009337F0">
        <w:rPr>
          <w:rFonts w:asciiTheme="minorHAnsi" w:hAnsiTheme="minorHAnsi"/>
          <w:lang w:eastAsia="ja-JP"/>
        </w:rPr>
        <w:t>s</w:t>
      </w:r>
      <w:r w:rsidR="00EC7E9A">
        <w:rPr>
          <w:rFonts w:asciiTheme="minorHAnsi" w:hAnsiTheme="minorHAnsi"/>
          <w:lang w:eastAsia="ja-JP"/>
        </w:rPr>
        <w:t xml:space="preserve"> are based on an assessment that </w:t>
      </w:r>
      <w:r w:rsidR="005C60AA">
        <w:rPr>
          <w:rFonts w:asciiTheme="minorHAnsi" w:hAnsiTheme="minorHAnsi"/>
          <w:lang w:eastAsia="ja-JP"/>
        </w:rPr>
        <w:t>lower unit labour costs will start to promote weaker services inflation</w:t>
      </w:r>
      <w:r w:rsidR="00EC7E9A">
        <w:rPr>
          <w:rFonts w:asciiTheme="minorHAnsi" w:hAnsiTheme="minorHAnsi"/>
          <w:lang w:eastAsia="ja-JP"/>
        </w:rPr>
        <w:t xml:space="preserve"> and that underlying inflation over the forecast </w:t>
      </w:r>
      <w:r w:rsidR="005C60AA">
        <w:rPr>
          <w:rFonts w:asciiTheme="minorHAnsi" w:hAnsiTheme="minorHAnsi"/>
          <w:lang w:eastAsia="ja-JP"/>
        </w:rPr>
        <w:t>period will be moderate. T</w:t>
      </w:r>
      <w:r w:rsidR="007B248D">
        <w:rPr>
          <w:rFonts w:asciiTheme="minorHAnsi" w:hAnsiTheme="minorHAnsi"/>
          <w:lang w:eastAsia="ja-JP"/>
        </w:rPr>
        <w:t xml:space="preserve">he estimated impacts of </w:t>
      </w:r>
      <w:r w:rsidR="00304C83">
        <w:rPr>
          <w:rFonts w:asciiTheme="minorHAnsi" w:hAnsiTheme="minorHAnsi"/>
          <w:lang w:eastAsia="ja-JP"/>
        </w:rPr>
        <w:t>the repeal of the c</w:t>
      </w:r>
      <w:r w:rsidR="007B248D">
        <w:rPr>
          <w:rFonts w:asciiTheme="minorHAnsi" w:hAnsiTheme="minorHAnsi"/>
          <w:lang w:eastAsia="ja-JP"/>
        </w:rPr>
        <w:t xml:space="preserve">arbon </w:t>
      </w:r>
      <w:r w:rsidR="00304C83">
        <w:rPr>
          <w:rFonts w:asciiTheme="minorHAnsi" w:hAnsiTheme="minorHAnsi"/>
          <w:lang w:eastAsia="ja-JP"/>
        </w:rPr>
        <w:t>tax</w:t>
      </w:r>
      <w:r w:rsidR="007B248D">
        <w:rPr>
          <w:rFonts w:asciiTheme="minorHAnsi" w:hAnsiTheme="minorHAnsi"/>
          <w:lang w:eastAsia="ja-JP"/>
        </w:rPr>
        <w:t xml:space="preserve"> and </w:t>
      </w:r>
      <w:r w:rsidR="00D87F9F">
        <w:rPr>
          <w:rFonts w:asciiTheme="minorHAnsi" w:hAnsiTheme="minorHAnsi"/>
          <w:lang w:eastAsia="ja-JP"/>
        </w:rPr>
        <w:t xml:space="preserve">tobacco </w:t>
      </w:r>
      <w:r w:rsidR="007B248D">
        <w:rPr>
          <w:rFonts w:asciiTheme="minorHAnsi" w:hAnsiTheme="minorHAnsi"/>
          <w:lang w:eastAsia="ja-JP"/>
        </w:rPr>
        <w:t xml:space="preserve">excise policy changes </w:t>
      </w:r>
      <w:r w:rsidR="005C60AA">
        <w:rPr>
          <w:rFonts w:asciiTheme="minorHAnsi" w:hAnsiTheme="minorHAnsi"/>
          <w:lang w:eastAsia="ja-JP"/>
        </w:rPr>
        <w:t xml:space="preserve">are modelled separately and </w:t>
      </w:r>
      <w:r w:rsidR="00304C83">
        <w:rPr>
          <w:rFonts w:asciiTheme="minorHAnsi" w:hAnsiTheme="minorHAnsi"/>
          <w:lang w:eastAsia="ja-JP"/>
        </w:rPr>
        <w:t xml:space="preserve">then </w:t>
      </w:r>
      <w:r w:rsidR="005C60AA">
        <w:rPr>
          <w:rFonts w:asciiTheme="minorHAnsi" w:hAnsiTheme="minorHAnsi"/>
          <w:lang w:eastAsia="ja-JP"/>
        </w:rPr>
        <w:t xml:space="preserve">added to </w:t>
      </w:r>
      <w:r w:rsidR="007B248D">
        <w:rPr>
          <w:rFonts w:asciiTheme="minorHAnsi" w:hAnsiTheme="minorHAnsi"/>
          <w:lang w:eastAsia="ja-JP"/>
        </w:rPr>
        <w:t>the profile.</w:t>
      </w:r>
      <w:r w:rsidR="005C6814">
        <w:rPr>
          <w:rFonts w:asciiTheme="minorHAnsi" w:hAnsiTheme="minorHAnsi"/>
          <w:lang w:eastAsia="ja-JP"/>
        </w:rPr>
        <w:t xml:space="preserve"> </w:t>
      </w:r>
    </w:p>
    <w:p w:rsidR="00CE5199" w:rsidRDefault="000D5DEA" w:rsidP="00C45535">
      <w:pPr>
        <w:rPr>
          <w:rFonts w:asciiTheme="minorHAnsi" w:hAnsiTheme="minorHAnsi"/>
          <w:lang w:eastAsia="ja-JP"/>
        </w:rPr>
      </w:pPr>
      <w:r>
        <w:rPr>
          <w:rFonts w:asciiTheme="minorHAnsi" w:hAnsiTheme="minorHAnsi"/>
          <w:lang w:eastAsia="ja-JP"/>
        </w:rPr>
        <w:t xml:space="preserve">Both underlying and headline inflation are forecast to be ¼ of a percentage point stronger to the June quarter of 2015, mirroring the </w:t>
      </w:r>
      <w:r w:rsidR="00304C83">
        <w:rPr>
          <w:rFonts w:asciiTheme="minorHAnsi" w:hAnsiTheme="minorHAnsi"/>
          <w:lang w:eastAsia="ja-JP"/>
        </w:rPr>
        <w:t xml:space="preserve">small </w:t>
      </w:r>
      <w:r>
        <w:rPr>
          <w:rFonts w:asciiTheme="minorHAnsi" w:hAnsiTheme="minorHAnsi"/>
          <w:lang w:eastAsia="ja-JP"/>
        </w:rPr>
        <w:t xml:space="preserve">increase in wages. The other change to </w:t>
      </w:r>
      <w:r w:rsidR="00304C83">
        <w:rPr>
          <w:rFonts w:asciiTheme="minorHAnsi" w:hAnsiTheme="minorHAnsi"/>
          <w:lang w:eastAsia="ja-JP"/>
        </w:rPr>
        <w:t xml:space="preserve">the </w:t>
      </w:r>
      <w:r>
        <w:rPr>
          <w:rFonts w:asciiTheme="minorHAnsi" w:hAnsiTheme="minorHAnsi"/>
          <w:lang w:eastAsia="ja-JP"/>
        </w:rPr>
        <w:t xml:space="preserve">forecasts is an additional ¼ of a percentage point to headline inflation up to June 2014, following the December 2013 outcome. </w:t>
      </w:r>
      <w:r w:rsidR="005C6814">
        <w:rPr>
          <w:rFonts w:asciiTheme="minorHAnsi" w:hAnsiTheme="minorHAnsi"/>
          <w:lang w:eastAsia="ja-JP"/>
        </w:rPr>
        <w:t xml:space="preserve">Underlying inflation is forecast to be 2¾ per cent to the June quarter 2014, and 2½ per cent to the June quarters of both 2015 and 2016. </w:t>
      </w:r>
    </w:p>
    <w:p w:rsidR="00F66A92" w:rsidRDefault="000D5B20" w:rsidP="00761A98">
      <w:pPr>
        <w:pStyle w:val="Bullet"/>
        <w:numPr>
          <w:ilvl w:val="0"/>
          <w:numId w:val="0"/>
        </w:numPr>
        <w:spacing w:line="240" w:lineRule="auto"/>
        <w:rPr>
          <w:rFonts w:asciiTheme="minorHAnsi" w:eastAsiaTheme="minorEastAsia" w:hAnsiTheme="minorHAnsi"/>
          <w:kern w:val="2"/>
          <w:szCs w:val="20"/>
          <w:lang w:eastAsia="ja-JP"/>
        </w:rPr>
      </w:pPr>
      <w:r>
        <w:rPr>
          <w:rFonts w:asciiTheme="minorHAnsi" w:hAnsiTheme="minorHAnsi"/>
          <w:b/>
          <w:color w:val="0000FF"/>
          <w:sz w:val="24"/>
        </w:rPr>
        <w:t>…and below trend n</w:t>
      </w:r>
      <w:r w:rsidR="002113E9" w:rsidRPr="00755AF7">
        <w:rPr>
          <w:rFonts w:asciiTheme="minorHAnsi" w:hAnsiTheme="minorHAnsi"/>
          <w:b/>
          <w:color w:val="0000FF"/>
          <w:sz w:val="24"/>
        </w:rPr>
        <w:t>ominal GDP growth</w:t>
      </w:r>
      <w:r>
        <w:rPr>
          <w:rFonts w:asciiTheme="minorHAnsi" w:hAnsiTheme="minorHAnsi"/>
          <w:b/>
          <w:color w:val="0000FF"/>
          <w:sz w:val="24"/>
        </w:rPr>
        <w:t xml:space="preserve">… </w:t>
      </w:r>
    </w:p>
    <w:p w:rsidR="00CE5199" w:rsidRDefault="00CE5199" w:rsidP="00CE5199">
      <w:pPr>
        <w:pStyle w:val="Bullet"/>
        <w:numPr>
          <w:ilvl w:val="0"/>
          <w:numId w:val="0"/>
        </w:numPr>
        <w:rPr>
          <w:rFonts w:asciiTheme="minorHAnsi" w:hAnsiTheme="minorHAnsi"/>
          <w:kern w:val="2"/>
          <w:szCs w:val="20"/>
        </w:rPr>
      </w:pPr>
      <w:r w:rsidRPr="00761A98">
        <w:rPr>
          <w:rFonts w:asciiTheme="minorHAnsi" w:hAnsiTheme="minorHAnsi"/>
          <w:kern w:val="2"/>
          <w:szCs w:val="20"/>
        </w:rPr>
        <w:t xml:space="preserve">Forecast nominal GDP growth </w:t>
      </w:r>
      <w:r>
        <w:rPr>
          <w:rFonts w:asciiTheme="minorHAnsi" w:hAnsiTheme="minorHAnsi"/>
          <w:kern w:val="2"/>
          <w:szCs w:val="20"/>
        </w:rPr>
        <w:t xml:space="preserve">in 2013-14 </w:t>
      </w:r>
      <w:r w:rsidRPr="00761A98">
        <w:rPr>
          <w:rFonts w:asciiTheme="minorHAnsi" w:hAnsiTheme="minorHAnsi"/>
          <w:kern w:val="2"/>
          <w:szCs w:val="20"/>
        </w:rPr>
        <w:t xml:space="preserve">is stronger </w:t>
      </w:r>
      <w:r>
        <w:rPr>
          <w:rFonts w:asciiTheme="minorHAnsi" w:hAnsiTheme="minorHAnsi"/>
          <w:kern w:val="2"/>
          <w:szCs w:val="20"/>
        </w:rPr>
        <w:t>than in December JEFG,</w:t>
      </w:r>
      <w:r w:rsidRPr="00761A98">
        <w:rPr>
          <w:rFonts w:asciiTheme="minorHAnsi" w:hAnsiTheme="minorHAnsi"/>
          <w:kern w:val="2"/>
          <w:szCs w:val="20"/>
        </w:rPr>
        <w:t xml:space="preserve"> reflecting the upgrade to the real GDP forecast and stronger than expected domestic price growth. However</w:t>
      </w:r>
      <w:r>
        <w:rPr>
          <w:rFonts w:asciiTheme="minorHAnsi" w:hAnsiTheme="minorHAnsi"/>
          <w:kern w:val="2"/>
          <w:szCs w:val="20"/>
        </w:rPr>
        <w:t>,</w:t>
      </w:r>
      <w:r w:rsidRPr="00761A98">
        <w:rPr>
          <w:rFonts w:asciiTheme="minorHAnsi" w:hAnsiTheme="minorHAnsi"/>
          <w:kern w:val="2"/>
          <w:szCs w:val="20"/>
        </w:rPr>
        <w:t xml:space="preserve"> nominal GDP growth is expected to be weaker in 2014-15 and stronger in 2015-16 driven by changes to the forecast for the terms of trade</w:t>
      </w:r>
      <w:r>
        <w:rPr>
          <w:rFonts w:asciiTheme="minorHAnsi" w:hAnsiTheme="minorHAnsi"/>
          <w:kern w:val="2"/>
          <w:szCs w:val="20"/>
        </w:rPr>
        <w:t xml:space="preserve"> (</w:t>
      </w:r>
      <w:r w:rsidR="00F03AF3">
        <w:rPr>
          <w:rFonts w:asciiTheme="minorHAnsi" w:hAnsiTheme="minorHAnsi"/>
          <w:kern w:val="2"/>
          <w:szCs w:val="20"/>
        </w:rPr>
        <w:t>C</w:t>
      </w:r>
      <w:r>
        <w:rPr>
          <w:rFonts w:asciiTheme="minorHAnsi" w:hAnsiTheme="minorHAnsi"/>
          <w:kern w:val="2"/>
          <w:szCs w:val="20"/>
        </w:rPr>
        <w:t>hart 15)</w:t>
      </w:r>
      <w:r w:rsidRPr="00761A98">
        <w:rPr>
          <w:rFonts w:asciiTheme="minorHAnsi" w:hAnsiTheme="minorHAnsi"/>
          <w:kern w:val="2"/>
          <w:szCs w:val="20"/>
        </w:rPr>
        <w:t>. Overall, nominal GDP growth is expected to remain weak, reflecting continued declines in the terms of trade and weak wages growth.</w:t>
      </w:r>
    </w:p>
    <w:p w:rsidR="002113E9" w:rsidRPr="00587BCC" w:rsidRDefault="002113E9" w:rsidP="002113E9">
      <w:pPr>
        <w:keepNext/>
        <w:autoSpaceDE w:val="0"/>
        <w:autoSpaceDN w:val="0"/>
        <w:spacing w:after="0"/>
        <w:jc w:val="center"/>
        <w:rPr>
          <w:rFonts w:asciiTheme="minorHAnsi" w:hAnsiTheme="minorHAnsi"/>
          <w:b/>
        </w:rPr>
      </w:pPr>
      <w:r w:rsidRPr="00587BCC">
        <w:rPr>
          <w:rFonts w:asciiTheme="minorHAnsi" w:hAnsiTheme="minorHAnsi"/>
          <w:b/>
        </w:rPr>
        <w:lastRenderedPageBreak/>
        <w:t xml:space="preserve">Chart </w:t>
      </w:r>
      <w:r w:rsidR="00D868E2" w:rsidRPr="00587BCC">
        <w:rPr>
          <w:rFonts w:asciiTheme="minorHAnsi" w:hAnsiTheme="minorHAnsi"/>
          <w:b/>
        </w:rPr>
        <w:t>1</w:t>
      </w:r>
      <w:r w:rsidR="00E570BA">
        <w:rPr>
          <w:rFonts w:asciiTheme="minorHAnsi" w:hAnsiTheme="minorHAnsi"/>
          <w:b/>
        </w:rPr>
        <w:t>5</w:t>
      </w:r>
      <w:r w:rsidRPr="00587BCC">
        <w:rPr>
          <w:rFonts w:asciiTheme="minorHAnsi" w:hAnsiTheme="minorHAnsi"/>
          <w:b/>
        </w:rPr>
        <w:t xml:space="preserve">: </w:t>
      </w:r>
      <w:r w:rsidR="00C6309D" w:rsidRPr="00587BCC">
        <w:rPr>
          <w:rFonts w:asciiTheme="minorHAnsi" w:hAnsiTheme="minorHAnsi"/>
          <w:b/>
        </w:rPr>
        <w:t>N</w:t>
      </w:r>
      <w:r w:rsidRPr="00587BCC">
        <w:rPr>
          <w:rFonts w:asciiTheme="minorHAnsi" w:hAnsiTheme="minorHAnsi"/>
          <w:b/>
        </w:rPr>
        <w:t>ominal GDP</w:t>
      </w:r>
      <w:r w:rsidR="00C6309D" w:rsidRPr="00587BCC">
        <w:rPr>
          <w:rFonts w:asciiTheme="minorHAnsi" w:hAnsiTheme="minorHAnsi"/>
          <w:b/>
        </w:rPr>
        <w:t xml:space="preserve"> growth</w:t>
      </w:r>
    </w:p>
    <w:p w:rsidR="00AD77C5" w:rsidRDefault="006E10B1" w:rsidP="00AD77C5">
      <w:pPr>
        <w:pStyle w:val="ChartGraphic0"/>
      </w:pPr>
      <w:r>
        <w:object w:dxaOrig="4516" w:dyaOrig="4515">
          <v:shape id="_x0000_i1040" type="#_x0000_t75" style="width:224.75pt;height:224.75pt" o:ole="">
            <v:imagedata r:id="rId52" o:title=""/>
          </v:shape>
          <o:OLEObject Type="Link" ProgID="Excel.Sheet.12" ShapeID="_x0000_i1040" DrawAspect="Content" r:id="rId53" UpdateMode="Always">
            <o:LinkType>EnhancedMetaFile</o:LinkType>
            <o:LockedField>false</o:LockedField>
          </o:OLEObject>
        </w:object>
      </w:r>
    </w:p>
    <w:p w:rsidR="002113E9" w:rsidRPr="00587BCC" w:rsidRDefault="002113E9" w:rsidP="00C6309D">
      <w:pPr>
        <w:pStyle w:val="ChartGraphic0"/>
        <w:spacing w:after="240"/>
        <w:jc w:val="left"/>
        <w:rPr>
          <w:rFonts w:asciiTheme="minorHAnsi" w:eastAsiaTheme="minorEastAsia" w:hAnsiTheme="minorHAnsi"/>
          <w:kern w:val="2"/>
          <w:szCs w:val="20"/>
          <w:lang w:eastAsia="ja-JP"/>
        </w:rPr>
      </w:pPr>
      <w:r w:rsidRPr="00587BCC">
        <w:rPr>
          <w:rFonts w:asciiTheme="minorHAnsi" w:hAnsiTheme="minorHAnsi"/>
          <w:color w:val="auto"/>
          <w:kern w:val="2"/>
          <w:sz w:val="16"/>
        </w:rPr>
        <w:t>Source: ABS cat. no</w:t>
      </w:r>
      <w:r w:rsidR="00984D92" w:rsidRPr="00587BCC">
        <w:rPr>
          <w:rFonts w:asciiTheme="minorHAnsi" w:hAnsiTheme="minorHAnsi"/>
          <w:color w:val="auto"/>
          <w:kern w:val="2"/>
          <w:sz w:val="16"/>
        </w:rPr>
        <w:t>.</w:t>
      </w:r>
      <w:r w:rsidRPr="00587BCC">
        <w:rPr>
          <w:rFonts w:asciiTheme="minorHAnsi" w:hAnsiTheme="minorHAnsi"/>
          <w:color w:val="auto"/>
          <w:kern w:val="2"/>
          <w:sz w:val="16"/>
        </w:rPr>
        <w:t xml:space="preserve"> 5206.0 and Treasury.</w:t>
      </w:r>
    </w:p>
    <w:p w:rsidR="002113E9" w:rsidRPr="00587BCC" w:rsidRDefault="00F66A92" w:rsidP="002113E9">
      <w:pPr>
        <w:pStyle w:val="Bullet"/>
        <w:numPr>
          <w:ilvl w:val="0"/>
          <w:numId w:val="0"/>
        </w:numPr>
        <w:rPr>
          <w:rFonts w:asciiTheme="minorHAnsi" w:hAnsiTheme="minorHAnsi"/>
          <w:kern w:val="2"/>
          <w:szCs w:val="20"/>
        </w:rPr>
      </w:pPr>
      <w:r w:rsidRPr="00F33530">
        <w:rPr>
          <w:rFonts w:asciiTheme="minorHAnsi" w:hAnsiTheme="minorHAnsi"/>
          <w:kern w:val="2"/>
          <w:szCs w:val="20"/>
        </w:rPr>
        <w:t xml:space="preserve">The uncertainty around nominal GDP growth forecasts is larger than around real GDP growth forecasts, reflecting the compounding nature of two sources of uncertainty: the outlook for real GDP and the outlook for prices or the GDP deflator. The average annualised nominal GDP growth over the two years </w:t>
      </w:r>
      <w:r w:rsidR="00672D59">
        <w:rPr>
          <w:rFonts w:asciiTheme="minorHAnsi" w:hAnsiTheme="minorHAnsi"/>
          <w:kern w:val="2"/>
          <w:szCs w:val="20"/>
        </w:rPr>
        <w:t xml:space="preserve">from </w:t>
      </w:r>
      <w:r w:rsidRPr="00F33530">
        <w:rPr>
          <w:rFonts w:asciiTheme="minorHAnsi" w:hAnsiTheme="minorHAnsi"/>
          <w:kern w:val="2"/>
          <w:szCs w:val="20"/>
        </w:rPr>
        <w:t xml:space="preserve">2012-13 to 2014-15 is expected to be 3.6 per cent, with the 70 per cent confidence interval from </w:t>
      </w:r>
      <w:r w:rsidR="001D0D39">
        <w:rPr>
          <w:rFonts w:asciiTheme="minorHAnsi" w:hAnsiTheme="minorHAnsi"/>
          <w:kern w:val="2"/>
          <w:szCs w:val="20"/>
        </w:rPr>
        <w:t>2.2</w:t>
      </w:r>
      <w:r w:rsidRPr="00F33530">
        <w:rPr>
          <w:rFonts w:asciiTheme="minorHAnsi" w:hAnsiTheme="minorHAnsi"/>
          <w:kern w:val="2"/>
          <w:szCs w:val="20"/>
        </w:rPr>
        <w:t xml:space="preserve"> to 5.</w:t>
      </w:r>
      <w:r w:rsidR="001D0D39">
        <w:rPr>
          <w:rFonts w:asciiTheme="minorHAnsi" w:hAnsiTheme="minorHAnsi"/>
          <w:kern w:val="2"/>
          <w:szCs w:val="20"/>
        </w:rPr>
        <w:t>0</w:t>
      </w:r>
      <w:r w:rsidRPr="00F33530">
        <w:rPr>
          <w:rFonts w:asciiTheme="minorHAnsi" w:hAnsiTheme="minorHAnsi"/>
          <w:kern w:val="2"/>
          <w:szCs w:val="20"/>
        </w:rPr>
        <w:t xml:space="preserve"> per cent (Chart 1</w:t>
      </w:r>
      <w:r w:rsidR="00E570BA">
        <w:rPr>
          <w:rFonts w:asciiTheme="minorHAnsi" w:hAnsiTheme="minorHAnsi"/>
          <w:kern w:val="2"/>
          <w:szCs w:val="20"/>
        </w:rPr>
        <w:t>6</w:t>
      </w:r>
      <w:r w:rsidRPr="00F33530">
        <w:rPr>
          <w:rFonts w:asciiTheme="minorHAnsi" w:hAnsiTheme="minorHAnsi"/>
          <w:kern w:val="2"/>
          <w:szCs w:val="20"/>
        </w:rPr>
        <w:t xml:space="preserve"> and Appendix A)</w:t>
      </w:r>
      <w:r>
        <w:rPr>
          <w:rFonts w:asciiTheme="minorHAnsi" w:hAnsiTheme="minorHAnsi"/>
          <w:kern w:val="2"/>
          <w:szCs w:val="20"/>
        </w:rPr>
        <w:t>.</w:t>
      </w:r>
    </w:p>
    <w:p w:rsidR="00DD4555" w:rsidRPr="00587BCC" w:rsidRDefault="00DD4555" w:rsidP="00DD4555">
      <w:pPr>
        <w:keepNext/>
        <w:autoSpaceDE w:val="0"/>
        <w:autoSpaceDN w:val="0"/>
        <w:spacing w:after="0"/>
        <w:jc w:val="center"/>
        <w:rPr>
          <w:rFonts w:asciiTheme="minorHAnsi" w:hAnsiTheme="minorHAnsi"/>
          <w:b/>
          <w:szCs w:val="20"/>
        </w:rPr>
      </w:pPr>
      <w:r w:rsidRPr="00587BCC">
        <w:rPr>
          <w:rFonts w:asciiTheme="minorHAnsi" w:hAnsiTheme="minorHAnsi"/>
          <w:b/>
          <w:szCs w:val="20"/>
        </w:rPr>
        <w:t xml:space="preserve">Chart </w:t>
      </w:r>
      <w:r w:rsidR="00D868E2" w:rsidRPr="00587BCC">
        <w:rPr>
          <w:rFonts w:asciiTheme="minorHAnsi" w:hAnsiTheme="minorHAnsi"/>
          <w:b/>
          <w:szCs w:val="20"/>
        </w:rPr>
        <w:t>1</w:t>
      </w:r>
      <w:r w:rsidR="00E570BA">
        <w:rPr>
          <w:rFonts w:asciiTheme="minorHAnsi" w:hAnsiTheme="minorHAnsi"/>
          <w:b/>
          <w:szCs w:val="20"/>
        </w:rPr>
        <w:t>6</w:t>
      </w:r>
      <w:r w:rsidRPr="00587BCC">
        <w:rPr>
          <w:rFonts w:asciiTheme="minorHAnsi" w:hAnsiTheme="minorHAnsi"/>
          <w:b/>
          <w:szCs w:val="20"/>
        </w:rPr>
        <w:t>: Confidence intervals around forecast nominal GDP</w:t>
      </w:r>
    </w:p>
    <w:p w:rsidR="00717ED3" w:rsidRDefault="00DF7A53" w:rsidP="00717ED3">
      <w:pPr>
        <w:pStyle w:val="ChartGraphic0"/>
      </w:pPr>
      <w:r>
        <w:object w:dxaOrig="4200" w:dyaOrig="4111">
          <v:shape id="_x0000_i1041" type="#_x0000_t75" style="width:211pt;height:205.35pt" o:ole="">
            <v:imagedata r:id="rId54" o:title=""/>
          </v:shape>
          <o:OLEObject Type="Link" ProgID="Excel.Sheet.8" ShapeID="_x0000_i1041" DrawAspect="Content" r:id="rId55" UpdateMode="Always">
            <o:LinkType>EnhancedMetaFile</o:LinkType>
            <o:LockedField>false</o:LockedField>
            <o:FieldCodes>\* MERGEFORMAT</o:FieldCodes>
          </o:OLEObject>
        </w:object>
      </w:r>
    </w:p>
    <w:p w:rsidR="00503D4C" w:rsidRPr="00717ED3" w:rsidRDefault="00503D4C" w:rsidP="00717ED3">
      <w:pPr>
        <w:pStyle w:val="ChartGraphic0"/>
        <w:jc w:val="left"/>
        <w:rPr>
          <w:sz w:val="16"/>
          <w:szCs w:val="16"/>
        </w:rPr>
      </w:pPr>
      <w:r w:rsidRPr="00717ED3">
        <w:rPr>
          <w:rFonts w:asciiTheme="minorHAnsi" w:hAnsiTheme="minorHAnsi" w:cs="Times New Roman"/>
          <w:color w:val="auto"/>
          <w:sz w:val="16"/>
          <w:szCs w:val="16"/>
        </w:rPr>
        <w:t>Note: Confidence intervals are based</w:t>
      </w:r>
      <w:r w:rsidR="00DD00E3" w:rsidRPr="00717ED3">
        <w:rPr>
          <w:rFonts w:asciiTheme="minorHAnsi" w:hAnsiTheme="minorHAnsi" w:cs="Times New Roman"/>
          <w:color w:val="auto"/>
          <w:sz w:val="16"/>
          <w:szCs w:val="16"/>
        </w:rPr>
        <w:t xml:space="preserve"> on</w:t>
      </w:r>
      <w:r w:rsidRPr="00717ED3">
        <w:rPr>
          <w:rFonts w:asciiTheme="minorHAnsi" w:hAnsiTheme="minorHAnsi" w:cs="Times New Roman"/>
          <w:color w:val="auto"/>
          <w:sz w:val="16"/>
          <w:szCs w:val="16"/>
        </w:rPr>
        <w:t xml:space="preserve"> </w:t>
      </w:r>
      <w:r w:rsidR="00DD00E3" w:rsidRPr="00717ED3">
        <w:rPr>
          <w:rFonts w:asciiTheme="minorHAnsi" w:hAnsiTheme="minorHAnsi" w:cs="Times New Roman"/>
          <w:color w:val="auto"/>
          <w:sz w:val="16"/>
          <w:szCs w:val="16"/>
        </w:rPr>
        <w:t>B</w:t>
      </w:r>
      <w:r w:rsidRPr="00717ED3">
        <w:rPr>
          <w:rFonts w:asciiTheme="minorHAnsi" w:hAnsiTheme="minorHAnsi" w:cs="Times New Roman"/>
          <w:color w:val="auto"/>
          <w:sz w:val="16"/>
          <w:szCs w:val="16"/>
        </w:rPr>
        <w:t xml:space="preserve">udget </w:t>
      </w:r>
      <w:r w:rsidR="00DD00E3" w:rsidRPr="00717ED3">
        <w:rPr>
          <w:rFonts w:asciiTheme="minorHAnsi" w:hAnsiTheme="minorHAnsi" w:cs="Times New Roman"/>
          <w:color w:val="auto"/>
          <w:sz w:val="16"/>
          <w:szCs w:val="16"/>
        </w:rPr>
        <w:t>forecast errors</w:t>
      </w:r>
      <w:r w:rsidRPr="00717ED3">
        <w:rPr>
          <w:rFonts w:asciiTheme="minorHAnsi" w:hAnsiTheme="minorHAnsi" w:cs="Times New Roman"/>
          <w:color w:val="auto"/>
          <w:sz w:val="16"/>
          <w:szCs w:val="16"/>
        </w:rPr>
        <w:t xml:space="preserve"> (please see Appendix A for further information).</w:t>
      </w:r>
    </w:p>
    <w:p w:rsidR="00503D4C" w:rsidRPr="00717ED3" w:rsidRDefault="00503D4C" w:rsidP="00717ED3">
      <w:pPr>
        <w:spacing w:line="240" w:lineRule="auto"/>
        <w:jc w:val="left"/>
        <w:rPr>
          <w:rFonts w:asciiTheme="minorHAnsi" w:hAnsiTheme="minorHAnsi"/>
          <w:sz w:val="16"/>
          <w:szCs w:val="16"/>
        </w:rPr>
      </w:pPr>
      <w:r w:rsidRPr="00717ED3">
        <w:rPr>
          <w:rFonts w:asciiTheme="minorHAnsi" w:hAnsiTheme="minorHAnsi"/>
          <w:sz w:val="16"/>
          <w:szCs w:val="16"/>
        </w:rPr>
        <w:t>Source: ABS cat. no. 5206.0, Budget papers and Treasury.</w:t>
      </w:r>
    </w:p>
    <w:p w:rsidR="002113E9" w:rsidRPr="00755AF7" w:rsidRDefault="000D5B20" w:rsidP="00760345">
      <w:pPr>
        <w:pStyle w:val="Bullet"/>
        <w:keepNext/>
        <w:numPr>
          <w:ilvl w:val="0"/>
          <w:numId w:val="0"/>
        </w:numPr>
        <w:spacing w:line="240" w:lineRule="auto"/>
        <w:rPr>
          <w:rFonts w:asciiTheme="minorHAnsi" w:hAnsiTheme="minorHAnsi"/>
          <w:b/>
          <w:color w:val="0000FF"/>
          <w:sz w:val="24"/>
        </w:rPr>
      </w:pPr>
      <w:r>
        <w:rPr>
          <w:rFonts w:asciiTheme="minorHAnsi" w:hAnsiTheme="minorHAnsi"/>
          <w:b/>
          <w:color w:val="0000FF"/>
          <w:sz w:val="24"/>
        </w:rPr>
        <w:lastRenderedPageBreak/>
        <w:t xml:space="preserve">… while upside risks to the </w:t>
      </w:r>
      <w:r w:rsidR="004442CE">
        <w:rPr>
          <w:rFonts w:asciiTheme="minorHAnsi" w:hAnsiTheme="minorHAnsi"/>
          <w:b/>
          <w:color w:val="0000FF"/>
          <w:sz w:val="24"/>
        </w:rPr>
        <w:t>outlook</w:t>
      </w:r>
      <w:r>
        <w:rPr>
          <w:rFonts w:asciiTheme="minorHAnsi" w:hAnsiTheme="minorHAnsi"/>
          <w:b/>
          <w:color w:val="0000FF"/>
          <w:sz w:val="24"/>
        </w:rPr>
        <w:t xml:space="preserve"> have become more visible… </w:t>
      </w:r>
    </w:p>
    <w:p w:rsidR="00B760B0" w:rsidRDefault="00B760B0" w:rsidP="006B7141">
      <w:pPr>
        <w:rPr>
          <w:rFonts w:asciiTheme="minorHAnsi" w:hAnsiTheme="minorHAnsi"/>
          <w:lang w:eastAsia="ja-JP"/>
        </w:rPr>
      </w:pPr>
      <w:r>
        <w:rPr>
          <w:rFonts w:asciiTheme="minorHAnsi" w:hAnsiTheme="minorHAnsi"/>
          <w:lang w:eastAsia="ja-JP"/>
        </w:rPr>
        <w:t>Since the December round, the upside risks to the forecasts have become more visible. In particular, the household sector is more clearly responding to low interest rates</w:t>
      </w:r>
      <w:r w:rsidR="00B239E0">
        <w:rPr>
          <w:rFonts w:asciiTheme="minorHAnsi" w:hAnsiTheme="minorHAnsi"/>
          <w:lang w:eastAsia="ja-JP"/>
        </w:rPr>
        <w:t>. A</w:t>
      </w:r>
      <w:r>
        <w:rPr>
          <w:rFonts w:asciiTheme="minorHAnsi" w:hAnsiTheme="minorHAnsi"/>
          <w:lang w:eastAsia="ja-JP"/>
        </w:rPr>
        <w:t>lthough investment intentions still remain weak</w:t>
      </w:r>
      <w:r w:rsidR="009254C2">
        <w:rPr>
          <w:rFonts w:asciiTheme="minorHAnsi" w:hAnsiTheme="minorHAnsi"/>
          <w:lang w:eastAsia="ja-JP"/>
        </w:rPr>
        <w:t>,</w:t>
      </w:r>
      <w:r w:rsidR="00B239E0">
        <w:rPr>
          <w:rFonts w:asciiTheme="minorHAnsi" w:hAnsiTheme="minorHAnsi"/>
          <w:lang w:eastAsia="ja-JP"/>
        </w:rPr>
        <w:t xml:space="preserve"> a further improvement in the household sector would provide a better incentive for non</w:t>
      </w:r>
      <w:r w:rsidR="009254C2">
        <w:rPr>
          <w:rFonts w:asciiTheme="minorHAnsi" w:hAnsiTheme="minorHAnsi"/>
          <w:lang w:eastAsia="ja-JP"/>
        </w:rPr>
        <w:noBreakHyphen/>
      </w:r>
      <w:r w:rsidR="00B239E0">
        <w:rPr>
          <w:rFonts w:asciiTheme="minorHAnsi" w:hAnsiTheme="minorHAnsi"/>
          <w:lang w:eastAsia="ja-JP"/>
        </w:rPr>
        <w:t>resources firms to upgrade their investment intentions</w:t>
      </w:r>
      <w:r>
        <w:rPr>
          <w:rFonts w:asciiTheme="minorHAnsi" w:hAnsiTheme="minorHAnsi"/>
          <w:lang w:eastAsia="ja-JP"/>
        </w:rPr>
        <w:t xml:space="preserve">. </w:t>
      </w:r>
    </w:p>
    <w:p w:rsidR="00FD0ECE" w:rsidRDefault="00B760B0" w:rsidP="00FD0ECE">
      <w:pPr>
        <w:rPr>
          <w:rFonts w:asciiTheme="minorHAnsi" w:hAnsiTheme="minorHAnsi"/>
          <w:kern w:val="2"/>
          <w:szCs w:val="20"/>
        </w:rPr>
      </w:pPr>
      <w:r>
        <w:rPr>
          <w:rFonts w:asciiTheme="minorHAnsi" w:hAnsiTheme="minorHAnsi"/>
          <w:lang w:eastAsia="ja-JP"/>
        </w:rPr>
        <w:t xml:space="preserve">Nevertheless, downside risks remain. </w:t>
      </w:r>
      <w:r w:rsidR="004A6712" w:rsidRPr="004A6712">
        <w:rPr>
          <w:rFonts w:asciiTheme="minorHAnsi" w:hAnsiTheme="minorHAnsi"/>
          <w:kern w:val="2"/>
          <w:szCs w:val="20"/>
        </w:rPr>
        <w:t xml:space="preserve">The fall in resources investment is likely to be volatile from quarter to quarter, while the associated rise in exports also has uncertain timing. Together, these effects could generate short term </w:t>
      </w:r>
      <w:r w:rsidR="00304C83">
        <w:rPr>
          <w:rFonts w:asciiTheme="minorHAnsi" w:hAnsiTheme="minorHAnsi"/>
          <w:kern w:val="2"/>
          <w:szCs w:val="20"/>
        </w:rPr>
        <w:t>volatility</w:t>
      </w:r>
      <w:r w:rsidR="004A6712" w:rsidRPr="004A6712">
        <w:rPr>
          <w:rFonts w:asciiTheme="minorHAnsi" w:hAnsiTheme="minorHAnsi"/>
          <w:kern w:val="2"/>
          <w:szCs w:val="20"/>
        </w:rPr>
        <w:t xml:space="preserve"> in GDP. The non</w:t>
      </w:r>
      <w:r w:rsidR="005F73D9">
        <w:rPr>
          <w:rFonts w:asciiTheme="minorHAnsi" w:hAnsiTheme="minorHAnsi"/>
          <w:kern w:val="2"/>
          <w:szCs w:val="20"/>
        </w:rPr>
        <w:noBreakHyphen/>
      </w:r>
      <w:r w:rsidR="004A6712" w:rsidRPr="004A6712">
        <w:rPr>
          <w:rFonts w:asciiTheme="minorHAnsi" w:hAnsiTheme="minorHAnsi"/>
          <w:kern w:val="2"/>
          <w:szCs w:val="20"/>
        </w:rPr>
        <w:t xml:space="preserve">resources </w:t>
      </w:r>
      <w:r w:rsidR="00085314">
        <w:rPr>
          <w:rFonts w:asciiTheme="minorHAnsi" w:hAnsiTheme="minorHAnsi"/>
          <w:kern w:val="2"/>
          <w:szCs w:val="20"/>
        </w:rPr>
        <w:t xml:space="preserve">business </w:t>
      </w:r>
      <w:r w:rsidR="004A6712" w:rsidRPr="004A6712">
        <w:rPr>
          <w:rFonts w:asciiTheme="minorHAnsi" w:hAnsiTheme="minorHAnsi"/>
          <w:kern w:val="2"/>
          <w:szCs w:val="20"/>
        </w:rPr>
        <w:t xml:space="preserve">sector is </w:t>
      </w:r>
      <w:r w:rsidR="004A6712" w:rsidRPr="00027C06">
        <w:rPr>
          <w:rFonts w:asciiTheme="minorHAnsi" w:hAnsiTheme="minorHAnsi"/>
          <w:kern w:val="2"/>
          <w:szCs w:val="20"/>
        </w:rPr>
        <w:t xml:space="preserve">battling against </w:t>
      </w:r>
      <w:r w:rsidR="00FD0ECE" w:rsidRPr="00027C06">
        <w:rPr>
          <w:rFonts w:asciiTheme="minorHAnsi" w:hAnsiTheme="minorHAnsi"/>
          <w:kern w:val="2"/>
          <w:szCs w:val="20"/>
        </w:rPr>
        <w:t>a still</w:t>
      </w:r>
      <w:r w:rsidR="005F73D9">
        <w:rPr>
          <w:rFonts w:asciiTheme="minorHAnsi" w:hAnsiTheme="minorHAnsi"/>
          <w:kern w:val="2"/>
          <w:szCs w:val="20"/>
        </w:rPr>
        <w:noBreakHyphen/>
      </w:r>
      <w:r w:rsidR="00FD0ECE" w:rsidRPr="00027C06">
        <w:rPr>
          <w:rFonts w:asciiTheme="minorHAnsi" w:hAnsiTheme="minorHAnsi"/>
          <w:kern w:val="2"/>
          <w:szCs w:val="20"/>
        </w:rPr>
        <w:t xml:space="preserve">elevated </w:t>
      </w:r>
      <w:r w:rsidR="004A6712" w:rsidRPr="00027C06">
        <w:rPr>
          <w:rFonts w:asciiTheme="minorHAnsi" w:hAnsiTheme="minorHAnsi"/>
          <w:kern w:val="2"/>
          <w:szCs w:val="20"/>
        </w:rPr>
        <w:t>exchange rate and</w:t>
      </w:r>
      <w:r w:rsidR="004A6712" w:rsidRPr="004A6712">
        <w:rPr>
          <w:rFonts w:asciiTheme="minorHAnsi" w:hAnsiTheme="minorHAnsi"/>
          <w:kern w:val="2"/>
          <w:szCs w:val="20"/>
        </w:rPr>
        <w:t xml:space="preserve"> </w:t>
      </w:r>
      <w:r w:rsidR="00085314">
        <w:rPr>
          <w:rFonts w:asciiTheme="minorHAnsi" w:hAnsiTheme="minorHAnsi"/>
          <w:kern w:val="2"/>
          <w:szCs w:val="20"/>
        </w:rPr>
        <w:t>a reluctance to invest until demand has clearly improved</w:t>
      </w:r>
      <w:r w:rsidR="004A6712" w:rsidRPr="004A6712">
        <w:rPr>
          <w:rFonts w:asciiTheme="minorHAnsi" w:hAnsiTheme="minorHAnsi"/>
          <w:kern w:val="2"/>
          <w:szCs w:val="20"/>
        </w:rPr>
        <w:t xml:space="preserve">. Weaker-than-expected growth in the non-resources sector could generate </w:t>
      </w:r>
      <w:r w:rsidR="00FD0ECE">
        <w:rPr>
          <w:rFonts w:asciiTheme="minorHAnsi" w:hAnsiTheme="minorHAnsi"/>
          <w:kern w:val="2"/>
          <w:szCs w:val="20"/>
        </w:rPr>
        <w:t xml:space="preserve">a softer labour market, which would in turn have repercussions for household consumption. </w:t>
      </w:r>
    </w:p>
    <w:p w:rsidR="004442CE" w:rsidRPr="004442CE" w:rsidRDefault="000D5B20" w:rsidP="004442CE">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xml:space="preserve">… </w:t>
      </w:r>
      <w:r w:rsidR="004442CE">
        <w:rPr>
          <w:rFonts w:asciiTheme="minorHAnsi" w:hAnsiTheme="minorHAnsi"/>
          <w:b/>
          <w:color w:val="0000FF"/>
          <w:sz w:val="24"/>
        </w:rPr>
        <w:t>International</w:t>
      </w:r>
      <w:r w:rsidR="004442CE" w:rsidRPr="004442CE">
        <w:rPr>
          <w:rFonts w:asciiTheme="minorHAnsi" w:hAnsiTheme="minorHAnsi"/>
          <w:b/>
          <w:color w:val="0000FF"/>
          <w:sz w:val="24"/>
        </w:rPr>
        <w:t xml:space="preserve"> </w:t>
      </w:r>
      <w:r w:rsidR="004442CE">
        <w:rPr>
          <w:rFonts w:asciiTheme="minorHAnsi" w:hAnsiTheme="minorHAnsi"/>
          <w:b/>
          <w:color w:val="0000FF"/>
          <w:sz w:val="24"/>
        </w:rPr>
        <w:t xml:space="preserve">downside </w:t>
      </w:r>
      <w:r w:rsidR="004442CE" w:rsidRPr="004442CE">
        <w:rPr>
          <w:rFonts w:asciiTheme="minorHAnsi" w:hAnsiTheme="minorHAnsi"/>
          <w:b/>
          <w:color w:val="0000FF"/>
          <w:sz w:val="24"/>
        </w:rPr>
        <w:t>r</w:t>
      </w:r>
      <w:r w:rsidR="004442CE">
        <w:rPr>
          <w:rFonts w:asciiTheme="minorHAnsi" w:hAnsiTheme="minorHAnsi"/>
          <w:b/>
          <w:color w:val="0000FF"/>
          <w:sz w:val="24"/>
        </w:rPr>
        <w:t>isks, both new and old, remain</w:t>
      </w:r>
      <w:r>
        <w:rPr>
          <w:rFonts w:asciiTheme="minorHAnsi" w:hAnsiTheme="minorHAnsi"/>
          <w:b/>
          <w:color w:val="0000FF"/>
          <w:sz w:val="24"/>
        </w:rPr>
        <w:t>.</w:t>
      </w:r>
    </w:p>
    <w:p w:rsidR="004442CE" w:rsidRPr="004442CE" w:rsidRDefault="004442CE" w:rsidP="004442CE">
      <w:pPr>
        <w:pStyle w:val="Bullet"/>
        <w:numPr>
          <w:ilvl w:val="0"/>
          <w:numId w:val="0"/>
        </w:numPr>
        <w:rPr>
          <w:rFonts w:asciiTheme="minorHAnsi" w:hAnsiTheme="minorHAnsi"/>
          <w:kern w:val="2"/>
          <w:szCs w:val="20"/>
        </w:rPr>
      </w:pPr>
      <w:r w:rsidRPr="004442CE">
        <w:rPr>
          <w:rFonts w:asciiTheme="minorHAnsi" w:hAnsiTheme="minorHAnsi"/>
          <w:kern w:val="2"/>
          <w:szCs w:val="20"/>
        </w:rPr>
        <w:t>While the improved outlook is encouraging, downside risks, both new and old, remain. Though the US recovery is strengthening, careful handling is still required around monetary policy. The normalisation of unconventional monetary policy remains a risk if not deftly managed and communicated effectively. Both the US Federal Reserve and the Bank of England have announced changes to their forward guidance in light of improving economic developments.</w:t>
      </w:r>
    </w:p>
    <w:p w:rsidR="004442CE" w:rsidRPr="004442CE" w:rsidRDefault="004442CE" w:rsidP="004442CE">
      <w:pPr>
        <w:pStyle w:val="Bullet"/>
        <w:numPr>
          <w:ilvl w:val="0"/>
          <w:numId w:val="0"/>
        </w:numPr>
        <w:rPr>
          <w:rFonts w:asciiTheme="minorHAnsi" w:hAnsiTheme="minorHAnsi"/>
          <w:kern w:val="2"/>
          <w:szCs w:val="20"/>
        </w:rPr>
      </w:pPr>
      <w:r w:rsidRPr="004442CE">
        <w:rPr>
          <w:rFonts w:asciiTheme="minorHAnsi" w:hAnsiTheme="minorHAnsi"/>
          <w:kern w:val="2"/>
          <w:szCs w:val="20"/>
        </w:rPr>
        <w:t>In the short term, China needs to manage the transition to a more balanced growth model, while avoiding financial risks stemming from shadow banking activities and high leverage in some sectors of the economy. For both China and Japan, the need for structural reform brings with it the risk of policy missteps.</w:t>
      </w:r>
    </w:p>
    <w:p w:rsidR="004442CE" w:rsidRPr="004442CE" w:rsidRDefault="004442CE" w:rsidP="004442CE">
      <w:pPr>
        <w:pStyle w:val="Bullet"/>
        <w:numPr>
          <w:ilvl w:val="0"/>
          <w:numId w:val="0"/>
        </w:numPr>
        <w:rPr>
          <w:rFonts w:asciiTheme="minorHAnsi" w:hAnsiTheme="minorHAnsi"/>
          <w:kern w:val="2"/>
          <w:szCs w:val="20"/>
        </w:rPr>
      </w:pPr>
      <w:r w:rsidRPr="004442CE">
        <w:rPr>
          <w:rFonts w:asciiTheme="minorHAnsi" w:hAnsiTheme="minorHAnsi"/>
          <w:kern w:val="2"/>
          <w:szCs w:val="20"/>
        </w:rPr>
        <w:lastRenderedPageBreak/>
        <w:t xml:space="preserve">The euro area’s anaemic growth could yet see disinflation turn into deflation, potentially forcing a policy response from the ECB, and adding to the risks for the euro area recovery. A permanent resolution to the crisis will require further politically difficult reforms, such as the successful implementation of a single banking resolution authority. </w:t>
      </w:r>
      <w:r w:rsidR="00304C83">
        <w:rPr>
          <w:rFonts w:asciiTheme="minorHAnsi" w:hAnsiTheme="minorHAnsi"/>
          <w:kern w:val="2"/>
          <w:szCs w:val="20"/>
        </w:rPr>
        <w:t>There has been some p</w:t>
      </w:r>
      <w:r w:rsidRPr="004442CE">
        <w:rPr>
          <w:rFonts w:asciiTheme="minorHAnsi" w:hAnsiTheme="minorHAnsi"/>
          <w:kern w:val="2"/>
          <w:szCs w:val="20"/>
        </w:rPr>
        <w:t xml:space="preserve">rogress with the European Parliament and Council recently reaching provisional agreement on a proposed mechanism. The Troika has concluded at staff-level its latest review of the Greek bailout program. Progress is being made on structural reforms and fiscal consolidation, however, it remains likely that further debt restructuring will eventually </w:t>
      </w:r>
      <w:r w:rsidR="00304C83">
        <w:rPr>
          <w:rFonts w:asciiTheme="minorHAnsi" w:hAnsiTheme="minorHAnsi"/>
          <w:kern w:val="2"/>
          <w:szCs w:val="20"/>
        </w:rPr>
        <w:t>be needed</w:t>
      </w:r>
      <w:r w:rsidRPr="004442CE">
        <w:rPr>
          <w:rFonts w:asciiTheme="minorHAnsi" w:hAnsiTheme="minorHAnsi"/>
          <w:kern w:val="2"/>
          <w:szCs w:val="20"/>
        </w:rPr>
        <w:t xml:space="preserve">. </w:t>
      </w:r>
    </w:p>
    <w:p w:rsidR="004442CE" w:rsidRPr="004442CE" w:rsidRDefault="004442CE" w:rsidP="004442CE">
      <w:pPr>
        <w:pStyle w:val="Bullet"/>
        <w:numPr>
          <w:ilvl w:val="0"/>
          <w:numId w:val="0"/>
        </w:numPr>
        <w:rPr>
          <w:rFonts w:asciiTheme="minorHAnsi" w:hAnsiTheme="minorHAnsi"/>
          <w:kern w:val="2"/>
          <w:szCs w:val="20"/>
        </w:rPr>
      </w:pPr>
      <w:r w:rsidRPr="004442CE">
        <w:rPr>
          <w:rFonts w:asciiTheme="minorHAnsi" w:hAnsiTheme="minorHAnsi"/>
          <w:kern w:val="2"/>
          <w:szCs w:val="20"/>
        </w:rPr>
        <w:t>Several emerging market economies experienced an acute bout of financial market volatility in January on concerns that domestic vulnerabilities w</w:t>
      </w:r>
      <w:r w:rsidR="00304C83">
        <w:rPr>
          <w:rFonts w:asciiTheme="minorHAnsi" w:hAnsiTheme="minorHAnsi"/>
          <w:kern w:val="2"/>
          <w:szCs w:val="20"/>
        </w:rPr>
        <w:t>ould</w:t>
      </w:r>
      <w:r w:rsidRPr="004442CE">
        <w:rPr>
          <w:rFonts w:asciiTheme="minorHAnsi" w:hAnsiTheme="minorHAnsi"/>
          <w:kern w:val="2"/>
          <w:szCs w:val="20"/>
        </w:rPr>
        <w:t xml:space="preserve"> be exposed as the funding terms they attracted during the height of unconventional monetary policy in advanced economies become less favourable. Attention increasingly of late has been on the ‘fragile five’ — Brazil, India, Indonesia, Turkey and South Africa — which have current account deficits, remain exposed to global financial market volatility, have structural reform challenges and all hold elections this year. Unlike the episode in May 2013, the January episodes of volatility had a wider range of triggers than just US monetary policy developments, and were largely idiosyncratic such as political developments in Ukraine and Thailand, and fears over slowing Chinese growth.</w:t>
      </w:r>
    </w:p>
    <w:p w:rsidR="004442CE" w:rsidRPr="004442CE" w:rsidRDefault="004442CE" w:rsidP="004442CE">
      <w:pPr>
        <w:pStyle w:val="Bullet"/>
        <w:numPr>
          <w:ilvl w:val="0"/>
          <w:numId w:val="0"/>
        </w:numPr>
        <w:rPr>
          <w:rFonts w:asciiTheme="minorHAnsi" w:hAnsiTheme="minorHAnsi"/>
          <w:kern w:val="2"/>
          <w:szCs w:val="20"/>
        </w:rPr>
      </w:pPr>
      <w:r w:rsidRPr="004442CE">
        <w:rPr>
          <w:rFonts w:asciiTheme="minorHAnsi" w:hAnsiTheme="minorHAnsi"/>
          <w:kern w:val="2"/>
          <w:szCs w:val="20"/>
        </w:rPr>
        <w:t xml:space="preserve">Geopolitical risks and the transmission of these through global financial market and trade channels cannot be discounted given recent political developments in the Ukraine and Russia. This has subsequently sparked a round of sanctions by the G7. To date, </w:t>
      </w:r>
      <w:r w:rsidR="00304C83">
        <w:rPr>
          <w:rFonts w:asciiTheme="minorHAnsi" w:hAnsiTheme="minorHAnsi"/>
          <w:kern w:val="2"/>
          <w:szCs w:val="20"/>
        </w:rPr>
        <w:t>these developments are</w:t>
      </w:r>
      <w:r w:rsidRPr="004442CE">
        <w:rPr>
          <w:rFonts w:asciiTheme="minorHAnsi" w:hAnsiTheme="minorHAnsi"/>
          <w:kern w:val="2"/>
          <w:szCs w:val="20"/>
        </w:rPr>
        <w:t xml:space="preserve"> not expected to materially alter the central case for the global economy given that sanctions are not targeting areas of mutual economic interdependence, such as energy.</w:t>
      </w:r>
    </w:p>
    <w:p w:rsidR="004A6712" w:rsidRPr="00587BCC" w:rsidRDefault="004A6712" w:rsidP="00C92C0C">
      <w:pPr>
        <w:spacing w:after="0" w:line="240" w:lineRule="auto"/>
        <w:jc w:val="left"/>
        <w:rPr>
          <w:rFonts w:asciiTheme="minorHAnsi" w:hAnsiTheme="minorHAnsi" w:cs="Arial"/>
          <w:kern w:val="2"/>
          <w:sz w:val="16"/>
          <w:szCs w:val="16"/>
        </w:rPr>
      </w:pPr>
    </w:p>
    <w:p w:rsidR="006B7141" w:rsidRDefault="006B7141">
      <w:pPr>
        <w:spacing w:after="0" w:line="240" w:lineRule="auto"/>
        <w:jc w:val="left"/>
        <w:rPr>
          <w:rFonts w:asciiTheme="minorHAnsi" w:eastAsiaTheme="minorEastAsia" w:hAnsiTheme="minorHAnsi"/>
          <w:kern w:val="2"/>
          <w:szCs w:val="20"/>
          <w:lang w:eastAsia="ja-JP"/>
        </w:rPr>
        <w:sectPr w:rsidR="006B7141" w:rsidSect="00755AF7">
          <w:headerReference w:type="default" r:id="rId56"/>
          <w:footerReference w:type="even" r:id="rId57"/>
          <w:footerReference w:type="default" r:id="rId58"/>
          <w:footnotePr>
            <w:pos w:val="beneathText"/>
          </w:footnotePr>
          <w:type w:val="continuous"/>
          <w:pgSz w:w="11907" w:h="16840" w:code="9"/>
          <w:pgMar w:top="1418" w:right="1100" w:bottom="1276" w:left="1100" w:header="567" w:footer="709" w:gutter="0"/>
          <w:cols w:num="2" w:space="709"/>
          <w:docGrid w:linePitch="272"/>
        </w:sectPr>
      </w:pPr>
    </w:p>
    <w:p w:rsidR="006B7141" w:rsidRDefault="006B7141">
      <w:pPr>
        <w:spacing w:after="0" w:line="240" w:lineRule="auto"/>
        <w:jc w:val="left"/>
        <w:rPr>
          <w:rFonts w:asciiTheme="minorHAnsi" w:hAnsiTheme="minorHAnsi"/>
          <w:b/>
        </w:rPr>
      </w:pPr>
      <w:r>
        <w:rPr>
          <w:rFonts w:asciiTheme="minorHAnsi" w:hAnsiTheme="minorHAnsi"/>
          <w:b/>
        </w:rPr>
        <w:lastRenderedPageBreak/>
        <w:br w:type="page"/>
      </w:r>
    </w:p>
    <w:p w:rsidR="00C641DD" w:rsidRDefault="00C641DD" w:rsidP="00C641DD">
      <w:pPr>
        <w:rPr>
          <w:rFonts w:asciiTheme="minorHAnsi" w:hAnsiTheme="minorHAnsi"/>
          <w:color w:val="003399"/>
          <w:sz w:val="28"/>
        </w:rPr>
      </w:pPr>
      <w:r w:rsidRPr="00587BCC">
        <w:rPr>
          <w:rFonts w:asciiTheme="minorHAnsi" w:hAnsiTheme="minorHAnsi"/>
          <w:b/>
        </w:rPr>
        <w:lastRenderedPageBreak/>
        <w:t>Table</w:t>
      </w:r>
      <w:r>
        <w:rPr>
          <w:rFonts w:asciiTheme="minorHAnsi" w:hAnsiTheme="minorHAnsi"/>
          <w:b/>
        </w:rPr>
        <w:t xml:space="preserve"> 3</w:t>
      </w:r>
      <w:r w:rsidRPr="00587BCC">
        <w:rPr>
          <w:rFonts w:asciiTheme="minorHAnsi" w:hAnsiTheme="minorHAnsi"/>
          <w:b/>
        </w:rPr>
        <w:t xml:space="preserve">: </w:t>
      </w:r>
      <w:r>
        <w:rPr>
          <w:rFonts w:asciiTheme="minorHAnsi" w:hAnsiTheme="minorHAnsi"/>
          <w:b/>
        </w:rPr>
        <w:t xml:space="preserve">Domestic economy forecasts </w:t>
      </w:r>
      <w:r w:rsidRPr="00C641DD">
        <w:rPr>
          <w:rFonts w:asciiTheme="minorHAnsi" w:hAnsiTheme="minorHAnsi"/>
          <w:b/>
          <w:sz w:val="16"/>
          <w:szCs w:val="16"/>
        </w:rPr>
        <w:t>(a)</w:t>
      </w:r>
    </w:p>
    <w:p w:rsidR="00874871" w:rsidRDefault="0005513B" w:rsidP="00563B3D">
      <w:pPr>
        <w:pStyle w:val="ChartGraphic0"/>
      </w:pPr>
      <w:r>
        <w:object w:dxaOrig="10404" w:dyaOrig="9194">
          <v:shape id="_x0000_i1042" type="#_x0000_t75" style="width:520.3pt;height:459.55pt" o:ole="">
            <v:imagedata r:id="rId59" o:title=""/>
          </v:shape>
          <o:OLEObject Type="Link" ProgID="Excel.SheetMacroEnabled.12" ShapeID="_x0000_i1042" DrawAspect="Content" r:id="rId60" UpdateMode="Always">
            <o:LinkType>EnhancedMetaFile</o:LinkType>
            <o:LockedField>false</o:LockedField>
          </o:OLEObject>
        </w:objec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Percentage change on preceding year unless otherwise indicated.</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Calculated using original data unless otherwise indicated.</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Chain volume measures except for nominal gross domestic product which is in current prices.</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Excluding second hand asset sales from the public sector to the private sector.</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 xml:space="preserve">Percentage point contribution to growth in GDP. </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Seasonally adjusted, through the year growth rate to the June quarter.</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Seasonally adjusted rate in the June quarter.</w:t>
      </w:r>
    </w:p>
    <w:p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Through the year growth rate to the June quarter.</w:t>
      </w:r>
    </w:p>
    <w:p w:rsidR="00F66A92" w:rsidRPr="00BA12CA" w:rsidRDefault="00F66A92" w:rsidP="00F66A92">
      <w:pPr>
        <w:pStyle w:val="ChartandTableFootnoteAlpha"/>
        <w:tabs>
          <w:tab w:val="clear" w:pos="283"/>
        </w:tabs>
        <w:spacing w:line="240" w:lineRule="auto"/>
        <w:ind w:left="0" w:firstLine="0"/>
        <w:rPr>
          <w:rFonts w:asciiTheme="minorHAnsi" w:hAnsiTheme="minorHAnsi"/>
          <w:kern w:val="2"/>
          <w:szCs w:val="16"/>
        </w:rPr>
      </w:pPr>
      <w:r w:rsidRPr="00BA12CA">
        <w:rPr>
          <w:rFonts w:asciiTheme="minorHAnsi" w:hAnsiTheme="minorHAnsi"/>
          <w:kern w:val="2"/>
          <w:szCs w:val="16"/>
        </w:rPr>
        <w:t>Note: The forecasts for the domestic economy are based on several technical assumptions. The exchange rate is assumed to remain around its recent average level — a trade</w:t>
      </w:r>
      <w:r w:rsidRPr="00BA12CA">
        <w:rPr>
          <w:rFonts w:asciiTheme="minorHAnsi" w:hAnsiTheme="minorHAnsi"/>
          <w:kern w:val="2"/>
          <w:szCs w:val="16"/>
        </w:rPr>
        <w:noBreakHyphen/>
        <w:t xml:space="preserve">weighted index of around </w:t>
      </w:r>
      <w:r w:rsidR="009E3E26" w:rsidRPr="00BA12CA">
        <w:rPr>
          <w:rFonts w:asciiTheme="minorHAnsi" w:hAnsiTheme="minorHAnsi"/>
          <w:kern w:val="2"/>
          <w:szCs w:val="16"/>
        </w:rPr>
        <w:t>69</w:t>
      </w:r>
      <w:r w:rsidRPr="00BA12CA">
        <w:rPr>
          <w:rFonts w:asciiTheme="minorHAnsi" w:hAnsiTheme="minorHAnsi"/>
          <w:kern w:val="2"/>
          <w:szCs w:val="16"/>
        </w:rPr>
        <w:t xml:space="preserve"> and a $US exchange rate of around </w:t>
      </w:r>
      <w:r w:rsidR="009E3E26" w:rsidRPr="00BA12CA">
        <w:rPr>
          <w:rFonts w:asciiTheme="minorHAnsi" w:hAnsiTheme="minorHAnsi"/>
          <w:kern w:val="2"/>
          <w:szCs w:val="16"/>
        </w:rPr>
        <w:t>90</w:t>
      </w:r>
      <w:r w:rsidRPr="00BA12CA">
        <w:rPr>
          <w:rFonts w:asciiTheme="minorHAnsi" w:hAnsiTheme="minorHAnsi"/>
          <w:kern w:val="2"/>
          <w:szCs w:val="16"/>
        </w:rPr>
        <w:t xml:space="preserve"> US cents. Interest rates are assumed to move broadly in line with market expectations. World oil prices (Malaysian Tapis) are assumed to remain around US$</w:t>
      </w:r>
      <w:r w:rsidR="009E3E26" w:rsidRPr="00BA12CA">
        <w:rPr>
          <w:rFonts w:asciiTheme="minorHAnsi" w:hAnsiTheme="minorHAnsi"/>
          <w:kern w:val="2"/>
          <w:szCs w:val="16"/>
        </w:rPr>
        <w:t>115</w:t>
      </w:r>
      <w:r w:rsidRPr="00BA12CA">
        <w:rPr>
          <w:rFonts w:asciiTheme="minorHAnsi" w:hAnsiTheme="minorHAnsi"/>
          <w:kern w:val="2"/>
          <w:szCs w:val="16"/>
        </w:rPr>
        <w:t> per barrel. The farm sector forecasts are based on an assumption of average seasonal conditions</w:t>
      </w:r>
      <w:r w:rsidR="00027C06" w:rsidRPr="00BA12CA">
        <w:rPr>
          <w:rFonts w:asciiTheme="minorHAnsi" w:hAnsiTheme="minorHAnsi"/>
          <w:kern w:val="2"/>
          <w:szCs w:val="16"/>
        </w:rPr>
        <w:t xml:space="preserve"> in 2014-15</w:t>
      </w:r>
      <w:r w:rsidRPr="00BA12CA">
        <w:rPr>
          <w:rFonts w:asciiTheme="minorHAnsi" w:hAnsiTheme="minorHAnsi"/>
          <w:kern w:val="2"/>
          <w:szCs w:val="16"/>
        </w:rPr>
        <w:t>.</w:t>
      </w:r>
    </w:p>
    <w:p w:rsidR="00C549A8" w:rsidRPr="00587BCC" w:rsidRDefault="00F66A92" w:rsidP="00F66A92">
      <w:pPr>
        <w:spacing w:after="0" w:line="240" w:lineRule="auto"/>
        <w:jc w:val="left"/>
        <w:rPr>
          <w:rFonts w:asciiTheme="minorHAnsi" w:eastAsiaTheme="minorHAnsi" w:hAnsiTheme="minorHAnsi" w:cstheme="minorBidi"/>
          <w:b/>
          <w:bCs/>
          <w:iCs/>
          <w:color w:val="003399"/>
          <w:sz w:val="16"/>
          <w:szCs w:val="16"/>
        </w:rPr>
      </w:pPr>
      <w:r w:rsidRPr="00BA12CA">
        <w:rPr>
          <w:rFonts w:asciiTheme="minorHAnsi" w:hAnsiTheme="minorHAnsi" w:cs="Arial"/>
          <w:kern w:val="2"/>
          <w:sz w:val="16"/>
          <w:szCs w:val="16"/>
        </w:rPr>
        <w:t>Source: ABS cat. no. 5206.0, 5302.0, 6202.0, 6345.0, 6401.0, unpublished ABS data and Treasury</w:t>
      </w:r>
      <w:r w:rsidR="00275E93" w:rsidRPr="00BA12CA">
        <w:rPr>
          <w:rFonts w:asciiTheme="minorHAnsi" w:hAnsiTheme="minorHAnsi" w:cs="Arial"/>
          <w:kern w:val="2"/>
          <w:sz w:val="16"/>
          <w:szCs w:val="16"/>
        </w:rPr>
        <w:t>.</w:t>
      </w:r>
      <w:r w:rsidR="00C549A8" w:rsidRPr="00587BCC">
        <w:rPr>
          <w:rFonts w:asciiTheme="minorHAnsi" w:hAnsiTheme="minorHAnsi"/>
          <w:i/>
          <w:color w:val="003399"/>
          <w:sz w:val="16"/>
          <w:szCs w:val="16"/>
        </w:rPr>
        <w:br w:type="page"/>
      </w:r>
    </w:p>
    <w:p w:rsidR="00C549A8" w:rsidRPr="00190E46" w:rsidRDefault="00C549A8" w:rsidP="00C549A8">
      <w:pPr>
        <w:pStyle w:val="IntenseQuote"/>
        <w:ind w:left="0"/>
        <w:rPr>
          <w:i w:val="0"/>
          <w:color w:val="0000FF"/>
          <w:sz w:val="28"/>
          <w:szCs w:val="24"/>
        </w:rPr>
      </w:pPr>
      <w:r w:rsidRPr="00190E46">
        <w:rPr>
          <w:i w:val="0"/>
          <w:color w:val="0000FF"/>
          <w:sz w:val="28"/>
          <w:szCs w:val="24"/>
        </w:rPr>
        <w:lastRenderedPageBreak/>
        <w:t>Appendix A – Confidence intervals</w:t>
      </w:r>
    </w:p>
    <w:p w:rsidR="00C549A8" w:rsidRPr="00587BCC" w:rsidRDefault="00C549A8" w:rsidP="00C549A8">
      <w:pPr>
        <w:pStyle w:val="Bullet"/>
        <w:numPr>
          <w:ilvl w:val="0"/>
          <w:numId w:val="0"/>
        </w:numPr>
        <w:spacing w:before="200" w:after="280" w:line="240" w:lineRule="auto"/>
        <w:jc w:val="left"/>
        <w:rPr>
          <w:rFonts w:asciiTheme="minorHAnsi" w:hAnsiTheme="minorHAnsi"/>
          <w:b/>
          <w:color w:val="003399"/>
          <w:sz w:val="24"/>
        </w:rPr>
        <w:sectPr w:rsidR="00C549A8" w:rsidRPr="00587BCC" w:rsidSect="00190E46">
          <w:type w:val="continuous"/>
          <w:pgSz w:w="11907" w:h="16840" w:code="9"/>
          <w:pgMar w:top="1418" w:right="1100" w:bottom="1134" w:left="1100" w:header="567" w:footer="709" w:gutter="0"/>
          <w:cols w:space="709"/>
          <w:docGrid w:linePitch="272"/>
        </w:sectPr>
      </w:pPr>
    </w:p>
    <w:p w:rsidR="00F66A92" w:rsidRPr="00E570BA" w:rsidRDefault="00F66A92" w:rsidP="00F66A92">
      <w:pPr>
        <w:rPr>
          <w:rFonts w:asciiTheme="minorHAnsi" w:hAnsiTheme="minorHAnsi"/>
          <w:szCs w:val="20"/>
        </w:rPr>
      </w:pPr>
      <w:r w:rsidRPr="00E570BA">
        <w:rPr>
          <w:rFonts w:asciiTheme="minorHAnsi" w:hAnsiTheme="minorHAnsi"/>
          <w:szCs w:val="20"/>
        </w:rPr>
        <w:lastRenderedPageBreak/>
        <w:t xml:space="preserve">At </w:t>
      </w:r>
      <w:r w:rsidR="008F1D30" w:rsidRPr="00E570BA">
        <w:rPr>
          <w:rFonts w:asciiTheme="minorHAnsi" w:hAnsiTheme="minorHAnsi"/>
          <w:szCs w:val="20"/>
        </w:rPr>
        <w:t>MYEFO</w:t>
      </w:r>
      <w:r w:rsidRPr="00E570BA">
        <w:rPr>
          <w:rFonts w:asciiTheme="minorHAnsi" w:hAnsiTheme="minorHAnsi"/>
          <w:szCs w:val="20"/>
        </w:rPr>
        <w:t xml:space="preserve">, confidence intervals around two key economic variables, real and nominal GDP, were </w:t>
      </w:r>
      <w:r w:rsidR="008F1D30" w:rsidRPr="00E570BA">
        <w:rPr>
          <w:rFonts w:asciiTheme="minorHAnsi" w:hAnsiTheme="minorHAnsi"/>
          <w:szCs w:val="20"/>
        </w:rPr>
        <w:t>reported</w:t>
      </w:r>
      <w:r w:rsidRPr="00E570BA">
        <w:rPr>
          <w:rFonts w:asciiTheme="minorHAnsi" w:hAnsiTheme="minorHAnsi"/>
          <w:szCs w:val="20"/>
        </w:rPr>
        <w:t xml:space="preserve"> to reflect the forecast uncertainty of Treasury’s estimates. </w:t>
      </w:r>
      <w:r w:rsidR="008F1D30" w:rsidRPr="00E570BA">
        <w:rPr>
          <w:rFonts w:asciiTheme="minorHAnsi" w:hAnsiTheme="minorHAnsi"/>
          <w:szCs w:val="20"/>
        </w:rPr>
        <w:t xml:space="preserve">This practice was first introduced at PEFO </w:t>
      </w:r>
      <w:r w:rsidRPr="00E570BA">
        <w:rPr>
          <w:rFonts w:asciiTheme="minorHAnsi" w:hAnsiTheme="minorHAnsi"/>
          <w:szCs w:val="20"/>
        </w:rPr>
        <w:t>to help convey to readers a better appreciation of the risks associated with the economic outlook and also improve the credibility and transparency of the forecasting process.</w:t>
      </w:r>
    </w:p>
    <w:p w:rsidR="00717ED3" w:rsidRDefault="00F66A92" w:rsidP="00F66A92">
      <w:pPr>
        <w:rPr>
          <w:rFonts w:asciiTheme="minorHAnsi" w:hAnsiTheme="minorHAnsi"/>
          <w:szCs w:val="20"/>
        </w:rPr>
      </w:pPr>
      <w:r w:rsidRPr="00E570BA">
        <w:rPr>
          <w:rFonts w:asciiTheme="minorHAnsi" w:hAnsiTheme="minorHAnsi"/>
          <w:szCs w:val="20"/>
        </w:rPr>
        <w:t xml:space="preserve">The degree of uncertainty around forecasts can be estimated based on past forecast errors. For GDP forecasts, confidence intervals can be presented around forecasts of annual growth rates or average annualised growth rates. While both measures have merit, providing a reasonable forecast of the level of GDP is important for fiscal variables. </w:t>
      </w:r>
      <w:r w:rsidR="008801A7" w:rsidRPr="008801A7">
        <w:rPr>
          <w:rFonts w:asciiTheme="minorHAnsi" w:hAnsiTheme="minorHAnsi"/>
          <w:szCs w:val="20"/>
        </w:rPr>
        <w:t>For this purpose, the average annualised growth rate is a better summary statistic, since the level of GDP depends</w:t>
      </w:r>
      <w:r w:rsidR="008801A7">
        <w:rPr>
          <w:rFonts w:asciiTheme="minorHAnsi" w:hAnsiTheme="minorHAnsi"/>
          <w:szCs w:val="20"/>
        </w:rPr>
        <w:t xml:space="preserve"> on cumulative growth over time</w:t>
      </w:r>
      <w:r w:rsidR="004A290A" w:rsidRPr="00E570BA">
        <w:rPr>
          <w:rFonts w:asciiTheme="minorHAnsi" w:hAnsiTheme="minorHAnsi"/>
          <w:szCs w:val="20"/>
        </w:rPr>
        <w:t>. The average annualised growth rate is reported as it captures the effects of cumulative growth, while still giving a sense of what the annual growth rate would be.</w:t>
      </w:r>
      <w:r w:rsidRPr="00E570BA">
        <w:rPr>
          <w:rFonts w:asciiTheme="minorHAnsi" w:hAnsiTheme="minorHAnsi"/>
          <w:szCs w:val="20"/>
        </w:rPr>
        <w:t xml:space="preserve"> </w:t>
      </w: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717ED3" w:rsidRDefault="00717ED3" w:rsidP="00F66A92">
      <w:pPr>
        <w:rPr>
          <w:rFonts w:asciiTheme="minorHAnsi" w:hAnsiTheme="minorHAnsi"/>
          <w:szCs w:val="20"/>
        </w:rPr>
      </w:pPr>
    </w:p>
    <w:p w:rsidR="00F66A92" w:rsidRPr="00E570BA" w:rsidRDefault="00F66A92" w:rsidP="00F66A92">
      <w:pPr>
        <w:rPr>
          <w:rFonts w:asciiTheme="minorHAnsi" w:hAnsiTheme="minorHAnsi"/>
          <w:szCs w:val="20"/>
        </w:rPr>
      </w:pPr>
      <w:r w:rsidRPr="00E570BA">
        <w:rPr>
          <w:rFonts w:asciiTheme="minorHAnsi" w:hAnsiTheme="minorHAnsi"/>
          <w:szCs w:val="20"/>
        </w:rPr>
        <w:lastRenderedPageBreak/>
        <w:t>For a hypothetical example, if GDP is forecast to grow by 2 per cent in one year and 5 per cent in the next, the level of GDP will be forecast to be roughly 7 per cent higher after two years. This is more effectively summarised by the 3½ per cent average annualised growth rate over the two years than by the two separate annual growth rates.</w:t>
      </w:r>
    </w:p>
    <w:p w:rsidR="00820182" w:rsidRPr="00E570BA" w:rsidRDefault="00F66A92" w:rsidP="00F66A92">
      <w:pPr>
        <w:rPr>
          <w:rFonts w:asciiTheme="minorHAnsi" w:hAnsiTheme="minorHAnsi"/>
          <w:szCs w:val="20"/>
        </w:rPr>
      </w:pPr>
      <w:r w:rsidRPr="00E570BA">
        <w:rPr>
          <w:rFonts w:asciiTheme="minorHAnsi" w:hAnsiTheme="minorHAnsi"/>
          <w:szCs w:val="20"/>
        </w:rPr>
        <w:t xml:space="preserve">The confidence intervals in the </w:t>
      </w:r>
      <w:r w:rsidR="002666A0" w:rsidRPr="00E570BA">
        <w:rPr>
          <w:rFonts w:asciiTheme="minorHAnsi" w:hAnsiTheme="minorHAnsi"/>
          <w:szCs w:val="20"/>
        </w:rPr>
        <w:t>March</w:t>
      </w:r>
      <w:r w:rsidRPr="00E570BA">
        <w:rPr>
          <w:rFonts w:asciiTheme="minorHAnsi" w:hAnsiTheme="minorHAnsi"/>
          <w:szCs w:val="20"/>
        </w:rPr>
        <w:t xml:space="preserve"> JEFG</w:t>
      </w:r>
      <w:r w:rsidR="002666A0" w:rsidRPr="00E570BA">
        <w:rPr>
          <w:rFonts w:asciiTheme="minorHAnsi" w:hAnsiTheme="minorHAnsi"/>
          <w:szCs w:val="20"/>
        </w:rPr>
        <w:t xml:space="preserve"> report</w:t>
      </w:r>
      <w:r w:rsidRPr="00E570BA">
        <w:rPr>
          <w:rFonts w:asciiTheme="minorHAnsi" w:hAnsiTheme="minorHAnsi"/>
          <w:szCs w:val="20"/>
        </w:rPr>
        <w:t xml:space="preserve"> are derived from forecast errors based on budget forecasts from the 1998-99 Budget onwards, with outcomes based on the </w:t>
      </w:r>
      <w:r w:rsidR="00C3280F" w:rsidRPr="00E570BA">
        <w:rPr>
          <w:rFonts w:asciiTheme="minorHAnsi" w:hAnsiTheme="minorHAnsi"/>
          <w:szCs w:val="20"/>
        </w:rPr>
        <w:t xml:space="preserve">December </w:t>
      </w:r>
      <w:r w:rsidRPr="00E570BA">
        <w:rPr>
          <w:rFonts w:asciiTheme="minorHAnsi" w:hAnsiTheme="minorHAnsi"/>
          <w:szCs w:val="20"/>
        </w:rPr>
        <w:t xml:space="preserve">quarter 2013 National Accounts. </w:t>
      </w:r>
      <w:r w:rsidR="00DD00E3" w:rsidRPr="00E570BA">
        <w:rPr>
          <w:rFonts w:asciiTheme="minorHAnsi" w:hAnsiTheme="minorHAnsi"/>
          <w:szCs w:val="20"/>
        </w:rPr>
        <w:t xml:space="preserve">Forecast errors are calculated using the root mean square error of </w:t>
      </w:r>
      <w:r w:rsidR="00B46BF9" w:rsidRPr="00E570BA">
        <w:rPr>
          <w:rFonts w:asciiTheme="minorHAnsi" w:hAnsiTheme="minorHAnsi"/>
          <w:szCs w:val="20"/>
        </w:rPr>
        <w:t>forecast</w:t>
      </w:r>
      <w:r w:rsidR="00DD00E3" w:rsidRPr="00E570BA">
        <w:rPr>
          <w:rFonts w:asciiTheme="minorHAnsi" w:hAnsiTheme="minorHAnsi"/>
          <w:szCs w:val="20"/>
        </w:rPr>
        <w:t xml:space="preserve"> percentage growth rate</w:t>
      </w:r>
      <w:r w:rsidR="00304C83">
        <w:rPr>
          <w:rFonts w:asciiTheme="minorHAnsi" w:hAnsiTheme="minorHAnsi"/>
          <w:szCs w:val="20"/>
        </w:rPr>
        <w:t>s</w:t>
      </w:r>
      <w:r w:rsidR="00DD00E3" w:rsidRPr="00E570BA">
        <w:rPr>
          <w:rFonts w:asciiTheme="minorHAnsi" w:hAnsiTheme="minorHAnsi"/>
          <w:szCs w:val="20"/>
        </w:rPr>
        <w:t xml:space="preserve">. </w:t>
      </w:r>
    </w:p>
    <w:p w:rsidR="00F66A92" w:rsidRPr="00F33530" w:rsidRDefault="00F66A92" w:rsidP="00F66A92">
      <w:pPr>
        <w:rPr>
          <w:rFonts w:asciiTheme="minorHAnsi" w:hAnsiTheme="minorHAnsi"/>
          <w:szCs w:val="20"/>
        </w:rPr>
      </w:pPr>
      <w:r w:rsidRPr="00E570BA">
        <w:rPr>
          <w:rFonts w:asciiTheme="minorHAnsi" w:hAnsiTheme="minorHAnsi"/>
          <w:szCs w:val="20"/>
        </w:rPr>
        <w:t xml:space="preserve">In the charts, the central line shows the outcomes and </w:t>
      </w:r>
      <w:r w:rsidR="002666A0" w:rsidRPr="00E570BA">
        <w:rPr>
          <w:rFonts w:asciiTheme="minorHAnsi" w:hAnsiTheme="minorHAnsi"/>
          <w:szCs w:val="20"/>
        </w:rPr>
        <w:t xml:space="preserve">March </w:t>
      </w:r>
      <w:r w:rsidRPr="00E570BA">
        <w:rPr>
          <w:rFonts w:asciiTheme="minorHAnsi" w:hAnsiTheme="minorHAnsi"/>
          <w:szCs w:val="20"/>
        </w:rPr>
        <w:t xml:space="preserve">JEFG forecasts with annual growth reported for outcomes and annualised average growth rates from 2012-13 reported from 2013-14 onwards. </w:t>
      </w:r>
    </w:p>
    <w:p w:rsidR="00F66A92" w:rsidRDefault="00F66A92" w:rsidP="00F66A92">
      <w:pPr>
        <w:rPr>
          <w:rFonts w:asciiTheme="minorHAnsi" w:hAnsiTheme="minorHAnsi"/>
          <w:szCs w:val="20"/>
        </w:rPr>
      </w:pPr>
    </w:p>
    <w:p w:rsidR="00843A5C" w:rsidRDefault="00843A5C" w:rsidP="00F66A92">
      <w:pPr>
        <w:rPr>
          <w:rFonts w:asciiTheme="minorHAnsi" w:hAnsiTheme="minorHAnsi"/>
          <w:szCs w:val="20"/>
        </w:rPr>
      </w:pPr>
    </w:p>
    <w:p w:rsidR="00843A5C" w:rsidRDefault="00843A5C" w:rsidP="00F66A92">
      <w:pPr>
        <w:rPr>
          <w:rFonts w:asciiTheme="minorHAnsi" w:hAnsiTheme="minorHAnsi"/>
          <w:szCs w:val="20"/>
        </w:rPr>
      </w:pPr>
    </w:p>
    <w:p w:rsidR="00843A5C" w:rsidRDefault="00843A5C" w:rsidP="00F66A92">
      <w:pPr>
        <w:rPr>
          <w:rFonts w:asciiTheme="minorHAnsi" w:hAnsiTheme="minorHAnsi"/>
          <w:szCs w:val="20"/>
        </w:rPr>
      </w:pPr>
    </w:p>
    <w:p w:rsidR="00843A5C" w:rsidRDefault="00843A5C"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553DAC">
      <w:pPr>
        <w:pStyle w:val="IntenseQuote"/>
        <w:spacing w:line="260" w:lineRule="exact"/>
        <w:ind w:left="0"/>
        <w:rPr>
          <w:i w:val="0"/>
          <w:color w:val="003399"/>
          <w:sz w:val="28"/>
          <w:szCs w:val="24"/>
        </w:rPr>
        <w:sectPr w:rsidR="00C92C0C" w:rsidSect="00C92C0C">
          <w:type w:val="continuous"/>
          <w:pgSz w:w="11907" w:h="16840" w:code="9"/>
          <w:pgMar w:top="1418" w:right="1100" w:bottom="1418" w:left="1100" w:header="567" w:footer="709" w:gutter="0"/>
          <w:cols w:num="2" w:space="709"/>
          <w:docGrid w:linePitch="272"/>
        </w:sectPr>
      </w:pPr>
    </w:p>
    <w:p w:rsidR="0077790C" w:rsidRPr="00C92C0C" w:rsidRDefault="0077790C" w:rsidP="00553DAC">
      <w:pPr>
        <w:pStyle w:val="IntenseQuote"/>
        <w:spacing w:line="260" w:lineRule="exact"/>
        <w:ind w:left="0"/>
        <w:rPr>
          <w:i w:val="0"/>
          <w:color w:val="0000FF"/>
          <w:sz w:val="28"/>
          <w:szCs w:val="24"/>
        </w:rPr>
      </w:pPr>
      <w:r w:rsidRPr="00C92C0C">
        <w:rPr>
          <w:i w:val="0"/>
          <w:color w:val="0000FF"/>
          <w:sz w:val="28"/>
          <w:szCs w:val="24"/>
        </w:rPr>
        <w:lastRenderedPageBreak/>
        <w:t xml:space="preserve">Appendix </w:t>
      </w:r>
      <w:r w:rsidR="00C549A8" w:rsidRPr="00C92C0C">
        <w:rPr>
          <w:i w:val="0"/>
          <w:color w:val="0000FF"/>
          <w:sz w:val="28"/>
          <w:szCs w:val="24"/>
        </w:rPr>
        <w:t xml:space="preserve">B </w:t>
      </w:r>
      <w:r w:rsidRPr="00C92C0C">
        <w:rPr>
          <w:i w:val="0"/>
          <w:color w:val="0000FF"/>
          <w:sz w:val="28"/>
          <w:szCs w:val="24"/>
        </w:rPr>
        <w:t xml:space="preserve">– </w:t>
      </w:r>
      <w:r w:rsidR="007B17C2" w:rsidRPr="00C92C0C">
        <w:rPr>
          <w:i w:val="0"/>
          <w:color w:val="0000FF"/>
          <w:sz w:val="28"/>
          <w:szCs w:val="24"/>
        </w:rPr>
        <w:t>F</w:t>
      </w:r>
      <w:r w:rsidRPr="00C92C0C">
        <w:rPr>
          <w:i w:val="0"/>
          <w:color w:val="0000FF"/>
          <w:sz w:val="28"/>
          <w:szCs w:val="24"/>
        </w:rPr>
        <w:t>orecast comparison</w:t>
      </w:r>
    </w:p>
    <w:p w:rsidR="0077790C" w:rsidRPr="00C92C0C" w:rsidRDefault="0077790C" w:rsidP="00124E19">
      <w:pPr>
        <w:pStyle w:val="Bullet"/>
        <w:numPr>
          <w:ilvl w:val="0"/>
          <w:numId w:val="0"/>
        </w:numPr>
        <w:spacing w:before="200" w:after="280" w:line="240" w:lineRule="auto"/>
        <w:jc w:val="left"/>
        <w:rPr>
          <w:rFonts w:asciiTheme="minorHAnsi" w:hAnsiTheme="minorHAnsi"/>
          <w:b/>
          <w:color w:val="0000FF"/>
          <w:sz w:val="24"/>
        </w:rPr>
        <w:sectPr w:rsidR="0077790C" w:rsidRPr="00C92C0C" w:rsidSect="0077790C">
          <w:type w:val="continuous"/>
          <w:pgSz w:w="11907" w:h="16840" w:code="9"/>
          <w:pgMar w:top="1418" w:right="1100" w:bottom="1418" w:left="1100" w:header="567" w:footer="709" w:gutter="0"/>
          <w:cols w:space="709"/>
          <w:docGrid w:linePitch="272"/>
        </w:sectPr>
      </w:pPr>
    </w:p>
    <w:p w:rsidR="00C04BC4" w:rsidRPr="00C92C0C" w:rsidRDefault="00380524" w:rsidP="00124E19">
      <w:pPr>
        <w:pStyle w:val="Bullet"/>
        <w:numPr>
          <w:ilvl w:val="0"/>
          <w:numId w:val="0"/>
        </w:numPr>
        <w:spacing w:line="240" w:lineRule="auto"/>
        <w:jc w:val="left"/>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Real GD</w:t>
      </w:r>
      <w:r w:rsidR="0077790C" w:rsidRPr="00C92C0C">
        <w:rPr>
          <w:rFonts w:asciiTheme="minorHAnsi" w:eastAsiaTheme="minorHAnsi" w:hAnsiTheme="minorHAnsi"/>
          <w:b/>
          <w:color w:val="0000FF"/>
          <w:sz w:val="24"/>
        </w:rPr>
        <w:t xml:space="preserve">P forecasts </w:t>
      </w:r>
      <w:r w:rsidR="001B1928">
        <w:rPr>
          <w:rFonts w:asciiTheme="minorHAnsi" w:eastAsiaTheme="minorHAnsi" w:hAnsiTheme="minorHAnsi"/>
          <w:b/>
          <w:color w:val="0000FF"/>
          <w:sz w:val="24"/>
        </w:rPr>
        <w:t>slightly below</w:t>
      </w:r>
      <w:r w:rsidR="007B17C2" w:rsidRPr="00C92C0C">
        <w:rPr>
          <w:rFonts w:asciiTheme="minorHAnsi" w:eastAsiaTheme="minorHAnsi" w:hAnsiTheme="minorHAnsi"/>
          <w:b/>
          <w:color w:val="0000FF"/>
          <w:sz w:val="24"/>
        </w:rPr>
        <w:t xml:space="preserve"> consensus</w:t>
      </w:r>
      <w:r w:rsidR="001B1928">
        <w:rPr>
          <w:rFonts w:asciiTheme="minorHAnsi" w:eastAsiaTheme="minorHAnsi" w:hAnsiTheme="minorHAnsi"/>
          <w:b/>
          <w:color w:val="0000FF"/>
          <w:sz w:val="24"/>
        </w:rPr>
        <w:t>,</w:t>
      </w:r>
      <w:r w:rsidR="007B17C2" w:rsidRPr="00C92C0C">
        <w:rPr>
          <w:rFonts w:asciiTheme="minorHAnsi" w:eastAsiaTheme="minorHAnsi" w:hAnsiTheme="minorHAnsi"/>
          <w:b/>
          <w:color w:val="0000FF"/>
          <w:sz w:val="24"/>
        </w:rPr>
        <w:t>…</w:t>
      </w:r>
    </w:p>
    <w:p w:rsidR="004E5763" w:rsidRPr="00587BCC"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Pr="00587BCC">
        <w:rPr>
          <w:rFonts w:asciiTheme="minorHAnsi" w:hAnsiTheme="minorHAnsi"/>
          <w:b/>
        </w:rPr>
        <w:t xml:space="preserve">: Consensus real GDP forecasts for </w:t>
      </w:r>
      <w:r w:rsidR="009F5663" w:rsidRPr="00587BCC">
        <w:rPr>
          <w:rFonts w:asciiTheme="minorHAnsi" w:hAnsiTheme="minorHAnsi"/>
          <w:b/>
        </w:rPr>
        <w:t xml:space="preserve">calendar year </w:t>
      </w:r>
      <w:r w:rsidRPr="00587BCC">
        <w:rPr>
          <w:rFonts w:asciiTheme="minorHAnsi" w:hAnsiTheme="minorHAnsi"/>
          <w:b/>
        </w:rPr>
        <w:t>201</w:t>
      </w:r>
      <w:r w:rsidR="004E3EE9">
        <w:rPr>
          <w:rFonts w:asciiTheme="minorHAnsi" w:hAnsiTheme="minorHAnsi"/>
          <w:b/>
        </w:rPr>
        <w:t>4</w:t>
      </w:r>
    </w:p>
    <w:p w:rsidR="004E3EE9" w:rsidRDefault="00821A63" w:rsidP="004E3EE9">
      <w:pPr>
        <w:pStyle w:val="TableGraphic0"/>
      </w:pPr>
      <w:r>
        <w:object w:dxaOrig="4530" w:dyaOrig="4530">
          <v:shape id="_x0000_i1043" type="#_x0000_t75" style="width:226.65pt;height:226.65pt" o:ole="">
            <v:imagedata r:id="rId61" o:title=""/>
          </v:shape>
          <o:OLEObject Type="Link" ProgID="Excel.Sheet.12" ShapeID="_x0000_i1043" DrawAspect="Content" r:id="rId62" UpdateMode="Always">
            <o:LinkType>EnhancedMetaFile</o:LinkType>
            <o:LockedField>false</o:LockedField>
            <o:FieldCodes>\* MERGEFORMAT</o:FieldCodes>
          </o:OLEObject>
        </w:object>
      </w:r>
    </w:p>
    <w:p w:rsidR="00E70312" w:rsidRPr="00587BCC" w:rsidRDefault="00E70312" w:rsidP="00835484">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Consensus forecasts. Centre line represents Consensus me</w:t>
      </w:r>
      <w:r w:rsidR="009F5663" w:rsidRPr="00587BCC">
        <w:rPr>
          <w:rFonts w:asciiTheme="minorHAnsi" w:hAnsiTheme="minorHAnsi"/>
          <w:color w:val="auto"/>
          <w:kern w:val="2"/>
          <w:sz w:val="16"/>
        </w:rPr>
        <w:t>a</w:t>
      </w:r>
      <w:r w:rsidRPr="00587BCC">
        <w:rPr>
          <w:rFonts w:asciiTheme="minorHAnsi" w:hAnsiTheme="minorHAnsi"/>
          <w:color w:val="auto"/>
          <w:kern w:val="2"/>
          <w:sz w:val="16"/>
        </w:rPr>
        <w:t>n forecast.</w:t>
      </w:r>
    </w:p>
    <w:p w:rsidR="007F380C" w:rsidRDefault="004E5763" w:rsidP="006A7558">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6D7F75">
        <w:rPr>
          <w:rFonts w:asciiTheme="minorHAnsi" w:hAnsiTheme="minorHAnsi" w:cs="Arial"/>
          <w:kern w:val="2"/>
          <w:sz w:val="16"/>
        </w:rPr>
        <w:t xml:space="preserve">Bloomberg </w:t>
      </w:r>
      <w:r w:rsidRPr="00587BCC">
        <w:rPr>
          <w:rFonts w:asciiTheme="minorHAnsi" w:hAnsiTheme="minorHAnsi" w:cs="Arial"/>
          <w:kern w:val="2"/>
          <w:sz w:val="16"/>
        </w:rPr>
        <w:t>and Treasury.</w:t>
      </w:r>
    </w:p>
    <w:p w:rsidR="000C0BA8" w:rsidRDefault="000C0BA8" w:rsidP="004E5763">
      <w:pPr>
        <w:keepNext/>
        <w:autoSpaceDE w:val="0"/>
        <w:autoSpaceDN w:val="0"/>
        <w:spacing w:after="0"/>
        <w:jc w:val="center"/>
        <w:rPr>
          <w:rFonts w:asciiTheme="minorHAnsi" w:hAnsiTheme="minorHAnsi"/>
          <w:b/>
        </w:rPr>
      </w:pPr>
    </w:p>
    <w:p w:rsidR="004E5763" w:rsidRPr="00587BCC"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2</w:t>
      </w:r>
      <w:r w:rsidRPr="00587BCC">
        <w:rPr>
          <w:rFonts w:asciiTheme="minorHAnsi" w:hAnsiTheme="minorHAnsi"/>
          <w:b/>
        </w:rPr>
        <w:t xml:space="preserve">: Consensus real GDP forecasts for </w:t>
      </w:r>
      <w:r w:rsidR="009F5663" w:rsidRPr="00587BCC">
        <w:rPr>
          <w:rFonts w:asciiTheme="minorHAnsi" w:hAnsiTheme="minorHAnsi"/>
          <w:b/>
        </w:rPr>
        <w:t xml:space="preserve">calendar year </w:t>
      </w:r>
      <w:r w:rsidRPr="00587BCC">
        <w:rPr>
          <w:rFonts w:asciiTheme="minorHAnsi" w:hAnsiTheme="minorHAnsi"/>
          <w:b/>
        </w:rPr>
        <w:t>201</w:t>
      </w:r>
      <w:r w:rsidR="004E3EE9">
        <w:rPr>
          <w:rFonts w:asciiTheme="minorHAnsi" w:hAnsiTheme="minorHAnsi"/>
          <w:b/>
        </w:rPr>
        <w:t>5</w:t>
      </w:r>
    </w:p>
    <w:p w:rsidR="004E3EE9" w:rsidRDefault="00821A63" w:rsidP="004E3EE9">
      <w:pPr>
        <w:pStyle w:val="TableGraphic0"/>
        <w:jc w:val="center"/>
      </w:pPr>
      <w:r>
        <w:object w:dxaOrig="4516" w:dyaOrig="4515">
          <v:shape id="_x0000_i1044" type="#_x0000_t75" style="width:226pt;height:226pt" o:ole="">
            <v:imagedata r:id="rId63" o:title=""/>
          </v:shape>
          <o:OLEObject Type="Link" ProgID="Excel.Sheet.12" ShapeID="_x0000_i1044" DrawAspect="Content" r:id="rId64" UpdateMode="Always">
            <o:LinkType>EnhancedMetaFile</o:LinkType>
            <o:LockedField>false</o:LockedField>
            <o:FieldCodes>\* MERGEFORMAT</o:FieldCodes>
          </o:OLEObject>
        </w:object>
      </w:r>
    </w:p>
    <w:p w:rsidR="00E70312" w:rsidRPr="00587BCC" w:rsidRDefault="00E70312" w:rsidP="00835484">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Consensus forecasts. Centre line represents Consensus mean forecast.</w:t>
      </w:r>
    </w:p>
    <w:p w:rsidR="006D7F75" w:rsidRDefault="006D7F75" w:rsidP="006D7F75">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Pr>
          <w:rFonts w:asciiTheme="minorHAnsi" w:hAnsiTheme="minorHAnsi" w:cs="Arial"/>
          <w:kern w:val="2"/>
          <w:sz w:val="16"/>
        </w:rPr>
        <w:t xml:space="preserve">Bloomberg </w:t>
      </w:r>
      <w:r w:rsidRPr="00587BCC">
        <w:rPr>
          <w:rFonts w:asciiTheme="minorHAnsi" w:hAnsiTheme="minorHAnsi" w:cs="Arial"/>
          <w:kern w:val="2"/>
          <w:sz w:val="16"/>
        </w:rPr>
        <w:t>and Treasury.</w:t>
      </w:r>
    </w:p>
    <w:p w:rsidR="000C7500" w:rsidRPr="00C92C0C" w:rsidRDefault="007B17C2" w:rsidP="00124E19">
      <w:pPr>
        <w:pStyle w:val="Bulle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 the forecast u</w:t>
      </w:r>
      <w:r w:rsidR="000C7500" w:rsidRPr="00C92C0C">
        <w:rPr>
          <w:rFonts w:asciiTheme="minorHAnsi" w:eastAsiaTheme="minorHAnsi" w:hAnsiTheme="minorHAnsi"/>
          <w:b/>
          <w:color w:val="0000FF"/>
          <w:sz w:val="24"/>
        </w:rPr>
        <w:t xml:space="preserve">nemployment rate </w:t>
      </w:r>
      <w:r w:rsidR="00BF6A01" w:rsidRPr="00C92C0C">
        <w:rPr>
          <w:rFonts w:asciiTheme="minorHAnsi" w:eastAsiaTheme="minorHAnsi" w:hAnsiTheme="minorHAnsi"/>
          <w:b/>
          <w:color w:val="0000FF"/>
          <w:sz w:val="24"/>
        </w:rPr>
        <w:t xml:space="preserve">is </w:t>
      </w:r>
      <w:r w:rsidR="001B1928">
        <w:rPr>
          <w:rFonts w:asciiTheme="minorHAnsi" w:eastAsiaTheme="minorHAnsi" w:hAnsiTheme="minorHAnsi"/>
          <w:b/>
          <w:color w:val="0000FF"/>
          <w:sz w:val="24"/>
        </w:rPr>
        <w:t xml:space="preserve">above </w:t>
      </w:r>
      <w:r w:rsidR="00760345">
        <w:rPr>
          <w:rFonts w:asciiTheme="minorHAnsi" w:eastAsiaTheme="minorHAnsi" w:hAnsiTheme="minorHAnsi"/>
          <w:b/>
          <w:color w:val="0000FF"/>
          <w:sz w:val="24"/>
        </w:rPr>
        <w:t xml:space="preserve">median </w:t>
      </w:r>
      <w:r w:rsidR="001B1928">
        <w:rPr>
          <w:rFonts w:asciiTheme="minorHAnsi" w:eastAsiaTheme="minorHAnsi" w:hAnsiTheme="minorHAnsi"/>
          <w:b/>
          <w:color w:val="0000FF"/>
          <w:sz w:val="24"/>
        </w:rPr>
        <w:t>consensus in 2015</w:t>
      </w:r>
      <w:r w:rsidR="00BF6A01" w:rsidRPr="00C92C0C">
        <w:rPr>
          <w:rFonts w:asciiTheme="minorHAnsi" w:eastAsiaTheme="minorHAnsi" w:hAnsiTheme="minorHAnsi"/>
          <w:b/>
          <w:color w:val="0000FF"/>
          <w:sz w:val="24"/>
        </w:rPr>
        <w:t>…</w:t>
      </w:r>
    </w:p>
    <w:p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3</w:t>
      </w:r>
      <w:r w:rsidRPr="00587BCC">
        <w:rPr>
          <w:rFonts w:asciiTheme="minorHAnsi" w:hAnsiTheme="minorHAnsi"/>
          <w:b/>
        </w:rPr>
        <w:t xml:space="preserve">: Consensus unemployment rate forecasts for </w:t>
      </w:r>
      <w:r w:rsidR="009F5663" w:rsidRPr="00587BCC">
        <w:rPr>
          <w:rFonts w:asciiTheme="minorHAnsi" w:hAnsiTheme="minorHAnsi"/>
          <w:b/>
        </w:rPr>
        <w:t xml:space="preserve">calendar year </w:t>
      </w:r>
      <w:r w:rsidRPr="00587BCC">
        <w:rPr>
          <w:rFonts w:asciiTheme="minorHAnsi" w:hAnsiTheme="minorHAnsi"/>
          <w:b/>
        </w:rPr>
        <w:t>201</w:t>
      </w:r>
      <w:r w:rsidR="004E3EE9">
        <w:rPr>
          <w:rFonts w:asciiTheme="minorHAnsi" w:hAnsiTheme="minorHAnsi"/>
          <w:b/>
        </w:rPr>
        <w:t>4</w:t>
      </w:r>
    </w:p>
    <w:p w:rsidR="004E3EE9" w:rsidRDefault="00821A63" w:rsidP="004E3EE9">
      <w:pPr>
        <w:pStyle w:val="TableGraphic0"/>
        <w:jc w:val="center"/>
      </w:pPr>
      <w:r>
        <w:object w:dxaOrig="4516" w:dyaOrig="4515">
          <v:shape id="_x0000_i1045" type="#_x0000_t75" style="width:226pt;height:226pt" o:ole="">
            <v:imagedata r:id="rId65" o:title=""/>
          </v:shape>
          <o:OLEObject Type="Link" ProgID="Excel.Sheet.12" ShapeID="_x0000_i1045" DrawAspect="Content" r:id="rId66" UpdateMode="Always">
            <o:LinkType>EnhancedMetaFile</o:LinkType>
            <o:LockedField>false</o:LockedField>
            <o:FieldCodes>\* MERGEFORMAT</o:FieldCodes>
          </o:OLEObject>
        </w:object>
      </w:r>
    </w:p>
    <w:p w:rsidR="006A7558" w:rsidRPr="00587BCC" w:rsidRDefault="006A7558" w:rsidP="006A7558">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Consensus forecasts. Centre line represents Consensus me</w:t>
      </w:r>
      <w:r w:rsidR="009F5663" w:rsidRPr="00587BCC">
        <w:rPr>
          <w:rFonts w:asciiTheme="minorHAnsi" w:hAnsiTheme="minorHAnsi"/>
          <w:color w:val="auto"/>
          <w:kern w:val="2"/>
          <w:sz w:val="16"/>
        </w:rPr>
        <w:t>a</w:t>
      </w:r>
      <w:r w:rsidRPr="00587BCC">
        <w:rPr>
          <w:rFonts w:asciiTheme="minorHAnsi" w:hAnsiTheme="minorHAnsi"/>
          <w:color w:val="auto"/>
          <w:kern w:val="2"/>
          <w:sz w:val="16"/>
        </w:rPr>
        <w:t>n forecast.</w:t>
      </w:r>
    </w:p>
    <w:p w:rsidR="006D7F75" w:rsidRDefault="006D7F75" w:rsidP="006D7F75">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Pr>
          <w:rFonts w:asciiTheme="minorHAnsi" w:hAnsiTheme="minorHAnsi" w:cs="Arial"/>
          <w:kern w:val="2"/>
          <w:sz w:val="16"/>
        </w:rPr>
        <w:t xml:space="preserve">Bloomberg </w:t>
      </w:r>
      <w:r w:rsidRPr="00587BCC">
        <w:rPr>
          <w:rFonts w:asciiTheme="minorHAnsi" w:hAnsiTheme="minorHAnsi" w:cs="Arial"/>
          <w:kern w:val="2"/>
          <w:sz w:val="16"/>
        </w:rPr>
        <w:t>and Treasury.</w:t>
      </w:r>
    </w:p>
    <w:p w:rsidR="000C0BA8" w:rsidRDefault="000C0BA8" w:rsidP="006A7558">
      <w:pPr>
        <w:keepNext/>
        <w:autoSpaceDE w:val="0"/>
        <w:autoSpaceDN w:val="0"/>
        <w:spacing w:after="0"/>
        <w:jc w:val="center"/>
        <w:rPr>
          <w:rFonts w:asciiTheme="minorHAnsi" w:hAnsiTheme="minorHAnsi"/>
          <w:b/>
        </w:rPr>
      </w:pPr>
    </w:p>
    <w:p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4</w:t>
      </w:r>
      <w:r w:rsidRPr="00587BCC">
        <w:rPr>
          <w:rFonts w:asciiTheme="minorHAnsi" w:hAnsiTheme="minorHAnsi"/>
          <w:b/>
        </w:rPr>
        <w:t>: Consensus unemployment rate forecasts for</w:t>
      </w:r>
      <w:r w:rsidR="009F5663" w:rsidRPr="00587BCC">
        <w:rPr>
          <w:rFonts w:asciiTheme="minorHAnsi" w:hAnsiTheme="minorHAnsi"/>
          <w:b/>
        </w:rPr>
        <w:t xml:space="preserve"> calendar year</w:t>
      </w:r>
      <w:r w:rsidRPr="00587BCC">
        <w:rPr>
          <w:rFonts w:asciiTheme="minorHAnsi" w:hAnsiTheme="minorHAnsi"/>
          <w:b/>
        </w:rPr>
        <w:t xml:space="preserve"> 201</w:t>
      </w:r>
      <w:r w:rsidR="004E3EE9">
        <w:rPr>
          <w:rFonts w:asciiTheme="minorHAnsi" w:hAnsiTheme="minorHAnsi"/>
          <w:b/>
        </w:rPr>
        <w:t>5</w:t>
      </w:r>
    </w:p>
    <w:p w:rsidR="004E3EE9" w:rsidRDefault="00821A63" w:rsidP="004E3EE9">
      <w:pPr>
        <w:pStyle w:val="TableGraphic0"/>
        <w:jc w:val="center"/>
      </w:pPr>
      <w:r>
        <w:object w:dxaOrig="4516" w:dyaOrig="4515">
          <v:shape id="_x0000_i1046" type="#_x0000_t75" style="width:226pt;height:226pt" o:ole="">
            <v:imagedata r:id="rId67" o:title=""/>
          </v:shape>
          <o:OLEObject Type="Link" ProgID="Excel.Sheet.12" ShapeID="_x0000_i1046" DrawAspect="Content" r:id="rId68" UpdateMode="Always">
            <o:LinkType>EnhancedMetaFile</o:LinkType>
            <o:LockedField>false</o:LockedField>
            <o:FieldCodes>\* MERGEFORMAT</o:FieldCodes>
          </o:OLEObject>
        </w:object>
      </w:r>
    </w:p>
    <w:p w:rsidR="006A7558" w:rsidRPr="00587BCC" w:rsidRDefault="006A7558" w:rsidP="006A7558">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Consensus forecasts. Centre line represents Consensus mean forecast.</w:t>
      </w:r>
    </w:p>
    <w:p w:rsidR="006D7F75" w:rsidRDefault="006D7F75" w:rsidP="006D7F75">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Pr>
          <w:rFonts w:asciiTheme="minorHAnsi" w:hAnsiTheme="minorHAnsi" w:cs="Arial"/>
          <w:kern w:val="2"/>
          <w:sz w:val="16"/>
        </w:rPr>
        <w:t xml:space="preserve">Bloomberg </w:t>
      </w:r>
      <w:r w:rsidRPr="00587BCC">
        <w:rPr>
          <w:rFonts w:asciiTheme="minorHAnsi" w:hAnsiTheme="minorHAnsi" w:cs="Arial"/>
          <w:kern w:val="2"/>
          <w:sz w:val="16"/>
        </w:rPr>
        <w:t>and Treasury.</w:t>
      </w:r>
    </w:p>
    <w:p w:rsidR="00BE15CD" w:rsidRPr="00C92C0C" w:rsidRDefault="00BF6A01" w:rsidP="003336E7">
      <w:pPr>
        <w:pStyle w:val="Bullet"/>
        <w:keepNex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…while b</w:t>
      </w:r>
      <w:r w:rsidR="00CE3728" w:rsidRPr="00C92C0C">
        <w:rPr>
          <w:rFonts w:asciiTheme="minorHAnsi" w:eastAsiaTheme="minorHAnsi" w:hAnsiTheme="minorHAnsi"/>
          <w:b/>
          <w:color w:val="0000FF"/>
          <w:sz w:val="24"/>
        </w:rPr>
        <w:t>ulk c</w:t>
      </w:r>
      <w:r w:rsidR="00BE15CD" w:rsidRPr="00C92C0C">
        <w:rPr>
          <w:rFonts w:asciiTheme="minorHAnsi" w:eastAsiaTheme="minorHAnsi" w:hAnsiTheme="minorHAnsi"/>
          <w:b/>
          <w:color w:val="0000FF"/>
          <w:sz w:val="24"/>
        </w:rPr>
        <w:t>ommodity price forecasts are at the lower end of consensus</w:t>
      </w:r>
      <w:r w:rsidRPr="00C92C0C">
        <w:rPr>
          <w:rFonts w:asciiTheme="minorHAnsi" w:eastAsiaTheme="minorHAnsi" w:hAnsiTheme="minorHAnsi"/>
          <w:b/>
          <w:color w:val="0000FF"/>
          <w:sz w:val="24"/>
        </w:rPr>
        <w:t>.</w:t>
      </w:r>
    </w:p>
    <w:p w:rsidR="00BE15CD" w:rsidRPr="00587BCC" w:rsidRDefault="00BE15CD" w:rsidP="00BE15CD">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5</w:t>
      </w:r>
      <w:r w:rsidRPr="00587BCC">
        <w:rPr>
          <w:rFonts w:asciiTheme="minorHAnsi" w:hAnsiTheme="minorHAnsi"/>
          <w:b/>
        </w:rPr>
        <w:t xml:space="preserve">: </w:t>
      </w:r>
      <w:r w:rsidR="00CC3123" w:rsidRPr="00587BCC">
        <w:rPr>
          <w:rFonts w:asciiTheme="minorHAnsi" w:hAnsiTheme="minorHAnsi"/>
          <w:b/>
        </w:rPr>
        <w:t>Iron ore price</w:t>
      </w:r>
      <w:r w:rsidR="00683391">
        <w:rPr>
          <w:rStyle w:val="EndnoteReference"/>
          <w:rFonts w:asciiTheme="minorHAnsi" w:hAnsiTheme="minorHAnsi"/>
          <w:b/>
        </w:rPr>
        <w:endnoteReference w:id="1"/>
      </w:r>
      <w:r w:rsidR="00683391" w:rsidRPr="00587BCC">
        <w:rPr>
          <w:rFonts w:asciiTheme="minorHAnsi" w:hAnsiTheme="minorHAnsi" w:cs="Arial"/>
          <w:kern w:val="2"/>
          <w:sz w:val="16"/>
        </w:rPr>
        <w:t xml:space="preserve"> </w:t>
      </w:r>
      <w:r w:rsidR="00CC3123" w:rsidRPr="00587BCC">
        <w:rPr>
          <w:rFonts w:asciiTheme="minorHAnsi" w:hAnsiTheme="minorHAnsi"/>
          <w:b/>
        </w:rPr>
        <w:t xml:space="preserve"> forecasts</w:t>
      </w:r>
      <w:r w:rsidR="00A3038F">
        <w:rPr>
          <w:rFonts w:asciiTheme="minorHAnsi" w:hAnsiTheme="minorHAnsi"/>
          <w:b/>
        </w:rPr>
        <w:t xml:space="preserve"> </w:t>
      </w:r>
      <w:r w:rsidR="0086269C" w:rsidRPr="00587BCC">
        <w:rPr>
          <w:rFonts w:asciiTheme="minorHAnsi" w:hAnsiTheme="minorHAnsi"/>
          <w:b/>
        </w:rPr>
        <w:t>for calendar year 201</w:t>
      </w:r>
      <w:r w:rsidR="0086269C">
        <w:rPr>
          <w:rFonts w:asciiTheme="minorHAnsi" w:hAnsiTheme="minorHAnsi"/>
          <w:b/>
        </w:rPr>
        <w:t>4</w:t>
      </w:r>
    </w:p>
    <w:p w:rsidR="0086269C" w:rsidRDefault="00821A63" w:rsidP="007B25D0">
      <w:pPr>
        <w:pStyle w:val="ChartGraphic0"/>
        <w:rPr>
          <w:lang w:val="en-US"/>
        </w:rPr>
      </w:pPr>
      <w:r>
        <w:rPr>
          <w:lang w:val="en-US"/>
        </w:rPr>
        <w:object w:dxaOrig="4516" w:dyaOrig="4515">
          <v:shape id="_x0000_i1047" type="#_x0000_t75" style="width:226pt;height:226pt" o:ole="">
            <v:imagedata r:id="rId69" o:title=""/>
          </v:shape>
          <o:OLEObject Type="Link" ProgID="Excel.Sheet.12" ShapeID="_x0000_i1047" DrawAspect="Content" r:id="rId70" UpdateMode="Always">
            <o:LinkType>EnhancedMetaFile</o:LinkType>
            <o:LockedField>false</o:LockedField>
          </o:OLEObject>
        </w:object>
      </w:r>
    </w:p>
    <w:p w:rsidR="00BE15CD" w:rsidRPr="00587BCC" w:rsidRDefault="00BE15CD" w:rsidP="00BE15CD">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7B25D0">
        <w:rPr>
          <w:rFonts w:asciiTheme="minorHAnsi" w:hAnsiTheme="minorHAnsi"/>
          <w:color w:val="auto"/>
          <w:kern w:val="2"/>
          <w:sz w:val="16"/>
        </w:rPr>
        <w:t>C</w:t>
      </w:r>
      <w:r w:rsidRPr="00587BCC">
        <w:rPr>
          <w:rFonts w:asciiTheme="minorHAnsi" w:hAnsiTheme="minorHAnsi"/>
          <w:color w:val="auto"/>
          <w:kern w:val="2"/>
          <w:sz w:val="16"/>
        </w:rPr>
        <w:t xml:space="preserve">onsensus forecasts. </w:t>
      </w:r>
      <w:r w:rsidR="00C26546" w:rsidRPr="00587BCC">
        <w:rPr>
          <w:rFonts w:asciiTheme="minorHAnsi" w:hAnsiTheme="minorHAnsi"/>
          <w:color w:val="auto"/>
          <w:kern w:val="2"/>
          <w:sz w:val="16"/>
        </w:rPr>
        <w:t>Centre line represents Consensus median forecast.</w:t>
      </w:r>
    </w:p>
    <w:p w:rsidR="00BE15CD" w:rsidRPr="00587BCC" w:rsidRDefault="00BE15CD" w:rsidP="00C75446">
      <w:pPr>
        <w:spacing w:line="240" w:lineRule="auto"/>
        <w:rPr>
          <w:rFonts w:asciiTheme="minorHAnsi" w:hAnsiTheme="minorHAnsi" w:cs="Arial"/>
          <w:kern w:val="2"/>
          <w:sz w:val="16"/>
        </w:rPr>
      </w:pPr>
      <w:r w:rsidRPr="00587BCC">
        <w:rPr>
          <w:rFonts w:asciiTheme="minorHAnsi" w:hAnsiTheme="minorHAnsi" w:cs="Arial"/>
          <w:kern w:val="2"/>
          <w:sz w:val="16"/>
        </w:rPr>
        <w:t>Source: Consensus Economics</w:t>
      </w:r>
      <w:r w:rsidR="00A3038F">
        <w:rPr>
          <w:rStyle w:val="EndnoteReference"/>
          <w:rFonts w:asciiTheme="minorHAnsi" w:hAnsiTheme="minorHAnsi" w:cs="Arial"/>
          <w:kern w:val="2"/>
          <w:sz w:val="16"/>
        </w:rPr>
        <w:endnoteReference w:id="2"/>
      </w:r>
      <w:r w:rsidRPr="00587BCC">
        <w:rPr>
          <w:rFonts w:asciiTheme="minorHAnsi" w:hAnsiTheme="minorHAnsi" w:cs="Arial"/>
          <w:kern w:val="2"/>
          <w:sz w:val="16"/>
        </w:rPr>
        <w:t xml:space="preserve"> and Treasury.</w:t>
      </w:r>
    </w:p>
    <w:p w:rsidR="0086269C" w:rsidRDefault="0086269C" w:rsidP="0086269C">
      <w:pPr>
        <w:keepNext/>
        <w:autoSpaceDE w:val="0"/>
        <w:autoSpaceDN w:val="0"/>
        <w:spacing w:after="0"/>
        <w:jc w:val="center"/>
        <w:rPr>
          <w:rFonts w:asciiTheme="minorHAnsi" w:hAnsiTheme="minorHAnsi"/>
          <w:b/>
        </w:rPr>
      </w:pPr>
    </w:p>
    <w:p w:rsidR="0086269C" w:rsidRPr="00587BCC" w:rsidRDefault="0086269C" w:rsidP="0086269C">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6</w:t>
      </w:r>
      <w:r w:rsidRPr="00587BCC">
        <w:rPr>
          <w:rFonts w:asciiTheme="minorHAnsi" w:hAnsiTheme="minorHAnsi"/>
          <w:b/>
        </w:rPr>
        <w:t>: Iron ore price forecasts</w:t>
      </w:r>
      <w:r>
        <w:rPr>
          <w:rFonts w:asciiTheme="minorHAnsi" w:hAnsiTheme="minorHAnsi"/>
          <w:b/>
        </w:rPr>
        <w:t xml:space="preserve"> </w:t>
      </w:r>
      <w:r w:rsidRPr="00587BCC">
        <w:rPr>
          <w:rFonts w:asciiTheme="minorHAnsi" w:hAnsiTheme="minorHAnsi"/>
          <w:b/>
        </w:rPr>
        <w:t>for calendar year 201</w:t>
      </w:r>
      <w:r>
        <w:rPr>
          <w:rFonts w:asciiTheme="minorHAnsi" w:hAnsiTheme="minorHAnsi"/>
          <w:b/>
        </w:rPr>
        <w:t>5</w:t>
      </w:r>
      <w:r w:rsidR="007B25D0">
        <w:rPr>
          <w:rStyle w:val="EndnoteReference"/>
          <w:rFonts w:asciiTheme="minorHAnsi" w:hAnsiTheme="minorHAnsi"/>
          <w:b/>
        </w:rPr>
        <w:endnoteReference w:id="3"/>
      </w:r>
    </w:p>
    <w:p w:rsidR="002F39A3" w:rsidRPr="00587BCC" w:rsidRDefault="00821A63" w:rsidP="007B25D0">
      <w:pPr>
        <w:pStyle w:val="ChartGraphic0"/>
      </w:pPr>
      <w:r>
        <w:object w:dxaOrig="4516" w:dyaOrig="4515">
          <v:shape id="_x0000_i1048" type="#_x0000_t75" style="width:226pt;height:226pt" o:ole="">
            <v:imagedata r:id="rId71" o:title=""/>
          </v:shape>
          <o:OLEObject Type="Link" ProgID="Excel.Sheet.12" ShapeID="_x0000_i1048" DrawAspect="Content" r:id="rId72" UpdateMode="Always">
            <o:LinkType>EnhancedMetaFile</o:LinkType>
            <o:LockedField>false</o:LockedField>
          </o:OLEObject>
        </w:object>
      </w:r>
    </w:p>
    <w:p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Pr>
          <w:rFonts w:asciiTheme="minorHAnsi" w:hAnsiTheme="minorHAnsi"/>
          <w:color w:val="auto"/>
          <w:kern w:val="2"/>
          <w:sz w:val="16"/>
        </w:rPr>
        <w:t>C</w:t>
      </w:r>
      <w:r w:rsidRPr="00587BCC">
        <w:rPr>
          <w:rFonts w:asciiTheme="minorHAnsi" w:hAnsiTheme="minorHAnsi"/>
          <w:color w:val="auto"/>
          <w:kern w:val="2"/>
          <w:sz w:val="16"/>
        </w:rPr>
        <w:t>onsensus forecasts. Centre line represents Consensus median forecast.</w:t>
      </w:r>
    </w:p>
    <w:p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B24EBA" w:rsidRDefault="00B24EBA" w:rsidP="00CC3123">
      <w:pPr>
        <w:keepNext/>
        <w:autoSpaceDE w:val="0"/>
        <w:autoSpaceDN w:val="0"/>
        <w:spacing w:after="0"/>
        <w:jc w:val="center"/>
        <w:rPr>
          <w:rFonts w:asciiTheme="minorHAnsi" w:hAnsiTheme="minorHAnsi"/>
          <w:b/>
        </w:rPr>
      </w:pPr>
    </w:p>
    <w:p w:rsidR="00B24EBA" w:rsidRDefault="00B24EBA" w:rsidP="00CC3123">
      <w:pPr>
        <w:keepNext/>
        <w:autoSpaceDE w:val="0"/>
        <w:autoSpaceDN w:val="0"/>
        <w:spacing w:after="0"/>
        <w:jc w:val="center"/>
        <w:rPr>
          <w:rFonts w:asciiTheme="minorHAnsi" w:hAnsiTheme="minorHAnsi"/>
          <w:b/>
        </w:rPr>
      </w:pPr>
    </w:p>
    <w:p w:rsidR="00B24EBA" w:rsidRDefault="00B24EBA" w:rsidP="00CC3123">
      <w:pPr>
        <w:keepNext/>
        <w:autoSpaceDE w:val="0"/>
        <w:autoSpaceDN w:val="0"/>
        <w:spacing w:after="0"/>
        <w:jc w:val="center"/>
        <w:rPr>
          <w:rFonts w:asciiTheme="minorHAnsi" w:hAnsiTheme="minorHAnsi"/>
          <w:b/>
        </w:rPr>
      </w:pPr>
    </w:p>
    <w:p w:rsidR="00CC3123" w:rsidRPr="00587BCC" w:rsidRDefault="00CC3123" w:rsidP="00CC312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7</w:t>
      </w:r>
      <w:r w:rsidRPr="00587BCC">
        <w:rPr>
          <w:rFonts w:asciiTheme="minorHAnsi" w:hAnsiTheme="minorHAnsi"/>
          <w:b/>
        </w:rPr>
        <w:t>: Thermal coal price forecasts</w:t>
      </w:r>
      <w:r w:rsidR="00A3038F">
        <w:rPr>
          <w:rFonts w:asciiTheme="minorHAnsi" w:hAnsiTheme="minorHAnsi"/>
          <w:b/>
        </w:rPr>
        <w:t xml:space="preserve"> </w:t>
      </w:r>
      <w:r w:rsidR="0086269C" w:rsidRPr="00587BCC">
        <w:rPr>
          <w:rFonts w:asciiTheme="minorHAnsi" w:hAnsiTheme="minorHAnsi"/>
          <w:b/>
        </w:rPr>
        <w:t>for calendar year 201</w:t>
      </w:r>
      <w:r w:rsidR="0086269C">
        <w:rPr>
          <w:rFonts w:asciiTheme="minorHAnsi" w:hAnsiTheme="minorHAnsi"/>
          <w:b/>
        </w:rPr>
        <w:t>4</w:t>
      </w:r>
    </w:p>
    <w:p w:rsidR="0086269C" w:rsidRDefault="00821A63" w:rsidP="007B25D0">
      <w:pPr>
        <w:pStyle w:val="ChartGraphic0"/>
      </w:pPr>
      <w:r>
        <w:object w:dxaOrig="4516" w:dyaOrig="4515">
          <v:shape id="_x0000_i1049" type="#_x0000_t75" style="width:226pt;height:226pt" o:ole="">
            <v:imagedata r:id="rId73" o:title=""/>
          </v:shape>
          <o:OLEObject Type="Link" ProgID="Excel.Sheet.12" ShapeID="_x0000_i1049" DrawAspect="Content" r:id="rId74" UpdateMode="Always">
            <o:LinkType>EnhancedMetaFile</o:LinkType>
            <o:LockedField>false</o:LockedField>
          </o:OLEObject>
        </w:object>
      </w:r>
    </w:p>
    <w:bookmarkEnd w:id="1"/>
    <w:bookmarkEnd w:id="2"/>
    <w:bookmarkEnd w:id="3"/>
    <w:bookmarkEnd w:id="4"/>
    <w:p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Pr>
          <w:rFonts w:asciiTheme="minorHAnsi" w:hAnsiTheme="minorHAnsi"/>
          <w:color w:val="auto"/>
          <w:kern w:val="2"/>
          <w:sz w:val="16"/>
        </w:rPr>
        <w:t>C</w:t>
      </w:r>
      <w:r w:rsidRPr="00587BCC">
        <w:rPr>
          <w:rFonts w:asciiTheme="minorHAnsi" w:hAnsiTheme="minorHAnsi"/>
          <w:color w:val="auto"/>
          <w:kern w:val="2"/>
          <w:sz w:val="16"/>
        </w:rPr>
        <w:t>onsensus forecasts. Centre line represents Consensus median forecast.</w:t>
      </w:r>
    </w:p>
    <w:p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7B25D0" w:rsidRPr="0078572A" w:rsidRDefault="007B25D0" w:rsidP="0078572A">
      <w:pPr>
        <w:keepNext/>
        <w:autoSpaceDE w:val="0"/>
        <w:autoSpaceDN w:val="0"/>
        <w:spacing w:after="0"/>
        <w:jc w:val="center"/>
        <w:rPr>
          <w:rFonts w:asciiTheme="minorHAnsi" w:hAnsiTheme="minorHAnsi" w:cs="Arial"/>
          <w:kern w:val="2"/>
          <w:szCs w:val="20"/>
        </w:rPr>
      </w:pPr>
    </w:p>
    <w:p w:rsidR="00877BAA" w:rsidRPr="00587BCC" w:rsidRDefault="00877BAA" w:rsidP="0078572A">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8</w:t>
      </w:r>
      <w:r w:rsidRPr="00587BCC">
        <w:rPr>
          <w:rFonts w:asciiTheme="minorHAnsi" w:hAnsiTheme="minorHAnsi"/>
          <w:b/>
        </w:rPr>
        <w:t>: Thermal coal price forecasts</w:t>
      </w:r>
      <w:r>
        <w:rPr>
          <w:rFonts w:asciiTheme="minorHAnsi" w:hAnsiTheme="minorHAnsi"/>
          <w:b/>
        </w:rPr>
        <w:t xml:space="preserve"> </w:t>
      </w:r>
      <w:r w:rsidRPr="00587BCC">
        <w:rPr>
          <w:rFonts w:asciiTheme="minorHAnsi" w:hAnsiTheme="minorHAnsi"/>
          <w:b/>
        </w:rPr>
        <w:t xml:space="preserve">for calendar year </w:t>
      </w:r>
      <w:r>
        <w:rPr>
          <w:rFonts w:asciiTheme="minorHAnsi" w:hAnsiTheme="minorHAnsi"/>
          <w:b/>
        </w:rPr>
        <w:t>2015</w:t>
      </w:r>
    </w:p>
    <w:p w:rsidR="00877BAA" w:rsidRDefault="00821A63" w:rsidP="007B25D0">
      <w:pPr>
        <w:pStyle w:val="ChartGraphic0"/>
      </w:pPr>
      <w:r>
        <w:object w:dxaOrig="4516" w:dyaOrig="4515">
          <v:shape id="_x0000_i1050" type="#_x0000_t75" style="width:226pt;height:226pt" o:ole="">
            <v:imagedata r:id="rId75" o:title=""/>
          </v:shape>
          <o:OLEObject Type="Link" ProgID="Excel.Sheet.12" ShapeID="_x0000_i1050" DrawAspect="Content" r:id="rId76" UpdateMode="Always">
            <o:LinkType>EnhancedMetaFile</o:LinkType>
            <o:LockedField>false</o:LockedField>
          </o:OLEObject>
        </w:object>
      </w:r>
    </w:p>
    <w:p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Pr>
          <w:rFonts w:asciiTheme="minorHAnsi" w:hAnsiTheme="minorHAnsi"/>
          <w:color w:val="auto"/>
          <w:kern w:val="2"/>
          <w:sz w:val="16"/>
        </w:rPr>
        <w:t>C</w:t>
      </w:r>
      <w:r w:rsidRPr="00587BCC">
        <w:rPr>
          <w:rFonts w:asciiTheme="minorHAnsi" w:hAnsiTheme="minorHAnsi"/>
          <w:color w:val="auto"/>
          <w:kern w:val="2"/>
          <w:sz w:val="16"/>
        </w:rPr>
        <w:t>onsensus forecasts. Centre line represents Consensus median forecast.</w:t>
      </w:r>
    </w:p>
    <w:p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877BAA" w:rsidRDefault="00877BAA" w:rsidP="006A7558">
      <w:pPr>
        <w:spacing w:line="240" w:lineRule="auto"/>
        <w:jc w:val="left"/>
        <w:rPr>
          <w:rFonts w:asciiTheme="minorHAnsi" w:hAnsiTheme="minorHAnsi" w:cs="Arial"/>
          <w:kern w:val="2"/>
          <w:sz w:val="16"/>
        </w:rPr>
      </w:pPr>
    </w:p>
    <w:p w:rsidR="00877BAA" w:rsidRDefault="00877BAA" w:rsidP="006A7558">
      <w:pPr>
        <w:spacing w:line="240" w:lineRule="auto"/>
        <w:jc w:val="left"/>
        <w:rPr>
          <w:rFonts w:asciiTheme="minorHAnsi" w:hAnsiTheme="minorHAnsi" w:cs="Arial"/>
          <w:kern w:val="2"/>
          <w:sz w:val="16"/>
        </w:rPr>
      </w:pPr>
    </w:p>
    <w:p w:rsidR="00877BAA" w:rsidRPr="00587BCC" w:rsidRDefault="00877BAA" w:rsidP="00877BAA">
      <w:pPr>
        <w:keepNext/>
        <w:autoSpaceDE w:val="0"/>
        <w:autoSpaceDN w:val="0"/>
        <w:spacing w:after="0"/>
        <w:jc w:val="center"/>
        <w:rPr>
          <w:rFonts w:asciiTheme="minorHAnsi" w:hAnsiTheme="minorHAnsi"/>
          <w:b/>
        </w:rPr>
      </w:pPr>
      <w:r w:rsidRPr="00587BCC">
        <w:rPr>
          <w:rFonts w:asciiTheme="minorHAnsi" w:hAnsiTheme="minorHAnsi"/>
          <w:b/>
        </w:rPr>
        <w:lastRenderedPageBreak/>
        <w:t xml:space="preserve">Chart </w:t>
      </w:r>
      <w:r>
        <w:rPr>
          <w:rFonts w:asciiTheme="minorHAnsi" w:hAnsiTheme="minorHAnsi"/>
          <w:b/>
        </w:rPr>
        <w:t>9</w:t>
      </w:r>
      <w:r w:rsidRPr="00587BCC">
        <w:rPr>
          <w:rFonts w:asciiTheme="minorHAnsi" w:hAnsiTheme="minorHAnsi"/>
          <w:b/>
        </w:rPr>
        <w:t xml:space="preserve">: </w:t>
      </w:r>
      <w:r>
        <w:rPr>
          <w:rFonts w:asciiTheme="minorHAnsi" w:hAnsiTheme="minorHAnsi"/>
          <w:b/>
        </w:rPr>
        <w:t>M</w:t>
      </w:r>
      <w:r w:rsidRPr="00877BAA">
        <w:rPr>
          <w:rFonts w:asciiTheme="minorHAnsi" w:hAnsiTheme="minorHAnsi"/>
          <w:b/>
        </w:rPr>
        <w:t>etallurgical coal</w:t>
      </w:r>
      <w:r w:rsidRPr="00587BCC">
        <w:rPr>
          <w:rFonts w:asciiTheme="minorHAnsi" w:hAnsiTheme="minorHAnsi"/>
          <w:b/>
        </w:rPr>
        <w:t xml:space="preserve"> price forecasts</w:t>
      </w:r>
      <w:r>
        <w:rPr>
          <w:rFonts w:asciiTheme="minorHAnsi" w:hAnsiTheme="minorHAnsi"/>
          <w:b/>
        </w:rPr>
        <w:t xml:space="preserve"> </w:t>
      </w:r>
      <w:r w:rsidRPr="00587BCC">
        <w:rPr>
          <w:rFonts w:asciiTheme="minorHAnsi" w:hAnsiTheme="minorHAnsi"/>
          <w:b/>
        </w:rPr>
        <w:t>for calendar year 201</w:t>
      </w:r>
      <w:r>
        <w:rPr>
          <w:rFonts w:asciiTheme="minorHAnsi" w:hAnsiTheme="minorHAnsi"/>
          <w:b/>
        </w:rPr>
        <w:t>4</w:t>
      </w:r>
    </w:p>
    <w:p w:rsidR="00877BAA" w:rsidRDefault="00821A63" w:rsidP="007B25D0">
      <w:pPr>
        <w:pStyle w:val="ChartGraphic0"/>
        <w:rPr>
          <w:lang w:val="en-US"/>
        </w:rPr>
      </w:pPr>
      <w:r>
        <w:rPr>
          <w:lang w:val="en-US"/>
        </w:rPr>
        <w:object w:dxaOrig="4516" w:dyaOrig="4515">
          <v:shape id="_x0000_i1051" type="#_x0000_t75" style="width:226pt;height:226pt" o:ole="">
            <v:imagedata r:id="rId77" o:title=""/>
          </v:shape>
          <o:OLEObject Type="Link" ProgID="Excel.Sheet.12" ShapeID="_x0000_i1051" DrawAspect="Content" r:id="rId78" UpdateMode="Always">
            <o:LinkType>EnhancedMetaFile</o:LinkType>
            <o:LockedField>false</o:LockedField>
          </o:OLEObject>
        </w:object>
      </w:r>
    </w:p>
    <w:p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Pr>
          <w:rFonts w:asciiTheme="minorHAnsi" w:hAnsiTheme="minorHAnsi"/>
          <w:color w:val="auto"/>
          <w:kern w:val="2"/>
          <w:sz w:val="16"/>
        </w:rPr>
        <w:t>C</w:t>
      </w:r>
      <w:r w:rsidRPr="00587BCC">
        <w:rPr>
          <w:rFonts w:asciiTheme="minorHAnsi" w:hAnsiTheme="minorHAnsi"/>
          <w:color w:val="auto"/>
          <w:kern w:val="2"/>
          <w:sz w:val="16"/>
        </w:rPr>
        <w:t>onsensus forecasts. Centre line represents Consensus median forecast.</w:t>
      </w:r>
    </w:p>
    <w:p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877BAA" w:rsidRDefault="00877BAA" w:rsidP="00877BAA">
      <w:pPr>
        <w:keepNext/>
        <w:autoSpaceDE w:val="0"/>
        <w:autoSpaceDN w:val="0"/>
        <w:spacing w:after="0"/>
        <w:jc w:val="center"/>
        <w:rPr>
          <w:rFonts w:asciiTheme="minorHAnsi" w:hAnsiTheme="minorHAnsi"/>
          <w:b/>
        </w:rPr>
      </w:pPr>
    </w:p>
    <w:p w:rsidR="00877BAA" w:rsidRPr="00587BCC" w:rsidRDefault="00877BAA" w:rsidP="00877BAA">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10</w:t>
      </w:r>
      <w:r w:rsidRPr="00587BCC">
        <w:rPr>
          <w:rFonts w:asciiTheme="minorHAnsi" w:hAnsiTheme="minorHAnsi"/>
          <w:b/>
        </w:rPr>
        <w:t xml:space="preserve">: </w:t>
      </w:r>
      <w:r>
        <w:rPr>
          <w:rFonts w:asciiTheme="minorHAnsi" w:hAnsiTheme="minorHAnsi"/>
          <w:b/>
        </w:rPr>
        <w:t>M</w:t>
      </w:r>
      <w:r w:rsidRPr="00877BAA">
        <w:rPr>
          <w:rFonts w:asciiTheme="minorHAnsi" w:hAnsiTheme="minorHAnsi"/>
          <w:b/>
        </w:rPr>
        <w:t>etallurgical coal</w:t>
      </w:r>
      <w:r w:rsidRPr="00587BCC">
        <w:rPr>
          <w:rFonts w:asciiTheme="minorHAnsi" w:hAnsiTheme="minorHAnsi"/>
          <w:b/>
        </w:rPr>
        <w:t xml:space="preserve"> price forecasts</w:t>
      </w:r>
      <w:r>
        <w:rPr>
          <w:rFonts w:asciiTheme="minorHAnsi" w:hAnsiTheme="minorHAnsi"/>
          <w:b/>
        </w:rPr>
        <w:t xml:space="preserve"> </w:t>
      </w:r>
      <w:r w:rsidRPr="00587BCC">
        <w:rPr>
          <w:rFonts w:asciiTheme="minorHAnsi" w:hAnsiTheme="minorHAnsi"/>
          <w:b/>
        </w:rPr>
        <w:t>for calendar year 201</w:t>
      </w:r>
      <w:r>
        <w:rPr>
          <w:rFonts w:asciiTheme="minorHAnsi" w:hAnsiTheme="minorHAnsi"/>
          <w:b/>
        </w:rPr>
        <w:t>5</w:t>
      </w:r>
    </w:p>
    <w:p w:rsidR="00877BAA" w:rsidRPr="00587BCC" w:rsidRDefault="00821A63" w:rsidP="007B25D0">
      <w:pPr>
        <w:pStyle w:val="ChartGraphic0"/>
      </w:pPr>
      <w:r>
        <w:object w:dxaOrig="4516" w:dyaOrig="4515">
          <v:shape id="_x0000_i1052" type="#_x0000_t75" style="width:226pt;height:226pt" o:ole="">
            <v:imagedata r:id="rId79" o:title=""/>
          </v:shape>
          <o:OLEObject Type="Link" ProgID="Excel.Sheet.12" ShapeID="_x0000_i1052" DrawAspect="Content" r:id="rId80" UpdateMode="Always">
            <o:LinkType>EnhancedMetaFile</o:LinkType>
            <o:LockedField>false</o:LockedField>
          </o:OLEObject>
        </w:object>
      </w:r>
    </w:p>
    <w:p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Pr>
          <w:rFonts w:asciiTheme="minorHAnsi" w:hAnsiTheme="minorHAnsi"/>
          <w:color w:val="auto"/>
          <w:kern w:val="2"/>
          <w:sz w:val="16"/>
        </w:rPr>
        <w:t>C</w:t>
      </w:r>
      <w:r w:rsidRPr="00587BCC">
        <w:rPr>
          <w:rFonts w:asciiTheme="minorHAnsi" w:hAnsiTheme="minorHAnsi"/>
          <w:color w:val="auto"/>
          <w:kern w:val="2"/>
          <w:sz w:val="16"/>
        </w:rPr>
        <w:t>onsensus forecasts. Centre line represents Consensus median forecast.</w:t>
      </w:r>
    </w:p>
    <w:p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877BAA" w:rsidRDefault="00877BAA" w:rsidP="006A7558">
      <w:pPr>
        <w:spacing w:line="240" w:lineRule="auto"/>
        <w:jc w:val="left"/>
        <w:rPr>
          <w:rFonts w:asciiTheme="minorHAnsi" w:hAnsiTheme="minorHAnsi" w:cs="Arial"/>
          <w:kern w:val="2"/>
          <w:sz w:val="16"/>
        </w:rPr>
      </w:pPr>
    </w:p>
    <w:p w:rsidR="00877BAA" w:rsidRDefault="00877BAA" w:rsidP="006A7558">
      <w:pPr>
        <w:spacing w:line="240" w:lineRule="auto"/>
        <w:jc w:val="left"/>
        <w:rPr>
          <w:rFonts w:asciiTheme="minorHAnsi" w:hAnsiTheme="minorHAnsi" w:cs="Arial"/>
          <w:kern w:val="2"/>
          <w:sz w:val="16"/>
        </w:rPr>
      </w:pPr>
    </w:p>
    <w:p w:rsidR="00877BAA" w:rsidRPr="00587BCC" w:rsidRDefault="00877BAA" w:rsidP="006A7558">
      <w:pPr>
        <w:spacing w:line="240" w:lineRule="auto"/>
        <w:jc w:val="left"/>
        <w:rPr>
          <w:rFonts w:asciiTheme="minorHAnsi" w:hAnsiTheme="minorHAnsi" w:cs="Arial"/>
          <w:kern w:val="2"/>
          <w:sz w:val="16"/>
        </w:rPr>
      </w:pPr>
    </w:p>
    <w:sectPr w:rsidR="00877BAA" w:rsidRPr="00587BCC" w:rsidSect="00C92C0C">
      <w:footnotePr>
        <w:pos w:val="beneathText"/>
      </w:footnotePr>
      <w:endnotePr>
        <w:numFmt w:val="decimal"/>
        <w:numStart w:val="3"/>
      </w:endnotePr>
      <w:type w:val="continuous"/>
      <w:pgSz w:w="11907" w:h="16840" w:code="9"/>
      <w:pgMar w:top="1418" w:right="1100" w:bottom="1418" w:left="1100" w:header="567" w:footer="709" w:gutter="0"/>
      <w:cols w:num="2"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64" w:rsidRDefault="00B21164">
      <w:r>
        <w:separator/>
      </w:r>
    </w:p>
  </w:endnote>
  <w:endnote w:type="continuationSeparator" w:id="0">
    <w:p w:rsidR="00B21164" w:rsidRDefault="00B21164">
      <w:r>
        <w:continuationSeparator/>
      </w:r>
    </w:p>
  </w:endnote>
  <w:endnote w:id="1">
    <w:p w:rsidR="00304C83" w:rsidRDefault="00304C83">
      <w:pPr>
        <w:pStyle w:val="EndnoteText"/>
      </w:pPr>
      <w:r>
        <w:rPr>
          <w:rStyle w:val="EndnoteReference"/>
        </w:rPr>
        <w:endnoteRef/>
      </w:r>
      <w:r>
        <w:t xml:space="preserve"> </w:t>
      </w:r>
      <w:r>
        <w:rPr>
          <w:rFonts w:asciiTheme="minorHAnsi" w:hAnsiTheme="minorHAnsi"/>
          <w:i/>
        </w:rPr>
        <w:t>Prices are reported on a free on board (FOB) basis.</w:t>
      </w:r>
      <w:r>
        <w:t xml:space="preserve"> </w:t>
      </w:r>
    </w:p>
  </w:endnote>
  <w:endnote w:id="2">
    <w:p w:rsidR="00304C83" w:rsidRDefault="00304C83">
      <w:pPr>
        <w:pStyle w:val="EndnoteText"/>
      </w:pPr>
      <w:r>
        <w:rPr>
          <w:rStyle w:val="EndnoteReference"/>
        </w:rPr>
        <w:endnoteRef/>
      </w:r>
      <w:r w:rsidRPr="00A3038F">
        <w:rPr>
          <w:rFonts w:asciiTheme="minorHAnsi" w:hAnsiTheme="minorHAnsi"/>
          <w:i/>
        </w:rPr>
        <w:t>Consensus Economic</w:t>
      </w:r>
      <w:r>
        <w:rPr>
          <w:rFonts w:asciiTheme="minorHAnsi" w:hAnsiTheme="minorHAnsi"/>
          <w:i/>
        </w:rPr>
        <w:t>s</w:t>
      </w:r>
      <w:r w:rsidRPr="00A3038F">
        <w:rPr>
          <w:rFonts w:asciiTheme="minorHAnsi" w:hAnsiTheme="minorHAnsi"/>
          <w:i/>
        </w:rPr>
        <w:t xml:space="preserve"> survey</w:t>
      </w:r>
      <w:r>
        <w:rPr>
          <w:rFonts w:asciiTheme="minorHAnsi" w:hAnsiTheme="minorHAnsi"/>
          <w:i/>
        </w:rPr>
        <w:t>s</w:t>
      </w:r>
      <w:r w:rsidRPr="00A3038F">
        <w:rPr>
          <w:rFonts w:asciiTheme="minorHAnsi" w:hAnsiTheme="minorHAnsi"/>
          <w:i/>
        </w:rPr>
        <w:t xml:space="preserve"> commodity price </w:t>
      </w:r>
      <w:r>
        <w:rPr>
          <w:rFonts w:asciiTheme="minorHAnsi" w:hAnsiTheme="minorHAnsi"/>
          <w:i/>
        </w:rPr>
        <w:t xml:space="preserve">forecasters </w:t>
      </w:r>
      <w:r w:rsidRPr="00A3038F">
        <w:rPr>
          <w:rFonts w:asciiTheme="minorHAnsi" w:hAnsiTheme="minorHAnsi"/>
          <w:i/>
        </w:rPr>
        <w:t>every three months.</w:t>
      </w:r>
    </w:p>
  </w:endnote>
  <w:endnote w:id="3">
    <w:p w:rsidR="00304C83" w:rsidRDefault="00304C83">
      <w:pPr>
        <w:pStyle w:val="EndnoteText"/>
      </w:pPr>
      <w:r>
        <w:rPr>
          <w:rStyle w:val="EndnoteReference"/>
        </w:rPr>
        <w:endnoteRef/>
      </w:r>
      <w:r>
        <w:t xml:space="preserve"> </w:t>
      </w:r>
      <w:r w:rsidRPr="00877BAA">
        <w:rPr>
          <w:rFonts w:asciiTheme="minorHAnsi" w:hAnsiTheme="minorHAnsi"/>
          <w:i/>
        </w:rPr>
        <w:t xml:space="preserve">Treasury forecasts </w:t>
      </w:r>
      <w:r>
        <w:rPr>
          <w:rFonts w:asciiTheme="minorHAnsi" w:hAnsiTheme="minorHAnsi"/>
          <w:i/>
        </w:rPr>
        <w:t xml:space="preserve">of commodity prices for </w:t>
      </w:r>
      <w:r w:rsidRPr="00877BAA">
        <w:rPr>
          <w:rFonts w:asciiTheme="minorHAnsi" w:hAnsiTheme="minorHAnsi"/>
          <w:i/>
        </w:rPr>
        <w:t>Budget and PEFO represent average forecasts to June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4C83" w:rsidRDefault="00304C83" w:rsidP="0060744E">
    <w:pPr>
      <w:pStyle w:val="Footer"/>
      <w:ind w:right="360" w:firstLine="360"/>
      <w:jc w:val="center"/>
    </w:pPr>
    <w:r>
      <w:t>PROTECTED</w:t>
    </w:r>
    <w:r>
      <w:fldChar w:fldCharType="begin"/>
    </w:r>
    <w:r>
      <w:instrText xml:space="preserve"> COMMENTS  \* MERGEFORMAT </w:instrText>
    </w:r>
    <w:r>
      <w:fldChar w:fldCharType="end"/>
    </w:r>
  </w:p>
  <w:p w:rsidR="00304C83" w:rsidRDefault="00304C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4C83" w:rsidRPr="00704E0D" w:rsidRDefault="00304C83" w:rsidP="00704E0D">
    <w:pPr>
      <w:pStyle w:val="Classification"/>
    </w:pPr>
    <w:r w:rsidRPr="00704E0D">
      <w:t>PROTECTED</w:t>
    </w:r>
  </w:p>
  <w:p w:rsidR="00304C83" w:rsidRDefault="00304C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Footer"/>
      <w:rPr>
        <w:color w:val="000000" w:themeColor="text1"/>
        <w:sz w:val="24"/>
      </w:rPr>
    </w:pPr>
    <w:r>
      <w:rPr>
        <w:noProof/>
        <w:lang w:eastAsia="en-AU"/>
      </w:rPr>
      <mc:AlternateContent>
        <mc:Choice Requires="wps">
          <w:drawing>
            <wp:anchor distT="0" distB="0" distL="114300" distR="114300" simplePos="0" relativeHeight="251659264" behindDoc="0" locked="0" layoutInCell="1" allowOverlap="1" wp14:anchorId="041F68C6" wp14:editId="4403296E">
              <wp:simplePos x="0" y="0"/>
              <wp:positionH relativeFrom="margin">
                <wp:align>right</wp:align>
              </wp:positionH>
              <wp:positionV relativeFrom="bottomMargin">
                <wp:align>top</wp:align>
              </wp:positionV>
              <wp:extent cx="1508760" cy="3714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71475"/>
                      </a:xfrm>
                      <a:prstGeom prst="rect">
                        <a:avLst/>
                      </a:prstGeom>
                      <a:noFill/>
                      <a:ln w="6350">
                        <a:noFill/>
                      </a:ln>
                      <a:effectLst/>
                    </wps:spPr>
                    <wps:txbx>
                      <w:txbxContent>
                        <w:p w:rsidR="00304C83" w:rsidRDefault="00304C83"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29.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srNAIAAGEEAAAOAAAAZHJzL2Uyb0RvYy54bWysVE1v2zAMvQ/YfxB0X+yk+WiDOEXWIsOA&#10;oi2QDD0rshQbkERNUmJnv36U7KRBt9Owi0yR1BPJ9+TFfasVOQrnazAFHQ5ySoThUNZmX9Af2/WX&#10;W0p8YKZkCowo6El4er/8/GnR2LkYQQWqFI4giPHzxha0CsHOs8zzSmjmB2CFwaAEp1nArdtnpWMN&#10;omuVjfJ8mjXgSuuAC+/R+9gF6TLhSyl4eJHSi0BUQbG2kFaX1l1cs+WCzfeO2armfRnsH6rQrDZ4&#10;6QXqkQVGDq7+A0rX3IEHGQYcdAZS1lykHrCbYf6hm03FrEi94HC8vYzJ/z9Y/nx8daQuCzqZUmKY&#10;Ro62og3kK7QEXTifxvo5pm0sJoYW/cjz2e/RGdtupdPxiw0RjOOkT5fpRjQeD03y29kUQxxjN7Ph&#10;eDaJMNn7aet8+CZAk2gU1CF7aajs+ORDl3pOiZcZWNdKJQaVIU1BpzeTPB24RBBcmZgrkhZ6mNhR&#10;V3m0Qrtr+zZ3UJ6wSwedTrzl6xpLeWI+vDKHwsDqUezhBRepAK+E3qKkAvfrb/6Yj3xhlJIGhVZQ&#10;//PAnKBEfTfI5N1wPI7KTJvxZDbCjbuO7K4j5qAfALU8xGdleTJjflBnUzrQb/gmVvFWDDHD8e6C&#10;hrP5EDr545viYrVKSahFy8KT2VgeoePA4qC37RtztmcjII/PcJYkm38gpcvtaFkdAsg6MRYH3E0V&#10;mY4b1HHivH9z8aFc71PW+59h+RsAAP//AwBQSwMEFAAGAAgAAAAhAG2/pYbdAAAABAEAAA8AAABk&#10;cnMvZG93bnJldi54bWxMj0FLw0AQhe+C/2EZwZvdGEkNMZtSAkUQPbT24m2SnSbB3dmY3bbRX+/q&#10;RS8Dj/d475tyNVsjTjT5wbGC20UCgrh1euBOwf51c5OD8AFZo3FMCj7Jw6q6vCix0O7MWzrtQidi&#10;CfsCFfQhjIWUvu3Jol+4kTh6BzdZDFFOndQTnmO5NTJNkqW0OHBc6HGkuqf2fXe0Cp7qzQtum9Tm&#10;X6Z+fD6sx4/9W6bU9dW8fgARaA5/YfjBj+hQRabGHVl7YRTER8LvjV56d78E0SjI8gxkVcr/8NU3&#10;AAAA//8DAFBLAQItABQABgAIAAAAIQC2gziS/gAAAOEBAAATAAAAAAAAAAAAAAAAAAAAAABbQ29u&#10;dGVudF9UeXBlc10ueG1sUEsBAi0AFAAGAAgAAAAhADj9If/WAAAAlAEAAAsAAAAAAAAAAAAAAAAA&#10;LwEAAF9yZWxzLy5yZWxzUEsBAi0AFAAGAAgAAAAhAAnTSys0AgAAYQQAAA4AAAAAAAAAAAAAAAAA&#10;LgIAAGRycy9lMm9Eb2MueG1sUEsBAi0AFAAGAAgAAAAhAG2/pYbdAAAABAEAAA8AAAAAAAAAAAAA&#10;AAAAjgQAAGRycy9kb3ducmV2LnhtbFBLBQYAAAAABAAEAPMAAACYBQAAAAA=&#10;" filled="f" stroked="f" strokeweight=".5pt">
              <v:textbox>
                <w:txbxContent>
                  <w:p w:rsidR="00304C83" w:rsidRDefault="00304C83"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sdt>
      <w:sdtPr>
        <w:rPr>
          <w:color w:val="000000" w:themeColor="text1"/>
          <w:sz w:val="24"/>
        </w:rPr>
        <w:alias w:val="Author"/>
        <w:id w:val="-1865279806"/>
        <w:placeholder>
          <w:docPart w:val="F9A79238F1AE478290D625DA6735207D"/>
        </w:placeholder>
        <w:dataBinding w:prefixMappings="xmlns:ns0='http://schemas.openxmlformats.org/package/2006/metadata/core-properties' xmlns:ns1='http://purl.org/dc/elements/1.1/'" w:xpath="/ns0:coreProperties[1]/ns1:creator[1]" w:storeItemID="{6C3C8BC8-F283-45AE-878A-BAB7291924A1}"/>
        <w:text/>
      </w:sdtPr>
      <w:sdtEndPr/>
      <w:sdtContent>
        <w:r>
          <w:rPr>
            <w:color w:val="000000" w:themeColor="text1"/>
            <w:sz w:val="24"/>
          </w:rPr>
          <w:t>September 2013 JEFG Report</w:t>
        </w:r>
      </w:sdtContent>
    </w:sdt>
  </w:p>
  <w:p w:rsidR="00304C83" w:rsidRDefault="00304C83">
    <w:pPr>
      <w:pStyle w:val="Footer"/>
    </w:pPr>
    <w:r>
      <w:rPr>
        <w:noProof/>
        <w:color w:val="4F81BD" w:themeColor="accent1"/>
        <w:lang w:eastAsia="en-AU"/>
      </w:rPr>
      <mc:AlternateContent>
        <mc:Choice Requires="wps">
          <w:drawing>
            <wp:anchor distT="91440" distB="91440" distL="114300" distR="114300" simplePos="0" relativeHeight="251660288" behindDoc="1" locked="0" layoutInCell="1" allowOverlap="1" wp14:anchorId="48592EF6" wp14:editId="206B7095">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4C83" w:rsidRDefault="00304C83">
    <w:pPr>
      <w:pStyle w:val="Footer"/>
      <w:ind w:right="360"/>
      <w:jc w:val="right"/>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rsidP="001E61ED">
    <w:pPr>
      <w:pStyle w:val="Footer"/>
    </w:pPr>
    <w:r>
      <w:rPr>
        <w:noProof/>
        <w:lang w:eastAsia="en-AU"/>
      </w:rPr>
      <mc:AlternateContent>
        <mc:Choice Requires="wps">
          <w:drawing>
            <wp:anchor distT="0" distB="0" distL="114300" distR="114300" simplePos="0" relativeHeight="251680768" behindDoc="0" locked="0" layoutInCell="1" allowOverlap="1" wp14:anchorId="78B0DEC2" wp14:editId="345EA5A6">
              <wp:simplePos x="0" y="0"/>
              <wp:positionH relativeFrom="column">
                <wp:posOffset>-339725</wp:posOffset>
              </wp:positionH>
              <wp:positionV relativeFrom="paragraph">
                <wp:posOffset>-5715</wp:posOffset>
              </wp:positionV>
              <wp:extent cx="6819900" cy="330200"/>
              <wp:effectExtent l="0" t="0" r="0" b="0"/>
              <wp:wrapNone/>
              <wp:docPr id="22" name="Rectangle 22"/>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304C83" w:rsidRPr="001E61ED" w:rsidRDefault="00304C83"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March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517AF5">
                            <w:rPr>
                              <w:rFonts w:asciiTheme="minorHAnsi" w:hAnsiTheme="minorHAnsi" w:cs="Arial"/>
                              <w:b/>
                              <w:noProof/>
                              <w:sz w:val="24"/>
                              <w14:props3d w14:extrusionH="57150" w14:contourW="0" w14:prstMaterial="warmMatte">
                                <w14:bevelT w14:w="0" w14:h="0" w14:prst="circle"/>
                                <w14:bevelB w14:w="0" w14:h="0" w14:prst="circle"/>
                              </w14:props3d>
                            </w:rPr>
                            <w:t>5</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left:0;text-align:left;margin-left:-26.75pt;margin-top:-.45pt;width:537pt;height: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E2KwMAALQGAAAOAAAAZHJzL2Uyb0RvYy54bWysVdtOGzEQfa/Uf7D8DrmQNBCxQSkobSUK&#10;qFDx7Hi9F8lru7Zz69f3jHcTUsoT6j444/F4PHPmzOTyattotlY+1NZkfHDa50wZafPalBn/+bQ4&#10;OecsRGFyoa1RGd+pwK9mHz9cbtxUDW1lda48gxMTphuX8SpGN+31gqxUI8KpdcrgsLC+ERFbX/Zy&#10;Lzbw3ujesN//1NtYnztvpQoB2pv2kM+S/6JQMt4XRVCR6YwjtphWn9Ylrb3ZpZiWXriqll0Y4h1R&#10;NKI2ePTg6kZEwVa+/sdVU0tvgy3iqbRNzxZFLVXKAdkM+q+yeayEUykXgBPcAabw/9zKu/WDZ3We&#10;8eGQMyMa1OgHUBOm1IpBB4A2Lkxh9+gefLcLECnbbeEb+kUebJtA3R1AVdvIJJSfzgcXF31gL3F2&#10;dtZH1chp7+W28yF+UbZhJGTc4/mEpVjfhtia7k06iPNFrTUrdA3GGPCKM2/jcx2rhBh42NYi4H66&#10;EZizAG3Qpy+dBV8ur7Vna0HEwLdYdFGV4fhKZ010VAf7uG0f0Kvmu81bH5MxuUa0Ygo1SNeqh3s1&#10;8k2kJi8p+7/fGUwOke3C4SEQPbcbzrQIEcqML9L3ZqTv9YDAyj1QTsSK0ZJxWXupiXxiWgDsJ0us&#10;oC7qQKRW6sSuRLhG1rHWKtki3JO9MXptL7fWaLlUxISXYRvwbzxKLBGoaaFFBGEaB14GU3ImdInx&#10;IqNPARlL9U9YEzFuRKhatIPVdd6how35VmkGdDwiIrfUJSlul9vE/AHdIM3S5jt0A7iUuBycXNTw&#10;fwv0H4THXACLMeviPZZCWwRtO4mzyvrfb+nJHu2KU842mDNI6NdKeFBWfzPg5MVgNKLBlDaj8WSI&#10;jT8+WR6fmFVzbakImKpOJpHso96LhbfNM0binF7FkTASb7fQdZvriD2OMFSlms+TjGGEst+aRyfJ&#10;OSFHyD5tn4V3XV9GdPSd3c8kMX3Vnq0t3TR2voq2qKl3wXp3ljNc9Sv6j/ia8fFkMG7baqnWSj9R&#10;8REOONf1T1J/fqWm/oEntM5LpboNRmPbUe0Yp9l7vE9WL382sz8AAAD//wMAUEsDBBQABgAIAAAA&#10;IQDhUerg3gAAAAkBAAAPAAAAZHJzL2Rvd25yZXYueG1sTI9PT8MwDMXvSHyHyEhc0JZ0qPwpTSeY&#10;BDcOKwhx9FrTVmucrsm27tvjneBm+z0//5wvJ9erA42h82whmRtQxJWvO24sfH68zh5AhYhcY++Z&#10;LJwowLK4vMgxq/2R13QoY6MkhEOGFtoYh0zrULXkMMz9QCzajx8dRmnHRtcjHiXc9XphzJ122LFc&#10;aHGgVUvVttw7wbhZbbF72/F3eDHvX/fl7lSVaO311fT8BCrSFP/McMaXHSiEaeP3XAfVW5ilt6lY&#10;pXgEddbNwshgYyFNEtBFrv9/UPwCAAD//wMAUEsBAi0AFAAGAAgAAAAhALaDOJL+AAAA4QEAABMA&#10;AAAAAAAAAAAAAAAAAAAAAFtDb250ZW50X1R5cGVzXS54bWxQSwECLQAUAAYACAAAACEAOP0h/9YA&#10;AACUAQAACwAAAAAAAAAAAAAAAAAvAQAAX3JlbHMvLnJlbHNQSwECLQAUAAYACAAAACEAFg9RNisD&#10;AAC0BgAADgAAAAAAAAAAAAAAAAAuAgAAZHJzL2Uyb0RvYy54bWxQSwECLQAUAAYACAAAACEA4VHq&#10;4N4AAAAJAQAADwAAAAAAAAAAAAAAAACFBQAAZHJzL2Rvd25yZXYueG1sUEsFBgAAAAAEAAQA8wAA&#10;AJAGAAAAAA==&#10;" fillcolor="#404040 [2429]" stroked="f" strokeweight="2pt">
              <v:fill color2="blue" rotate="t" focusposition="1,1" focussize="" colors="0 #404040;11141f window;11141f window;1 blue" focus="100%" type="gradientRadial"/>
              <v:textbox>
                <w:txbxContent>
                  <w:p w:rsidR="00304C83" w:rsidRPr="001E61ED" w:rsidRDefault="00304C83"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March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517AF5">
                      <w:rPr>
                        <w:rFonts w:asciiTheme="minorHAnsi" w:hAnsiTheme="minorHAnsi" w:cs="Arial"/>
                        <w:b/>
                        <w:noProof/>
                        <w:sz w:val="24"/>
                        <w14:props3d w14:extrusionH="57150" w14:contourW="0" w14:prstMaterial="warmMatte">
                          <w14:bevelT w14:w="0" w14:h="0" w14:prst="circle"/>
                          <w14:bevelB w14:w="0" w14:h="0" w14:prst="circle"/>
                        </w14:props3d>
                      </w:rPr>
                      <w:t>5</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4C83" w:rsidRDefault="00304C83">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Footer"/>
      <w:ind w:right="360"/>
      <w:jc w:val="right"/>
    </w:pPr>
    <w:r>
      <w:rPr>
        <w:noProof/>
        <w:lang w:eastAsia="en-AU"/>
      </w:rPr>
      <mc:AlternateContent>
        <mc:Choice Requires="wps">
          <w:drawing>
            <wp:anchor distT="0" distB="0" distL="114300" distR="114300" simplePos="0" relativeHeight="251682816" behindDoc="0" locked="0" layoutInCell="1" allowOverlap="1" wp14:anchorId="2E059DCF" wp14:editId="2883D323">
              <wp:simplePos x="0" y="0"/>
              <wp:positionH relativeFrom="column">
                <wp:posOffset>-349250</wp:posOffset>
              </wp:positionH>
              <wp:positionV relativeFrom="paragraph">
                <wp:posOffset>-34290</wp:posOffset>
              </wp:positionV>
              <wp:extent cx="6819900" cy="330200"/>
              <wp:effectExtent l="0" t="0" r="0" b="0"/>
              <wp:wrapNone/>
              <wp:docPr id="23" name="Rectangle 23"/>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304C83" w:rsidRPr="001E61ED" w:rsidRDefault="00304C83"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March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517AF5">
                            <w:rPr>
                              <w:rFonts w:asciiTheme="minorHAnsi" w:hAnsiTheme="minorHAnsi" w:cs="Arial"/>
                              <w:b/>
                              <w:noProof/>
                              <w:sz w:val="24"/>
                              <w14:props3d w14:extrusionH="57150" w14:contourW="0" w14:prstMaterial="warmMatte">
                                <w14:bevelT w14:w="0" w14:h="0" w14:prst="circle"/>
                                <w14:bevelB w14:w="0" w14:h="0" w14:prst="circle"/>
                              </w14:props3d>
                            </w:rPr>
                            <w:t>6</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3" o:spid="_x0000_s1028" style="position:absolute;left:0;text-align:left;margin-left:-27.5pt;margin-top:-2.7pt;width:537pt;height: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paKQMAALQGAAAOAAAAZHJzL2Uyb0RvYy54bWysVdtOGzEQfa/Uf7D8Drk3sGJBKShtJQqo&#10;UPHseL0XyWu7tnOhX98z3k2glCfUfXDG4/F45syZydnFrtVso3xorMn56HjImTLSFo2pcv7zYXl0&#10;wlmIwhRCW6Ny/qQCvzj/+OFs6zI1trXVhfIMTkzIti7ndYwuGwyCrFUrwrF1yuCwtL4VEVtfDQov&#10;tvDe6sF4OPw02FpfOG+lCgHaq+6Qnyf/ZalkvC3LoCLTOUdsMa0+rStaB+dnIqu8cHUj+zDEO6Jo&#10;RWPw6MHVlYiCrX3zj6u2kd4GW8ZjaduBLctGqpQDshkNX2VzXwunUi4AJ7gDTOH/uZU3mzvPmiLn&#10;4wlnRrSo0Q+gJkylFYMOAG1dyGB37+58vwsQKdtd6Vv6RR5sl0B9OoCqdpFJKD+djE5Ph8Be4mwy&#10;GaJq5HTwfNv5EL8o2zIScu7xfMJSbK5D7Ez3Jj3ExbLRmpW6AWMMeMWZt/GxiXVCDDzsahFwP90I&#10;zFmANhrSl86Cr1aX2rONIGLgWy77qKrw8kpvTXRUB/u46x7Q6/a7LTof8xm5RrQigxqk69TjvRr5&#10;JlKTl5T93++M5ofInsLhIRC9sFvOtAgRypwv0/dmpO/1gMCqPVBOxJrRknPZeKmJfCIrAfaDJVZQ&#10;F/UgUiv1Yl8iXCPr2GiVbBHu0d4YvbaXO2u0XCpiwsuwLfg3myaWCNS01CKCMK0DL4OpOBO6wniR&#10;0aeAjKX6J6yJGFci1B3aweqm6NHRhnyrNAN6HhGRO+qSFHerXcd8ukGalS2e0A3gUuJycHLZwP81&#10;0L8THnMBLMasi7dYSm0RtO0lzmrrf7+lJ3u0K04522LOIKFfa+FBWf3NgJOno+mUBlPaTGfzMTb+&#10;5cnq5YlZt5eWioCp6mQSyT7qvVh62z5iJC7oVRwJI/F2B12/uYzY4whDVarFIskYRij7tbl3kpwT&#10;coTsw+5ReNf3ZURH39j9TBLZq/bsbOmmsYt1tGVDvQvWu0nBcNWv6T/ia85n89Gsa6uV2ij9QMVH&#10;OOBc3z9J/fmVmvoHntA6z5XqNxiNXUd1Y5xm78t9snr+szn/AwAA//8DAFBLAwQUAAYACAAAACEA&#10;yqNLVN4AAAAKAQAADwAAAGRycy9kb3ducmV2LnhtbEyPT0/DMAzF70h8h8hIXNCWDG0FStMJJsGN&#10;AwUhjl5r2mqN0zXZ1n173BPc/Of5+fey9eg6daQhtJ4tLOYGFHHpq5ZrC58fL7N7UCEiV9h5Jgtn&#10;CrDOLy8yTCt/4nc6FrFWYsIhRQtNjH2qdSgbchjmvieW3Y8fHEZph1pXA57E3HX61phEO2xZPjTY&#10;06ahclccnGDcbHbYvu75Ozybt6+7Yn8uC7T2+mp8egQVaYx/Ypjw5QZyYdr6A1dBdRZmq5VkiVOx&#10;BDUJzOJBJlsLyyQBnWf6f4T8FwAA//8DAFBLAQItABQABgAIAAAAIQC2gziS/gAAAOEBAAATAAAA&#10;AAAAAAAAAAAAAAAAAABbQ29udGVudF9UeXBlc10ueG1sUEsBAi0AFAAGAAgAAAAhADj9If/WAAAA&#10;lAEAAAsAAAAAAAAAAAAAAAAALwEAAF9yZWxzLy5yZWxzUEsBAi0AFAAGAAgAAAAhAFRQilopAwAA&#10;tAYAAA4AAAAAAAAAAAAAAAAALgIAAGRycy9lMm9Eb2MueG1sUEsBAi0AFAAGAAgAAAAhAMqjS1Te&#10;AAAACgEAAA8AAAAAAAAAAAAAAAAAgwUAAGRycy9kb3ducmV2LnhtbFBLBQYAAAAABAAEAPMAAACO&#10;BgAAAAA=&#10;" fillcolor="#404040 [2429]" stroked="f" strokeweight="2pt">
              <v:fill color2="blue" rotate="t" focusposition="1,1" focussize="" colors="0 #404040;11141f window;11141f window;1 blue" focus="100%" type="gradientRadial"/>
              <v:textbox>
                <w:txbxContent>
                  <w:p w:rsidR="00304C83" w:rsidRPr="001E61ED" w:rsidRDefault="00304C83"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March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517AF5">
                      <w:rPr>
                        <w:rFonts w:asciiTheme="minorHAnsi" w:hAnsiTheme="minorHAnsi" w:cs="Arial"/>
                        <w:b/>
                        <w:noProof/>
                        <w:sz w:val="24"/>
                        <w14:props3d w14:extrusionH="57150" w14:contourW="0" w14:prstMaterial="warmMatte">
                          <w14:bevelT w14:w="0" w14:h="0" w14:prst="circle"/>
                          <w14:bevelB w14:w="0" w14:h="0" w14:prst="circle"/>
                        </w14:props3d>
                      </w:rPr>
                      <w:t>6</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4C83" w:rsidRDefault="00304C83">
    <w:pPr>
      <w:pStyle w:val="Footer"/>
      <w:ind w:right="360"/>
      <w:jc w:val="right"/>
    </w:pPr>
    <w:r>
      <w:fldChar w:fldCharType="begin"/>
    </w:r>
    <w:r>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Footer"/>
      <w:ind w:right="360"/>
      <w:jc w:val="right"/>
    </w:pPr>
    <w:r>
      <w:rPr>
        <w:noProof/>
        <w:lang w:eastAsia="en-AU"/>
      </w:rPr>
      <mc:AlternateContent>
        <mc:Choice Requires="wps">
          <w:drawing>
            <wp:anchor distT="0" distB="0" distL="114300" distR="114300" simplePos="0" relativeHeight="251686912" behindDoc="0" locked="0" layoutInCell="1" allowOverlap="1" wp14:anchorId="64479D62" wp14:editId="2A6DB73B">
              <wp:simplePos x="0" y="0"/>
              <wp:positionH relativeFrom="column">
                <wp:posOffset>-292100</wp:posOffset>
              </wp:positionH>
              <wp:positionV relativeFrom="paragraph">
                <wp:posOffset>-24765</wp:posOffset>
              </wp:positionV>
              <wp:extent cx="6819900" cy="330200"/>
              <wp:effectExtent l="0" t="0" r="0" b="0"/>
              <wp:wrapNone/>
              <wp:docPr id="25" name="Rectangle 25"/>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304C83" w:rsidRPr="001E61ED" w:rsidRDefault="00304C83"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March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517AF5">
                            <w:rPr>
                              <w:rFonts w:asciiTheme="minorHAnsi" w:hAnsiTheme="minorHAnsi" w:cs="Arial"/>
                              <w:b/>
                              <w:noProof/>
                              <w:sz w:val="24"/>
                              <w14:props3d w14:extrusionH="57150" w14:contourW="0" w14:prstMaterial="warmMatte">
                                <w14:bevelT w14:w="0" w14:h="0" w14:prst="circle"/>
                                <w14:bevelB w14:w="0" w14:h="0" w14:prst="circle"/>
                              </w14:props3d>
                            </w:rPr>
                            <w:t>18</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5" o:spid="_x0000_s1029" style="position:absolute;left:0;text-align:left;margin-left:-23pt;margin-top:-1.95pt;width:537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IRKQMAALQGAAAOAAAAZHJzL2Uyb0RvYy54bWysVdtOGzEQfa/Uf7D8Drk3sGJBKShtJQqo&#10;UPHseL0XyWu7tnOhX98z3k2glCfUfXDG4/F45syZydnFrtVso3xorMn56HjImTLSFo2pcv7zYXl0&#10;wlmIwhRCW6Ny/qQCvzj/+OFs6zI1trXVhfIMTkzIti7ndYwuGwyCrFUrwrF1yuCwtL4VEVtfDQov&#10;tvDe6sF4OPw02FpfOG+lCgHaq+6Qnyf/ZalkvC3LoCLTOUdsMa0+rStaB+dnIqu8cHUj+zDEO6Jo&#10;RWPw6MHVlYiCrX3zj6u2kd4GW8ZjaduBLctGqpQDshkNX2VzXwunUi4AJ7gDTOH/uZU3mzvPmiLn&#10;4xlnRrSo0Q+gJkylFYMOAG1dyGB37+58vwsQKdtd6Vv6RR5sl0B9OoCqdpFJKD+djE5Ph8Be4mwy&#10;GaJq5HTwfNv5EL8o2zIScu7xfMJSbK5D7Ez3Jj3ExbLRmpW6AWMMeMWZt/GxiXVCDDzsahFwP90I&#10;zFmANhrSl86Cr1aX2rONIGLgWy77qKrw8kpvTXRUB/u46x7Q6/a7LTof8xm5RrQigxqk69TjvRr5&#10;JlKTl5T93++M5ofInsLhIRC9sFvOtAgRypwv0/dmpO/1gMCqPVBOxJrRknPZeKmJfCIrAfaDJVZQ&#10;F/UgUiv1Yl8iXCPr2GiVbBHu0d4YvbaXO2u0XCpiwsuwLfFvmlgiUNNSiwjCtA68DKbiTOgK40VG&#10;nwIyluqfsCZiXIlQd2gHq5uiR0cb8q3SDOh5RETuqEtS3K12ifkTukGalS2e0A3gUuJycHLZwP81&#10;0L8THnMBLMasi7dYSm0RtO0lzmrrf7+lJ3u0K04522LOIKFfa+FBWf3NgJOno+mUBlPaTGfzMTb+&#10;5cnq5YlZt5eWioCp6mQSyT7qvVh62z5iJC7oVRwJI/F2B12/uYzY4whDVarFIskYRij7tbl3kpwT&#10;coTsw+5ReNf3ZURH39j9TBLZq/bsbOmmsYt1tGVDvQvWu0nBcNWv6T/ia85n89Gsa6uV2ij9QMVH&#10;OOBc3z9J/fmVmvoHntA6z5XqNxiNXUd1Y5xm78t9snr+szn/AwAA//8DAFBLAwQUAAYACAAAACEA&#10;V77G498AAAAKAQAADwAAAGRycy9kb3ducmV2LnhtbEyPT0/CQBDF7yZ+h82YeDGwBQnW2i1REr15&#10;oBrjceiObUN3tnQXKN/e4aS3+fPmze/lq9F16khDaD0bmE0TUMSVty3XBj4/XicpqBCRLXaeycCZ&#10;AqyK66scM+tPvKFjGWslJhwyNNDE2Gdah6ohh2Hqe2LZ/fjBYZR2qLUd8CTmrtPzJFlqhy3LhwZ7&#10;WjdU7cqDE4y79Q7btz1/h5fk/euh3J+rEo25vRmfn0BFGuOfGC74cgOFMG39gW1QnYHJYilZohT3&#10;j6AugmSeymRrYJHOQBe5/h+h+AUAAP//AwBQSwECLQAUAAYACAAAACEAtoM4kv4AAADhAQAAEwAA&#10;AAAAAAAAAAAAAAAAAAAAW0NvbnRlbnRfVHlwZXNdLnhtbFBLAQItABQABgAIAAAAIQA4/SH/1gAA&#10;AJQBAAALAAAAAAAAAAAAAAAAAC8BAABfcmVscy8ucmVsc1BLAQItABQABgAIAAAAIQBjUDIRKQMA&#10;ALQGAAAOAAAAAAAAAAAAAAAAAC4CAABkcnMvZTJvRG9jLnhtbFBLAQItABQABgAIAAAAIQBXvsbj&#10;3wAAAAoBAAAPAAAAAAAAAAAAAAAAAIMFAABkcnMvZG93bnJldi54bWxQSwUGAAAAAAQABADzAAAA&#10;jwYAAAAA&#10;" fillcolor="#404040 [2429]" stroked="f" strokeweight="2pt">
              <v:fill color2="blue" rotate="t" focusposition="1,1" focussize="" colors="0 #404040;11141f window;11141f window;1 blue" focus="100%" type="gradientRadial"/>
              <v:textbox>
                <w:txbxContent>
                  <w:p w:rsidR="00304C83" w:rsidRPr="001E61ED" w:rsidRDefault="00304C83"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March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517AF5">
                      <w:rPr>
                        <w:rFonts w:asciiTheme="minorHAnsi" w:hAnsiTheme="minorHAnsi" w:cs="Arial"/>
                        <w:b/>
                        <w:noProof/>
                        <w:sz w:val="24"/>
                        <w14:props3d w14:extrusionH="57150" w14:contourW="0" w14:prstMaterial="warmMatte">
                          <w14:bevelT w14:w="0" w14:h="0" w14:prst="circle"/>
                          <w14:bevelB w14:w="0" w14:h="0" w14:prst="circle"/>
                        </w14:props3d>
                      </w:rPr>
                      <w:t>18</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64" w:rsidRDefault="00B21164">
      <w:pPr>
        <w:pStyle w:val="TableBodyText"/>
        <w:spacing w:before="120" w:after="120"/>
      </w:pPr>
      <w:r>
        <w:separator/>
      </w:r>
    </w:p>
  </w:footnote>
  <w:footnote w:type="continuationSeparator" w:id="0">
    <w:p w:rsidR="00B21164" w:rsidRDefault="00B21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Pr="00704E0D" w:rsidRDefault="00304C83" w:rsidP="00704E0D">
    <w:pPr>
      <w:pStyle w:val="StatementContentsHeading"/>
      <w:rPr>
        <w:sz w:val="20"/>
        <w:szCs w:val="20"/>
      </w:rPr>
    </w:pPr>
    <w:r w:rsidRPr="00704E0D">
      <w:rPr>
        <w:sz w:val="20"/>
        <w:szCs w:val="20"/>
      </w:rPr>
      <w:t xml:space="preserve">PROTECTED </w:t>
    </w:r>
  </w:p>
  <w:p w:rsidR="00304C83" w:rsidRDefault="00304C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304C83">
    <w:pPr>
      <w:pStyle w:val="Header"/>
    </w:pPr>
    <w:r>
      <w:rPr>
        <w:noProof/>
        <w:lang w:eastAsia="en-AU"/>
      </w:rPr>
      <w:drawing>
        <wp:anchor distT="0" distB="0" distL="114300" distR="114300" simplePos="0" relativeHeight="251678720" behindDoc="0" locked="0" layoutInCell="1" allowOverlap="1" wp14:anchorId="54CAB61B" wp14:editId="7FB90990">
          <wp:simplePos x="0" y="0"/>
          <wp:positionH relativeFrom="column">
            <wp:posOffset>-158597</wp:posOffset>
          </wp:positionH>
          <wp:positionV relativeFrom="paragraph">
            <wp:posOffset>41275</wp:posOffset>
          </wp:positionV>
          <wp:extent cx="1228725" cy="765259"/>
          <wp:effectExtent l="0" t="0" r="0" b="0"/>
          <wp:wrapNone/>
          <wp:docPr id="1" name="Picture 1" descr="H:\MCD\Publishing\Graphic Design Services Team\Digital_Assets\Logos\The Treasury\STACKED\PC\The Treasury_stacked_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CD\Publishing\Graphic Design Services Team\Digital_Assets\Logos\The Treasury\STACKED\PC\The Treasury_stacked_R.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65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B21164">
    <w:pPr>
      <w:framePr w:wrap="around" w:vAnchor="page" w:hAnchor="margin" w:x="14460" w:y="7939" w:anchorLock="1"/>
      <w:rPr>
        <w:rStyle w:val="FramedHeader"/>
      </w:rPr>
    </w:pPr>
    <w:fldSimple w:instr=" TITLE  \* MERGEFORMAT ">
      <w:r w:rsidR="006E10B1" w:rsidRPr="006E10B1">
        <w:rPr>
          <w:rStyle w:val="FramedHeader"/>
        </w:rPr>
        <w:t>March 06 Forecasting Report</w:t>
      </w:r>
    </w:fldSimple>
  </w:p>
  <w:p w:rsidR="00304C83" w:rsidRDefault="00304C83">
    <w:pPr>
      <w:pStyle w:val="Header"/>
      <w:jc w:val="center"/>
      <w:rPr>
        <w:b/>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B21164">
    <w:pPr>
      <w:framePr w:wrap="around" w:vAnchor="page" w:hAnchor="margin" w:x="14460" w:y="7939" w:anchorLock="1"/>
      <w:rPr>
        <w:rStyle w:val="FramedHeader"/>
      </w:rPr>
    </w:pPr>
    <w:fldSimple w:instr=" TITLE  \* MERGEFORMAT ">
      <w:r w:rsidR="006E10B1" w:rsidRPr="006E10B1">
        <w:rPr>
          <w:rStyle w:val="FramedHeader"/>
        </w:rPr>
        <w:t>March 06 Forecasting Report</w:t>
      </w:r>
    </w:fldSimple>
  </w:p>
  <w:p w:rsidR="00304C83" w:rsidRDefault="00304C83">
    <w:pPr>
      <w:pStyle w:val="Header"/>
      <w:jc w:val="center"/>
      <w:rPr>
        <w:b/>
        <w:sz w:val="24"/>
      </w:rPr>
    </w:pPr>
    <w:r>
      <w:rPr>
        <w:rStyle w:val="FramedHeader"/>
      </w:rPr>
      <w:t>PROTECTED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83" w:rsidRDefault="00B21164">
    <w:pPr>
      <w:framePr w:wrap="around" w:vAnchor="page" w:hAnchor="margin" w:x="14460" w:y="7939" w:anchorLock="1"/>
      <w:rPr>
        <w:rStyle w:val="FramedHeader"/>
      </w:rPr>
    </w:pPr>
    <w:fldSimple w:instr=" TITLE  \* MERGEFORMAT ">
      <w:r w:rsidR="006E10B1" w:rsidRPr="006E10B1">
        <w:rPr>
          <w:rStyle w:val="FramedHeader"/>
        </w:rPr>
        <w:t>March 06 Forecasting Report</w:t>
      </w:r>
    </w:fldSimple>
  </w:p>
  <w:p w:rsidR="00304C83" w:rsidRDefault="00304C83">
    <w:pPr>
      <w:pStyle w:val="Header"/>
      <w:jc w:val="center"/>
      <w:rPr>
        <w:b/>
        <w:sz w:val="24"/>
      </w:rPr>
    </w:pPr>
    <w:r>
      <w:rPr>
        <w:rStyle w:val="FramedHeader"/>
      </w:rPr>
      <w:t>PROTECTED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3003"/>
    <w:multiLevelType w:val="multilevel"/>
    <w:tmpl w:val="5840E6A4"/>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
    <w:nsid w:val="6A3F4C17"/>
    <w:multiLevelType w:val="multilevel"/>
    <w:tmpl w:val="4BEAABE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421"/>
    <w:rsid w:val="0000078B"/>
    <w:rsid w:val="000007E9"/>
    <w:rsid w:val="00000A26"/>
    <w:rsid w:val="00000E3B"/>
    <w:rsid w:val="00000F89"/>
    <w:rsid w:val="00000FF6"/>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75"/>
    <w:rsid w:val="00010FD8"/>
    <w:rsid w:val="000111F8"/>
    <w:rsid w:val="0001176F"/>
    <w:rsid w:val="00011C71"/>
    <w:rsid w:val="00012704"/>
    <w:rsid w:val="00012A49"/>
    <w:rsid w:val="00012B6C"/>
    <w:rsid w:val="00012B77"/>
    <w:rsid w:val="00012D40"/>
    <w:rsid w:val="00013369"/>
    <w:rsid w:val="000133E2"/>
    <w:rsid w:val="0001418B"/>
    <w:rsid w:val="000144FD"/>
    <w:rsid w:val="0001469E"/>
    <w:rsid w:val="00014930"/>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06"/>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840"/>
    <w:rsid w:val="00021D40"/>
    <w:rsid w:val="00021FD2"/>
    <w:rsid w:val="0002203F"/>
    <w:rsid w:val="00022821"/>
    <w:rsid w:val="00022ABD"/>
    <w:rsid w:val="00022BBD"/>
    <w:rsid w:val="00022DE1"/>
    <w:rsid w:val="00023203"/>
    <w:rsid w:val="00023403"/>
    <w:rsid w:val="0002345B"/>
    <w:rsid w:val="000237FC"/>
    <w:rsid w:val="00024381"/>
    <w:rsid w:val="000243A7"/>
    <w:rsid w:val="0002477A"/>
    <w:rsid w:val="00024D6D"/>
    <w:rsid w:val="000250E5"/>
    <w:rsid w:val="00025281"/>
    <w:rsid w:val="000258BF"/>
    <w:rsid w:val="000258CC"/>
    <w:rsid w:val="00025946"/>
    <w:rsid w:val="00025AC6"/>
    <w:rsid w:val="00025AF2"/>
    <w:rsid w:val="00025B16"/>
    <w:rsid w:val="00026305"/>
    <w:rsid w:val="0002670C"/>
    <w:rsid w:val="000268F1"/>
    <w:rsid w:val="00026F4A"/>
    <w:rsid w:val="000278EB"/>
    <w:rsid w:val="00027C06"/>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2F3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6FF1"/>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1E62"/>
    <w:rsid w:val="000426EA"/>
    <w:rsid w:val="00042D41"/>
    <w:rsid w:val="00042E8C"/>
    <w:rsid w:val="00043018"/>
    <w:rsid w:val="000430A2"/>
    <w:rsid w:val="00043EBF"/>
    <w:rsid w:val="00044569"/>
    <w:rsid w:val="000449A9"/>
    <w:rsid w:val="00044A73"/>
    <w:rsid w:val="0004510F"/>
    <w:rsid w:val="00045533"/>
    <w:rsid w:val="0004566C"/>
    <w:rsid w:val="000458F6"/>
    <w:rsid w:val="00045976"/>
    <w:rsid w:val="000459F5"/>
    <w:rsid w:val="00046D2C"/>
    <w:rsid w:val="00047102"/>
    <w:rsid w:val="00047449"/>
    <w:rsid w:val="00047628"/>
    <w:rsid w:val="00047F8E"/>
    <w:rsid w:val="0005012C"/>
    <w:rsid w:val="000501BB"/>
    <w:rsid w:val="000501DE"/>
    <w:rsid w:val="00050750"/>
    <w:rsid w:val="00050A71"/>
    <w:rsid w:val="00050FB5"/>
    <w:rsid w:val="0005100D"/>
    <w:rsid w:val="000510A0"/>
    <w:rsid w:val="00051203"/>
    <w:rsid w:val="000516B9"/>
    <w:rsid w:val="00051A70"/>
    <w:rsid w:val="00052210"/>
    <w:rsid w:val="000523D3"/>
    <w:rsid w:val="00052BA9"/>
    <w:rsid w:val="00052D8C"/>
    <w:rsid w:val="00052EAF"/>
    <w:rsid w:val="000532DA"/>
    <w:rsid w:val="0005334E"/>
    <w:rsid w:val="000534CA"/>
    <w:rsid w:val="000537A7"/>
    <w:rsid w:val="000537E4"/>
    <w:rsid w:val="0005389A"/>
    <w:rsid w:val="00053DC6"/>
    <w:rsid w:val="00053E4E"/>
    <w:rsid w:val="000544A2"/>
    <w:rsid w:val="00054888"/>
    <w:rsid w:val="000549BC"/>
    <w:rsid w:val="00054ACC"/>
    <w:rsid w:val="00054D0B"/>
    <w:rsid w:val="00054F4F"/>
    <w:rsid w:val="0005513B"/>
    <w:rsid w:val="00055305"/>
    <w:rsid w:val="00055377"/>
    <w:rsid w:val="0005542F"/>
    <w:rsid w:val="00055F8E"/>
    <w:rsid w:val="000561D9"/>
    <w:rsid w:val="0005639B"/>
    <w:rsid w:val="000566BD"/>
    <w:rsid w:val="0005699F"/>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362"/>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81"/>
    <w:rsid w:val="000679BF"/>
    <w:rsid w:val="00067CA6"/>
    <w:rsid w:val="00070767"/>
    <w:rsid w:val="000707BB"/>
    <w:rsid w:val="000709C8"/>
    <w:rsid w:val="00070B41"/>
    <w:rsid w:val="00070E1C"/>
    <w:rsid w:val="00071129"/>
    <w:rsid w:val="00071AF8"/>
    <w:rsid w:val="00071D8C"/>
    <w:rsid w:val="0007238A"/>
    <w:rsid w:val="00073003"/>
    <w:rsid w:val="000736F9"/>
    <w:rsid w:val="00073E40"/>
    <w:rsid w:val="00074186"/>
    <w:rsid w:val="00074216"/>
    <w:rsid w:val="0007428B"/>
    <w:rsid w:val="000742DD"/>
    <w:rsid w:val="0007438D"/>
    <w:rsid w:val="0007444C"/>
    <w:rsid w:val="0007453A"/>
    <w:rsid w:val="0007456F"/>
    <w:rsid w:val="000747B3"/>
    <w:rsid w:val="00074D26"/>
    <w:rsid w:val="000753F5"/>
    <w:rsid w:val="00075889"/>
    <w:rsid w:val="000763A2"/>
    <w:rsid w:val="000765B4"/>
    <w:rsid w:val="000769DE"/>
    <w:rsid w:val="00076B12"/>
    <w:rsid w:val="00076B2B"/>
    <w:rsid w:val="00076EF4"/>
    <w:rsid w:val="0007712B"/>
    <w:rsid w:val="000773F4"/>
    <w:rsid w:val="000779E7"/>
    <w:rsid w:val="0008026B"/>
    <w:rsid w:val="000805E2"/>
    <w:rsid w:val="00080673"/>
    <w:rsid w:val="00080DD8"/>
    <w:rsid w:val="0008103D"/>
    <w:rsid w:val="00081333"/>
    <w:rsid w:val="0008183C"/>
    <w:rsid w:val="00081C5A"/>
    <w:rsid w:val="00081FB3"/>
    <w:rsid w:val="00082638"/>
    <w:rsid w:val="00082A9F"/>
    <w:rsid w:val="00082E6A"/>
    <w:rsid w:val="00083320"/>
    <w:rsid w:val="000839BF"/>
    <w:rsid w:val="000839C7"/>
    <w:rsid w:val="00083DC9"/>
    <w:rsid w:val="00083EB5"/>
    <w:rsid w:val="00083EC2"/>
    <w:rsid w:val="00083F62"/>
    <w:rsid w:val="000847D7"/>
    <w:rsid w:val="00084887"/>
    <w:rsid w:val="00084AA3"/>
    <w:rsid w:val="00085314"/>
    <w:rsid w:val="00085741"/>
    <w:rsid w:val="00085A30"/>
    <w:rsid w:val="00085D16"/>
    <w:rsid w:val="00085FEA"/>
    <w:rsid w:val="00086191"/>
    <w:rsid w:val="00086271"/>
    <w:rsid w:val="0008641A"/>
    <w:rsid w:val="00086772"/>
    <w:rsid w:val="000868D7"/>
    <w:rsid w:val="00086BDC"/>
    <w:rsid w:val="00086D25"/>
    <w:rsid w:val="00086D69"/>
    <w:rsid w:val="00087675"/>
    <w:rsid w:val="000903B0"/>
    <w:rsid w:val="00090E63"/>
    <w:rsid w:val="00090F1C"/>
    <w:rsid w:val="0009108E"/>
    <w:rsid w:val="00091161"/>
    <w:rsid w:val="000911BE"/>
    <w:rsid w:val="000912DF"/>
    <w:rsid w:val="000914F6"/>
    <w:rsid w:val="00091589"/>
    <w:rsid w:val="0009171F"/>
    <w:rsid w:val="000918B2"/>
    <w:rsid w:val="00091992"/>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343"/>
    <w:rsid w:val="000967A8"/>
    <w:rsid w:val="00096846"/>
    <w:rsid w:val="00096D8E"/>
    <w:rsid w:val="0009720F"/>
    <w:rsid w:val="00097478"/>
    <w:rsid w:val="0009771A"/>
    <w:rsid w:val="00097B8F"/>
    <w:rsid w:val="00097EE8"/>
    <w:rsid w:val="000A00EB"/>
    <w:rsid w:val="000A03AA"/>
    <w:rsid w:val="000A0B46"/>
    <w:rsid w:val="000A1CA8"/>
    <w:rsid w:val="000A1E38"/>
    <w:rsid w:val="000A254C"/>
    <w:rsid w:val="000A2D08"/>
    <w:rsid w:val="000A2F3B"/>
    <w:rsid w:val="000A3014"/>
    <w:rsid w:val="000A341E"/>
    <w:rsid w:val="000A351A"/>
    <w:rsid w:val="000A35C5"/>
    <w:rsid w:val="000A3E05"/>
    <w:rsid w:val="000A3E4C"/>
    <w:rsid w:val="000A4079"/>
    <w:rsid w:val="000A43EF"/>
    <w:rsid w:val="000A48E0"/>
    <w:rsid w:val="000A4C88"/>
    <w:rsid w:val="000A52FF"/>
    <w:rsid w:val="000A53A4"/>
    <w:rsid w:val="000A541C"/>
    <w:rsid w:val="000A5514"/>
    <w:rsid w:val="000A5E00"/>
    <w:rsid w:val="000A5F56"/>
    <w:rsid w:val="000A620D"/>
    <w:rsid w:val="000A63CE"/>
    <w:rsid w:val="000A6C7C"/>
    <w:rsid w:val="000A6E3C"/>
    <w:rsid w:val="000A747F"/>
    <w:rsid w:val="000A74D4"/>
    <w:rsid w:val="000A7696"/>
    <w:rsid w:val="000A77F9"/>
    <w:rsid w:val="000A79FB"/>
    <w:rsid w:val="000A7D5E"/>
    <w:rsid w:val="000B00A1"/>
    <w:rsid w:val="000B050B"/>
    <w:rsid w:val="000B1226"/>
    <w:rsid w:val="000B1CCF"/>
    <w:rsid w:val="000B1DBB"/>
    <w:rsid w:val="000B1DEF"/>
    <w:rsid w:val="000B1E70"/>
    <w:rsid w:val="000B1FEF"/>
    <w:rsid w:val="000B2079"/>
    <w:rsid w:val="000B24BC"/>
    <w:rsid w:val="000B24D3"/>
    <w:rsid w:val="000B2636"/>
    <w:rsid w:val="000B2788"/>
    <w:rsid w:val="000B286A"/>
    <w:rsid w:val="000B2C27"/>
    <w:rsid w:val="000B2CCF"/>
    <w:rsid w:val="000B3011"/>
    <w:rsid w:val="000B36EC"/>
    <w:rsid w:val="000B3C04"/>
    <w:rsid w:val="000B3ED5"/>
    <w:rsid w:val="000B413C"/>
    <w:rsid w:val="000B4418"/>
    <w:rsid w:val="000B4B20"/>
    <w:rsid w:val="000B5084"/>
    <w:rsid w:val="000B5B92"/>
    <w:rsid w:val="000B5C5B"/>
    <w:rsid w:val="000B5C6E"/>
    <w:rsid w:val="000B5D54"/>
    <w:rsid w:val="000B5D87"/>
    <w:rsid w:val="000B5ED5"/>
    <w:rsid w:val="000B629A"/>
    <w:rsid w:val="000B62E0"/>
    <w:rsid w:val="000B65B3"/>
    <w:rsid w:val="000B679B"/>
    <w:rsid w:val="000B67AB"/>
    <w:rsid w:val="000B69FC"/>
    <w:rsid w:val="000B6D16"/>
    <w:rsid w:val="000B6E9D"/>
    <w:rsid w:val="000B74B0"/>
    <w:rsid w:val="000C05BC"/>
    <w:rsid w:val="000C0BA8"/>
    <w:rsid w:val="000C0C48"/>
    <w:rsid w:val="000C0F2C"/>
    <w:rsid w:val="000C13C7"/>
    <w:rsid w:val="000C191E"/>
    <w:rsid w:val="000C1AF1"/>
    <w:rsid w:val="000C1EE1"/>
    <w:rsid w:val="000C212D"/>
    <w:rsid w:val="000C2181"/>
    <w:rsid w:val="000C218E"/>
    <w:rsid w:val="000C29AB"/>
    <w:rsid w:val="000C2DE1"/>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715"/>
    <w:rsid w:val="000C596E"/>
    <w:rsid w:val="000C5A7B"/>
    <w:rsid w:val="000C61DD"/>
    <w:rsid w:val="000C6596"/>
    <w:rsid w:val="000C6D74"/>
    <w:rsid w:val="000C740B"/>
    <w:rsid w:val="000C7500"/>
    <w:rsid w:val="000C78F1"/>
    <w:rsid w:val="000C7B2E"/>
    <w:rsid w:val="000C7B94"/>
    <w:rsid w:val="000C7C6B"/>
    <w:rsid w:val="000C7D72"/>
    <w:rsid w:val="000C7E81"/>
    <w:rsid w:val="000C7FCE"/>
    <w:rsid w:val="000D01E9"/>
    <w:rsid w:val="000D12E7"/>
    <w:rsid w:val="000D2038"/>
    <w:rsid w:val="000D21D4"/>
    <w:rsid w:val="000D27F6"/>
    <w:rsid w:val="000D2A4B"/>
    <w:rsid w:val="000D335F"/>
    <w:rsid w:val="000D36FA"/>
    <w:rsid w:val="000D3F3F"/>
    <w:rsid w:val="000D48F2"/>
    <w:rsid w:val="000D4A23"/>
    <w:rsid w:val="000D5271"/>
    <w:rsid w:val="000D59B8"/>
    <w:rsid w:val="000D59D3"/>
    <w:rsid w:val="000D5B20"/>
    <w:rsid w:val="000D5CA0"/>
    <w:rsid w:val="000D5DEA"/>
    <w:rsid w:val="000D5F9F"/>
    <w:rsid w:val="000D63AD"/>
    <w:rsid w:val="000D63DA"/>
    <w:rsid w:val="000D6430"/>
    <w:rsid w:val="000D66DB"/>
    <w:rsid w:val="000D6AA5"/>
    <w:rsid w:val="000D6D5A"/>
    <w:rsid w:val="000D6F29"/>
    <w:rsid w:val="000D6F30"/>
    <w:rsid w:val="000D73E5"/>
    <w:rsid w:val="000D79EB"/>
    <w:rsid w:val="000D7A43"/>
    <w:rsid w:val="000D7D91"/>
    <w:rsid w:val="000E008D"/>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360"/>
    <w:rsid w:val="000E446B"/>
    <w:rsid w:val="000E4560"/>
    <w:rsid w:val="000E457E"/>
    <w:rsid w:val="000E4649"/>
    <w:rsid w:val="000E4655"/>
    <w:rsid w:val="000E4ECF"/>
    <w:rsid w:val="000E531D"/>
    <w:rsid w:val="000E5DD8"/>
    <w:rsid w:val="000E60BD"/>
    <w:rsid w:val="000E6802"/>
    <w:rsid w:val="000E6E1A"/>
    <w:rsid w:val="000E6EE6"/>
    <w:rsid w:val="000E7334"/>
    <w:rsid w:val="000E7C00"/>
    <w:rsid w:val="000E7D54"/>
    <w:rsid w:val="000F024D"/>
    <w:rsid w:val="000F03D7"/>
    <w:rsid w:val="000F0522"/>
    <w:rsid w:val="000F139B"/>
    <w:rsid w:val="000F13F7"/>
    <w:rsid w:val="000F18A2"/>
    <w:rsid w:val="000F1C6E"/>
    <w:rsid w:val="000F212F"/>
    <w:rsid w:val="000F2232"/>
    <w:rsid w:val="000F23F0"/>
    <w:rsid w:val="000F246A"/>
    <w:rsid w:val="000F2749"/>
    <w:rsid w:val="000F2994"/>
    <w:rsid w:val="000F303D"/>
    <w:rsid w:val="000F30C2"/>
    <w:rsid w:val="000F31FF"/>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9BC"/>
    <w:rsid w:val="00100C13"/>
    <w:rsid w:val="00100C44"/>
    <w:rsid w:val="00100CC8"/>
    <w:rsid w:val="0010113D"/>
    <w:rsid w:val="0010175B"/>
    <w:rsid w:val="00101870"/>
    <w:rsid w:val="00101A29"/>
    <w:rsid w:val="00101C87"/>
    <w:rsid w:val="00101DA1"/>
    <w:rsid w:val="00101DE7"/>
    <w:rsid w:val="00101FBE"/>
    <w:rsid w:val="001020BD"/>
    <w:rsid w:val="001022EC"/>
    <w:rsid w:val="0010234C"/>
    <w:rsid w:val="001028D9"/>
    <w:rsid w:val="00102AC8"/>
    <w:rsid w:val="00102F40"/>
    <w:rsid w:val="00102FFE"/>
    <w:rsid w:val="0010366A"/>
    <w:rsid w:val="00103CE5"/>
    <w:rsid w:val="001040A3"/>
    <w:rsid w:val="001040D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6D95"/>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20E68"/>
    <w:rsid w:val="001216D7"/>
    <w:rsid w:val="00121AC6"/>
    <w:rsid w:val="00122236"/>
    <w:rsid w:val="001224AB"/>
    <w:rsid w:val="001225EB"/>
    <w:rsid w:val="00122747"/>
    <w:rsid w:val="00122CFE"/>
    <w:rsid w:val="00122EFA"/>
    <w:rsid w:val="00123AF5"/>
    <w:rsid w:val="00123C56"/>
    <w:rsid w:val="00123F25"/>
    <w:rsid w:val="00124243"/>
    <w:rsid w:val="00124A24"/>
    <w:rsid w:val="00124CAF"/>
    <w:rsid w:val="00124E05"/>
    <w:rsid w:val="00124E19"/>
    <w:rsid w:val="001255A6"/>
    <w:rsid w:val="0012560B"/>
    <w:rsid w:val="00125CC7"/>
    <w:rsid w:val="00125E1A"/>
    <w:rsid w:val="00125E26"/>
    <w:rsid w:val="001260CC"/>
    <w:rsid w:val="001265E2"/>
    <w:rsid w:val="00126623"/>
    <w:rsid w:val="0012674A"/>
    <w:rsid w:val="00126B2C"/>
    <w:rsid w:val="00126C9C"/>
    <w:rsid w:val="00126EA6"/>
    <w:rsid w:val="00126EEE"/>
    <w:rsid w:val="001270BC"/>
    <w:rsid w:val="0012767B"/>
    <w:rsid w:val="00130004"/>
    <w:rsid w:val="00130221"/>
    <w:rsid w:val="0013065D"/>
    <w:rsid w:val="00131171"/>
    <w:rsid w:val="001311BF"/>
    <w:rsid w:val="001314FE"/>
    <w:rsid w:val="00131818"/>
    <w:rsid w:val="00131D73"/>
    <w:rsid w:val="00132233"/>
    <w:rsid w:val="0013229B"/>
    <w:rsid w:val="00132619"/>
    <w:rsid w:val="00132842"/>
    <w:rsid w:val="00132C59"/>
    <w:rsid w:val="001334AE"/>
    <w:rsid w:val="0013377E"/>
    <w:rsid w:val="001338A1"/>
    <w:rsid w:val="00133985"/>
    <w:rsid w:val="001339AC"/>
    <w:rsid w:val="00133E4A"/>
    <w:rsid w:val="00133FE3"/>
    <w:rsid w:val="00134230"/>
    <w:rsid w:val="00134299"/>
    <w:rsid w:val="0013438D"/>
    <w:rsid w:val="00134486"/>
    <w:rsid w:val="0013465B"/>
    <w:rsid w:val="00134663"/>
    <w:rsid w:val="001348EC"/>
    <w:rsid w:val="00134AEA"/>
    <w:rsid w:val="00135047"/>
    <w:rsid w:val="0013558E"/>
    <w:rsid w:val="001355E1"/>
    <w:rsid w:val="00135FBC"/>
    <w:rsid w:val="00136207"/>
    <w:rsid w:val="0013654B"/>
    <w:rsid w:val="001368E2"/>
    <w:rsid w:val="00136BFF"/>
    <w:rsid w:val="001370D9"/>
    <w:rsid w:val="001370DE"/>
    <w:rsid w:val="00137318"/>
    <w:rsid w:val="001373BC"/>
    <w:rsid w:val="001376F7"/>
    <w:rsid w:val="00137B03"/>
    <w:rsid w:val="00137DB7"/>
    <w:rsid w:val="00137E4E"/>
    <w:rsid w:val="00137FBF"/>
    <w:rsid w:val="00140023"/>
    <w:rsid w:val="001404B4"/>
    <w:rsid w:val="00140C94"/>
    <w:rsid w:val="0014138E"/>
    <w:rsid w:val="00141DEC"/>
    <w:rsid w:val="00142CB5"/>
    <w:rsid w:val="00142CCD"/>
    <w:rsid w:val="00142CE6"/>
    <w:rsid w:val="00143827"/>
    <w:rsid w:val="001440B4"/>
    <w:rsid w:val="00144393"/>
    <w:rsid w:val="00144455"/>
    <w:rsid w:val="00144866"/>
    <w:rsid w:val="0014491F"/>
    <w:rsid w:val="00145115"/>
    <w:rsid w:val="00145169"/>
    <w:rsid w:val="0014581D"/>
    <w:rsid w:val="001459BF"/>
    <w:rsid w:val="00145ACD"/>
    <w:rsid w:val="00145CFC"/>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498C"/>
    <w:rsid w:val="0015540F"/>
    <w:rsid w:val="001560BA"/>
    <w:rsid w:val="001561EB"/>
    <w:rsid w:val="00156FD7"/>
    <w:rsid w:val="001571E2"/>
    <w:rsid w:val="001577EB"/>
    <w:rsid w:val="001578A8"/>
    <w:rsid w:val="00157F35"/>
    <w:rsid w:val="00160830"/>
    <w:rsid w:val="00160A54"/>
    <w:rsid w:val="00160B07"/>
    <w:rsid w:val="00160B0E"/>
    <w:rsid w:val="00160EFE"/>
    <w:rsid w:val="00161069"/>
    <w:rsid w:val="00161A99"/>
    <w:rsid w:val="00162046"/>
    <w:rsid w:val="0016242C"/>
    <w:rsid w:val="001624E9"/>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7AC"/>
    <w:rsid w:val="001669BB"/>
    <w:rsid w:val="00166A67"/>
    <w:rsid w:val="001672F6"/>
    <w:rsid w:val="0016771B"/>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7C0"/>
    <w:rsid w:val="00174BCA"/>
    <w:rsid w:val="00174D62"/>
    <w:rsid w:val="00175934"/>
    <w:rsid w:val="001759C4"/>
    <w:rsid w:val="00175C6B"/>
    <w:rsid w:val="0017614D"/>
    <w:rsid w:val="001763B9"/>
    <w:rsid w:val="00176700"/>
    <w:rsid w:val="001769D4"/>
    <w:rsid w:val="00176D21"/>
    <w:rsid w:val="001771F7"/>
    <w:rsid w:val="00177899"/>
    <w:rsid w:val="00177A89"/>
    <w:rsid w:val="00180213"/>
    <w:rsid w:val="001809FD"/>
    <w:rsid w:val="00180BC5"/>
    <w:rsid w:val="00181017"/>
    <w:rsid w:val="001814C4"/>
    <w:rsid w:val="0018175C"/>
    <w:rsid w:val="00181CC2"/>
    <w:rsid w:val="00181FB1"/>
    <w:rsid w:val="0018269D"/>
    <w:rsid w:val="00182BE5"/>
    <w:rsid w:val="00182FEC"/>
    <w:rsid w:val="00183487"/>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870A3"/>
    <w:rsid w:val="001902A1"/>
    <w:rsid w:val="00190428"/>
    <w:rsid w:val="0019086F"/>
    <w:rsid w:val="001908CC"/>
    <w:rsid w:val="00190BEC"/>
    <w:rsid w:val="00190C8D"/>
    <w:rsid w:val="00190D60"/>
    <w:rsid w:val="00190D6F"/>
    <w:rsid w:val="00190E46"/>
    <w:rsid w:val="00190E86"/>
    <w:rsid w:val="0019163C"/>
    <w:rsid w:val="00191B9A"/>
    <w:rsid w:val="00191D10"/>
    <w:rsid w:val="00191DE5"/>
    <w:rsid w:val="00191E76"/>
    <w:rsid w:val="001921FE"/>
    <w:rsid w:val="001928FD"/>
    <w:rsid w:val="00192B96"/>
    <w:rsid w:val="00192EC8"/>
    <w:rsid w:val="00192F45"/>
    <w:rsid w:val="001937D4"/>
    <w:rsid w:val="001937F9"/>
    <w:rsid w:val="00193846"/>
    <w:rsid w:val="00193BA0"/>
    <w:rsid w:val="00194364"/>
    <w:rsid w:val="001943A2"/>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E3D"/>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B24"/>
    <w:rsid w:val="001A6DA3"/>
    <w:rsid w:val="001A71B5"/>
    <w:rsid w:val="001A7540"/>
    <w:rsid w:val="001A7754"/>
    <w:rsid w:val="001A7EE0"/>
    <w:rsid w:val="001B0055"/>
    <w:rsid w:val="001B0169"/>
    <w:rsid w:val="001B046D"/>
    <w:rsid w:val="001B08FF"/>
    <w:rsid w:val="001B0CCF"/>
    <w:rsid w:val="001B0DEB"/>
    <w:rsid w:val="001B0E64"/>
    <w:rsid w:val="001B0FCC"/>
    <w:rsid w:val="001B127E"/>
    <w:rsid w:val="001B175E"/>
    <w:rsid w:val="001B1928"/>
    <w:rsid w:val="001B22DE"/>
    <w:rsid w:val="001B29DC"/>
    <w:rsid w:val="001B2C06"/>
    <w:rsid w:val="001B2D0A"/>
    <w:rsid w:val="001B353B"/>
    <w:rsid w:val="001B3687"/>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B51"/>
    <w:rsid w:val="001B6DBD"/>
    <w:rsid w:val="001B70D9"/>
    <w:rsid w:val="001B7643"/>
    <w:rsid w:val="001B7970"/>
    <w:rsid w:val="001B7AA2"/>
    <w:rsid w:val="001B7B5E"/>
    <w:rsid w:val="001C0049"/>
    <w:rsid w:val="001C04FA"/>
    <w:rsid w:val="001C0875"/>
    <w:rsid w:val="001C0A89"/>
    <w:rsid w:val="001C0C34"/>
    <w:rsid w:val="001C0EEA"/>
    <w:rsid w:val="001C13C2"/>
    <w:rsid w:val="001C1480"/>
    <w:rsid w:val="001C16A0"/>
    <w:rsid w:val="001C1AF3"/>
    <w:rsid w:val="001C1B89"/>
    <w:rsid w:val="001C1CC6"/>
    <w:rsid w:val="001C1DD8"/>
    <w:rsid w:val="001C2299"/>
    <w:rsid w:val="001C2373"/>
    <w:rsid w:val="001C2A96"/>
    <w:rsid w:val="001C3896"/>
    <w:rsid w:val="001C3D6E"/>
    <w:rsid w:val="001C3E87"/>
    <w:rsid w:val="001C4277"/>
    <w:rsid w:val="001C43DD"/>
    <w:rsid w:val="001C4594"/>
    <w:rsid w:val="001C4BB4"/>
    <w:rsid w:val="001C4CF6"/>
    <w:rsid w:val="001C4D67"/>
    <w:rsid w:val="001C4F40"/>
    <w:rsid w:val="001C520E"/>
    <w:rsid w:val="001C59EC"/>
    <w:rsid w:val="001C5CC5"/>
    <w:rsid w:val="001C63CA"/>
    <w:rsid w:val="001C64DA"/>
    <w:rsid w:val="001C6CAB"/>
    <w:rsid w:val="001C6DA8"/>
    <w:rsid w:val="001C726F"/>
    <w:rsid w:val="001C7606"/>
    <w:rsid w:val="001C79F3"/>
    <w:rsid w:val="001D034C"/>
    <w:rsid w:val="001D0350"/>
    <w:rsid w:val="001D052C"/>
    <w:rsid w:val="001D06F2"/>
    <w:rsid w:val="001D0BC0"/>
    <w:rsid w:val="001D0D39"/>
    <w:rsid w:val="001D0D9F"/>
    <w:rsid w:val="001D1223"/>
    <w:rsid w:val="001D122E"/>
    <w:rsid w:val="001D15C4"/>
    <w:rsid w:val="001D170A"/>
    <w:rsid w:val="001D1D4F"/>
    <w:rsid w:val="001D1DAA"/>
    <w:rsid w:val="001D1EC1"/>
    <w:rsid w:val="001D3124"/>
    <w:rsid w:val="001D318D"/>
    <w:rsid w:val="001D35AA"/>
    <w:rsid w:val="001D372E"/>
    <w:rsid w:val="001D3749"/>
    <w:rsid w:val="001D3CC0"/>
    <w:rsid w:val="001D4DEA"/>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1ED"/>
    <w:rsid w:val="001E6346"/>
    <w:rsid w:val="001E6493"/>
    <w:rsid w:val="001E68AE"/>
    <w:rsid w:val="001E6967"/>
    <w:rsid w:val="001E6E6B"/>
    <w:rsid w:val="001E6FAD"/>
    <w:rsid w:val="001E723F"/>
    <w:rsid w:val="001E7371"/>
    <w:rsid w:val="001E79AA"/>
    <w:rsid w:val="001E7E88"/>
    <w:rsid w:val="001E7FD2"/>
    <w:rsid w:val="001F02EB"/>
    <w:rsid w:val="001F0384"/>
    <w:rsid w:val="001F099D"/>
    <w:rsid w:val="001F0AF0"/>
    <w:rsid w:val="001F0B75"/>
    <w:rsid w:val="001F100E"/>
    <w:rsid w:val="001F1298"/>
    <w:rsid w:val="001F133A"/>
    <w:rsid w:val="001F1719"/>
    <w:rsid w:val="001F18CE"/>
    <w:rsid w:val="001F1C53"/>
    <w:rsid w:val="001F23AE"/>
    <w:rsid w:val="001F3598"/>
    <w:rsid w:val="001F3AED"/>
    <w:rsid w:val="001F3B62"/>
    <w:rsid w:val="001F469B"/>
    <w:rsid w:val="001F4E9F"/>
    <w:rsid w:val="001F5265"/>
    <w:rsid w:val="001F5C86"/>
    <w:rsid w:val="001F5F51"/>
    <w:rsid w:val="001F64A6"/>
    <w:rsid w:val="001F6A86"/>
    <w:rsid w:val="001F6B2C"/>
    <w:rsid w:val="001F6BC4"/>
    <w:rsid w:val="001F7193"/>
    <w:rsid w:val="001F72DE"/>
    <w:rsid w:val="001F7388"/>
    <w:rsid w:val="001F783E"/>
    <w:rsid w:val="001F79AC"/>
    <w:rsid w:val="001F79DF"/>
    <w:rsid w:val="00201146"/>
    <w:rsid w:val="00201224"/>
    <w:rsid w:val="00201370"/>
    <w:rsid w:val="002019E6"/>
    <w:rsid w:val="00201C28"/>
    <w:rsid w:val="00201C89"/>
    <w:rsid w:val="00201ED5"/>
    <w:rsid w:val="002020D5"/>
    <w:rsid w:val="002023D2"/>
    <w:rsid w:val="002031C0"/>
    <w:rsid w:val="0020347C"/>
    <w:rsid w:val="002035E5"/>
    <w:rsid w:val="00203901"/>
    <w:rsid w:val="00203AF4"/>
    <w:rsid w:val="00203B13"/>
    <w:rsid w:val="00203D78"/>
    <w:rsid w:val="0020425D"/>
    <w:rsid w:val="00204936"/>
    <w:rsid w:val="00204DD1"/>
    <w:rsid w:val="00204E7F"/>
    <w:rsid w:val="00205469"/>
    <w:rsid w:val="002057EB"/>
    <w:rsid w:val="00205831"/>
    <w:rsid w:val="002059DC"/>
    <w:rsid w:val="00206663"/>
    <w:rsid w:val="00206876"/>
    <w:rsid w:val="00206D9B"/>
    <w:rsid w:val="002072F1"/>
    <w:rsid w:val="00207323"/>
    <w:rsid w:val="00207765"/>
    <w:rsid w:val="00207AE5"/>
    <w:rsid w:val="00207D99"/>
    <w:rsid w:val="00210019"/>
    <w:rsid w:val="00210627"/>
    <w:rsid w:val="00210C3C"/>
    <w:rsid w:val="002113E9"/>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355"/>
    <w:rsid w:val="00216767"/>
    <w:rsid w:val="002169C5"/>
    <w:rsid w:val="00216C30"/>
    <w:rsid w:val="00217595"/>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4E39"/>
    <w:rsid w:val="00225149"/>
    <w:rsid w:val="002256E7"/>
    <w:rsid w:val="002259EA"/>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3BA1"/>
    <w:rsid w:val="002342B1"/>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6B60"/>
    <w:rsid w:val="00237635"/>
    <w:rsid w:val="00237A1E"/>
    <w:rsid w:val="00237B5E"/>
    <w:rsid w:val="00237BA9"/>
    <w:rsid w:val="002409B0"/>
    <w:rsid w:val="00240A1D"/>
    <w:rsid w:val="00240AF9"/>
    <w:rsid w:val="00240EC4"/>
    <w:rsid w:val="0024153C"/>
    <w:rsid w:val="002418F9"/>
    <w:rsid w:val="00241B19"/>
    <w:rsid w:val="00241BB5"/>
    <w:rsid w:val="00241CF6"/>
    <w:rsid w:val="00241D24"/>
    <w:rsid w:val="00242470"/>
    <w:rsid w:val="002425BE"/>
    <w:rsid w:val="002426CB"/>
    <w:rsid w:val="0024287D"/>
    <w:rsid w:val="00242CEE"/>
    <w:rsid w:val="00243428"/>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47CE2"/>
    <w:rsid w:val="0025019E"/>
    <w:rsid w:val="002501F1"/>
    <w:rsid w:val="002502F9"/>
    <w:rsid w:val="00250634"/>
    <w:rsid w:val="0025082F"/>
    <w:rsid w:val="00250ADF"/>
    <w:rsid w:val="0025101E"/>
    <w:rsid w:val="002516B1"/>
    <w:rsid w:val="00251CAC"/>
    <w:rsid w:val="00251E31"/>
    <w:rsid w:val="0025246E"/>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A69"/>
    <w:rsid w:val="00261CC1"/>
    <w:rsid w:val="0026247A"/>
    <w:rsid w:val="0026297E"/>
    <w:rsid w:val="00263088"/>
    <w:rsid w:val="0026375B"/>
    <w:rsid w:val="00263767"/>
    <w:rsid w:val="00263B3E"/>
    <w:rsid w:val="00263DF0"/>
    <w:rsid w:val="00263FC1"/>
    <w:rsid w:val="002643BE"/>
    <w:rsid w:val="00264992"/>
    <w:rsid w:val="00264BF5"/>
    <w:rsid w:val="00264F69"/>
    <w:rsid w:val="00265379"/>
    <w:rsid w:val="00265494"/>
    <w:rsid w:val="00265C5F"/>
    <w:rsid w:val="0026606D"/>
    <w:rsid w:val="002660ED"/>
    <w:rsid w:val="0026620E"/>
    <w:rsid w:val="00266315"/>
    <w:rsid w:val="0026661D"/>
    <w:rsid w:val="002666A0"/>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A"/>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F9"/>
    <w:rsid w:val="00275399"/>
    <w:rsid w:val="00275740"/>
    <w:rsid w:val="002758A7"/>
    <w:rsid w:val="00275BBA"/>
    <w:rsid w:val="00275E93"/>
    <w:rsid w:val="002766ED"/>
    <w:rsid w:val="00276B20"/>
    <w:rsid w:val="00276BD4"/>
    <w:rsid w:val="00276D87"/>
    <w:rsid w:val="0027709D"/>
    <w:rsid w:val="002775DA"/>
    <w:rsid w:val="002779E9"/>
    <w:rsid w:val="00280408"/>
    <w:rsid w:val="002807E3"/>
    <w:rsid w:val="00280EEC"/>
    <w:rsid w:val="0028117F"/>
    <w:rsid w:val="002811AD"/>
    <w:rsid w:val="00281343"/>
    <w:rsid w:val="00281466"/>
    <w:rsid w:val="00281543"/>
    <w:rsid w:val="00281BDD"/>
    <w:rsid w:val="00281D69"/>
    <w:rsid w:val="0028263C"/>
    <w:rsid w:val="002827A1"/>
    <w:rsid w:val="00282DF2"/>
    <w:rsid w:val="00282F6A"/>
    <w:rsid w:val="002831FB"/>
    <w:rsid w:val="00283701"/>
    <w:rsid w:val="002838BC"/>
    <w:rsid w:val="00283C45"/>
    <w:rsid w:val="00284338"/>
    <w:rsid w:val="002843AF"/>
    <w:rsid w:val="00284409"/>
    <w:rsid w:val="00284565"/>
    <w:rsid w:val="002846EF"/>
    <w:rsid w:val="00284707"/>
    <w:rsid w:val="00284724"/>
    <w:rsid w:val="00284812"/>
    <w:rsid w:val="00284FA5"/>
    <w:rsid w:val="0028544B"/>
    <w:rsid w:val="00285FDE"/>
    <w:rsid w:val="00286036"/>
    <w:rsid w:val="00286222"/>
    <w:rsid w:val="002863A7"/>
    <w:rsid w:val="0028648D"/>
    <w:rsid w:val="002868BF"/>
    <w:rsid w:val="00287006"/>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1F94"/>
    <w:rsid w:val="00292048"/>
    <w:rsid w:val="0029279F"/>
    <w:rsid w:val="00293562"/>
    <w:rsid w:val="002936DE"/>
    <w:rsid w:val="002939F0"/>
    <w:rsid w:val="00293A9C"/>
    <w:rsid w:val="002940D6"/>
    <w:rsid w:val="00294545"/>
    <w:rsid w:val="00294889"/>
    <w:rsid w:val="00294BBD"/>
    <w:rsid w:val="00295181"/>
    <w:rsid w:val="0029529A"/>
    <w:rsid w:val="00295641"/>
    <w:rsid w:val="00295A99"/>
    <w:rsid w:val="00296249"/>
    <w:rsid w:val="002964B0"/>
    <w:rsid w:val="002965C5"/>
    <w:rsid w:val="002965DF"/>
    <w:rsid w:val="00296DCF"/>
    <w:rsid w:val="002975BA"/>
    <w:rsid w:val="002978F0"/>
    <w:rsid w:val="00297A54"/>
    <w:rsid w:val="00297ED0"/>
    <w:rsid w:val="002A01CB"/>
    <w:rsid w:val="002A04A4"/>
    <w:rsid w:val="002A07FB"/>
    <w:rsid w:val="002A0B33"/>
    <w:rsid w:val="002A0F01"/>
    <w:rsid w:val="002A158B"/>
    <w:rsid w:val="002A1687"/>
    <w:rsid w:val="002A18A0"/>
    <w:rsid w:val="002A18E4"/>
    <w:rsid w:val="002A1C98"/>
    <w:rsid w:val="002A264C"/>
    <w:rsid w:val="002A2950"/>
    <w:rsid w:val="002A30C2"/>
    <w:rsid w:val="002A3483"/>
    <w:rsid w:val="002A3AF2"/>
    <w:rsid w:val="002A45F6"/>
    <w:rsid w:val="002A4E24"/>
    <w:rsid w:val="002A5297"/>
    <w:rsid w:val="002A5A73"/>
    <w:rsid w:val="002A5B24"/>
    <w:rsid w:val="002A6204"/>
    <w:rsid w:val="002A629C"/>
    <w:rsid w:val="002A643B"/>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4C8"/>
    <w:rsid w:val="002C3123"/>
    <w:rsid w:val="002C3A5A"/>
    <w:rsid w:val="002C3D66"/>
    <w:rsid w:val="002C4092"/>
    <w:rsid w:val="002C4620"/>
    <w:rsid w:val="002C473E"/>
    <w:rsid w:val="002C4771"/>
    <w:rsid w:val="002C4ACB"/>
    <w:rsid w:val="002C4E32"/>
    <w:rsid w:val="002C4F3E"/>
    <w:rsid w:val="002C51A6"/>
    <w:rsid w:val="002C56B0"/>
    <w:rsid w:val="002C5989"/>
    <w:rsid w:val="002C5A92"/>
    <w:rsid w:val="002C6015"/>
    <w:rsid w:val="002C6DAC"/>
    <w:rsid w:val="002C716D"/>
    <w:rsid w:val="002C792E"/>
    <w:rsid w:val="002C7FBC"/>
    <w:rsid w:val="002D0039"/>
    <w:rsid w:val="002D028A"/>
    <w:rsid w:val="002D0359"/>
    <w:rsid w:val="002D03C3"/>
    <w:rsid w:val="002D0465"/>
    <w:rsid w:val="002D05BE"/>
    <w:rsid w:val="002D07A2"/>
    <w:rsid w:val="002D0835"/>
    <w:rsid w:val="002D0D8F"/>
    <w:rsid w:val="002D11C4"/>
    <w:rsid w:val="002D129C"/>
    <w:rsid w:val="002D164F"/>
    <w:rsid w:val="002D235B"/>
    <w:rsid w:val="002D2788"/>
    <w:rsid w:val="002D283B"/>
    <w:rsid w:val="002D2A0A"/>
    <w:rsid w:val="002D2B00"/>
    <w:rsid w:val="002D3066"/>
    <w:rsid w:val="002D3379"/>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10C"/>
    <w:rsid w:val="002E051F"/>
    <w:rsid w:val="002E060D"/>
    <w:rsid w:val="002E0718"/>
    <w:rsid w:val="002E077C"/>
    <w:rsid w:val="002E0B3C"/>
    <w:rsid w:val="002E0F08"/>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4FEE"/>
    <w:rsid w:val="002E5058"/>
    <w:rsid w:val="002E5132"/>
    <w:rsid w:val="002E5576"/>
    <w:rsid w:val="002E568A"/>
    <w:rsid w:val="002E5742"/>
    <w:rsid w:val="002E5A20"/>
    <w:rsid w:val="002E5AC5"/>
    <w:rsid w:val="002E6D48"/>
    <w:rsid w:val="002E6E9B"/>
    <w:rsid w:val="002E6FB8"/>
    <w:rsid w:val="002E73FB"/>
    <w:rsid w:val="002E757D"/>
    <w:rsid w:val="002E77F4"/>
    <w:rsid w:val="002E7B62"/>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39A3"/>
    <w:rsid w:val="002F406A"/>
    <w:rsid w:val="002F4544"/>
    <w:rsid w:val="002F46A5"/>
    <w:rsid w:val="002F49DE"/>
    <w:rsid w:val="002F4C87"/>
    <w:rsid w:val="002F5249"/>
    <w:rsid w:val="002F5A20"/>
    <w:rsid w:val="002F61B3"/>
    <w:rsid w:val="002F629B"/>
    <w:rsid w:val="002F6550"/>
    <w:rsid w:val="002F65C6"/>
    <w:rsid w:val="002F6658"/>
    <w:rsid w:val="002F66E9"/>
    <w:rsid w:val="002F67DC"/>
    <w:rsid w:val="002F6AD9"/>
    <w:rsid w:val="002F6C56"/>
    <w:rsid w:val="002F70A3"/>
    <w:rsid w:val="002F77A3"/>
    <w:rsid w:val="002F78EA"/>
    <w:rsid w:val="002F7DE5"/>
    <w:rsid w:val="002F7F30"/>
    <w:rsid w:val="002F7F34"/>
    <w:rsid w:val="002F7F4A"/>
    <w:rsid w:val="003001E5"/>
    <w:rsid w:val="00300B2B"/>
    <w:rsid w:val="00300EA9"/>
    <w:rsid w:val="00301020"/>
    <w:rsid w:val="00301274"/>
    <w:rsid w:val="00301560"/>
    <w:rsid w:val="00301670"/>
    <w:rsid w:val="00301DC7"/>
    <w:rsid w:val="00301EE2"/>
    <w:rsid w:val="0030202F"/>
    <w:rsid w:val="003022B5"/>
    <w:rsid w:val="00302435"/>
    <w:rsid w:val="00302446"/>
    <w:rsid w:val="00302831"/>
    <w:rsid w:val="0030297A"/>
    <w:rsid w:val="00302B18"/>
    <w:rsid w:val="00302D6F"/>
    <w:rsid w:val="00303037"/>
    <w:rsid w:val="0030305C"/>
    <w:rsid w:val="003036E7"/>
    <w:rsid w:val="00303B2D"/>
    <w:rsid w:val="00304B0A"/>
    <w:rsid w:val="00304C83"/>
    <w:rsid w:val="00304FBB"/>
    <w:rsid w:val="0030573E"/>
    <w:rsid w:val="003059FF"/>
    <w:rsid w:val="00305E5E"/>
    <w:rsid w:val="00305EB4"/>
    <w:rsid w:val="0030604E"/>
    <w:rsid w:val="003060E6"/>
    <w:rsid w:val="00306292"/>
    <w:rsid w:val="00306357"/>
    <w:rsid w:val="003069D5"/>
    <w:rsid w:val="00306D87"/>
    <w:rsid w:val="003075E9"/>
    <w:rsid w:val="00307800"/>
    <w:rsid w:val="003103E6"/>
    <w:rsid w:val="003104D7"/>
    <w:rsid w:val="003107CF"/>
    <w:rsid w:val="003108EE"/>
    <w:rsid w:val="00310F59"/>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2D1"/>
    <w:rsid w:val="0031339E"/>
    <w:rsid w:val="003133B8"/>
    <w:rsid w:val="00313598"/>
    <w:rsid w:val="0031364D"/>
    <w:rsid w:val="00314453"/>
    <w:rsid w:val="003144ED"/>
    <w:rsid w:val="00314A22"/>
    <w:rsid w:val="00314C61"/>
    <w:rsid w:val="003150C0"/>
    <w:rsid w:val="0031510F"/>
    <w:rsid w:val="00315490"/>
    <w:rsid w:val="003156B1"/>
    <w:rsid w:val="00315B07"/>
    <w:rsid w:val="00315D18"/>
    <w:rsid w:val="00315D88"/>
    <w:rsid w:val="0031600F"/>
    <w:rsid w:val="00316A38"/>
    <w:rsid w:val="00316BCA"/>
    <w:rsid w:val="00316CFC"/>
    <w:rsid w:val="00316EEF"/>
    <w:rsid w:val="00316FB5"/>
    <w:rsid w:val="00317596"/>
    <w:rsid w:val="003175C3"/>
    <w:rsid w:val="0031793F"/>
    <w:rsid w:val="0031794F"/>
    <w:rsid w:val="00317A06"/>
    <w:rsid w:val="00317CB1"/>
    <w:rsid w:val="00317D8F"/>
    <w:rsid w:val="0032069A"/>
    <w:rsid w:val="003208D8"/>
    <w:rsid w:val="00320C0F"/>
    <w:rsid w:val="00320C29"/>
    <w:rsid w:val="0032157D"/>
    <w:rsid w:val="003219D3"/>
    <w:rsid w:val="00321A1C"/>
    <w:rsid w:val="00321AF2"/>
    <w:rsid w:val="00321B44"/>
    <w:rsid w:val="00321D8C"/>
    <w:rsid w:val="00321DD4"/>
    <w:rsid w:val="003223FC"/>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8F4"/>
    <w:rsid w:val="00326D40"/>
    <w:rsid w:val="00327234"/>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6E7"/>
    <w:rsid w:val="00333926"/>
    <w:rsid w:val="00333DE4"/>
    <w:rsid w:val="00334004"/>
    <w:rsid w:val="00334401"/>
    <w:rsid w:val="003344B0"/>
    <w:rsid w:val="00334D00"/>
    <w:rsid w:val="00335539"/>
    <w:rsid w:val="00336AF3"/>
    <w:rsid w:val="00336E1C"/>
    <w:rsid w:val="00336F88"/>
    <w:rsid w:val="003378E6"/>
    <w:rsid w:val="00337CCA"/>
    <w:rsid w:val="00337E31"/>
    <w:rsid w:val="00340150"/>
    <w:rsid w:val="0034065A"/>
    <w:rsid w:val="0034085D"/>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47"/>
    <w:rsid w:val="00344EF7"/>
    <w:rsid w:val="0034513D"/>
    <w:rsid w:val="0034677C"/>
    <w:rsid w:val="003467D3"/>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3DC9"/>
    <w:rsid w:val="003543A1"/>
    <w:rsid w:val="00354A09"/>
    <w:rsid w:val="00354C03"/>
    <w:rsid w:val="00354D9F"/>
    <w:rsid w:val="003551AC"/>
    <w:rsid w:val="00355740"/>
    <w:rsid w:val="00355CC0"/>
    <w:rsid w:val="00355DA5"/>
    <w:rsid w:val="003563C2"/>
    <w:rsid w:val="003565DD"/>
    <w:rsid w:val="00356850"/>
    <w:rsid w:val="00356CFF"/>
    <w:rsid w:val="00356DAE"/>
    <w:rsid w:val="003573C9"/>
    <w:rsid w:val="00357630"/>
    <w:rsid w:val="003577D6"/>
    <w:rsid w:val="00357D5B"/>
    <w:rsid w:val="00360468"/>
    <w:rsid w:val="003604B1"/>
    <w:rsid w:val="00360B06"/>
    <w:rsid w:val="003611E0"/>
    <w:rsid w:val="0036123E"/>
    <w:rsid w:val="00361363"/>
    <w:rsid w:val="003614B0"/>
    <w:rsid w:val="0036156F"/>
    <w:rsid w:val="00362478"/>
    <w:rsid w:val="003628AD"/>
    <w:rsid w:val="00362988"/>
    <w:rsid w:val="003629D7"/>
    <w:rsid w:val="00362B16"/>
    <w:rsid w:val="00362D9D"/>
    <w:rsid w:val="00362F86"/>
    <w:rsid w:val="0036388B"/>
    <w:rsid w:val="0036395D"/>
    <w:rsid w:val="00363A4F"/>
    <w:rsid w:val="00364425"/>
    <w:rsid w:val="00364472"/>
    <w:rsid w:val="0036449F"/>
    <w:rsid w:val="0036504F"/>
    <w:rsid w:val="0036522A"/>
    <w:rsid w:val="0036528D"/>
    <w:rsid w:val="00365836"/>
    <w:rsid w:val="00365A93"/>
    <w:rsid w:val="00365C11"/>
    <w:rsid w:val="00366018"/>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783"/>
    <w:rsid w:val="003768DC"/>
    <w:rsid w:val="0037700A"/>
    <w:rsid w:val="00377BB7"/>
    <w:rsid w:val="00377F0B"/>
    <w:rsid w:val="00377F1E"/>
    <w:rsid w:val="003803A1"/>
    <w:rsid w:val="00380524"/>
    <w:rsid w:val="003806BA"/>
    <w:rsid w:val="00380DD5"/>
    <w:rsid w:val="00380F20"/>
    <w:rsid w:val="003810FE"/>
    <w:rsid w:val="0038125C"/>
    <w:rsid w:val="003818CA"/>
    <w:rsid w:val="00382174"/>
    <w:rsid w:val="0038252A"/>
    <w:rsid w:val="003826D3"/>
    <w:rsid w:val="003829A8"/>
    <w:rsid w:val="00382CAF"/>
    <w:rsid w:val="00382CEE"/>
    <w:rsid w:val="00383034"/>
    <w:rsid w:val="003830D3"/>
    <w:rsid w:val="0038366F"/>
    <w:rsid w:val="00383989"/>
    <w:rsid w:val="00383BF7"/>
    <w:rsid w:val="0038449A"/>
    <w:rsid w:val="00384808"/>
    <w:rsid w:val="003848FB"/>
    <w:rsid w:val="00384A79"/>
    <w:rsid w:val="00384A87"/>
    <w:rsid w:val="00385048"/>
    <w:rsid w:val="0038565B"/>
    <w:rsid w:val="00385758"/>
    <w:rsid w:val="00385FB7"/>
    <w:rsid w:val="003864A3"/>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3EEC"/>
    <w:rsid w:val="003940DF"/>
    <w:rsid w:val="0039486B"/>
    <w:rsid w:val="003948F1"/>
    <w:rsid w:val="00394A52"/>
    <w:rsid w:val="00394E9A"/>
    <w:rsid w:val="00395164"/>
    <w:rsid w:val="003957FC"/>
    <w:rsid w:val="00395AAA"/>
    <w:rsid w:val="0039627A"/>
    <w:rsid w:val="003963B6"/>
    <w:rsid w:val="003963E9"/>
    <w:rsid w:val="003965D3"/>
    <w:rsid w:val="00396B3D"/>
    <w:rsid w:val="00397423"/>
    <w:rsid w:val="003974B3"/>
    <w:rsid w:val="00397653"/>
    <w:rsid w:val="0039780D"/>
    <w:rsid w:val="003979E8"/>
    <w:rsid w:val="00397AEC"/>
    <w:rsid w:val="003A0607"/>
    <w:rsid w:val="003A08E5"/>
    <w:rsid w:val="003A1956"/>
    <w:rsid w:val="003A1F2E"/>
    <w:rsid w:val="003A1F4D"/>
    <w:rsid w:val="003A1FAE"/>
    <w:rsid w:val="003A2A86"/>
    <w:rsid w:val="003A2AD8"/>
    <w:rsid w:val="003A341D"/>
    <w:rsid w:val="003A3887"/>
    <w:rsid w:val="003A3AFB"/>
    <w:rsid w:val="003A3C9C"/>
    <w:rsid w:val="003A3FD7"/>
    <w:rsid w:val="003A4C6E"/>
    <w:rsid w:val="003A54B1"/>
    <w:rsid w:val="003A5505"/>
    <w:rsid w:val="003A5B80"/>
    <w:rsid w:val="003A5D91"/>
    <w:rsid w:val="003A6A9C"/>
    <w:rsid w:val="003A6B8E"/>
    <w:rsid w:val="003A6C18"/>
    <w:rsid w:val="003A7C56"/>
    <w:rsid w:val="003A7DBE"/>
    <w:rsid w:val="003B03C9"/>
    <w:rsid w:val="003B04DE"/>
    <w:rsid w:val="003B0A76"/>
    <w:rsid w:val="003B0BB8"/>
    <w:rsid w:val="003B0C33"/>
    <w:rsid w:val="003B0D8F"/>
    <w:rsid w:val="003B0EA4"/>
    <w:rsid w:val="003B0FC8"/>
    <w:rsid w:val="003B11B8"/>
    <w:rsid w:val="003B1284"/>
    <w:rsid w:val="003B1759"/>
    <w:rsid w:val="003B178E"/>
    <w:rsid w:val="003B1B69"/>
    <w:rsid w:val="003B1EB3"/>
    <w:rsid w:val="003B22FE"/>
    <w:rsid w:val="003B2480"/>
    <w:rsid w:val="003B2AA1"/>
    <w:rsid w:val="003B2C63"/>
    <w:rsid w:val="003B2DDE"/>
    <w:rsid w:val="003B2F1F"/>
    <w:rsid w:val="003B31B4"/>
    <w:rsid w:val="003B34AF"/>
    <w:rsid w:val="003B3A9A"/>
    <w:rsid w:val="003B4052"/>
    <w:rsid w:val="003B437B"/>
    <w:rsid w:val="003B4AD0"/>
    <w:rsid w:val="003B5183"/>
    <w:rsid w:val="003B52DF"/>
    <w:rsid w:val="003B535D"/>
    <w:rsid w:val="003B536B"/>
    <w:rsid w:val="003B5489"/>
    <w:rsid w:val="003B550E"/>
    <w:rsid w:val="003B5867"/>
    <w:rsid w:val="003B5B3C"/>
    <w:rsid w:val="003B60B4"/>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5F8D"/>
    <w:rsid w:val="003C669E"/>
    <w:rsid w:val="003C6A94"/>
    <w:rsid w:val="003C6E0B"/>
    <w:rsid w:val="003C7224"/>
    <w:rsid w:val="003C73B6"/>
    <w:rsid w:val="003C7693"/>
    <w:rsid w:val="003D0585"/>
    <w:rsid w:val="003D0970"/>
    <w:rsid w:val="003D0A09"/>
    <w:rsid w:val="003D0B0A"/>
    <w:rsid w:val="003D16F6"/>
    <w:rsid w:val="003D188D"/>
    <w:rsid w:val="003D18BA"/>
    <w:rsid w:val="003D1A27"/>
    <w:rsid w:val="003D1C26"/>
    <w:rsid w:val="003D1F3E"/>
    <w:rsid w:val="003D2633"/>
    <w:rsid w:val="003D26D2"/>
    <w:rsid w:val="003D2E26"/>
    <w:rsid w:val="003D34C0"/>
    <w:rsid w:val="003D3648"/>
    <w:rsid w:val="003D397E"/>
    <w:rsid w:val="003D3B4E"/>
    <w:rsid w:val="003D4244"/>
    <w:rsid w:val="003D5200"/>
    <w:rsid w:val="003D579B"/>
    <w:rsid w:val="003D5868"/>
    <w:rsid w:val="003D59D1"/>
    <w:rsid w:val="003D5A65"/>
    <w:rsid w:val="003D5B58"/>
    <w:rsid w:val="003D5BA0"/>
    <w:rsid w:val="003D622E"/>
    <w:rsid w:val="003D69BE"/>
    <w:rsid w:val="003D7409"/>
    <w:rsid w:val="003D7469"/>
    <w:rsid w:val="003D7CAA"/>
    <w:rsid w:val="003D7E44"/>
    <w:rsid w:val="003D7F99"/>
    <w:rsid w:val="003E02A0"/>
    <w:rsid w:val="003E0308"/>
    <w:rsid w:val="003E0833"/>
    <w:rsid w:val="003E0A71"/>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4BA1"/>
    <w:rsid w:val="003E528C"/>
    <w:rsid w:val="003E5766"/>
    <w:rsid w:val="003E57A6"/>
    <w:rsid w:val="003E6258"/>
    <w:rsid w:val="003E663C"/>
    <w:rsid w:val="003E696D"/>
    <w:rsid w:val="003E6B2F"/>
    <w:rsid w:val="003E6C4F"/>
    <w:rsid w:val="003E785E"/>
    <w:rsid w:val="003F00CC"/>
    <w:rsid w:val="003F0187"/>
    <w:rsid w:val="003F069D"/>
    <w:rsid w:val="003F07AE"/>
    <w:rsid w:val="003F0F13"/>
    <w:rsid w:val="003F129A"/>
    <w:rsid w:val="003F1470"/>
    <w:rsid w:val="003F168F"/>
    <w:rsid w:val="003F18A5"/>
    <w:rsid w:val="003F18A9"/>
    <w:rsid w:val="003F234D"/>
    <w:rsid w:val="003F31C9"/>
    <w:rsid w:val="003F3315"/>
    <w:rsid w:val="003F33A5"/>
    <w:rsid w:val="003F3446"/>
    <w:rsid w:val="003F35ED"/>
    <w:rsid w:val="003F36D3"/>
    <w:rsid w:val="003F37D5"/>
    <w:rsid w:val="003F385C"/>
    <w:rsid w:val="003F3B46"/>
    <w:rsid w:val="003F3C5E"/>
    <w:rsid w:val="003F3FB4"/>
    <w:rsid w:val="003F40AC"/>
    <w:rsid w:val="003F44F2"/>
    <w:rsid w:val="003F45E1"/>
    <w:rsid w:val="003F45F3"/>
    <w:rsid w:val="003F473B"/>
    <w:rsid w:val="003F4F81"/>
    <w:rsid w:val="003F4FA1"/>
    <w:rsid w:val="003F59D4"/>
    <w:rsid w:val="003F6407"/>
    <w:rsid w:val="003F65D1"/>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38C0"/>
    <w:rsid w:val="00404D4F"/>
    <w:rsid w:val="00404F12"/>
    <w:rsid w:val="004050AA"/>
    <w:rsid w:val="004052B3"/>
    <w:rsid w:val="00405AAA"/>
    <w:rsid w:val="00405D5E"/>
    <w:rsid w:val="00405DE2"/>
    <w:rsid w:val="004070DA"/>
    <w:rsid w:val="004073B6"/>
    <w:rsid w:val="00407C5C"/>
    <w:rsid w:val="00407E3D"/>
    <w:rsid w:val="00407ECB"/>
    <w:rsid w:val="00410070"/>
    <w:rsid w:val="004103D0"/>
    <w:rsid w:val="0041062E"/>
    <w:rsid w:val="0041076E"/>
    <w:rsid w:val="0041089F"/>
    <w:rsid w:val="00410A22"/>
    <w:rsid w:val="00410B5D"/>
    <w:rsid w:val="004110A6"/>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A16"/>
    <w:rsid w:val="00414D56"/>
    <w:rsid w:val="00414E38"/>
    <w:rsid w:val="00415DB9"/>
    <w:rsid w:val="00415F7C"/>
    <w:rsid w:val="00416762"/>
    <w:rsid w:val="00416A70"/>
    <w:rsid w:val="00416B3D"/>
    <w:rsid w:val="00416E67"/>
    <w:rsid w:val="0041715A"/>
    <w:rsid w:val="0041786C"/>
    <w:rsid w:val="00417D9B"/>
    <w:rsid w:val="004202E7"/>
    <w:rsid w:val="0042030F"/>
    <w:rsid w:val="004205AC"/>
    <w:rsid w:val="004214C0"/>
    <w:rsid w:val="004216FE"/>
    <w:rsid w:val="00421D33"/>
    <w:rsid w:val="0042264F"/>
    <w:rsid w:val="00422ED3"/>
    <w:rsid w:val="004235B8"/>
    <w:rsid w:val="00423837"/>
    <w:rsid w:val="0042387B"/>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856"/>
    <w:rsid w:val="00436AC8"/>
    <w:rsid w:val="00436DF4"/>
    <w:rsid w:val="00437518"/>
    <w:rsid w:val="004376CA"/>
    <w:rsid w:val="004378D9"/>
    <w:rsid w:val="00440B6C"/>
    <w:rsid w:val="00440B9E"/>
    <w:rsid w:val="00440E10"/>
    <w:rsid w:val="00440E81"/>
    <w:rsid w:val="00440EDC"/>
    <w:rsid w:val="00441337"/>
    <w:rsid w:val="004414DB"/>
    <w:rsid w:val="00441812"/>
    <w:rsid w:val="004421A7"/>
    <w:rsid w:val="0044237F"/>
    <w:rsid w:val="00442483"/>
    <w:rsid w:val="00442770"/>
    <w:rsid w:val="00442C6E"/>
    <w:rsid w:val="00442CDB"/>
    <w:rsid w:val="0044312A"/>
    <w:rsid w:val="004432ED"/>
    <w:rsid w:val="00443443"/>
    <w:rsid w:val="004434C3"/>
    <w:rsid w:val="00443DD5"/>
    <w:rsid w:val="004440EE"/>
    <w:rsid w:val="004442CE"/>
    <w:rsid w:val="004444E7"/>
    <w:rsid w:val="004445C7"/>
    <w:rsid w:val="004445CF"/>
    <w:rsid w:val="004445D3"/>
    <w:rsid w:val="00444631"/>
    <w:rsid w:val="00445033"/>
    <w:rsid w:val="00445531"/>
    <w:rsid w:val="00445681"/>
    <w:rsid w:val="00445856"/>
    <w:rsid w:val="00445B80"/>
    <w:rsid w:val="00445C47"/>
    <w:rsid w:val="00445FE7"/>
    <w:rsid w:val="00446045"/>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442"/>
    <w:rsid w:val="004517D3"/>
    <w:rsid w:val="00451C82"/>
    <w:rsid w:val="00452510"/>
    <w:rsid w:val="0045274A"/>
    <w:rsid w:val="00452ACC"/>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6EB"/>
    <w:rsid w:val="004618A5"/>
    <w:rsid w:val="004621C9"/>
    <w:rsid w:val="00462729"/>
    <w:rsid w:val="00462FB7"/>
    <w:rsid w:val="00463219"/>
    <w:rsid w:val="0046322E"/>
    <w:rsid w:val="0046333F"/>
    <w:rsid w:val="00463E10"/>
    <w:rsid w:val="00463EF9"/>
    <w:rsid w:val="004642C0"/>
    <w:rsid w:val="00464400"/>
    <w:rsid w:val="004646EB"/>
    <w:rsid w:val="00464833"/>
    <w:rsid w:val="00464B24"/>
    <w:rsid w:val="00464B26"/>
    <w:rsid w:val="00465098"/>
    <w:rsid w:val="00465134"/>
    <w:rsid w:val="0046578B"/>
    <w:rsid w:val="00465DD7"/>
    <w:rsid w:val="00465E01"/>
    <w:rsid w:val="00465FDE"/>
    <w:rsid w:val="004660F8"/>
    <w:rsid w:val="004662DC"/>
    <w:rsid w:val="004664F1"/>
    <w:rsid w:val="004665DD"/>
    <w:rsid w:val="00466741"/>
    <w:rsid w:val="00466956"/>
    <w:rsid w:val="00466DAD"/>
    <w:rsid w:val="00466EC0"/>
    <w:rsid w:val="0046707B"/>
    <w:rsid w:val="004671AB"/>
    <w:rsid w:val="00467C6B"/>
    <w:rsid w:val="00467E76"/>
    <w:rsid w:val="00467FCF"/>
    <w:rsid w:val="004700D7"/>
    <w:rsid w:val="0047026A"/>
    <w:rsid w:val="004706A5"/>
    <w:rsid w:val="00471471"/>
    <w:rsid w:val="00471750"/>
    <w:rsid w:val="0047175C"/>
    <w:rsid w:val="00471B0A"/>
    <w:rsid w:val="00471CF3"/>
    <w:rsid w:val="0047218A"/>
    <w:rsid w:val="004722D4"/>
    <w:rsid w:val="0047255E"/>
    <w:rsid w:val="004726BB"/>
    <w:rsid w:val="0047271B"/>
    <w:rsid w:val="00472852"/>
    <w:rsid w:val="00472D97"/>
    <w:rsid w:val="00472EB4"/>
    <w:rsid w:val="00472FA0"/>
    <w:rsid w:val="00472FAA"/>
    <w:rsid w:val="00473026"/>
    <w:rsid w:val="004739BF"/>
    <w:rsid w:val="004740D8"/>
    <w:rsid w:val="004746B5"/>
    <w:rsid w:val="004748BE"/>
    <w:rsid w:val="004748DA"/>
    <w:rsid w:val="00474B34"/>
    <w:rsid w:val="00474BCF"/>
    <w:rsid w:val="00474C3B"/>
    <w:rsid w:val="00474D83"/>
    <w:rsid w:val="004753AB"/>
    <w:rsid w:val="004755A7"/>
    <w:rsid w:val="004755DC"/>
    <w:rsid w:val="00475A90"/>
    <w:rsid w:val="00476187"/>
    <w:rsid w:val="0047686B"/>
    <w:rsid w:val="00476903"/>
    <w:rsid w:val="00476983"/>
    <w:rsid w:val="0047781B"/>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2F0C"/>
    <w:rsid w:val="004832C5"/>
    <w:rsid w:val="004832E5"/>
    <w:rsid w:val="004838EC"/>
    <w:rsid w:val="00483D71"/>
    <w:rsid w:val="004840E9"/>
    <w:rsid w:val="004842C8"/>
    <w:rsid w:val="00484310"/>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D60"/>
    <w:rsid w:val="00487EBA"/>
    <w:rsid w:val="004902A5"/>
    <w:rsid w:val="00490304"/>
    <w:rsid w:val="004909A0"/>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08D"/>
    <w:rsid w:val="004947C5"/>
    <w:rsid w:val="00495141"/>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D7C"/>
    <w:rsid w:val="004A0E5D"/>
    <w:rsid w:val="004A1047"/>
    <w:rsid w:val="004A11E2"/>
    <w:rsid w:val="004A16E1"/>
    <w:rsid w:val="004A1DC2"/>
    <w:rsid w:val="004A1F17"/>
    <w:rsid w:val="004A1FCF"/>
    <w:rsid w:val="004A247B"/>
    <w:rsid w:val="004A290A"/>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712"/>
    <w:rsid w:val="004A6885"/>
    <w:rsid w:val="004A6A27"/>
    <w:rsid w:val="004A6DED"/>
    <w:rsid w:val="004A6E71"/>
    <w:rsid w:val="004A71BC"/>
    <w:rsid w:val="004A72CC"/>
    <w:rsid w:val="004A739C"/>
    <w:rsid w:val="004A73ED"/>
    <w:rsid w:val="004A758A"/>
    <w:rsid w:val="004A76A0"/>
    <w:rsid w:val="004A76E4"/>
    <w:rsid w:val="004A77DB"/>
    <w:rsid w:val="004A7946"/>
    <w:rsid w:val="004A79AC"/>
    <w:rsid w:val="004B049D"/>
    <w:rsid w:val="004B0755"/>
    <w:rsid w:val="004B0896"/>
    <w:rsid w:val="004B0930"/>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16"/>
    <w:rsid w:val="004B4E21"/>
    <w:rsid w:val="004B4FE1"/>
    <w:rsid w:val="004B51AF"/>
    <w:rsid w:val="004B530F"/>
    <w:rsid w:val="004B5B04"/>
    <w:rsid w:val="004B607D"/>
    <w:rsid w:val="004B662F"/>
    <w:rsid w:val="004B6712"/>
    <w:rsid w:val="004B7147"/>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25DF"/>
    <w:rsid w:val="004C308B"/>
    <w:rsid w:val="004C30A9"/>
    <w:rsid w:val="004C351F"/>
    <w:rsid w:val="004C353D"/>
    <w:rsid w:val="004C354D"/>
    <w:rsid w:val="004C38D7"/>
    <w:rsid w:val="004C39EA"/>
    <w:rsid w:val="004C3A81"/>
    <w:rsid w:val="004C3EEC"/>
    <w:rsid w:val="004C3F1E"/>
    <w:rsid w:val="004C43D4"/>
    <w:rsid w:val="004C457E"/>
    <w:rsid w:val="004C4AE1"/>
    <w:rsid w:val="004C4B13"/>
    <w:rsid w:val="004C537F"/>
    <w:rsid w:val="004C5875"/>
    <w:rsid w:val="004C59F6"/>
    <w:rsid w:val="004C5CA3"/>
    <w:rsid w:val="004C5DFD"/>
    <w:rsid w:val="004C6155"/>
    <w:rsid w:val="004C644C"/>
    <w:rsid w:val="004C6E83"/>
    <w:rsid w:val="004C7A05"/>
    <w:rsid w:val="004C7A39"/>
    <w:rsid w:val="004C7E07"/>
    <w:rsid w:val="004C7E8D"/>
    <w:rsid w:val="004C7F01"/>
    <w:rsid w:val="004C7F6D"/>
    <w:rsid w:val="004D004A"/>
    <w:rsid w:val="004D0F00"/>
    <w:rsid w:val="004D101E"/>
    <w:rsid w:val="004D115F"/>
    <w:rsid w:val="004D1283"/>
    <w:rsid w:val="004D1463"/>
    <w:rsid w:val="004D1CB3"/>
    <w:rsid w:val="004D1DE2"/>
    <w:rsid w:val="004D1DF2"/>
    <w:rsid w:val="004D1E24"/>
    <w:rsid w:val="004D20D9"/>
    <w:rsid w:val="004D2159"/>
    <w:rsid w:val="004D21FE"/>
    <w:rsid w:val="004D293F"/>
    <w:rsid w:val="004D2950"/>
    <w:rsid w:val="004D2D1D"/>
    <w:rsid w:val="004D2D76"/>
    <w:rsid w:val="004D3327"/>
    <w:rsid w:val="004D3379"/>
    <w:rsid w:val="004D3612"/>
    <w:rsid w:val="004D3864"/>
    <w:rsid w:val="004D3A87"/>
    <w:rsid w:val="004D3D53"/>
    <w:rsid w:val="004D4246"/>
    <w:rsid w:val="004D4273"/>
    <w:rsid w:val="004D44A8"/>
    <w:rsid w:val="004D45F6"/>
    <w:rsid w:val="004D47F2"/>
    <w:rsid w:val="004D4D5B"/>
    <w:rsid w:val="004D5414"/>
    <w:rsid w:val="004D5757"/>
    <w:rsid w:val="004D5819"/>
    <w:rsid w:val="004D585F"/>
    <w:rsid w:val="004D5A97"/>
    <w:rsid w:val="004D6046"/>
    <w:rsid w:val="004D61FA"/>
    <w:rsid w:val="004D6EC1"/>
    <w:rsid w:val="004D6F04"/>
    <w:rsid w:val="004D7062"/>
    <w:rsid w:val="004D71FE"/>
    <w:rsid w:val="004D739B"/>
    <w:rsid w:val="004D7910"/>
    <w:rsid w:val="004E094D"/>
    <w:rsid w:val="004E0BA0"/>
    <w:rsid w:val="004E0CA7"/>
    <w:rsid w:val="004E1021"/>
    <w:rsid w:val="004E1073"/>
    <w:rsid w:val="004E112B"/>
    <w:rsid w:val="004E14B0"/>
    <w:rsid w:val="004E1562"/>
    <w:rsid w:val="004E15C9"/>
    <w:rsid w:val="004E1829"/>
    <w:rsid w:val="004E19C9"/>
    <w:rsid w:val="004E1C22"/>
    <w:rsid w:val="004E1DFA"/>
    <w:rsid w:val="004E1F3A"/>
    <w:rsid w:val="004E2153"/>
    <w:rsid w:val="004E3EE9"/>
    <w:rsid w:val="004E43A0"/>
    <w:rsid w:val="004E4558"/>
    <w:rsid w:val="004E4846"/>
    <w:rsid w:val="004E492C"/>
    <w:rsid w:val="004E4C4F"/>
    <w:rsid w:val="004E4D3E"/>
    <w:rsid w:val="004E5002"/>
    <w:rsid w:val="004E51C8"/>
    <w:rsid w:val="004E5763"/>
    <w:rsid w:val="004E5830"/>
    <w:rsid w:val="004E5C50"/>
    <w:rsid w:val="004E5D1D"/>
    <w:rsid w:val="004E5D60"/>
    <w:rsid w:val="004E5E7A"/>
    <w:rsid w:val="004E5FD5"/>
    <w:rsid w:val="004E6675"/>
    <w:rsid w:val="004E66ED"/>
    <w:rsid w:val="004E67ED"/>
    <w:rsid w:val="004E6815"/>
    <w:rsid w:val="004E6B4D"/>
    <w:rsid w:val="004E6C5C"/>
    <w:rsid w:val="004E7007"/>
    <w:rsid w:val="004E70AA"/>
    <w:rsid w:val="004E7386"/>
    <w:rsid w:val="004E7516"/>
    <w:rsid w:val="004E7EB0"/>
    <w:rsid w:val="004F07D9"/>
    <w:rsid w:val="004F0A1C"/>
    <w:rsid w:val="004F0AC5"/>
    <w:rsid w:val="004F0D23"/>
    <w:rsid w:val="004F103C"/>
    <w:rsid w:val="004F10E7"/>
    <w:rsid w:val="004F1319"/>
    <w:rsid w:val="004F1525"/>
    <w:rsid w:val="004F1843"/>
    <w:rsid w:val="004F195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1DA"/>
    <w:rsid w:val="004F79CB"/>
    <w:rsid w:val="004F7A2F"/>
    <w:rsid w:val="004F7B78"/>
    <w:rsid w:val="004F7E84"/>
    <w:rsid w:val="00500002"/>
    <w:rsid w:val="00500463"/>
    <w:rsid w:val="005006F8"/>
    <w:rsid w:val="00500817"/>
    <w:rsid w:val="00500A0E"/>
    <w:rsid w:val="00500C3F"/>
    <w:rsid w:val="005014AB"/>
    <w:rsid w:val="0050197A"/>
    <w:rsid w:val="00501ABB"/>
    <w:rsid w:val="00501DBB"/>
    <w:rsid w:val="00501F6F"/>
    <w:rsid w:val="005023B0"/>
    <w:rsid w:val="005023E8"/>
    <w:rsid w:val="0050250C"/>
    <w:rsid w:val="00502686"/>
    <w:rsid w:val="00502F45"/>
    <w:rsid w:val="005030CF"/>
    <w:rsid w:val="005033C2"/>
    <w:rsid w:val="0050344B"/>
    <w:rsid w:val="005038F6"/>
    <w:rsid w:val="00503B5F"/>
    <w:rsid w:val="00503B82"/>
    <w:rsid w:val="00503D4C"/>
    <w:rsid w:val="00504156"/>
    <w:rsid w:val="0050460A"/>
    <w:rsid w:val="005047E1"/>
    <w:rsid w:val="00504882"/>
    <w:rsid w:val="00505339"/>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1F5"/>
    <w:rsid w:val="0051322E"/>
    <w:rsid w:val="005134D6"/>
    <w:rsid w:val="005135B1"/>
    <w:rsid w:val="005137A4"/>
    <w:rsid w:val="00513822"/>
    <w:rsid w:val="00513E08"/>
    <w:rsid w:val="00513E16"/>
    <w:rsid w:val="00513F68"/>
    <w:rsid w:val="005142DD"/>
    <w:rsid w:val="0051532F"/>
    <w:rsid w:val="00515AA5"/>
    <w:rsid w:val="00515CB9"/>
    <w:rsid w:val="00516B75"/>
    <w:rsid w:val="00517820"/>
    <w:rsid w:val="005179E2"/>
    <w:rsid w:val="00517AF5"/>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576"/>
    <w:rsid w:val="00525718"/>
    <w:rsid w:val="005257C1"/>
    <w:rsid w:val="00525808"/>
    <w:rsid w:val="00525D42"/>
    <w:rsid w:val="00525E77"/>
    <w:rsid w:val="00525F10"/>
    <w:rsid w:val="005263BC"/>
    <w:rsid w:val="0052658B"/>
    <w:rsid w:val="005265EA"/>
    <w:rsid w:val="005266AE"/>
    <w:rsid w:val="00526791"/>
    <w:rsid w:val="00526CEA"/>
    <w:rsid w:val="00526D00"/>
    <w:rsid w:val="00527048"/>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D62"/>
    <w:rsid w:val="00532E3F"/>
    <w:rsid w:val="00532E69"/>
    <w:rsid w:val="00533A87"/>
    <w:rsid w:val="005343AC"/>
    <w:rsid w:val="005346B0"/>
    <w:rsid w:val="00534B65"/>
    <w:rsid w:val="00534D9A"/>
    <w:rsid w:val="00534DA0"/>
    <w:rsid w:val="00534E42"/>
    <w:rsid w:val="00534E63"/>
    <w:rsid w:val="00535588"/>
    <w:rsid w:val="00535CED"/>
    <w:rsid w:val="00535D79"/>
    <w:rsid w:val="0053617A"/>
    <w:rsid w:val="00536266"/>
    <w:rsid w:val="005364CB"/>
    <w:rsid w:val="00536916"/>
    <w:rsid w:val="00537566"/>
    <w:rsid w:val="00537AF3"/>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2CA"/>
    <w:rsid w:val="00544BE5"/>
    <w:rsid w:val="00544FE2"/>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3DAC"/>
    <w:rsid w:val="005543CC"/>
    <w:rsid w:val="00554541"/>
    <w:rsid w:val="00554CA0"/>
    <w:rsid w:val="00554D9E"/>
    <w:rsid w:val="00554F69"/>
    <w:rsid w:val="00555471"/>
    <w:rsid w:val="00555F43"/>
    <w:rsid w:val="00556835"/>
    <w:rsid w:val="005568EC"/>
    <w:rsid w:val="00556C93"/>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B3D"/>
    <w:rsid w:val="00563DC0"/>
    <w:rsid w:val="00563FEC"/>
    <w:rsid w:val="00564419"/>
    <w:rsid w:val="00564A71"/>
    <w:rsid w:val="00564E8E"/>
    <w:rsid w:val="00565027"/>
    <w:rsid w:val="005650C9"/>
    <w:rsid w:val="00565336"/>
    <w:rsid w:val="005658D4"/>
    <w:rsid w:val="005658FF"/>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4CE5"/>
    <w:rsid w:val="00575164"/>
    <w:rsid w:val="005756C7"/>
    <w:rsid w:val="005760E9"/>
    <w:rsid w:val="00576310"/>
    <w:rsid w:val="005768C1"/>
    <w:rsid w:val="00576D3F"/>
    <w:rsid w:val="0057732F"/>
    <w:rsid w:val="00577992"/>
    <w:rsid w:val="00577F9F"/>
    <w:rsid w:val="0058011F"/>
    <w:rsid w:val="005801BF"/>
    <w:rsid w:val="0058028B"/>
    <w:rsid w:val="005802B7"/>
    <w:rsid w:val="005803F7"/>
    <w:rsid w:val="00580E78"/>
    <w:rsid w:val="00581002"/>
    <w:rsid w:val="00581081"/>
    <w:rsid w:val="00581084"/>
    <w:rsid w:val="00581295"/>
    <w:rsid w:val="00581BEB"/>
    <w:rsid w:val="00581DC5"/>
    <w:rsid w:val="00582373"/>
    <w:rsid w:val="00582B4B"/>
    <w:rsid w:val="00582E6D"/>
    <w:rsid w:val="005834AC"/>
    <w:rsid w:val="005836E4"/>
    <w:rsid w:val="00583C2E"/>
    <w:rsid w:val="00583EFE"/>
    <w:rsid w:val="00584084"/>
    <w:rsid w:val="005843AD"/>
    <w:rsid w:val="005845B7"/>
    <w:rsid w:val="0058486B"/>
    <w:rsid w:val="00584997"/>
    <w:rsid w:val="00584BE7"/>
    <w:rsid w:val="00584CC2"/>
    <w:rsid w:val="00584DEA"/>
    <w:rsid w:val="00585195"/>
    <w:rsid w:val="0058526A"/>
    <w:rsid w:val="00585865"/>
    <w:rsid w:val="00585F10"/>
    <w:rsid w:val="00586097"/>
    <w:rsid w:val="0058615E"/>
    <w:rsid w:val="005866D1"/>
    <w:rsid w:val="005868C6"/>
    <w:rsid w:val="00586A3D"/>
    <w:rsid w:val="00586D76"/>
    <w:rsid w:val="005875B2"/>
    <w:rsid w:val="00587BCC"/>
    <w:rsid w:val="00587EC3"/>
    <w:rsid w:val="00587FEB"/>
    <w:rsid w:val="005903D6"/>
    <w:rsid w:val="00590409"/>
    <w:rsid w:val="005909A9"/>
    <w:rsid w:val="00590AF4"/>
    <w:rsid w:val="00590E7E"/>
    <w:rsid w:val="005914E3"/>
    <w:rsid w:val="00591CDB"/>
    <w:rsid w:val="00591D26"/>
    <w:rsid w:val="00591D8F"/>
    <w:rsid w:val="00592028"/>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48"/>
    <w:rsid w:val="00595D66"/>
    <w:rsid w:val="00595D91"/>
    <w:rsid w:val="00596063"/>
    <w:rsid w:val="0059625B"/>
    <w:rsid w:val="005964C3"/>
    <w:rsid w:val="00596551"/>
    <w:rsid w:val="005968BF"/>
    <w:rsid w:val="00596948"/>
    <w:rsid w:val="00596AB5"/>
    <w:rsid w:val="00596C41"/>
    <w:rsid w:val="00597060"/>
    <w:rsid w:val="005972D0"/>
    <w:rsid w:val="00597309"/>
    <w:rsid w:val="00597516"/>
    <w:rsid w:val="00597915"/>
    <w:rsid w:val="00597D52"/>
    <w:rsid w:val="00597DC0"/>
    <w:rsid w:val="00597EAF"/>
    <w:rsid w:val="005A024A"/>
    <w:rsid w:val="005A08DF"/>
    <w:rsid w:val="005A1086"/>
    <w:rsid w:val="005A1E0F"/>
    <w:rsid w:val="005A1E19"/>
    <w:rsid w:val="005A2168"/>
    <w:rsid w:val="005A2371"/>
    <w:rsid w:val="005A2798"/>
    <w:rsid w:val="005A2D06"/>
    <w:rsid w:val="005A2D42"/>
    <w:rsid w:val="005A2D4A"/>
    <w:rsid w:val="005A2D9F"/>
    <w:rsid w:val="005A343C"/>
    <w:rsid w:val="005A35D3"/>
    <w:rsid w:val="005A3F69"/>
    <w:rsid w:val="005A4378"/>
    <w:rsid w:val="005A4467"/>
    <w:rsid w:val="005A44FB"/>
    <w:rsid w:val="005A4725"/>
    <w:rsid w:val="005A56F0"/>
    <w:rsid w:val="005A5713"/>
    <w:rsid w:val="005A5747"/>
    <w:rsid w:val="005A5977"/>
    <w:rsid w:val="005A643D"/>
    <w:rsid w:val="005A6538"/>
    <w:rsid w:val="005A66E0"/>
    <w:rsid w:val="005A68F9"/>
    <w:rsid w:val="005A6B65"/>
    <w:rsid w:val="005A6D61"/>
    <w:rsid w:val="005A7019"/>
    <w:rsid w:val="005A7134"/>
    <w:rsid w:val="005A71D0"/>
    <w:rsid w:val="005A7276"/>
    <w:rsid w:val="005A76BA"/>
    <w:rsid w:val="005A7EAA"/>
    <w:rsid w:val="005B0603"/>
    <w:rsid w:val="005B103B"/>
    <w:rsid w:val="005B10F6"/>
    <w:rsid w:val="005B1134"/>
    <w:rsid w:val="005B130B"/>
    <w:rsid w:val="005B154F"/>
    <w:rsid w:val="005B1562"/>
    <w:rsid w:val="005B18EA"/>
    <w:rsid w:val="005B1A2D"/>
    <w:rsid w:val="005B1BB7"/>
    <w:rsid w:val="005B26D6"/>
    <w:rsid w:val="005B27FC"/>
    <w:rsid w:val="005B29B5"/>
    <w:rsid w:val="005B2A90"/>
    <w:rsid w:val="005B2E64"/>
    <w:rsid w:val="005B354C"/>
    <w:rsid w:val="005B376B"/>
    <w:rsid w:val="005B389D"/>
    <w:rsid w:val="005B38CF"/>
    <w:rsid w:val="005B3C03"/>
    <w:rsid w:val="005B3CD5"/>
    <w:rsid w:val="005B4308"/>
    <w:rsid w:val="005B4376"/>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639"/>
    <w:rsid w:val="005B79E3"/>
    <w:rsid w:val="005C0013"/>
    <w:rsid w:val="005C01EF"/>
    <w:rsid w:val="005C03A9"/>
    <w:rsid w:val="005C05B5"/>
    <w:rsid w:val="005C06B5"/>
    <w:rsid w:val="005C089D"/>
    <w:rsid w:val="005C11B4"/>
    <w:rsid w:val="005C143D"/>
    <w:rsid w:val="005C1738"/>
    <w:rsid w:val="005C1756"/>
    <w:rsid w:val="005C1BCF"/>
    <w:rsid w:val="005C2127"/>
    <w:rsid w:val="005C2309"/>
    <w:rsid w:val="005C23CF"/>
    <w:rsid w:val="005C257E"/>
    <w:rsid w:val="005C27B9"/>
    <w:rsid w:val="005C2F7E"/>
    <w:rsid w:val="005C34C2"/>
    <w:rsid w:val="005C3B77"/>
    <w:rsid w:val="005C3D6A"/>
    <w:rsid w:val="005C40DA"/>
    <w:rsid w:val="005C4306"/>
    <w:rsid w:val="005C46B1"/>
    <w:rsid w:val="005C506D"/>
    <w:rsid w:val="005C5586"/>
    <w:rsid w:val="005C56DE"/>
    <w:rsid w:val="005C5761"/>
    <w:rsid w:val="005C60AA"/>
    <w:rsid w:val="005C655F"/>
    <w:rsid w:val="005C665A"/>
    <w:rsid w:val="005C667B"/>
    <w:rsid w:val="005C6814"/>
    <w:rsid w:val="005C6885"/>
    <w:rsid w:val="005C6C33"/>
    <w:rsid w:val="005C708F"/>
    <w:rsid w:val="005C766D"/>
    <w:rsid w:val="005C7750"/>
    <w:rsid w:val="005C7BD0"/>
    <w:rsid w:val="005D007D"/>
    <w:rsid w:val="005D0198"/>
    <w:rsid w:val="005D0CEC"/>
    <w:rsid w:val="005D0CFF"/>
    <w:rsid w:val="005D148D"/>
    <w:rsid w:val="005D1705"/>
    <w:rsid w:val="005D1828"/>
    <w:rsid w:val="005D1B02"/>
    <w:rsid w:val="005D206F"/>
    <w:rsid w:val="005D2233"/>
    <w:rsid w:val="005D225C"/>
    <w:rsid w:val="005D2266"/>
    <w:rsid w:val="005D232E"/>
    <w:rsid w:val="005D24E7"/>
    <w:rsid w:val="005D2665"/>
    <w:rsid w:val="005D2A28"/>
    <w:rsid w:val="005D2D11"/>
    <w:rsid w:val="005D2DDE"/>
    <w:rsid w:val="005D323A"/>
    <w:rsid w:val="005D32CB"/>
    <w:rsid w:val="005D34E7"/>
    <w:rsid w:val="005D3A16"/>
    <w:rsid w:val="005D3EAB"/>
    <w:rsid w:val="005D452F"/>
    <w:rsid w:val="005D47E7"/>
    <w:rsid w:val="005D4CB8"/>
    <w:rsid w:val="005D4D47"/>
    <w:rsid w:val="005D52B3"/>
    <w:rsid w:val="005D5A8D"/>
    <w:rsid w:val="005D5D7D"/>
    <w:rsid w:val="005D6798"/>
    <w:rsid w:val="005D6990"/>
    <w:rsid w:val="005D6CD1"/>
    <w:rsid w:val="005D7849"/>
    <w:rsid w:val="005D796D"/>
    <w:rsid w:val="005E045B"/>
    <w:rsid w:val="005E0FBD"/>
    <w:rsid w:val="005E1672"/>
    <w:rsid w:val="005E170F"/>
    <w:rsid w:val="005E2079"/>
    <w:rsid w:val="005E23CD"/>
    <w:rsid w:val="005E27E0"/>
    <w:rsid w:val="005E2957"/>
    <w:rsid w:val="005E2CA6"/>
    <w:rsid w:val="005E2D6F"/>
    <w:rsid w:val="005E2D77"/>
    <w:rsid w:val="005E3137"/>
    <w:rsid w:val="005E316F"/>
    <w:rsid w:val="005E3181"/>
    <w:rsid w:val="005E346F"/>
    <w:rsid w:val="005E355F"/>
    <w:rsid w:val="005E3724"/>
    <w:rsid w:val="005E37D8"/>
    <w:rsid w:val="005E3983"/>
    <w:rsid w:val="005E4518"/>
    <w:rsid w:val="005E4871"/>
    <w:rsid w:val="005E4A87"/>
    <w:rsid w:val="005E4ABB"/>
    <w:rsid w:val="005E4DA8"/>
    <w:rsid w:val="005E4F69"/>
    <w:rsid w:val="005E4FFB"/>
    <w:rsid w:val="005E520B"/>
    <w:rsid w:val="005E53E1"/>
    <w:rsid w:val="005E6551"/>
    <w:rsid w:val="005E7AAA"/>
    <w:rsid w:val="005F0650"/>
    <w:rsid w:val="005F0982"/>
    <w:rsid w:val="005F0A18"/>
    <w:rsid w:val="005F0A88"/>
    <w:rsid w:val="005F0F33"/>
    <w:rsid w:val="005F15B6"/>
    <w:rsid w:val="005F1D8F"/>
    <w:rsid w:val="005F2026"/>
    <w:rsid w:val="005F2729"/>
    <w:rsid w:val="005F2937"/>
    <w:rsid w:val="005F2B29"/>
    <w:rsid w:val="005F2D7D"/>
    <w:rsid w:val="005F2DCE"/>
    <w:rsid w:val="005F3364"/>
    <w:rsid w:val="005F371B"/>
    <w:rsid w:val="005F3AB5"/>
    <w:rsid w:val="005F3D56"/>
    <w:rsid w:val="005F3F59"/>
    <w:rsid w:val="005F4450"/>
    <w:rsid w:val="005F467C"/>
    <w:rsid w:val="005F471E"/>
    <w:rsid w:val="005F48F3"/>
    <w:rsid w:val="005F4A22"/>
    <w:rsid w:val="005F4CA7"/>
    <w:rsid w:val="005F503B"/>
    <w:rsid w:val="005F5688"/>
    <w:rsid w:val="005F591B"/>
    <w:rsid w:val="005F59AE"/>
    <w:rsid w:val="005F5E67"/>
    <w:rsid w:val="005F60DC"/>
    <w:rsid w:val="005F669E"/>
    <w:rsid w:val="005F66A1"/>
    <w:rsid w:val="005F700D"/>
    <w:rsid w:val="005F73D9"/>
    <w:rsid w:val="005F7AA0"/>
    <w:rsid w:val="005F7BC0"/>
    <w:rsid w:val="005F7BCA"/>
    <w:rsid w:val="005F7DAE"/>
    <w:rsid w:val="00600044"/>
    <w:rsid w:val="006000EE"/>
    <w:rsid w:val="0060045C"/>
    <w:rsid w:val="00600570"/>
    <w:rsid w:val="006005BC"/>
    <w:rsid w:val="006008E4"/>
    <w:rsid w:val="00600BB1"/>
    <w:rsid w:val="00600CD3"/>
    <w:rsid w:val="006013C6"/>
    <w:rsid w:val="006013E9"/>
    <w:rsid w:val="00601FC5"/>
    <w:rsid w:val="00602387"/>
    <w:rsid w:val="00602445"/>
    <w:rsid w:val="0060260E"/>
    <w:rsid w:val="006028EF"/>
    <w:rsid w:val="00602BA3"/>
    <w:rsid w:val="00603003"/>
    <w:rsid w:val="0060341F"/>
    <w:rsid w:val="006039C5"/>
    <w:rsid w:val="00603A0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83F"/>
    <w:rsid w:val="00606A15"/>
    <w:rsid w:val="00606CBD"/>
    <w:rsid w:val="0060744E"/>
    <w:rsid w:val="00607466"/>
    <w:rsid w:val="00607CA9"/>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927"/>
    <w:rsid w:val="00614BD9"/>
    <w:rsid w:val="00614D36"/>
    <w:rsid w:val="00614D6C"/>
    <w:rsid w:val="0061517A"/>
    <w:rsid w:val="0061522F"/>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9D7"/>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5123"/>
    <w:rsid w:val="00625553"/>
    <w:rsid w:val="00625953"/>
    <w:rsid w:val="00625A27"/>
    <w:rsid w:val="00625DE8"/>
    <w:rsid w:val="00625E4D"/>
    <w:rsid w:val="00625EC8"/>
    <w:rsid w:val="00625F55"/>
    <w:rsid w:val="00626031"/>
    <w:rsid w:val="00626681"/>
    <w:rsid w:val="006269E0"/>
    <w:rsid w:val="0062704E"/>
    <w:rsid w:val="0062774D"/>
    <w:rsid w:val="00627DE2"/>
    <w:rsid w:val="00627FC1"/>
    <w:rsid w:val="00630839"/>
    <w:rsid w:val="00630BCC"/>
    <w:rsid w:val="00630E44"/>
    <w:rsid w:val="00630EFF"/>
    <w:rsid w:val="0063102B"/>
    <w:rsid w:val="0063165E"/>
    <w:rsid w:val="00631766"/>
    <w:rsid w:val="00631A39"/>
    <w:rsid w:val="00631E91"/>
    <w:rsid w:val="006322DA"/>
    <w:rsid w:val="0063266B"/>
    <w:rsid w:val="00632A99"/>
    <w:rsid w:val="00632E2F"/>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CBE"/>
    <w:rsid w:val="00637E2D"/>
    <w:rsid w:val="006404AC"/>
    <w:rsid w:val="006406CE"/>
    <w:rsid w:val="00640D70"/>
    <w:rsid w:val="00640E6B"/>
    <w:rsid w:val="006414B8"/>
    <w:rsid w:val="0064163F"/>
    <w:rsid w:val="00641705"/>
    <w:rsid w:val="006419FE"/>
    <w:rsid w:val="00641A39"/>
    <w:rsid w:val="00641FD7"/>
    <w:rsid w:val="0064248A"/>
    <w:rsid w:val="00642649"/>
    <w:rsid w:val="00642B65"/>
    <w:rsid w:val="00643036"/>
    <w:rsid w:val="006436AA"/>
    <w:rsid w:val="00643889"/>
    <w:rsid w:val="00643DB1"/>
    <w:rsid w:val="00643F65"/>
    <w:rsid w:val="00644083"/>
    <w:rsid w:val="00644138"/>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70"/>
    <w:rsid w:val="006519EA"/>
    <w:rsid w:val="00651BA5"/>
    <w:rsid w:val="00651C88"/>
    <w:rsid w:val="00651D3C"/>
    <w:rsid w:val="00651DF1"/>
    <w:rsid w:val="00652082"/>
    <w:rsid w:val="0065243D"/>
    <w:rsid w:val="0065279F"/>
    <w:rsid w:val="00652CF3"/>
    <w:rsid w:val="00653424"/>
    <w:rsid w:val="006535F8"/>
    <w:rsid w:val="00653748"/>
    <w:rsid w:val="00653762"/>
    <w:rsid w:val="006538C5"/>
    <w:rsid w:val="00653AF8"/>
    <w:rsid w:val="00653C3C"/>
    <w:rsid w:val="00653E70"/>
    <w:rsid w:val="00653E9E"/>
    <w:rsid w:val="0065410E"/>
    <w:rsid w:val="00654463"/>
    <w:rsid w:val="00654523"/>
    <w:rsid w:val="0065480B"/>
    <w:rsid w:val="0065483C"/>
    <w:rsid w:val="00654D47"/>
    <w:rsid w:val="006552E8"/>
    <w:rsid w:val="0065572F"/>
    <w:rsid w:val="006557ED"/>
    <w:rsid w:val="00655B05"/>
    <w:rsid w:val="0065610B"/>
    <w:rsid w:val="006568F4"/>
    <w:rsid w:val="006569E0"/>
    <w:rsid w:val="00656B1D"/>
    <w:rsid w:val="00656EA7"/>
    <w:rsid w:val="00657138"/>
    <w:rsid w:val="0065715B"/>
    <w:rsid w:val="00657A4A"/>
    <w:rsid w:val="00660084"/>
    <w:rsid w:val="00660166"/>
    <w:rsid w:val="0066024F"/>
    <w:rsid w:val="00660B84"/>
    <w:rsid w:val="006615DF"/>
    <w:rsid w:val="00661CC7"/>
    <w:rsid w:val="00661F1E"/>
    <w:rsid w:val="00662087"/>
    <w:rsid w:val="00662458"/>
    <w:rsid w:val="006624E3"/>
    <w:rsid w:val="00662DC3"/>
    <w:rsid w:val="00663457"/>
    <w:rsid w:val="006636A4"/>
    <w:rsid w:val="00663A6F"/>
    <w:rsid w:val="00663C54"/>
    <w:rsid w:val="00663D3C"/>
    <w:rsid w:val="00663F8B"/>
    <w:rsid w:val="006640CF"/>
    <w:rsid w:val="006640EA"/>
    <w:rsid w:val="0066423F"/>
    <w:rsid w:val="00664545"/>
    <w:rsid w:val="00664AB1"/>
    <w:rsid w:val="00664ADF"/>
    <w:rsid w:val="00664C44"/>
    <w:rsid w:val="00664D95"/>
    <w:rsid w:val="006650E5"/>
    <w:rsid w:val="006653DD"/>
    <w:rsid w:val="00665730"/>
    <w:rsid w:val="00665C06"/>
    <w:rsid w:val="00666C2A"/>
    <w:rsid w:val="00666D89"/>
    <w:rsid w:val="00667614"/>
    <w:rsid w:val="0066769C"/>
    <w:rsid w:val="006679B2"/>
    <w:rsid w:val="00667DFF"/>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D59"/>
    <w:rsid w:val="00672FBB"/>
    <w:rsid w:val="006732C2"/>
    <w:rsid w:val="006734B0"/>
    <w:rsid w:val="006734B3"/>
    <w:rsid w:val="00673C3C"/>
    <w:rsid w:val="00673FAD"/>
    <w:rsid w:val="006740BF"/>
    <w:rsid w:val="006742EE"/>
    <w:rsid w:val="00674F90"/>
    <w:rsid w:val="006756F1"/>
    <w:rsid w:val="00675B28"/>
    <w:rsid w:val="006761A5"/>
    <w:rsid w:val="006766EA"/>
    <w:rsid w:val="00676D78"/>
    <w:rsid w:val="006775AB"/>
    <w:rsid w:val="006777F6"/>
    <w:rsid w:val="00677B1C"/>
    <w:rsid w:val="00677E9D"/>
    <w:rsid w:val="00680205"/>
    <w:rsid w:val="00680273"/>
    <w:rsid w:val="00680747"/>
    <w:rsid w:val="00680DA1"/>
    <w:rsid w:val="00680E41"/>
    <w:rsid w:val="006811C2"/>
    <w:rsid w:val="00681283"/>
    <w:rsid w:val="00681653"/>
    <w:rsid w:val="0068166A"/>
    <w:rsid w:val="00681751"/>
    <w:rsid w:val="00681EE3"/>
    <w:rsid w:val="0068202D"/>
    <w:rsid w:val="0068279E"/>
    <w:rsid w:val="006831C1"/>
    <w:rsid w:val="00683391"/>
    <w:rsid w:val="0068368A"/>
    <w:rsid w:val="00684022"/>
    <w:rsid w:val="00684167"/>
    <w:rsid w:val="006842E5"/>
    <w:rsid w:val="00684734"/>
    <w:rsid w:val="0068481F"/>
    <w:rsid w:val="0068494F"/>
    <w:rsid w:val="00684D55"/>
    <w:rsid w:val="00685973"/>
    <w:rsid w:val="00685A4B"/>
    <w:rsid w:val="00685C43"/>
    <w:rsid w:val="00685CA1"/>
    <w:rsid w:val="00685D7D"/>
    <w:rsid w:val="0068635D"/>
    <w:rsid w:val="00686459"/>
    <w:rsid w:val="00686E57"/>
    <w:rsid w:val="00686F13"/>
    <w:rsid w:val="00686F7C"/>
    <w:rsid w:val="0068755D"/>
    <w:rsid w:val="00687596"/>
    <w:rsid w:val="006875E5"/>
    <w:rsid w:val="00687947"/>
    <w:rsid w:val="006879C4"/>
    <w:rsid w:val="0069048A"/>
    <w:rsid w:val="00690DD3"/>
    <w:rsid w:val="00690DF0"/>
    <w:rsid w:val="00690F8C"/>
    <w:rsid w:val="006915CB"/>
    <w:rsid w:val="00691ADF"/>
    <w:rsid w:val="00691B50"/>
    <w:rsid w:val="00691F98"/>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28C"/>
    <w:rsid w:val="00695431"/>
    <w:rsid w:val="006955FB"/>
    <w:rsid w:val="006956D5"/>
    <w:rsid w:val="006957D5"/>
    <w:rsid w:val="006958C2"/>
    <w:rsid w:val="00695A04"/>
    <w:rsid w:val="00695EFF"/>
    <w:rsid w:val="00695F3B"/>
    <w:rsid w:val="00696298"/>
    <w:rsid w:val="00696310"/>
    <w:rsid w:val="006965BA"/>
    <w:rsid w:val="0069694D"/>
    <w:rsid w:val="00697082"/>
    <w:rsid w:val="00697273"/>
    <w:rsid w:val="00697483"/>
    <w:rsid w:val="006978ED"/>
    <w:rsid w:val="006979D2"/>
    <w:rsid w:val="00697B8D"/>
    <w:rsid w:val="00697C21"/>
    <w:rsid w:val="00697FE0"/>
    <w:rsid w:val="006A0055"/>
    <w:rsid w:val="006A0B7F"/>
    <w:rsid w:val="006A0E06"/>
    <w:rsid w:val="006A150D"/>
    <w:rsid w:val="006A15E5"/>
    <w:rsid w:val="006A192A"/>
    <w:rsid w:val="006A1C19"/>
    <w:rsid w:val="006A22FA"/>
    <w:rsid w:val="006A2304"/>
    <w:rsid w:val="006A230B"/>
    <w:rsid w:val="006A2DB8"/>
    <w:rsid w:val="006A2DDE"/>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558"/>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EC2"/>
    <w:rsid w:val="006B3FDC"/>
    <w:rsid w:val="006B4231"/>
    <w:rsid w:val="006B4699"/>
    <w:rsid w:val="006B4D6C"/>
    <w:rsid w:val="006B4DF6"/>
    <w:rsid w:val="006B4E4E"/>
    <w:rsid w:val="006B4FDC"/>
    <w:rsid w:val="006B57E0"/>
    <w:rsid w:val="006B5818"/>
    <w:rsid w:val="006B5977"/>
    <w:rsid w:val="006B5AF5"/>
    <w:rsid w:val="006B5B1C"/>
    <w:rsid w:val="006B60B1"/>
    <w:rsid w:val="006B63C6"/>
    <w:rsid w:val="006B7141"/>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0D8"/>
    <w:rsid w:val="006C39DA"/>
    <w:rsid w:val="006C3B49"/>
    <w:rsid w:val="006C3B75"/>
    <w:rsid w:val="006C3DE3"/>
    <w:rsid w:val="006C4089"/>
    <w:rsid w:val="006C4813"/>
    <w:rsid w:val="006C4B0B"/>
    <w:rsid w:val="006C4EE4"/>
    <w:rsid w:val="006C4F23"/>
    <w:rsid w:val="006C5332"/>
    <w:rsid w:val="006C56F7"/>
    <w:rsid w:val="006C575A"/>
    <w:rsid w:val="006C597C"/>
    <w:rsid w:val="006C63D3"/>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55F"/>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D7F75"/>
    <w:rsid w:val="006E0252"/>
    <w:rsid w:val="006E025B"/>
    <w:rsid w:val="006E0B5E"/>
    <w:rsid w:val="006E1007"/>
    <w:rsid w:val="006E10B1"/>
    <w:rsid w:val="006E12F7"/>
    <w:rsid w:val="006E1862"/>
    <w:rsid w:val="006E1ECF"/>
    <w:rsid w:val="006E1FF6"/>
    <w:rsid w:val="006E2260"/>
    <w:rsid w:val="006E2B7D"/>
    <w:rsid w:val="006E3ACE"/>
    <w:rsid w:val="006E3B0B"/>
    <w:rsid w:val="006E4296"/>
    <w:rsid w:val="006E482A"/>
    <w:rsid w:val="006E5278"/>
    <w:rsid w:val="006E530F"/>
    <w:rsid w:val="006E544E"/>
    <w:rsid w:val="006E57CB"/>
    <w:rsid w:val="006E591E"/>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40E"/>
    <w:rsid w:val="006F3770"/>
    <w:rsid w:val="006F3849"/>
    <w:rsid w:val="006F3A57"/>
    <w:rsid w:val="006F3ADF"/>
    <w:rsid w:val="006F3B83"/>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AD9"/>
    <w:rsid w:val="00701C64"/>
    <w:rsid w:val="00701E44"/>
    <w:rsid w:val="007021E8"/>
    <w:rsid w:val="00703043"/>
    <w:rsid w:val="00703B5C"/>
    <w:rsid w:val="00703D43"/>
    <w:rsid w:val="007040D1"/>
    <w:rsid w:val="0070418D"/>
    <w:rsid w:val="007042C9"/>
    <w:rsid w:val="0070497B"/>
    <w:rsid w:val="00704E0D"/>
    <w:rsid w:val="0070529C"/>
    <w:rsid w:val="00705400"/>
    <w:rsid w:val="00705A22"/>
    <w:rsid w:val="00705F1D"/>
    <w:rsid w:val="007060B5"/>
    <w:rsid w:val="0070611B"/>
    <w:rsid w:val="00706203"/>
    <w:rsid w:val="007066CB"/>
    <w:rsid w:val="00707129"/>
    <w:rsid w:val="00707591"/>
    <w:rsid w:val="00707A47"/>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4DC2"/>
    <w:rsid w:val="00714DED"/>
    <w:rsid w:val="007150C9"/>
    <w:rsid w:val="00715628"/>
    <w:rsid w:val="00715BB5"/>
    <w:rsid w:val="00715F8C"/>
    <w:rsid w:val="007163BB"/>
    <w:rsid w:val="00716BA0"/>
    <w:rsid w:val="00716C92"/>
    <w:rsid w:val="007170E0"/>
    <w:rsid w:val="007172FF"/>
    <w:rsid w:val="00717710"/>
    <w:rsid w:val="00717E0E"/>
    <w:rsid w:val="00717ED3"/>
    <w:rsid w:val="00717F58"/>
    <w:rsid w:val="00720A9A"/>
    <w:rsid w:val="00720AD9"/>
    <w:rsid w:val="00720D39"/>
    <w:rsid w:val="00720D6E"/>
    <w:rsid w:val="00721085"/>
    <w:rsid w:val="0072111B"/>
    <w:rsid w:val="0072121B"/>
    <w:rsid w:val="00721988"/>
    <w:rsid w:val="00722142"/>
    <w:rsid w:val="0072289D"/>
    <w:rsid w:val="00722D31"/>
    <w:rsid w:val="00722E09"/>
    <w:rsid w:val="007230FE"/>
    <w:rsid w:val="0072338D"/>
    <w:rsid w:val="007235DD"/>
    <w:rsid w:val="00724109"/>
    <w:rsid w:val="00724112"/>
    <w:rsid w:val="00724409"/>
    <w:rsid w:val="00724440"/>
    <w:rsid w:val="0072453A"/>
    <w:rsid w:val="00724672"/>
    <w:rsid w:val="0072485A"/>
    <w:rsid w:val="0072495C"/>
    <w:rsid w:val="00724A08"/>
    <w:rsid w:val="00724F46"/>
    <w:rsid w:val="0072540A"/>
    <w:rsid w:val="00725423"/>
    <w:rsid w:val="0072590B"/>
    <w:rsid w:val="00725A3D"/>
    <w:rsid w:val="00725D34"/>
    <w:rsid w:val="00726038"/>
    <w:rsid w:val="0072625C"/>
    <w:rsid w:val="00726682"/>
    <w:rsid w:val="007267C5"/>
    <w:rsid w:val="00726B4C"/>
    <w:rsid w:val="00727767"/>
    <w:rsid w:val="007300EA"/>
    <w:rsid w:val="0073046A"/>
    <w:rsid w:val="00730546"/>
    <w:rsid w:val="007308CA"/>
    <w:rsid w:val="00730E45"/>
    <w:rsid w:val="007310C3"/>
    <w:rsid w:val="00731111"/>
    <w:rsid w:val="0073137E"/>
    <w:rsid w:val="007313C9"/>
    <w:rsid w:val="00731B84"/>
    <w:rsid w:val="00731BEB"/>
    <w:rsid w:val="00731D7F"/>
    <w:rsid w:val="00731F48"/>
    <w:rsid w:val="0073246D"/>
    <w:rsid w:val="007324A9"/>
    <w:rsid w:val="00732704"/>
    <w:rsid w:val="00732716"/>
    <w:rsid w:val="0073293E"/>
    <w:rsid w:val="00732E96"/>
    <w:rsid w:val="007331A9"/>
    <w:rsid w:val="00733423"/>
    <w:rsid w:val="00733810"/>
    <w:rsid w:val="00733D67"/>
    <w:rsid w:val="007340C7"/>
    <w:rsid w:val="00734238"/>
    <w:rsid w:val="00734498"/>
    <w:rsid w:val="007346F6"/>
    <w:rsid w:val="00734A59"/>
    <w:rsid w:val="0073584B"/>
    <w:rsid w:val="007358DC"/>
    <w:rsid w:val="007359BF"/>
    <w:rsid w:val="00735DA1"/>
    <w:rsid w:val="00735DED"/>
    <w:rsid w:val="00735F82"/>
    <w:rsid w:val="007363DD"/>
    <w:rsid w:val="00736A29"/>
    <w:rsid w:val="00736BAC"/>
    <w:rsid w:val="00736EB3"/>
    <w:rsid w:val="00736F1C"/>
    <w:rsid w:val="00736F39"/>
    <w:rsid w:val="00737151"/>
    <w:rsid w:val="00737238"/>
    <w:rsid w:val="007372D9"/>
    <w:rsid w:val="00737704"/>
    <w:rsid w:val="00737AE5"/>
    <w:rsid w:val="00737B36"/>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4B"/>
    <w:rsid w:val="00745583"/>
    <w:rsid w:val="007456E8"/>
    <w:rsid w:val="00745939"/>
    <w:rsid w:val="007459B2"/>
    <w:rsid w:val="00745F71"/>
    <w:rsid w:val="00745FB1"/>
    <w:rsid w:val="00746B91"/>
    <w:rsid w:val="00746D8B"/>
    <w:rsid w:val="0074740E"/>
    <w:rsid w:val="00747663"/>
    <w:rsid w:val="00747CDD"/>
    <w:rsid w:val="00747FC8"/>
    <w:rsid w:val="00750717"/>
    <w:rsid w:val="00750A72"/>
    <w:rsid w:val="00750F54"/>
    <w:rsid w:val="00751528"/>
    <w:rsid w:val="00751618"/>
    <w:rsid w:val="007518CB"/>
    <w:rsid w:val="007519CB"/>
    <w:rsid w:val="00752394"/>
    <w:rsid w:val="00752499"/>
    <w:rsid w:val="007525CC"/>
    <w:rsid w:val="00752853"/>
    <w:rsid w:val="00752EA4"/>
    <w:rsid w:val="0075342F"/>
    <w:rsid w:val="00754401"/>
    <w:rsid w:val="00754689"/>
    <w:rsid w:val="0075484E"/>
    <w:rsid w:val="00754983"/>
    <w:rsid w:val="00754A69"/>
    <w:rsid w:val="00754D6C"/>
    <w:rsid w:val="00754E5E"/>
    <w:rsid w:val="00755198"/>
    <w:rsid w:val="00755211"/>
    <w:rsid w:val="007552A7"/>
    <w:rsid w:val="007559C2"/>
    <w:rsid w:val="00755A00"/>
    <w:rsid w:val="00755AF7"/>
    <w:rsid w:val="00756ABB"/>
    <w:rsid w:val="00756C0A"/>
    <w:rsid w:val="00757112"/>
    <w:rsid w:val="00757399"/>
    <w:rsid w:val="00757833"/>
    <w:rsid w:val="007578AF"/>
    <w:rsid w:val="00757CAE"/>
    <w:rsid w:val="00757F0A"/>
    <w:rsid w:val="00760345"/>
    <w:rsid w:val="00760371"/>
    <w:rsid w:val="007607A5"/>
    <w:rsid w:val="0076085D"/>
    <w:rsid w:val="00760B26"/>
    <w:rsid w:val="00760BEE"/>
    <w:rsid w:val="0076145C"/>
    <w:rsid w:val="00761A98"/>
    <w:rsid w:val="00761B1D"/>
    <w:rsid w:val="00761D1D"/>
    <w:rsid w:val="007622AE"/>
    <w:rsid w:val="00762479"/>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2E5"/>
    <w:rsid w:val="007724A6"/>
    <w:rsid w:val="00772759"/>
    <w:rsid w:val="007728F1"/>
    <w:rsid w:val="0077297F"/>
    <w:rsid w:val="00772993"/>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90C"/>
    <w:rsid w:val="00777A28"/>
    <w:rsid w:val="00777E59"/>
    <w:rsid w:val="00777F11"/>
    <w:rsid w:val="00780223"/>
    <w:rsid w:val="0078028D"/>
    <w:rsid w:val="007802AC"/>
    <w:rsid w:val="00780A28"/>
    <w:rsid w:val="00780F28"/>
    <w:rsid w:val="007811D0"/>
    <w:rsid w:val="007814BC"/>
    <w:rsid w:val="007815CE"/>
    <w:rsid w:val="00781F92"/>
    <w:rsid w:val="007820C9"/>
    <w:rsid w:val="00782680"/>
    <w:rsid w:val="007829E9"/>
    <w:rsid w:val="007830E5"/>
    <w:rsid w:val="0078387D"/>
    <w:rsid w:val="007839AD"/>
    <w:rsid w:val="00783C6C"/>
    <w:rsid w:val="00784493"/>
    <w:rsid w:val="0078450A"/>
    <w:rsid w:val="007846E7"/>
    <w:rsid w:val="00784712"/>
    <w:rsid w:val="00784E88"/>
    <w:rsid w:val="007850AD"/>
    <w:rsid w:val="00785633"/>
    <w:rsid w:val="0078564D"/>
    <w:rsid w:val="0078572A"/>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E3E"/>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D7F"/>
    <w:rsid w:val="00794EDA"/>
    <w:rsid w:val="00795310"/>
    <w:rsid w:val="00795586"/>
    <w:rsid w:val="00795660"/>
    <w:rsid w:val="00795770"/>
    <w:rsid w:val="0079594B"/>
    <w:rsid w:val="00795C5D"/>
    <w:rsid w:val="007965DA"/>
    <w:rsid w:val="0079668F"/>
    <w:rsid w:val="00796708"/>
    <w:rsid w:val="007970E4"/>
    <w:rsid w:val="00797531"/>
    <w:rsid w:val="00797D4B"/>
    <w:rsid w:val="007A03DD"/>
    <w:rsid w:val="007A0A4D"/>
    <w:rsid w:val="007A0CFD"/>
    <w:rsid w:val="007A0D65"/>
    <w:rsid w:val="007A0EC1"/>
    <w:rsid w:val="007A1981"/>
    <w:rsid w:val="007A1ACC"/>
    <w:rsid w:val="007A1E35"/>
    <w:rsid w:val="007A1E96"/>
    <w:rsid w:val="007A1EAF"/>
    <w:rsid w:val="007A2013"/>
    <w:rsid w:val="007A2225"/>
    <w:rsid w:val="007A2354"/>
    <w:rsid w:val="007A261E"/>
    <w:rsid w:val="007A26AC"/>
    <w:rsid w:val="007A26BA"/>
    <w:rsid w:val="007A2B2A"/>
    <w:rsid w:val="007A2D52"/>
    <w:rsid w:val="007A2E3F"/>
    <w:rsid w:val="007A2F3D"/>
    <w:rsid w:val="007A30E2"/>
    <w:rsid w:val="007A3714"/>
    <w:rsid w:val="007A3D29"/>
    <w:rsid w:val="007A40AD"/>
    <w:rsid w:val="007A40E3"/>
    <w:rsid w:val="007A4456"/>
    <w:rsid w:val="007A45A3"/>
    <w:rsid w:val="007A4EF1"/>
    <w:rsid w:val="007A5017"/>
    <w:rsid w:val="007A507A"/>
    <w:rsid w:val="007A513F"/>
    <w:rsid w:val="007A52CA"/>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7C2"/>
    <w:rsid w:val="007B1B32"/>
    <w:rsid w:val="007B1E26"/>
    <w:rsid w:val="007B1E93"/>
    <w:rsid w:val="007B2134"/>
    <w:rsid w:val="007B248D"/>
    <w:rsid w:val="007B25D0"/>
    <w:rsid w:val="007B3074"/>
    <w:rsid w:val="007B3B76"/>
    <w:rsid w:val="007B3DB4"/>
    <w:rsid w:val="007B41DD"/>
    <w:rsid w:val="007B47D5"/>
    <w:rsid w:val="007B4CDA"/>
    <w:rsid w:val="007B4F8F"/>
    <w:rsid w:val="007B52C3"/>
    <w:rsid w:val="007B57B7"/>
    <w:rsid w:val="007B5A5F"/>
    <w:rsid w:val="007B5C3D"/>
    <w:rsid w:val="007B5F05"/>
    <w:rsid w:val="007B62AE"/>
    <w:rsid w:val="007B68CB"/>
    <w:rsid w:val="007B6ACA"/>
    <w:rsid w:val="007B6DF8"/>
    <w:rsid w:val="007B6E0D"/>
    <w:rsid w:val="007B7096"/>
    <w:rsid w:val="007B710E"/>
    <w:rsid w:val="007B7B1B"/>
    <w:rsid w:val="007B7DC8"/>
    <w:rsid w:val="007C01C2"/>
    <w:rsid w:val="007C0381"/>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2E1"/>
    <w:rsid w:val="007C55E2"/>
    <w:rsid w:val="007C567E"/>
    <w:rsid w:val="007C5781"/>
    <w:rsid w:val="007C579D"/>
    <w:rsid w:val="007C59D6"/>
    <w:rsid w:val="007C5B34"/>
    <w:rsid w:val="007C5D3D"/>
    <w:rsid w:val="007C5DE3"/>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1A"/>
    <w:rsid w:val="007D443E"/>
    <w:rsid w:val="007D44FA"/>
    <w:rsid w:val="007D48CA"/>
    <w:rsid w:val="007D4ABB"/>
    <w:rsid w:val="007D4B10"/>
    <w:rsid w:val="007D4D0B"/>
    <w:rsid w:val="007D5AC1"/>
    <w:rsid w:val="007D5DE9"/>
    <w:rsid w:val="007D6192"/>
    <w:rsid w:val="007D67FC"/>
    <w:rsid w:val="007D68D1"/>
    <w:rsid w:val="007D6B49"/>
    <w:rsid w:val="007D7561"/>
    <w:rsid w:val="007D75BA"/>
    <w:rsid w:val="007D789B"/>
    <w:rsid w:val="007D7B43"/>
    <w:rsid w:val="007D7B53"/>
    <w:rsid w:val="007D7BFD"/>
    <w:rsid w:val="007D7E0B"/>
    <w:rsid w:val="007D7F92"/>
    <w:rsid w:val="007E00B4"/>
    <w:rsid w:val="007E02F6"/>
    <w:rsid w:val="007E03B5"/>
    <w:rsid w:val="007E08BA"/>
    <w:rsid w:val="007E08DE"/>
    <w:rsid w:val="007E1212"/>
    <w:rsid w:val="007E1527"/>
    <w:rsid w:val="007E168A"/>
    <w:rsid w:val="007E1A9A"/>
    <w:rsid w:val="007E1D51"/>
    <w:rsid w:val="007E1F32"/>
    <w:rsid w:val="007E25C7"/>
    <w:rsid w:val="007E2719"/>
    <w:rsid w:val="007E2724"/>
    <w:rsid w:val="007E2AA2"/>
    <w:rsid w:val="007E3599"/>
    <w:rsid w:val="007E382D"/>
    <w:rsid w:val="007E3C76"/>
    <w:rsid w:val="007E3CAB"/>
    <w:rsid w:val="007E4053"/>
    <w:rsid w:val="007E425C"/>
    <w:rsid w:val="007E4954"/>
    <w:rsid w:val="007E4A5D"/>
    <w:rsid w:val="007E4BEE"/>
    <w:rsid w:val="007E4E69"/>
    <w:rsid w:val="007E56DF"/>
    <w:rsid w:val="007E5865"/>
    <w:rsid w:val="007E59B2"/>
    <w:rsid w:val="007E5B25"/>
    <w:rsid w:val="007E6CE6"/>
    <w:rsid w:val="007E6F97"/>
    <w:rsid w:val="007E74F8"/>
    <w:rsid w:val="007E7AE5"/>
    <w:rsid w:val="007E7D9E"/>
    <w:rsid w:val="007E7F30"/>
    <w:rsid w:val="007F055B"/>
    <w:rsid w:val="007F10D6"/>
    <w:rsid w:val="007F10EC"/>
    <w:rsid w:val="007F1275"/>
    <w:rsid w:val="007F12F9"/>
    <w:rsid w:val="007F1931"/>
    <w:rsid w:val="007F1E59"/>
    <w:rsid w:val="007F1FF2"/>
    <w:rsid w:val="007F2197"/>
    <w:rsid w:val="007F288B"/>
    <w:rsid w:val="007F2D99"/>
    <w:rsid w:val="007F322B"/>
    <w:rsid w:val="007F379B"/>
    <w:rsid w:val="007F380C"/>
    <w:rsid w:val="007F3849"/>
    <w:rsid w:val="007F3EC4"/>
    <w:rsid w:val="007F3F7E"/>
    <w:rsid w:val="007F4456"/>
    <w:rsid w:val="007F4B36"/>
    <w:rsid w:val="007F4C05"/>
    <w:rsid w:val="007F4C2E"/>
    <w:rsid w:val="007F4F9B"/>
    <w:rsid w:val="007F5170"/>
    <w:rsid w:val="007F531A"/>
    <w:rsid w:val="007F53EE"/>
    <w:rsid w:val="007F548A"/>
    <w:rsid w:val="007F588D"/>
    <w:rsid w:val="007F58AA"/>
    <w:rsid w:val="007F5A4C"/>
    <w:rsid w:val="007F5B11"/>
    <w:rsid w:val="007F5C32"/>
    <w:rsid w:val="007F63A6"/>
    <w:rsid w:val="007F67A6"/>
    <w:rsid w:val="007F69C0"/>
    <w:rsid w:val="007F6C41"/>
    <w:rsid w:val="007F6D2C"/>
    <w:rsid w:val="007F6E29"/>
    <w:rsid w:val="007F7324"/>
    <w:rsid w:val="007F7B19"/>
    <w:rsid w:val="007F7BC2"/>
    <w:rsid w:val="007F7BE7"/>
    <w:rsid w:val="00800627"/>
    <w:rsid w:val="00800AB0"/>
    <w:rsid w:val="00800AE2"/>
    <w:rsid w:val="008011B9"/>
    <w:rsid w:val="008011E0"/>
    <w:rsid w:val="008012FF"/>
    <w:rsid w:val="008014A4"/>
    <w:rsid w:val="00801601"/>
    <w:rsid w:val="00801833"/>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EB1"/>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4C6"/>
    <w:rsid w:val="008176F4"/>
    <w:rsid w:val="008177D1"/>
    <w:rsid w:val="00817940"/>
    <w:rsid w:val="00817A68"/>
    <w:rsid w:val="00817F63"/>
    <w:rsid w:val="00820182"/>
    <w:rsid w:val="008207ED"/>
    <w:rsid w:val="00821313"/>
    <w:rsid w:val="00821326"/>
    <w:rsid w:val="00821560"/>
    <w:rsid w:val="0082192F"/>
    <w:rsid w:val="00821A63"/>
    <w:rsid w:val="00821BC3"/>
    <w:rsid w:val="00822366"/>
    <w:rsid w:val="00822B06"/>
    <w:rsid w:val="00823198"/>
    <w:rsid w:val="00823784"/>
    <w:rsid w:val="00823868"/>
    <w:rsid w:val="00823F1E"/>
    <w:rsid w:val="0082426E"/>
    <w:rsid w:val="00824412"/>
    <w:rsid w:val="0082443B"/>
    <w:rsid w:val="0082456C"/>
    <w:rsid w:val="0082480C"/>
    <w:rsid w:val="00824B36"/>
    <w:rsid w:val="00825476"/>
    <w:rsid w:val="008257D2"/>
    <w:rsid w:val="0082592D"/>
    <w:rsid w:val="00825B08"/>
    <w:rsid w:val="00825BEE"/>
    <w:rsid w:val="00826650"/>
    <w:rsid w:val="00826DE5"/>
    <w:rsid w:val="008272BB"/>
    <w:rsid w:val="00827742"/>
    <w:rsid w:val="008279A9"/>
    <w:rsid w:val="00827EC1"/>
    <w:rsid w:val="00830600"/>
    <w:rsid w:val="00830638"/>
    <w:rsid w:val="008311C4"/>
    <w:rsid w:val="00831A49"/>
    <w:rsid w:val="00831BCF"/>
    <w:rsid w:val="00831D5C"/>
    <w:rsid w:val="00831DF0"/>
    <w:rsid w:val="00831E7A"/>
    <w:rsid w:val="008327F0"/>
    <w:rsid w:val="00832985"/>
    <w:rsid w:val="00832B52"/>
    <w:rsid w:val="008337B5"/>
    <w:rsid w:val="008339F3"/>
    <w:rsid w:val="00833A5D"/>
    <w:rsid w:val="00833B59"/>
    <w:rsid w:val="00834236"/>
    <w:rsid w:val="008347D1"/>
    <w:rsid w:val="0083538A"/>
    <w:rsid w:val="00835484"/>
    <w:rsid w:val="008359F2"/>
    <w:rsid w:val="00835BC5"/>
    <w:rsid w:val="00835C0E"/>
    <w:rsid w:val="00835E5F"/>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5C"/>
    <w:rsid w:val="00843AF8"/>
    <w:rsid w:val="0084405D"/>
    <w:rsid w:val="008441C7"/>
    <w:rsid w:val="00844B27"/>
    <w:rsid w:val="00844C36"/>
    <w:rsid w:val="008450A8"/>
    <w:rsid w:val="008454C4"/>
    <w:rsid w:val="00845F1E"/>
    <w:rsid w:val="008461CF"/>
    <w:rsid w:val="00846481"/>
    <w:rsid w:val="00846862"/>
    <w:rsid w:val="00846C16"/>
    <w:rsid w:val="00846E5C"/>
    <w:rsid w:val="0084741D"/>
    <w:rsid w:val="00847467"/>
    <w:rsid w:val="00847AC0"/>
    <w:rsid w:val="00847EB8"/>
    <w:rsid w:val="00850138"/>
    <w:rsid w:val="008502D1"/>
    <w:rsid w:val="0085034E"/>
    <w:rsid w:val="00850B25"/>
    <w:rsid w:val="00850C98"/>
    <w:rsid w:val="00850D65"/>
    <w:rsid w:val="00850F2D"/>
    <w:rsid w:val="00851132"/>
    <w:rsid w:val="00851710"/>
    <w:rsid w:val="00851C2E"/>
    <w:rsid w:val="00851D4D"/>
    <w:rsid w:val="00852137"/>
    <w:rsid w:val="0085214D"/>
    <w:rsid w:val="00852197"/>
    <w:rsid w:val="008528CD"/>
    <w:rsid w:val="00852904"/>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492"/>
    <w:rsid w:val="008565BC"/>
    <w:rsid w:val="0085686A"/>
    <w:rsid w:val="00856909"/>
    <w:rsid w:val="00856BF5"/>
    <w:rsid w:val="00856EF6"/>
    <w:rsid w:val="008570BC"/>
    <w:rsid w:val="008570E1"/>
    <w:rsid w:val="00857813"/>
    <w:rsid w:val="00857873"/>
    <w:rsid w:val="00857980"/>
    <w:rsid w:val="00860568"/>
    <w:rsid w:val="0086089A"/>
    <w:rsid w:val="00860CD2"/>
    <w:rsid w:val="00860E30"/>
    <w:rsid w:val="00860E4B"/>
    <w:rsid w:val="008616B1"/>
    <w:rsid w:val="008617CE"/>
    <w:rsid w:val="008619F0"/>
    <w:rsid w:val="0086264D"/>
    <w:rsid w:val="0086269C"/>
    <w:rsid w:val="00862784"/>
    <w:rsid w:val="00862D87"/>
    <w:rsid w:val="00862F48"/>
    <w:rsid w:val="0086331D"/>
    <w:rsid w:val="008638BD"/>
    <w:rsid w:val="00863AC1"/>
    <w:rsid w:val="00863CB8"/>
    <w:rsid w:val="00864A42"/>
    <w:rsid w:val="00865007"/>
    <w:rsid w:val="0086506E"/>
    <w:rsid w:val="0086526F"/>
    <w:rsid w:val="008653BB"/>
    <w:rsid w:val="00865B6E"/>
    <w:rsid w:val="00865C67"/>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A88"/>
    <w:rsid w:val="00872BB3"/>
    <w:rsid w:val="00872D5A"/>
    <w:rsid w:val="00872FCA"/>
    <w:rsid w:val="0087345A"/>
    <w:rsid w:val="0087351F"/>
    <w:rsid w:val="0087363C"/>
    <w:rsid w:val="008738E4"/>
    <w:rsid w:val="00873B65"/>
    <w:rsid w:val="00873EF2"/>
    <w:rsid w:val="00874096"/>
    <w:rsid w:val="0087450B"/>
    <w:rsid w:val="008746E8"/>
    <w:rsid w:val="00874871"/>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77BAA"/>
    <w:rsid w:val="008801A7"/>
    <w:rsid w:val="008805DB"/>
    <w:rsid w:val="008807FE"/>
    <w:rsid w:val="00880C0A"/>
    <w:rsid w:val="00880D51"/>
    <w:rsid w:val="00880D71"/>
    <w:rsid w:val="0088100A"/>
    <w:rsid w:val="0088125A"/>
    <w:rsid w:val="008812E8"/>
    <w:rsid w:val="00881418"/>
    <w:rsid w:val="008814EC"/>
    <w:rsid w:val="0088177D"/>
    <w:rsid w:val="00881D03"/>
    <w:rsid w:val="008821CC"/>
    <w:rsid w:val="008825D3"/>
    <w:rsid w:val="00882BF0"/>
    <w:rsid w:val="008830F3"/>
    <w:rsid w:val="008833DF"/>
    <w:rsid w:val="00883A05"/>
    <w:rsid w:val="0088426B"/>
    <w:rsid w:val="0088460B"/>
    <w:rsid w:val="008846A4"/>
    <w:rsid w:val="00885129"/>
    <w:rsid w:val="0088515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163"/>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807"/>
    <w:rsid w:val="00891992"/>
    <w:rsid w:val="00892989"/>
    <w:rsid w:val="00892D54"/>
    <w:rsid w:val="008930B9"/>
    <w:rsid w:val="00893AC9"/>
    <w:rsid w:val="00893BBA"/>
    <w:rsid w:val="008941DE"/>
    <w:rsid w:val="00894524"/>
    <w:rsid w:val="0089481C"/>
    <w:rsid w:val="00894C98"/>
    <w:rsid w:val="00894D2F"/>
    <w:rsid w:val="00895483"/>
    <w:rsid w:val="00895691"/>
    <w:rsid w:val="00895807"/>
    <w:rsid w:val="00895DF3"/>
    <w:rsid w:val="00896059"/>
    <w:rsid w:val="00896132"/>
    <w:rsid w:val="008964EA"/>
    <w:rsid w:val="008966B6"/>
    <w:rsid w:val="008967D1"/>
    <w:rsid w:val="00896907"/>
    <w:rsid w:val="00896E2D"/>
    <w:rsid w:val="008971A7"/>
    <w:rsid w:val="008971F8"/>
    <w:rsid w:val="008974CD"/>
    <w:rsid w:val="00897852"/>
    <w:rsid w:val="00897E6E"/>
    <w:rsid w:val="008A03BC"/>
    <w:rsid w:val="008A08F5"/>
    <w:rsid w:val="008A1761"/>
    <w:rsid w:val="008A1964"/>
    <w:rsid w:val="008A1CB0"/>
    <w:rsid w:val="008A1D76"/>
    <w:rsid w:val="008A2243"/>
    <w:rsid w:val="008A23D6"/>
    <w:rsid w:val="008A2473"/>
    <w:rsid w:val="008A2780"/>
    <w:rsid w:val="008A2917"/>
    <w:rsid w:val="008A2C46"/>
    <w:rsid w:val="008A39F8"/>
    <w:rsid w:val="008A4533"/>
    <w:rsid w:val="008A4A43"/>
    <w:rsid w:val="008A4B01"/>
    <w:rsid w:val="008A4CB9"/>
    <w:rsid w:val="008A4D4A"/>
    <w:rsid w:val="008A4D7B"/>
    <w:rsid w:val="008A534D"/>
    <w:rsid w:val="008A69FA"/>
    <w:rsid w:val="008A6C7B"/>
    <w:rsid w:val="008A6D25"/>
    <w:rsid w:val="008A6DC6"/>
    <w:rsid w:val="008A70C6"/>
    <w:rsid w:val="008A71CC"/>
    <w:rsid w:val="008A7371"/>
    <w:rsid w:val="008A7848"/>
    <w:rsid w:val="008B0C13"/>
    <w:rsid w:val="008B123E"/>
    <w:rsid w:val="008B14F2"/>
    <w:rsid w:val="008B17D9"/>
    <w:rsid w:val="008B2063"/>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687"/>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280"/>
    <w:rsid w:val="008C74AA"/>
    <w:rsid w:val="008C7533"/>
    <w:rsid w:val="008C7731"/>
    <w:rsid w:val="008C7DBC"/>
    <w:rsid w:val="008C7E21"/>
    <w:rsid w:val="008C7F7B"/>
    <w:rsid w:val="008C7FE2"/>
    <w:rsid w:val="008D03EB"/>
    <w:rsid w:val="008D0AE3"/>
    <w:rsid w:val="008D12D5"/>
    <w:rsid w:val="008D1572"/>
    <w:rsid w:val="008D1924"/>
    <w:rsid w:val="008D196A"/>
    <w:rsid w:val="008D1970"/>
    <w:rsid w:val="008D1D09"/>
    <w:rsid w:val="008D1F6F"/>
    <w:rsid w:val="008D27DE"/>
    <w:rsid w:val="008D2DAA"/>
    <w:rsid w:val="008D3179"/>
    <w:rsid w:val="008D3ADA"/>
    <w:rsid w:val="008D3D2C"/>
    <w:rsid w:val="008D3D4B"/>
    <w:rsid w:val="008D3DF2"/>
    <w:rsid w:val="008D40F6"/>
    <w:rsid w:val="008D4A99"/>
    <w:rsid w:val="008D4B8E"/>
    <w:rsid w:val="008D507A"/>
    <w:rsid w:val="008D55A3"/>
    <w:rsid w:val="008D5B11"/>
    <w:rsid w:val="008D5C20"/>
    <w:rsid w:val="008D5DEC"/>
    <w:rsid w:val="008D5FD4"/>
    <w:rsid w:val="008D61B6"/>
    <w:rsid w:val="008D61EB"/>
    <w:rsid w:val="008D64FA"/>
    <w:rsid w:val="008D6501"/>
    <w:rsid w:val="008D6788"/>
    <w:rsid w:val="008D6BBA"/>
    <w:rsid w:val="008D7386"/>
    <w:rsid w:val="008D76C0"/>
    <w:rsid w:val="008D7784"/>
    <w:rsid w:val="008E0000"/>
    <w:rsid w:val="008E063A"/>
    <w:rsid w:val="008E0A4C"/>
    <w:rsid w:val="008E1385"/>
    <w:rsid w:val="008E15E4"/>
    <w:rsid w:val="008E1744"/>
    <w:rsid w:val="008E183D"/>
    <w:rsid w:val="008E1AFA"/>
    <w:rsid w:val="008E1C53"/>
    <w:rsid w:val="008E23C7"/>
    <w:rsid w:val="008E264E"/>
    <w:rsid w:val="008E28DB"/>
    <w:rsid w:val="008E2947"/>
    <w:rsid w:val="008E2A47"/>
    <w:rsid w:val="008E2D38"/>
    <w:rsid w:val="008E3A8E"/>
    <w:rsid w:val="008E3C3F"/>
    <w:rsid w:val="008E4210"/>
    <w:rsid w:val="008E441F"/>
    <w:rsid w:val="008E4646"/>
    <w:rsid w:val="008E4870"/>
    <w:rsid w:val="008E4BBA"/>
    <w:rsid w:val="008E4D7E"/>
    <w:rsid w:val="008E519E"/>
    <w:rsid w:val="008E52E6"/>
    <w:rsid w:val="008E58F1"/>
    <w:rsid w:val="008E5ADF"/>
    <w:rsid w:val="008E5CB3"/>
    <w:rsid w:val="008E5DC2"/>
    <w:rsid w:val="008E5DFF"/>
    <w:rsid w:val="008E65A1"/>
    <w:rsid w:val="008E6A40"/>
    <w:rsid w:val="008E6FBD"/>
    <w:rsid w:val="008E7284"/>
    <w:rsid w:val="008E7348"/>
    <w:rsid w:val="008E74BF"/>
    <w:rsid w:val="008E75DD"/>
    <w:rsid w:val="008E7895"/>
    <w:rsid w:val="008E7948"/>
    <w:rsid w:val="008E7FD6"/>
    <w:rsid w:val="008F0229"/>
    <w:rsid w:val="008F025D"/>
    <w:rsid w:val="008F02A1"/>
    <w:rsid w:val="008F043B"/>
    <w:rsid w:val="008F07C0"/>
    <w:rsid w:val="008F1225"/>
    <w:rsid w:val="008F13CC"/>
    <w:rsid w:val="008F1425"/>
    <w:rsid w:val="008F14E1"/>
    <w:rsid w:val="008F16B2"/>
    <w:rsid w:val="008F1A28"/>
    <w:rsid w:val="008F1D30"/>
    <w:rsid w:val="008F1D9C"/>
    <w:rsid w:val="008F20F1"/>
    <w:rsid w:val="008F280C"/>
    <w:rsid w:val="008F2B23"/>
    <w:rsid w:val="008F2DE8"/>
    <w:rsid w:val="008F307F"/>
    <w:rsid w:val="008F3B21"/>
    <w:rsid w:val="008F3F33"/>
    <w:rsid w:val="008F3F92"/>
    <w:rsid w:val="008F4108"/>
    <w:rsid w:val="008F424A"/>
    <w:rsid w:val="008F4947"/>
    <w:rsid w:val="008F4BC6"/>
    <w:rsid w:val="008F526E"/>
    <w:rsid w:val="008F52AD"/>
    <w:rsid w:val="008F57CC"/>
    <w:rsid w:val="008F5D23"/>
    <w:rsid w:val="008F60F2"/>
    <w:rsid w:val="008F6555"/>
    <w:rsid w:val="008F6656"/>
    <w:rsid w:val="008F686F"/>
    <w:rsid w:val="008F688A"/>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AEA"/>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07D61"/>
    <w:rsid w:val="0091023F"/>
    <w:rsid w:val="00910358"/>
    <w:rsid w:val="0091056D"/>
    <w:rsid w:val="0091081E"/>
    <w:rsid w:val="0091117E"/>
    <w:rsid w:val="00911450"/>
    <w:rsid w:val="009116C4"/>
    <w:rsid w:val="00911947"/>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16EA9"/>
    <w:rsid w:val="00917111"/>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407"/>
    <w:rsid w:val="009245B4"/>
    <w:rsid w:val="009245EB"/>
    <w:rsid w:val="00924981"/>
    <w:rsid w:val="00924A32"/>
    <w:rsid w:val="00924F92"/>
    <w:rsid w:val="00925222"/>
    <w:rsid w:val="009254C2"/>
    <w:rsid w:val="00925619"/>
    <w:rsid w:val="009260AD"/>
    <w:rsid w:val="00926132"/>
    <w:rsid w:val="0092613B"/>
    <w:rsid w:val="00926329"/>
    <w:rsid w:val="00926CCD"/>
    <w:rsid w:val="00927110"/>
    <w:rsid w:val="009273C7"/>
    <w:rsid w:val="00927749"/>
    <w:rsid w:val="00927C01"/>
    <w:rsid w:val="00927C3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CCB"/>
    <w:rsid w:val="00932E57"/>
    <w:rsid w:val="0093351D"/>
    <w:rsid w:val="009337F0"/>
    <w:rsid w:val="009339EB"/>
    <w:rsid w:val="00933B5A"/>
    <w:rsid w:val="00933CAD"/>
    <w:rsid w:val="00934062"/>
    <w:rsid w:val="0093479D"/>
    <w:rsid w:val="00934829"/>
    <w:rsid w:val="00934A2E"/>
    <w:rsid w:val="00934D4C"/>
    <w:rsid w:val="0093540A"/>
    <w:rsid w:val="00935486"/>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856"/>
    <w:rsid w:val="00940A90"/>
    <w:rsid w:val="00940DB9"/>
    <w:rsid w:val="00941A2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59C0"/>
    <w:rsid w:val="00946027"/>
    <w:rsid w:val="009462D4"/>
    <w:rsid w:val="0094639B"/>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0A8"/>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AB"/>
    <w:rsid w:val="00960AC0"/>
    <w:rsid w:val="009617BD"/>
    <w:rsid w:val="00961831"/>
    <w:rsid w:val="00961942"/>
    <w:rsid w:val="0096202B"/>
    <w:rsid w:val="009626DB"/>
    <w:rsid w:val="009627EF"/>
    <w:rsid w:val="0096294B"/>
    <w:rsid w:val="00963177"/>
    <w:rsid w:val="0096351E"/>
    <w:rsid w:val="0096420C"/>
    <w:rsid w:val="00964752"/>
    <w:rsid w:val="00964A51"/>
    <w:rsid w:val="00964EF8"/>
    <w:rsid w:val="0096501C"/>
    <w:rsid w:val="0096530D"/>
    <w:rsid w:val="00965416"/>
    <w:rsid w:val="009654B1"/>
    <w:rsid w:val="009655E8"/>
    <w:rsid w:val="00965735"/>
    <w:rsid w:val="00965FAD"/>
    <w:rsid w:val="0096605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660"/>
    <w:rsid w:val="0097292A"/>
    <w:rsid w:val="00972BF5"/>
    <w:rsid w:val="00972E3F"/>
    <w:rsid w:val="00972E75"/>
    <w:rsid w:val="0097372F"/>
    <w:rsid w:val="00973D63"/>
    <w:rsid w:val="00974223"/>
    <w:rsid w:val="009743A7"/>
    <w:rsid w:val="00974531"/>
    <w:rsid w:val="00974623"/>
    <w:rsid w:val="009747AA"/>
    <w:rsid w:val="00974BAD"/>
    <w:rsid w:val="00974E04"/>
    <w:rsid w:val="009752BD"/>
    <w:rsid w:val="00975560"/>
    <w:rsid w:val="0097558A"/>
    <w:rsid w:val="009759FF"/>
    <w:rsid w:val="00975A03"/>
    <w:rsid w:val="00975A8C"/>
    <w:rsid w:val="00975AAD"/>
    <w:rsid w:val="00976272"/>
    <w:rsid w:val="009769B3"/>
    <w:rsid w:val="00976B4E"/>
    <w:rsid w:val="00976C29"/>
    <w:rsid w:val="00977811"/>
    <w:rsid w:val="00977DA6"/>
    <w:rsid w:val="009806A3"/>
    <w:rsid w:val="00980DD9"/>
    <w:rsid w:val="00981253"/>
    <w:rsid w:val="009816FD"/>
    <w:rsid w:val="00981DDD"/>
    <w:rsid w:val="00981EE6"/>
    <w:rsid w:val="009828EA"/>
    <w:rsid w:val="00982950"/>
    <w:rsid w:val="00982C6B"/>
    <w:rsid w:val="00982EF8"/>
    <w:rsid w:val="0098300A"/>
    <w:rsid w:val="00983354"/>
    <w:rsid w:val="00983B3E"/>
    <w:rsid w:val="00983B5A"/>
    <w:rsid w:val="00983E2C"/>
    <w:rsid w:val="00984065"/>
    <w:rsid w:val="00984256"/>
    <w:rsid w:val="00984D4C"/>
    <w:rsid w:val="00984D92"/>
    <w:rsid w:val="00986019"/>
    <w:rsid w:val="00986514"/>
    <w:rsid w:val="009865D0"/>
    <w:rsid w:val="00986953"/>
    <w:rsid w:val="00986AF8"/>
    <w:rsid w:val="00986F5A"/>
    <w:rsid w:val="00987172"/>
    <w:rsid w:val="0098734C"/>
    <w:rsid w:val="00987543"/>
    <w:rsid w:val="0098768B"/>
    <w:rsid w:val="00987838"/>
    <w:rsid w:val="00987A06"/>
    <w:rsid w:val="00990C1B"/>
    <w:rsid w:val="00990F4F"/>
    <w:rsid w:val="00991A15"/>
    <w:rsid w:val="00991D21"/>
    <w:rsid w:val="00991E93"/>
    <w:rsid w:val="00992158"/>
    <w:rsid w:val="00992499"/>
    <w:rsid w:val="009924E5"/>
    <w:rsid w:val="00992CA8"/>
    <w:rsid w:val="00992F50"/>
    <w:rsid w:val="0099350C"/>
    <w:rsid w:val="009935AB"/>
    <w:rsid w:val="00993702"/>
    <w:rsid w:val="00993862"/>
    <w:rsid w:val="00993A64"/>
    <w:rsid w:val="00993ADA"/>
    <w:rsid w:val="00994547"/>
    <w:rsid w:val="00994654"/>
    <w:rsid w:val="009948B5"/>
    <w:rsid w:val="009949A7"/>
    <w:rsid w:val="0099500B"/>
    <w:rsid w:val="00995893"/>
    <w:rsid w:val="00995A94"/>
    <w:rsid w:val="00995CE3"/>
    <w:rsid w:val="009961E4"/>
    <w:rsid w:val="00996304"/>
    <w:rsid w:val="00996312"/>
    <w:rsid w:val="0099716C"/>
    <w:rsid w:val="00997561"/>
    <w:rsid w:val="009975DC"/>
    <w:rsid w:val="00997B5C"/>
    <w:rsid w:val="00997D2B"/>
    <w:rsid w:val="00997DD1"/>
    <w:rsid w:val="009A05A3"/>
    <w:rsid w:val="009A0AC1"/>
    <w:rsid w:val="009A0DAB"/>
    <w:rsid w:val="009A1216"/>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4BC8"/>
    <w:rsid w:val="009A50FF"/>
    <w:rsid w:val="009A5CAC"/>
    <w:rsid w:val="009A6110"/>
    <w:rsid w:val="009A657E"/>
    <w:rsid w:val="009A6676"/>
    <w:rsid w:val="009A6DB4"/>
    <w:rsid w:val="009A7479"/>
    <w:rsid w:val="009A79E9"/>
    <w:rsid w:val="009B0933"/>
    <w:rsid w:val="009B0B08"/>
    <w:rsid w:val="009B0C53"/>
    <w:rsid w:val="009B0E66"/>
    <w:rsid w:val="009B0F02"/>
    <w:rsid w:val="009B10AA"/>
    <w:rsid w:val="009B12EB"/>
    <w:rsid w:val="009B173F"/>
    <w:rsid w:val="009B24D6"/>
    <w:rsid w:val="009B2504"/>
    <w:rsid w:val="009B26CA"/>
    <w:rsid w:val="009B29B5"/>
    <w:rsid w:val="009B2D98"/>
    <w:rsid w:val="009B2E69"/>
    <w:rsid w:val="009B2FF4"/>
    <w:rsid w:val="009B2FFD"/>
    <w:rsid w:val="009B3306"/>
    <w:rsid w:val="009B39D1"/>
    <w:rsid w:val="009B3AA1"/>
    <w:rsid w:val="009B3BCE"/>
    <w:rsid w:val="009B429E"/>
    <w:rsid w:val="009B43D0"/>
    <w:rsid w:val="009B4B61"/>
    <w:rsid w:val="009B4C6E"/>
    <w:rsid w:val="009B5ADE"/>
    <w:rsid w:val="009B5B3F"/>
    <w:rsid w:val="009B63D1"/>
    <w:rsid w:val="009B63DA"/>
    <w:rsid w:val="009B6736"/>
    <w:rsid w:val="009B695C"/>
    <w:rsid w:val="009B6BD3"/>
    <w:rsid w:val="009B6BDB"/>
    <w:rsid w:val="009B714D"/>
    <w:rsid w:val="009B756A"/>
    <w:rsid w:val="009B7591"/>
    <w:rsid w:val="009B77F2"/>
    <w:rsid w:val="009B7ABF"/>
    <w:rsid w:val="009B7BA7"/>
    <w:rsid w:val="009C024C"/>
    <w:rsid w:val="009C08BD"/>
    <w:rsid w:val="009C09C2"/>
    <w:rsid w:val="009C0BAB"/>
    <w:rsid w:val="009C0BBE"/>
    <w:rsid w:val="009C0F2C"/>
    <w:rsid w:val="009C0F43"/>
    <w:rsid w:val="009C1D69"/>
    <w:rsid w:val="009C1EAD"/>
    <w:rsid w:val="009C223D"/>
    <w:rsid w:val="009C246A"/>
    <w:rsid w:val="009C2625"/>
    <w:rsid w:val="009C281D"/>
    <w:rsid w:val="009C2837"/>
    <w:rsid w:val="009C2908"/>
    <w:rsid w:val="009C2FF5"/>
    <w:rsid w:val="009C3047"/>
    <w:rsid w:val="009C30E9"/>
    <w:rsid w:val="009C316F"/>
    <w:rsid w:val="009C34DD"/>
    <w:rsid w:val="009C3590"/>
    <w:rsid w:val="009C399F"/>
    <w:rsid w:val="009C3B3D"/>
    <w:rsid w:val="009C3CD5"/>
    <w:rsid w:val="009C3DF9"/>
    <w:rsid w:val="009C49BA"/>
    <w:rsid w:val="009C4B2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8E1"/>
    <w:rsid w:val="009D4D7B"/>
    <w:rsid w:val="009D5719"/>
    <w:rsid w:val="009D5A13"/>
    <w:rsid w:val="009D64B3"/>
    <w:rsid w:val="009D6610"/>
    <w:rsid w:val="009D66FC"/>
    <w:rsid w:val="009D6A07"/>
    <w:rsid w:val="009D6A3A"/>
    <w:rsid w:val="009D6AA8"/>
    <w:rsid w:val="009D6B0E"/>
    <w:rsid w:val="009D6BB3"/>
    <w:rsid w:val="009D6EFA"/>
    <w:rsid w:val="009D7552"/>
    <w:rsid w:val="009D75AE"/>
    <w:rsid w:val="009D7882"/>
    <w:rsid w:val="009D78C7"/>
    <w:rsid w:val="009D78FA"/>
    <w:rsid w:val="009D7BEB"/>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071"/>
    <w:rsid w:val="009E24BB"/>
    <w:rsid w:val="009E2B57"/>
    <w:rsid w:val="009E31A2"/>
    <w:rsid w:val="009E32BE"/>
    <w:rsid w:val="009E3373"/>
    <w:rsid w:val="009E348B"/>
    <w:rsid w:val="009E3943"/>
    <w:rsid w:val="009E39B7"/>
    <w:rsid w:val="009E3A74"/>
    <w:rsid w:val="009E3B12"/>
    <w:rsid w:val="009E3E26"/>
    <w:rsid w:val="009E4476"/>
    <w:rsid w:val="009E47AF"/>
    <w:rsid w:val="009E4957"/>
    <w:rsid w:val="009E49C4"/>
    <w:rsid w:val="009E5056"/>
    <w:rsid w:val="009E51FF"/>
    <w:rsid w:val="009E5464"/>
    <w:rsid w:val="009E546D"/>
    <w:rsid w:val="009E5634"/>
    <w:rsid w:val="009E5DA6"/>
    <w:rsid w:val="009E5DB2"/>
    <w:rsid w:val="009E60CF"/>
    <w:rsid w:val="009E60D5"/>
    <w:rsid w:val="009E61F6"/>
    <w:rsid w:val="009E6315"/>
    <w:rsid w:val="009E6787"/>
    <w:rsid w:val="009E697F"/>
    <w:rsid w:val="009E6989"/>
    <w:rsid w:val="009E6D5F"/>
    <w:rsid w:val="009E6E4D"/>
    <w:rsid w:val="009E7271"/>
    <w:rsid w:val="009E72ED"/>
    <w:rsid w:val="009E77E1"/>
    <w:rsid w:val="009E7F55"/>
    <w:rsid w:val="009F011A"/>
    <w:rsid w:val="009F0286"/>
    <w:rsid w:val="009F036F"/>
    <w:rsid w:val="009F040F"/>
    <w:rsid w:val="009F12CC"/>
    <w:rsid w:val="009F1931"/>
    <w:rsid w:val="009F1BE6"/>
    <w:rsid w:val="009F1CE1"/>
    <w:rsid w:val="009F284D"/>
    <w:rsid w:val="009F2A72"/>
    <w:rsid w:val="009F2A84"/>
    <w:rsid w:val="009F2DE4"/>
    <w:rsid w:val="009F30FB"/>
    <w:rsid w:val="009F312E"/>
    <w:rsid w:val="009F33C3"/>
    <w:rsid w:val="009F366F"/>
    <w:rsid w:val="009F3AE5"/>
    <w:rsid w:val="009F455B"/>
    <w:rsid w:val="009F4BB0"/>
    <w:rsid w:val="009F4BBA"/>
    <w:rsid w:val="009F4E0D"/>
    <w:rsid w:val="009F4E89"/>
    <w:rsid w:val="009F53E8"/>
    <w:rsid w:val="009F55AD"/>
    <w:rsid w:val="009F5663"/>
    <w:rsid w:val="009F5D43"/>
    <w:rsid w:val="009F705E"/>
    <w:rsid w:val="009F70A8"/>
    <w:rsid w:val="009F7390"/>
    <w:rsid w:val="009F749F"/>
    <w:rsid w:val="009F75D5"/>
    <w:rsid w:val="009F7676"/>
    <w:rsid w:val="009F7CAC"/>
    <w:rsid w:val="00A00C3F"/>
    <w:rsid w:val="00A00DC8"/>
    <w:rsid w:val="00A00F4C"/>
    <w:rsid w:val="00A0128F"/>
    <w:rsid w:val="00A012F4"/>
    <w:rsid w:val="00A01787"/>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4FA1"/>
    <w:rsid w:val="00A05006"/>
    <w:rsid w:val="00A05A87"/>
    <w:rsid w:val="00A06086"/>
    <w:rsid w:val="00A060ED"/>
    <w:rsid w:val="00A064D8"/>
    <w:rsid w:val="00A064D9"/>
    <w:rsid w:val="00A06546"/>
    <w:rsid w:val="00A06A5C"/>
    <w:rsid w:val="00A06AA5"/>
    <w:rsid w:val="00A06EA7"/>
    <w:rsid w:val="00A06F58"/>
    <w:rsid w:val="00A075BA"/>
    <w:rsid w:val="00A07715"/>
    <w:rsid w:val="00A079AA"/>
    <w:rsid w:val="00A07ABC"/>
    <w:rsid w:val="00A07CD2"/>
    <w:rsid w:val="00A10445"/>
    <w:rsid w:val="00A10847"/>
    <w:rsid w:val="00A1193E"/>
    <w:rsid w:val="00A11A17"/>
    <w:rsid w:val="00A11A8C"/>
    <w:rsid w:val="00A11DA3"/>
    <w:rsid w:val="00A11F96"/>
    <w:rsid w:val="00A123DC"/>
    <w:rsid w:val="00A1246A"/>
    <w:rsid w:val="00A12637"/>
    <w:rsid w:val="00A12A19"/>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668"/>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3EA"/>
    <w:rsid w:val="00A2358E"/>
    <w:rsid w:val="00A2471F"/>
    <w:rsid w:val="00A247ED"/>
    <w:rsid w:val="00A2490D"/>
    <w:rsid w:val="00A24931"/>
    <w:rsid w:val="00A24FC3"/>
    <w:rsid w:val="00A25300"/>
    <w:rsid w:val="00A2543E"/>
    <w:rsid w:val="00A25BD9"/>
    <w:rsid w:val="00A262F2"/>
    <w:rsid w:val="00A263DF"/>
    <w:rsid w:val="00A2672B"/>
    <w:rsid w:val="00A26793"/>
    <w:rsid w:val="00A267F3"/>
    <w:rsid w:val="00A26A5B"/>
    <w:rsid w:val="00A26B6A"/>
    <w:rsid w:val="00A26B95"/>
    <w:rsid w:val="00A274F7"/>
    <w:rsid w:val="00A2770B"/>
    <w:rsid w:val="00A27F33"/>
    <w:rsid w:val="00A30063"/>
    <w:rsid w:val="00A301FE"/>
    <w:rsid w:val="00A30355"/>
    <w:rsid w:val="00A3038F"/>
    <w:rsid w:val="00A310A7"/>
    <w:rsid w:val="00A310F0"/>
    <w:rsid w:val="00A31704"/>
    <w:rsid w:val="00A31718"/>
    <w:rsid w:val="00A32042"/>
    <w:rsid w:val="00A32173"/>
    <w:rsid w:val="00A323E3"/>
    <w:rsid w:val="00A324E2"/>
    <w:rsid w:val="00A32672"/>
    <w:rsid w:val="00A33AE0"/>
    <w:rsid w:val="00A33DD4"/>
    <w:rsid w:val="00A347FA"/>
    <w:rsid w:val="00A3496A"/>
    <w:rsid w:val="00A34D96"/>
    <w:rsid w:val="00A34DED"/>
    <w:rsid w:val="00A34F40"/>
    <w:rsid w:val="00A35202"/>
    <w:rsid w:val="00A35963"/>
    <w:rsid w:val="00A35FC0"/>
    <w:rsid w:val="00A361D0"/>
    <w:rsid w:val="00A36315"/>
    <w:rsid w:val="00A363B0"/>
    <w:rsid w:val="00A363C6"/>
    <w:rsid w:val="00A36572"/>
    <w:rsid w:val="00A365D9"/>
    <w:rsid w:val="00A36D68"/>
    <w:rsid w:val="00A36DC1"/>
    <w:rsid w:val="00A370C5"/>
    <w:rsid w:val="00A372E8"/>
    <w:rsid w:val="00A37539"/>
    <w:rsid w:val="00A37748"/>
    <w:rsid w:val="00A37CCD"/>
    <w:rsid w:val="00A40C4F"/>
    <w:rsid w:val="00A40F25"/>
    <w:rsid w:val="00A4143E"/>
    <w:rsid w:val="00A41751"/>
    <w:rsid w:val="00A4187E"/>
    <w:rsid w:val="00A41A89"/>
    <w:rsid w:val="00A428D1"/>
    <w:rsid w:val="00A42956"/>
    <w:rsid w:val="00A42B48"/>
    <w:rsid w:val="00A42E52"/>
    <w:rsid w:val="00A42FEC"/>
    <w:rsid w:val="00A4368F"/>
    <w:rsid w:val="00A4391A"/>
    <w:rsid w:val="00A43CB7"/>
    <w:rsid w:val="00A43DCA"/>
    <w:rsid w:val="00A440BE"/>
    <w:rsid w:val="00A4471D"/>
    <w:rsid w:val="00A448E1"/>
    <w:rsid w:val="00A44E7B"/>
    <w:rsid w:val="00A4526C"/>
    <w:rsid w:val="00A452B3"/>
    <w:rsid w:val="00A4550D"/>
    <w:rsid w:val="00A458F5"/>
    <w:rsid w:val="00A45DD8"/>
    <w:rsid w:val="00A46223"/>
    <w:rsid w:val="00A463DF"/>
    <w:rsid w:val="00A4643E"/>
    <w:rsid w:val="00A46590"/>
    <w:rsid w:val="00A46683"/>
    <w:rsid w:val="00A46CC6"/>
    <w:rsid w:val="00A46EC5"/>
    <w:rsid w:val="00A4721E"/>
    <w:rsid w:val="00A472A1"/>
    <w:rsid w:val="00A473F8"/>
    <w:rsid w:val="00A475F5"/>
    <w:rsid w:val="00A478E8"/>
    <w:rsid w:val="00A47D35"/>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892"/>
    <w:rsid w:val="00A65160"/>
    <w:rsid w:val="00A652C0"/>
    <w:rsid w:val="00A65490"/>
    <w:rsid w:val="00A65CB1"/>
    <w:rsid w:val="00A65F2E"/>
    <w:rsid w:val="00A66435"/>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1DC5"/>
    <w:rsid w:val="00A7215C"/>
    <w:rsid w:val="00A72807"/>
    <w:rsid w:val="00A72907"/>
    <w:rsid w:val="00A72A32"/>
    <w:rsid w:val="00A72B0D"/>
    <w:rsid w:val="00A730F7"/>
    <w:rsid w:val="00A731FC"/>
    <w:rsid w:val="00A73557"/>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5E9"/>
    <w:rsid w:val="00A776BC"/>
    <w:rsid w:val="00A77A1E"/>
    <w:rsid w:val="00A77A20"/>
    <w:rsid w:val="00A77EB2"/>
    <w:rsid w:val="00A8031F"/>
    <w:rsid w:val="00A804DA"/>
    <w:rsid w:val="00A804FE"/>
    <w:rsid w:val="00A80E3F"/>
    <w:rsid w:val="00A819C2"/>
    <w:rsid w:val="00A81CA0"/>
    <w:rsid w:val="00A81D95"/>
    <w:rsid w:val="00A81DF5"/>
    <w:rsid w:val="00A82404"/>
    <w:rsid w:val="00A827BB"/>
    <w:rsid w:val="00A829C4"/>
    <w:rsid w:val="00A8311A"/>
    <w:rsid w:val="00A832B0"/>
    <w:rsid w:val="00A8334E"/>
    <w:rsid w:val="00A8359A"/>
    <w:rsid w:val="00A83694"/>
    <w:rsid w:val="00A83DAF"/>
    <w:rsid w:val="00A83E41"/>
    <w:rsid w:val="00A83EF4"/>
    <w:rsid w:val="00A8403D"/>
    <w:rsid w:val="00A84205"/>
    <w:rsid w:val="00A842C6"/>
    <w:rsid w:val="00A8436F"/>
    <w:rsid w:val="00A84FCC"/>
    <w:rsid w:val="00A8511B"/>
    <w:rsid w:val="00A85AE2"/>
    <w:rsid w:val="00A85C13"/>
    <w:rsid w:val="00A85C63"/>
    <w:rsid w:val="00A85D7B"/>
    <w:rsid w:val="00A85FD5"/>
    <w:rsid w:val="00A86221"/>
    <w:rsid w:val="00A864CE"/>
    <w:rsid w:val="00A8671C"/>
    <w:rsid w:val="00A86EC7"/>
    <w:rsid w:val="00A87003"/>
    <w:rsid w:val="00A87105"/>
    <w:rsid w:val="00A87EDA"/>
    <w:rsid w:val="00A90753"/>
    <w:rsid w:val="00A90A45"/>
    <w:rsid w:val="00A90F36"/>
    <w:rsid w:val="00A91507"/>
    <w:rsid w:val="00A91C99"/>
    <w:rsid w:val="00A920EB"/>
    <w:rsid w:val="00A921C8"/>
    <w:rsid w:val="00A9238C"/>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0F2"/>
    <w:rsid w:val="00A9729B"/>
    <w:rsid w:val="00A9792F"/>
    <w:rsid w:val="00A97AB6"/>
    <w:rsid w:val="00A97BE3"/>
    <w:rsid w:val="00A97F8E"/>
    <w:rsid w:val="00AA03BC"/>
    <w:rsid w:val="00AA0905"/>
    <w:rsid w:val="00AA2709"/>
    <w:rsid w:val="00AA28E8"/>
    <w:rsid w:val="00AA2958"/>
    <w:rsid w:val="00AA3559"/>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063"/>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B7FC6"/>
    <w:rsid w:val="00AC02EA"/>
    <w:rsid w:val="00AC047B"/>
    <w:rsid w:val="00AC09F0"/>
    <w:rsid w:val="00AC0EAB"/>
    <w:rsid w:val="00AC1616"/>
    <w:rsid w:val="00AC19B3"/>
    <w:rsid w:val="00AC206F"/>
    <w:rsid w:val="00AC239F"/>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C7C91"/>
    <w:rsid w:val="00AD0501"/>
    <w:rsid w:val="00AD05AE"/>
    <w:rsid w:val="00AD0BC2"/>
    <w:rsid w:val="00AD0CDE"/>
    <w:rsid w:val="00AD0CED"/>
    <w:rsid w:val="00AD0DB6"/>
    <w:rsid w:val="00AD0DD4"/>
    <w:rsid w:val="00AD1595"/>
    <w:rsid w:val="00AD1CF7"/>
    <w:rsid w:val="00AD2D11"/>
    <w:rsid w:val="00AD2FB7"/>
    <w:rsid w:val="00AD2FED"/>
    <w:rsid w:val="00AD30FF"/>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A9C"/>
    <w:rsid w:val="00AD6D50"/>
    <w:rsid w:val="00AD6E06"/>
    <w:rsid w:val="00AD6F71"/>
    <w:rsid w:val="00AD72E8"/>
    <w:rsid w:val="00AD747B"/>
    <w:rsid w:val="00AD74F4"/>
    <w:rsid w:val="00AD7549"/>
    <w:rsid w:val="00AD7703"/>
    <w:rsid w:val="00AD773F"/>
    <w:rsid w:val="00AD7762"/>
    <w:rsid w:val="00AD77C5"/>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3FAB"/>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22"/>
    <w:rsid w:val="00AE78F4"/>
    <w:rsid w:val="00AE7957"/>
    <w:rsid w:val="00AE79D1"/>
    <w:rsid w:val="00AE7C3A"/>
    <w:rsid w:val="00AE7D41"/>
    <w:rsid w:val="00AE7E12"/>
    <w:rsid w:val="00AE7E1F"/>
    <w:rsid w:val="00AE7EC5"/>
    <w:rsid w:val="00AF0172"/>
    <w:rsid w:val="00AF038D"/>
    <w:rsid w:val="00AF0A5A"/>
    <w:rsid w:val="00AF0B5C"/>
    <w:rsid w:val="00AF101F"/>
    <w:rsid w:val="00AF15D2"/>
    <w:rsid w:val="00AF19B7"/>
    <w:rsid w:val="00AF1D19"/>
    <w:rsid w:val="00AF1E0B"/>
    <w:rsid w:val="00AF24A3"/>
    <w:rsid w:val="00AF2CFE"/>
    <w:rsid w:val="00AF2F17"/>
    <w:rsid w:val="00AF33E2"/>
    <w:rsid w:val="00AF3413"/>
    <w:rsid w:val="00AF3475"/>
    <w:rsid w:val="00AF3628"/>
    <w:rsid w:val="00AF3E3A"/>
    <w:rsid w:val="00AF4084"/>
    <w:rsid w:val="00AF48D7"/>
    <w:rsid w:val="00AF48F5"/>
    <w:rsid w:val="00AF4C4E"/>
    <w:rsid w:val="00AF55BC"/>
    <w:rsid w:val="00AF57FF"/>
    <w:rsid w:val="00AF59F2"/>
    <w:rsid w:val="00AF6BBE"/>
    <w:rsid w:val="00AF7193"/>
    <w:rsid w:val="00AF7497"/>
    <w:rsid w:val="00AF7582"/>
    <w:rsid w:val="00AF75E3"/>
    <w:rsid w:val="00AF7DED"/>
    <w:rsid w:val="00AF7EDA"/>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46A4"/>
    <w:rsid w:val="00B05208"/>
    <w:rsid w:val="00B05EDF"/>
    <w:rsid w:val="00B06B38"/>
    <w:rsid w:val="00B06BD5"/>
    <w:rsid w:val="00B06C2B"/>
    <w:rsid w:val="00B06F6A"/>
    <w:rsid w:val="00B10500"/>
    <w:rsid w:val="00B106D9"/>
    <w:rsid w:val="00B10ED8"/>
    <w:rsid w:val="00B11651"/>
    <w:rsid w:val="00B11933"/>
    <w:rsid w:val="00B11C22"/>
    <w:rsid w:val="00B11E54"/>
    <w:rsid w:val="00B11E9F"/>
    <w:rsid w:val="00B12373"/>
    <w:rsid w:val="00B12933"/>
    <w:rsid w:val="00B12978"/>
    <w:rsid w:val="00B12D84"/>
    <w:rsid w:val="00B12FF7"/>
    <w:rsid w:val="00B12FFA"/>
    <w:rsid w:val="00B1306F"/>
    <w:rsid w:val="00B13EB6"/>
    <w:rsid w:val="00B13F3D"/>
    <w:rsid w:val="00B149F3"/>
    <w:rsid w:val="00B149F8"/>
    <w:rsid w:val="00B15289"/>
    <w:rsid w:val="00B1547A"/>
    <w:rsid w:val="00B1549B"/>
    <w:rsid w:val="00B15717"/>
    <w:rsid w:val="00B1577B"/>
    <w:rsid w:val="00B15D39"/>
    <w:rsid w:val="00B15D73"/>
    <w:rsid w:val="00B160EA"/>
    <w:rsid w:val="00B162C1"/>
    <w:rsid w:val="00B169A0"/>
    <w:rsid w:val="00B16CB7"/>
    <w:rsid w:val="00B1710C"/>
    <w:rsid w:val="00B171A6"/>
    <w:rsid w:val="00B17382"/>
    <w:rsid w:val="00B17CBD"/>
    <w:rsid w:val="00B17DC6"/>
    <w:rsid w:val="00B17E12"/>
    <w:rsid w:val="00B20790"/>
    <w:rsid w:val="00B208D8"/>
    <w:rsid w:val="00B20B9F"/>
    <w:rsid w:val="00B20D78"/>
    <w:rsid w:val="00B20F2E"/>
    <w:rsid w:val="00B21164"/>
    <w:rsid w:val="00B2136D"/>
    <w:rsid w:val="00B2187E"/>
    <w:rsid w:val="00B2194D"/>
    <w:rsid w:val="00B219C1"/>
    <w:rsid w:val="00B21DF9"/>
    <w:rsid w:val="00B21F02"/>
    <w:rsid w:val="00B2283A"/>
    <w:rsid w:val="00B229CC"/>
    <w:rsid w:val="00B234C4"/>
    <w:rsid w:val="00B23540"/>
    <w:rsid w:val="00B237EE"/>
    <w:rsid w:val="00B239E0"/>
    <w:rsid w:val="00B23BE8"/>
    <w:rsid w:val="00B23D7E"/>
    <w:rsid w:val="00B24559"/>
    <w:rsid w:val="00B24A16"/>
    <w:rsid w:val="00B24C6D"/>
    <w:rsid w:val="00B24DD8"/>
    <w:rsid w:val="00B24EBA"/>
    <w:rsid w:val="00B25416"/>
    <w:rsid w:val="00B2551A"/>
    <w:rsid w:val="00B25B2B"/>
    <w:rsid w:val="00B25B4F"/>
    <w:rsid w:val="00B260AE"/>
    <w:rsid w:val="00B26F05"/>
    <w:rsid w:val="00B27030"/>
    <w:rsid w:val="00B275A0"/>
    <w:rsid w:val="00B27A68"/>
    <w:rsid w:val="00B27BC5"/>
    <w:rsid w:val="00B3078E"/>
    <w:rsid w:val="00B30AAD"/>
    <w:rsid w:val="00B310D4"/>
    <w:rsid w:val="00B31276"/>
    <w:rsid w:val="00B31885"/>
    <w:rsid w:val="00B323E8"/>
    <w:rsid w:val="00B323F7"/>
    <w:rsid w:val="00B32428"/>
    <w:rsid w:val="00B326AD"/>
    <w:rsid w:val="00B32D6B"/>
    <w:rsid w:val="00B33273"/>
    <w:rsid w:val="00B33700"/>
    <w:rsid w:val="00B3383B"/>
    <w:rsid w:val="00B33C88"/>
    <w:rsid w:val="00B33EC4"/>
    <w:rsid w:val="00B34444"/>
    <w:rsid w:val="00B34AAC"/>
    <w:rsid w:val="00B34E13"/>
    <w:rsid w:val="00B3506C"/>
    <w:rsid w:val="00B35588"/>
    <w:rsid w:val="00B35BE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595"/>
    <w:rsid w:val="00B4276C"/>
    <w:rsid w:val="00B429A3"/>
    <w:rsid w:val="00B42DB1"/>
    <w:rsid w:val="00B42F8B"/>
    <w:rsid w:val="00B430E0"/>
    <w:rsid w:val="00B442B0"/>
    <w:rsid w:val="00B443D0"/>
    <w:rsid w:val="00B444BF"/>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BF9"/>
    <w:rsid w:val="00B46D2C"/>
    <w:rsid w:val="00B47395"/>
    <w:rsid w:val="00B47B98"/>
    <w:rsid w:val="00B47E13"/>
    <w:rsid w:val="00B500D0"/>
    <w:rsid w:val="00B5019A"/>
    <w:rsid w:val="00B50303"/>
    <w:rsid w:val="00B5052D"/>
    <w:rsid w:val="00B5073C"/>
    <w:rsid w:val="00B5080B"/>
    <w:rsid w:val="00B50919"/>
    <w:rsid w:val="00B51022"/>
    <w:rsid w:val="00B51129"/>
    <w:rsid w:val="00B5180B"/>
    <w:rsid w:val="00B51840"/>
    <w:rsid w:val="00B51A08"/>
    <w:rsid w:val="00B51AF0"/>
    <w:rsid w:val="00B51D5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4B7"/>
    <w:rsid w:val="00B545A2"/>
    <w:rsid w:val="00B54EF7"/>
    <w:rsid w:val="00B55069"/>
    <w:rsid w:val="00B5556F"/>
    <w:rsid w:val="00B5562C"/>
    <w:rsid w:val="00B5584A"/>
    <w:rsid w:val="00B55CCC"/>
    <w:rsid w:val="00B55D39"/>
    <w:rsid w:val="00B56929"/>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033"/>
    <w:rsid w:val="00B7047D"/>
    <w:rsid w:val="00B706C8"/>
    <w:rsid w:val="00B70886"/>
    <w:rsid w:val="00B7091D"/>
    <w:rsid w:val="00B70B1A"/>
    <w:rsid w:val="00B71112"/>
    <w:rsid w:val="00B7210F"/>
    <w:rsid w:val="00B72520"/>
    <w:rsid w:val="00B72ABA"/>
    <w:rsid w:val="00B72EA7"/>
    <w:rsid w:val="00B72FAF"/>
    <w:rsid w:val="00B7340E"/>
    <w:rsid w:val="00B73661"/>
    <w:rsid w:val="00B73974"/>
    <w:rsid w:val="00B740B5"/>
    <w:rsid w:val="00B74987"/>
    <w:rsid w:val="00B74DB4"/>
    <w:rsid w:val="00B74DD4"/>
    <w:rsid w:val="00B74F59"/>
    <w:rsid w:val="00B75031"/>
    <w:rsid w:val="00B753E0"/>
    <w:rsid w:val="00B75A5D"/>
    <w:rsid w:val="00B75EF4"/>
    <w:rsid w:val="00B75FB9"/>
    <w:rsid w:val="00B760B0"/>
    <w:rsid w:val="00B7613C"/>
    <w:rsid w:val="00B76268"/>
    <w:rsid w:val="00B766B9"/>
    <w:rsid w:val="00B768DA"/>
    <w:rsid w:val="00B772C4"/>
    <w:rsid w:val="00B7764E"/>
    <w:rsid w:val="00B77CBB"/>
    <w:rsid w:val="00B77F2F"/>
    <w:rsid w:val="00B8091A"/>
    <w:rsid w:val="00B80AA5"/>
    <w:rsid w:val="00B80E1F"/>
    <w:rsid w:val="00B81937"/>
    <w:rsid w:val="00B8193F"/>
    <w:rsid w:val="00B819A0"/>
    <w:rsid w:val="00B81B65"/>
    <w:rsid w:val="00B81BF1"/>
    <w:rsid w:val="00B81C0D"/>
    <w:rsid w:val="00B81C67"/>
    <w:rsid w:val="00B81CA0"/>
    <w:rsid w:val="00B81E31"/>
    <w:rsid w:val="00B81ED1"/>
    <w:rsid w:val="00B81FA8"/>
    <w:rsid w:val="00B81FD5"/>
    <w:rsid w:val="00B82086"/>
    <w:rsid w:val="00B82350"/>
    <w:rsid w:val="00B82D50"/>
    <w:rsid w:val="00B83369"/>
    <w:rsid w:val="00B834D5"/>
    <w:rsid w:val="00B83524"/>
    <w:rsid w:val="00B83AAC"/>
    <w:rsid w:val="00B8412B"/>
    <w:rsid w:val="00B8421F"/>
    <w:rsid w:val="00B842DF"/>
    <w:rsid w:val="00B845F5"/>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2E9B"/>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9C8"/>
    <w:rsid w:val="00B96C41"/>
    <w:rsid w:val="00B9712D"/>
    <w:rsid w:val="00B9797F"/>
    <w:rsid w:val="00B97B95"/>
    <w:rsid w:val="00B97D07"/>
    <w:rsid w:val="00B97D9A"/>
    <w:rsid w:val="00B97F08"/>
    <w:rsid w:val="00BA08C9"/>
    <w:rsid w:val="00BA0BFB"/>
    <w:rsid w:val="00BA11F2"/>
    <w:rsid w:val="00BA12CA"/>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33"/>
    <w:rsid w:val="00BA52BC"/>
    <w:rsid w:val="00BA539D"/>
    <w:rsid w:val="00BA53F3"/>
    <w:rsid w:val="00BA54CB"/>
    <w:rsid w:val="00BA5A1C"/>
    <w:rsid w:val="00BA5B9E"/>
    <w:rsid w:val="00BA60D1"/>
    <w:rsid w:val="00BA61F2"/>
    <w:rsid w:val="00BA6308"/>
    <w:rsid w:val="00BA651B"/>
    <w:rsid w:val="00BA667B"/>
    <w:rsid w:val="00BA6BEC"/>
    <w:rsid w:val="00BA72BC"/>
    <w:rsid w:val="00BA7414"/>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1E31"/>
    <w:rsid w:val="00BB2616"/>
    <w:rsid w:val="00BB2CE9"/>
    <w:rsid w:val="00BB2D45"/>
    <w:rsid w:val="00BB2F6A"/>
    <w:rsid w:val="00BB305D"/>
    <w:rsid w:val="00BB359D"/>
    <w:rsid w:val="00BB3961"/>
    <w:rsid w:val="00BB3E97"/>
    <w:rsid w:val="00BB4DC4"/>
    <w:rsid w:val="00BB4E3E"/>
    <w:rsid w:val="00BB4FFA"/>
    <w:rsid w:val="00BB53D9"/>
    <w:rsid w:val="00BB55F2"/>
    <w:rsid w:val="00BB5C0B"/>
    <w:rsid w:val="00BB6B84"/>
    <w:rsid w:val="00BB6D1A"/>
    <w:rsid w:val="00BB6EF9"/>
    <w:rsid w:val="00BB766E"/>
    <w:rsid w:val="00BB7732"/>
    <w:rsid w:val="00BB773C"/>
    <w:rsid w:val="00BB77E8"/>
    <w:rsid w:val="00BB79C6"/>
    <w:rsid w:val="00BB7DCA"/>
    <w:rsid w:val="00BC0043"/>
    <w:rsid w:val="00BC1283"/>
    <w:rsid w:val="00BC1887"/>
    <w:rsid w:val="00BC1894"/>
    <w:rsid w:val="00BC1943"/>
    <w:rsid w:val="00BC1A15"/>
    <w:rsid w:val="00BC1B6D"/>
    <w:rsid w:val="00BC1F06"/>
    <w:rsid w:val="00BC1FF8"/>
    <w:rsid w:val="00BC235A"/>
    <w:rsid w:val="00BC2405"/>
    <w:rsid w:val="00BC2868"/>
    <w:rsid w:val="00BC2D22"/>
    <w:rsid w:val="00BC2FD9"/>
    <w:rsid w:val="00BC310E"/>
    <w:rsid w:val="00BC3327"/>
    <w:rsid w:val="00BC41F2"/>
    <w:rsid w:val="00BC450E"/>
    <w:rsid w:val="00BC45CD"/>
    <w:rsid w:val="00BC45FB"/>
    <w:rsid w:val="00BC47A6"/>
    <w:rsid w:val="00BC4AE8"/>
    <w:rsid w:val="00BC4B41"/>
    <w:rsid w:val="00BC4C8D"/>
    <w:rsid w:val="00BC55E5"/>
    <w:rsid w:val="00BC58B6"/>
    <w:rsid w:val="00BC59B9"/>
    <w:rsid w:val="00BC5ABE"/>
    <w:rsid w:val="00BC5C7E"/>
    <w:rsid w:val="00BC5E3E"/>
    <w:rsid w:val="00BC5EBB"/>
    <w:rsid w:val="00BC6291"/>
    <w:rsid w:val="00BC64A5"/>
    <w:rsid w:val="00BC6640"/>
    <w:rsid w:val="00BC68FB"/>
    <w:rsid w:val="00BC76D7"/>
    <w:rsid w:val="00BC7923"/>
    <w:rsid w:val="00BD00AB"/>
    <w:rsid w:val="00BD08E5"/>
    <w:rsid w:val="00BD0A24"/>
    <w:rsid w:val="00BD11FA"/>
    <w:rsid w:val="00BD1380"/>
    <w:rsid w:val="00BD14F5"/>
    <w:rsid w:val="00BD186E"/>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95A"/>
    <w:rsid w:val="00BD7C76"/>
    <w:rsid w:val="00BD7F86"/>
    <w:rsid w:val="00BE0465"/>
    <w:rsid w:val="00BE05DD"/>
    <w:rsid w:val="00BE0766"/>
    <w:rsid w:val="00BE1007"/>
    <w:rsid w:val="00BE1482"/>
    <w:rsid w:val="00BE154C"/>
    <w:rsid w:val="00BE15CD"/>
    <w:rsid w:val="00BE2A25"/>
    <w:rsid w:val="00BE2C46"/>
    <w:rsid w:val="00BE2F37"/>
    <w:rsid w:val="00BE3807"/>
    <w:rsid w:val="00BE3BFC"/>
    <w:rsid w:val="00BE40AB"/>
    <w:rsid w:val="00BE4809"/>
    <w:rsid w:val="00BE48B9"/>
    <w:rsid w:val="00BE4B99"/>
    <w:rsid w:val="00BE4BE9"/>
    <w:rsid w:val="00BE4F21"/>
    <w:rsid w:val="00BE5148"/>
    <w:rsid w:val="00BE5E67"/>
    <w:rsid w:val="00BE6061"/>
    <w:rsid w:val="00BE6B3B"/>
    <w:rsid w:val="00BE753C"/>
    <w:rsid w:val="00BE787D"/>
    <w:rsid w:val="00BE7935"/>
    <w:rsid w:val="00BE7AC4"/>
    <w:rsid w:val="00BE7B50"/>
    <w:rsid w:val="00BE7C72"/>
    <w:rsid w:val="00BE7E7F"/>
    <w:rsid w:val="00BF1080"/>
    <w:rsid w:val="00BF1AF4"/>
    <w:rsid w:val="00BF1BBA"/>
    <w:rsid w:val="00BF21CA"/>
    <w:rsid w:val="00BF224A"/>
    <w:rsid w:val="00BF2262"/>
    <w:rsid w:val="00BF34C0"/>
    <w:rsid w:val="00BF3FF9"/>
    <w:rsid w:val="00BF4ADF"/>
    <w:rsid w:val="00BF4F19"/>
    <w:rsid w:val="00BF4F7A"/>
    <w:rsid w:val="00BF4FF6"/>
    <w:rsid w:val="00BF51AB"/>
    <w:rsid w:val="00BF5315"/>
    <w:rsid w:val="00BF5BD4"/>
    <w:rsid w:val="00BF5BFC"/>
    <w:rsid w:val="00BF607A"/>
    <w:rsid w:val="00BF607D"/>
    <w:rsid w:val="00BF6142"/>
    <w:rsid w:val="00BF6148"/>
    <w:rsid w:val="00BF64D4"/>
    <w:rsid w:val="00BF667B"/>
    <w:rsid w:val="00BF677F"/>
    <w:rsid w:val="00BF699B"/>
    <w:rsid w:val="00BF6A01"/>
    <w:rsid w:val="00BF6F55"/>
    <w:rsid w:val="00BF7429"/>
    <w:rsid w:val="00BF752F"/>
    <w:rsid w:val="00BF7E25"/>
    <w:rsid w:val="00C000D4"/>
    <w:rsid w:val="00C00220"/>
    <w:rsid w:val="00C00AB9"/>
    <w:rsid w:val="00C00BFB"/>
    <w:rsid w:val="00C01486"/>
    <w:rsid w:val="00C014D8"/>
    <w:rsid w:val="00C01A7B"/>
    <w:rsid w:val="00C01BF1"/>
    <w:rsid w:val="00C01E4A"/>
    <w:rsid w:val="00C021B0"/>
    <w:rsid w:val="00C02301"/>
    <w:rsid w:val="00C02613"/>
    <w:rsid w:val="00C02A89"/>
    <w:rsid w:val="00C035BF"/>
    <w:rsid w:val="00C039C2"/>
    <w:rsid w:val="00C041B8"/>
    <w:rsid w:val="00C0425B"/>
    <w:rsid w:val="00C04261"/>
    <w:rsid w:val="00C04319"/>
    <w:rsid w:val="00C04BC4"/>
    <w:rsid w:val="00C05066"/>
    <w:rsid w:val="00C05258"/>
    <w:rsid w:val="00C05369"/>
    <w:rsid w:val="00C057C4"/>
    <w:rsid w:val="00C059FB"/>
    <w:rsid w:val="00C05ED2"/>
    <w:rsid w:val="00C060DA"/>
    <w:rsid w:val="00C06860"/>
    <w:rsid w:val="00C068B2"/>
    <w:rsid w:val="00C06939"/>
    <w:rsid w:val="00C06B8B"/>
    <w:rsid w:val="00C06FEC"/>
    <w:rsid w:val="00C07206"/>
    <w:rsid w:val="00C07431"/>
    <w:rsid w:val="00C07566"/>
    <w:rsid w:val="00C07606"/>
    <w:rsid w:val="00C07717"/>
    <w:rsid w:val="00C077C5"/>
    <w:rsid w:val="00C07A94"/>
    <w:rsid w:val="00C07E4C"/>
    <w:rsid w:val="00C07EDF"/>
    <w:rsid w:val="00C1023F"/>
    <w:rsid w:val="00C1042E"/>
    <w:rsid w:val="00C106CC"/>
    <w:rsid w:val="00C1166A"/>
    <w:rsid w:val="00C117C0"/>
    <w:rsid w:val="00C118D7"/>
    <w:rsid w:val="00C11BBC"/>
    <w:rsid w:val="00C124F7"/>
    <w:rsid w:val="00C127CC"/>
    <w:rsid w:val="00C12C6C"/>
    <w:rsid w:val="00C12E79"/>
    <w:rsid w:val="00C1329F"/>
    <w:rsid w:val="00C132AB"/>
    <w:rsid w:val="00C13638"/>
    <w:rsid w:val="00C136DE"/>
    <w:rsid w:val="00C13A3C"/>
    <w:rsid w:val="00C13E58"/>
    <w:rsid w:val="00C13E68"/>
    <w:rsid w:val="00C1411E"/>
    <w:rsid w:val="00C14207"/>
    <w:rsid w:val="00C143AC"/>
    <w:rsid w:val="00C143E2"/>
    <w:rsid w:val="00C14479"/>
    <w:rsid w:val="00C146F0"/>
    <w:rsid w:val="00C14E46"/>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418"/>
    <w:rsid w:val="00C21550"/>
    <w:rsid w:val="00C21789"/>
    <w:rsid w:val="00C217B8"/>
    <w:rsid w:val="00C218AB"/>
    <w:rsid w:val="00C218E4"/>
    <w:rsid w:val="00C21E95"/>
    <w:rsid w:val="00C227EE"/>
    <w:rsid w:val="00C2311E"/>
    <w:rsid w:val="00C235AD"/>
    <w:rsid w:val="00C238C3"/>
    <w:rsid w:val="00C23ABF"/>
    <w:rsid w:val="00C23ACD"/>
    <w:rsid w:val="00C23B71"/>
    <w:rsid w:val="00C24063"/>
    <w:rsid w:val="00C246CF"/>
    <w:rsid w:val="00C24902"/>
    <w:rsid w:val="00C24B39"/>
    <w:rsid w:val="00C24BA0"/>
    <w:rsid w:val="00C24D90"/>
    <w:rsid w:val="00C24FBC"/>
    <w:rsid w:val="00C25260"/>
    <w:rsid w:val="00C253E6"/>
    <w:rsid w:val="00C25475"/>
    <w:rsid w:val="00C2586D"/>
    <w:rsid w:val="00C2653B"/>
    <w:rsid w:val="00C26546"/>
    <w:rsid w:val="00C26980"/>
    <w:rsid w:val="00C26FB5"/>
    <w:rsid w:val="00C27616"/>
    <w:rsid w:val="00C278D0"/>
    <w:rsid w:val="00C2799E"/>
    <w:rsid w:val="00C27F01"/>
    <w:rsid w:val="00C30604"/>
    <w:rsid w:val="00C3067B"/>
    <w:rsid w:val="00C3081C"/>
    <w:rsid w:val="00C3092B"/>
    <w:rsid w:val="00C30993"/>
    <w:rsid w:val="00C30C3F"/>
    <w:rsid w:val="00C30D15"/>
    <w:rsid w:val="00C30D36"/>
    <w:rsid w:val="00C30E15"/>
    <w:rsid w:val="00C30E7D"/>
    <w:rsid w:val="00C31056"/>
    <w:rsid w:val="00C310A7"/>
    <w:rsid w:val="00C312FB"/>
    <w:rsid w:val="00C3132B"/>
    <w:rsid w:val="00C3153E"/>
    <w:rsid w:val="00C315CA"/>
    <w:rsid w:val="00C3185F"/>
    <w:rsid w:val="00C3186B"/>
    <w:rsid w:val="00C31B83"/>
    <w:rsid w:val="00C31D37"/>
    <w:rsid w:val="00C31DC6"/>
    <w:rsid w:val="00C3206C"/>
    <w:rsid w:val="00C32224"/>
    <w:rsid w:val="00C324B1"/>
    <w:rsid w:val="00C3280F"/>
    <w:rsid w:val="00C32B3A"/>
    <w:rsid w:val="00C33020"/>
    <w:rsid w:val="00C33691"/>
    <w:rsid w:val="00C338B4"/>
    <w:rsid w:val="00C3395D"/>
    <w:rsid w:val="00C33F6B"/>
    <w:rsid w:val="00C33FBE"/>
    <w:rsid w:val="00C34435"/>
    <w:rsid w:val="00C34607"/>
    <w:rsid w:val="00C346D2"/>
    <w:rsid w:val="00C3485A"/>
    <w:rsid w:val="00C34DB1"/>
    <w:rsid w:val="00C34DEE"/>
    <w:rsid w:val="00C3580A"/>
    <w:rsid w:val="00C35905"/>
    <w:rsid w:val="00C35D05"/>
    <w:rsid w:val="00C35E4C"/>
    <w:rsid w:val="00C36479"/>
    <w:rsid w:val="00C36574"/>
    <w:rsid w:val="00C36796"/>
    <w:rsid w:val="00C36844"/>
    <w:rsid w:val="00C40384"/>
    <w:rsid w:val="00C40675"/>
    <w:rsid w:val="00C4074D"/>
    <w:rsid w:val="00C40CDB"/>
    <w:rsid w:val="00C40D4E"/>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48A"/>
    <w:rsid w:val="00C45535"/>
    <w:rsid w:val="00C4583A"/>
    <w:rsid w:val="00C46055"/>
    <w:rsid w:val="00C462A2"/>
    <w:rsid w:val="00C4664F"/>
    <w:rsid w:val="00C469EB"/>
    <w:rsid w:val="00C46D85"/>
    <w:rsid w:val="00C46E5E"/>
    <w:rsid w:val="00C46F39"/>
    <w:rsid w:val="00C471D9"/>
    <w:rsid w:val="00C4721B"/>
    <w:rsid w:val="00C472FB"/>
    <w:rsid w:val="00C474A3"/>
    <w:rsid w:val="00C474C7"/>
    <w:rsid w:val="00C47572"/>
    <w:rsid w:val="00C476FA"/>
    <w:rsid w:val="00C47782"/>
    <w:rsid w:val="00C47DEC"/>
    <w:rsid w:val="00C502E1"/>
    <w:rsid w:val="00C5076C"/>
    <w:rsid w:val="00C50874"/>
    <w:rsid w:val="00C50BD9"/>
    <w:rsid w:val="00C50F5E"/>
    <w:rsid w:val="00C50F91"/>
    <w:rsid w:val="00C50FB3"/>
    <w:rsid w:val="00C51530"/>
    <w:rsid w:val="00C517E4"/>
    <w:rsid w:val="00C518A4"/>
    <w:rsid w:val="00C51D21"/>
    <w:rsid w:val="00C52BC1"/>
    <w:rsid w:val="00C52C5A"/>
    <w:rsid w:val="00C533EA"/>
    <w:rsid w:val="00C53420"/>
    <w:rsid w:val="00C5388D"/>
    <w:rsid w:val="00C53B23"/>
    <w:rsid w:val="00C53E34"/>
    <w:rsid w:val="00C5424B"/>
    <w:rsid w:val="00C542D0"/>
    <w:rsid w:val="00C5469A"/>
    <w:rsid w:val="00C548BF"/>
    <w:rsid w:val="00C549A8"/>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163"/>
    <w:rsid w:val="00C608B3"/>
    <w:rsid w:val="00C60A2E"/>
    <w:rsid w:val="00C60C82"/>
    <w:rsid w:val="00C60FD9"/>
    <w:rsid w:val="00C6105E"/>
    <w:rsid w:val="00C61AB8"/>
    <w:rsid w:val="00C61DAA"/>
    <w:rsid w:val="00C61FA2"/>
    <w:rsid w:val="00C620F2"/>
    <w:rsid w:val="00C6222D"/>
    <w:rsid w:val="00C62246"/>
    <w:rsid w:val="00C622D3"/>
    <w:rsid w:val="00C623C2"/>
    <w:rsid w:val="00C62787"/>
    <w:rsid w:val="00C62987"/>
    <w:rsid w:val="00C6309D"/>
    <w:rsid w:val="00C630F8"/>
    <w:rsid w:val="00C63B8A"/>
    <w:rsid w:val="00C63C44"/>
    <w:rsid w:val="00C6410E"/>
    <w:rsid w:val="00C641A1"/>
    <w:rsid w:val="00C641DD"/>
    <w:rsid w:val="00C64355"/>
    <w:rsid w:val="00C64918"/>
    <w:rsid w:val="00C64FD5"/>
    <w:rsid w:val="00C65025"/>
    <w:rsid w:val="00C653B2"/>
    <w:rsid w:val="00C655B9"/>
    <w:rsid w:val="00C65769"/>
    <w:rsid w:val="00C6578E"/>
    <w:rsid w:val="00C657F0"/>
    <w:rsid w:val="00C65AB3"/>
    <w:rsid w:val="00C65AE5"/>
    <w:rsid w:val="00C660BA"/>
    <w:rsid w:val="00C66116"/>
    <w:rsid w:val="00C664C9"/>
    <w:rsid w:val="00C66670"/>
    <w:rsid w:val="00C667D9"/>
    <w:rsid w:val="00C66F73"/>
    <w:rsid w:val="00C701D6"/>
    <w:rsid w:val="00C708CC"/>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446"/>
    <w:rsid w:val="00C75D25"/>
    <w:rsid w:val="00C76409"/>
    <w:rsid w:val="00C7650E"/>
    <w:rsid w:val="00C7680E"/>
    <w:rsid w:val="00C76A1A"/>
    <w:rsid w:val="00C76C2E"/>
    <w:rsid w:val="00C77232"/>
    <w:rsid w:val="00C77A62"/>
    <w:rsid w:val="00C77BE9"/>
    <w:rsid w:val="00C80029"/>
    <w:rsid w:val="00C801FC"/>
    <w:rsid w:val="00C803D5"/>
    <w:rsid w:val="00C808A1"/>
    <w:rsid w:val="00C80B89"/>
    <w:rsid w:val="00C81115"/>
    <w:rsid w:val="00C81228"/>
    <w:rsid w:val="00C818C4"/>
    <w:rsid w:val="00C81A02"/>
    <w:rsid w:val="00C81EA7"/>
    <w:rsid w:val="00C82216"/>
    <w:rsid w:val="00C822B2"/>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521E"/>
    <w:rsid w:val="00C85397"/>
    <w:rsid w:val="00C85596"/>
    <w:rsid w:val="00C855A6"/>
    <w:rsid w:val="00C858CE"/>
    <w:rsid w:val="00C85C6A"/>
    <w:rsid w:val="00C85CDC"/>
    <w:rsid w:val="00C86561"/>
    <w:rsid w:val="00C86C34"/>
    <w:rsid w:val="00C870C0"/>
    <w:rsid w:val="00C870E8"/>
    <w:rsid w:val="00C8728B"/>
    <w:rsid w:val="00C873D7"/>
    <w:rsid w:val="00C876AA"/>
    <w:rsid w:val="00C87857"/>
    <w:rsid w:val="00C87946"/>
    <w:rsid w:val="00C87B77"/>
    <w:rsid w:val="00C9024D"/>
    <w:rsid w:val="00C902E3"/>
    <w:rsid w:val="00C904FD"/>
    <w:rsid w:val="00C9050F"/>
    <w:rsid w:val="00C9076B"/>
    <w:rsid w:val="00C907D6"/>
    <w:rsid w:val="00C90857"/>
    <w:rsid w:val="00C90BAA"/>
    <w:rsid w:val="00C910D2"/>
    <w:rsid w:val="00C91128"/>
    <w:rsid w:val="00C911D6"/>
    <w:rsid w:val="00C913A5"/>
    <w:rsid w:val="00C9178F"/>
    <w:rsid w:val="00C920B1"/>
    <w:rsid w:val="00C92262"/>
    <w:rsid w:val="00C9289F"/>
    <w:rsid w:val="00C92C0C"/>
    <w:rsid w:val="00C9406D"/>
    <w:rsid w:val="00C94135"/>
    <w:rsid w:val="00C942A9"/>
    <w:rsid w:val="00C9443B"/>
    <w:rsid w:val="00C945DA"/>
    <w:rsid w:val="00C95715"/>
    <w:rsid w:val="00C95766"/>
    <w:rsid w:val="00C95A39"/>
    <w:rsid w:val="00C960DD"/>
    <w:rsid w:val="00C960E5"/>
    <w:rsid w:val="00C960F2"/>
    <w:rsid w:val="00C96211"/>
    <w:rsid w:val="00C963E5"/>
    <w:rsid w:val="00C9645A"/>
    <w:rsid w:val="00C96936"/>
    <w:rsid w:val="00C96F22"/>
    <w:rsid w:val="00C973E3"/>
    <w:rsid w:val="00C97A46"/>
    <w:rsid w:val="00C97DBC"/>
    <w:rsid w:val="00CA05D4"/>
    <w:rsid w:val="00CA0D83"/>
    <w:rsid w:val="00CA11B9"/>
    <w:rsid w:val="00CA1401"/>
    <w:rsid w:val="00CA310D"/>
    <w:rsid w:val="00CA343D"/>
    <w:rsid w:val="00CA38F0"/>
    <w:rsid w:val="00CA3919"/>
    <w:rsid w:val="00CA3FB1"/>
    <w:rsid w:val="00CA40A3"/>
    <w:rsid w:val="00CA4244"/>
    <w:rsid w:val="00CA4A44"/>
    <w:rsid w:val="00CA4B93"/>
    <w:rsid w:val="00CA4D3B"/>
    <w:rsid w:val="00CA5A7C"/>
    <w:rsid w:val="00CA5B55"/>
    <w:rsid w:val="00CA6032"/>
    <w:rsid w:val="00CA6A2E"/>
    <w:rsid w:val="00CA6BD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5F"/>
    <w:rsid w:val="00CC25FD"/>
    <w:rsid w:val="00CC2CE5"/>
    <w:rsid w:val="00CC2FFB"/>
    <w:rsid w:val="00CC3123"/>
    <w:rsid w:val="00CC34E0"/>
    <w:rsid w:val="00CC36E4"/>
    <w:rsid w:val="00CC38C8"/>
    <w:rsid w:val="00CC3967"/>
    <w:rsid w:val="00CC3CE9"/>
    <w:rsid w:val="00CC3D3B"/>
    <w:rsid w:val="00CC3F4B"/>
    <w:rsid w:val="00CC3F6B"/>
    <w:rsid w:val="00CC417D"/>
    <w:rsid w:val="00CC42CA"/>
    <w:rsid w:val="00CC42DA"/>
    <w:rsid w:val="00CC5023"/>
    <w:rsid w:val="00CC5379"/>
    <w:rsid w:val="00CC53CC"/>
    <w:rsid w:val="00CC58BA"/>
    <w:rsid w:val="00CC5DA6"/>
    <w:rsid w:val="00CC5DC9"/>
    <w:rsid w:val="00CC638E"/>
    <w:rsid w:val="00CC6517"/>
    <w:rsid w:val="00CC6564"/>
    <w:rsid w:val="00CC670B"/>
    <w:rsid w:val="00CC6A91"/>
    <w:rsid w:val="00CC6F49"/>
    <w:rsid w:val="00CC6F7F"/>
    <w:rsid w:val="00CC7915"/>
    <w:rsid w:val="00CC79FB"/>
    <w:rsid w:val="00CC7C10"/>
    <w:rsid w:val="00CD00E9"/>
    <w:rsid w:val="00CD017D"/>
    <w:rsid w:val="00CD0287"/>
    <w:rsid w:val="00CD030B"/>
    <w:rsid w:val="00CD0641"/>
    <w:rsid w:val="00CD07C1"/>
    <w:rsid w:val="00CD09F8"/>
    <w:rsid w:val="00CD0CAC"/>
    <w:rsid w:val="00CD134F"/>
    <w:rsid w:val="00CD14C3"/>
    <w:rsid w:val="00CD1653"/>
    <w:rsid w:val="00CD1696"/>
    <w:rsid w:val="00CD18CB"/>
    <w:rsid w:val="00CD1909"/>
    <w:rsid w:val="00CD199C"/>
    <w:rsid w:val="00CD1D52"/>
    <w:rsid w:val="00CD1E75"/>
    <w:rsid w:val="00CD1EA2"/>
    <w:rsid w:val="00CD269C"/>
    <w:rsid w:val="00CD2DF7"/>
    <w:rsid w:val="00CD30F6"/>
    <w:rsid w:val="00CD3211"/>
    <w:rsid w:val="00CD399E"/>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36"/>
    <w:rsid w:val="00CD6378"/>
    <w:rsid w:val="00CD6651"/>
    <w:rsid w:val="00CD7009"/>
    <w:rsid w:val="00CD7223"/>
    <w:rsid w:val="00CD76FD"/>
    <w:rsid w:val="00CD7999"/>
    <w:rsid w:val="00CD7D71"/>
    <w:rsid w:val="00CD7FDD"/>
    <w:rsid w:val="00CE02FE"/>
    <w:rsid w:val="00CE0760"/>
    <w:rsid w:val="00CE0A68"/>
    <w:rsid w:val="00CE0B07"/>
    <w:rsid w:val="00CE0C1B"/>
    <w:rsid w:val="00CE150D"/>
    <w:rsid w:val="00CE1669"/>
    <w:rsid w:val="00CE1823"/>
    <w:rsid w:val="00CE193F"/>
    <w:rsid w:val="00CE1BE3"/>
    <w:rsid w:val="00CE1FDA"/>
    <w:rsid w:val="00CE2DCE"/>
    <w:rsid w:val="00CE2F3B"/>
    <w:rsid w:val="00CE2F58"/>
    <w:rsid w:val="00CE3728"/>
    <w:rsid w:val="00CE3CB9"/>
    <w:rsid w:val="00CE3E0F"/>
    <w:rsid w:val="00CE40A2"/>
    <w:rsid w:val="00CE4447"/>
    <w:rsid w:val="00CE4BAF"/>
    <w:rsid w:val="00CE4CB1"/>
    <w:rsid w:val="00CE5199"/>
    <w:rsid w:val="00CE5479"/>
    <w:rsid w:val="00CE5636"/>
    <w:rsid w:val="00CE5C00"/>
    <w:rsid w:val="00CE606B"/>
    <w:rsid w:val="00CE60D2"/>
    <w:rsid w:val="00CE60EF"/>
    <w:rsid w:val="00CE62CA"/>
    <w:rsid w:val="00CE6776"/>
    <w:rsid w:val="00CE6E3F"/>
    <w:rsid w:val="00CE734B"/>
    <w:rsid w:val="00CE7AE6"/>
    <w:rsid w:val="00CE7EDD"/>
    <w:rsid w:val="00CF00B1"/>
    <w:rsid w:val="00CF05B4"/>
    <w:rsid w:val="00CF05C9"/>
    <w:rsid w:val="00CF0B69"/>
    <w:rsid w:val="00CF0D20"/>
    <w:rsid w:val="00CF0D8A"/>
    <w:rsid w:val="00CF0D8D"/>
    <w:rsid w:val="00CF0DAA"/>
    <w:rsid w:val="00CF0DC9"/>
    <w:rsid w:val="00CF121C"/>
    <w:rsid w:val="00CF1250"/>
    <w:rsid w:val="00CF1409"/>
    <w:rsid w:val="00CF1446"/>
    <w:rsid w:val="00CF160C"/>
    <w:rsid w:val="00CF1D9F"/>
    <w:rsid w:val="00CF1F85"/>
    <w:rsid w:val="00CF1F92"/>
    <w:rsid w:val="00CF289F"/>
    <w:rsid w:val="00CF2B74"/>
    <w:rsid w:val="00CF3451"/>
    <w:rsid w:val="00CF3506"/>
    <w:rsid w:val="00CF3ACC"/>
    <w:rsid w:val="00CF3B0B"/>
    <w:rsid w:val="00CF3DDF"/>
    <w:rsid w:val="00CF3E29"/>
    <w:rsid w:val="00CF3EE6"/>
    <w:rsid w:val="00CF44AA"/>
    <w:rsid w:val="00CF45ED"/>
    <w:rsid w:val="00CF4D12"/>
    <w:rsid w:val="00CF4F58"/>
    <w:rsid w:val="00CF5562"/>
    <w:rsid w:val="00CF5C6A"/>
    <w:rsid w:val="00CF6300"/>
    <w:rsid w:val="00CF65C1"/>
    <w:rsid w:val="00CF6AF0"/>
    <w:rsid w:val="00CF71A3"/>
    <w:rsid w:val="00CF72F1"/>
    <w:rsid w:val="00CF7B77"/>
    <w:rsid w:val="00CF7C07"/>
    <w:rsid w:val="00D00090"/>
    <w:rsid w:val="00D000D9"/>
    <w:rsid w:val="00D00473"/>
    <w:rsid w:val="00D006F9"/>
    <w:rsid w:val="00D007AB"/>
    <w:rsid w:val="00D009DC"/>
    <w:rsid w:val="00D00C8B"/>
    <w:rsid w:val="00D0166C"/>
    <w:rsid w:val="00D01783"/>
    <w:rsid w:val="00D01881"/>
    <w:rsid w:val="00D01D08"/>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2DD"/>
    <w:rsid w:val="00D06456"/>
    <w:rsid w:val="00D064C0"/>
    <w:rsid w:val="00D06791"/>
    <w:rsid w:val="00D068E0"/>
    <w:rsid w:val="00D06945"/>
    <w:rsid w:val="00D06E04"/>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65A"/>
    <w:rsid w:val="00D148CB"/>
    <w:rsid w:val="00D1498E"/>
    <w:rsid w:val="00D14DF8"/>
    <w:rsid w:val="00D14E0B"/>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3B"/>
    <w:rsid w:val="00D213AB"/>
    <w:rsid w:val="00D21424"/>
    <w:rsid w:val="00D21739"/>
    <w:rsid w:val="00D21745"/>
    <w:rsid w:val="00D21CA8"/>
    <w:rsid w:val="00D21F84"/>
    <w:rsid w:val="00D2206D"/>
    <w:rsid w:val="00D220EB"/>
    <w:rsid w:val="00D22B3C"/>
    <w:rsid w:val="00D22FB0"/>
    <w:rsid w:val="00D23131"/>
    <w:rsid w:val="00D232B8"/>
    <w:rsid w:val="00D23300"/>
    <w:rsid w:val="00D23610"/>
    <w:rsid w:val="00D23871"/>
    <w:rsid w:val="00D23C1F"/>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B52"/>
    <w:rsid w:val="00D3000D"/>
    <w:rsid w:val="00D30703"/>
    <w:rsid w:val="00D30755"/>
    <w:rsid w:val="00D31A56"/>
    <w:rsid w:val="00D32163"/>
    <w:rsid w:val="00D322AB"/>
    <w:rsid w:val="00D32315"/>
    <w:rsid w:val="00D32775"/>
    <w:rsid w:val="00D328A5"/>
    <w:rsid w:val="00D32B81"/>
    <w:rsid w:val="00D32FE0"/>
    <w:rsid w:val="00D33840"/>
    <w:rsid w:val="00D3399D"/>
    <w:rsid w:val="00D33DDE"/>
    <w:rsid w:val="00D340B7"/>
    <w:rsid w:val="00D347DE"/>
    <w:rsid w:val="00D349D5"/>
    <w:rsid w:val="00D34A59"/>
    <w:rsid w:val="00D34E03"/>
    <w:rsid w:val="00D34F5A"/>
    <w:rsid w:val="00D359F3"/>
    <w:rsid w:val="00D36514"/>
    <w:rsid w:val="00D3680F"/>
    <w:rsid w:val="00D36D1A"/>
    <w:rsid w:val="00D36D25"/>
    <w:rsid w:val="00D371E0"/>
    <w:rsid w:val="00D37278"/>
    <w:rsid w:val="00D375F9"/>
    <w:rsid w:val="00D3762D"/>
    <w:rsid w:val="00D37E8A"/>
    <w:rsid w:val="00D4080D"/>
    <w:rsid w:val="00D409F6"/>
    <w:rsid w:val="00D40E29"/>
    <w:rsid w:val="00D4118C"/>
    <w:rsid w:val="00D41771"/>
    <w:rsid w:val="00D4208C"/>
    <w:rsid w:val="00D4234C"/>
    <w:rsid w:val="00D4249B"/>
    <w:rsid w:val="00D42B03"/>
    <w:rsid w:val="00D4322D"/>
    <w:rsid w:val="00D434C8"/>
    <w:rsid w:val="00D4374F"/>
    <w:rsid w:val="00D438B3"/>
    <w:rsid w:val="00D43DC3"/>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AEF"/>
    <w:rsid w:val="00D51DAB"/>
    <w:rsid w:val="00D5242C"/>
    <w:rsid w:val="00D52E91"/>
    <w:rsid w:val="00D52F43"/>
    <w:rsid w:val="00D531A2"/>
    <w:rsid w:val="00D53201"/>
    <w:rsid w:val="00D538F9"/>
    <w:rsid w:val="00D53983"/>
    <w:rsid w:val="00D53F25"/>
    <w:rsid w:val="00D54208"/>
    <w:rsid w:val="00D5438A"/>
    <w:rsid w:val="00D54925"/>
    <w:rsid w:val="00D54FE9"/>
    <w:rsid w:val="00D5563F"/>
    <w:rsid w:val="00D55704"/>
    <w:rsid w:val="00D55797"/>
    <w:rsid w:val="00D55924"/>
    <w:rsid w:val="00D55CCE"/>
    <w:rsid w:val="00D56042"/>
    <w:rsid w:val="00D5604E"/>
    <w:rsid w:val="00D560B6"/>
    <w:rsid w:val="00D56256"/>
    <w:rsid w:val="00D56391"/>
    <w:rsid w:val="00D5653F"/>
    <w:rsid w:val="00D5696C"/>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5C"/>
    <w:rsid w:val="00D620A1"/>
    <w:rsid w:val="00D6235A"/>
    <w:rsid w:val="00D62467"/>
    <w:rsid w:val="00D624B9"/>
    <w:rsid w:val="00D62674"/>
    <w:rsid w:val="00D62788"/>
    <w:rsid w:val="00D629E0"/>
    <w:rsid w:val="00D62AF3"/>
    <w:rsid w:val="00D62CF9"/>
    <w:rsid w:val="00D63501"/>
    <w:rsid w:val="00D63675"/>
    <w:rsid w:val="00D64419"/>
    <w:rsid w:val="00D64A78"/>
    <w:rsid w:val="00D654C2"/>
    <w:rsid w:val="00D659F8"/>
    <w:rsid w:val="00D65A3F"/>
    <w:rsid w:val="00D65C7B"/>
    <w:rsid w:val="00D660C4"/>
    <w:rsid w:val="00D664C7"/>
    <w:rsid w:val="00D66744"/>
    <w:rsid w:val="00D66A49"/>
    <w:rsid w:val="00D66AD6"/>
    <w:rsid w:val="00D66ADE"/>
    <w:rsid w:val="00D66C6B"/>
    <w:rsid w:val="00D66CDB"/>
    <w:rsid w:val="00D66EF1"/>
    <w:rsid w:val="00D66F7E"/>
    <w:rsid w:val="00D676D5"/>
    <w:rsid w:val="00D67B90"/>
    <w:rsid w:val="00D67CDB"/>
    <w:rsid w:val="00D67D25"/>
    <w:rsid w:val="00D67F40"/>
    <w:rsid w:val="00D7007F"/>
    <w:rsid w:val="00D70142"/>
    <w:rsid w:val="00D7028D"/>
    <w:rsid w:val="00D704DE"/>
    <w:rsid w:val="00D70506"/>
    <w:rsid w:val="00D70623"/>
    <w:rsid w:val="00D70939"/>
    <w:rsid w:val="00D70D0C"/>
    <w:rsid w:val="00D7149A"/>
    <w:rsid w:val="00D718EA"/>
    <w:rsid w:val="00D71B39"/>
    <w:rsid w:val="00D71D21"/>
    <w:rsid w:val="00D71F0E"/>
    <w:rsid w:val="00D71F48"/>
    <w:rsid w:val="00D72027"/>
    <w:rsid w:val="00D7236C"/>
    <w:rsid w:val="00D725EA"/>
    <w:rsid w:val="00D72804"/>
    <w:rsid w:val="00D72AD2"/>
    <w:rsid w:val="00D72AF9"/>
    <w:rsid w:val="00D72C2A"/>
    <w:rsid w:val="00D72CBD"/>
    <w:rsid w:val="00D72E60"/>
    <w:rsid w:val="00D7339C"/>
    <w:rsid w:val="00D73563"/>
    <w:rsid w:val="00D73AE0"/>
    <w:rsid w:val="00D73E26"/>
    <w:rsid w:val="00D73FA3"/>
    <w:rsid w:val="00D74257"/>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57C"/>
    <w:rsid w:val="00D8681F"/>
    <w:rsid w:val="00D868E2"/>
    <w:rsid w:val="00D869B2"/>
    <w:rsid w:val="00D86AEF"/>
    <w:rsid w:val="00D86B93"/>
    <w:rsid w:val="00D86F6B"/>
    <w:rsid w:val="00D87866"/>
    <w:rsid w:val="00D87AB4"/>
    <w:rsid w:val="00D87F9F"/>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DD"/>
    <w:rsid w:val="00D948FF"/>
    <w:rsid w:val="00D9490C"/>
    <w:rsid w:val="00D94979"/>
    <w:rsid w:val="00D94980"/>
    <w:rsid w:val="00D949B3"/>
    <w:rsid w:val="00D94CCC"/>
    <w:rsid w:val="00D94EDC"/>
    <w:rsid w:val="00D9547F"/>
    <w:rsid w:val="00D95573"/>
    <w:rsid w:val="00D955A8"/>
    <w:rsid w:val="00D95691"/>
    <w:rsid w:val="00D95A52"/>
    <w:rsid w:val="00D95A96"/>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1C0"/>
    <w:rsid w:val="00DA15B7"/>
    <w:rsid w:val="00DA1635"/>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5CD2"/>
    <w:rsid w:val="00DA6308"/>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6B3"/>
    <w:rsid w:val="00DB1B8E"/>
    <w:rsid w:val="00DB1E1C"/>
    <w:rsid w:val="00DB23AE"/>
    <w:rsid w:val="00DB240A"/>
    <w:rsid w:val="00DB2481"/>
    <w:rsid w:val="00DB2687"/>
    <w:rsid w:val="00DB2695"/>
    <w:rsid w:val="00DB37FA"/>
    <w:rsid w:val="00DB3A9E"/>
    <w:rsid w:val="00DB3B0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8E9"/>
    <w:rsid w:val="00DB595F"/>
    <w:rsid w:val="00DB5B2F"/>
    <w:rsid w:val="00DB5D9D"/>
    <w:rsid w:val="00DB5DB0"/>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0F1B"/>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9CC"/>
    <w:rsid w:val="00DC3A20"/>
    <w:rsid w:val="00DC3CD8"/>
    <w:rsid w:val="00DC3E39"/>
    <w:rsid w:val="00DC3E44"/>
    <w:rsid w:val="00DC4521"/>
    <w:rsid w:val="00DC458A"/>
    <w:rsid w:val="00DC46FA"/>
    <w:rsid w:val="00DC4B2F"/>
    <w:rsid w:val="00DC4E24"/>
    <w:rsid w:val="00DC4F70"/>
    <w:rsid w:val="00DC517E"/>
    <w:rsid w:val="00DC5187"/>
    <w:rsid w:val="00DC54D5"/>
    <w:rsid w:val="00DC5532"/>
    <w:rsid w:val="00DC5B09"/>
    <w:rsid w:val="00DC5B41"/>
    <w:rsid w:val="00DC5F14"/>
    <w:rsid w:val="00DC6A24"/>
    <w:rsid w:val="00DC6AC1"/>
    <w:rsid w:val="00DC6B05"/>
    <w:rsid w:val="00DC7079"/>
    <w:rsid w:val="00DC75C9"/>
    <w:rsid w:val="00DC7906"/>
    <w:rsid w:val="00DC792E"/>
    <w:rsid w:val="00DC7948"/>
    <w:rsid w:val="00DC7AA4"/>
    <w:rsid w:val="00DC7C5B"/>
    <w:rsid w:val="00DC7C88"/>
    <w:rsid w:val="00DC7E43"/>
    <w:rsid w:val="00DD00E3"/>
    <w:rsid w:val="00DD0504"/>
    <w:rsid w:val="00DD0918"/>
    <w:rsid w:val="00DD0EEF"/>
    <w:rsid w:val="00DD107B"/>
    <w:rsid w:val="00DD10CD"/>
    <w:rsid w:val="00DD1352"/>
    <w:rsid w:val="00DD15DA"/>
    <w:rsid w:val="00DD1EE3"/>
    <w:rsid w:val="00DD1F5C"/>
    <w:rsid w:val="00DD2235"/>
    <w:rsid w:val="00DD22CC"/>
    <w:rsid w:val="00DD255E"/>
    <w:rsid w:val="00DD29C6"/>
    <w:rsid w:val="00DD2C0F"/>
    <w:rsid w:val="00DD3007"/>
    <w:rsid w:val="00DD3039"/>
    <w:rsid w:val="00DD316B"/>
    <w:rsid w:val="00DD35AF"/>
    <w:rsid w:val="00DD365B"/>
    <w:rsid w:val="00DD3A4D"/>
    <w:rsid w:val="00DD3CFE"/>
    <w:rsid w:val="00DD3FEE"/>
    <w:rsid w:val="00DD4555"/>
    <w:rsid w:val="00DD4911"/>
    <w:rsid w:val="00DD4BA9"/>
    <w:rsid w:val="00DD4FD8"/>
    <w:rsid w:val="00DD5592"/>
    <w:rsid w:val="00DD5714"/>
    <w:rsid w:val="00DD5C5B"/>
    <w:rsid w:val="00DD5CB6"/>
    <w:rsid w:val="00DD6056"/>
    <w:rsid w:val="00DD6301"/>
    <w:rsid w:val="00DD63D8"/>
    <w:rsid w:val="00DD647C"/>
    <w:rsid w:val="00DD67EC"/>
    <w:rsid w:val="00DD69A6"/>
    <w:rsid w:val="00DD6B9B"/>
    <w:rsid w:val="00DD6D4F"/>
    <w:rsid w:val="00DD6D59"/>
    <w:rsid w:val="00DD6F35"/>
    <w:rsid w:val="00DD70F3"/>
    <w:rsid w:val="00DD7EA3"/>
    <w:rsid w:val="00DE0045"/>
    <w:rsid w:val="00DE008C"/>
    <w:rsid w:val="00DE01B0"/>
    <w:rsid w:val="00DE01D6"/>
    <w:rsid w:val="00DE0248"/>
    <w:rsid w:val="00DE03AD"/>
    <w:rsid w:val="00DE0558"/>
    <w:rsid w:val="00DE0CDA"/>
    <w:rsid w:val="00DE13FA"/>
    <w:rsid w:val="00DE16E0"/>
    <w:rsid w:val="00DE1A91"/>
    <w:rsid w:val="00DE1A95"/>
    <w:rsid w:val="00DE1CAC"/>
    <w:rsid w:val="00DE1D23"/>
    <w:rsid w:val="00DE2197"/>
    <w:rsid w:val="00DE2DED"/>
    <w:rsid w:val="00DE2EF3"/>
    <w:rsid w:val="00DE3231"/>
    <w:rsid w:val="00DE376F"/>
    <w:rsid w:val="00DE38EE"/>
    <w:rsid w:val="00DE3A5D"/>
    <w:rsid w:val="00DE3C42"/>
    <w:rsid w:val="00DE3D19"/>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6E39"/>
    <w:rsid w:val="00DE7483"/>
    <w:rsid w:val="00DE7486"/>
    <w:rsid w:val="00DE756E"/>
    <w:rsid w:val="00DE7765"/>
    <w:rsid w:val="00DE7771"/>
    <w:rsid w:val="00DE77E6"/>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F15"/>
    <w:rsid w:val="00DF11DD"/>
    <w:rsid w:val="00DF1D51"/>
    <w:rsid w:val="00DF205E"/>
    <w:rsid w:val="00DF206B"/>
    <w:rsid w:val="00DF2523"/>
    <w:rsid w:val="00DF2A81"/>
    <w:rsid w:val="00DF2BAE"/>
    <w:rsid w:val="00DF2D97"/>
    <w:rsid w:val="00DF3024"/>
    <w:rsid w:val="00DF3461"/>
    <w:rsid w:val="00DF37A2"/>
    <w:rsid w:val="00DF3C47"/>
    <w:rsid w:val="00DF3E7D"/>
    <w:rsid w:val="00DF43A5"/>
    <w:rsid w:val="00DF43FF"/>
    <w:rsid w:val="00DF480E"/>
    <w:rsid w:val="00DF49AE"/>
    <w:rsid w:val="00DF4A3D"/>
    <w:rsid w:val="00DF4A51"/>
    <w:rsid w:val="00DF4DEF"/>
    <w:rsid w:val="00DF4E1B"/>
    <w:rsid w:val="00DF4E3D"/>
    <w:rsid w:val="00DF4EEC"/>
    <w:rsid w:val="00DF4F4D"/>
    <w:rsid w:val="00DF563E"/>
    <w:rsid w:val="00DF5AF0"/>
    <w:rsid w:val="00DF5F7E"/>
    <w:rsid w:val="00DF6263"/>
    <w:rsid w:val="00DF640E"/>
    <w:rsid w:val="00DF6C49"/>
    <w:rsid w:val="00DF6C9C"/>
    <w:rsid w:val="00DF72A5"/>
    <w:rsid w:val="00DF7301"/>
    <w:rsid w:val="00DF79B1"/>
    <w:rsid w:val="00DF7A53"/>
    <w:rsid w:val="00E00078"/>
    <w:rsid w:val="00E000C3"/>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3A"/>
    <w:rsid w:val="00E029B8"/>
    <w:rsid w:val="00E02C53"/>
    <w:rsid w:val="00E02CB4"/>
    <w:rsid w:val="00E02D57"/>
    <w:rsid w:val="00E02E51"/>
    <w:rsid w:val="00E03470"/>
    <w:rsid w:val="00E0349E"/>
    <w:rsid w:val="00E037CE"/>
    <w:rsid w:val="00E0389C"/>
    <w:rsid w:val="00E03BE2"/>
    <w:rsid w:val="00E03CF2"/>
    <w:rsid w:val="00E03EE0"/>
    <w:rsid w:val="00E0428D"/>
    <w:rsid w:val="00E042C5"/>
    <w:rsid w:val="00E044EC"/>
    <w:rsid w:val="00E045E2"/>
    <w:rsid w:val="00E046F6"/>
    <w:rsid w:val="00E04D15"/>
    <w:rsid w:val="00E058B1"/>
    <w:rsid w:val="00E05995"/>
    <w:rsid w:val="00E05E1A"/>
    <w:rsid w:val="00E06122"/>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C59"/>
    <w:rsid w:val="00E11D41"/>
    <w:rsid w:val="00E11D63"/>
    <w:rsid w:val="00E11E2C"/>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07E"/>
    <w:rsid w:val="00E1722B"/>
    <w:rsid w:val="00E17294"/>
    <w:rsid w:val="00E17783"/>
    <w:rsid w:val="00E17919"/>
    <w:rsid w:val="00E17ADC"/>
    <w:rsid w:val="00E17BF7"/>
    <w:rsid w:val="00E205AA"/>
    <w:rsid w:val="00E2081F"/>
    <w:rsid w:val="00E20AAB"/>
    <w:rsid w:val="00E20AB6"/>
    <w:rsid w:val="00E20B8E"/>
    <w:rsid w:val="00E20E79"/>
    <w:rsid w:val="00E20EAB"/>
    <w:rsid w:val="00E21079"/>
    <w:rsid w:val="00E21759"/>
    <w:rsid w:val="00E21B5F"/>
    <w:rsid w:val="00E22328"/>
    <w:rsid w:val="00E22373"/>
    <w:rsid w:val="00E22FC8"/>
    <w:rsid w:val="00E230A0"/>
    <w:rsid w:val="00E232D7"/>
    <w:rsid w:val="00E2345D"/>
    <w:rsid w:val="00E235B7"/>
    <w:rsid w:val="00E23CBD"/>
    <w:rsid w:val="00E23DD4"/>
    <w:rsid w:val="00E23E1D"/>
    <w:rsid w:val="00E23E1F"/>
    <w:rsid w:val="00E241F5"/>
    <w:rsid w:val="00E24A05"/>
    <w:rsid w:val="00E2518B"/>
    <w:rsid w:val="00E25198"/>
    <w:rsid w:val="00E25CC4"/>
    <w:rsid w:val="00E25D2B"/>
    <w:rsid w:val="00E25D40"/>
    <w:rsid w:val="00E26010"/>
    <w:rsid w:val="00E2603F"/>
    <w:rsid w:val="00E26116"/>
    <w:rsid w:val="00E26307"/>
    <w:rsid w:val="00E2652A"/>
    <w:rsid w:val="00E2683D"/>
    <w:rsid w:val="00E2689B"/>
    <w:rsid w:val="00E269AF"/>
    <w:rsid w:val="00E2726E"/>
    <w:rsid w:val="00E2782B"/>
    <w:rsid w:val="00E27AE1"/>
    <w:rsid w:val="00E27D16"/>
    <w:rsid w:val="00E27D8C"/>
    <w:rsid w:val="00E27DEB"/>
    <w:rsid w:val="00E27F71"/>
    <w:rsid w:val="00E303B1"/>
    <w:rsid w:val="00E30644"/>
    <w:rsid w:val="00E308CB"/>
    <w:rsid w:val="00E30A7D"/>
    <w:rsid w:val="00E31143"/>
    <w:rsid w:val="00E31658"/>
    <w:rsid w:val="00E3192C"/>
    <w:rsid w:val="00E31A95"/>
    <w:rsid w:val="00E32227"/>
    <w:rsid w:val="00E323F9"/>
    <w:rsid w:val="00E3264D"/>
    <w:rsid w:val="00E327F2"/>
    <w:rsid w:val="00E32D8D"/>
    <w:rsid w:val="00E3362E"/>
    <w:rsid w:val="00E336B6"/>
    <w:rsid w:val="00E33775"/>
    <w:rsid w:val="00E33A23"/>
    <w:rsid w:val="00E344C7"/>
    <w:rsid w:val="00E345F8"/>
    <w:rsid w:val="00E346FA"/>
    <w:rsid w:val="00E34ABC"/>
    <w:rsid w:val="00E34C7F"/>
    <w:rsid w:val="00E34D08"/>
    <w:rsid w:val="00E3508B"/>
    <w:rsid w:val="00E3552F"/>
    <w:rsid w:val="00E3566A"/>
    <w:rsid w:val="00E357E6"/>
    <w:rsid w:val="00E35A52"/>
    <w:rsid w:val="00E35BB2"/>
    <w:rsid w:val="00E3662F"/>
    <w:rsid w:val="00E36798"/>
    <w:rsid w:val="00E3701A"/>
    <w:rsid w:val="00E372F3"/>
    <w:rsid w:val="00E372FD"/>
    <w:rsid w:val="00E37A5E"/>
    <w:rsid w:val="00E37A72"/>
    <w:rsid w:val="00E37D9D"/>
    <w:rsid w:val="00E37EB3"/>
    <w:rsid w:val="00E40070"/>
    <w:rsid w:val="00E4013A"/>
    <w:rsid w:val="00E4029B"/>
    <w:rsid w:val="00E405C8"/>
    <w:rsid w:val="00E40600"/>
    <w:rsid w:val="00E4086A"/>
    <w:rsid w:val="00E41547"/>
    <w:rsid w:val="00E4179E"/>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BBE"/>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1C"/>
    <w:rsid w:val="00E518DB"/>
    <w:rsid w:val="00E5264B"/>
    <w:rsid w:val="00E527B7"/>
    <w:rsid w:val="00E527C9"/>
    <w:rsid w:val="00E52A9E"/>
    <w:rsid w:val="00E52E13"/>
    <w:rsid w:val="00E52F4E"/>
    <w:rsid w:val="00E53097"/>
    <w:rsid w:val="00E533CC"/>
    <w:rsid w:val="00E53610"/>
    <w:rsid w:val="00E53A34"/>
    <w:rsid w:val="00E5409C"/>
    <w:rsid w:val="00E54445"/>
    <w:rsid w:val="00E54838"/>
    <w:rsid w:val="00E54A47"/>
    <w:rsid w:val="00E553AA"/>
    <w:rsid w:val="00E55B96"/>
    <w:rsid w:val="00E55D9F"/>
    <w:rsid w:val="00E55E7F"/>
    <w:rsid w:val="00E56EDC"/>
    <w:rsid w:val="00E570BA"/>
    <w:rsid w:val="00E573F9"/>
    <w:rsid w:val="00E57714"/>
    <w:rsid w:val="00E57AC7"/>
    <w:rsid w:val="00E57B25"/>
    <w:rsid w:val="00E57EEE"/>
    <w:rsid w:val="00E60843"/>
    <w:rsid w:val="00E60979"/>
    <w:rsid w:val="00E60998"/>
    <w:rsid w:val="00E60ACF"/>
    <w:rsid w:val="00E60B1E"/>
    <w:rsid w:val="00E60CBA"/>
    <w:rsid w:val="00E61083"/>
    <w:rsid w:val="00E6149F"/>
    <w:rsid w:val="00E61A31"/>
    <w:rsid w:val="00E61A83"/>
    <w:rsid w:val="00E61CD7"/>
    <w:rsid w:val="00E62063"/>
    <w:rsid w:val="00E621C3"/>
    <w:rsid w:val="00E62873"/>
    <w:rsid w:val="00E62D29"/>
    <w:rsid w:val="00E62D6A"/>
    <w:rsid w:val="00E62F3F"/>
    <w:rsid w:val="00E6329B"/>
    <w:rsid w:val="00E63495"/>
    <w:rsid w:val="00E637C0"/>
    <w:rsid w:val="00E63D60"/>
    <w:rsid w:val="00E63E2E"/>
    <w:rsid w:val="00E645E0"/>
    <w:rsid w:val="00E64A9C"/>
    <w:rsid w:val="00E64C33"/>
    <w:rsid w:val="00E64DB8"/>
    <w:rsid w:val="00E64F73"/>
    <w:rsid w:val="00E657AB"/>
    <w:rsid w:val="00E660DE"/>
    <w:rsid w:val="00E66839"/>
    <w:rsid w:val="00E6685C"/>
    <w:rsid w:val="00E669BE"/>
    <w:rsid w:val="00E6732A"/>
    <w:rsid w:val="00E67ABE"/>
    <w:rsid w:val="00E67B9A"/>
    <w:rsid w:val="00E70312"/>
    <w:rsid w:val="00E7035A"/>
    <w:rsid w:val="00E707F5"/>
    <w:rsid w:val="00E7128F"/>
    <w:rsid w:val="00E71D15"/>
    <w:rsid w:val="00E71FBE"/>
    <w:rsid w:val="00E72270"/>
    <w:rsid w:val="00E7245F"/>
    <w:rsid w:val="00E725A5"/>
    <w:rsid w:val="00E727B5"/>
    <w:rsid w:val="00E729B1"/>
    <w:rsid w:val="00E72B47"/>
    <w:rsid w:val="00E72E0D"/>
    <w:rsid w:val="00E730FC"/>
    <w:rsid w:val="00E737EF"/>
    <w:rsid w:val="00E73D4F"/>
    <w:rsid w:val="00E73D60"/>
    <w:rsid w:val="00E74097"/>
    <w:rsid w:val="00E74C3B"/>
    <w:rsid w:val="00E74DFC"/>
    <w:rsid w:val="00E74E47"/>
    <w:rsid w:val="00E74FB8"/>
    <w:rsid w:val="00E75512"/>
    <w:rsid w:val="00E758A5"/>
    <w:rsid w:val="00E758B1"/>
    <w:rsid w:val="00E75B75"/>
    <w:rsid w:val="00E75B76"/>
    <w:rsid w:val="00E75D6E"/>
    <w:rsid w:val="00E75DED"/>
    <w:rsid w:val="00E75E36"/>
    <w:rsid w:val="00E75EFF"/>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83C"/>
    <w:rsid w:val="00E77963"/>
    <w:rsid w:val="00E77B9D"/>
    <w:rsid w:val="00E77F51"/>
    <w:rsid w:val="00E77FC7"/>
    <w:rsid w:val="00E80191"/>
    <w:rsid w:val="00E80336"/>
    <w:rsid w:val="00E80998"/>
    <w:rsid w:val="00E80A2B"/>
    <w:rsid w:val="00E80DEE"/>
    <w:rsid w:val="00E818A2"/>
    <w:rsid w:val="00E81B0C"/>
    <w:rsid w:val="00E8202E"/>
    <w:rsid w:val="00E82043"/>
    <w:rsid w:val="00E82BA7"/>
    <w:rsid w:val="00E82E1F"/>
    <w:rsid w:val="00E82F35"/>
    <w:rsid w:val="00E82F7B"/>
    <w:rsid w:val="00E83192"/>
    <w:rsid w:val="00E8321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49B"/>
    <w:rsid w:val="00E87987"/>
    <w:rsid w:val="00E87E30"/>
    <w:rsid w:val="00E87F8A"/>
    <w:rsid w:val="00E87FCD"/>
    <w:rsid w:val="00E9027F"/>
    <w:rsid w:val="00E903A8"/>
    <w:rsid w:val="00E90B6F"/>
    <w:rsid w:val="00E911C0"/>
    <w:rsid w:val="00E9122F"/>
    <w:rsid w:val="00E918E6"/>
    <w:rsid w:val="00E91C58"/>
    <w:rsid w:val="00E924EC"/>
    <w:rsid w:val="00E9250C"/>
    <w:rsid w:val="00E9297C"/>
    <w:rsid w:val="00E92994"/>
    <w:rsid w:val="00E92C77"/>
    <w:rsid w:val="00E92C99"/>
    <w:rsid w:val="00E9301C"/>
    <w:rsid w:val="00E93D36"/>
    <w:rsid w:val="00E93D5D"/>
    <w:rsid w:val="00E940DB"/>
    <w:rsid w:val="00E94310"/>
    <w:rsid w:val="00E94659"/>
    <w:rsid w:val="00E94A6A"/>
    <w:rsid w:val="00E94E27"/>
    <w:rsid w:val="00E9529C"/>
    <w:rsid w:val="00E957F8"/>
    <w:rsid w:val="00E95B5A"/>
    <w:rsid w:val="00E95BEC"/>
    <w:rsid w:val="00E96231"/>
    <w:rsid w:val="00E968E3"/>
    <w:rsid w:val="00E96997"/>
    <w:rsid w:val="00E96A58"/>
    <w:rsid w:val="00E96B5F"/>
    <w:rsid w:val="00E96F5D"/>
    <w:rsid w:val="00E96FFE"/>
    <w:rsid w:val="00E97660"/>
    <w:rsid w:val="00E977CB"/>
    <w:rsid w:val="00E97B57"/>
    <w:rsid w:val="00E97D3C"/>
    <w:rsid w:val="00EA0256"/>
    <w:rsid w:val="00EA03CF"/>
    <w:rsid w:val="00EA0505"/>
    <w:rsid w:val="00EA08C9"/>
    <w:rsid w:val="00EA0971"/>
    <w:rsid w:val="00EA0A06"/>
    <w:rsid w:val="00EA1051"/>
    <w:rsid w:val="00EA1512"/>
    <w:rsid w:val="00EA1872"/>
    <w:rsid w:val="00EA1A2B"/>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0DD"/>
    <w:rsid w:val="00EA5512"/>
    <w:rsid w:val="00EA5834"/>
    <w:rsid w:val="00EA5972"/>
    <w:rsid w:val="00EA5DCA"/>
    <w:rsid w:val="00EA60D6"/>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7F8"/>
    <w:rsid w:val="00EB1BB4"/>
    <w:rsid w:val="00EB202D"/>
    <w:rsid w:val="00EB23A1"/>
    <w:rsid w:val="00EB2476"/>
    <w:rsid w:val="00EB2C4E"/>
    <w:rsid w:val="00EB2C70"/>
    <w:rsid w:val="00EB2F70"/>
    <w:rsid w:val="00EB30BF"/>
    <w:rsid w:val="00EB32C0"/>
    <w:rsid w:val="00EB476C"/>
    <w:rsid w:val="00EB47A7"/>
    <w:rsid w:val="00EB47E3"/>
    <w:rsid w:val="00EB47F0"/>
    <w:rsid w:val="00EB5080"/>
    <w:rsid w:val="00EB5850"/>
    <w:rsid w:val="00EB599B"/>
    <w:rsid w:val="00EB6474"/>
    <w:rsid w:val="00EB6747"/>
    <w:rsid w:val="00EB71AB"/>
    <w:rsid w:val="00EB721B"/>
    <w:rsid w:val="00EB73A7"/>
    <w:rsid w:val="00EB7516"/>
    <w:rsid w:val="00EB753F"/>
    <w:rsid w:val="00EB76A2"/>
    <w:rsid w:val="00EB7966"/>
    <w:rsid w:val="00EB79F8"/>
    <w:rsid w:val="00EC0038"/>
    <w:rsid w:val="00EC0567"/>
    <w:rsid w:val="00EC06EB"/>
    <w:rsid w:val="00EC092F"/>
    <w:rsid w:val="00EC0BC9"/>
    <w:rsid w:val="00EC0D48"/>
    <w:rsid w:val="00EC0E0A"/>
    <w:rsid w:val="00EC1110"/>
    <w:rsid w:val="00EC1575"/>
    <w:rsid w:val="00EC18BB"/>
    <w:rsid w:val="00EC1948"/>
    <w:rsid w:val="00EC1AAA"/>
    <w:rsid w:val="00EC1BDB"/>
    <w:rsid w:val="00EC2451"/>
    <w:rsid w:val="00EC26D0"/>
    <w:rsid w:val="00EC2729"/>
    <w:rsid w:val="00EC2846"/>
    <w:rsid w:val="00EC2888"/>
    <w:rsid w:val="00EC29A2"/>
    <w:rsid w:val="00EC2EB5"/>
    <w:rsid w:val="00EC357A"/>
    <w:rsid w:val="00EC3861"/>
    <w:rsid w:val="00EC3D93"/>
    <w:rsid w:val="00EC4079"/>
    <w:rsid w:val="00EC422F"/>
    <w:rsid w:val="00EC4242"/>
    <w:rsid w:val="00EC424D"/>
    <w:rsid w:val="00EC432F"/>
    <w:rsid w:val="00EC4C0F"/>
    <w:rsid w:val="00EC51A6"/>
    <w:rsid w:val="00EC5358"/>
    <w:rsid w:val="00EC5F54"/>
    <w:rsid w:val="00EC6542"/>
    <w:rsid w:val="00EC65A4"/>
    <w:rsid w:val="00EC6C08"/>
    <w:rsid w:val="00EC714A"/>
    <w:rsid w:val="00EC7750"/>
    <w:rsid w:val="00EC7767"/>
    <w:rsid w:val="00EC79EA"/>
    <w:rsid w:val="00EC7E9A"/>
    <w:rsid w:val="00ED018F"/>
    <w:rsid w:val="00ED04B3"/>
    <w:rsid w:val="00ED04D3"/>
    <w:rsid w:val="00ED0577"/>
    <w:rsid w:val="00ED0AD2"/>
    <w:rsid w:val="00ED0C6E"/>
    <w:rsid w:val="00ED0E48"/>
    <w:rsid w:val="00ED10A7"/>
    <w:rsid w:val="00ED16DD"/>
    <w:rsid w:val="00ED20D3"/>
    <w:rsid w:val="00ED20E2"/>
    <w:rsid w:val="00ED21E1"/>
    <w:rsid w:val="00ED22A3"/>
    <w:rsid w:val="00ED2F02"/>
    <w:rsid w:val="00ED3CC7"/>
    <w:rsid w:val="00ED3D1A"/>
    <w:rsid w:val="00ED4688"/>
    <w:rsid w:val="00ED4858"/>
    <w:rsid w:val="00ED5074"/>
    <w:rsid w:val="00ED57DC"/>
    <w:rsid w:val="00ED5B66"/>
    <w:rsid w:val="00ED5FD4"/>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74B"/>
    <w:rsid w:val="00EE1B14"/>
    <w:rsid w:val="00EE1D5F"/>
    <w:rsid w:val="00EE1DC3"/>
    <w:rsid w:val="00EE21F2"/>
    <w:rsid w:val="00EE2692"/>
    <w:rsid w:val="00EE35C6"/>
    <w:rsid w:val="00EE3632"/>
    <w:rsid w:val="00EE368C"/>
    <w:rsid w:val="00EE3C25"/>
    <w:rsid w:val="00EE41D9"/>
    <w:rsid w:val="00EE4673"/>
    <w:rsid w:val="00EE5755"/>
    <w:rsid w:val="00EE5A39"/>
    <w:rsid w:val="00EE614D"/>
    <w:rsid w:val="00EE6710"/>
    <w:rsid w:val="00EE75DB"/>
    <w:rsid w:val="00EE7A74"/>
    <w:rsid w:val="00EE7C1C"/>
    <w:rsid w:val="00EE7CFB"/>
    <w:rsid w:val="00EF0141"/>
    <w:rsid w:val="00EF0187"/>
    <w:rsid w:val="00EF040D"/>
    <w:rsid w:val="00EF0456"/>
    <w:rsid w:val="00EF06D1"/>
    <w:rsid w:val="00EF07B1"/>
    <w:rsid w:val="00EF0BB6"/>
    <w:rsid w:val="00EF0DA4"/>
    <w:rsid w:val="00EF10E9"/>
    <w:rsid w:val="00EF1559"/>
    <w:rsid w:val="00EF1816"/>
    <w:rsid w:val="00EF1E69"/>
    <w:rsid w:val="00EF22D8"/>
    <w:rsid w:val="00EF2320"/>
    <w:rsid w:val="00EF2480"/>
    <w:rsid w:val="00EF253D"/>
    <w:rsid w:val="00EF26D7"/>
    <w:rsid w:val="00EF26EC"/>
    <w:rsid w:val="00EF2A49"/>
    <w:rsid w:val="00EF2DBE"/>
    <w:rsid w:val="00EF2E63"/>
    <w:rsid w:val="00EF3819"/>
    <w:rsid w:val="00EF3D04"/>
    <w:rsid w:val="00EF3D80"/>
    <w:rsid w:val="00EF3E62"/>
    <w:rsid w:val="00EF3F3C"/>
    <w:rsid w:val="00EF410B"/>
    <w:rsid w:val="00EF41DA"/>
    <w:rsid w:val="00EF45CA"/>
    <w:rsid w:val="00EF4A60"/>
    <w:rsid w:val="00EF53B4"/>
    <w:rsid w:val="00EF551D"/>
    <w:rsid w:val="00EF5AA8"/>
    <w:rsid w:val="00EF5EED"/>
    <w:rsid w:val="00EF6357"/>
    <w:rsid w:val="00EF658E"/>
    <w:rsid w:val="00EF6811"/>
    <w:rsid w:val="00EF6E1A"/>
    <w:rsid w:val="00EF6E6C"/>
    <w:rsid w:val="00EF6F1B"/>
    <w:rsid w:val="00EF6F42"/>
    <w:rsid w:val="00EF78DC"/>
    <w:rsid w:val="00EF79FA"/>
    <w:rsid w:val="00EF7EA6"/>
    <w:rsid w:val="00EF7FC0"/>
    <w:rsid w:val="00F00109"/>
    <w:rsid w:val="00F0028B"/>
    <w:rsid w:val="00F0068A"/>
    <w:rsid w:val="00F00752"/>
    <w:rsid w:val="00F008E3"/>
    <w:rsid w:val="00F00998"/>
    <w:rsid w:val="00F009E6"/>
    <w:rsid w:val="00F00B50"/>
    <w:rsid w:val="00F00CA7"/>
    <w:rsid w:val="00F013F8"/>
    <w:rsid w:val="00F01412"/>
    <w:rsid w:val="00F015EA"/>
    <w:rsid w:val="00F01823"/>
    <w:rsid w:val="00F01951"/>
    <w:rsid w:val="00F01B44"/>
    <w:rsid w:val="00F01FE8"/>
    <w:rsid w:val="00F0221E"/>
    <w:rsid w:val="00F0233A"/>
    <w:rsid w:val="00F02712"/>
    <w:rsid w:val="00F02869"/>
    <w:rsid w:val="00F02E74"/>
    <w:rsid w:val="00F03AF3"/>
    <w:rsid w:val="00F04032"/>
    <w:rsid w:val="00F042F3"/>
    <w:rsid w:val="00F0438C"/>
    <w:rsid w:val="00F043B9"/>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0788A"/>
    <w:rsid w:val="00F07B76"/>
    <w:rsid w:val="00F10F9E"/>
    <w:rsid w:val="00F11011"/>
    <w:rsid w:val="00F11081"/>
    <w:rsid w:val="00F1112F"/>
    <w:rsid w:val="00F111E2"/>
    <w:rsid w:val="00F11392"/>
    <w:rsid w:val="00F11794"/>
    <w:rsid w:val="00F117B0"/>
    <w:rsid w:val="00F11BF1"/>
    <w:rsid w:val="00F11D3B"/>
    <w:rsid w:val="00F11ECE"/>
    <w:rsid w:val="00F1200B"/>
    <w:rsid w:val="00F123C8"/>
    <w:rsid w:val="00F12C97"/>
    <w:rsid w:val="00F12E78"/>
    <w:rsid w:val="00F14603"/>
    <w:rsid w:val="00F14635"/>
    <w:rsid w:val="00F149C0"/>
    <w:rsid w:val="00F149D8"/>
    <w:rsid w:val="00F15330"/>
    <w:rsid w:val="00F154C8"/>
    <w:rsid w:val="00F1574D"/>
    <w:rsid w:val="00F1587F"/>
    <w:rsid w:val="00F15F98"/>
    <w:rsid w:val="00F160CF"/>
    <w:rsid w:val="00F160DC"/>
    <w:rsid w:val="00F1635F"/>
    <w:rsid w:val="00F163B1"/>
    <w:rsid w:val="00F16407"/>
    <w:rsid w:val="00F16E18"/>
    <w:rsid w:val="00F17312"/>
    <w:rsid w:val="00F1739E"/>
    <w:rsid w:val="00F1775E"/>
    <w:rsid w:val="00F17869"/>
    <w:rsid w:val="00F17876"/>
    <w:rsid w:val="00F17B64"/>
    <w:rsid w:val="00F17C61"/>
    <w:rsid w:val="00F20433"/>
    <w:rsid w:val="00F20470"/>
    <w:rsid w:val="00F208BF"/>
    <w:rsid w:val="00F20960"/>
    <w:rsid w:val="00F21024"/>
    <w:rsid w:val="00F21808"/>
    <w:rsid w:val="00F2192A"/>
    <w:rsid w:val="00F21C1D"/>
    <w:rsid w:val="00F21FD6"/>
    <w:rsid w:val="00F2243C"/>
    <w:rsid w:val="00F229FA"/>
    <w:rsid w:val="00F22A82"/>
    <w:rsid w:val="00F22F8A"/>
    <w:rsid w:val="00F23396"/>
    <w:rsid w:val="00F233BB"/>
    <w:rsid w:val="00F233BD"/>
    <w:rsid w:val="00F235DD"/>
    <w:rsid w:val="00F24111"/>
    <w:rsid w:val="00F24117"/>
    <w:rsid w:val="00F24186"/>
    <w:rsid w:val="00F24309"/>
    <w:rsid w:val="00F24374"/>
    <w:rsid w:val="00F24A17"/>
    <w:rsid w:val="00F24A47"/>
    <w:rsid w:val="00F251CD"/>
    <w:rsid w:val="00F2541D"/>
    <w:rsid w:val="00F25428"/>
    <w:rsid w:val="00F255D2"/>
    <w:rsid w:val="00F25B0E"/>
    <w:rsid w:val="00F260C9"/>
    <w:rsid w:val="00F26CCB"/>
    <w:rsid w:val="00F26CED"/>
    <w:rsid w:val="00F26EB6"/>
    <w:rsid w:val="00F2772F"/>
    <w:rsid w:val="00F27814"/>
    <w:rsid w:val="00F301C3"/>
    <w:rsid w:val="00F30402"/>
    <w:rsid w:val="00F306C2"/>
    <w:rsid w:val="00F307FD"/>
    <w:rsid w:val="00F30DA5"/>
    <w:rsid w:val="00F31350"/>
    <w:rsid w:val="00F3178D"/>
    <w:rsid w:val="00F317E7"/>
    <w:rsid w:val="00F31973"/>
    <w:rsid w:val="00F32075"/>
    <w:rsid w:val="00F320C3"/>
    <w:rsid w:val="00F3211B"/>
    <w:rsid w:val="00F32219"/>
    <w:rsid w:val="00F323AA"/>
    <w:rsid w:val="00F3260D"/>
    <w:rsid w:val="00F3279F"/>
    <w:rsid w:val="00F328C4"/>
    <w:rsid w:val="00F3297B"/>
    <w:rsid w:val="00F32C94"/>
    <w:rsid w:val="00F32E74"/>
    <w:rsid w:val="00F3364C"/>
    <w:rsid w:val="00F33EFE"/>
    <w:rsid w:val="00F3461A"/>
    <w:rsid w:val="00F34636"/>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BEB"/>
    <w:rsid w:val="00F41E14"/>
    <w:rsid w:val="00F41E65"/>
    <w:rsid w:val="00F423D6"/>
    <w:rsid w:val="00F425AD"/>
    <w:rsid w:val="00F427A4"/>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32B"/>
    <w:rsid w:val="00F45622"/>
    <w:rsid w:val="00F45883"/>
    <w:rsid w:val="00F45A5B"/>
    <w:rsid w:val="00F45AD4"/>
    <w:rsid w:val="00F45E4E"/>
    <w:rsid w:val="00F45F37"/>
    <w:rsid w:val="00F4683F"/>
    <w:rsid w:val="00F46D44"/>
    <w:rsid w:val="00F46DD8"/>
    <w:rsid w:val="00F477A5"/>
    <w:rsid w:val="00F479F7"/>
    <w:rsid w:val="00F47BA0"/>
    <w:rsid w:val="00F47C4B"/>
    <w:rsid w:val="00F50368"/>
    <w:rsid w:val="00F50371"/>
    <w:rsid w:val="00F5083C"/>
    <w:rsid w:val="00F509DC"/>
    <w:rsid w:val="00F50A94"/>
    <w:rsid w:val="00F51188"/>
    <w:rsid w:val="00F51B70"/>
    <w:rsid w:val="00F51DAE"/>
    <w:rsid w:val="00F51E78"/>
    <w:rsid w:val="00F5272D"/>
    <w:rsid w:val="00F52867"/>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6B2"/>
    <w:rsid w:val="00F6371E"/>
    <w:rsid w:val="00F637A0"/>
    <w:rsid w:val="00F63B54"/>
    <w:rsid w:val="00F63BF0"/>
    <w:rsid w:val="00F63F69"/>
    <w:rsid w:val="00F64222"/>
    <w:rsid w:val="00F642C8"/>
    <w:rsid w:val="00F64B5B"/>
    <w:rsid w:val="00F64E25"/>
    <w:rsid w:val="00F652D5"/>
    <w:rsid w:val="00F653CC"/>
    <w:rsid w:val="00F655D0"/>
    <w:rsid w:val="00F65691"/>
    <w:rsid w:val="00F6622A"/>
    <w:rsid w:val="00F66251"/>
    <w:rsid w:val="00F66590"/>
    <w:rsid w:val="00F6687B"/>
    <w:rsid w:val="00F66A92"/>
    <w:rsid w:val="00F66FE3"/>
    <w:rsid w:val="00F673F2"/>
    <w:rsid w:val="00F675C3"/>
    <w:rsid w:val="00F67827"/>
    <w:rsid w:val="00F67A2D"/>
    <w:rsid w:val="00F67BF1"/>
    <w:rsid w:val="00F67C54"/>
    <w:rsid w:val="00F70095"/>
    <w:rsid w:val="00F70A23"/>
    <w:rsid w:val="00F71396"/>
    <w:rsid w:val="00F713C1"/>
    <w:rsid w:val="00F71661"/>
    <w:rsid w:val="00F71C4E"/>
    <w:rsid w:val="00F71EFF"/>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B66"/>
    <w:rsid w:val="00F75DF4"/>
    <w:rsid w:val="00F7605B"/>
    <w:rsid w:val="00F76104"/>
    <w:rsid w:val="00F76668"/>
    <w:rsid w:val="00F76974"/>
    <w:rsid w:val="00F76E1D"/>
    <w:rsid w:val="00F76FDD"/>
    <w:rsid w:val="00F7733B"/>
    <w:rsid w:val="00F77654"/>
    <w:rsid w:val="00F77746"/>
    <w:rsid w:val="00F77B23"/>
    <w:rsid w:val="00F80C37"/>
    <w:rsid w:val="00F81256"/>
    <w:rsid w:val="00F81462"/>
    <w:rsid w:val="00F81475"/>
    <w:rsid w:val="00F8147B"/>
    <w:rsid w:val="00F81563"/>
    <w:rsid w:val="00F81ADC"/>
    <w:rsid w:val="00F81D85"/>
    <w:rsid w:val="00F81E9F"/>
    <w:rsid w:val="00F8201E"/>
    <w:rsid w:val="00F82430"/>
    <w:rsid w:val="00F82506"/>
    <w:rsid w:val="00F82763"/>
    <w:rsid w:val="00F827E5"/>
    <w:rsid w:val="00F82E4A"/>
    <w:rsid w:val="00F8385D"/>
    <w:rsid w:val="00F8426F"/>
    <w:rsid w:val="00F84412"/>
    <w:rsid w:val="00F849F7"/>
    <w:rsid w:val="00F84AE3"/>
    <w:rsid w:val="00F84F4F"/>
    <w:rsid w:val="00F8507F"/>
    <w:rsid w:val="00F851AF"/>
    <w:rsid w:val="00F8534F"/>
    <w:rsid w:val="00F8553E"/>
    <w:rsid w:val="00F855A4"/>
    <w:rsid w:val="00F85F20"/>
    <w:rsid w:val="00F85FE0"/>
    <w:rsid w:val="00F862B7"/>
    <w:rsid w:val="00F86606"/>
    <w:rsid w:val="00F86AA6"/>
    <w:rsid w:val="00F86BD2"/>
    <w:rsid w:val="00F870FD"/>
    <w:rsid w:val="00F872A3"/>
    <w:rsid w:val="00F8753E"/>
    <w:rsid w:val="00F87960"/>
    <w:rsid w:val="00F87CE2"/>
    <w:rsid w:val="00F90162"/>
    <w:rsid w:val="00F90D93"/>
    <w:rsid w:val="00F91842"/>
    <w:rsid w:val="00F91A92"/>
    <w:rsid w:val="00F91B11"/>
    <w:rsid w:val="00F91B69"/>
    <w:rsid w:val="00F91D50"/>
    <w:rsid w:val="00F9223A"/>
    <w:rsid w:val="00F92573"/>
    <w:rsid w:val="00F926B6"/>
    <w:rsid w:val="00F92B6C"/>
    <w:rsid w:val="00F932A9"/>
    <w:rsid w:val="00F937FA"/>
    <w:rsid w:val="00F93A1C"/>
    <w:rsid w:val="00F93EDC"/>
    <w:rsid w:val="00F93FFC"/>
    <w:rsid w:val="00F94127"/>
    <w:rsid w:val="00F941F6"/>
    <w:rsid w:val="00F9445B"/>
    <w:rsid w:val="00F94EF2"/>
    <w:rsid w:val="00F95022"/>
    <w:rsid w:val="00F95216"/>
    <w:rsid w:val="00F953BD"/>
    <w:rsid w:val="00F95609"/>
    <w:rsid w:val="00F95A1F"/>
    <w:rsid w:val="00F95D16"/>
    <w:rsid w:val="00F95DFF"/>
    <w:rsid w:val="00F95F37"/>
    <w:rsid w:val="00F96308"/>
    <w:rsid w:val="00F9690D"/>
    <w:rsid w:val="00F96984"/>
    <w:rsid w:val="00F96D9C"/>
    <w:rsid w:val="00F96F7A"/>
    <w:rsid w:val="00F9732B"/>
    <w:rsid w:val="00F973AF"/>
    <w:rsid w:val="00F978E1"/>
    <w:rsid w:val="00F97B76"/>
    <w:rsid w:val="00F97BB7"/>
    <w:rsid w:val="00F97C1D"/>
    <w:rsid w:val="00F97CD2"/>
    <w:rsid w:val="00F97E15"/>
    <w:rsid w:val="00FA0496"/>
    <w:rsid w:val="00FA0780"/>
    <w:rsid w:val="00FA0B5E"/>
    <w:rsid w:val="00FA130A"/>
    <w:rsid w:val="00FA1CAA"/>
    <w:rsid w:val="00FA1CED"/>
    <w:rsid w:val="00FA3120"/>
    <w:rsid w:val="00FA3578"/>
    <w:rsid w:val="00FA372B"/>
    <w:rsid w:val="00FA37E5"/>
    <w:rsid w:val="00FA38D7"/>
    <w:rsid w:val="00FA3B22"/>
    <w:rsid w:val="00FA3B32"/>
    <w:rsid w:val="00FA44F4"/>
    <w:rsid w:val="00FA45B2"/>
    <w:rsid w:val="00FA486B"/>
    <w:rsid w:val="00FA5167"/>
    <w:rsid w:val="00FA5762"/>
    <w:rsid w:val="00FA5BCB"/>
    <w:rsid w:val="00FA62E1"/>
    <w:rsid w:val="00FA6876"/>
    <w:rsid w:val="00FA6AC6"/>
    <w:rsid w:val="00FA6D4B"/>
    <w:rsid w:val="00FA6EE7"/>
    <w:rsid w:val="00FA6EF2"/>
    <w:rsid w:val="00FA72D0"/>
    <w:rsid w:val="00FA7451"/>
    <w:rsid w:val="00FA796D"/>
    <w:rsid w:val="00FB00A1"/>
    <w:rsid w:val="00FB0457"/>
    <w:rsid w:val="00FB09F4"/>
    <w:rsid w:val="00FB0C59"/>
    <w:rsid w:val="00FB0DAF"/>
    <w:rsid w:val="00FB12FA"/>
    <w:rsid w:val="00FB135C"/>
    <w:rsid w:val="00FB136C"/>
    <w:rsid w:val="00FB1B2F"/>
    <w:rsid w:val="00FB1F66"/>
    <w:rsid w:val="00FB2175"/>
    <w:rsid w:val="00FB22E2"/>
    <w:rsid w:val="00FB2A92"/>
    <w:rsid w:val="00FB2C42"/>
    <w:rsid w:val="00FB2F77"/>
    <w:rsid w:val="00FB329B"/>
    <w:rsid w:val="00FB407A"/>
    <w:rsid w:val="00FB418B"/>
    <w:rsid w:val="00FB42D0"/>
    <w:rsid w:val="00FB448E"/>
    <w:rsid w:val="00FB4575"/>
    <w:rsid w:val="00FB45A9"/>
    <w:rsid w:val="00FB4753"/>
    <w:rsid w:val="00FB4CF3"/>
    <w:rsid w:val="00FB4EFF"/>
    <w:rsid w:val="00FB55F6"/>
    <w:rsid w:val="00FB5937"/>
    <w:rsid w:val="00FB5BD9"/>
    <w:rsid w:val="00FB5ED4"/>
    <w:rsid w:val="00FB6A04"/>
    <w:rsid w:val="00FB6E91"/>
    <w:rsid w:val="00FB71A0"/>
    <w:rsid w:val="00FB7388"/>
    <w:rsid w:val="00FB7646"/>
    <w:rsid w:val="00FB7BFF"/>
    <w:rsid w:val="00FB7C32"/>
    <w:rsid w:val="00FB7E8D"/>
    <w:rsid w:val="00FB7FFD"/>
    <w:rsid w:val="00FC01FB"/>
    <w:rsid w:val="00FC025D"/>
    <w:rsid w:val="00FC0513"/>
    <w:rsid w:val="00FC078E"/>
    <w:rsid w:val="00FC114C"/>
    <w:rsid w:val="00FC15FD"/>
    <w:rsid w:val="00FC1BEB"/>
    <w:rsid w:val="00FC2013"/>
    <w:rsid w:val="00FC2529"/>
    <w:rsid w:val="00FC2693"/>
    <w:rsid w:val="00FC2FC5"/>
    <w:rsid w:val="00FC310B"/>
    <w:rsid w:val="00FC356D"/>
    <w:rsid w:val="00FC36A9"/>
    <w:rsid w:val="00FC36B6"/>
    <w:rsid w:val="00FC38ED"/>
    <w:rsid w:val="00FC3D0B"/>
    <w:rsid w:val="00FC3FAB"/>
    <w:rsid w:val="00FC4597"/>
    <w:rsid w:val="00FC4617"/>
    <w:rsid w:val="00FC4C6B"/>
    <w:rsid w:val="00FC4EEF"/>
    <w:rsid w:val="00FC585C"/>
    <w:rsid w:val="00FC591B"/>
    <w:rsid w:val="00FC5A1D"/>
    <w:rsid w:val="00FC5EEA"/>
    <w:rsid w:val="00FC5FC3"/>
    <w:rsid w:val="00FC6175"/>
    <w:rsid w:val="00FC62C7"/>
    <w:rsid w:val="00FC6631"/>
    <w:rsid w:val="00FC6851"/>
    <w:rsid w:val="00FC6896"/>
    <w:rsid w:val="00FC6C23"/>
    <w:rsid w:val="00FC6D10"/>
    <w:rsid w:val="00FC6D4C"/>
    <w:rsid w:val="00FC71FA"/>
    <w:rsid w:val="00FC7243"/>
    <w:rsid w:val="00FC743C"/>
    <w:rsid w:val="00FC7682"/>
    <w:rsid w:val="00FC7708"/>
    <w:rsid w:val="00FD0405"/>
    <w:rsid w:val="00FD0600"/>
    <w:rsid w:val="00FD0782"/>
    <w:rsid w:val="00FD089A"/>
    <w:rsid w:val="00FD0A9C"/>
    <w:rsid w:val="00FD0D74"/>
    <w:rsid w:val="00FD0ECE"/>
    <w:rsid w:val="00FD1287"/>
    <w:rsid w:val="00FD16D5"/>
    <w:rsid w:val="00FD1BA7"/>
    <w:rsid w:val="00FD23E7"/>
    <w:rsid w:val="00FD27DF"/>
    <w:rsid w:val="00FD2EC0"/>
    <w:rsid w:val="00FD2FFE"/>
    <w:rsid w:val="00FD3510"/>
    <w:rsid w:val="00FD3C23"/>
    <w:rsid w:val="00FD40CB"/>
    <w:rsid w:val="00FD4358"/>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643"/>
    <w:rsid w:val="00FE1665"/>
    <w:rsid w:val="00FE1D1C"/>
    <w:rsid w:val="00FE1EA1"/>
    <w:rsid w:val="00FE200B"/>
    <w:rsid w:val="00FE2034"/>
    <w:rsid w:val="00FE20D5"/>
    <w:rsid w:val="00FE243B"/>
    <w:rsid w:val="00FE2A9D"/>
    <w:rsid w:val="00FE2B06"/>
    <w:rsid w:val="00FE3337"/>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B07"/>
    <w:rsid w:val="00FE6E5B"/>
    <w:rsid w:val="00FE728C"/>
    <w:rsid w:val="00FE72C8"/>
    <w:rsid w:val="00FE72E8"/>
    <w:rsid w:val="00FE7F7F"/>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5EF8"/>
    <w:rsid w:val="00FF6044"/>
    <w:rsid w:val="00FF636F"/>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51">
      <w:bodyDiv w:val="1"/>
      <w:marLeft w:val="30"/>
      <w:marRight w:val="30"/>
      <w:marTop w:val="0"/>
      <w:marBottom w:val="0"/>
      <w:divBdr>
        <w:top w:val="none" w:sz="0" w:space="0" w:color="auto"/>
        <w:left w:val="none" w:sz="0" w:space="0" w:color="auto"/>
        <w:bottom w:val="none" w:sz="0" w:space="0" w:color="auto"/>
        <w:right w:val="none" w:sz="0" w:space="0" w:color="auto"/>
      </w:divBdr>
      <w:divsChild>
        <w:div w:id="957108967">
          <w:marLeft w:val="0"/>
          <w:marRight w:val="0"/>
          <w:marTop w:val="0"/>
          <w:marBottom w:val="0"/>
          <w:divBdr>
            <w:top w:val="none" w:sz="0" w:space="0" w:color="auto"/>
            <w:left w:val="none" w:sz="0" w:space="0" w:color="auto"/>
            <w:bottom w:val="none" w:sz="0" w:space="0" w:color="auto"/>
            <w:right w:val="none" w:sz="0" w:space="0" w:color="auto"/>
          </w:divBdr>
          <w:divsChild>
            <w:div w:id="1823034388">
              <w:marLeft w:val="0"/>
              <w:marRight w:val="0"/>
              <w:marTop w:val="0"/>
              <w:marBottom w:val="0"/>
              <w:divBdr>
                <w:top w:val="none" w:sz="0" w:space="0" w:color="auto"/>
                <w:left w:val="none" w:sz="0" w:space="0" w:color="auto"/>
                <w:bottom w:val="none" w:sz="0" w:space="0" w:color="auto"/>
                <w:right w:val="none" w:sz="0" w:space="0" w:color="auto"/>
              </w:divBdr>
              <w:divsChild>
                <w:div w:id="644702901">
                  <w:marLeft w:val="180"/>
                  <w:marRight w:val="0"/>
                  <w:marTop w:val="0"/>
                  <w:marBottom w:val="0"/>
                  <w:divBdr>
                    <w:top w:val="none" w:sz="0" w:space="0" w:color="auto"/>
                    <w:left w:val="none" w:sz="0" w:space="0" w:color="auto"/>
                    <w:bottom w:val="none" w:sz="0" w:space="0" w:color="auto"/>
                    <w:right w:val="none" w:sz="0" w:space="0" w:color="auto"/>
                  </w:divBdr>
                  <w:divsChild>
                    <w:div w:id="201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89940874">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55048915">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82130055">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9107">
      <w:bodyDiv w:val="1"/>
      <w:marLeft w:val="0"/>
      <w:marRight w:val="0"/>
      <w:marTop w:val="0"/>
      <w:marBottom w:val="0"/>
      <w:divBdr>
        <w:top w:val="none" w:sz="0" w:space="0" w:color="auto"/>
        <w:left w:val="none" w:sz="0" w:space="0" w:color="auto"/>
        <w:bottom w:val="none" w:sz="0" w:space="0" w:color="auto"/>
        <w:right w:val="none" w:sz="0" w:space="0" w:color="auto"/>
      </w:divBdr>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321036834">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28170460">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 w:id="2143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oleObject" Target="file:///\\romulus\ECD_PRO$\JEFG\2014\March\NAFF\JEFG%20Report\DAT%20-%20NAFF%20-%20Mining%20and%20non%20mining%20investment.xlsx!Chart!%5bDAT%20-%20NAFF%20-%20Mining%20and%20non%20mining%20investment.xlsx%5dChart%20Chart%201" TargetMode="External"/><Relationship Id="rId21" Type="http://schemas.openxmlformats.org/officeDocument/2006/relationships/image" Target="media/image5.emf"/><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file:///\\romulus\ECD_PRO$\JEFG\2014\March\NAFF\JEFG%20Report\DAT%20-%20LAB%20-%20Une%20and%20part%20rate.xlsx!Chart!%5bDAT%20-%20LAB%20-%20Une%20and%20part%20rate.xlsx%5dChart%20Chart%202" TargetMode="External"/><Relationship Id="rId50" Type="http://schemas.openxmlformats.org/officeDocument/2006/relationships/image" Target="media/image18.emf"/><Relationship Id="rId55" Type="http://schemas.openxmlformats.org/officeDocument/2006/relationships/oleObject" Target="file:///\\romulus\ECD_PRO$\JEFG\2014\March\NAFF\JEFG%20Report\DAT%20-%20Confidence%20intervals%20-%20GTMZ%20-%20Budget%20Round.xls!Chart!%5bDAT%20-%20Confidence%20intervals%20-%20GTMZ%20-%20Budget%20Round.xls%5dChart%20Chart%202" TargetMode="External"/><Relationship Id="rId63" Type="http://schemas.openxmlformats.org/officeDocument/2006/relationships/image" Target="media/image23.emf"/><Relationship Id="rId68" Type="http://schemas.openxmlformats.org/officeDocument/2006/relationships/oleObject" Target="file:///\\romulus\ECD_PRO$\JEFG\2014\March\NAFF\JEFG%20Report\DAT%20-%20NAFF%20-%20Comparison%20with%20consensus%20-%20Bloomberg.xlsx!Unemployment%20rate!%5bDAT%20-%20NAFF%20-%20Comparison%20with%20consensus%20-%20Bloomberg.xlsx%5dUnemployment%20rate%20Chart%204" TargetMode="External"/><Relationship Id="rId76" Type="http://schemas.openxmlformats.org/officeDocument/2006/relationships/oleObject" Target="file:///\\romulus\ECD_PRO$\JEFG\2014\March\NAFF\JEFG%20Report\DAT%20-%20BAU%20-%20Commodity%20prices%20comparison%20with%20consensus.xlsx!Therm%20Coal_15!%5bDAT%20-%20BAU%20-%20Commodity%20prices%20comparison%20with%20consensus.xlsx%5dTherm%20Coal_15%20Chart%202" TargetMode="External"/><Relationship Id="rId7" Type="http://schemas.openxmlformats.org/officeDocument/2006/relationships/footnotes" Target="footnotes.xml"/><Relationship Id="rId71" Type="http://schemas.openxmlformats.org/officeDocument/2006/relationships/image" Target="media/image27.emf"/><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oleObject" Target="file:///\\romulus\ECD_PRO$\JEFG\2014\March\NAFF\JEFG%20Report\DAT%20-%20NAFF%20-%20Real%20GDP%20growth.xlsx!Chart!%5bDAT%20-%20NAFF%20-%20Real%20GDP%20growth.xlsx%5dChart%20Chart%202" TargetMode="External"/><Relationship Id="rId11" Type="http://schemas.openxmlformats.org/officeDocument/2006/relationships/footer" Target="footer1.xml"/><Relationship Id="rId24" Type="http://schemas.openxmlformats.org/officeDocument/2006/relationships/oleObject" Target="file:///\\romulus\ecd_h$\IED\SharePoint\Europe\euro%20area\Data%20&amp;%20Monitoring\DAT%20-%20IED%20-%20Euro%20area%20disinflation%20charts.xlsx!Disinflation%20ranges!%5bDAT%20-%20IED%20-%20Euro%20area%20disinflation%20charts.xlsx%5dDisinflation%20ranges%20Chart%205" TargetMode="External"/><Relationship Id="rId32" Type="http://schemas.openxmlformats.org/officeDocument/2006/relationships/image" Target="media/image9.emf"/><Relationship Id="rId37" Type="http://schemas.openxmlformats.org/officeDocument/2006/relationships/oleObject" Target="file:///\\romulus\ECD_PRO$\JEFG\2014\March\NAFF\JEFG%20Report\DAT%20-%20DWELL%20-%20Leading%20indicators.xlsx!CHART%203%20-%20Approvals%20units%20v%20hou!%5bDAT%20-%20DWELL%20-%20Leading%20indicators.xlsx%5dCHART%203%20-%20Approvals%20units%20v%20hou%20Chart%201" TargetMode="External"/><Relationship Id="rId40" Type="http://schemas.openxmlformats.org/officeDocument/2006/relationships/image" Target="media/image13.emf"/><Relationship Id="rId45" Type="http://schemas.openxmlformats.org/officeDocument/2006/relationships/oleObject" Target="file:///\\romulus\ECD_PRO$\JEFG\2014\March\NAFF\JEFG%20Report\DAT%20-%20NAFF%20-%20Net%20mining%20cont%20to%20growth.xlsx!Chart!%5bDAT%20-%20NAFF%20-%20Net%20mining%20cont%20to%20growth.xlsx%5dChart%20Chart%204" TargetMode="External"/><Relationship Id="rId53" Type="http://schemas.openxmlformats.org/officeDocument/2006/relationships/oleObject" Target="file:///\\romulus\ECD_PRO$\JEFG\2014\March\NAFF\JEFG%20Report\DAT%20-%20NAFF%20-%20nominal%20GDP%20growth%20-%20annual.xlsx!Chart!%5bDAT%20-%20NAFF%20-%20nominal%20GDP%20growth%20-%20annual.xlsx%5dChart%20Chart%201" TargetMode="External"/><Relationship Id="rId58" Type="http://schemas.openxmlformats.org/officeDocument/2006/relationships/footer" Target="footer9.xml"/><Relationship Id="rId66" Type="http://schemas.openxmlformats.org/officeDocument/2006/relationships/oleObject" Target="file:///\\romulus\ECD_PRO$\JEFG\2014\March\NAFF\JEFG%20Report\DAT%20-%20NAFF%20-%20Comparison%20with%20consensus%20-%20Bloomberg.xlsx!Unemployment%20rate!%5bDAT%20-%20NAFF%20-%20Comparison%20with%20consensus%20-%20Bloomberg.xlsx%5dUnemployment%20rate%20Chart%203" TargetMode="External"/><Relationship Id="rId74" Type="http://schemas.openxmlformats.org/officeDocument/2006/relationships/oleObject" Target="file:///\\romulus\ECD_PRO$\JEFG\2014\March\NAFF\JEFG%20Report\DAT%20-%20BAU%20-%20Commodity%20prices%20comparison%20with%20consensus.xlsx!Therm%20Coal_14!%5bDAT%20-%20BAU%20-%20Commodity%20prices%20comparison%20with%20consensus.xlsx%5dTherm%20Coal_14%20Chart%203" TargetMode="External"/><Relationship Id="rId79" Type="http://schemas.openxmlformats.org/officeDocument/2006/relationships/image" Target="media/image31.emf"/><Relationship Id="rId5" Type="http://schemas.openxmlformats.org/officeDocument/2006/relationships/settings" Target="settings.xml"/><Relationship Id="rId61" Type="http://schemas.openxmlformats.org/officeDocument/2006/relationships/image" Target="media/image22.emf"/><Relationship Id="rId82"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oleObject" Target="file:///\\romulus\ECD_PRO$\JEFG\2014\March\NAFF\JEFG%20Report\DAT%20-%20Confidence%20intervals%20-%20GTM%20-%20Budget%20Round.xls!Chart!%5bDAT%20-%20Confidence%20intervals%20-%20GTM%20-%20Budget%20Round.xls%5dChart%20Chart%201" TargetMode="External"/><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oleObject" Target="file:///\\romulus\ECD_PRO$\JEFG\2014\March\NAFF\Forecasts\March%20JEFG%20report%20forecasts\Main%20Summary%20Tables.xlsm!JEFG!R9C2:R45C6" TargetMode="External"/><Relationship Id="rId65" Type="http://schemas.openxmlformats.org/officeDocument/2006/relationships/image" Target="media/image24.emf"/><Relationship Id="rId73" Type="http://schemas.openxmlformats.org/officeDocument/2006/relationships/image" Target="media/image28.emf"/><Relationship Id="rId78" Type="http://schemas.openxmlformats.org/officeDocument/2006/relationships/oleObject" Target="file:///\\romulus\ECD_PRO$\JEFG\2014\March\NAFF\JEFG%20Report\DAT%20-%20BAU%20-%20Commodity%20prices%20comparison%20with%20consensus.xlsx!Met%20Coal_14!%5bDAT%20-%20BAU%20-%20Commodity%20prices%20comparison%20with%20consensus.xlsx%5dMet%20Coal_14%20Chart%202"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file:///\\romulus\ECD_PRO$\JEFG\2014\March\NAFF\JEFG%20Report\DAT%20-%20NAFF%20-%20small%20JEFG%20table.xlsx!JEFG%20(small)!R7C2:R21C9" TargetMode="External"/><Relationship Id="rId22" Type="http://schemas.openxmlformats.org/officeDocument/2006/relationships/oleObject" Target="file:///\\romulus\ecd_h$\IED\Countries\China\Forecasting\2014%20March%20JEFG\DAT%20-%20China%20-%20GDP%20Forecasts%20-%202014.xls!JEFG%20Charts!%5bDAT%20-%20China%20-%20GDP%20Forecasts%20-%202014.xls%5dJEFG%20Charts%20Chart%20501-1" TargetMode="External"/><Relationship Id="rId27" Type="http://schemas.openxmlformats.org/officeDocument/2006/relationships/footer" Target="footer7.xml"/><Relationship Id="rId30" Type="http://schemas.openxmlformats.org/officeDocument/2006/relationships/image" Target="media/image8.emf"/><Relationship Id="rId35" Type="http://schemas.openxmlformats.org/officeDocument/2006/relationships/oleObject" Target="file:///\\romulus\ECD_PRO$\JEFG\2014\March\NAFF\JEFG%20Report\DAT%20-%20CONS%20-%20HSR.xlsx!HSR%20-%20TREND!%5bDAT%20-%20CONS%20-%20HSR.xlsx%5dHSR%20-%20TREND%20Chart%201" TargetMode="External"/><Relationship Id="rId43" Type="http://schemas.openxmlformats.org/officeDocument/2006/relationships/oleObject" Target="file:///\\romulus\ECD_PRO$\JEFG\2014\March\NAFF\JEFG%20Report\DAT%20-%20BOP%20-%20TOT.xlsx!Sheet1!%5bDAT%20-%20BOP%20-%20TOT.xlsx%5dSheet1%20Chart%206" TargetMode="External"/><Relationship Id="rId48" Type="http://schemas.openxmlformats.org/officeDocument/2006/relationships/image" Target="media/image17.emf"/><Relationship Id="rId56" Type="http://schemas.openxmlformats.org/officeDocument/2006/relationships/header" Target="header5.xml"/><Relationship Id="rId64" Type="http://schemas.openxmlformats.org/officeDocument/2006/relationships/oleObject" Target="file:///\\romulus\ECD_PRO$\JEFG\2014\March\NAFF\JEFG%20Report\DAT%20-%20NAFF%20-%20Comparison%20with%20consensus%20-%20Bloomberg.xlsx!GDP!%5bDAT%20-%20NAFF%20-%20Comparison%20with%20consensus%20-%20Bloomberg.xlsx%5dGDP%20Chart%208" TargetMode="External"/><Relationship Id="rId69" Type="http://schemas.openxmlformats.org/officeDocument/2006/relationships/image" Target="media/image26.emf"/><Relationship Id="rId77" Type="http://schemas.openxmlformats.org/officeDocument/2006/relationships/image" Target="media/image30.emf"/><Relationship Id="rId8" Type="http://schemas.openxmlformats.org/officeDocument/2006/relationships/endnotes" Target="endnotes.xml"/><Relationship Id="rId51" Type="http://schemas.openxmlformats.org/officeDocument/2006/relationships/oleObject" Target="file:///\\romulus\ECD_PRO$\JEFG\2014\March\NAFF\JEFG%20Report\DAT%20-%20PIU%20-%20CPI%20Exclusionary%20indices.xlsx!Chart!%5bDAT%20-%20PIU%20-%20CPI%20Exclusionary%20indices.xlsx%5dChart%20Chart%202" TargetMode="External"/><Relationship Id="rId72" Type="http://schemas.openxmlformats.org/officeDocument/2006/relationships/oleObject" Target="file:///\\romulus\ECD_PRO$\JEFG\2014\March\NAFF\JEFG%20Report\DAT%20-%20BAU%20-%20Commodity%20prices%20comparison%20with%20consensus.xlsx!Iron%20Ore_15!%5bDAT%20-%20BAU%20-%20Commodity%20prices%20comparison%20with%20consensus.xlsx%5dIron%20Ore_15%20Chart%202" TargetMode="External"/><Relationship Id="rId80" Type="http://schemas.openxmlformats.org/officeDocument/2006/relationships/oleObject" Target="file:///\\romulus\ECD_PRO$\JEFG\2014\March\NAFF\JEFG%20Report\DAT%20-%20BAU%20-%20Commodity%20prices%20comparison%20with%20consensus.xlsx!Met%20Coal_15!%5bDAT%20-%20BAU%20-%20Commodity%20prices%20comparison%20with%20consensus.xlsx%5dMet%20Coal_15%20Chart%203"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oleObject" Target="file:///\\romulus\ECD_PRO$\JEFG\2014\March\NAFF\JEFG%20Report\DAT%20-%20CONS%20-%20ASX%20and%20house%20prices.xlsx!hh%20wealth%20-%20assets!%5bDAT%20-%20CONS%20-%20ASX%20and%20house%20prices.xlsx%5dhh%20wealth%20-%20assets%20Chart%204" TargetMode="External"/><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image" Target="media/image21.emf"/><Relationship Id="rId67" Type="http://schemas.openxmlformats.org/officeDocument/2006/relationships/image" Target="media/image25.emf"/><Relationship Id="rId20" Type="http://schemas.openxmlformats.org/officeDocument/2006/relationships/image" Target="media/image4.emf"/><Relationship Id="rId41" Type="http://schemas.openxmlformats.org/officeDocument/2006/relationships/oleObject" Target="file:///\\romulus\ECD_PRO$\JEFG\2014\March\NAFF\JEFG%20Report\DAT%20-%20BAU%20-%20IMPORT%20CHARTS.xlsx!Charts!%5bDAT%20-%20BAU%20-%20IMPORT%20CHARTS.xlsx%5dCharts%20Chart%203" TargetMode="External"/><Relationship Id="rId54" Type="http://schemas.openxmlformats.org/officeDocument/2006/relationships/image" Target="media/image20.emf"/><Relationship Id="rId62" Type="http://schemas.openxmlformats.org/officeDocument/2006/relationships/oleObject" Target="file:///\\romulus\ECD_PRO$\JEFG\2014\March\NAFF\JEFG%20Report\DAT%20-%20NAFF%20-%20Comparison%20with%20consensus%20-%20Bloomberg.xlsx!GDP!%5bDAT%20-%20NAFF%20-%20Comparison%20with%20consensus%20-%20Bloomberg.xlsx%5dGDP%20Chart%207" TargetMode="External"/><Relationship Id="rId70" Type="http://schemas.openxmlformats.org/officeDocument/2006/relationships/oleObject" Target="file:///\\romulus\ECD_PRO$\JEFG\2014\March\NAFF\JEFG%20Report\DAT%20-%20BAU%20-%20Commodity%20prices%20comparison%20with%20consensus.xlsx!Iron%20Ore_14!%5bDAT%20-%20BAU%20-%20Commodity%20prices%20comparison%20with%20consensus.xlsx%5dIron%20Ore_14%20Chart%202" TargetMode="External"/><Relationship Id="rId75" Type="http://schemas.openxmlformats.org/officeDocument/2006/relationships/image" Target="media/image29.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emf"/><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file:///\\romulus\ECD_PRO$\JEFG\2014\March\NAFF\JEFG%20Report\DAT%20-%20LAB%20-%20WPI.xlsx!Chart!%5bDAT%20-%20LAB%20-%20WPI.xlsx%5dChart%20Chart%207" TargetMode="External"/><Relationship Id="rId57"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JEFG%20Re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A79238F1AE478290D625DA6735207D"/>
        <w:category>
          <w:name w:val="General"/>
          <w:gallery w:val="placeholder"/>
        </w:category>
        <w:types>
          <w:type w:val="bbPlcHdr"/>
        </w:types>
        <w:behaviors>
          <w:behavior w:val="content"/>
        </w:behaviors>
        <w:guid w:val="{81C58093-E0D5-4076-8D37-51A9B06EB03A}"/>
      </w:docPartPr>
      <w:docPartBody>
        <w:p w:rsidR="00C345BC" w:rsidRDefault="003669EA" w:rsidP="003669EA">
          <w:pPr>
            <w:pStyle w:val="F9A79238F1AE478290D625DA6735207D"/>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EA"/>
    <w:rsid w:val="00230C9E"/>
    <w:rsid w:val="00262F6A"/>
    <w:rsid w:val="003669EA"/>
    <w:rsid w:val="00396D1C"/>
    <w:rsid w:val="007603A3"/>
    <w:rsid w:val="00994806"/>
    <w:rsid w:val="009F713A"/>
    <w:rsid w:val="00A94B3C"/>
    <w:rsid w:val="00AE7706"/>
    <w:rsid w:val="00C34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DDEED5C4F411EA5A103152F380F3B">
    <w:name w:val="95BDDEED5C4F411EA5A103152F380F3B"/>
    <w:rsid w:val="003669EA"/>
  </w:style>
  <w:style w:type="paragraph" w:customStyle="1" w:styleId="D6FA5756BC9647C9875760CD09E33E6F">
    <w:name w:val="D6FA5756BC9647C9875760CD09E33E6F"/>
    <w:rsid w:val="003669EA"/>
  </w:style>
  <w:style w:type="paragraph" w:customStyle="1" w:styleId="3F15E505DB5A44D59E720EB629AB006F">
    <w:name w:val="3F15E505DB5A44D59E720EB629AB006F"/>
    <w:rsid w:val="003669EA"/>
  </w:style>
  <w:style w:type="paragraph" w:customStyle="1" w:styleId="A2911B2690784343816DD7A62FEC0DFB">
    <w:name w:val="A2911B2690784343816DD7A62FEC0DFB"/>
    <w:rsid w:val="003669EA"/>
  </w:style>
  <w:style w:type="paragraph" w:customStyle="1" w:styleId="38C471BF17AC48388248BE4BC9039F7D">
    <w:name w:val="38C471BF17AC48388248BE4BC9039F7D"/>
    <w:rsid w:val="003669EA"/>
  </w:style>
  <w:style w:type="paragraph" w:customStyle="1" w:styleId="F9A79238F1AE478290D625DA6735207D">
    <w:name w:val="F9A79238F1AE478290D625DA6735207D"/>
    <w:rsid w:val="003669EA"/>
  </w:style>
  <w:style w:type="paragraph" w:customStyle="1" w:styleId="89CCDCE281714E3EB007C59124C572FD">
    <w:name w:val="89CCDCE281714E3EB007C59124C572FD"/>
    <w:rsid w:val="003669EA"/>
  </w:style>
  <w:style w:type="character" w:styleId="PlaceholderText">
    <w:name w:val="Placeholder Text"/>
    <w:basedOn w:val="DefaultParagraphFont"/>
    <w:uiPriority w:val="99"/>
    <w:semiHidden/>
    <w:rsid w:val="007603A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DDEED5C4F411EA5A103152F380F3B">
    <w:name w:val="95BDDEED5C4F411EA5A103152F380F3B"/>
    <w:rsid w:val="003669EA"/>
  </w:style>
  <w:style w:type="paragraph" w:customStyle="1" w:styleId="D6FA5756BC9647C9875760CD09E33E6F">
    <w:name w:val="D6FA5756BC9647C9875760CD09E33E6F"/>
    <w:rsid w:val="003669EA"/>
  </w:style>
  <w:style w:type="paragraph" w:customStyle="1" w:styleId="3F15E505DB5A44D59E720EB629AB006F">
    <w:name w:val="3F15E505DB5A44D59E720EB629AB006F"/>
    <w:rsid w:val="003669EA"/>
  </w:style>
  <w:style w:type="paragraph" w:customStyle="1" w:styleId="A2911B2690784343816DD7A62FEC0DFB">
    <w:name w:val="A2911B2690784343816DD7A62FEC0DFB"/>
    <w:rsid w:val="003669EA"/>
  </w:style>
  <w:style w:type="paragraph" w:customStyle="1" w:styleId="38C471BF17AC48388248BE4BC9039F7D">
    <w:name w:val="38C471BF17AC48388248BE4BC9039F7D"/>
    <w:rsid w:val="003669EA"/>
  </w:style>
  <w:style w:type="paragraph" w:customStyle="1" w:styleId="F9A79238F1AE478290D625DA6735207D">
    <w:name w:val="F9A79238F1AE478290D625DA6735207D"/>
    <w:rsid w:val="003669EA"/>
  </w:style>
  <w:style w:type="paragraph" w:customStyle="1" w:styleId="89CCDCE281714E3EB007C59124C572FD">
    <w:name w:val="89CCDCE281714E3EB007C59124C572FD"/>
    <w:rsid w:val="003669EA"/>
  </w:style>
  <w:style w:type="character" w:styleId="PlaceholderText">
    <w:name w:val="Placeholder Text"/>
    <w:basedOn w:val="DefaultParagraphFont"/>
    <w:uiPriority w:val="99"/>
    <w:semiHidden/>
    <w:rsid w:val="007603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2AAEC8-3B29-4673-9985-1189E268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JEFG Report.dot</Template>
  <TotalTime>1</TotalTime>
  <Pages>18</Pages>
  <Words>6301</Words>
  <Characters>39878</Characters>
  <Application>Microsoft Office Word</Application>
  <DocSecurity>4</DocSecurity>
  <Lines>332</Lines>
  <Paragraphs>92</Paragraphs>
  <ScaleCrop>false</ScaleCrop>
  <HeadingPairs>
    <vt:vector size="2" baseType="variant">
      <vt:variant>
        <vt:lpstr>Title</vt:lpstr>
      </vt:variant>
      <vt:variant>
        <vt:i4>1</vt:i4>
      </vt:variant>
    </vt:vector>
  </HeadingPairs>
  <TitlesOfParts>
    <vt:vector size="1" baseType="lpstr">
      <vt:lpstr>March 06 Forecasting Report</vt:lpstr>
    </vt:vector>
  </TitlesOfParts>
  <Manager>Stephen Miners</Manager>
  <Company>Australian Government - The Treasury</Company>
  <LinksUpToDate>false</LinksUpToDate>
  <CharactersWithSpaces>46087</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06 Forecasting Report</dc:title>
  <dc:creator>September 2013 JEFG Report</dc:creator>
  <cp:lastModifiedBy>Withers, Harry</cp:lastModifiedBy>
  <cp:revision>2</cp:revision>
  <cp:lastPrinted>2014-04-16T05:09:00Z</cp:lastPrinted>
  <dcterms:created xsi:type="dcterms:W3CDTF">2016-10-19T00:34:00Z</dcterms:created>
  <dcterms:modified xsi:type="dcterms:W3CDTF">2016-10-19T00:34:00Z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1673913441</vt:i4>
  </property>
  <property fmtid="{D5CDD505-2E9C-101B-9397-08002B2CF9AE}" pid="3" name="_AdHocReviewCycleID">
    <vt:i4>1333392942</vt:i4>
  </property>
  <property fmtid="{D5CDD505-2E9C-101B-9397-08002B2CF9AE}" pid="4" name="_NewReviewCycle">
    <vt:lpwstr/>
  </property>
  <property fmtid="{D5CDD505-2E9C-101B-9397-08002B2CF9AE}" pid="5" name="_EmailSubject">
    <vt:lpwstr>Update - Report or Review Request #S28481 [SEC=UNCLASSIFIED]</vt:lpwstr>
  </property>
  <property fmtid="{D5CDD505-2E9C-101B-9397-08002B2CF9AE}" pid="6" name="_AuthorEmail">
    <vt:lpwstr>Harry.Withers@TREASURY.GOV.AU</vt:lpwstr>
  </property>
  <property fmtid="{D5CDD505-2E9C-101B-9397-08002B2CF9AE}" pid="7" name="_AuthorEmailDisplayName">
    <vt:lpwstr>Withers, Harry</vt:lpwstr>
  </property>
</Properties>
</file>