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2079F" w14:textId="77777777" w:rsidR="00F012EA" w:rsidRPr="00DD5DF9" w:rsidRDefault="005554A6" w:rsidP="00F012EA">
      <w:pPr>
        <w:pStyle w:val="Title"/>
      </w:pPr>
      <w:r>
        <w:t>TAX EXPENDITURE ANALYSIS – ORIGINS, DEBATES AND FUTURE PROSPECTS</w:t>
      </w:r>
    </w:p>
    <w:p w14:paraId="04EB326C" w14:textId="77777777" w:rsidR="00F012EA" w:rsidRDefault="005554A6" w:rsidP="00F012EA">
      <w:pPr>
        <w:pStyle w:val="AuthorName"/>
        <w:rPr>
          <w:szCs w:val="24"/>
        </w:rPr>
      </w:pPr>
      <w:r>
        <w:rPr>
          <w:szCs w:val="24"/>
        </w:rPr>
        <w:t>Paul Palisi</w:t>
      </w:r>
      <w:r w:rsidR="00F012EA" w:rsidRPr="00F21A41">
        <w:rPr>
          <w:rStyle w:val="FootnoteReference"/>
          <w:szCs w:val="24"/>
        </w:rPr>
        <w:footnoteReference w:id="1"/>
      </w:r>
    </w:p>
    <w:p w14:paraId="4DFA1853" w14:textId="77777777" w:rsidR="00F012EA" w:rsidRPr="00F8009C" w:rsidRDefault="00F012EA" w:rsidP="00F012EA">
      <w:pPr>
        <w:pStyle w:val="Subtitle"/>
        <w:tabs>
          <w:tab w:val="left" w:pos="1985"/>
        </w:tabs>
        <w:rPr>
          <w:szCs w:val="40"/>
        </w:rPr>
      </w:pPr>
      <w:r>
        <w:rPr>
          <w:szCs w:val="40"/>
        </w:rPr>
        <w:t>Treasury Working Paper</w:t>
      </w:r>
      <w:r>
        <w:rPr>
          <w:rStyle w:val="FootnoteReference"/>
          <w:szCs w:val="40"/>
        </w:rPr>
        <w:footnoteReference w:id="2"/>
      </w:r>
    </w:p>
    <w:p w14:paraId="0E83FFBF" w14:textId="77777777" w:rsidR="00F012EA" w:rsidRPr="00F8009C" w:rsidRDefault="00F012EA" w:rsidP="00F012EA">
      <w:pPr>
        <w:pStyle w:val="Subtitle"/>
        <w:rPr>
          <w:szCs w:val="36"/>
        </w:rPr>
      </w:pPr>
      <w:r>
        <w:rPr>
          <w:szCs w:val="36"/>
        </w:rPr>
        <w:t>20</w:t>
      </w:r>
      <w:r w:rsidR="005554A6">
        <w:rPr>
          <w:szCs w:val="36"/>
        </w:rPr>
        <w:t>17</w:t>
      </w:r>
      <w:r w:rsidR="00304A5B">
        <w:rPr>
          <w:szCs w:val="36"/>
        </w:rPr>
        <w:noBreakHyphen/>
        <w:t>03</w:t>
      </w:r>
    </w:p>
    <w:p w14:paraId="78F702D2" w14:textId="77777777" w:rsidR="00F012EA" w:rsidRPr="0018497C" w:rsidRDefault="00F012EA" w:rsidP="00F012EA">
      <w:pPr>
        <w:pStyle w:val="SeriesNumber"/>
        <w:spacing w:before="120" w:after="120"/>
        <w:rPr>
          <w:sz w:val="24"/>
          <w:szCs w:val="24"/>
        </w:rPr>
      </w:pPr>
      <w:r w:rsidRPr="0018497C">
        <w:rPr>
          <w:sz w:val="24"/>
          <w:szCs w:val="24"/>
        </w:rPr>
        <w:t xml:space="preserve">Date created: </w:t>
      </w:r>
      <w:r w:rsidR="000349BC">
        <w:rPr>
          <w:sz w:val="24"/>
          <w:szCs w:val="24"/>
        </w:rPr>
        <w:t>March</w:t>
      </w:r>
      <w:r w:rsidR="00744632">
        <w:rPr>
          <w:sz w:val="24"/>
          <w:szCs w:val="24"/>
        </w:rPr>
        <w:t xml:space="preserve"> 2017</w:t>
      </w:r>
    </w:p>
    <w:p w14:paraId="37343A96" w14:textId="77777777" w:rsidR="00F012EA" w:rsidRDefault="00F012EA" w:rsidP="00F012EA">
      <w:pPr>
        <w:pStyle w:val="SeriesNumber"/>
        <w:spacing w:before="120" w:after="120"/>
        <w:rPr>
          <w:sz w:val="24"/>
          <w:szCs w:val="24"/>
        </w:rPr>
      </w:pPr>
      <w:r w:rsidRPr="0018497C">
        <w:rPr>
          <w:sz w:val="24"/>
          <w:szCs w:val="24"/>
        </w:rPr>
        <w:t xml:space="preserve">Date </w:t>
      </w:r>
      <w:r>
        <w:rPr>
          <w:sz w:val="24"/>
          <w:szCs w:val="24"/>
        </w:rPr>
        <w:t>modified</w:t>
      </w:r>
      <w:r w:rsidRPr="0018497C">
        <w:rPr>
          <w:sz w:val="24"/>
          <w:szCs w:val="24"/>
        </w:rPr>
        <w:t xml:space="preserve">: </w:t>
      </w:r>
      <w:r w:rsidR="000349BC">
        <w:rPr>
          <w:sz w:val="24"/>
          <w:szCs w:val="24"/>
        </w:rPr>
        <w:t>March</w:t>
      </w:r>
      <w:r w:rsidR="00744632">
        <w:rPr>
          <w:sz w:val="24"/>
          <w:szCs w:val="24"/>
        </w:rPr>
        <w:t xml:space="preserve"> 2017</w:t>
      </w:r>
    </w:p>
    <w:p w14:paraId="69B84F8D" w14:textId="77777777" w:rsidR="000464B6" w:rsidRDefault="000464B6" w:rsidP="00F012EA">
      <w:pPr>
        <w:pStyle w:val="AuthorName"/>
        <w:rPr>
          <w:szCs w:val="24"/>
        </w:rPr>
        <w:sectPr w:rsidR="000464B6" w:rsidSect="008C0793">
          <w:headerReference w:type="default" r:id="rId14"/>
          <w:footerReference w:type="even" r:id="rId15"/>
          <w:footerReference w:type="default" r:id="rId16"/>
          <w:headerReference w:type="first" r:id="rId17"/>
          <w:pgSz w:w="11906" w:h="16838" w:code="9"/>
          <w:pgMar w:top="1418" w:right="1304" w:bottom="1418" w:left="1304" w:header="567" w:footer="567" w:gutter="0"/>
          <w:cols w:space="708"/>
          <w:titlePg/>
          <w:docGrid w:linePitch="360"/>
        </w:sectPr>
      </w:pPr>
    </w:p>
    <w:p w14:paraId="5ED0C3DD" w14:textId="77777777" w:rsidR="000464B6" w:rsidRDefault="000464B6" w:rsidP="000464B6">
      <w:r w:rsidRPr="00661BF0">
        <w:lastRenderedPageBreak/>
        <w:t xml:space="preserve">© Commonwealth of Australia </w:t>
      </w:r>
      <w:r w:rsidRPr="00744632">
        <w:t>20</w:t>
      </w:r>
      <w:r w:rsidR="00744632" w:rsidRPr="00744632">
        <w:t>17</w:t>
      </w:r>
    </w:p>
    <w:p w14:paraId="09F6E7DB" w14:textId="77777777" w:rsidR="00EB13CE" w:rsidRDefault="00EB13CE" w:rsidP="000464B6">
      <w:pPr>
        <w:tabs>
          <w:tab w:val="left" w:pos="1650"/>
        </w:tabs>
      </w:pPr>
      <w:r w:rsidRPr="00D27D50">
        <w:t>ISBN</w:t>
      </w:r>
      <w:r w:rsidR="00E12867" w:rsidRPr="00D27D50">
        <w:t xml:space="preserve"> </w:t>
      </w:r>
      <w:r w:rsidR="00D27D50" w:rsidRPr="00D27D50">
        <w:t>978-1-925504-37-8</w:t>
      </w:r>
    </w:p>
    <w:p w14:paraId="6029659E" w14:textId="77777777"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8"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9"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2F2C4CEB"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7ECB09AD" wp14:editId="4E3F3CEA">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18FAA23" w14:textId="77777777"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21"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0F7EE798" w14:textId="77777777" w:rsidR="000464B6" w:rsidRPr="00D27D50" w:rsidRDefault="000464B6" w:rsidP="000464B6">
      <w:pPr>
        <w:rPr>
          <w:b/>
        </w:rPr>
      </w:pPr>
      <w:r w:rsidRPr="00D27D50">
        <w:rPr>
          <w:b/>
        </w:rPr>
        <w:t>Treasury material used 'as supplied'</w:t>
      </w:r>
    </w:p>
    <w:p w14:paraId="128774C2" w14:textId="7777777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196F557" w14:textId="77777777" w:rsidR="000464B6" w:rsidRPr="00A13A11" w:rsidRDefault="000464B6" w:rsidP="00D27D50">
      <w:pPr>
        <w:ind w:left="567"/>
      </w:pPr>
      <w:r w:rsidRPr="002F1BC2">
        <w:rPr>
          <w:i/>
        </w:rPr>
        <w:t xml:space="preserve">Source: The </w:t>
      </w:r>
      <w:r w:rsidRPr="002F1BC2">
        <w:rPr>
          <w:i/>
          <w:iCs/>
        </w:rPr>
        <w:t>Australian Government the Treasury</w:t>
      </w:r>
    </w:p>
    <w:p w14:paraId="474EF3A8" w14:textId="77777777" w:rsidR="000464B6" w:rsidRPr="00D27D50" w:rsidRDefault="000464B6" w:rsidP="000464B6">
      <w:pPr>
        <w:rPr>
          <w:b/>
        </w:rPr>
      </w:pPr>
      <w:r w:rsidRPr="00D27D50">
        <w:rPr>
          <w:b/>
        </w:rPr>
        <w:t>Derivative material</w:t>
      </w:r>
    </w:p>
    <w:p w14:paraId="3AE640D5" w14:textId="77777777" w:rsidR="000464B6" w:rsidRPr="006627B4" w:rsidRDefault="000464B6" w:rsidP="000464B6">
      <w:r w:rsidRPr="006627B4">
        <w:t xml:space="preserve">If you have modified or transformed Treasury material, or derived new material from those of the Treasury in any way, then Treasury prefers the following attribution: </w:t>
      </w:r>
    </w:p>
    <w:p w14:paraId="2E520C30" w14:textId="77777777" w:rsidR="000464B6" w:rsidRPr="006627B4" w:rsidRDefault="000464B6" w:rsidP="00D27D50">
      <w:pPr>
        <w:ind w:left="567"/>
      </w:pPr>
      <w:r w:rsidRPr="002F1BC2">
        <w:rPr>
          <w:i/>
        </w:rPr>
        <w:t>Based on The Australian Government the Treasury data</w:t>
      </w:r>
    </w:p>
    <w:p w14:paraId="1CAA5AFE" w14:textId="77777777" w:rsidR="000464B6" w:rsidRPr="006627B4" w:rsidRDefault="000464B6" w:rsidP="000464B6">
      <w:pPr>
        <w:spacing w:after="40"/>
        <w:rPr>
          <w:b/>
        </w:rPr>
      </w:pPr>
      <w:r w:rsidRPr="006627B4">
        <w:rPr>
          <w:b/>
        </w:rPr>
        <w:t>Use of the Coat of Arms</w:t>
      </w:r>
    </w:p>
    <w:p w14:paraId="4E7175AC" w14:textId="77777777" w:rsidR="000464B6" w:rsidRPr="006627B4" w:rsidRDefault="000464B6" w:rsidP="000464B6">
      <w:r w:rsidRPr="006627B4">
        <w:t>The terms under which the Coat of Arms can be used are set out on the It’s an Honour website (see</w:t>
      </w:r>
      <w:r w:rsidR="00D27D50">
        <w:t> </w:t>
      </w:r>
      <w:hyperlink r:id="rId22" w:history="1">
        <w:r w:rsidRPr="00D27D50">
          <w:rPr>
            <w:rStyle w:val="Hyperlink"/>
          </w:rPr>
          <w:t>www.itsanhonour.gov.au</w:t>
        </w:r>
      </w:hyperlink>
      <w:r w:rsidRPr="006627B4">
        <w:t>)</w:t>
      </w:r>
    </w:p>
    <w:p w14:paraId="71BC388C" w14:textId="77777777" w:rsidR="000464B6" w:rsidRPr="006627B4" w:rsidRDefault="00A57848" w:rsidP="000464B6">
      <w:pPr>
        <w:spacing w:after="40"/>
        <w:rPr>
          <w:b/>
        </w:rPr>
      </w:pPr>
      <w:r>
        <w:rPr>
          <w:b/>
        </w:rPr>
        <w:t>Other u</w:t>
      </w:r>
      <w:r w:rsidR="000464B6" w:rsidRPr="006627B4">
        <w:rPr>
          <w:b/>
        </w:rPr>
        <w:t>ses</w:t>
      </w:r>
    </w:p>
    <w:p w14:paraId="5CD256BB" w14:textId="77777777" w:rsidR="000464B6" w:rsidRPr="006627B4" w:rsidRDefault="00A57848" w:rsidP="00A57848">
      <w:pPr>
        <w:spacing w:after="120"/>
      </w:pPr>
      <w:r>
        <w:t>E</w:t>
      </w:r>
      <w:r w:rsidR="000464B6" w:rsidRPr="006627B4">
        <w:t>nquiries regarding this licence and any other use of this document are welcome at:</w:t>
      </w:r>
    </w:p>
    <w:p w14:paraId="0C563827" w14:textId="77777777" w:rsidR="000464B6" w:rsidRPr="006627B4" w:rsidRDefault="000464B6" w:rsidP="00D27D50">
      <w:pPr>
        <w:spacing w:after="0"/>
        <w:ind w:left="567"/>
        <w:jc w:val="left"/>
      </w:pPr>
      <w:r w:rsidRPr="006627B4">
        <w:t>Manager</w:t>
      </w:r>
    </w:p>
    <w:p w14:paraId="62B4D914" w14:textId="77777777" w:rsidR="000464B6" w:rsidRPr="006627B4" w:rsidRDefault="00A57848" w:rsidP="00D27D50">
      <w:pPr>
        <w:spacing w:after="0"/>
        <w:ind w:left="567"/>
        <w:jc w:val="left"/>
      </w:pPr>
      <w:r>
        <w:t>Media Unit</w:t>
      </w:r>
    </w:p>
    <w:p w14:paraId="4EF8B4D9" w14:textId="77777777" w:rsidR="000464B6" w:rsidRPr="006627B4" w:rsidRDefault="000464B6" w:rsidP="00D27D50">
      <w:pPr>
        <w:spacing w:after="0"/>
        <w:ind w:left="567"/>
        <w:jc w:val="left"/>
      </w:pPr>
      <w:r w:rsidRPr="006627B4">
        <w:t>The Treasury</w:t>
      </w:r>
    </w:p>
    <w:p w14:paraId="363EC7D8" w14:textId="77777777" w:rsidR="000464B6" w:rsidRPr="006627B4" w:rsidRDefault="000464B6" w:rsidP="00D27D50">
      <w:pPr>
        <w:spacing w:after="0"/>
        <w:ind w:left="567"/>
        <w:jc w:val="left"/>
      </w:pPr>
      <w:r w:rsidRPr="006627B4">
        <w:t xml:space="preserve">Langton Crescent </w:t>
      </w:r>
      <w:r w:rsidR="00A57848">
        <w:br/>
      </w:r>
      <w:proofErr w:type="spellStart"/>
      <w:r w:rsidRPr="006627B4">
        <w:t>Parkes</w:t>
      </w:r>
      <w:proofErr w:type="spellEnd"/>
      <w:r w:rsidRPr="006627B4">
        <w:t xml:space="preserve"> ACT 2600</w:t>
      </w:r>
    </w:p>
    <w:p w14:paraId="2185693C" w14:textId="77777777" w:rsidR="000464B6" w:rsidRDefault="000464B6" w:rsidP="00D27D50">
      <w:pPr>
        <w:spacing w:after="0"/>
        <w:ind w:left="567"/>
        <w:jc w:val="left"/>
        <w:rPr>
          <w:rStyle w:val="Hyperlink"/>
        </w:rPr>
      </w:pPr>
      <w:r w:rsidRPr="006627B4">
        <w:t xml:space="preserve">Email: </w:t>
      </w:r>
      <w:hyperlink r:id="rId23" w:history="1">
        <w:r w:rsidRPr="00573329">
          <w:rPr>
            <w:rStyle w:val="Hyperlink"/>
          </w:rPr>
          <w:t>medialiaison@treasury.gov.au</w:t>
        </w:r>
      </w:hyperlink>
      <w:r w:rsidRPr="002F1BC2">
        <w:rPr>
          <w:rStyle w:val="Hyperlink"/>
        </w:rPr>
        <w:t xml:space="preserve"> </w:t>
      </w:r>
    </w:p>
    <w:p w14:paraId="1622EC61" w14:textId="77777777" w:rsidR="000464B6" w:rsidRPr="000464B6" w:rsidRDefault="000464B6" w:rsidP="000464B6"/>
    <w:p w14:paraId="54D306F3" w14:textId="77777777" w:rsidR="000464B6" w:rsidRDefault="000464B6" w:rsidP="000464B6">
      <w:pPr>
        <w:spacing w:after="0"/>
        <w:ind w:left="720"/>
        <w:rPr>
          <w:rStyle w:val="Hyperlink"/>
        </w:rPr>
        <w:sectPr w:rsidR="000464B6" w:rsidSect="008C0793">
          <w:headerReference w:type="first" r:id="rId24"/>
          <w:pgSz w:w="11906" w:h="16838" w:code="9"/>
          <w:pgMar w:top="1418" w:right="1304" w:bottom="1418" w:left="1304" w:header="567" w:footer="567" w:gutter="0"/>
          <w:cols w:space="708"/>
          <w:titlePg/>
          <w:docGrid w:linePitch="360"/>
        </w:sectPr>
      </w:pPr>
    </w:p>
    <w:p w14:paraId="3EBE7D95" w14:textId="77777777" w:rsidR="00F012EA" w:rsidRDefault="00744632" w:rsidP="00F012EA">
      <w:pPr>
        <w:pStyle w:val="SingleParagraph"/>
      </w:pPr>
      <w:r>
        <w:lastRenderedPageBreak/>
        <w:t>Tax expenditure analysis – origins, debates and future prospects</w:t>
      </w:r>
    </w:p>
    <w:p w14:paraId="2CE486C9" w14:textId="77777777" w:rsidR="00744632" w:rsidRDefault="00744632" w:rsidP="00F012EA">
      <w:pPr>
        <w:pStyle w:val="SingleParagraph"/>
      </w:pPr>
      <w:r>
        <w:t>Paul Palisi</w:t>
      </w:r>
    </w:p>
    <w:p w14:paraId="561395B3" w14:textId="77777777" w:rsidR="00F012EA" w:rsidRDefault="00744632" w:rsidP="00F012EA">
      <w:pPr>
        <w:pStyle w:val="SingleParagraph"/>
      </w:pPr>
      <w:r w:rsidRPr="00304A5B">
        <w:t>2017</w:t>
      </w:r>
      <w:r w:rsidR="00304A5B" w:rsidRPr="00304A5B">
        <w:noBreakHyphen/>
        <w:t>03</w:t>
      </w:r>
    </w:p>
    <w:p w14:paraId="4862D536" w14:textId="77777777" w:rsidR="00F012EA" w:rsidRDefault="000349BC" w:rsidP="00F012EA">
      <w:pPr>
        <w:pStyle w:val="SingleParagraph"/>
      </w:pPr>
      <w:r w:rsidRPr="000349BC">
        <w:t>24 March 2017</w:t>
      </w:r>
    </w:p>
    <w:p w14:paraId="129A42A6" w14:textId="77777777" w:rsidR="00F012EA" w:rsidRDefault="00F012EA" w:rsidP="00F012EA">
      <w:pPr>
        <w:pStyle w:val="Heading1"/>
      </w:pPr>
      <w:r>
        <w:t>Abstract</w:t>
      </w:r>
    </w:p>
    <w:p w14:paraId="42FB9F77" w14:textId="77777777" w:rsidR="0082402A" w:rsidRPr="005554A6" w:rsidRDefault="0082402A" w:rsidP="0082402A">
      <w:pPr>
        <w:spacing w:after="240"/>
        <w:rPr>
          <w:rFonts w:cs="Times New Roman"/>
        </w:rPr>
      </w:pPr>
      <w:r w:rsidRPr="005554A6">
        <w:rPr>
          <w:rFonts w:cs="Times New Roman"/>
        </w:rPr>
        <w:t xml:space="preserve">This paper outlines the origins of tax expenditure analysis in the 1960s, the key debates at that time and over subsequent decades, and the current state of tax expenditure analysis. The paper suggests that the pros and cons of tax expenditure analysis were comprehensively worked through within a short time of the concept being proposed. These debates have since been rehashed periodically, with little of real or lasting value being added.  </w:t>
      </w:r>
      <w:r w:rsidR="00EA3090">
        <w:rPr>
          <w:rFonts w:cs="Times New Roman"/>
        </w:rPr>
        <w:t xml:space="preserve">While there is </w:t>
      </w:r>
      <w:r w:rsidR="00D16BE4">
        <w:rPr>
          <w:rFonts w:cs="Times New Roman"/>
        </w:rPr>
        <w:t xml:space="preserve">broad </w:t>
      </w:r>
      <w:r w:rsidR="00EA3090">
        <w:rPr>
          <w:rFonts w:cs="Times New Roman"/>
        </w:rPr>
        <w:t>agreement that some form of report</w:t>
      </w:r>
      <w:r w:rsidR="00D16BE4">
        <w:rPr>
          <w:rFonts w:cs="Times New Roman"/>
        </w:rPr>
        <w:t>ing</w:t>
      </w:r>
      <w:r w:rsidR="00EA3090">
        <w:rPr>
          <w:rFonts w:cs="Times New Roman"/>
        </w:rPr>
        <w:t xml:space="preserve"> of tax expenditures is needed, p</w:t>
      </w:r>
      <w:r w:rsidRPr="005554A6">
        <w:rPr>
          <w:rFonts w:cs="Times New Roman"/>
        </w:rPr>
        <w:t xml:space="preserve">rospects for future meaningful development of the </w:t>
      </w:r>
      <w:r w:rsidR="00EA3090">
        <w:rPr>
          <w:rFonts w:cs="Times New Roman"/>
        </w:rPr>
        <w:t xml:space="preserve">underlying </w:t>
      </w:r>
      <w:r w:rsidRPr="005554A6">
        <w:rPr>
          <w:rFonts w:cs="Times New Roman"/>
        </w:rPr>
        <w:t>tax expenditures concept appear limited.</w:t>
      </w:r>
    </w:p>
    <w:p w14:paraId="720D305B" w14:textId="79E3BCAF" w:rsidR="00F012EA" w:rsidRDefault="00E0531A" w:rsidP="00F012EA">
      <w:pPr>
        <w:pStyle w:val="SingleParagraph"/>
      </w:pPr>
      <w:r>
        <w:br/>
      </w:r>
      <w:r w:rsidR="00F012EA">
        <w:t xml:space="preserve">Keywords: </w:t>
      </w:r>
      <w:r w:rsidR="00661749">
        <w:t>Tax, tax expenditure</w:t>
      </w:r>
    </w:p>
    <w:p w14:paraId="7F05120F" w14:textId="77777777" w:rsidR="00F012EA" w:rsidRDefault="00F012EA" w:rsidP="00F012EA">
      <w:pPr>
        <w:pStyle w:val="SingleParagraph"/>
      </w:pPr>
    </w:p>
    <w:p w14:paraId="0092C529" w14:textId="77777777" w:rsidR="00F012EA" w:rsidRDefault="00744632" w:rsidP="00F012EA">
      <w:pPr>
        <w:pStyle w:val="SingleParagraph"/>
      </w:pPr>
      <w:r>
        <w:t>Paul Palisi</w:t>
      </w:r>
    </w:p>
    <w:p w14:paraId="19A2652D" w14:textId="77777777" w:rsidR="00F012EA" w:rsidRDefault="00744632" w:rsidP="00F012EA">
      <w:pPr>
        <w:pStyle w:val="SingleParagraph"/>
      </w:pPr>
      <w:r>
        <w:t>Structural Reform Group</w:t>
      </w:r>
    </w:p>
    <w:p w14:paraId="06103A6E" w14:textId="77777777" w:rsidR="00F012EA" w:rsidRDefault="00F012EA" w:rsidP="00F012EA">
      <w:pPr>
        <w:pStyle w:val="SingleParagraph"/>
      </w:pPr>
      <w:r>
        <w:t>The Treasury</w:t>
      </w:r>
    </w:p>
    <w:p w14:paraId="379E4D17" w14:textId="77777777" w:rsidR="00F012EA" w:rsidRDefault="00F012EA" w:rsidP="00F012EA">
      <w:pPr>
        <w:pStyle w:val="SingleParagraph"/>
      </w:pPr>
      <w:r>
        <w:t>Langton Crescent</w:t>
      </w:r>
    </w:p>
    <w:p w14:paraId="4F003340" w14:textId="77777777" w:rsidR="00F012EA" w:rsidRDefault="00F012EA" w:rsidP="00F012EA">
      <w:pPr>
        <w:pStyle w:val="SingleParagraph"/>
      </w:pPr>
      <w:proofErr w:type="spellStart"/>
      <w:proofErr w:type="gramStart"/>
      <w:r>
        <w:t>Parkes</w:t>
      </w:r>
      <w:proofErr w:type="spellEnd"/>
      <w:r>
        <w:t xml:space="preserve">  ACT</w:t>
      </w:r>
      <w:proofErr w:type="gramEnd"/>
      <w:r>
        <w:t xml:space="preserve">  2600</w:t>
      </w:r>
    </w:p>
    <w:p w14:paraId="55BAEFD9" w14:textId="77777777" w:rsidR="00F012EA" w:rsidRDefault="00F012EA" w:rsidP="00F012EA">
      <w:pPr>
        <w:pStyle w:val="SingleParagraph"/>
      </w:pPr>
    </w:p>
    <w:p w14:paraId="7F902A40" w14:textId="77777777" w:rsidR="00F012EA" w:rsidRDefault="00F012EA" w:rsidP="00F012EA">
      <w:pPr>
        <w:pStyle w:val="SingleParagraph"/>
      </w:pPr>
    </w:p>
    <w:p w14:paraId="58B1D1F5" w14:textId="77777777" w:rsidR="00F012EA" w:rsidRDefault="00F012EA" w:rsidP="00F012EA">
      <w:pPr>
        <w:pStyle w:val="SeriesNumber"/>
        <w:jc w:val="left"/>
        <w:rPr>
          <w:sz w:val="24"/>
          <w:szCs w:val="24"/>
        </w:rPr>
      </w:pPr>
    </w:p>
    <w:p w14:paraId="38D095D2" w14:textId="77777777" w:rsidR="00F012EA" w:rsidRDefault="00F012EA" w:rsidP="008627B1"/>
    <w:p w14:paraId="35106FC2" w14:textId="77777777" w:rsidR="00F012EA" w:rsidRDefault="00F012EA" w:rsidP="008627B1"/>
    <w:p w14:paraId="529C307B" w14:textId="77777777" w:rsidR="00F012EA" w:rsidRDefault="00F012EA" w:rsidP="008627B1">
      <w:pPr>
        <w:sectPr w:rsidR="00F012EA" w:rsidSect="008C0793">
          <w:pgSz w:w="11906" w:h="16838" w:code="9"/>
          <w:pgMar w:top="1418" w:right="1304" w:bottom="1418" w:left="1304" w:header="567" w:footer="567" w:gutter="0"/>
          <w:cols w:space="708"/>
          <w:titlePg/>
          <w:docGrid w:linePitch="360"/>
        </w:sectPr>
      </w:pPr>
    </w:p>
    <w:p w14:paraId="4CFCB1B4" w14:textId="77777777" w:rsidR="00661749" w:rsidRDefault="00661749" w:rsidP="00D27D50">
      <w:pPr>
        <w:pStyle w:val="Heading2"/>
        <w:spacing w:before="0"/>
      </w:pPr>
      <w:r>
        <w:lastRenderedPageBreak/>
        <w:t>Introduction</w:t>
      </w:r>
    </w:p>
    <w:p w14:paraId="153A2A20" w14:textId="77777777" w:rsidR="00661749" w:rsidRDefault="00661749" w:rsidP="00661749">
      <w:r>
        <w:t xml:space="preserve">Each year, the Australian Treasury produces the annual Tax Expenditures Statement (TES). The TES contains a description </w:t>
      </w:r>
      <w:proofErr w:type="gramStart"/>
      <w:r>
        <w:t>of each Australian Government tax expenditure</w:t>
      </w:r>
      <w:proofErr w:type="gramEnd"/>
      <w:r>
        <w:t xml:space="preserve"> and, where possible, estimates of the size of </w:t>
      </w:r>
      <w:r w:rsidR="005D4813">
        <w:t xml:space="preserve">these </w:t>
      </w:r>
      <w:r>
        <w:t>tax expenditure</w:t>
      </w:r>
      <w:r w:rsidR="005D4813">
        <w:t>s</w:t>
      </w:r>
      <w:r>
        <w:t xml:space="preserve">. It also outlines the framework used to identify </w:t>
      </w:r>
      <w:r w:rsidR="00322157">
        <w:t xml:space="preserve">and measure </w:t>
      </w:r>
      <w:r>
        <w:t>tax expenditures</w:t>
      </w:r>
      <w:r w:rsidR="00322157">
        <w:t>, along with the key caveats and limitations of this framework.</w:t>
      </w:r>
    </w:p>
    <w:p w14:paraId="736EB808" w14:textId="77777777" w:rsidR="00322157" w:rsidRPr="005554A6" w:rsidRDefault="00322157" w:rsidP="00322157">
      <w:pPr>
        <w:spacing w:after="240"/>
        <w:rPr>
          <w:rFonts w:cs="Times New Roman"/>
        </w:rPr>
      </w:pPr>
      <w:r w:rsidRPr="005554A6">
        <w:rPr>
          <w:rFonts w:cs="Times New Roman"/>
        </w:rPr>
        <w:t xml:space="preserve">This paper </w:t>
      </w:r>
      <w:r>
        <w:rPr>
          <w:rFonts w:cs="Times New Roman"/>
        </w:rPr>
        <w:t xml:space="preserve">provides some important background to the TES. It </w:t>
      </w:r>
      <w:r w:rsidRPr="005554A6">
        <w:rPr>
          <w:rFonts w:cs="Times New Roman"/>
        </w:rPr>
        <w:t>outlines the origins of tax expenditure analysis in the 1960s, the key debates at that time and over subsequent decades, and the current state of tax expenditure analysis. The paper focuses on the academic literature in the United States because this is from where much of the literature originates, and because it covers the key issues. The appendix contains a short outline of the literature in Australia. The debate around tax expenditures in Australia has largely mirrored the debate in the United States.</w:t>
      </w:r>
    </w:p>
    <w:p w14:paraId="799703C3" w14:textId="77777777" w:rsidR="00F012EA" w:rsidRDefault="005554A6" w:rsidP="00A57848">
      <w:pPr>
        <w:pStyle w:val="Heading2"/>
      </w:pPr>
      <w:r>
        <w:t>Origins</w:t>
      </w:r>
      <w:r w:rsidRPr="005554A6">
        <w:rPr>
          <w:rStyle w:val="FootnoteReference"/>
          <w:rFonts w:ascii="Calibri" w:hAnsi="Calibri" w:cs="Times New Roman"/>
          <w:sz w:val="22"/>
        </w:rPr>
        <w:footnoteReference w:id="3"/>
      </w:r>
    </w:p>
    <w:p w14:paraId="31784F98" w14:textId="77777777" w:rsidR="005554A6" w:rsidRPr="005554A6" w:rsidRDefault="005554A6" w:rsidP="005554A6">
      <w:pPr>
        <w:spacing w:after="240"/>
        <w:rPr>
          <w:rFonts w:cs="Times New Roman"/>
        </w:rPr>
      </w:pPr>
      <w:r w:rsidRPr="005554A6">
        <w:rPr>
          <w:rFonts w:cs="Times New Roman"/>
        </w:rPr>
        <w:t xml:space="preserve">Income tax </w:t>
      </w:r>
      <w:r w:rsidR="009A53E0">
        <w:rPr>
          <w:rFonts w:cs="Times New Roman"/>
        </w:rPr>
        <w:t xml:space="preserve">comprised only a small proportion </w:t>
      </w:r>
      <w:r w:rsidRPr="005554A6">
        <w:rPr>
          <w:rFonts w:cs="Times New Roman"/>
        </w:rPr>
        <w:t>of federal revenue in the United States before the 1940s. However, income tax was increased substantially during World War Two to help pay for the war effort.</w:t>
      </w:r>
      <w:r w:rsidRPr="005554A6">
        <w:rPr>
          <w:vertAlign w:val="superscript"/>
        </w:rPr>
        <w:footnoteReference w:id="4"/>
      </w:r>
      <w:r w:rsidRPr="005554A6">
        <w:rPr>
          <w:rFonts w:cs="Times New Roman"/>
        </w:rPr>
        <w:t xml:space="preserve"> Given its new significance, concerns emerged in the 1950s and 1960s about the wide range of exemptions, deductions, deferrals and incentives in the income tax law. </w:t>
      </w:r>
    </w:p>
    <w:p w14:paraId="6F924884" w14:textId="77777777" w:rsidR="005554A6" w:rsidRPr="00367162" w:rsidRDefault="005554A6" w:rsidP="005554A6">
      <w:pPr>
        <w:spacing w:after="240"/>
        <w:rPr>
          <w:rFonts w:cs="Times New Roman"/>
        </w:rPr>
      </w:pPr>
      <w:r w:rsidRPr="00367162">
        <w:rPr>
          <w:rFonts w:cs="Times New Roman"/>
        </w:rPr>
        <w:t>In 1967, a senior United States (US) Treasury official, Stanley Surrey, introduced the term ‘tax expenditure’ to describe these tax provisions.</w:t>
      </w:r>
      <w:r w:rsidRPr="00744632">
        <w:rPr>
          <w:vertAlign w:val="superscript"/>
        </w:rPr>
        <w:footnoteReference w:id="5"/>
      </w:r>
      <w:r w:rsidRPr="00367162">
        <w:rPr>
          <w:rFonts w:cs="Times New Roman"/>
        </w:rPr>
        <w:t xml:space="preserve"> In 1968, the US Treasury published ‘Tax Expenditure Budget – a Conceptual Analysis’, setting out the basic principles of tax expenditure analysis.</w:t>
      </w:r>
      <w:r w:rsidRPr="00744632">
        <w:rPr>
          <w:vertAlign w:val="superscript"/>
        </w:rPr>
        <w:footnoteReference w:id="6"/>
      </w:r>
      <w:r w:rsidRPr="00367162">
        <w:rPr>
          <w:rFonts w:cs="Times New Roman"/>
        </w:rPr>
        <w:t xml:space="preserve"> In 1972, the US Ways and Means Committee starting publishing tax expenditure estimates. In 1974, Congress passed legislation requiring the President to report on tax expenditures in the annual federal Budget. The first report was published in 1976.</w:t>
      </w:r>
    </w:p>
    <w:p w14:paraId="59F4E909" w14:textId="77777777" w:rsidR="005554A6" w:rsidRPr="00367162" w:rsidRDefault="005554A6" w:rsidP="005554A6">
      <w:pPr>
        <w:spacing w:after="240"/>
        <w:rPr>
          <w:rFonts w:cs="Times New Roman"/>
        </w:rPr>
      </w:pPr>
      <w:r w:rsidRPr="00367162">
        <w:rPr>
          <w:rFonts w:cs="Times New Roman"/>
        </w:rPr>
        <w:t>Other countries followed suit relatively soon after. For example, in 1979, Canada and the United</w:t>
      </w:r>
      <w:r w:rsidR="00D27D50">
        <w:rPr>
          <w:rFonts w:cs="Times New Roman"/>
        </w:rPr>
        <w:t> </w:t>
      </w:r>
      <w:r w:rsidRPr="00367162">
        <w:rPr>
          <w:rFonts w:cs="Times New Roman"/>
        </w:rPr>
        <w:t>Kingdom began publishing tax expenditure statements.</w:t>
      </w:r>
      <w:r w:rsidRPr="00744632">
        <w:rPr>
          <w:vertAlign w:val="superscript"/>
        </w:rPr>
        <w:footnoteReference w:id="7"/>
      </w:r>
    </w:p>
    <w:p w14:paraId="239CEC7E" w14:textId="77777777" w:rsidR="00D27D50" w:rsidRDefault="00D27D50">
      <w:pPr>
        <w:spacing w:after="200" w:line="276" w:lineRule="auto"/>
        <w:jc w:val="left"/>
        <w:rPr>
          <w:rFonts w:cs="Times New Roman"/>
        </w:rPr>
      </w:pPr>
      <w:r>
        <w:rPr>
          <w:rFonts w:cs="Times New Roman"/>
        </w:rPr>
        <w:br w:type="page"/>
      </w:r>
    </w:p>
    <w:p w14:paraId="562958AB" w14:textId="77777777" w:rsidR="005554A6" w:rsidRPr="00367162" w:rsidRDefault="005554A6" w:rsidP="005554A6">
      <w:pPr>
        <w:spacing w:after="240"/>
        <w:rPr>
          <w:rFonts w:cs="Times New Roman"/>
        </w:rPr>
      </w:pPr>
      <w:r w:rsidRPr="00367162">
        <w:rPr>
          <w:rFonts w:cs="Times New Roman"/>
        </w:rPr>
        <w:lastRenderedPageBreak/>
        <w:t>In 1982, the (Australian) House of Representatives Standing Committee on Expenditure published a report on tax expenditures. It recommended, among other things, that the Budget include a paper listing all tax expenditures and the estimated cost of major tax expenditures.</w:t>
      </w:r>
      <w:r w:rsidRPr="00744632">
        <w:rPr>
          <w:vertAlign w:val="superscript"/>
        </w:rPr>
        <w:footnoteReference w:id="8"/>
      </w:r>
      <w:r w:rsidRPr="00367162">
        <w:rPr>
          <w:rFonts w:cs="Times New Roman"/>
        </w:rPr>
        <w:t xml:space="preserve"> In March 1985, the </w:t>
      </w:r>
      <w:r w:rsidR="009D7A47">
        <w:rPr>
          <w:rFonts w:cs="Times New Roman"/>
        </w:rPr>
        <w:t>Australian</w:t>
      </w:r>
      <w:r w:rsidRPr="00367162">
        <w:rPr>
          <w:rFonts w:cs="Times New Roman"/>
        </w:rPr>
        <w:t xml:space="preserve"> Government accepted the Committee’s recommendations and the first Tax Expenditures Statement </w:t>
      </w:r>
      <w:proofErr w:type="gramStart"/>
      <w:r w:rsidRPr="00367162">
        <w:rPr>
          <w:rFonts w:cs="Times New Roman"/>
        </w:rPr>
        <w:t>was</w:t>
      </w:r>
      <w:proofErr w:type="gramEnd"/>
      <w:r w:rsidRPr="00367162">
        <w:rPr>
          <w:rFonts w:cs="Times New Roman"/>
        </w:rPr>
        <w:t xml:space="preserve"> tabled on 11 November 1986.</w:t>
      </w:r>
      <w:r w:rsidRPr="00744632">
        <w:rPr>
          <w:vertAlign w:val="superscript"/>
        </w:rPr>
        <w:footnoteReference w:id="9"/>
      </w:r>
      <w:r w:rsidRPr="00367162">
        <w:rPr>
          <w:rFonts w:cs="Times New Roman"/>
        </w:rPr>
        <w:t xml:space="preserve"> The </w:t>
      </w:r>
      <w:r w:rsidRPr="00661749">
        <w:rPr>
          <w:rFonts w:cs="Times New Roman"/>
          <w:i/>
        </w:rPr>
        <w:t>Charter of Budget Honesty Act 1998</w:t>
      </w:r>
      <w:r w:rsidRPr="00367162">
        <w:rPr>
          <w:rFonts w:cs="Times New Roman"/>
        </w:rPr>
        <w:t xml:space="preserve"> introduced a legal requirement for an annual Tax Expenditure Statement to be published by the </w:t>
      </w:r>
      <w:r w:rsidR="009D7A47">
        <w:rPr>
          <w:rFonts w:cs="Times New Roman"/>
        </w:rPr>
        <w:t xml:space="preserve">Australian </w:t>
      </w:r>
      <w:r w:rsidRPr="00367162">
        <w:rPr>
          <w:rFonts w:cs="Times New Roman"/>
        </w:rPr>
        <w:t xml:space="preserve">Government by 31 January each year. </w:t>
      </w:r>
    </w:p>
    <w:p w14:paraId="0B3B691F" w14:textId="77777777" w:rsidR="00F012EA" w:rsidRDefault="00367162" w:rsidP="00A57848">
      <w:pPr>
        <w:pStyle w:val="Heading2"/>
      </w:pPr>
      <w:r>
        <w:t>The tax expenditure concept</w:t>
      </w:r>
    </w:p>
    <w:p w14:paraId="013C8B4E" w14:textId="77777777" w:rsidR="00367162" w:rsidRPr="00744632" w:rsidRDefault="00367162" w:rsidP="00367162">
      <w:pPr>
        <w:spacing w:after="240"/>
        <w:rPr>
          <w:rFonts w:cs="Times New Roman"/>
        </w:rPr>
      </w:pPr>
      <w:r w:rsidRPr="00744632">
        <w:rPr>
          <w:rFonts w:cs="Times New Roman"/>
        </w:rPr>
        <w:t>According to Surrey, the tax expenditure concept:</w:t>
      </w:r>
    </w:p>
    <w:p w14:paraId="0AB8D5ED" w14:textId="77777777" w:rsidR="00367162" w:rsidRPr="00744632" w:rsidRDefault="00367162" w:rsidP="00D27D50">
      <w:pPr>
        <w:pStyle w:val="Quote"/>
      </w:pPr>
      <w:r w:rsidRPr="00744632">
        <w:t xml:space="preserve">… </w:t>
      </w:r>
      <w:proofErr w:type="gramStart"/>
      <w:r w:rsidRPr="00744632">
        <w:t>posits</w:t>
      </w:r>
      <w:proofErr w:type="gramEnd"/>
      <w:r w:rsidRPr="00744632">
        <w:t xml:space="preserve"> that an income tax is composed of two distinct elements. The first element consists of structural provisions necessary to implement a normal income tax, such as the definition of net income, the specification of accounting rules, the determination of the entities subject to tax, the determination of the rate schedule and exemption levels, and the application of the tax to international transactions</w:t>
      </w:r>
      <w:r w:rsidR="00BA6DD4">
        <w:t>…</w:t>
      </w:r>
      <w:r w:rsidRPr="00744632">
        <w:t xml:space="preserve"> The second element consists of the special preferences found in every income tax. These provisions… take many forms, such as permanent exclusions from income, deductions, deferrals of tax liabilities, credits against tax, or special rates.</w:t>
      </w:r>
      <w:r w:rsidRPr="00744632">
        <w:rPr>
          <w:rStyle w:val="FootnoteReference"/>
          <w:rFonts w:cs="Times New Roman"/>
        </w:rPr>
        <w:footnoteReference w:id="10"/>
      </w:r>
    </w:p>
    <w:p w14:paraId="6FF3AD7A" w14:textId="77777777" w:rsidR="00367162" w:rsidRPr="00744632" w:rsidRDefault="00367162" w:rsidP="00367162">
      <w:pPr>
        <w:spacing w:after="240"/>
        <w:rPr>
          <w:rFonts w:cs="Times New Roman"/>
        </w:rPr>
      </w:pPr>
      <w:r w:rsidRPr="00744632">
        <w:rPr>
          <w:rFonts w:cs="Times New Roman"/>
        </w:rPr>
        <w:t xml:space="preserve">Surrey considered that, while the </w:t>
      </w:r>
      <w:proofErr w:type="spellStart"/>
      <w:r w:rsidRPr="00744632">
        <w:rPr>
          <w:rFonts w:cs="Times New Roman"/>
        </w:rPr>
        <w:t>Schanz</w:t>
      </w:r>
      <w:proofErr w:type="spellEnd"/>
      <w:r w:rsidRPr="00744632">
        <w:rPr>
          <w:rFonts w:cs="Times New Roman"/>
        </w:rPr>
        <w:t>-Haig-Simons (SHS) definition of income was a ‘useful starting point’ for identifying the ‘normative provisions in an income tax’, it had limitations.</w:t>
      </w:r>
      <w:r w:rsidRPr="00744632">
        <w:rPr>
          <w:rStyle w:val="FootnoteReference"/>
          <w:rFonts w:cs="Times New Roman"/>
        </w:rPr>
        <w:footnoteReference w:id="11"/>
      </w:r>
      <w:r w:rsidRPr="00744632">
        <w:rPr>
          <w:rFonts w:cs="Times New Roman"/>
        </w:rPr>
        <w:t xml:space="preserve"> In particular, it didn’t deal with some types of income (for example, government transfers) or losses (for example, medical expenses) and it didn’t address, for example, the appropriate time period over which to measure income. Further, he considered that ‘the SHS definition, though theoretically correct, is too rigid and demanding to be applied comprehensively in a national income tax’.</w:t>
      </w:r>
      <w:r w:rsidRPr="00744632">
        <w:rPr>
          <w:rStyle w:val="FootnoteReference"/>
          <w:rFonts w:cs="Times New Roman"/>
        </w:rPr>
        <w:footnoteReference w:id="12"/>
      </w:r>
      <w:r w:rsidRPr="00744632">
        <w:rPr>
          <w:rFonts w:cs="Times New Roman"/>
        </w:rPr>
        <w:t xml:space="preserve"> </w:t>
      </w:r>
    </w:p>
    <w:p w14:paraId="7253187E" w14:textId="77777777" w:rsidR="00367162" w:rsidRPr="00744632" w:rsidRDefault="00367162" w:rsidP="00367162">
      <w:pPr>
        <w:spacing w:after="240"/>
        <w:rPr>
          <w:rFonts w:cs="Times New Roman"/>
        </w:rPr>
      </w:pPr>
      <w:r w:rsidRPr="00744632">
        <w:rPr>
          <w:rFonts w:cs="Times New Roman"/>
        </w:rPr>
        <w:t xml:space="preserve">As a result, tax provisions were included in the ‘normal tax’ by the 1968 US Treasury report that could arguably have been tax expenditures – </w:t>
      </w:r>
      <w:r w:rsidR="00BA6DD4">
        <w:rPr>
          <w:rFonts w:cs="Times New Roman"/>
        </w:rPr>
        <w:t xml:space="preserve">in particular, </w:t>
      </w:r>
      <w:r w:rsidRPr="00744632">
        <w:rPr>
          <w:rFonts w:cs="Times New Roman"/>
        </w:rPr>
        <w:t>unrealised capital gains</w:t>
      </w:r>
      <w:r w:rsidR="00BA6DD4">
        <w:rPr>
          <w:rFonts w:cs="Times New Roman"/>
        </w:rPr>
        <w:t xml:space="preserve"> and</w:t>
      </w:r>
      <w:r w:rsidRPr="00744632">
        <w:rPr>
          <w:rFonts w:cs="Times New Roman"/>
        </w:rPr>
        <w:t xml:space="preserve"> imputed income from owner</w:t>
      </w:r>
      <w:r w:rsidRPr="00744632">
        <w:rPr>
          <w:rFonts w:cs="Times New Roman"/>
        </w:rPr>
        <w:noBreakHyphen/>
        <w:t xml:space="preserve">occupied housing and </w:t>
      </w:r>
      <w:r w:rsidR="00BA6DD4">
        <w:rPr>
          <w:rFonts w:cs="Times New Roman"/>
        </w:rPr>
        <w:t xml:space="preserve">other </w:t>
      </w:r>
      <w:r w:rsidRPr="00744632">
        <w:rPr>
          <w:rFonts w:cs="Times New Roman"/>
        </w:rPr>
        <w:t>durable consumer assets.</w:t>
      </w:r>
      <w:r w:rsidRPr="00744632">
        <w:rPr>
          <w:rStyle w:val="FootnoteReference"/>
          <w:rFonts w:cs="Times New Roman"/>
        </w:rPr>
        <w:footnoteReference w:id="13"/>
      </w:r>
      <w:r w:rsidRPr="00744632">
        <w:rPr>
          <w:rFonts w:cs="Times New Roman"/>
        </w:rPr>
        <w:t xml:space="preserve"> Further, the income tax benchmark needed to deal with matters not covered by the SHS definition such as the progressive tax rate schedule and the level of the tax-free threshold.</w:t>
      </w:r>
      <w:r w:rsidRPr="00744632">
        <w:rPr>
          <w:rStyle w:val="FootnoteReference"/>
          <w:rFonts w:cs="Times New Roman"/>
        </w:rPr>
        <w:footnoteReference w:id="14"/>
      </w:r>
    </w:p>
    <w:p w14:paraId="78DF82E5" w14:textId="77777777" w:rsidR="00367162" w:rsidRPr="00744632" w:rsidRDefault="00367162" w:rsidP="00367162">
      <w:pPr>
        <w:spacing w:after="240"/>
        <w:rPr>
          <w:rFonts w:cs="Times New Roman"/>
        </w:rPr>
      </w:pPr>
      <w:r w:rsidRPr="00744632">
        <w:rPr>
          <w:rFonts w:cs="Times New Roman"/>
        </w:rPr>
        <w:t>Surrey highlighted the similarity of tax and direct expenditures:</w:t>
      </w:r>
    </w:p>
    <w:p w14:paraId="31AD8567" w14:textId="77777777" w:rsidR="00367162" w:rsidRPr="00744632" w:rsidRDefault="00367162" w:rsidP="00D27D50">
      <w:pPr>
        <w:pStyle w:val="Quote"/>
      </w:pPr>
      <w:r w:rsidRPr="00744632">
        <w:t>Whatever their form, these departures from the normative tax structure represent government spending for favoured activities or groups, effected through the tax system rather than through direct grants, loans, or other forms of government assistance.</w:t>
      </w:r>
      <w:r w:rsidRPr="00744632">
        <w:rPr>
          <w:rStyle w:val="FootnoteReference"/>
          <w:rFonts w:cs="Times New Roman"/>
        </w:rPr>
        <w:footnoteReference w:id="15"/>
      </w:r>
    </w:p>
    <w:p w14:paraId="68E37DC8" w14:textId="77777777" w:rsidR="00D27D50" w:rsidRDefault="00D27D50">
      <w:pPr>
        <w:spacing w:after="200" w:line="276" w:lineRule="auto"/>
        <w:jc w:val="left"/>
        <w:rPr>
          <w:rFonts w:cs="Times New Roman"/>
        </w:rPr>
      </w:pPr>
      <w:r>
        <w:rPr>
          <w:rFonts w:cs="Times New Roman"/>
        </w:rPr>
        <w:br w:type="page"/>
      </w:r>
    </w:p>
    <w:p w14:paraId="7A5D58CA" w14:textId="77777777" w:rsidR="00367162" w:rsidRPr="00744632" w:rsidRDefault="00367162" w:rsidP="00367162">
      <w:pPr>
        <w:spacing w:after="240"/>
        <w:rPr>
          <w:rFonts w:cs="Times New Roman"/>
        </w:rPr>
      </w:pPr>
      <w:r w:rsidRPr="00744632">
        <w:rPr>
          <w:rFonts w:cs="Times New Roman"/>
        </w:rPr>
        <w:lastRenderedPageBreak/>
        <w:t>The purpose of the tax expenditures budget was therefore to:</w:t>
      </w:r>
    </w:p>
    <w:p w14:paraId="6A24363D" w14:textId="77777777" w:rsidR="00367162" w:rsidRPr="00744632" w:rsidRDefault="00367162" w:rsidP="00D27D50">
      <w:pPr>
        <w:pStyle w:val="Quote"/>
      </w:pPr>
      <w:proofErr w:type="gramStart"/>
      <w:r w:rsidRPr="00744632">
        <w:t>include</w:t>
      </w:r>
      <w:proofErr w:type="gramEnd"/>
      <w:r w:rsidRPr="00744632">
        <w:t xml:space="preserve"> in the budget and in the budget-making process the cost of special tax provisions which… can be considered as alternatives to direct expenditures and loan programs, so as to allow decisions which make the most effective use of all budgetary resources.</w:t>
      </w:r>
      <w:r w:rsidRPr="00744632">
        <w:rPr>
          <w:rStyle w:val="FootnoteReference"/>
          <w:rFonts w:cs="Times New Roman"/>
        </w:rPr>
        <w:footnoteReference w:id="16"/>
      </w:r>
    </w:p>
    <w:p w14:paraId="0A41C1EB" w14:textId="77777777" w:rsidR="00367162" w:rsidRPr="00744632" w:rsidRDefault="00367162" w:rsidP="00367162">
      <w:pPr>
        <w:spacing w:after="240"/>
        <w:rPr>
          <w:rFonts w:cs="Times New Roman"/>
        </w:rPr>
      </w:pPr>
      <w:r w:rsidRPr="00744632">
        <w:rPr>
          <w:rFonts w:cs="Times New Roman"/>
        </w:rPr>
        <w:t>Surrey stated that the ‘classification of an item as a tax expenditure does not itself make that item either a desirable or undesirable provision’.</w:t>
      </w:r>
      <w:r w:rsidRPr="00744632">
        <w:rPr>
          <w:rStyle w:val="FootnoteReference"/>
          <w:rFonts w:cs="Times New Roman"/>
        </w:rPr>
        <w:footnoteReference w:id="17"/>
      </w:r>
      <w:r w:rsidRPr="00744632">
        <w:rPr>
          <w:rFonts w:cs="Times New Roman"/>
        </w:rPr>
        <w:t xml:space="preserve"> However, he clearly considered that tax expenditures were poor public policy primarily because, unlike direct expenditures, ‘the overwhelming majority… disproportionately benefit upper-income groups’.</w:t>
      </w:r>
      <w:r w:rsidRPr="00744632">
        <w:rPr>
          <w:rStyle w:val="FootnoteReference"/>
          <w:rFonts w:cs="Times New Roman"/>
        </w:rPr>
        <w:footnoteReference w:id="18"/>
      </w:r>
      <w:r w:rsidRPr="00744632">
        <w:rPr>
          <w:rFonts w:cs="Times New Roman"/>
        </w:rPr>
        <w:t xml:space="preserve"> He emphasised the ‘upside-down character of tax expenditures’.</w:t>
      </w:r>
      <w:r w:rsidRPr="00744632">
        <w:rPr>
          <w:rStyle w:val="FootnoteReference"/>
          <w:rFonts w:cs="Times New Roman"/>
        </w:rPr>
        <w:footnoteReference w:id="19"/>
      </w:r>
      <w:r w:rsidRPr="00744632">
        <w:rPr>
          <w:rFonts w:cs="Times New Roman"/>
        </w:rPr>
        <w:t xml:space="preserve"> Surrey considered that:</w:t>
      </w:r>
    </w:p>
    <w:p w14:paraId="17B8FC3C" w14:textId="77777777" w:rsidR="00367162" w:rsidRPr="00744632" w:rsidRDefault="00367162" w:rsidP="00D27D50">
      <w:pPr>
        <w:pStyle w:val="Quote"/>
      </w:pPr>
      <w:r w:rsidRPr="00744632">
        <w:t>…many tax incentives look, and are, highly irrational when phrased as direct expenditure programs structured the same way. Indeed, it is doubtful that most of our existing tax incentives would ever have been introduced, let alone accepted, if so structured, and many would be laughed out of Congress.</w:t>
      </w:r>
      <w:r w:rsidRPr="00744632">
        <w:rPr>
          <w:rStyle w:val="FootnoteReference"/>
          <w:rFonts w:cs="Times New Roman"/>
        </w:rPr>
        <w:footnoteReference w:id="20"/>
      </w:r>
    </w:p>
    <w:p w14:paraId="2EB1558D" w14:textId="77777777" w:rsidR="00367162" w:rsidRPr="00744632" w:rsidRDefault="00367162" w:rsidP="00367162">
      <w:pPr>
        <w:spacing w:after="240"/>
        <w:rPr>
          <w:rFonts w:cs="Times New Roman"/>
        </w:rPr>
      </w:pPr>
      <w:r w:rsidRPr="00744632">
        <w:rPr>
          <w:rFonts w:cs="Times New Roman"/>
        </w:rPr>
        <w:t>More ideologically, Surrey considered that:</w:t>
      </w:r>
    </w:p>
    <w:p w14:paraId="642BCE33" w14:textId="77777777" w:rsidR="00367162" w:rsidRPr="00744632" w:rsidRDefault="00367162" w:rsidP="00D27D50">
      <w:pPr>
        <w:pStyle w:val="Quote"/>
      </w:pPr>
      <w:r w:rsidRPr="00744632">
        <w:t xml:space="preserve">… </w:t>
      </w:r>
      <w:proofErr w:type="gramStart"/>
      <w:r w:rsidRPr="00744632">
        <w:t>the</w:t>
      </w:r>
      <w:proofErr w:type="gramEnd"/>
      <w:r w:rsidRPr="00744632">
        <w:t xml:space="preserve"> individual who earns his profits, even high profits, by meeting a need or desire of society, finds his rewards subject to the progressive income tax. The economic system is thus functioning as it is intended it should, and the tax system, which acts as a control, is also functioning as intended. But when rewards are in the form of tax incentives, the latter control is eliminated and tax millionaires are produced.</w:t>
      </w:r>
      <w:r w:rsidRPr="00744632">
        <w:rPr>
          <w:rStyle w:val="FootnoteReference"/>
          <w:rFonts w:cs="Times New Roman"/>
        </w:rPr>
        <w:footnoteReference w:id="21"/>
      </w:r>
    </w:p>
    <w:p w14:paraId="7F925B68" w14:textId="77777777" w:rsidR="00367162" w:rsidRPr="00744632" w:rsidRDefault="00367162" w:rsidP="00367162">
      <w:pPr>
        <w:spacing w:after="240"/>
        <w:rPr>
          <w:rFonts w:cs="Times New Roman"/>
        </w:rPr>
      </w:pPr>
      <w:r w:rsidRPr="00744632">
        <w:rPr>
          <w:rFonts w:cs="Times New Roman"/>
        </w:rPr>
        <w:t>Ultimately, Surrey’s hope was that, by bringing to light previously hidden inequitable tax provisions, an annual tax expenditures budget would prompt Congress to repeal them.</w:t>
      </w:r>
    </w:p>
    <w:p w14:paraId="2CC99FAA" w14:textId="77777777" w:rsidR="00367162" w:rsidRPr="00744632" w:rsidRDefault="00367162" w:rsidP="00744632">
      <w:pPr>
        <w:pStyle w:val="Heading2"/>
      </w:pPr>
      <w:r w:rsidRPr="00744632">
        <w:t>Immediate criticism</w:t>
      </w:r>
    </w:p>
    <w:p w14:paraId="4DFF1266" w14:textId="77777777" w:rsidR="00367162" w:rsidRPr="00744632" w:rsidRDefault="00367162" w:rsidP="00367162">
      <w:pPr>
        <w:spacing w:after="240"/>
        <w:rPr>
          <w:rFonts w:cs="Times New Roman"/>
        </w:rPr>
      </w:pPr>
      <w:r w:rsidRPr="00744632">
        <w:rPr>
          <w:rFonts w:cs="Times New Roman"/>
        </w:rPr>
        <w:t xml:space="preserve">Surrey’s tax expenditure concept was immediately strongly criticised, particularly by a professor of law at Yale University, Boris </w:t>
      </w:r>
      <w:proofErr w:type="spellStart"/>
      <w:r w:rsidRPr="00744632">
        <w:rPr>
          <w:rFonts w:cs="Times New Roman"/>
        </w:rPr>
        <w:t>Bittker</w:t>
      </w:r>
      <w:proofErr w:type="spellEnd"/>
      <w:r w:rsidRPr="00744632">
        <w:rPr>
          <w:rFonts w:cs="Times New Roman"/>
        </w:rPr>
        <w:t xml:space="preserve">. </w:t>
      </w:r>
    </w:p>
    <w:p w14:paraId="4D71C47F" w14:textId="77777777" w:rsidR="00331C51" w:rsidRDefault="00331C51">
      <w:pPr>
        <w:spacing w:after="200" w:line="276" w:lineRule="auto"/>
        <w:jc w:val="left"/>
        <w:rPr>
          <w:rFonts w:cs="Times New Roman"/>
        </w:rPr>
      </w:pPr>
      <w:r>
        <w:rPr>
          <w:rFonts w:cs="Times New Roman"/>
        </w:rPr>
        <w:br w:type="page"/>
      </w:r>
    </w:p>
    <w:p w14:paraId="208C1621" w14:textId="77777777" w:rsidR="00367162" w:rsidRPr="00744632" w:rsidRDefault="00367162" w:rsidP="00367162">
      <w:pPr>
        <w:spacing w:after="240"/>
        <w:rPr>
          <w:rFonts w:cs="Times New Roman"/>
        </w:rPr>
      </w:pPr>
      <w:proofErr w:type="spellStart"/>
      <w:r w:rsidRPr="00744632">
        <w:rPr>
          <w:rFonts w:cs="Times New Roman"/>
        </w:rPr>
        <w:lastRenderedPageBreak/>
        <w:t>Bittker</w:t>
      </w:r>
      <w:proofErr w:type="spellEnd"/>
      <w:r w:rsidRPr="00744632">
        <w:rPr>
          <w:rFonts w:cs="Times New Roman"/>
        </w:rPr>
        <w:t xml:space="preserve"> argued that Surrey had failed to provide a ‘set of principles enabling us to decide with reasonable assurance which income tax provisions are departures’ from the normal income tax.</w:t>
      </w:r>
      <w:r w:rsidRPr="00744632">
        <w:rPr>
          <w:rStyle w:val="FootnoteReference"/>
          <w:rFonts w:cs="Times New Roman"/>
        </w:rPr>
        <w:footnoteReference w:id="22"/>
      </w:r>
      <w:r w:rsidRPr="00744632">
        <w:rPr>
          <w:rFonts w:cs="Times New Roman"/>
        </w:rPr>
        <w:t xml:space="preserve"> He questioned why, in the US Treasury’s Tax Expenditure Budget, some tax provisions were deemed to be ‘structural’ (for example, tax exemptions for families), but other seemingly similar provisions were not (for example, tax exemptions for persons who were blind or aged over 65).</w:t>
      </w:r>
      <w:r w:rsidRPr="00744632">
        <w:rPr>
          <w:rStyle w:val="FootnoteReference"/>
          <w:rFonts w:cs="Times New Roman"/>
        </w:rPr>
        <w:footnoteReference w:id="23"/>
      </w:r>
      <w:r w:rsidRPr="00744632">
        <w:rPr>
          <w:rFonts w:cs="Times New Roman"/>
        </w:rPr>
        <w:t xml:space="preserve"> </w:t>
      </w:r>
      <w:proofErr w:type="spellStart"/>
      <w:r w:rsidRPr="00744632">
        <w:rPr>
          <w:rFonts w:cs="Times New Roman"/>
        </w:rPr>
        <w:t>Bittker</w:t>
      </w:r>
      <w:proofErr w:type="spellEnd"/>
      <w:r w:rsidRPr="00744632">
        <w:rPr>
          <w:rFonts w:cs="Times New Roman"/>
        </w:rPr>
        <w:t xml:space="preserve"> further noted that: </w:t>
      </w:r>
    </w:p>
    <w:p w14:paraId="3939A93C" w14:textId="77777777" w:rsidR="00367162" w:rsidRPr="00744632" w:rsidRDefault="00367162" w:rsidP="00D27D50">
      <w:pPr>
        <w:pStyle w:val="Quote"/>
      </w:pPr>
      <w:proofErr w:type="gramStart"/>
      <w:r w:rsidRPr="00744632">
        <w:t>aside</w:t>
      </w:r>
      <w:proofErr w:type="gramEnd"/>
      <w:r w:rsidRPr="00744632">
        <w:t xml:space="preserve"> from the many ambiguities that become apparent as soon as one attempts to apply the Haig-Simons definition to the protean stream of economic life, any system of income taxation is an aggregation of decisions about a host of structural issues that the Haig-Simons definition does not even purport to settle. As to these, one could lock forty tax experts in a room for forty days, and get no agreement…</w:t>
      </w:r>
      <w:r w:rsidRPr="00744632">
        <w:rPr>
          <w:rStyle w:val="FootnoteReference"/>
          <w:rFonts w:cs="Times New Roman"/>
        </w:rPr>
        <w:footnoteReference w:id="24"/>
      </w:r>
    </w:p>
    <w:p w14:paraId="741E33F1" w14:textId="77777777" w:rsidR="00367162" w:rsidRPr="00744632" w:rsidRDefault="00367162" w:rsidP="00367162">
      <w:pPr>
        <w:spacing w:after="240"/>
        <w:rPr>
          <w:rFonts w:cs="Times New Roman"/>
        </w:rPr>
      </w:pPr>
      <w:proofErr w:type="spellStart"/>
      <w:r w:rsidRPr="00744632">
        <w:rPr>
          <w:rFonts w:cs="Times New Roman"/>
        </w:rPr>
        <w:t>Bittker</w:t>
      </w:r>
      <w:proofErr w:type="spellEnd"/>
      <w:r w:rsidRPr="00744632">
        <w:rPr>
          <w:rFonts w:cs="Times New Roman"/>
        </w:rPr>
        <w:t xml:space="preserve"> also questioned the application of the tax expenditure concept to indirect taxes, suggesting that:</w:t>
      </w:r>
    </w:p>
    <w:p w14:paraId="45BB99E3" w14:textId="77777777" w:rsidR="00367162" w:rsidRPr="00744632" w:rsidRDefault="00367162" w:rsidP="00D27D50">
      <w:pPr>
        <w:pStyle w:val="Quote"/>
      </w:pPr>
      <w:r w:rsidRPr="00744632">
        <w:t>It would seem to follow that an excise tax is always just what Congress enacts, so it is meaningless to talk of ‘departures’, ‘concessions’, ‘exceptions’ and ‘special provisions’.</w:t>
      </w:r>
      <w:r w:rsidRPr="00744632">
        <w:rPr>
          <w:rStyle w:val="FootnoteReference"/>
          <w:rFonts w:cs="Times New Roman"/>
        </w:rPr>
        <w:footnoteReference w:id="25"/>
      </w:r>
    </w:p>
    <w:p w14:paraId="490B848A" w14:textId="77777777" w:rsidR="00367162" w:rsidRPr="00744632" w:rsidRDefault="00367162" w:rsidP="00367162">
      <w:pPr>
        <w:spacing w:after="240"/>
        <w:rPr>
          <w:rFonts w:cs="Times New Roman"/>
        </w:rPr>
      </w:pPr>
      <w:r w:rsidRPr="00744632">
        <w:rPr>
          <w:rFonts w:cs="Times New Roman"/>
        </w:rPr>
        <w:t xml:space="preserve">Ultimately, </w:t>
      </w:r>
      <w:proofErr w:type="spellStart"/>
      <w:r w:rsidRPr="00744632">
        <w:rPr>
          <w:rFonts w:cs="Times New Roman"/>
        </w:rPr>
        <w:t>Bittker</w:t>
      </w:r>
      <w:proofErr w:type="spellEnd"/>
      <w:r w:rsidRPr="00744632">
        <w:rPr>
          <w:rFonts w:cs="Times New Roman"/>
        </w:rPr>
        <w:t xml:space="preserve"> was concerned that tax expenditure analysis would ‘succeed in bringing some issues to the fore only to conceal others… [h]</w:t>
      </w:r>
      <w:proofErr w:type="spellStart"/>
      <w:r w:rsidRPr="00744632">
        <w:rPr>
          <w:rFonts w:cs="Times New Roman"/>
        </w:rPr>
        <w:t>alf</w:t>
      </w:r>
      <w:proofErr w:type="spellEnd"/>
      <w:r w:rsidRPr="00744632">
        <w:rPr>
          <w:rFonts w:cs="Times New Roman"/>
        </w:rPr>
        <w:t>-truths are often more deceptive than silence.’</w:t>
      </w:r>
      <w:r w:rsidRPr="00744632">
        <w:rPr>
          <w:rStyle w:val="FootnoteReference"/>
          <w:rFonts w:cs="Times New Roman"/>
        </w:rPr>
        <w:footnoteReference w:id="26"/>
      </w:r>
    </w:p>
    <w:p w14:paraId="59E86B43" w14:textId="77777777" w:rsidR="00367162" w:rsidRPr="00744632" w:rsidRDefault="00367162" w:rsidP="00367162">
      <w:pPr>
        <w:spacing w:after="240"/>
        <w:rPr>
          <w:rFonts w:cs="Times New Roman"/>
        </w:rPr>
      </w:pPr>
      <w:r w:rsidRPr="00744632">
        <w:rPr>
          <w:rFonts w:cs="Times New Roman"/>
        </w:rPr>
        <w:t>In response, Surrey</w:t>
      </w:r>
      <w:r w:rsidR="00711A1E">
        <w:rPr>
          <w:rFonts w:cs="Times New Roman"/>
        </w:rPr>
        <w:t xml:space="preserve"> and </w:t>
      </w:r>
      <w:proofErr w:type="spellStart"/>
      <w:r w:rsidR="00711A1E">
        <w:rPr>
          <w:rFonts w:cs="Times New Roman"/>
        </w:rPr>
        <w:t>Hellmuth</w:t>
      </w:r>
      <w:proofErr w:type="spellEnd"/>
      <w:r w:rsidR="00BD00AC">
        <w:rPr>
          <w:rFonts w:cs="Times New Roman"/>
        </w:rPr>
        <w:t xml:space="preserve">, among other things, </w:t>
      </w:r>
      <w:r w:rsidR="00D120B5">
        <w:rPr>
          <w:rFonts w:cs="Times New Roman"/>
        </w:rPr>
        <w:t xml:space="preserve">noted </w:t>
      </w:r>
      <w:r w:rsidR="00BD00AC">
        <w:rPr>
          <w:rFonts w:cs="Times New Roman"/>
        </w:rPr>
        <w:t xml:space="preserve">an earlier concession by the US Treasury Department </w:t>
      </w:r>
      <w:r w:rsidRPr="00744632">
        <w:rPr>
          <w:rFonts w:cs="Times New Roman"/>
        </w:rPr>
        <w:t>that:</w:t>
      </w:r>
    </w:p>
    <w:p w14:paraId="4467CDF8" w14:textId="77777777" w:rsidR="00367162" w:rsidRPr="00744632" w:rsidRDefault="00367162" w:rsidP="00D27D50">
      <w:pPr>
        <w:pStyle w:val="Quote"/>
      </w:pPr>
      <w:proofErr w:type="gramStart"/>
      <w:r w:rsidRPr="00744632">
        <w:t>the</w:t>
      </w:r>
      <w:proofErr w:type="gramEnd"/>
      <w:r w:rsidRPr="00744632">
        <w:t xml:space="preserve"> exclusions from the listing are to some extent arbitrary. The objective of this analysis is to provide a list of items that would be generally recognised as an intended use of the tax system to achieve results which are now, or could be, achieved through direct Government expenditures.</w:t>
      </w:r>
      <w:r w:rsidRPr="00744632">
        <w:rPr>
          <w:rStyle w:val="FootnoteReference"/>
          <w:rFonts w:cs="Times New Roman"/>
        </w:rPr>
        <w:footnoteReference w:id="27"/>
      </w:r>
    </w:p>
    <w:p w14:paraId="5D557AC2" w14:textId="77777777" w:rsidR="00367162" w:rsidRPr="00744632" w:rsidRDefault="00BD00AC" w:rsidP="00367162">
      <w:pPr>
        <w:spacing w:after="240"/>
        <w:rPr>
          <w:rFonts w:cs="Times New Roman"/>
        </w:rPr>
      </w:pPr>
      <w:r>
        <w:rPr>
          <w:rFonts w:cs="Times New Roman"/>
        </w:rPr>
        <w:t>Surrey</w:t>
      </w:r>
      <w:r w:rsidR="00367162" w:rsidRPr="00744632">
        <w:rPr>
          <w:rFonts w:cs="Times New Roman"/>
        </w:rPr>
        <w:t xml:space="preserve"> </w:t>
      </w:r>
      <w:r w:rsidR="00711A1E">
        <w:rPr>
          <w:rFonts w:cs="Times New Roman"/>
        </w:rPr>
        <w:t xml:space="preserve">and </w:t>
      </w:r>
      <w:proofErr w:type="spellStart"/>
      <w:r w:rsidR="00711A1E">
        <w:rPr>
          <w:rFonts w:cs="Times New Roman"/>
        </w:rPr>
        <w:t>Hellmuth</w:t>
      </w:r>
      <w:proofErr w:type="spellEnd"/>
      <w:r w:rsidR="00711A1E">
        <w:rPr>
          <w:rFonts w:cs="Times New Roman"/>
        </w:rPr>
        <w:t xml:space="preserve"> </w:t>
      </w:r>
      <w:r w:rsidR="00367162" w:rsidRPr="00744632">
        <w:rPr>
          <w:rFonts w:cs="Times New Roman"/>
        </w:rPr>
        <w:t xml:space="preserve">also suggested that </w:t>
      </w:r>
      <w:proofErr w:type="spellStart"/>
      <w:r w:rsidR="00367162" w:rsidRPr="00744632">
        <w:rPr>
          <w:rFonts w:cs="Times New Roman"/>
        </w:rPr>
        <w:t>Bittker</w:t>
      </w:r>
      <w:proofErr w:type="spellEnd"/>
      <w:r w:rsidR="00367162" w:rsidRPr="00744632">
        <w:rPr>
          <w:rFonts w:cs="Times New Roman"/>
        </w:rPr>
        <w:t xml:space="preserve"> was ‘both too pessimistic and too anarchistic’</w:t>
      </w:r>
      <w:r w:rsidR="00367162" w:rsidRPr="00744632">
        <w:rPr>
          <w:rStyle w:val="FootnoteReference"/>
          <w:rFonts w:cs="Times New Roman"/>
        </w:rPr>
        <w:footnoteReference w:id="28"/>
      </w:r>
      <w:r w:rsidR="00367162" w:rsidRPr="00744632">
        <w:rPr>
          <w:rFonts w:cs="Times New Roman"/>
        </w:rPr>
        <w:t xml:space="preserve"> and that:</w:t>
      </w:r>
    </w:p>
    <w:p w14:paraId="3353523F" w14:textId="77777777" w:rsidR="00367162" w:rsidRPr="00744632" w:rsidRDefault="00367162" w:rsidP="00D27D50">
      <w:pPr>
        <w:pStyle w:val="Quote"/>
      </w:pPr>
      <w:proofErr w:type="gramStart"/>
      <w:r w:rsidRPr="00744632">
        <w:t>we</w:t>
      </w:r>
      <w:proofErr w:type="gramEnd"/>
      <w:r w:rsidRPr="00744632">
        <w:t xml:space="preserve"> must also strive constantly to develop the criteria to permit both order and rational criticism of disorder. To do otherwise is to turn the tax system over to those who thrive on disorder, for then their advantages are beyond judgement and control.</w:t>
      </w:r>
      <w:r w:rsidRPr="00744632">
        <w:rPr>
          <w:rStyle w:val="FootnoteReference"/>
          <w:rFonts w:cs="Times New Roman"/>
        </w:rPr>
        <w:footnoteReference w:id="29"/>
      </w:r>
    </w:p>
    <w:p w14:paraId="1E8718B3" w14:textId="77777777" w:rsidR="00367162" w:rsidRPr="00744632" w:rsidRDefault="00367162" w:rsidP="00367162">
      <w:pPr>
        <w:spacing w:after="240"/>
        <w:rPr>
          <w:rFonts w:cs="Times New Roman"/>
        </w:rPr>
      </w:pPr>
      <w:proofErr w:type="spellStart"/>
      <w:r w:rsidRPr="00744632">
        <w:rPr>
          <w:rFonts w:cs="Times New Roman"/>
        </w:rPr>
        <w:t>Bittker’s</w:t>
      </w:r>
      <w:proofErr w:type="spellEnd"/>
      <w:r w:rsidRPr="00744632">
        <w:rPr>
          <w:rFonts w:cs="Times New Roman"/>
        </w:rPr>
        <w:t xml:space="preserve"> other key point was </w:t>
      </w:r>
      <w:proofErr w:type="gramStart"/>
      <w:r w:rsidRPr="00744632">
        <w:rPr>
          <w:rFonts w:cs="Times New Roman"/>
        </w:rPr>
        <w:t>that:</w:t>
      </w:r>
      <w:proofErr w:type="gramEnd"/>
    </w:p>
    <w:p w14:paraId="3FCB4E63" w14:textId="77777777" w:rsidR="00367162" w:rsidRPr="00744632" w:rsidRDefault="00367162" w:rsidP="00D27D50">
      <w:pPr>
        <w:pStyle w:val="Quote"/>
      </w:pPr>
      <w:r w:rsidRPr="00744632">
        <w:t>The Treasury’s Tax Expenditure Budget makes the simplifying assumption that economic activity would not have been affected by repeal of the tax provisions under study...</w:t>
      </w:r>
      <w:r w:rsidRPr="00744632">
        <w:rPr>
          <w:rStyle w:val="FootnoteReference"/>
          <w:rFonts w:cs="Times New Roman"/>
        </w:rPr>
        <w:footnoteReference w:id="30"/>
      </w:r>
    </w:p>
    <w:p w14:paraId="758B111D" w14:textId="77777777" w:rsidR="00331C51" w:rsidRDefault="00331C51">
      <w:pPr>
        <w:spacing w:after="200" w:line="276" w:lineRule="auto"/>
        <w:jc w:val="left"/>
        <w:rPr>
          <w:rFonts w:cs="Times New Roman"/>
        </w:rPr>
      </w:pPr>
      <w:r>
        <w:rPr>
          <w:rFonts w:cs="Times New Roman"/>
        </w:rPr>
        <w:br w:type="page"/>
      </w:r>
    </w:p>
    <w:p w14:paraId="731C8DFA" w14:textId="77777777" w:rsidR="00367162" w:rsidRPr="00744632" w:rsidRDefault="00367162" w:rsidP="00367162">
      <w:pPr>
        <w:spacing w:after="240"/>
        <w:rPr>
          <w:rFonts w:cs="Times New Roman"/>
        </w:rPr>
      </w:pPr>
      <w:r w:rsidRPr="00744632">
        <w:rPr>
          <w:rFonts w:cs="Times New Roman"/>
        </w:rPr>
        <w:lastRenderedPageBreak/>
        <w:t>The estimates were therefore ‘often... quite unrealistic’.</w:t>
      </w:r>
      <w:r w:rsidRPr="00744632">
        <w:rPr>
          <w:rStyle w:val="FootnoteReference"/>
          <w:rFonts w:cs="Times New Roman"/>
        </w:rPr>
        <w:footnoteReference w:id="31"/>
      </w:r>
      <w:r w:rsidRPr="00744632">
        <w:rPr>
          <w:rFonts w:cs="Times New Roman"/>
        </w:rPr>
        <w:t xml:space="preserve"> He also predicted that:</w:t>
      </w:r>
    </w:p>
    <w:p w14:paraId="297FA72F" w14:textId="77777777" w:rsidR="00367162" w:rsidRPr="00744632" w:rsidRDefault="00367162" w:rsidP="00D27D50">
      <w:pPr>
        <w:pStyle w:val="Quote"/>
      </w:pPr>
      <w:r w:rsidRPr="00744632">
        <w:t xml:space="preserve">… </w:t>
      </w:r>
      <w:proofErr w:type="gramStart"/>
      <w:r w:rsidRPr="00744632">
        <w:t>the</w:t>
      </w:r>
      <w:proofErr w:type="gramEnd"/>
      <w:r w:rsidRPr="00744632">
        <w:t xml:space="preserve"> fine print warnings, descriptions of methodology, and other disclaimers [in the Tax Expenditures Budget] are bound to be over-shadowed by the apparently objective dollar amounts.</w:t>
      </w:r>
      <w:r w:rsidRPr="00744632">
        <w:rPr>
          <w:rStyle w:val="FootnoteReference"/>
          <w:rFonts w:cs="Times New Roman"/>
        </w:rPr>
        <w:footnoteReference w:id="32"/>
      </w:r>
    </w:p>
    <w:p w14:paraId="213D7730" w14:textId="77777777" w:rsidR="00367162" w:rsidRPr="00744632" w:rsidRDefault="00367162" w:rsidP="00367162">
      <w:pPr>
        <w:spacing w:after="240"/>
        <w:rPr>
          <w:rFonts w:cs="Times New Roman"/>
        </w:rPr>
      </w:pPr>
      <w:r w:rsidRPr="00744632">
        <w:rPr>
          <w:rFonts w:cs="Times New Roman"/>
        </w:rPr>
        <w:t xml:space="preserve">In response, Surrey </w:t>
      </w:r>
      <w:r w:rsidR="00711A1E">
        <w:rPr>
          <w:rFonts w:cs="Times New Roman"/>
        </w:rPr>
        <w:t xml:space="preserve">and </w:t>
      </w:r>
      <w:proofErr w:type="spellStart"/>
      <w:r w:rsidR="00711A1E">
        <w:rPr>
          <w:rFonts w:cs="Times New Roman"/>
        </w:rPr>
        <w:t>Hellmuth</w:t>
      </w:r>
      <w:proofErr w:type="spellEnd"/>
      <w:r w:rsidR="00711A1E">
        <w:rPr>
          <w:rFonts w:cs="Times New Roman"/>
        </w:rPr>
        <w:t xml:space="preserve"> </w:t>
      </w:r>
      <w:r w:rsidRPr="00744632">
        <w:rPr>
          <w:rFonts w:cs="Times New Roman"/>
        </w:rPr>
        <w:t>noted that:</w:t>
      </w:r>
    </w:p>
    <w:p w14:paraId="4E12405B" w14:textId="77777777" w:rsidR="00367162" w:rsidRPr="00744632" w:rsidRDefault="00367162" w:rsidP="00D27D50">
      <w:pPr>
        <w:pStyle w:val="Quote"/>
      </w:pPr>
      <w:r w:rsidRPr="00744632">
        <w:t xml:space="preserve">… </w:t>
      </w:r>
      <w:proofErr w:type="gramStart"/>
      <w:r w:rsidRPr="00744632">
        <w:t>this</w:t>
      </w:r>
      <w:proofErr w:type="gramEnd"/>
      <w:r w:rsidRPr="00744632">
        <w:t xml:space="preserve"> approach is in keeping with the Budget generally, since Budget estimates of direct expenditures do not involve second level effects of the expenditure itself, or its absence…</w:t>
      </w:r>
      <w:r w:rsidRPr="00744632">
        <w:rPr>
          <w:rStyle w:val="FootnoteReference"/>
          <w:rFonts w:cs="Times New Roman"/>
        </w:rPr>
        <w:footnoteReference w:id="33"/>
      </w:r>
    </w:p>
    <w:p w14:paraId="2D3BCDAF" w14:textId="77777777" w:rsidR="00367162" w:rsidRPr="00744632" w:rsidRDefault="00367162" w:rsidP="00744632">
      <w:pPr>
        <w:pStyle w:val="Heading2"/>
      </w:pPr>
      <w:r w:rsidRPr="00744632">
        <w:t>Reagan administration</w:t>
      </w:r>
    </w:p>
    <w:p w14:paraId="6A4E7841" w14:textId="77777777" w:rsidR="00367162" w:rsidRPr="00744632" w:rsidRDefault="00367162" w:rsidP="00367162">
      <w:pPr>
        <w:spacing w:after="240"/>
        <w:rPr>
          <w:rFonts w:cs="Times New Roman"/>
        </w:rPr>
      </w:pPr>
      <w:r w:rsidRPr="00744632">
        <w:rPr>
          <w:rFonts w:cs="Times New Roman"/>
        </w:rPr>
        <w:t>It appears that debate about tax expenditures remained largely within academia until the Reagan administration came to power in 1981.</w:t>
      </w:r>
      <w:r w:rsidRPr="00744632">
        <w:rPr>
          <w:rStyle w:val="FootnoteReference"/>
          <w:rFonts w:cs="Times New Roman"/>
        </w:rPr>
        <w:footnoteReference w:id="34"/>
      </w:r>
      <w:r w:rsidRPr="00744632">
        <w:rPr>
          <w:rFonts w:cs="Times New Roman"/>
        </w:rPr>
        <w:t xml:space="preserve"> The 198</w:t>
      </w:r>
      <w:r w:rsidR="007F06DD">
        <w:rPr>
          <w:rFonts w:cs="Times New Roman"/>
        </w:rPr>
        <w:t>3</w:t>
      </w:r>
      <w:r w:rsidRPr="00744632">
        <w:rPr>
          <w:rFonts w:cs="Times New Roman"/>
        </w:rPr>
        <w:t xml:space="preserve"> Tax Expenditures Budget stated that:</w:t>
      </w:r>
    </w:p>
    <w:p w14:paraId="5F6852F7" w14:textId="77777777" w:rsidR="00367162" w:rsidRPr="00744632" w:rsidRDefault="00367162" w:rsidP="00D27D50">
      <w:pPr>
        <w:pStyle w:val="Quote"/>
      </w:pPr>
      <w:r w:rsidRPr="00744632">
        <w:t>The very term 'tax expenditure' is misleading in several respects, and there are formidable difficulties in trying to define the underlying concept or to measure the effect of 'special' tax provisions….</w:t>
      </w:r>
      <w:r w:rsidRPr="00744632">
        <w:rPr>
          <w:rStyle w:val="FootnoteReference"/>
          <w:rFonts w:cs="Times New Roman"/>
        </w:rPr>
        <w:footnoteReference w:id="35"/>
      </w:r>
    </w:p>
    <w:p w14:paraId="4043C983" w14:textId="77777777" w:rsidR="00367162" w:rsidRPr="00744632" w:rsidRDefault="00367162" w:rsidP="00367162">
      <w:pPr>
        <w:spacing w:after="240"/>
        <w:rPr>
          <w:rFonts w:cs="Times New Roman"/>
        </w:rPr>
      </w:pPr>
      <w:r w:rsidRPr="00744632">
        <w:rPr>
          <w:rFonts w:cs="Times New Roman"/>
        </w:rPr>
        <w:t>More stridently:</w:t>
      </w:r>
    </w:p>
    <w:p w14:paraId="03968321" w14:textId="77777777" w:rsidR="00367162" w:rsidRPr="00744632" w:rsidRDefault="00367162" w:rsidP="00D27D50">
      <w:pPr>
        <w:pStyle w:val="Quote"/>
      </w:pPr>
      <w:proofErr w:type="gramStart"/>
      <w:r w:rsidRPr="00744632">
        <w:t>The term "tax expenditures" is... unfortunate in that it seems to imply that Government has control over all resources.</w:t>
      </w:r>
      <w:proofErr w:type="gramEnd"/>
      <w:r w:rsidRPr="00744632">
        <w:t xml:space="preserve"> If revenues which are not collected due to "special" tax provisions represent Government "expenditures," why not consider all tax rates below 100% "special," in which case all resources are effectively Government-controlled?</w:t>
      </w:r>
      <w:r w:rsidRPr="00744632">
        <w:rPr>
          <w:rStyle w:val="FootnoteReference"/>
          <w:rFonts w:cs="Times New Roman"/>
        </w:rPr>
        <w:footnoteReference w:id="36"/>
      </w:r>
      <w:r w:rsidRPr="00744632">
        <w:t xml:space="preserve"> </w:t>
      </w:r>
    </w:p>
    <w:p w14:paraId="403148FA" w14:textId="5933C37B" w:rsidR="00367162" w:rsidRPr="00744632" w:rsidRDefault="00367162" w:rsidP="00367162">
      <w:pPr>
        <w:spacing w:after="240"/>
        <w:rPr>
          <w:rFonts w:cs="Times New Roman"/>
        </w:rPr>
      </w:pPr>
      <w:r w:rsidRPr="00744632">
        <w:rPr>
          <w:rFonts w:cs="Times New Roman"/>
        </w:rPr>
        <w:t>The 198</w:t>
      </w:r>
      <w:r w:rsidR="00BC7845">
        <w:rPr>
          <w:rFonts w:cs="Times New Roman"/>
        </w:rPr>
        <w:t>3</w:t>
      </w:r>
      <w:r w:rsidRPr="00744632">
        <w:rPr>
          <w:rFonts w:cs="Times New Roman"/>
        </w:rPr>
        <w:t xml:space="preserve"> Tax Expenditures Budget redefined tax expenditures to be provisions that applied to a narrow class of taxpayers or transactions and which were exceptions from general provisions. These general provisions formed the benchmark – known as the ‘reference tax law’ – underpinning the Tax Expenditures Budget. As a result, accelerated depreciation and graduated tax rates for corporations, among others, were no longer deemed to be tax expenditures.</w:t>
      </w:r>
      <w:r w:rsidRPr="00744632">
        <w:rPr>
          <w:rStyle w:val="FootnoteReference"/>
          <w:rFonts w:cs="Times New Roman"/>
        </w:rPr>
        <w:footnoteReference w:id="37"/>
      </w:r>
    </w:p>
    <w:p w14:paraId="3DC97D4E" w14:textId="77777777" w:rsidR="00367162" w:rsidRPr="00744632" w:rsidRDefault="00367162" w:rsidP="00367162">
      <w:pPr>
        <w:spacing w:after="240"/>
        <w:rPr>
          <w:rFonts w:cs="Times New Roman"/>
        </w:rPr>
      </w:pPr>
      <w:r w:rsidRPr="00744632">
        <w:rPr>
          <w:rFonts w:cs="Times New Roman"/>
        </w:rPr>
        <w:t xml:space="preserve">These changes were widely criticised (particularly by Surrey) and, from 1985, the US Treasury began using two benchmarks – the original benchmark based on </w:t>
      </w:r>
      <w:proofErr w:type="spellStart"/>
      <w:r w:rsidRPr="00744632">
        <w:rPr>
          <w:rFonts w:cs="Times New Roman"/>
        </w:rPr>
        <w:t>Schanz</w:t>
      </w:r>
      <w:proofErr w:type="spellEnd"/>
      <w:r w:rsidRPr="00744632">
        <w:rPr>
          <w:rFonts w:cs="Times New Roman"/>
        </w:rPr>
        <w:noBreakHyphen/>
        <w:t>Haig</w:t>
      </w:r>
      <w:r w:rsidRPr="00744632">
        <w:rPr>
          <w:rFonts w:cs="Times New Roman"/>
        </w:rPr>
        <w:noBreakHyphen/>
        <w:t>Simons and the reference tax law (which substantially overlapped).</w:t>
      </w:r>
      <w:r w:rsidRPr="00744632">
        <w:rPr>
          <w:rStyle w:val="FootnoteReference"/>
          <w:rFonts w:cs="Times New Roman"/>
        </w:rPr>
        <w:footnoteReference w:id="38"/>
      </w:r>
      <w:r w:rsidRPr="00744632">
        <w:rPr>
          <w:rFonts w:cs="Times New Roman"/>
        </w:rPr>
        <w:t xml:space="preserve"> </w:t>
      </w:r>
    </w:p>
    <w:p w14:paraId="75D8F50C" w14:textId="77777777" w:rsidR="00367162" w:rsidRPr="00744632" w:rsidRDefault="00367162" w:rsidP="00744632">
      <w:pPr>
        <w:pStyle w:val="Heading2"/>
      </w:pPr>
      <w:r w:rsidRPr="00744632">
        <w:lastRenderedPageBreak/>
        <w:t>George W. Bush administration</w:t>
      </w:r>
    </w:p>
    <w:p w14:paraId="1F3DB3CA" w14:textId="77777777" w:rsidR="00367162" w:rsidRPr="00744632" w:rsidRDefault="00367162" w:rsidP="00367162">
      <w:pPr>
        <w:spacing w:after="240"/>
        <w:rPr>
          <w:rFonts w:cs="Times New Roman"/>
        </w:rPr>
      </w:pPr>
      <w:r w:rsidRPr="00744632">
        <w:rPr>
          <w:rFonts w:cs="Times New Roman"/>
        </w:rPr>
        <w:t>Following tax reforms in the mid-1980s, the two benchmarks used by the US Treasury appear to have converged, and debate over tax expenditures died down – until 2002.</w:t>
      </w:r>
      <w:r w:rsidRPr="00744632">
        <w:rPr>
          <w:rStyle w:val="FootnoteReference"/>
          <w:rFonts w:cs="Times New Roman"/>
        </w:rPr>
        <w:footnoteReference w:id="39"/>
      </w:r>
    </w:p>
    <w:p w14:paraId="1D270B8D" w14:textId="77777777" w:rsidR="00367162" w:rsidRPr="00744632" w:rsidRDefault="00367162" w:rsidP="00D27D50">
      <w:pPr>
        <w:pStyle w:val="Quote"/>
      </w:pPr>
      <w:r w:rsidRPr="00744632">
        <w:t>Until earlier this month, all was quiet on the tax expenditures front. Year after year the economists at the Treasury Department… and at the Joint Committee on Taxation… have been dutifully pumping out tax expenditures estimates. But few paid attention. And those who did took the estimates for granted. Frankly, until the recent budget release, nobody really gave a damn.</w:t>
      </w:r>
      <w:r w:rsidRPr="00744632">
        <w:rPr>
          <w:rStyle w:val="FootnoteReference"/>
          <w:rFonts w:cs="Times New Roman"/>
        </w:rPr>
        <w:footnoteReference w:id="40"/>
      </w:r>
    </w:p>
    <w:p w14:paraId="7DF2D86A" w14:textId="77777777" w:rsidR="00367162" w:rsidRPr="00744632" w:rsidRDefault="00367162" w:rsidP="00367162">
      <w:pPr>
        <w:spacing w:after="240"/>
        <w:rPr>
          <w:rFonts w:cs="Times New Roman"/>
        </w:rPr>
      </w:pPr>
      <w:r w:rsidRPr="00744632">
        <w:rPr>
          <w:rFonts w:cs="Times New Roman"/>
        </w:rPr>
        <w:t>The attention-grabbing statement in question appeared in the 2002 Tax Expenditures Budget:</w:t>
      </w:r>
    </w:p>
    <w:p w14:paraId="6865638D" w14:textId="77777777" w:rsidR="00367162" w:rsidRPr="00744632" w:rsidRDefault="00367162" w:rsidP="00D27D50">
      <w:pPr>
        <w:pStyle w:val="Quote"/>
      </w:pPr>
      <w:r w:rsidRPr="00744632">
        <w:t>[The tax expenditure concept] assumes an arbitrary tax base is available to the Government in its entirety as a resource to be spent. Because of the breadth of this arbitrary tax base, the Administration believes that the concept of ‘tax expenditure’ is of questionable analytic value… The Administration intends to reconsider this presentation in the future.</w:t>
      </w:r>
      <w:r w:rsidRPr="00744632">
        <w:rPr>
          <w:rStyle w:val="FootnoteReference"/>
          <w:rFonts w:cs="Times New Roman"/>
        </w:rPr>
        <w:footnoteReference w:id="41"/>
      </w:r>
    </w:p>
    <w:p w14:paraId="14A8FA9B" w14:textId="77777777" w:rsidR="00367162" w:rsidRPr="00744632" w:rsidRDefault="00367162" w:rsidP="00367162">
      <w:pPr>
        <w:spacing w:after="240"/>
        <w:rPr>
          <w:rFonts w:cs="Times New Roman"/>
        </w:rPr>
      </w:pPr>
      <w:r w:rsidRPr="00744632">
        <w:rPr>
          <w:rFonts w:cs="Times New Roman"/>
        </w:rPr>
        <w:t>In subsequent years, the Bush administration made several changes to the Tax Expenditures Budget. In particular, the 2004 Tax Expenditures Budget:</w:t>
      </w:r>
    </w:p>
    <w:p w14:paraId="31A2D2BE" w14:textId="77777777" w:rsidR="00367162" w:rsidRPr="00744632" w:rsidRDefault="00367162" w:rsidP="00744632">
      <w:pPr>
        <w:pStyle w:val="Bullet"/>
        <w:keepNext w:val="0"/>
        <w:numPr>
          <w:ilvl w:val="0"/>
          <w:numId w:val="23"/>
        </w:numPr>
        <w:spacing w:after="240" w:line="276" w:lineRule="auto"/>
      </w:pPr>
      <w:r w:rsidRPr="00744632">
        <w:t xml:space="preserve">made significant changes to the tax expenditures included in the document; for example, to include net imputed rental income from owner-occupied housing as a tax expenditure, and exclude preferential tax rates for capital gains and dividends;  </w:t>
      </w:r>
    </w:p>
    <w:p w14:paraId="4E7B92F9" w14:textId="77777777" w:rsidR="00367162" w:rsidRPr="00744632" w:rsidRDefault="00367162" w:rsidP="00744632">
      <w:pPr>
        <w:pStyle w:val="Bullet"/>
        <w:keepNext w:val="0"/>
        <w:numPr>
          <w:ilvl w:val="0"/>
          <w:numId w:val="23"/>
        </w:numPr>
        <w:spacing w:after="240" w:line="276" w:lineRule="auto"/>
      </w:pPr>
      <w:r w:rsidRPr="00744632">
        <w:t>included estimates for negative tax expenditures for the first time; for example, for corporate tax;</w:t>
      </w:r>
      <w:r w:rsidRPr="00744632">
        <w:rPr>
          <w:rStyle w:val="FootnoteReference"/>
        </w:rPr>
        <w:footnoteReference w:id="42"/>
      </w:r>
      <w:r w:rsidRPr="00744632">
        <w:t xml:space="preserve"> and</w:t>
      </w:r>
    </w:p>
    <w:p w14:paraId="75C22D06" w14:textId="77777777" w:rsidR="00367162" w:rsidRPr="00744632" w:rsidRDefault="00367162" w:rsidP="00744632">
      <w:pPr>
        <w:pStyle w:val="Bullet"/>
        <w:keepNext w:val="0"/>
        <w:numPr>
          <w:ilvl w:val="0"/>
          <w:numId w:val="23"/>
        </w:numPr>
        <w:spacing w:after="240" w:line="276" w:lineRule="auto"/>
      </w:pPr>
      <w:proofErr w:type="gramStart"/>
      <w:r w:rsidRPr="00744632">
        <w:t>in</w:t>
      </w:r>
      <w:proofErr w:type="gramEnd"/>
      <w:r w:rsidRPr="00744632">
        <w:t xml:space="preserve"> particular, began reporting tax expenditures against a consumption tax benchmark (in addition to a comprehensive income tax benchmark and reference tax law).</w:t>
      </w:r>
      <w:r w:rsidRPr="00744632">
        <w:rPr>
          <w:rStyle w:val="FootnoteReference"/>
        </w:rPr>
        <w:footnoteReference w:id="43"/>
      </w:r>
    </w:p>
    <w:p w14:paraId="354645D4" w14:textId="77777777" w:rsidR="00367162" w:rsidRPr="00744632" w:rsidRDefault="00367162" w:rsidP="00367162">
      <w:pPr>
        <w:pStyle w:val="Bullet"/>
        <w:numPr>
          <w:ilvl w:val="0"/>
          <w:numId w:val="0"/>
        </w:numPr>
        <w:spacing w:after="240"/>
      </w:pPr>
      <w:r w:rsidRPr="00744632">
        <w:t>The appendix reporting against a consumption tax benchmark lasted until the 2009 Tax Expenditures Budget – the last of the Bush administration –and has not re-appeared since.</w:t>
      </w:r>
    </w:p>
    <w:p w14:paraId="63F19939" w14:textId="77777777" w:rsidR="00331C51" w:rsidRPr="00331C51" w:rsidRDefault="00331C51" w:rsidP="00331C51">
      <w:r w:rsidRPr="00331C51">
        <w:br w:type="page"/>
      </w:r>
    </w:p>
    <w:p w14:paraId="46901D49" w14:textId="77777777" w:rsidR="00367162" w:rsidRPr="00744632" w:rsidRDefault="00367162" w:rsidP="00744632">
      <w:pPr>
        <w:pStyle w:val="Heading2"/>
      </w:pPr>
      <w:r w:rsidRPr="00744632">
        <w:lastRenderedPageBreak/>
        <w:t>Recent concerns</w:t>
      </w:r>
    </w:p>
    <w:p w14:paraId="21C063D8" w14:textId="77777777" w:rsidR="00367162" w:rsidRPr="00744632" w:rsidRDefault="00367162" w:rsidP="00367162">
      <w:pPr>
        <w:spacing w:after="240"/>
        <w:rPr>
          <w:rFonts w:cs="Times New Roman"/>
        </w:rPr>
      </w:pPr>
      <w:r w:rsidRPr="00744632">
        <w:rPr>
          <w:rFonts w:cs="Times New Roman"/>
        </w:rPr>
        <w:t>More recently, concerns have focused on the substantial growth in tax expenditures in the United</w:t>
      </w:r>
      <w:r w:rsidR="00331C51">
        <w:rPr>
          <w:rFonts w:cs="Times New Roman"/>
        </w:rPr>
        <w:t> </w:t>
      </w:r>
      <w:r w:rsidRPr="00744632">
        <w:rPr>
          <w:rFonts w:cs="Times New Roman"/>
        </w:rPr>
        <w:t xml:space="preserve">States, contrary to Surrey’s original hope. </w:t>
      </w:r>
    </w:p>
    <w:p w14:paraId="6CC325A4" w14:textId="77777777" w:rsidR="00367162" w:rsidRPr="00744632" w:rsidRDefault="00367162" w:rsidP="00D27D50">
      <w:pPr>
        <w:pStyle w:val="Quote"/>
      </w:pPr>
      <w:r w:rsidRPr="00744632">
        <w:t>Tax expenditures have grown in importance to the point where they are now the dominant instruments for implementing new discretionary spending policies… we spend more than twice as much through tax expenditures as we do through old</w:t>
      </w:r>
      <w:r w:rsidRPr="00744632">
        <w:noBreakHyphen/>
        <w:t>fashioned explicit spending programs.</w:t>
      </w:r>
      <w:r w:rsidRPr="00744632">
        <w:rPr>
          <w:rStyle w:val="FootnoteReference"/>
          <w:rFonts w:cs="Times New Roman"/>
        </w:rPr>
        <w:footnoteReference w:id="44"/>
      </w:r>
    </w:p>
    <w:p w14:paraId="1587EC0F" w14:textId="77777777" w:rsidR="00367162" w:rsidRPr="00744632" w:rsidRDefault="00367162" w:rsidP="00367162">
      <w:pPr>
        <w:spacing w:after="240"/>
        <w:rPr>
          <w:rFonts w:cs="Times New Roman"/>
        </w:rPr>
      </w:pPr>
      <w:r w:rsidRPr="00744632">
        <w:rPr>
          <w:rFonts w:cs="Times New Roman"/>
        </w:rPr>
        <w:t>Put colloquially, ‘</w:t>
      </w:r>
      <w:r w:rsidRPr="00744632">
        <w:rPr>
          <w:rFonts w:cs="TimesNewRoman"/>
        </w:rPr>
        <w:t>tax expenditures have become as American as apple pie.’</w:t>
      </w:r>
      <w:r w:rsidRPr="00744632">
        <w:rPr>
          <w:rStyle w:val="FootnoteReference"/>
          <w:rFonts w:cs="TimesNewRoman"/>
        </w:rPr>
        <w:footnoteReference w:id="45"/>
      </w:r>
      <w:r w:rsidRPr="00744632">
        <w:rPr>
          <w:rFonts w:cs="TimesNewRoman"/>
        </w:rPr>
        <w:t xml:space="preserve"> </w:t>
      </w:r>
      <w:r w:rsidRPr="00744632">
        <w:rPr>
          <w:rFonts w:cs="Times New Roman"/>
        </w:rPr>
        <w:t>As to the cause:</w:t>
      </w:r>
    </w:p>
    <w:p w14:paraId="1A77A915" w14:textId="77777777" w:rsidR="00367162" w:rsidRPr="00744632" w:rsidRDefault="00367162" w:rsidP="00D27D50">
      <w:pPr>
        <w:pStyle w:val="Quote"/>
      </w:pPr>
      <w:r w:rsidRPr="00744632">
        <w:t>Something else is afoot, and that something else, of course, is politics. Tax subsidies… permit a marvellous muddling of budget terminology: they increase government spending in economic terms but can be presented as “targeted tax cuts”</w:t>
      </w:r>
      <w:r w:rsidRPr="00744632">
        <w:rPr>
          <w:rFonts w:cs="TimesNewRoman"/>
        </w:rPr>
        <w:t>.</w:t>
      </w:r>
      <w:r w:rsidRPr="00744632">
        <w:rPr>
          <w:rStyle w:val="FootnoteReference"/>
          <w:rFonts w:cs="Times New Roman"/>
        </w:rPr>
        <w:footnoteReference w:id="46"/>
      </w:r>
    </w:p>
    <w:p w14:paraId="7B9E55DB" w14:textId="77777777" w:rsidR="00367162" w:rsidRPr="00744632" w:rsidRDefault="00367162" w:rsidP="00367162">
      <w:pPr>
        <w:spacing w:after="240"/>
        <w:rPr>
          <w:rFonts w:cs="Times New Roman"/>
        </w:rPr>
      </w:pPr>
      <w:r w:rsidRPr="00744632">
        <w:rPr>
          <w:rFonts w:cs="Times New Roman"/>
        </w:rPr>
        <w:t>However, one commentator has suggested that tax expenditure budgets themselves may have contributed to the growth in tax expenditures:</w:t>
      </w:r>
    </w:p>
    <w:p w14:paraId="04509A7D" w14:textId="32FF3D35" w:rsidR="00367162" w:rsidRPr="00744632" w:rsidRDefault="00367162" w:rsidP="00D27D50">
      <w:pPr>
        <w:pStyle w:val="Quote"/>
      </w:pPr>
      <w:r w:rsidRPr="00744632">
        <w:t>Surrey’s views were grounded in the classic Progressive tradition of informed and professional decision-making by public-spirited officials. As admirable as that tradition may be, few today believe that it incorporates the entire story of political</w:t>
      </w:r>
      <w:r w:rsidR="00B726FF">
        <w:br/>
      </w:r>
      <w:r w:rsidRPr="00744632">
        <w:t>decision-making.</w:t>
      </w:r>
      <w:r w:rsidRPr="00744632">
        <w:rPr>
          <w:rStyle w:val="FootnoteReference"/>
          <w:rFonts w:cs="TimesNewRoman"/>
        </w:rPr>
        <w:footnoteReference w:id="47"/>
      </w:r>
      <w:r w:rsidRPr="00744632">
        <w:t xml:space="preserve"> </w:t>
      </w:r>
    </w:p>
    <w:p w14:paraId="23435E7E" w14:textId="77777777" w:rsidR="00367162" w:rsidRPr="00744632" w:rsidRDefault="00367162" w:rsidP="00367162">
      <w:pPr>
        <w:spacing w:after="240"/>
        <w:rPr>
          <w:rFonts w:cs="Times New Roman"/>
        </w:rPr>
      </w:pPr>
      <w:r w:rsidRPr="00744632">
        <w:rPr>
          <w:rFonts w:cs="Times New Roman"/>
        </w:rPr>
        <w:t>Further:</w:t>
      </w:r>
    </w:p>
    <w:p w14:paraId="6A8CBA46" w14:textId="77777777" w:rsidR="00367162" w:rsidRPr="00744632" w:rsidRDefault="00367162" w:rsidP="00D27D50">
      <w:pPr>
        <w:pStyle w:val="Quote"/>
        <w:rPr>
          <w:rFonts w:cs="TimesNewRoman"/>
        </w:rPr>
      </w:pPr>
      <w:r w:rsidRPr="00744632">
        <w:t>The growth of tax expenditure budgets has signalled to organized interests seeking assistance from the public treasury that tax expenditures are often a better political route than equivalent direct spending programs.</w:t>
      </w:r>
      <w:r w:rsidRPr="00744632">
        <w:rPr>
          <w:rStyle w:val="FootnoteReference"/>
          <w:rFonts w:cs="TimesNewRoman"/>
        </w:rPr>
        <w:footnoteReference w:id="48"/>
      </w:r>
    </w:p>
    <w:p w14:paraId="33D2F99B" w14:textId="77777777" w:rsidR="00367162" w:rsidRPr="00744632" w:rsidRDefault="00367162" w:rsidP="00367162">
      <w:pPr>
        <w:spacing w:after="240"/>
        <w:rPr>
          <w:rFonts w:cs="Times New Roman"/>
        </w:rPr>
      </w:pPr>
      <w:r w:rsidRPr="00744632">
        <w:rPr>
          <w:rFonts w:cs="Times New Roman"/>
        </w:rPr>
        <w:t>In its 2008 review of tax expenditure analysis, the Staff of the Joint Committee on Taxation conceded that ‘there is scant evidence that tax expenditure analysis has succeeded in its first mission of “expenditure control”.’</w:t>
      </w:r>
      <w:r w:rsidRPr="00744632">
        <w:rPr>
          <w:rStyle w:val="FootnoteReference"/>
          <w:rFonts w:cs="Times New Roman"/>
        </w:rPr>
        <w:footnoteReference w:id="49"/>
      </w:r>
      <w:r w:rsidRPr="00744632">
        <w:rPr>
          <w:rFonts w:cs="Times New Roman"/>
        </w:rPr>
        <w:t xml:space="preserve"> More pointedly:</w:t>
      </w:r>
    </w:p>
    <w:p w14:paraId="3FBE718C" w14:textId="77777777" w:rsidR="00367162" w:rsidRPr="00744632" w:rsidRDefault="00367162" w:rsidP="00D27D50">
      <w:pPr>
        <w:pStyle w:val="Quote"/>
        <w:rPr>
          <w:rFonts w:cs="TimesNewRoman"/>
        </w:rPr>
      </w:pPr>
      <w:r w:rsidRPr="00744632">
        <w:t>Tax expenditure analysis no longer provides policymakers with credible insights into the equity, efficiency, and ease of administration issues raised by a new proposal or by present law, because the premise of the analysis (the validity of the “normal” tax base) is not universally accepted. Driven off track by seemingly endless debates about what should and should not be included in the “normal” tax base, tax expenditure analysis today does not advance either of the two goals that inspired its original proponents: clarifying the aggregate size and application of government expenditures, and improving the Internal Revenue Code.</w:t>
      </w:r>
      <w:r w:rsidRPr="00744632">
        <w:rPr>
          <w:vertAlign w:val="superscript"/>
        </w:rPr>
        <w:footnoteReference w:id="50"/>
      </w:r>
      <w:r w:rsidRPr="00744632">
        <w:t xml:space="preserve"> </w:t>
      </w:r>
    </w:p>
    <w:p w14:paraId="0816D138" w14:textId="77777777" w:rsidR="00367162" w:rsidRPr="00744632" w:rsidRDefault="00367162" w:rsidP="00D27D50">
      <w:pPr>
        <w:pStyle w:val="Quote"/>
        <w:rPr>
          <w:rFonts w:cs="TimesNewRoman"/>
        </w:rPr>
      </w:pPr>
      <w:r w:rsidRPr="00744632">
        <w:rPr>
          <w:rFonts w:cs="TimesNewRoman"/>
        </w:rPr>
        <w:t>…</w:t>
      </w:r>
    </w:p>
    <w:p w14:paraId="6E64FE26" w14:textId="77777777" w:rsidR="00367162" w:rsidRPr="00744632" w:rsidRDefault="00367162" w:rsidP="00D27D50">
      <w:pPr>
        <w:pStyle w:val="Quote"/>
      </w:pPr>
      <w:r w:rsidRPr="00744632">
        <w:lastRenderedPageBreak/>
        <w:t>The result is a sterile debate as to the appropriateness of the choice of that base, which in turn obscures rather than illuminates the important economic efficiency problems that current policies embody.</w:t>
      </w:r>
      <w:r w:rsidRPr="00744632">
        <w:rPr>
          <w:vertAlign w:val="superscript"/>
        </w:rPr>
        <w:footnoteReference w:id="51"/>
      </w:r>
    </w:p>
    <w:p w14:paraId="3376E979" w14:textId="77777777" w:rsidR="00367162" w:rsidRPr="00744632" w:rsidRDefault="00367162" w:rsidP="00367162">
      <w:pPr>
        <w:spacing w:after="240"/>
        <w:rPr>
          <w:rFonts w:cs="Times New Roman"/>
        </w:rPr>
      </w:pPr>
      <w:r w:rsidRPr="00744632">
        <w:rPr>
          <w:rFonts w:cs="Times New Roman"/>
        </w:rPr>
        <w:t>Following its review, the Committee’s report – which had changed little since the 1970s, unlike the US</w:t>
      </w:r>
      <w:r w:rsidR="00331C51">
        <w:rPr>
          <w:rFonts w:cs="Times New Roman"/>
        </w:rPr>
        <w:t> </w:t>
      </w:r>
      <w:r w:rsidRPr="00744632">
        <w:rPr>
          <w:rFonts w:cs="Times New Roman"/>
        </w:rPr>
        <w:t>Treasury’s Tax Expenditure Budget</w:t>
      </w:r>
      <w:r w:rsidRPr="00744632">
        <w:rPr>
          <w:rFonts w:cs="TimesNewRoman"/>
          <w:vertAlign w:val="superscript"/>
        </w:rPr>
        <w:t xml:space="preserve"> </w:t>
      </w:r>
      <w:r w:rsidRPr="00744632">
        <w:rPr>
          <w:rFonts w:cs="TimesNewRoman"/>
          <w:vertAlign w:val="superscript"/>
        </w:rPr>
        <w:footnoteReference w:id="52"/>
      </w:r>
      <w:r w:rsidRPr="00744632">
        <w:rPr>
          <w:rFonts w:cs="Times New Roman"/>
        </w:rPr>
        <w:t xml:space="preserve"> – re-cat</w:t>
      </w:r>
      <w:r w:rsidR="00331C51">
        <w:rPr>
          <w:rFonts w:cs="Times New Roman"/>
        </w:rPr>
        <w:t>egorised ‘tax expenditures’ as:</w:t>
      </w:r>
    </w:p>
    <w:p w14:paraId="73E78F8F" w14:textId="77777777" w:rsidR="00367162" w:rsidRPr="00744632" w:rsidRDefault="00367162" w:rsidP="00744632">
      <w:pPr>
        <w:pStyle w:val="Bullet"/>
        <w:keepNext w:val="0"/>
        <w:numPr>
          <w:ilvl w:val="0"/>
          <w:numId w:val="23"/>
        </w:numPr>
        <w:spacing w:after="240" w:line="276" w:lineRule="auto"/>
      </w:pPr>
      <w:proofErr w:type="gramStart"/>
      <w:r w:rsidRPr="00744632">
        <w:t>tax</w:t>
      </w:r>
      <w:proofErr w:type="gramEnd"/>
      <w:r w:rsidRPr="00744632">
        <w:t xml:space="preserve"> subsidies, defined as tax provisions that are ‘inconsistent with an identifiable general rule of the present tax law (not a hypothetical “normal” tax), and that collect less revenue than does the general rule’. Most items previously classified as tax expenditures fell into this category;</w:t>
      </w:r>
      <w:r w:rsidRPr="00744632">
        <w:rPr>
          <w:vertAlign w:val="superscript"/>
        </w:rPr>
        <w:footnoteReference w:id="53"/>
      </w:r>
      <w:r w:rsidRPr="00744632">
        <w:t xml:space="preserve"> or</w:t>
      </w:r>
    </w:p>
    <w:p w14:paraId="157B6187" w14:textId="77777777" w:rsidR="00367162" w:rsidRPr="00744632" w:rsidRDefault="00367162" w:rsidP="00744632">
      <w:pPr>
        <w:pStyle w:val="Bullet"/>
        <w:keepNext w:val="0"/>
        <w:numPr>
          <w:ilvl w:val="0"/>
          <w:numId w:val="23"/>
        </w:numPr>
        <w:spacing w:after="240" w:line="276" w:lineRule="auto"/>
      </w:pPr>
      <w:proofErr w:type="gramStart"/>
      <w:r w:rsidRPr="00744632">
        <w:t>tax-induced</w:t>
      </w:r>
      <w:proofErr w:type="gramEnd"/>
      <w:r w:rsidRPr="00744632">
        <w:t xml:space="preserve"> structural distortions, defined as ‘structural elements of the Internal Revenue Code… that materially affect economic decisions in a manner that imposes substantial economic efficiency costs.’</w:t>
      </w:r>
      <w:r w:rsidRPr="00744632">
        <w:rPr>
          <w:rStyle w:val="FootnoteReference"/>
        </w:rPr>
        <w:footnoteReference w:id="54"/>
      </w:r>
      <w:r w:rsidRPr="00744632">
        <w:t xml:space="preserve"> </w:t>
      </w:r>
    </w:p>
    <w:p w14:paraId="39594632" w14:textId="77777777" w:rsidR="00367162" w:rsidRPr="00744632" w:rsidRDefault="00367162" w:rsidP="00367162">
      <w:pPr>
        <w:pStyle w:val="Bullet"/>
        <w:numPr>
          <w:ilvl w:val="0"/>
          <w:numId w:val="0"/>
        </w:numPr>
        <w:spacing w:after="240"/>
      </w:pPr>
      <w:r w:rsidRPr="00744632">
        <w:t>However, these changes lasted all of one year, being reversed in the 2009 report.</w:t>
      </w:r>
      <w:r w:rsidRPr="00744632">
        <w:rPr>
          <w:rStyle w:val="FootnoteReference"/>
        </w:rPr>
        <w:footnoteReference w:id="55"/>
      </w:r>
      <w:r w:rsidRPr="00744632">
        <w:t xml:space="preserve"> A key criticism was that they did not resolve the benchmark issue – in particular, it was not clear how a ‘general rule’ could be discerned from the tax law.</w:t>
      </w:r>
      <w:r w:rsidRPr="00744632">
        <w:rPr>
          <w:rStyle w:val="FootnoteReference"/>
        </w:rPr>
        <w:footnoteReference w:id="56"/>
      </w:r>
    </w:p>
    <w:p w14:paraId="30E6B0F3" w14:textId="77777777" w:rsidR="00367162" w:rsidRPr="00744632" w:rsidRDefault="00367162" w:rsidP="00744632">
      <w:pPr>
        <w:pStyle w:val="Heading2"/>
      </w:pPr>
      <w:r w:rsidRPr="00744632">
        <w:t>State of the debate</w:t>
      </w:r>
    </w:p>
    <w:p w14:paraId="1D1F2A61" w14:textId="77777777" w:rsidR="00367162" w:rsidRPr="00744632" w:rsidRDefault="00367162" w:rsidP="00367162">
      <w:pPr>
        <w:spacing w:after="240"/>
        <w:rPr>
          <w:rFonts w:cs="Times New Roman"/>
        </w:rPr>
      </w:pPr>
      <w:r w:rsidRPr="00744632">
        <w:rPr>
          <w:rFonts w:cs="Times New Roman"/>
        </w:rPr>
        <w:t>Three things stand out about the current state of the debate on tax expenditure analysis.</w:t>
      </w:r>
    </w:p>
    <w:p w14:paraId="4FA98562" w14:textId="77777777" w:rsidR="00367162" w:rsidRPr="00744632" w:rsidRDefault="00367162" w:rsidP="00367162">
      <w:pPr>
        <w:spacing w:after="240"/>
        <w:rPr>
          <w:rFonts w:cs="Times New Roman"/>
        </w:rPr>
      </w:pPr>
      <w:r w:rsidRPr="00744632">
        <w:rPr>
          <w:rFonts w:cs="Times New Roman"/>
        </w:rPr>
        <w:t xml:space="preserve">First, key issues raised by </w:t>
      </w:r>
      <w:proofErr w:type="spellStart"/>
      <w:r w:rsidRPr="00744632">
        <w:rPr>
          <w:rFonts w:cs="Times New Roman"/>
        </w:rPr>
        <w:t>Bittker</w:t>
      </w:r>
      <w:proofErr w:type="spellEnd"/>
      <w:r w:rsidRPr="00744632">
        <w:rPr>
          <w:rFonts w:cs="Times New Roman"/>
        </w:rPr>
        <w:t xml:space="preserve"> as early as 1969 – that is, about the appropriate benchmark and about estimating the size of tax expenditures</w:t>
      </w:r>
      <w:r w:rsidRPr="00744632">
        <w:rPr>
          <w:rStyle w:val="FootnoteReference"/>
          <w:rFonts w:cs="Times New Roman"/>
        </w:rPr>
        <w:footnoteReference w:id="57"/>
      </w:r>
      <w:r w:rsidRPr="00744632">
        <w:rPr>
          <w:rFonts w:cs="Times New Roman"/>
        </w:rPr>
        <w:t xml:space="preserve"> – have not been resolved and indeed appear beyond resolution. They are dutifully noted each year at the beginning of tax expenditure statements across the world – for example, the opening chapter of Australia’s 2016 Tax Expenditures Statement.</w:t>
      </w:r>
      <w:r w:rsidRPr="00744632">
        <w:rPr>
          <w:rStyle w:val="FootnoteReference"/>
          <w:rFonts w:cs="Times New Roman"/>
        </w:rPr>
        <w:footnoteReference w:id="58"/>
      </w:r>
    </w:p>
    <w:p w14:paraId="356ED8A5" w14:textId="77777777" w:rsidR="00331C51" w:rsidRDefault="00331C51">
      <w:pPr>
        <w:spacing w:after="200" w:line="276" w:lineRule="auto"/>
        <w:jc w:val="left"/>
        <w:rPr>
          <w:rFonts w:cs="Times New Roman"/>
        </w:rPr>
      </w:pPr>
      <w:r>
        <w:rPr>
          <w:rFonts w:cs="Times New Roman"/>
        </w:rPr>
        <w:br w:type="page"/>
      </w:r>
    </w:p>
    <w:p w14:paraId="7879F5D3" w14:textId="77777777" w:rsidR="00367162" w:rsidRPr="00744632" w:rsidRDefault="00367162" w:rsidP="00367162">
      <w:pPr>
        <w:spacing w:after="240"/>
        <w:rPr>
          <w:rFonts w:cs="Times New Roman"/>
        </w:rPr>
      </w:pPr>
      <w:r w:rsidRPr="00744632">
        <w:rPr>
          <w:rFonts w:cs="Times New Roman"/>
        </w:rPr>
        <w:lastRenderedPageBreak/>
        <w:t xml:space="preserve">Second, there appears to be some frustration in the United States about tax expenditure analysis, flowing both from the lack of resolution of key issues and because tax expenditure analysis has conspicuously failed to slow the growth of tax expenditures there. Even critics of tax breaks and concessions </w:t>
      </w:r>
      <w:r w:rsidR="004B088E">
        <w:rPr>
          <w:rFonts w:cs="Times New Roman"/>
        </w:rPr>
        <w:t xml:space="preserve">sometimes </w:t>
      </w:r>
      <w:r w:rsidRPr="00744632">
        <w:rPr>
          <w:rFonts w:cs="Times New Roman"/>
        </w:rPr>
        <w:t>express strident criticism of the usefulness of tax expenditure budgets:</w:t>
      </w:r>
    </w:p>
    <w:p w14:paraId="79D88F38" w14:textId="77777777" w:rsidR="00367162" w:rsidRPr="00744632" w:rsidRDefault="00367162" w:rsidP="00D27D50">
      <w:pPr>
        <w:pStyle w:val="Quote"/>
      </w:pPr>
      <w:r w:rsidRPr="00744632">
        <w:t>Long dead as a constraint on policymaker behaviour, a guardian known as the tax expenditure budget has been reanimated to serve a different role: accountant. Unfortunately, as poor a goad as the tax expenditure budget proved, it makes an even worse guide. Now a zombie accountant shambling through the corridors of power, the tax expenditure budget has become an object of derision where it was once hailed as a champion.</w:t>
      </w:r>
      <w:r w:rsidRPr="00744632">
        <w:rPr>
          <w:vertAlign w:val="superscript"/>
        </w:rPr>
        <w:footnoteReference w:id="59"/>
      </w:r>
    </w:p>
    <w:p w14:paraId="03FB4305" w14:textId="77777777" w:rsidR="00367162" w:rsidRPr="00744632" w:rsidRDefault="00367162" w:rsidP="00367162">
      <w:pPr>
        <w:spacing w:after="240"/>
        <w:rPr>
          <w:rFonts w:cs="Times New Roman"/>
        </w:rPr>
      </w:pPr>
      <w:r w:rsidRPr="00744632">
        <w:rPr>
          <w:rFonts w:cs="Times New Roman"/>
        </w:rPr>
        <w:t>Third, despite the above, the debate about tax expenditure analysis is likely to continue. One important reason is that the debate has long largely been an extension of a broader debate about the relative merits of a comprehensive income tax and an expenditure tax.</w:t>
      </w:r>
      <w:r w:rsidRPr="00744632">
        <w:rPr>
          <w:rStyle w:val="FootnoteReference"/>
          <w:rFonts w:cs="Times New Roman"/>
        </w:rPr>
        <w:footnoteReference w:id="60"/>
      </w:r>
      <w:r w:rsidRPr="00744632">
        <w:rPr>
          <w:rFonts w:cs="Times New Roman"/>
        </w:rPr>
        <w:t xml:space="preserve"> This, in turn, reflects views about whether the main aim of the tax system should be to help address income inequality by ensuring that as much income as possible is subject to progressive tax rates, or whether the system should prioritise raising revenue in the most economically efficient manner, particularly by ensuring that current and future consumption (that is, savings) are treated as neutrally as possible. </w:t>
      </w:r>
    </w:p>
    <w:p w14:paraId="5946CB0A" w14:textId="77777777" w:rsidR="00367162" w:rsidRPr="00744632" w:rsidRDefault="00367162" w:rsidP="00367162">
      <w:pPr>
        <w:spacing w:after="240"/>
        <w:rPr>
          <w:rFonts w:cs="Times New Roman"/>
        </w:rPr>
      </w:pPr>
      <w:r w:rsidRPr="00744632">
        <w:rPr>
          <w:rFonts w:cs="Times New Roman"/>
        </w:rPr>
        <w:t xml:space="preserve">The fact that many, if not most, tax expenditures would be categorised as such under either benchmark is beside the point, this being that the choice of benchmark determines how tax provisions at the heart of the income/expenditure tax debate are portrayed in the tax expenditure budget. </w:t>
      </w:r>
    </w:p>
    <w:p w14:paraId="0BE82FA1" w14:textId="77777777" w:rsidR="00367162" w:rsidRPr="00744632" w:rsidRDefault="00367162" w:rsidP="00367162">
      <w:pPr>
        <w:spacing w:after="240"/>
        <w:rPr>
          <w:rFonts w:cs="Times New Roman"/>
        </w:rPr>
      </w:pPr>
      <w:r w:rsidRPr="00744632">
        <w:rPr>
          <w:rFonts w:cs="Times New Roman"/>
        </w:rPr>
        <w:t>Specifically, an income tax benchmark generally portrays tax ‘breaks’ for savings as positive tax expenditures – that is, they are presented as being ‘under</w:t>
      </w:r>
      <w:r w:rsidRPr="00744632">
        <w:rPr>
          <w:rFonts w:cs="Times New Roman"/>
        </w:rPr>
        <w:noBreakHyphen/>
        <w:t>taxed’ relative to the benchmark with an often significant cost to revenue. However, they may not be presented as tax expenditures at all under an expenditure tax benchmark and some could be negative tax expenditures – that is, ‘over</w:t>
      </w:r>
      <w:r w:rsidRPr="00744632">
        <w:rPr>
          <w:rFonts w:cs="Times New Roman"/>
        </w:rPr>
        <w:noBreakHyphen/>
        <w:t>taxed’ relative to the benchmark.</w:t>
      </w:r>
    </w:p>
    <w:p w14:paraId="6577E3AA" w14:textId="77777777" w:rsidR="00367162" w:rsidRPr="00744632" w:rsidRDefault="00367162" w:rsidP="00367162">
      <w:pPr>
        <w:spacing w:after="240"/>
        <w:rPr>
          <w:rFonts w:cs="Times New Roman"/>
        </w:rPr>
      </w:pPr>
      <w:r w:rsidRPr="00744632">
        <w:rPr>
          <w:rFonts w:cs="Times New Roman"/>
        </w:rPr>
        <w:t xml:space="preserve">Official publications presenting savings as being ‘under-taxed’ or ‘over-taxed’ would be of significant benefit (or detriment) to the parties to the broader tax policy debate. Given the prize at stake, this perennial debate is likely to keep dragging the tax expenditure debate along with it. </w:t>
      </w:r>
    </w:p>
    <w:p w14:paraId="4365E918" w14:textId="77777777" w:rsidR="00367162" w:rsidRPr="00744632" w:rsidRDefault="00367162" w:rsidP="00744632">
      <w:pPr>
        <w:pStyle w:val="Heading2"/>
      </w:pPr>
      <w:r w:rsidRPr="00744632">
        <w:t>What next?</w:t>
      </w:r>
    </w:p>
    <w:p w14:paraId="37AC0C9E" w14:textId="77777777" w:rsidR="00367162" w:rsidRPr="00744632" w:rsidRDefault="00367162" w:rsidP="00367162">
      <w:pPr>
        <w:spacing w:after="240"/>
        <w:rPr>
          <w:rFonts w:cs="Times New Roman"/>
        </w:rPr>
      </w:pPr>
      <w:r w:rsidRPr="00744632">
        <w:rPr>
          <w:rFonts w:cs="Times New Roman"/>
        </w:rPr>
        <w:t xml:space="preserve">Despite not meeting Surrey’s initial hopes, there seems to be broad agreement that some form of official reporting of tax deductions, concessions, </w:t>
      </w:r>
      <w:proofErr w:type="gramStart"/>
      <w:r w:rsidRPr="00744632">
        <w:rPr>
          <w:rFonts w:cs="Times New Roman"/>
        </w:rPr>
        <w:t>incentives</w:t>
      </w:r>
      <w:proofErr w:type="gramEnd"/>
      <w:r w:rsidRPr="00744632">
        <w:rPr>
          <w:rFonts w:cs="Times New Roman"/>
        </w:rPr>
        <w:t xml:space="preserve"> and so on is still needed. </w:t>
      </w:r>
    </w:p>
    <w:p w14:paraId="5E6CED80" w14:textId="77777777" w:rsidR="00367162" w:rsidRPr="00744632" w:rsidRDefault="00367162" w:rsidP="00367162">
      <w:pPr>
        <w:spacing w:after="240"/>
        <w:rPr>
          <w:rFonts w:cs="Times New Roman"/>
        </w:rPr>
      </w:pPr>
      <w:r w:rsidRPr="00744632">
        <w:rPr>
          <w:rFonts w:cs="Times New Roman"/>
        </w:rPr>
        <w:t xml:space="preserve">Those concerned about the growth of tax expenditures tend to support expanding the analysis included in the tax expenditure budget – for example, by including distributional </w:t>
      </w:r>
      <w:proofErr w:type="gramStart"/>
      <w:r w:rsidRPr="00744632">
        <w:rPr>
          <w:rFonts w:cs="Times New Roman"/>
        </w:rPr>
        <w:t>analysis,</w:t>
      </w:r>
      <w:r w:rsidRPr="00744632">
        <w:rPr>
          <w:vertAlign w:val="superscript"/>
        </w:rPr>
        <w:footnoteReference w:id="61"/>
      </w:r>
      <w:r w:rsidRPr="00744632">
        <w:rPr>
          <w:rFonts w:cs="Times New Roman"/>
        </w:rPr>
        <w:t xml:space="preserve"> as well as changing budget processes to more directly require</w:t>
      </w:r>
      <w:proofErr w:type="gramEnd"/>
      <w:r w:rsidRPr="00744632">
        <w:rPr>
          <w:rFonts w:cs="Times New Roman"/>
        </w:rPr>
        <w:t xml:space="preserve"> the reconsideration of tax expenditures.</w:t>
      </w:r>
      <w:r w:rsidRPr="00744632">
        <w:rPr>
          <w:vertAlign w:val="superscript"/>
        </w:rPr>
        <w:footnoteReference w:id="62"/>
      </w:r>
      <w:r w:rsidRPr="00744632">
        <w:rPr>
          <w:rFonts w:cs="Times New Roman"/>
        </w:rPr>
        <w:t xml:space="preserve">  </w:t>
      </w:r>
    </w:p>
    <w:p w14:paraId="13E03B1E" w14:textId="77777777" w:rsidR="00331C51" w:rsidRDefault="00331C51">
      <w:pPr>
        <w:spacing w:after="200" w:line="276" w:lineRule="auto"/>
        <w:jc w:val="left"/>
        <w:rPr>
          <w:rFonts w:cs="Times New Roman"/>
        </w:rPr>
      </w:pPr>
      <w:r>
        <w:rPr>
          <w:rFonts w:cs="Times New Roman"/>
        </w:rPr>
        <w:br w:type="page"/>
      </w:r>
    </w:p>
    <w:p w14:paraId="1C48ABCB" w14:textId="77777777" w:rsidR="00367162" w:rsidRPr="00744632" w:rsidRDefault="00367162" w:rsidP="00367162">
      <w:pPr>
        <w:spacing w:after="240"/>
        <w:rPr>
          <w:rFonts w:cs="Times New Roman"/>
        </w:rPr>
      </w:pPr>
      <w:r w:rsidRPr="00744632">
        <w:rPr>
          <w:rFonts w:cs="Times New Roman"/>
        </w:rPr>
        <w:lastRenderedPageBreak/>
        <w:t xml:space="preserve">Even critics of the Surrey approach to tax expenditure analysis concede that some form of reporting would be beneficial. </w:t>
      </w:r>
      <w:proofErr w:type="spellStart"/>
      <w:r w:rsidRPr="00744632">
        <w:rPr>
          <w:rFonts w:cs="Times New Roman"/>
        </w:rPr>
        <w:t>Bittker</w:t>
      </w:r>
      <w:proofErr w:type="spellEnd"/>
      <w:r w:rsidRPr="00744632">
        <w:rPr>
          <w:rFonts w:cs="Times New Roman"/>
        </w:rPr>
        <w:t xml:space="preserve"> suggested:</w:t>
      </w:r>
    </w:p>
    <w:p w14:paraId="2AF33F92" w14:textId="77777777" w:rsidR="00367162" w:rsidRPr="00744632" w:rsidRDefault="00367162" w:rsidP="00D27D50">
      <w:pPr>
        <w:pStyle w:val="Quote"/>
      </w:pPr>
      <w:r w:rsidRPr="00744632">
        <w:t>… a more limited accounting, one that confined itself to estimating the cost of departures from the Haig-Simons definition, without attempting to account for the “cost” of such structural provisions as the joint return, rate schedules, taxable periods, tax exemptions and other aspects of existing law for which that definition provides no normative model … such calculations could provide information that would be helpful in applying our political, economic and ethical criteria in making policy judgments about the tax system.</w:t>
      </w:r>
      <w:r w:rsidRPr="00744632">
        <w:rPr>
          <w:rStyle w:val="FootnoteReference"/>
          <w:rFonts w:cs="Times New Roman"/>
        </w:rPr>
        <w:footnoteReference w:id="63"/>
      </w:r>
    </w:p>
    <w:p w14:paraId="50DAA00D" w14:textId="77777777" w:rsidR="00367162" w:rsidRPr="00744632" w:rsidRDefault="00367162" w:rsidP="00367162">
      <w:pPr>
        <w:spacing w:after="240"/>
        <w:rPr>
          <w:rFonts w:cs="Times New Roman"/>
        </w:rPr>
      </w:pPr>
      <w:r w:rsidRPr="00744632">
        <w:rPr>
          <w:rFonts w:cs="Times New Roman"/>
        </w:rPr>
        <w:t>Conversely, some critics of the Surrey approach suggest broadening the analysis:</w:t>
      </w:r>
    </w:p>
    <w:p w14:paraId="6E3AEEA8" w14:textId="77777777" w:rsidR="00367162" w:rsidRPr="00744632" w:rsidRDefault="00367162" w:rsidP="00D27D50">
      <w:pPr>
        <w:pStyle w:val="Quote"/>
      </w:pPr>
      <w:r w:rsidRPr="00744632">
        <w:t>We think democratic debate would be promoted if we knew how much additional revenue could be gained by repealing each of the code provisions shown in the various tax expenditure budgets, as well as who would bear the incidence of that additional revenue. We think democratic debate would also be promoted in precisely the same way, however, if we knew how much additional revenue could be gained through a host of changes to provisions that are not shown on the tax expenditure budgets. Most tax provisions, like most policy judgments, are good only as long as their price tags are not exorbitant. Here again, the tax expenditure budget hides that fact by suggesting that certain features of the tax system are different in kind from others.</w:t>
      </w:r>
      <w:r w:rsidRPr="00744632">
        <w:rPr>
          <w:vertAlign w:val="superscript"/>
        </w:rPr>
        <w:footnoteReference w:id="64"/>
      </w:r>
      <w:r w:rsidRPr="00744632">
        <w:t xml:space="preserve"> </w:t>
      </w:r>
    </w:p>
    <w:p w14:paraId="65E29E5C" w14:textId="77777777" w:rsidR="00367162" w:rsidRPr="00744632" w:rsidRDefault="00367162" w:rsidP="00367162">
      <w:pPr>
        <w:spacing w:after="240"/>
        <w:rPr>
          <w:rFonts w:cs="Times New Roman"/>
        </w:rPr>
      </w:pPr>
      <w:r w:rsidRPr="00744632">
        <w:rPr>
          <w:rFonts w:cs="Times New Roman"/>
        </w:rPr>
        <w:t xml:space="preserve">This proposal reflects a concern (raised by </w:t>
      </w:r>
      <w:proofErr w:type="spellStart"/>
      <w:r w:rsidRPr="00744632">
        <w:rPr>
          <w:rFonts w:cs="Times New Roman"/>
        </w:rPr>
        <w:t>Bittker</w:t>
      </w:r>
      <w:proofErr w:type="spellEnd"/>
      <w:r w:rsidRPr="00744632">
        <w:rPr>
          <w:rFonts w:cs="Times New Roman"/>
        </w:rPr>
        <w:t xml:space="preserve"> as early as 1969) that:</w:t>
      </w:r>
    </w:p>
    <w:p w14:paraId="41E22EE0" w14:textId="77777777" w:rsidR="00367162" w:rsidRPr="00744632" w:rsidRDefault="00367162" w:rsidP="00D27D50">
      <w:pPr>
        <w:pStyle w:val="Quote"/>
      </w:pPr>
      <w:proofErr w:type="gramStart"/>
      <w:r w:rsidRPr="00744632">
        <w:t>the</w:t>
      </w:r>
      <w:proofErr w:type="gramEnd"/>
      <w:r w:rsidRPr="00744632">
        <w:t xml:space="preserve"> tax expenditure budget’s conception of an appropriate tax base has no legitimate claim to establishing the terms of political debate. It should not immunize provisions of the code from political discussion, nor should it change the burden of justification for others.</w:t>
      </w:r>
      <w:r w:rsidRPr="00744632">
        <w:rPr>
          <w:rStyle w:val="FootnoteReference"/>
          <w:rFonts w:cs="Times New Roman"/>
        </w:rPr>
        <w:footnoteReference w:id="65"/>
      </w:r>
    </w:p>
    <w:p w14:paraId="1D2D2018" w14:textId="77777777" w:rsidR="00F012EA" w:rsidRDefault="00367162" w:rsidP="00744632">
      <w:pPr>
        <w:pStyle w:val="Heading2"/>
      </w:pPr>
      <w:r>
        <w:t>Conclusion</w:t>
      </w:r>
    </w:p>
    <w:p w14:paraId="6734EE97" w14:textId="77777777" w:rsidR="00367162" w:rsidRPr="00F32AC6" w:rsidRDefault="00367162" w:rsidP="00367162">
      <w:pPr>
        <w:spacing w:after="240"/>
        <w:rPr>
          <w:rFonts w:cs="Times New Roman"/>
        </w:rPr>
      </w:pPr>
      <w:r w:rsidRPr="00F32AC6">
        <w:rPr>
          <w:rFonts w:cs="Times New Roman"/>
        </w:rPr>
        <w:t>The most likely outcome for the foreseeable future is that tax expenditure budgets, in the United States at least, will continue to be produced much as they have been in the past. The experience of the Joint</w:t>
      </w:r>
      <w:r w:rsidR="00331C51">
        <w:rPr>
          <w:rFonts w:cs="Times New Roman"/>
        </w:rPr>
        <w:t> </w:t>
      </w:r>
      <w:r w:rsidRPr="00F32AC6">
        <w:rPr>
          <w:rFonts w:cs="Times New Roman"/>
        </w:rPr>
        <w:t>Committee on Taxation in 2008 is particularly instructive – major changes to its analytical framework lasted all of one year, making it unlikely that it will attempt major changes again anytime soon. The substance and focus of the US Treasury’s Tax Expenditures Budget could be expected to continue to vary with the colour of the prevailing administration. The academic literature seems unlikely to generate new ideas that might resolve the longstanding debates about tax expenditure analysis any time soon.</w:t>
      </w:r>
    </w:p>
    <w:p w14:paraId="74B207B2" w14:textId="77777777" w:rsidR="00F012EA" w:rsidRDefault="00F012EA" w:rsidP="00F012EA"/>
    <w:p w14:paraId="6CDE26A1" w14:textId="77777777" w:rsidR="00365C6D" w:rsidRDefault="00365C6D" w:rsidP="00F012EA"/>
    <w:p w14:paraId="217CEF24" w14:textId="77777777" w:rsidR="00F012EA" w:rsidRDefault="00F012EA" w:rsidP="008627B1">
      <w:pPr>
        <w:sectPr w:rsidR="00F012EA" w:rsidSect="00B726FF">
          <w:headerReference w:type="even" r:id="rId25"/>
          <w:headerReference w:type="first" r:id="rId26"/>
          <w:footerReference w:type="first" r:id="rId27"/>
          <w:pgSz w:w="11906" w:h="16838" w:code="9"/>
          <w:pgMar w:top="1418" w:right="1304" w:bottom="1418" w:left="1304" w:header="709" w:footer="709" w:gutter="0"/>
          <w:pgNumType w:start="1"/>
          <w:cols w:space="708"/>
          <w:titlePg/>
          <w:docGrid w:linePitch="360"/>
        </w:sectPr>
      </w:pPr>
    </w:p>
    <w:p w14:paraId="50EF0D45" w14:textId="77777777" w:rsidR="00F012EA" w:rsidRDefault="00367162" w:rsidP="00B726FF">
      <w:pPr>
        <w:pStyle w:val="AppendixHeadingLevel2NotNumbered"/>
        <w:spacing w:before="0"/>
      </w:pPr>
      <w:r>
        <w:lastRenderedPageBreak/>
        <w:t>References</w:t>
      </w:r>
    </w:p>
    <w:p w14:paraId="7DDCFE0F" w14:textId="77777777" w:rsidR="00367162" w:rsidRPr="00F32AC6" w:rsidRDefault="00367162" w:rsidP="00367162">
      <w:pPr>
        <w:spacing w:after="120"/>
        <w:rPr>
          <w:rFonts w:cs="Times New Roman"/>
        </w:rPr>
      </w:pPr>
      <w:r w:rsidRPr="00F32AC6">
        <w:rPr>
          <w:rFonts w:cs="Times New Roman"/>
        </w:rPr>
        <w:t>Australian Treasury, 2016 Tax Expenditures Statement, January 2017.</w:t>
      </w:r>
    </w:p>
    <w:p w14:paraId="220B782B" w14:textId="77777777" w:rsidR="00367162" w:rsidRPr="00F32AC6" w:rsidRDefault="00367162" w:rsidP="00367162">
      <w:pPr>
        <w:spacing w:after="120"/>
        <w:rPr>
          <w:rFonts w:cs="Times New Roman"/>
        </w:rPr>
      </w:pPr>
      <w:r w:rsidRPr="00F32AC6">
        <w:rPr>
          <w:rFonts w:cs="Times New Roman"/>
        </w:rPr>
        <w:t>Australian Treasury, 1986, Tax Expenditures Statement, October 1986.</w:t>
      </w:r>
    </w:p>
    <w:p w14:paraId="2D0DC0B2" w14:textId="77777777" w:rsidR="00367162" w:rsidRPr="00F32AC6" w:rsidRDefault="00367162" w:rsidP="00367162">
      <w:pPr>
        <w:spacing w:after="120"/>
        <w:rPr>
          <w:rFonts w:cs="Times New Roman"/>
        </w:rPr>
      </w:pPr>
      <w:r w:rsidRPr="00F32AC6">
        <w:rPr>
          <w:rFonts w:cs="Times New Roman"/>
        </w:rPr>
        <w:t>B Bartlett, ‘The End of Tax Expenditures as We Know Them’, IRET Policy Bulletin No 84, 2001.</w:t>
      </w:r>
    </w:p>
    <w:p w14:paraId="03A6338D" w14:textId="77777777" w:rsidR="00367162" w:rsidRPr="00F32AC6" w:rsidRDefault="00367162" w:rsidP="00367162">
      <w:pPr>
        <w:spacing w:after="120"/>
        <w:rPr>
          <w:rFonts w:cs="Times New Roman"/>
        </w:rPr>
      </w:pPr>
      <w:r w:rsidRPr="00F32AC6">
        <w:rPr>
          <w:rFonts w:cs="Times New Roman"/>
        </w:rPr>
        <w:t xml:space="preserve">BI </w:t>
      </w:r>
      <w:proofErr w:type="spellStart"/>
      <w:r w:rsidRPr="00F32AC6">
        <w:rPr>
          <w:rFonts w:cs="Times New Roman"/>
        </w:rPr>
        <w:t>Bittker</w:t>
      </w:r>
      <w:proofErr w:type="spellEnd"/>
      <w:r w:rsidRPr="00F32AC6">
        <w:rPr>
          <w:rFonts w:cs="Times New Roman"/>
        </w:rPr>
        <w:t>, 1969, ‘Accounting for Federal ‘Tax Subsidies’ in the National Budget’, 22 National Tax Journal Vol.2, 244-261.</w:t>
      </w:r>
    </w:p>
    <w:p w14:paraId="1A145542" w14:textId="77777777" w:rsidR="00367162" w:rsidRPr="00F32AC6" w:rsidRDefault="00367162" w:rsidP="00367162">
      <w:pPr>
        <w:spacing w:after="120"/>
        <w:rPr>
          <w:rFonts w:cs="Times New Roman"/>
        </w:rPr>
      </w:pPr>
      <w:r w:rsidRPr="00F32AC6">
        <w:rPr>
          <w:rFonts w:cs="Times New Roman"/>
        </w:rPr>
        <w:t xml:space="preserve">BI </w:t>
      </w:r>
      <w:proofErr w:type="spellStart"/>
      <w:r w:rsidRPr="00F32AC6">
        <w:rPr>
          <w:rFonts w:cs="Times New Roman"/>
        </w:rPr>
        <w:t>Bittker</w:t>
      </w:r>
      <w:proofErr w:type="spellEnd"/>
      <w:r w:rsidRPr="00F32AC6">
        <w:rPr>
          <w:rFonts w:cs="Times New Roman"/>
        </w:rPr>
        <w:t>, 1969b, ‘</w:t>
      </w:r>
      <w:proofErr w:type="gramStart"/>
      <w:r w:rsidRPr="00F32AC6">
        <w:rPr>
          <w:rFonts w:cs="Times New Roman"/>
        </w:rPr>
        <w:t>The</w:t>
      </w:r>
      <w:proofErr w:type="gramEnd"/>
      <w:r w:rsidRPr="00F32AC6">
        <w:rPr>
          <w:rFonts w:cs="Times New Roman"/>
        </w:rPr>
        <w:t xml:space="preserve"> Tax Expenditure Budget — A Reply to Professors Surrey &amp; </w:t>
      </w:r>
      <w:proofErr w:type="spellStart"/>
      <w:r w:rsidRPr="00F32AC6">
        <w:rPr>
          <w:rFonts w:cs="Times New Roman"/>
        </w:rPr>
        <w:t>Hellmuth</w:t>
      </w:r>
      <w:proofErr w:type="spellEnd"/>
      <w:r w:rsidRPr="00F32AC6">
        <w:rPr>
          <w:rFonts w:cs="Times New Roman"/>
        </w:rPr>
        <w:t>’, 22 National Tax Journal Vol. 4, 1969, 538-542.</w:t>
      </w:r>
    </w:p>
    <w:p w14:paraId="19177ED3" w14:textId="77777777" w:rsidR="00367162" w:rsidRPr="00F32AC6" w:rsidRDefault="00367162" w:rsidP="00367162">
      <w:pPr>
        <w:spacing w:after="120"/>
        <w:rPr>
          <w:rFonts w:cs="Times New Roman"/>
        </w:rPr>
      </w:pPr>
      <w:r w:rsidRPr="00F32AC6">
        <w:rPr>
          <w:rFonts w:cs="Times New Roman"/>
        </w:rPr>
        <w:t xml:space="preserve">M Burton, ‘Making the Australian Tax Expenditures Statement an Effective Policy Instrument – from Fiscal Record to Transparent Report’, 8 Journal of Australian Taxation </w:t>
      </w:r>
      <w:proofErr w:type="spellStart"/>
      <w:r w:rsidRPr="00F32AC6">
        <w:rPr>
          <w:rFonts w:cs="Times New Roman"/>
        </w:rPr>
        <w:t>Vol</w:t>
      </w:r>
      <w:proofErr w:type="spellEnd"/>
      <w:r w:rsidRPr="00F32AC6">
        <w:rPr>
          <w:rFonts w:cs="Times New Roman"/>
        </w:rPr>
        <w:t xml:space="preserve"> 1 (2005), 1-69.</w:t>
      </w:r>
    </w:p>
    <w:p w14:paraId="356920D2" w14:textId="77777777" w:rsidR="00B42F03" w:rsidRDefault="00B42F03" w:rsidP="00367162">
      <w:pPr>
        <w:spacing w:after="120"/>
        <w:rPr>
          <w:rFonts w:cs="Times New Roman"/>
        </w:rPr>
      </w:pPr>
      <w:proofErr w:type="gramStart"/>
      <w:r w:rsidRPr="00F70D40">
        <w:rPr>
          <w:rFonts w:cs="Times New Roman"/>
        </w:rPr>
        <w:t xml:space="preserve">M Burton and K </w:t>
      </w:r>
      <w:proofErr w:type="spellStart"/>
      <w:r w:rsidRPr="00F70D40">
        <w:rPr>
          <w:rFonts w:cs="Times New Roman"/>
        </w:rPr>
        <w:t>Sadiq</w:t>
      </w:r>
      <w:proofErr w:type="spellEnd"/>
      <w:r w:rsidRPr="00F70D40">
        <w:rPr>
          <w:rFonts w:cs="Times New Roman"/>
        </w:rPr>
        <w:t>, ‘Tax Expenditure Management – A Critical Assessment’, C</w:t>
      </w:r>
      <w:r>
        <w:rPr>
          <w:rFonts w:cs="Times New Roman"/>
        </w:rPr>
        <w:t>ambridge University Press, 2013.</w:t>
      </w:r>
      <w:proofErr w:type="gramEnd"/>
    </w:p>
    <w:p w14:paraId="1D1CECA9" w14:textId="77777777" w:rsidR="00367162" w:rsidRPr="00F32AC6" w:rsidRDefault="00367162" w:rsidP="00367162">
      <w:pPr>
        <w:spacing w:after="120"/>
        <w:rPr>
          <w:rFonts w:cs="Times New Roman"/>
        </w:rPr>
      </w:pPr>
      <w:r w:rsidRPr="00F32AC6">
        <w:rPr>
          <w:rFonts w:cs="Times New Roman"/>
        </w:rPr>
        <w:t xml:space="preserve">SA Dean, ‘The Tax Expenditure Budget Is a Zombie Accountant’, University of California, Davis Law Review, </w:t>
      </w:r>
      <w:proofErr w:type="spellStart"/>
      <w:r w:rsidRPr="00F32AC6">
        <w:rPr>
          <w:rFonts w:cs="Times New Roman"/>
        </w:rPr>
        <w:t>Vol</w:t>
      </w:r>
      <w:proofErr w:type="spellEnd"/>
      <w:r w:rsidRPr="00F32AC6">
        <w:rPr>
          <w:rFonts w:cs="Times New Roman"/>
        </w:rPr>
        <w:t xml:space="preserve"> 46, 2012, 265-312.</w:t>
      </w:r>
    </w:p>
    <w:p w14:paraId="79AFD719" w14:textId="77777777" w:rsidR="00367162" w:rsidRPr="00F32AC6" w:rsidRDefault="00367162" w:rsidP="00367162">
      <w:pPr>
        <w:spacing w:after="120"/>
        <w:rPr>
          <w:rFonts w:cs="Times New Roman"/>
        </w:rPr>
      </w:pPr>
      <w:proofErr w:type="gramStart"/>
      <w:r w:rsidRPr="00F32AC6">
        <w:rPr>
          <w:rFonts w:cs="Times New Roman"/>
        </w:rPr>
        <w:t xml:space="preserve">JC Fleming and RJ </w:t>
      </w:r>
      <w:proofErr w:type="spellStart"/>
      <w:r w:rsidRPr="00F32AC6">
        <w:rPr>
          <w:rFonts w:cs="Times New Roman"/>
        </w:rPr>
        <w:t>Peroni</w:t>
      </w:r>
      <w:proofErr w:type="spellEnd"/>
      <w:r w:rsidRPr="00F32AC6">
        <w:rPr>
          <w:rFonts w:cs="Times New Roman"/>
        </w:rPr>
        <w:t>, ‘Reinvigorating tax expenditure analysis and its international dimension’, 27</w:t>
      </w:r>
      <w:r w:rsidR="00331C51">
        <w:rPr>
          <w:rFonts w:cs="Times New Roman"/>
        </w:rPr>
        <w:t> </w:t>
      </w:r>
      <w:r w:rsidRPr="00F32AC6">
        <w:rPr>
          <w:rFonts w:cs="Times New Roman"/>
        </w:rPr>
        <w:t>Virginia Tax Law Review, 2008, 437-562.</w:t>
      </w:r>
      <w:proofErr w:type="gramEnd"/>
    </w:p>
    <w:p w14:paraId="69DBD3C3" w14:textId="77777777" w:rsidR="00367162" w:rsidRPr="00F32AC6" w:rsidRDefault="00367162" w:rsidP="00367162">
      <w:pPr>
        <w:spacing w:after="120"/>
        <w:rPr>
          <w:rFonts w:cs="Times New Roman"/>
        </w:rPr>
      </w:pPr>
      <w:proofErr w:type="gramStart"/>
      <w:r w:rsidRPr="00F32AC6">
        <w:rPr>
          <w:rFonts w:cs="Times New Roman"/>
        </w:rPr>
        <w:t>JB Forman, ‘Origins of the Tax Expenditure Budget’, Tax Notes, vol. 30, no. 6 (1986), 537</w:t>
      </w:r>
      <w:r w:rsidRPr="00F32AC6">
        <w:rPr>
          <w:rFonts w:cs="Times New Roman"/>
        </w:rPr>
        <w:noBreakHyphen/>
        <w:t>545.</w:t>
      </w:r>
      <w:proofErr w:type="gramEnd"/>
    </w:p>
    <w:p w14:paraId="3157DF72" w14:textId="77777777" w:rsidR="00367162" w:rsidRPr="00F32AC6" w:rsidRDefault="00367162" w:rsidP="00367162">
      <w:pPr>
        <w:spacing w:after="120"/>
        <w:rPr>
          <w:rFonts w:cs="Times New Roman"/>
        </w:rPr>
      </w:pPr>
      <w:r w:rsidRPr="00F32AC6">
        <w:rPr>
          <w:rFonts w:cs="Times New Roman"/>
        </w:rPr>
        <w:t>DA Kahn &amp; JS Lehman, ‘Tax Expenditure Budgets: A Critical View’, Tax Notes 54 (1992): 1661-1665.</w:t>
      </w:r>
    </w:p>
    <w:p w14:paraId="1323D8B5" w14:textId="77777777" w:rsidR="00367162" w:rsidRPr="00F32AC6" w:rsidRDefault="00367162" w:rsidP="00367162">
      <w:pPr>
        <w:spacing w:after="120"/>
        <w:rPr>
          <w:rFonts w:cs="Times New Roman"/>
        </w:rPr>
      </w:pPr>
      <w:r w:rsidRPr="00F32AC6">
        <w:rPr>
          <w:rFonts w:cs="Times New Roman"/>
        </w:rPr>
        <w:t xml:space="preserve">ED </w:t>
      </w:r>
      <w:proofErr w:type="spellStart"/>
      <w:r w:rsidRPr="00F32AC6">
        <w:rPr>
          <w:rFonts w:cs="Times New Roman"/>
        </w:rPr>
        <w:t>Kleinbard</w:t>
      </w:r>
      <w:proofErr w:type="spellEnd"/>
      <w:r w:rsidRPr="00F32AC6">
        <w:rPr>
          <w:rFonts w:cs="Times New Roman"/>
        </w:rPr>
        <w:t>, ‘The Congress Within the Congress: How Tax Expenditures Distort Our Budget and Our Political Processes’, Ohio Northern University Law Review, Woodworth Memorial Lecture, 2009, 1-30.</w:t>
      </w:r>
    </w:p>
    <w:p w14:paraId="613D4562" w14:textId="77777777" w:rsidR="00367162" w:rsidRPr="00F32AC6" w:rsidRDefault="00367162" w:rsidP="00367162">
      <w:pPr>
        <w:spacing w:after="120"/>
        <w:rPr>
          <w:rFonts w:cs="Times New Roman"/>
        </w:rPr>
      </w:pPr>
      <w:proofErr w:type="gramStart"/>
      <w:r w:rsidRPr="00F32AC6">
        <w:rPr>
          <w:rFonts w:cs="Times New Roman"/>
        </w:rPr>
        <w:t xml:space="preserve">DN </w:t>
      </w:r>
      <w:proofErr w:type="spellStart"/>
      <w:r w:rsidRPr="00F32AC6">
        <w:rPr>
          <w:rFonts w:cs="Times New Roman"/>
        </w:rPr>
        <w:t>Shaviro</w:t>
      </w:r>
      <w:proofErr w:type="spellEnd"/>
      <w:r w:rsidRPr="00F32AC6">
        <w:rPr>
          <w:rFonts w:cs="Times New Roman"/>
        </w:rPr>
        <w:t>, ‘Rethinking tax expenditures and fiscal language’, New York University School of Law, Research Paper 72, Sept 2003.</w:t>
      </w:r>
      <w:proofErr w:type="gramEnd"/>
    </w:p>
    <w:p w14:paraId="069BB232" w14:textId="77777777" w:rsidR="00367162" w:rsidRPr="00F32AC6" w:rsidRDefault="00367162" w:rsidP="00367162">
      <w:pPr>
        <w:spacing w:after="120"/>
        <w:rPr>
          <w:rFonts w:cs="Times New Roman"/>
        </w:rPr>
      </w:pPr>
      <w:r w:rsidRPr="00F32AC6">
        <w:rPr>
          <w:rFonts w:cs="Times New Roman"/>
        </w:rPr>
        <w:t xml:space="preserve">Staff of the Joint Committee on Taxation, </w:t>
      </w:r>
      <w:proofErr w:type="gramStart"/>
      <w:r w:rsidRPr="00F32AC6">
        <w:rPr>
          <w:rFonts w:cs="Times New Roman"/>
        </w:rPr>
        <w:t>A</w:t>
      </w:r>
      <w:proofErr w:type="gramEnd"/>
      <w:r w:rsidRPr="00F32AC6">
        <w:rPr>
          <w:rFonts w:cs="Times New Roman"/>
        </w:rPr>
        <w:t xml:space="preserve"> Reconsideration of Tax Expenditure Analysis, 2008.</w:t>
      </w:r>
    </w:p>
    <w:p w14:paraId="1E0FE9BB" w14:textId="77777777" w:rsidR="00367162" w:rsidRPr="00F32AC6" w:rsidRDefault="00367162" w:rsidP="00367162">
      <w:pPr>
        <w:spacing w:after="120"/>
        <w:rPr>
          <w:rFonts w:cs="Times New Roman"/>
        </w:rPr>
      </w:pPr>
      <w:proofErr w:type="gramStart"/>
      <w:r w:rsidRPr="00F32AC6">
        <w:rPr>
          <w:rFonts w:cs="Times New Roman"/>
        </w:rPr>
        <w:t>Staff of the Joint Committee on Taxation, Estimates of Federal Tax Expenditures for Fiscal Years</w:t>
      </w:r>
      <w:r w:rsidR="00331C51">
        <w:rPr>
          <w:rFonts w:cs="Times New Roman"/>
        </w:rPr>
        <w:br/>
      </w:r>
      <w:r w:rsidRPr="00F32AC6">
        <w:rPr>
          <w:rFonts w:cs="Times New Roman"/>
        </w:rPr>
        <w:t>2009-2013, 2010.</w:t>
      </w:r>
      <w:proofErr w:type="gramEnd"/>
    </w:p>
    <w:p w14:paraId="63865BEF" w14:textId="77777777" w:rsidR="00367162" w:rsidRPr="00F32AC6" w:rsidRDefault="00367162" w:rsidP="00367162">
      <w:pPr>
        <w:spacing w:after="120"/>
        <w:rPr>
          <w:rFonts w:cs="Times New Roman"/>
        </w:rPr>
      </w:pPr>
      <w:r w:rsidRPr="00F32AC6">
        <w:rPr>
          <w:rFonts w:cs="Times New Roman"/>
        </w:rPr>
        <w:t xml:space="preserve">Standing Committee on Expenditure, House of Representatives, ‘Taxation Expenditures’, </w:t>
      </w:r>
      <w:proofErr w:type="gramStart"/>
      <w:r w:rsidRPr="00F32AC6">
        <w:rPr>
          <w:rFonts w:cs="Times New Roman"/>
        </w:rPr>
        <w:t>August</w:t>
      </w:r>
      <w:proofErr w:type="gramEnd"/>
      <w:r w:rsidRPr="00F32AC6">
        <w:rPr>
          <w:rFonts w:cs="Times New Roman"/>
        </w:rPr>
        <w:t xml:space="preserve"> 1982.</w:t>
      </w:r>
    </w:p>
    <w:p w14:paraId="3481D816" w14:textId="77777777" w:rsidR="00367162" w:rsidRPr="00F32AC6" w:rsidRDefault="00367162" w:rsidP="00367162">
      <w:pPr>
        <w:spacing w:after="120"/>
        <w:rPr>
          <w:rFonts w:cs="Times New Roman"/>
        </w:rPr>
      </w:pPr>
      <w:proofErr w:type="gramStart"/>
      <w:r w:rsidRPr="00F32AC6">
        <w:rPr>
          <w:rFonts w:cs="Times New Roman"/>
        </w:rPr>
        <w:t xml:space="preserve">L </w:t>
      </w:r>
      <w:proofErr w:type="spellStart"/>
      <w:r w:rsidRPr="00F32AC6">
        <w:rPr>
          <w:rFonts w:cs="Times New Roman"/>
        </w:rPr>
        <w:t>Sugin</w:t>
      </w:r>
      <w:proofErr w:type="spellEnd"/>
      <w:r w:rsidRPr="00F32AC6">
        <w:rPr>
          <w:rFonts w:cs="Times New Roman"/>
        </w:rPr>
        <w:t>, ‘Tax expenditures, Reform and Distributive Justice’, 3 Columbia Journal of Tax Law, 2011, 1-42.</w:t>
      </w:r>
      <w:proofErr w:type="gramEnd"/>
    </w:p>
    <w:p w14:paraId="744B8BEC" w14:textId="77777777" w:rsidR="00367162" w:rsidRPr="00F32AC6" w:rsidRDefault="00367162" w:rsidP="00367162">
      <w:pPr>
        <w:spacing w:after="120"/>
        <w:rPr>
          <w:rFonts w:cs="Times New Roman"/>
        </w:rPr>
      </w:pPr>
      <w:r w:rsidRPr="00F32AC6">
        <w:rPr>
          <w:rFonts w:cs="Times New Roman"/>
        </w:rPr>
        <w:t>M Sullivan, ‘Administration Reignites Old Battle Over Tax Expenditures’, 91 Tax Notes no.5, 2001</w:t>
      </w:r>
      <w:proofErr w:type="gramStart"/>
      <w:r w:rsidRPr="00F32AC6">
        <w:rPr>
          <w:rFonts w:cs="Times New Roman"/>
        </w:rPr>
        <w:t>,</w:t>
      </w:r>
      <w:proofErr w:type="gramEnd"/>
      <w:r w:rsidR="00331C51">
        <w:rPr>
          <w:rFonts w:cs="Times New Roman"/>
        </w:rPr>
        <w:br/>
      </w:r>
      <w:r w:rsidRPr="00F32AC6">
        <w:rPr>
          <w:rFonts w:cs="Times New Roman"/>
        </w:rPr>
        <w:t>701-707.</w:t>
      </w:r>
    </w:p>
    <w:p w14:paraId="1143C4F6" w14:textId="77777777" w:rsidR="00367162" w:rsidRPr="00F32AC6" w:rsidRDefault="00367162" w:rsidP="00367162">
      <w:pPr>
        <w:spacing w:after="120"/>
        <w:rPr>
          <w:rFonts w:cs="Times New Roman"/>
        </w:rPr>
      </w:pPr>
      <w:r w:rsidRPr="00F32AC6">
        <w:rPr>
          <w:rFonts w:cs="Times New Roman"/>
        </w:rPr>
        <w:t>SS Surrey, ‘Tax Incentives as a Device for Implementing Government Policy: A Comparison with Direct Government Expenditures’, 83 Harvard Law Review (1970), 705-738.</w:t>
      </w:r>
    </w:p>
    <w:p w14:paraId="6FE7DE51" w14:textId="77777777" w:rsidR="00367162" w:rsidRPr="00F32AC6" w:rsidRDefault="00367162" w:rsidP="00367162">
      <w:pPr>
        <w:spacing w:after="120"/>
        <w:rPr>
          <w:rFonts w:cs="Times New Roman"/>
        </w:rPr>
      </w:pPr>
      <w:r w:rsidRPr="00F32AC6">
        <w:rPr>
          <w:rFonts w:cs="Times New Roman"/>
        </w:rPr>
        <w:t xml:space="preserve">SS Surrey and WF </w:t>
      </w:r>
      <w:proofErr w:type="spellStart"/>
      <w:r w:rsidRPr="00F32AC6">
        <w:rPr>
          <w:rFonts w:cs="Times New Roman"/>
        </w:rPr>
        <w:t>Hellmuth</w:t>
      </w:r>
      <w:proofErr w:type="spellEnd"/>
      <w:r w:rsidRPr="00F32AC6">
        <w:rPr>
          <w:rFonts w:cs="Times New Roman"/>
        </w:rPr>
        <w:t>, ‘</w:t>
      </w:r>
      <w:proofErr w:type="gramStart"/>
      <w:r w:rsidRPr="00F32AC6">
        <w:rPr>
          <w:rFonts w:cs="Times New Roman"/>
        </w:rPr>
        <w:t>The</w:t>
      </w:r>
      <w:proofErr w:type="gramEnd"/>
      <w:r w:rsidRPr="00F32AC6">
        <w:rPr>
          <w:rFonts w:cs="Times New Roman"/>
        </w:rPr>
        <w:t xml:space="preserve"> Tax Expenditure Budget—Response to Professor </w:t>
      </w:r>
      <w:proofErr w:type="spellStart"/>
      <w:r w:rsidRPr="00F32AC6">
        <w:rPr>
          <w:rFonts w:cs="Times New Roman"/>
        </w:rPr>
        <w:t>Bittker</w:t>
      </w:r>
      <w:proofErr w:type="spellEnd"/>
      <w:r w:rsidRPr="00F32AC6">
        <w:rPr>
          <w:rFonts w:cs="Times New Roman"/>
        </w:rPr>
        <w:t>’, 22 National Tax Journal Vol. 4, 1969, 528-537.</w:t>
      </w:r>
    </w:p>
    <w:p w14:paraId="2D48B82C" w14:textId="77777777" w:rsidR="00367162" w:rsidRPr="00F32AC6" w:rsidRDefault="00367162" w:rsidP="00367162">
      <w:pPr>
        <w:spacing w:after="120"/>
        <w:rPr>
          <w:rFonts w:cs="Times New Roman"/>
        </w:rPr>
      </w:pPr>
      <w:r w:rsidRPr="00F32AC6">
        <w:rPr>
          <w:rFonts w:cs="Times New Roman"/>
        </w:rPr>
        <w:t>SS Surrey and PR McDaniel, Tax Expenditures, Harvard University Press, Cambridge Mass, 1985.</w:t>
      </w:r>
    </w:p>
    <w:p w14:paraId="59CE354B" w14:textId="77777777" w:rsidR="00367162" w:rsidRPr="00F32AC6" w:rsidRDefault="00367162" w:rsidP="00367162">
      <w:pPr>
        <w:spacing w:after="120"/>
        <w:rPr>
          <w:rFonts w:cs="Times New Roman"/>
        </w:rPr>
      </w:pPr>
      <w:r w:rsidRPr="00F32AC6">
        <w:rPr>
          <w:rFonts w:cs="Times New Roman"/>
        </w:rPr>
        <w:t xml:space="preserve">V </w:t>
      </w:r>
      <w:proofErr w:type="spellStart"/>
      <w:r w:rsidRPr="00F32AC6">
        <w:rPr>
          <w:rFonts w:cs="Times New Roman"/>
        </w:rPr>
        <w:t>Thuronyi</w:t>
      </w:r>
      <w:proofErr w:type="spellEnd"/>
      <w:r w:rsidRPr="00F32AC6">
        <w:rPr>
          <w:rFonts w:cs="Times New Roman"/>
        </w:rPr>
        <w:t>, ‘Tax Expenditures: A Reassessment’, Duke Law Journal, 1988, 1155-1206.</w:t>
      </w:r>
    </w:p>
    <w:p w14:paraId="56DF58C2" w14:textId="77777777" w:rsidR="00367162" w:rsidRPr="00F32AC6" w:rsidRDefault="00367162" w:rsidP="00367162">
      <w:pPr>
        <w:spacing w:after="120"/>
        <w:rPr>
          <w:rFonts w:cs="Times New Roman"/>
        </w:rPr>
      </w:pPr>
      <w:r w:rsidRPr="00F32AC6">
        <w:rPr>
          <w:rFonts w:cs="Times New Roman"/>
        </w:rPr>
        <w:t>United States Government Budget, Fiscal Year 2002, Analytical Perspectives, Tax Expenditures.</w:t>
      </w:r>
    </w:p>
    <w:p w14:paraId="515CF480" w14:textId="77777777" w:rsidR="00367162" w:rsidRPr="00F32AC6" w:rsidRDefault="00367162" w:rsidP="00367162">
      <w:pPr>
        <w:spacing w:after="120"/>
        <w:rPr>
          <w:rFonts w:cs="Times New Roman"/>
        </w:rPr>
      </w:pPr>
      <w:r w:rsidRPr="00F32AC6">
        <w:rPr>
          <w:rFonts w:cs="Times New Roman"/>
        </w:rPr>
        <w:t xml:space="preserve">EA </w:t>
      </w:r>
      <w:proofErr w:type="spellStart"/>
      <w:r w:rsidRPr="00F32AC6">
        <w:rPr>
          <w:rFonts w:cs="Times New Roman"/>
        </w:rPr>
        <w:t>Zelinsky</w:t>
      </w:r>
      <w:proofErr w:type="spellEnd"/>
      <w:r w:rsidRPr="00F32AC6">
        <w:rPr>
          <w:rFonts w:cs="Times New Roman"/>
        </w:rPr>
        <w:t>, ‘The Counterproductive Nature of Tax Expenditure Budgets’, Tax Notes, Vol. 137, No. 12, 2012, 1-9.</w:t>
      </w:r>
    </w:p>
    <w:p w14:paraId="761CAD29" w14:textId="77777777" w:rsidR="00F32AC6" w:rsidRPr="00F32AC6" w:rsidRDefault="00F32AC6" w:rsidP="00F32AC6">
      <w:pPr>
        <w:pStyle w:val="AppendixHeadingLevel2NotNumbered"/>
        <w:tabs>
          <w:tab w:val="left" w:pos="5954"/>
        </w:tabs>
      </w:pPr>
      <w:r w:rsidRPr="00F32AC6">
        <w:lastRenderedPageBreak/>
        <w:t xml:space="preserve">Appendix: Tax expenditure literature in </w:t>
      </w:r>
      <w:r w:rsidR="00B939C4">
        <w:t>A</w:t>
      </w:r>
      <w:r w:rsidRPr="00F32AC6">
        <w:t>ustralia</w:t>
      </w:r>
    </w:p>
    <w:p w14:paraId="452BF5DB" w14:textId="77777777" w:rsidR="00F32AC6" w:rsidRPr="00F32AC6" w:rsidRDefault="00F32AC6" w:rsidP="00F32AC6">
      <w:pPr>
        <w:rPr>
          <w:rFonts w:cs="Times New Roman"/>
        </w:rPr>
      </w:pPr>
      <w:r w:rsidRPr="00F32AC6">
        <w:rPr>
          <w:rFonts w:cs="Times New Roman"/>
        </w:rPr>
        <w:t>The academic literature on tax expenditures in Australia appears to be relatively modest compared to the United States, and to cover quite similar issues to the American literature. In 2005, an Australian academic, Mark Burton, noted that:</w:t>
      </w:r>
    </w:p>
    <w:p w14:paraId="4283A50E" w14:textId="77777777" w:rsidR="00F32AC6" w:rsidRPr="00F32AC6" w:rsidRDefault="00F32AC6" w:rsidP="00331C51">
      <w:pPr>
        <w:pStyle w:val="Quote"/>
      </w:pPr>
      <w:r w:rsidRPr="00F32AC6">
        <w:t>Given the longevity of Australian tax expenditures reporting and the pragmatic rationale for such reports, it is somewhat surprising that there is remarkably little secondary literature which deals at any length with tax expenditures in the Australian context. Of the Australian literature that does exist, little critical analysis is directed towards the tax expenditure concept itself. As a result, the storms which have raged upon this particular aspect of tax expenditure reporting in the United States appear largely</w:t>
      </w:r>
      <w:bookmarkStart w:id="0" w:name="_GoBack"/>
      <w:bookmarkEnd w:id="0"/>
      <w:r w:rsidRPr="00F32AC6">
        <w:t xml:space="preserve"> to have passed Australia by.</w:t>
      </w:r>
      <w:r w:rsidRPr="00F32AC6">
        <w:rPr>
          <w:rStyle w:val="FootnoteReference"/>
          <w:rFonts w:cs="Times New Roman"/>
        </w:rPr>
        <w:footnoteReference w:id="66"/>
      </w:r>
    </w:p>
    <w:p w14:paraId="4F5FE366" w14:textId="77777777" w:rsidR="00F32AC6" w:rsidRPr="00F32AC6" w:rsidRDefault="00F32AC6" w:rsidP="00F32AC6">
      <w:pPr>
        <w:rPr>
          <w:rFonts w:cs="Times New Roman"/>
        </w:rPr>
      </w:pPr>
      <w:r w:rsidRPr="00F32AC6">
        <w:rPr>
          <w:rFonts w:cs="Times New Roman"/>
        </w:rPr>
        <w:t>General articles consistent with the Surrey approach to tax expenditures include:</w:t>
      </w:r>
    </w:p>
    <w:p w14:paraId="2CA3ADAD" w14:textId="77777777" w:rsidR="00F32AC6" w:rsidRPr="00F32AC6" w:rsidRDefault="00F32AC6" w:rsidP="00331C51">
      <w:pPr>
        <w:pStyle w:val="Quote"/>
      </w:pPr>
      <w:r w:rsidRPr="00F32AC6">
        <w:t>J Smith, ‘Tax Expenditures: the $30 Billion Twilight Zone of Government Spending’, Research Paper No. 8, 2002–03, Department of the Parliamentary Library.</w:t>
      </w:r>
    </w:p>
    <w:p w14:paraId="1E4A95B9" w14:textId="77777777" w:rsidR="00F32AC6" w:rsidRPr="00F32AC6" w:rsidRDefault="00F32AC6" w:rsidP="00331C51">
      <w:pPr>
        <w:pStyle w:val="Quote"/>
      </w:pPr>
      <w:r w:rsidRPr="00F32AC6">
        <w:t xml:space="preserve">D </w:t>
      </w:r>
      <w:proofErr w:type="spellStart"/>
      <w:r w:rsidRPr="00F32AC6">
        <w:t>Boccabella</w:t>
      </w:r>
      <w:proofErr w:type="spellEnd"/>
      <w:r w:rsidRPr="00F32AC6">
        <w:t>, ‘To cut fairly, Commission of Audit should look at tax expenditures’, The Conversation, 12 March 2014.</w:t>
      </w:r>
    </w:p>
    <w:p w14:paraId="2E5EA5D0" w14:textId="77777777" w:rsidR="006E3BFD" w:rsidRPr="00331C51" w:rsidRDefault="00BC7845" w:rsidP="00331C51">
      <w:pPr>
        <w:pStyle w:val="Quote2"/>
        <w:rPr>
          <w:rStyle w:val="Hyperlink"/>
        </w:rPr>
      </w:pPr>
      <w:hyperlink r:id="rId28" w:history="1">
        <w:r w:rsidR="00F32AC6" w:rsidRPr="00331C51">
          <w:rPr>
            <w:rStyle w:val="Hyperlink"/>
          </w:rPr>
          <w:t>http://theconversation.com/to-cut-fairly-commission-of-audit-should-look-at-tax-expenditures-23769</w:t>
        </w:r>
      </w:hyperlink>
      <w:r w:rsidR="006E3BFD" w:rsidRPr="00331C51">
        <w:rPr>
          <w:rStyle w:val="Hyperlink"/>
        </w:rPr>
        <w:t xml:space="preserve"> </w:t>
      </w:r>
    </w:p>
    <w:p w14:paraId="000BDA9B" w14:textId="77777777" w:rsidR="00F32AC6" w:rsidRPr="00F32AC6" w:rsidRDefault="00F32AC6" w:rsidP="00F32AC6">
      <w:pPr>
        <w:rPr>
          <w:rFonts w:cs="Times New Roman"/>
        </w:rPr>
      </w:pPr>
      <w:r w:rsidRPr="00F32AC6">
        <w:rPr>
          <w:rFonts w:cs="Times New Roman"/>
        </w:rPr>
        <w:t>General articles highlighting concerns about the Surrey approach to tax expenditures include:</w:t>
      </w:r>
    </w:p>
    <w:p w14:paraId="61CE2F11" w14:textId="77777777" w:rsidR="00F32AC6" w:rsidRPr="00F32AC6" w:rsidRDefault="00F32AC6" w:rsidP="00331C51">
      <w:pPr>
        <w:pStyle w:val="Quote"/>
      </w:pPr>
      <w:r w:rsidRPr="00F32AC6">
        <w:t>R Carling, ‘Right or Rort: Dissecting Australia’s Tax Concessions’, 2015, Research Report 2, Centre for Independent Studies.</w:t>
      </w:r>
    </w:p>
    <w:p w14:paraId="3DF09950" w14:textId="77777777" w:rsidR="00F32AC6" w:rsidRPr="00F32AC6" w:rsidRDefault="00F32AC6" w:rsidP="00331C51">
      <w:pPr>
        <w:pStyle w:val="Quote"/>
      </w:pPr>
      <w:r w:rsidRPr="00F32AC6">
        <w:t>S Davidson, ‘Getting tax expenditures right is a game of hypotheticals’, The Conversation, 13 March 2014.</w:t>
      </w:r>
    </w:p>
    <w:p w14:paraId="52365606" w14:textId="77777777" w:rsidR="00F32AC6" w:rsidRPr="00F32AC6" w:rsidRDefault="00BC7845" w:rsidP="00331C51">
      <w:pPr>
        <w:pStyle w:val="Quote2"/>
        <w:rPr>
          <w:rFonts w:cs="Times New Roman"/>
        </w:rPr>
      </w:pPr>
      <w:hyperlink r:id="rId29" w:history="1">
        <w:r w:rsidR="00F32AC6" w:rsidRPr="00F32AC6">
          <w:rPr>
            <w:rStyle w:val="Hyperlink"/>
            <w:rFonts w:cs="Times New Roman"/>
          </w:rPr>
          <w:t>http://theconversation.com/getting-tax-expenditures-right-is-a-game-of-hypotheticals-24327</w:t>
        </w:r>
      </w:hyperlink>
    </w:p>
    <w:p w14:paraId="098EF45B" w14:textId="77777777" w:rsidR="00F32AC6" w:rsidRPr="00F32AC6" w:rsidRDefault="00F32AC6" w:rsidP="00F32AC6">
      <w:pPr>
        <w:rPr>
          <w:rFonts w:cs="Times New Roman"/>
        </w:rPr>
      </w:pPr>
      <w:r w:rsidRPr="00F32AC6">
        <w:rPr>
          <w:rFonts w:cs="Times New Roman"/>
        </w:rPr>
        <w:t>Proposals to extend tax expenditure analysis include:</w:t>
      </w:r>
    </w:p>
    <w:p w14:paraId="4C41082C" w14:textId="77777777" w:rsidR="00F32AC6" w:rsidRPr="00F32AC6" w:rsidRDefault="00F32AC6" w:rsidP="00331C51">
      <w:pPr>
        <w:pStyle w:val="Quote"/>
      </w:pPr>
      <w:r w:rsidRPr="00F32AC6">
        <w:t xml:space="preserve">R </w:t>
      </w:r>
      <w:proofErr w:type="spellStart"/>
      <w:r w:rsidRPr="00F32AC6">
        <w:t>Krever</w:t>
      </w:r>
      <w:proofErr w:type="spellEnd"/>
      <w:r w:rsidRPr="00F32AC6">
        <w:t>, ‘Analysing Implicit Tax Expenditures’ (2011) 35(2) Melbourne University Law Review 426.</w:t>
      </w:r>
    </w:p>
    <w:p w14:paraId="75E353E7" w14:textId="77777777" w:rsidR="00F32AC6" w:rsidRPr="00BC7845" w:rsidRDefault="00F32AC6" w:rsidP="00331C51">
      <w:pPr>
        <w:pStyle w:val="Quote2"/>
        <w:rPr>
          <w:i w:val="0"/>
        </w:rPr>
      </w:pPr>
      <w:proofErr w:type="spellStart"/>
      <w:r w:rsidRPr="00BC7845">
        <w:rPr>
          <w:i w:val="0"/>
        </w:rPr>
        <w:t>Krever</w:t>
      </w:r>
      <w:proofErr w:type="spellEnd"/>
      <w:r w:rsidRPr="00BC7845">
        <w:rPr>
          <w:i w:val="0"/>
        </w:rPr>
        <w:t xml:space="preserve"> argues that tax expenditure analysis should be extended to ‘implicit’ tax expenditures – that is, tax expenditures created by court rulings that have been implicitly endorsed in </w:t>
      </w:r>
      <w:r w:rsidR="006E3BFD" w:rsidRPr="00BC7845">
        <w:rPr>
          <w:i w:val="0"/>
        </w:rPr>
        <w:t xml:space="preserve">the design of </w:t>
      </w:r>
      <w:r w:rsidRPr="00BC7845">
        <w:rPr>
          <w:i w:val="0"/>
        </w:rPr>
        <w:t>tax law.</w:t>
      </w:r>
      <w:r w:rsidRPr="00BC7845">
        <w:rPr>
          <w:rStyle w:val="FootnoteReference"/>
          <w:rFonts w:cs="Times New Roman"/>
          <w:i w:val="0"/>
        </w:rPr>
        <w:footnoteReference w:id="67"/>
      </w:r>
    </w:p>
    <w:p w14:paraId="2D16AF8B" w14:textId="77777777" w:rsidR="00F32AC6" w:rsidRPr="00F32AC6" w:rsidRDefault="00F32AC6" w:rsidP="00331C51">
      <w:pPr>
        <w:pStyle w:val="Quote"/>
      </w:pPr>
      <w:r w:rsidRPr="00F32AC6">
        <w:t xml:space="preserve">M Burton, ‘Making the Australian Tax Expenditures Statement an Effective Policy Instrument – from Fiscal Record to Transparent Report’, 8 Journal of Australian Taxation </w:t>
      </w:r>
      <w:proofErr w:type="spellStart"/>
      <w:r w:rsidRPr="00F32AC6">
        <w:t>Vol</w:t>
      </w:r>
      <w:proofErr w:type="spellEnd"/>
      <w:r w:rsidRPr="00F32AC6">
        <w:t xml:space="preserve"> 1 (2005), 1-69.</w:t>
      </w:r>
    </w:p>
    <w:p w14:paraId="5A592D41" w14:textId="77777777" w:rsidR="00F32AC6" w:rsidRPr="00BC7845" w:rsidRDefault="00F32AC6" w:rsidP="00331C51">
      <w:pPr>
        <w:pStyle w:val="Quote"/>
        <w:rPr>
          <w:i w:val="0"/>
        </w:rPr>
      </w:pPr>
      <w:r w:rsidRPr="00BC7845">
        <w:rPr>
          <w:i w:val="0"/>
        </w:rPr>
        <w:lastRenderedPageBreak/>
        <w:t>Burton argues that, rather than just measuring the size of government or identifying tax ‘spending’ programs, the focus and purpose of the TES should be to promote public debate on the tax system. He therefore proposes that the TES be reformulated as an ‘annual report card on the operation of the national taxation system’.</w:t>
      </w:r>
      <w:r w:rsidRPr="00BC7845">
        <w:rPr>
          <w:rStyle w:val="FootnoteReference"/>
          <w:rFonts w:cs="Times New Roman"/>
          <w:i w:val="0"/>
        </w:rPr>
        <w:footnoteReference w:id="68"/>
      </w:r>
      <w:r w:rsidRPr="00BC7845">
        <w:rPr>
          <w:i w:val="0"/>
        </w:rPr>
        <w:t xml:space="preserve"> It would report information ‘regarding the nature, scope, operation and ultimate beneficiaries </w:t>
      </w:r>
      <w:proofErr w:type="gramStart"/>
      <w:r w:rsidRPr="00BC7845">
        <w:rPr>
          <w:i w:val="0"/>
        </w:rPr>
        <w:t>of each tax expenditure</w:t>
      </w:r>
      <w:proofErr w:type="gramEnd"/>
      <w:r w:rsidRPr="00BC7845">
        <w:rPr>
          <w:i w:val="0"/>
        </w:rPr>
        <w:t xml:space="preserve"> as well as the overall incidence of the income tax’.</w:t>
      </w:r>
      <w:r w:rsidRPr="00BC7845">
        <w:rPr>
          <w:rStyle w:val="FootnoteReference"/>
          <w:rFonts w:cs="Times New Roman"/>
          <w:i w:val="0"/>
        </w:rPr>
        <w:footnoteReference w:id="69"/>
      </w:r>
      <w:r w:rsidRPr="00BC7845">
        <w:rPr>
          <w:i w:val="0"/>
        </w:rPr>
        <w:t xml:space="preserve"> The TES would be published by an ‘independent government agency’</w:t>
      </w:r>
      <w:r w:rsidRPr="00BC7845">
        <w:rPr>
          <w:rStyle w:val="FootnoteReference"/>
          <w:rFonts w:cs="Times New Roman"/>
          <w:i w:val="0"/>
        </w:rPr>
        <w:footnoteReference w:id="70"/>
      </w:r>
      <w:r w:rsidRPr="00BC7845">
        <w:rPr>
          <w:i w:val="0"/>
        </w:rPr>
        <w:t xml:space="preserve"> and would cover Commonwealth, state and territory tax systems.</w:t>
      </w:r>
      <w:r w:rsidRPr="00BC7845">
        <w:rPr>
          <w:rStyle w:val="FootnoteReference"/>
          <w:rFonts w:cs="Times New Roman"/>
          <w:i w:val="0"/>
        </w:rPr>
        <w:footnoteReference w:id="71"/>
      </w:r>
      <w:r w:rsidRPr="00BC7845">
        <w:rPr>
          <w:i w:val="0"/>
        </w:rPr>
        <w:t xml:space="preserve"> Burton suggests that ‘costs might well be recouped as a result of tax reforms flowing from review of the information contained in the TES’.</w:t>
      </w:r>
      <w:r w:rsidRPr="00BC7845">
        <w:rPr>
          <w:rStyle w:val="FootnoteReference"/>
          <w:rFonts w:cs="Times New Roman"/>
          <w:i w:val="0"/>
        </w:rPr>
        <w:footnoteReference w:id="72"/>
      </w:r>
      <w:r w:rsidRPr="00BC7845">
        <w:rPr>
          <w:i w:val="0"/>
        </w:rPr>
        <w:t xml:space="preserve"> </w:t>
      </w:r>
    </w:p>
    <w:p w14:paraId="2A29F493" w14:textId="77777777" w:rsidR="00F32AC6" w:rsidRPr="00F32AC6" w:rsidRDefault="00F32AC6" w:rsidP="00331C51">
      <w:pPr>
        <w:pStyle w:val="Heading3-NoTOC"/>
      </w:pPr>
      <w:r w:rsidRPr="00F32AC6">
        <w:t>Official reports</w:t>
      </w:r>
    </w:p>
    <w:p w14:paraId="26987CB4" w14:textId="77777777" w:rsidR="00F32AC6" w:rsidRPr="00F32AC6" w:rsidRDefault="00F32AC6" w:rsidP="00F32AC6">
      <w:pPr>
        <w:rPr>
          <w:rFonts w:cs="Times New Roman"/>
        </w:rPr>
      </w:pPr>
      <w:r w:rsidRPr="00F32AC6">
        <w:rPr>
          <w:rFonts w:cs="Times New Roman"/>
        </w:rPr>
        <w:t xml:space="preserve">In 5 December 2015, the House of Representatives Standing Committee on Tax and Revenue released a report on the TES. The Government’s response was tabled on 29 November 2016. The response supports five of the 13 recommendations and a further two in part. The report and Government response are available at: </w:t>
      </w:r>
      <w:hyperlink r:id="rId30" w:history="1">
        <w:r w:rsidR="00331C51" w:rsidRPr="0020446B">
          <w:rPr>
            <w:rStyle w:val="Hyperlink"/>
            <w:rFonts w:cs="Times New Roman"/>
          </w:rPr>
          <w:t>http://www.aph.gov.au/Parliamentary_Business/Committees/House/</w:t>
        </w:r>
        <w:r w:rsidR="00331C51" w:rsidRPr="0020446B">
          <w:rPr>
            <w:rStyle w:val="Hyperlink"/>
            <w:rFonts w:cs="Times New Roman"/>
          </w:rPr>
          <w:br/>
        </w:r>
        <w:proofErr w:type="spellStart"/>
        <w:r w:rsidR="00331C51" w:rsidRPr="0020446B">
          <w:rPr>
            <w:rStyle w:val="Hyperlink"/>
            <w:rFonts w:cs="Times New Roman"/>
          </w:rPr>
          <w:t>Tax_and_Revenue</w:t>
        </w:r>
        <w:proofErr w:type="spellEnd"/>
        <w:r w:rsidR="00331C51" w:rsidRPr="0020446B">
          <w:rPr>
            <w:rStyle w:val="Hyperlink"/>
            <w:rFonts w:cs="Times New Roman"/>
          </w:rPr>
          <w:t>/</w:t>
        </w:r>
        <w:proofErr w:type="spellStart"/>
        <w:r w:rsidR="00331C51" w:rsidRPr="0020446B">
          <w:rPr>
            <w:rStyle w:val="Hyperlink"/>
            <w:rFonts w:cs="Times New Roman"/>
          </w:rPr>
          <w:t>Tax_Expenditures</w:t>
        </w:r>
        <w:proofErr w:type="spellEnd"/>
        <w:r w:rsidR="00331C51" w:rsidRPr="0020446B">
          <w:rPr>
            <w:rStyle w:val="Hyperlink"/>
            <w:rFonts w:cs="Times New Roman"/>
          </w:rPr>
          <w:t>/Report</w:t>
        </w:r>
      </w:hyperlink>
      <w:r w:rsidRPr="00F32AC6">
        <w:rPr>
          <w:rFonts w:cs="Times New Roman"/>
        </w:rPr>
        <w:t>.</w:t>
      </w:r>
    </w:p>
    <w:p w14:paraId="42F4BBF0" w14:textId="77777777" w:rsidR="00F32AC6" w:rsidRPr="00F32AC6" w:rsidRDefault="00F32AC6" w:rsidP="00F32AC6">
      <w:pPr>
        <w:rPr>
          <w:rFonts w:cs="Times New Roman"/>
        </w:rPr>
      </w:pPr>
      <w:r w:rsidRPr="00F32AC6">
        <w:rPr>
          <w:rFonts w:cs="Times New Roman"/>
        </w:rPr>
        <w:t>Other official reports about tax expenditures include:</w:t>
      </w:r>
    </w:p>
    <w:p w14:paraId="41DAC905" w14:textId="77777777" w:rsidR="00F32AC6" w:rsidRPr="00F32AC6" w:rsidRDefault="00F32AC6" w:rsidP="00331C51">
      <w:pPr>
        <w:pStyle w:val="Quote"/>
      </w:pPr>
      <w:r w:rsidRPr="00F32AC6">
        <w:t xml:space="preserve">Standing Committee on Expenditure, House of Representatives, ‘Taxation Expenditures’, </w:t>
      </w:r>
      <w:proofErr w:type="gramStart"/>
      <w:r w:rsidRPr="00F32AC6">
        <w:t>August</w:t>
      </w:r>
      <w:proofErr w:type="gramEnd"/>
      <w:r w:rsidRPr="00F32AC6">
        <w:t xml:space="preserve"> 1982.</w:t>
      </w:r>
    </w:p>
    <w:p w14:paraId="015E8EB3" w14:textId="77777777" w:rsidR="00F32AC6" w:rsidRPr="00F32AC6" w:rsidRDefault="00F32AC6" w:rsidP="00331C51">
      <w:pPr>
        <w:pStyle w:val="Quote"/>
      </w:pPr>
      <w:proofErr w:type="gramStart"/>
      <w:r w:rsidRPr="00F32AC6">
        <w:t>Economic Planning and Advisory Council, ‘Tax Expenditures in Australia’, 1986.</w:t>
      </w:r>
      <w:proofErr w:type="gramEnd"/>
    </w:p>
    <w:p w14:paraId="23952040" w14:textId="77777777" w:rsidR="00F32AC6" w:rsidRPr="00F32AC6" w:rsidRDefault="00F32AC6" w:rsidP="00331C51">
      <w:pPr>
        <w:pStyle w:val="Quote"/>
      </w:pPr>
      <w:proofErr w:type="gramStart"/>
      <w:r w:rsidRPr="00F32AC6">
        <w:t>Australian National Audit Office, Audit Report No. 32 2007-08, Performance Audit, Preparation of the Tax Expenditures Statement.</w:t>
      </w:r>
      <w:proofErr w:type="gramEnd"/>
    </w:p>
    <w:p w14:paraId="2B030C12" w14:textId="77777777" w:rsidR="00F32AC6" w:rsidRPr="00F32AC6" w:rsidRDefault="00F32AC6" w:rsidP="00331C51">
      <w:pPr>
        <w:pStyle w:val="Quote"/>
      </w:pPr>
      <w:proofErr w:type="gramStart"/>
      <w:r w:rsidRPr="00F32AC6">
        <w:t>Australian National Audit Office, Audit Report No. 34 2012-13, Performance Audit, Preparation of the Tax Expenditures Statement.</w:t>
      </w:r>
      <w:proofErr w:type="gramEnd"/>
    </w:p>
    <w:p w14:paraId="2EF2E532" w14:textId="77777777" w:rsidR="00F32AC6" w:rsidRPr="00F32AC6" w:rsidRDefault="00F32AC6" w:rsidP="00331C51">
      <w:pPr>
        <w:pStyle w:val="Quote"/>
      </w:pPr>
      <w:proofErr w:type="gramStart"/>
      <w:r w:rsidRPr="00F32AC6">
        <w:t>Joint Committee on Public Accounts and Audit, Review of Auditor-General’s Reports tabled between August 2007 and August 2008, June 2009, Chapter 4.</w:t>
      </w:r>
      <w:proofErr w:type="gramEnd"/>
    </w:p>
    <w:p w14:paraId="374F7868" w14:textId="77777777" w:rsidR="00F012EA" w:rsidRPr="008627B1" w:rsidRDefault="00F012EA" w:rsidP="008627B1"/>
    <w:sectPr w:rsidR="00F012EA" w:rsidRPr="008627B1" w:rsidSect="004B6319">
      <w:pgSz w:w="11906" w:h="16838" w:code="9"/>
      <w:pgMar w:top="1418" w:right="1304" w:bottom="1418" w:left="130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39C6C" w14:textId="77777777" w:rsidR="005554A6" w:rsidRDefault="005554A6" w:rsidP="005F100C">
      <w:pPr>
        <w:spacing w:after="0"/>
      </w:pPr>
      <w:r>
        <w:separator/>
      </w:r>
    </w:p>
  </w:endnote>
  <w:endnote w:type="continuationSeparator" w:id="0">
    <w:p w14:paraId="5684F76A" w14:textId="77777777" w:rsidR="005554A6" w:rsidRDefault="005554A6" w:rsidP="005F10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4C7E8" w14:textId="78F3923D" w:rsidR="00F60530" w:rsidRPr="00B726FF" w:rsidRDefault="00365C6D" w:rsidP="00B726FF">
    <w:pPr>
      <w:pStyle w:val="FooterEven"/>
    </w:pPr>
    <w:r w:rsidRPr="00B726FF">
      <w:rPr>
        <w:rStyle w:val="PageNumber"/>
        <w:rFonts w:ascii="Arial" w:hAnsi="Arial"/>
        <w:color w:val="003157"/>
        <w:sz w:val="18"/>
      </w:rPr>
      <w:fldChar w:fldCharType="begin"/>
    </w:r>
    <w:r w:rsidRPr="00B726FF">
      <w:rPr>
        <w:rStyle w:val="PageNumber"/>
        <w:rFonts w:ascii="Arial" w:hAnsi="Arial"/>
        <w:color w:val="003157"/>
        <w:sz w:val="18"/>
      </w:rPr>
      <w:instrText xml:space="preserve"> PAGE   \* MERGEFORMAT </w:instrText>
    </w:r>
    <w:r w:rsidRPr="00B726FF">
      <w:rPr>
        <w:rStyle w:val="PageNumber"/>
        <w:rFonts w:ascii="Arial" w:hAnsi="Arial"/>
        <w:color w:val="003157"/>
        <w:sz w:val="18"/>
      </w:rPr>
      <w:fldChar w:fldCharType="separate"/>
    </w:r>
    <w:r w:rsidR="00BC7845">
      <w:rPr>
        <w:rStyle w:val="PageNumber"/>
        <w:rFonts w:ascii="Arial" w:hAnsi="Arial"/>
        <w:noProof/>
        <w:color w:val="003157"/>
        <w:sz w:val="18"/>
      </w:rPr>
      <w:t>12</w:t>
    </w:r>
    <w:r w:rsidRPr="00B726FF">
      <w:rPr>
        <w:rStyle w:val="PageNumber"/>
        <w:rFonts w:ascii="Arial" w:hAnsi="Arial"/>
        <w:color w:val="003157"/>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B91FF" w14:textId="77777777" w:rsidR="00365C6D" w:rsidRPr="00B726FF" w:rsidRDefault="00365C6D" w:rsidP="00B726FF">
    <w:pPr>
      <w:pStyle w:val="FooterOdd"/>
      <w:rPr>
        <w:rStyle w:val="PageNumber"/>
        <w:rFonts w:ascii="Arial" w:hAnsi="Arial"/>
        <w:color w:val="003157"/>
        <w:sz w:val="18"/>
      </w:rPr>
    </w:pPr>
    <w:r w:rsidRPr="00B726FF">
      <w:rPr>
        <w:rStyle w:val="PageNumber"/>
        <w:rFonts w:ascii="Arial" w:hAnsi="Arial"/>
        <w:color w:val="003157"/>
        <w:sz w:val="18"/>
      </w:rPr>
      <w:fldChar w:fldCharType="begin"/>
    </w:r>
    <w:r w:rsidRPr="00B726FF">
      <w:rPr>
        <w:rStyle w:val="PageNumber"/>
        <w:rFonts w:ascii="Arial" w:hAnsi="Arial"/>
        <w:color w:val="003157"/>
        <w:sz w:val="18"/>
      </w:rPr>
      <w:instrText xml:space="preserve"> PAGE   \* MERGEFORMAT </w:instrText>
    </w:r>
    <w:r w:rsidRPr="00B726FF">
      <w:rPr>
        <w:rStyle w:val="PageNumber"/>
        <w:rFonts w:ascii="Arial" w:hAnsi="Arial"/>
        <w:color w:val="003157"/>
        <w:sz w:val="18"/>
      </w:rPr>
      <w:fldChar w:fldCharType="separate"/>
    </w:r>
    <w:r w:rsidR="00BC7845">
      <w:rPr>
        <w:rStyle w:val="PageNumber"/>
        <w:rFonts w:ascii="Arial" w:hAnsi="Arial"/>
        <w:noProof/>
        <w:color w:val="003157"/>
        <w:sz w:val="18"/>
      </w:rPr>
      <w:t>13</w:t>
    </w:r>
    <w:r w:rsidRPr="00B726FF">
      <w:rPr>
        <w:rStyle w:val="PageNumber"/>
        <w:rFonts w:ascii="Arial" w:hAnsi="Arial"/>
        <w:color w:val="003157"/>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CB217" w14:textId="77777777" w:rsidR="00F012EA" w:rsidRPr="00B726FF" w:rsidRDefault="00365C6D" w:rsidP="00B726FF">
    <w:pPr>
      <w:pStyle w:val="FooterOdd"/>
      <w:rPr>
        <w:rStyle w:val="PageNumber"/>
        <w:rFonts w:ascii="Arial" w:hAnsi="Arial"/>
        <w:color w:val="003157"/>
        <w:sz w:val="18"/>
      </w:rPr>
    </w:pPr>
    <w:r w:rsidRPr="00B726FF">
      <w:rPr>
        <w:rStyle w:val="PageNumber"/>
        <w:rFonts w:ascii="Arial" w:hAnsi="Arial"/>
        <w:color w:val="003157"/>
        <w:sz w:val="18"/>
      </w:rPr>
      <w:fldChar w:fldCharType="begin"/>
    </w:r>
    <w:r w:rsidRPr="00B726FF">
      <w:rPr>
        <w:rStyle w:val="PageNumber"/>
        <w:rFonts w:ascii="Arial" w:hAnsi="Arial"/>
        <w:color w:val="003157"/>
        <w:sz w:val="18"/>
      </w:rPr>
      <w:instrText xml:space="preserve"> PAGE   \* MERGEFORMAT </w:instrText>
    </w:r>
    <w:r w:rsidRPr="00B726FF">
      <w:rPr>
        <w:rStyle w:val="PageNumber"/>
        <w:rFonts w:ascii="Arial" w:hAnsi="Arial"/>
        <w:color w:val="003157"/>
        <w:sz w:val="18"/>
      </w:rPr>
      <w:fldChar w:fldCharType="separate"/>
    </w:r>
    <w:r w:rsidR="00BC7845">
      <w:rPr>
        <w:rStyle w:val="PageNumber"/>
        <w:rFonts w:ascii="Arial" w:hAnsi="Arial"/>
        <w:noProof/>
        <w:color w:val="003157"/>
        <w:sz w:val="18"/>
      </w:rPr>
      <w:t>11</w:t>
    </w:r>
    <w:r w:rsidRPr="00B726FF">
      <w:rPr>
        <w:rStyle w:val="PageNumber"/>
        <w:rFonts w:ascii="Arial" w:hAnsi="Arial"/>
        <w:color w:val="003157"/>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0BBA4" w14:textId="77777777" w:rsidR="005554A6" w:rsidRDefault="005554A6" w:rsidP="005F100C">
      <w:pPr>
        <w:spacing w:after="0"/>
      </w:pPr>
      <w:r>
        <w:separator/>
      </w:r>
    </w:p>
  </w:footnote>
  <w:footnote w:type="continuationSeparator" w:id="0">
    <w:p w14:paraId="7773CB41" w14:textId="77777777" w:rsidR="005554A6" w:rsidRDefault="005554A6" w:rsidP="005F100C">
      <w:pPr>
        <w:spacing w:after="0"/>
      </w:pPr>
      <w:r>
        <w:continuationSeparator/>
      </w:r>
    </w:p>
  </w:footnote>
  <w:footnote w:id="1">
    <w:p w14:paraId="00DF709A" w14:textId="77777777" w:rsidR="00F012EA" w:rsidRPr="00D27D50" w:rsidRDefault="00F012EA" w:rsidP="00D27D50">
      <w:pPr>
        <w:pStyle w:val="FootnoteText"/>
      </w:pPr>
      <w:r w:rsidRPr="00D27D50">
        <w:rPr>
          <w:rStyle w:val="FootnoteReference"/>
          <w:vertAlign w:val="baseline"/>
        </w:rPr>
        <w:footnoteRef/>
      </w:r>
      <w:r w:rsidRPr="00D27D50">
        <w:t xml:space="preserve"> </w:t>
      </w:r>
      <w:r w:rsidRPr="00D27D50">
        <w:tab/>
      </w:r>
      <w:r w:rsidR="005554A6" w:rsidRPr="00D27D50">
        <w:t xml:space="preserve">Structural Reform Group, </w:t>
      </w:r>
      <w:proofErr w:type="gramStart"/>
      <w:r w:rsidRPr="00D27D50">
        <w:t>The</w:t>
      </w:r>
      <w:proofErr w:type="gramEnd"/>
      <w:r w:rsidRPr="00D27D50">
        <w:t xml:space="preserve"> Treasury, Langton Crescent, </w:t>
      </w:r>
      <w:proofErr w:type="spellStart"/>
      <w:r w:rsidRPr="00D27D50">
        <w:t>Parkes</w:t>
      </w:r>
      <w:proofErr w:type="spellEnd"/>
      <w:r w:rsidRPr="00D27D50">
        <w:t xml:space="preserve"> ACT 2600, Australia. Correspondence: </w:t>
      </w:r>
      <w:hyperlink r:id="rId1" w:history="1">
        <w:r w:rsidR="00744632" w:rsidRPr="00D27D50">
          <w:rPr>
            <w:rStyle w:val="Hyperlink"/>
          </w:rPr>
          <w:t>paul.palisi@treasury.gov.au</w:t>
        </w:r>
      </w:hyperlink>
      <w:r w:rsidRPr="00D27D50">
        <w:t>.</w:t>
      </w:r>
    </w:p>
  </w:footnote>
  <w:footnote w:id="2">
    <w:p w14:paraId="16EF8596" w14:textId="77777777" w:rsidR="000464B6" w:rsidRPr="00D27D50" w:rsidRDefault="00F012EA" w:rsidP="00D27D50">
      <w:pPr>
        <w:pStyle w:val="FootnoteText"/>
      </w:pPr>
      <w:r w:rsidRPr="00D27D50">
        <w:rPr>
          <w:rStyle w:val="FootnoteReference"/>
          <w:vertAlign w:val="baseline"/>
        </w:rPr>
        <w:footnoteRef/>
      </w:r>
      <w:r w:rsidRPr="00D27D50">
        <w:t xml:space="preserve"> </w:t>
      </w:r>
      <w:r w:rsidRPr="00D27D50">
        <w:tab/>
        <w:t>The views expressed in this paper are those of the author and do not necessarily reflect those of The Australian Treasury or the Australian Government.</w:t>
      </w:r>
      <w:r w:rsidR="00304A5B" w:rsidRPr="00D27D50">
        <w:t xml:space="preserve"> I thank Maryanne </w:t>
      </w:r>
      <w:proofErr w:type="spellStart"/>
      <w:r w:rsidR="00304A5B" w:rsidRPr="00D27D50">
        <w:t>Mrakovcic</w:t>
      </w:r>
      <w:proofErr w:type="spellEnd"/>
      <w:r w:rsidR="00304A5B" w:rsidRPr="00D27D50">
        <w:t xml:space="preserve">, Matt Brine, Robert Ewing and Richard Maher for their valuable feedback on </w:t>
      </w:r>
      <w:r w:rsidR="009A53E0" w:rsidRPr="00D27D50">
        <w:t xml:space="preserve">earlier </w:t>
      </w:r>
      <w:r w:rsidR="00304A5B" w:rsidRPr="00D27D50">
        <w:t>draft</w:t>
      </w:r>
      <w:r w:rsidR="009A53E0" w:rsidRPr="00D27D50">
        <w:t>s</w:t>
      </w:r>
      <w:r w:rsidR="00D27D50">
        <w:t xml:space="preserve"> of the paper.</w:t>
      </w:r>
    </w:p>
  </w:footnote>
  <w:footnote w:id="3">
    <w:p w14:paraId="7DE48376" w14:textId="77777777" w:rsidR="005554A6" w:rsidRPr="00D27D50" w:rsidRDefault="005554A6" w:rsidP="00D27D50">
      <w:pPr>
        <w:pStyle w:val="FootnoteText"/>
      </w:pPr>
      <w:r w:rsidRPr="00D27D50">
        <w:rPr>
          <w:rStyle w:val="FootnoteReference"/>
          <w:vertAlign w:val="baseline"/>
        </w:rPr>
        <w:footnoteRef/>
      </w:r>
      <w:r w:rsidR="009365F2" w:rsidRPr="00D27D50">
        <w:tab/>
      </w:r>
      <w:r w:rsidRPr="00D27D50">
        <w:t xml:space="preserve">Generally, see Forman (1986).  </w:t>
      </w:r>
    </w:p>
  </w:footnote>
  <w:footnote w:id="4">
    <w:p w14:paraId="42944582" w14:textId="77777777" w:rsidR="005554A6" w:rsidRPr="00D27D50" w:rsidRDefault="005554A6" w:rsidP="00D27D50">
      <w:pPr>
        <w:pStyle w:val="FootnoteText"/>
      </w:pPr>
      <w:r w:rsidRPr="00D27D50">
        <w:rPr>
          <w:rStyle w:val="FootnoteReference"/>
          <w:vertAlign w:val="baseline"/>
        </w:rPr>
        <w:footnoteRef/>
      </w:r>
      <w:r w:rsidRPr="00D27D50">
        <w:t xml:space="preserve"> </w:t>
      </w:r>
      <w:r w:rsidR="009365F2" w:rsidRPr="00D27D50">
        <w:tab/>
      </w:r>
      <w:r w:rsidRPr="00D27D50">
        <w:t>The number of persons paying income tax increased from around four million in 1939 to around 50 million in 1945; Forman (1986), footnote 1.</w:t>
      </w:r>
    </w:p>
  </w:footnote>
  <w:footnote w:id="5">
    <w:p w14:paraId="4D3B6338" w14:textId="77777777" w:rsidR="005554A6" w:rsidRPr="00D27D50" w:rsidRDefault="005554A6" w:rsidP="00D27D50">
      <w:pPr>
        <w:pStyle w:val="FootnoteText"/>
      </w:pPr>
      <w:r w:rsidRPr="00D27D50">
        <w:rPr>
          <w:rStyle w:val="FootnoteReference"/>
          <w:vertAlign w:val="baseline"/>
        </w:rPr>
        <w:footnoteRef/>
      </w:r>
      <w:r w:rsidR="009365F2" w:rsidRPr="00D27D50">
        <w:tab/>
      </w:r>
      <w:proofErr w:type="spellStart"/>
      <w:r w:rsidRPr="00D27D50">
        <w:t>Shaviro</w:t>
      </w:r>
      <w:proofErr w:type="spellEnd"/>
      <w:r w:rsidRPr="00D27D50">
        <w:t>, however, notes that ‘[t]</w:t>
      </w:r>
      <w:proofErr w:type="spellStart"/>
      <w:r w:rsidRPr="00D27D50">
        <w:t>ax</w:t>
      </w:r>
      <w:proofErr w:type="spellEnd"/>
      <w:r w:rsidRPr="00D27D50">
        <w:t xml:space="preserve"> expenditure analysis seems to have been invented twice. In Germany, as early as 1954, writers had noted the ‘equivalence between special tax deductions… and government subsidies... By 1959, the German government had begun reporting on subsidies in the federal budget</w:t>
      </w:r>
      <w:r w:rsidR="00E12867" w:rsidRPr="00D27D50">
        <w:t>, including those supplied through the tax system…</w:t>
      </w:r>
      <w:proofErr w:type="gramStart"/>
      <w:r w:rsidRPr="00D27D50">
        <w:t>’;</w:t>
      </w:r>
      <w:proofErr w:type="gramEnd"/>
      <w:r w:rsidRPr="00D27D50">
        <w:t xml:space="preserve"> </w:t>
      </w:r>
      <w:proofErr w:type="spellStart"/>
      <w:r w:rsidRPr="00D27D50">
        <w:t>Shaviro</w:t>
      </w:r>
      <w:proofErr w:type="spellEnd"/>
      <w:r w:rsidRPr="00D27D50">
        <w:t xml:space="preserve"> (2003) at 23. </w:t>
      </w:r>
    </w:p>
  </w:footnote>
  <w:footnote w:id="6">
    <w:p w14:paraId="7A5A30C2" w14:textId="77777777" w:rsidR="005554A6" w:rsidRPr="00D27D50" w:rsidRDefault="005554A6" w:rsidP="00D27D50">
      <w:pPr>
        <w:pStyle w:val="FootnoteText"/>
      </w:pPr>
      <w:r w:rsidRPr="00D27D50">
        <w:rPr>
          <w:rStyle w:val="FootnoteReference"/>
          <w:vertAlign w:val="baseline"/>
        </w:rPr>
        <w:footnoteRef/>
      </w:r>
      <w:r w:rsidR="009365F2" w:rsidRPr="00D27D50">
        <w:tab/>
      </w:r>
      <w:r w:rsidRPr="00D27D50">
        <w:t>See Annual Report of the Secretary of the United States Treasury on the State of the Finances 1968 at 32</w:t>
      </w:r>
      <w:r w:rsidR="009D7A47" w:rsidRPr="00D27D50">
        <w:t>6</w:t>
      </w:r>
      <w:r w:rsidRPr="00D27D50">
        <w:t xml:space="preserve">; </w:t>
      </w:r>
      <w:hyperlink r:id="rId2" w:history="1">
        <w:r w:rsidRPr="00D27D50">
          <w:rPr>
            <w:rStyle w:val="Hyperlink"/>
          </w:rPr>
          <w:t>https://fraser.stlouisfed.org/scribd/?toc_id=323559&amp;filepath=/files/docs/publications/treasar/AR_TREASURY_1968.pdf&amp;start_page=3</w:t>
        </w:r>
      </w:hyperlink>
      <w:r w:rsidRPr="00D27D50">
        <w:t>.</w:t>
      </w:r>
    </w:p>
  </w:footnote>
  <w:footnote w:id="7">
    <w:p w14:paraId="710D8560" w14:textId="77777777" w:rsidR="005554A6" w:rsidRPr="00D27D50" w:rsidRDefault="005554A6" w:rsidP="00D27D50">
      <w:pPr>
        <w:pStyle w:val="FootnoteText"/>
      </w:pPr>
      <w:r w:rsidRPr="00D27D50">
        <w:rPr>
          <w:rStyle w:val="FootnoteReference"/>
          <w:vertAlign w:val="baseline"/>
        </w:rPr>
        <w:footnoteRef/>
      </w:r>
      <w:r w:rsidR="009365F2" w:rsidRPr="00D27D50">
        <w:tab/>
      </w:r>
      <w:proofErr w:type="gramStart"/>
      <w:r w:rsidRPr="00D27D50">
        <w:t>Standing Committee on Expenditure (1982) at 4.</w:t>
      </w:r>
      <w:proofErr w:type="gramEnd"/>
    </w:p>
  </w:footnote>
  <w:footnote w:id="8">
    <w:p w14:paraId="2EC29A4E" w14:textId="77777777" w:rsidR="005554A6" w:rsidRPr="00D27D50" w:rsidRDefault="005554A6" w:rsidP="00D27D50">
      <w:pPr>
        <w:pStyle w:val="FootnoteText"/>
      </w:pPr>
      <w:r w:rsidRPr="00D27D50">
        <w:rPr>
          <w:rStyle w:val="FootnoteReference"/>
          <w:vertAlign w:val="baseline"/>
        </w:rPr>
        <w:footnoteRef/>
      </w:r>
      <w:r w:rsidR="009365F2" w:rsidRPr="00D27D50">
        <w:tab/>
      </w:r>
      <w:proofErr w:type="gramStart"/>
      <w:r w:rsidRPr="00D27D50">
        <w:t>Standing Committee on Expenditure (1982) at vii.</w:t>
      </w:r>
      <w:proofErr w:type="gramEnd"/>
    </w:p>
  </w:footnote>
  <w:footnote w:id="9">
    <w:p w14:paraId="7AA6617F" w14:textId="77777777" w:rsidR="005554A6" w:rsidRPr="00D27D50" w:rsidRDefault="005554A6" w:rsidP="00D27D50">
      <w:pPr>
        <w:pStyle w:val="FootnoteText"/>
      </w:pPr>
      <w:r w:rsidRPr="00D27D50">
        <w:rPr>
          <w:rStyle w:val="FootnoteReference"/>
          <w:vertAlign w:val="baseline"/>
        </w:rPr>
        <w:footnoteRef/>
      </w:r>
      <w:r w:rsidR="009365F2" w:rsidRPr="00D27D50">
        <w:tab/>
      </w:r>
      <w:r w:rsidRPr="00D27D50">
        <w:t>Statement by the Treasurer, the Hon Paul Keating, MP, ‘Release of Tax Expenditures Statement’, tabled in the Senate on 11 November 1986.  This Statement also notes that limited information on tax expenditures had been provided in Budget papers in most years from 1980-81.</w:t>
      </w:r>
    </w:p>
  </w:footnote>
  <w:footnote w:id="10">
    <w:p w14:paraId="5BF74A0F"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Surrey and McDaniel (1985) at 3.</w:t>
      </w:r>
      <w:proofErr w:type="gramEnd"/>
    </w:p>
  </w:footnote>
  <w:footnote w:id="11">
    <w:p w14:paraId="38E10421"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Ibid at 187.</w:t>
      </w:r>
      <w:proofErr w:type="gramEnd"/>
      <w:r w:rsidRPr="00D27D50">
        <w:t xml:space="preserve"> The SHS definition holds that income is equal to the ‘increase in net wealth between two specified times plus consumption during that period’; ibid at 186.</w:t>
      </w:r>
    </w:p>
  </w:footnote>
  <w:footnote w:id="12">
    <w:p w14:paraId="2B68484C"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Ibid at 187-188.</w:t>
      </w:r>
      <w:proofErr w:type="gramEnd"/>
    </w:p>
  </w:footnote>
  <w:footnote w:id="13">
    <w:p w14:paraId="5AAA4B13"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Ibid at 188.</w:t>
      </w:r>
      <w:proofErr w:type="gramEnd"/>
    </w:p>
  </w:footnote>
  <w:footnote w:id="14">
    <w:p w14:paraId="520EEBF9"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Ibid at 192.</w:t>
      </w:r>
      <w:proofErr w:type="gramEnd"/>
    </w:p>
  </w:footnote>
  <w:footnote w:id="15">
    <w:p w14:paraId="217F81A8"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Ibid at 3.</w:t>
      </w:r>
      <w:proofErr w:type="gramEnd"/>
    </w:p>
  </w:footnote>
  <w:footnote w:id="16">
    <w:p w14:paraId="339DC779"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 xml:space="preserve">Surrey and </w:t>
      </w:r>
      <w:proofErr w:type="spellStart"/>
      <w:r w:rsidRPr="00D27D50">
        <w:t>Hellmuth</w:t>
      </w:r>
      <w:proofErr w:type="spellEnd"/>
      <w:r w:rsidRPr="00D27D50">
        <w:t xml:space="preserve"> (1969) at 530.</w:t>
      </w:r>
      <w:proofErr w:type="gramEnd"/>
    </w:p>
  </w:footnote>
  <w:footnote w:id="17">
    <w:p w14:paraId="46FA44B3"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Surrey and McDaniel (1985) at 5.</w:t>
      </w:r>
      <w:proofErr w:type="gramEnd"/>
    </w:p>
  </w:footnote>
  <w:footnote w:id="18">
    <w:p w14:paraId="0A2A5568"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Ibid at 72.</w:t>
      </w:r>
      <w:proofErr w:type="gramEnd"/>
    </w:p>
  </w:footnote>
  <w:footnote w:id="19">
    <w:p w14:paraId="151B2A1C"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Ibid at 71.</w:t>
      </w:r>
      <w:proofErr w:type="gramEnd"/>
    </w:p>
  </w:footnote>
  <w:footnote w:id="20">
    <w:p w14:paraId="4E2B37E8" w14:textId="77777777" w:rsidR="00367162" w:rsidRPr="00D27D50" w:rsidRDefault="00367162" w:rsidP="00D27D50">
      <w:pPr>
        <w:pStyle w:val="FootnoteText"/>
      </w:pPr>
      <w:r w:rsidRPr="00D27D50">
        <w:rPr>
          <w:rStyle w:val="FootnoteReference"/>
          <w:vertAlign w:val="baseline"/>
        </w:rPr>
        <w:footnoteRef/>
      </w:r>
      <w:r w:rsidR="009365F2" w:rsidRPr="00D27D50">
        <w:tab/>
      </w:r>
      <w:r w:rsidRPr="00D27D50">
        <w:t>Surrey (1970) at 721-722.</w:t>
      </w:r>
    </w:p>
  </w:footnote>
  <w:footnote w:id="21">
    <w:p w14:paraId="6B0CA0E9"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Ibid at 723.</w:t>
      </w:r>
      <w:proofErr w:type="gramEnd"/>
    </w:p>
  </w:footnote>
  <w:footnote w:id="22">
    <w:p w14:paraId="5E85FE7B"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spellStart"/>
      <w:proofErr w:type="gramStart"/>
      <w:r w:rsidRPr="00D27D50">
        <w:t>Bittker</w:t>
      </w:r>
      <w:proofErr w:type="spellEnd"/>
      <w:r w:rsidRPr="00D27D50">
        <w:t xml:space="preserve"> (1969) at 247.</w:t>
      </w:r>
      <w:proofErr w:type="gramEnd"/>
    </w:p>
  </w:footnote>
  <w:footnote w:id="23">
    <w:p w14:paraId="5580ADD7"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Ibid at 253.</w:t>
      </w:r>
      <w:proofErr w:type="gramEnd"/>
    </w:p>
  </w:footnote>
  <w:footnote w:id="24">
    <w:p w14:paraId="449A064B"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Ibid at 260.</w:t>
      </w:r>
      <w:proofErr w:type="gramEnd"/>
    </w:p>
  </w:footnote>
  <w:footnote w:id="25">
    <w:p w14:paraId="63F04861"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Ibid at 259.</w:t>
      </w:r>
      <w:proofErr w:type="gramEnd"/>
    </w:p>
  </w:footnote>
  <w:footnote w:id="26">
    <w:p w14:paraId="1415A8FA" w14:textId="77777777" w:rsidR="00367162" w:rsidRPr="00D27D50" w:rsidRDefault="00367162" w:rsidP="00D27D50">
      <w:pPr>
        <w:pStyle w:val="FootnoteText"/>
        <w:rPr>
          <w:rFonts w:cs="Times New Roman"/>
        </w:rPr>
      </w:pPr>
      <w:r w:rsidRPr="00D27D50">
        <w:rPr>
          <w:rStyle w:val="FootnoteReference"/>
          <w:vertAlign w:val="baseline"/>
        </w:rPr>
        <w:footnoteRef/>
      </w:r>
      <w:r w:rsidR="009365F2" w:rsidRPr="00D27D50">
        <w:tab/>
      </w:r>
      <w:proofErr w:type="gramStart"/>
      <w:r w:rsidRPr="00D27D50">
        <w:t>Ibid at 259.</w:t>
      </w:r>
      <w:proofErr w:type="gramEnd"/>
      <w:r w:rsidRPr="00D27D50">
        <w:t xml:space="preserve"> </w:t>
      </w:r>
    </w:p>
  </w:footnote>
  <w:footnote w:id="27">
    <w:p w14:paraId="1E003C57"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r w:rsidR="006C7A66" w:rsidRPr="00D27D50">
        <w:rPr>
          <w:rFonts w:cs="Times New Roman"/>
        </w:rPr>
        <w:t xml:space="preserve">Statement of Secretary of the Treasury Barr, </w:t>
      </w:r>
      <w:r w:rsidR="006C7A66" w:rsidRPr="00D27D50">
        <w:rPr>
          <w:rFonts w:cs="Times New Roman"/>
          <w:i/>
        </w:rPr>
        <w:t xml:space="preserve">Hearings on the 1969 Economic Report of the President, </w:t>
      </w:r>
      <w:r w:rsidR="006C7A66" w:rsidRPr="00D27D50">
        <w:rPr>
          <w:rFonts w:cs="Times New Roman"/>
        </w:rPr>
        <w:t xml:space="preserve">Joint Economic Committee, 91st Congress, 1st Session at 9; reproduced in </w:t>
      </w:r>
      <w:r w:rsidRPr="00D27D50">
        <w:rPr>
          <w:rFonts w:cs="Times New Roman"/>
        </w:rPr>
        <w:t xml:space="preserve">Surrey and </w:t>
      </w:r>
      <w:proofErr w:type="spellStart"/>
      <w:r w:rsidRPr="00D27D50">
        <w:rPr>
          <w:rFonts w:cs="Times New Roman"/>
        </w:rPr>
        <w:t>Hellmuth</w:t>
      </w:r>
      <w:proofErr w:type="spellEnd"/>
      <w:r w:rsidRPr="00D27D50">
        <w:rPr>
          <w:rFonts w:cs="Times New Roman"/>
        </w:rPr>
        <w:t xml:space="preserve"> (1969) at 529-530.</w:t>
      </w:r>
      <w:r w:rsidR="006C7A66" w:rsidRPr="00D27D50">
        <w:rPr>
          <w:rFonts w:cs="Times New Roman"/>
        </w:rPr>
        <w:t xml:space="preserve"> </w:t>
      </w:r>
    </w:p>
  </w:footnote>
  <w:footnote w:id="28">
    <w:p w14:paraId="0A178DF5" w14:textId="62B1818F" w:rsidR="00367162" w:rsidRPr="00D27D50" w:rsidRDefault="00367162" w:rsidP="00367162">
      <w:pPr>
        <w:pStyle w:val="FootnoteText"/>
        <w:rPr>
          <w:rFonts w:cs="Times New Roman"/>
        </w:rPr>
      </w:pPr>
      <w:r w:rsidRPr="00D27D50">
        <w:rPr>
          <w:rStyle w:val="FootnoteReference"/>
          <w:vertAlign w:val="baseline"/>
        </w:rPr>
        <w:footnoteRef/>
      </w:r>
      <w:r w:rsidR="009365F2" w:rsidRPr="00D27D50">
        <w:rPr>
          <w:rFonts w:cs="Times New Roman"/>
        </w:rPr>
        <w:tab/>
      </w:r>
      <w:proofErr w:type="gramStart"/>
      <w:r w:rsidR="00BC7845">
        <w:rPr>
          <w:rFonts w:cs="Times New Roman"/>
        </w:rPr>
        <w:t xml:space="preserve">Surrey and </w:t>
      </w:r>
      <w:proofErr w:type="spellStart"/>
      <w:r w:rsidR="00BC7845">
        <w:rPr>
          <w:rFonts w:cs="Times New Roman"/>
        </w:rPr>
        <w:t>Helmuth</w:t>
      </w:r>
      <w:proofErr w:type="spellEnd"/>
      <w:r w:rsidRPr="00D27D50">
        <w:rPr>
          <w:rFonts w:cs="Times New Roman"/>
        </w:rPr>
        <w:t xml:space="preserve"> at 537.</w:t>
      </w:r>
      <w:proofErr w:type="gramEnd"/>
    </w:p>
  </w:footnote>
  <w:footnote w:id="29">
    <w:p w14:paraId="44AD93E5"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r w:rsidRPr="00D27D50">
        <w:rPr>
          <w:rFonts w:cs="Times New Roman"/>
        </w:rPr>
        <w:t>Ibid.</w:t>
      </w:r>
    </w:p>
  </w:footnote>
  <w:footnote w:id="30">
    <w:p w14:paraId="520F9241"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spellStart"/>
      <w:proofErr w:type="gramStart"/>
      <w:r w:rsidRPr="00D27D50">
        <w:rPr>
          <w:rFonts w:cs="Times New Roman"/>
        </w:rPr>
        <w:t>Bittker</w:t>
      </w:r>
      <w:proofErr w:type="spellEnd"/>
      <w:r w:rsidRPr="00D27D50">
        <w:rPr>
          <w:rFonts w:cs="Times New Roman"/>
        </w:rPr>
        <w:t xml:space="preserve"> (1969) at 247.</w:t>
      </w:r>
      <w:proofErr w:type="gramEnd"/>
    </w:p>
  </w:footnote>
  <w:footnote w:id="31">
    <w:p w14:paraId="3A6AAE31"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r w:rsidRPr="00D27D50">
        <w:rPr>
          <w:rFonts w:cs="Times New Roman"/>
        </w:rPr>
        <w:t>Ibid.</w:t>
      </w:r>
    </w:p>
  </w:footnote>
  <w:footnote w:id="32">
    <w:p w14:paraId="29A95AD4" w14:textId="77777777" w:rsidR="00367162" w:rsidRPr="00D27D50" w:rsidRDefault="00367162" w:rsidP="00367162">
      <w:pPr>
        <w:pStyle w:val="FootnoteText"/>
        <w:rPr>
          <w:rFonts w:cs="Times New Roman"/>
        </w:rPr>
      </w:pPr>
      <w:r w:rsidRPr="00D27D50">
        <w:rPr>
          <w:rStyle w:val="FootnoteReference"/>
          <w:vertAlign w:val="baseline"/>
        </w:rPr>
        <w:footnoteRef/>
      </w:r>
      <w:r w:rsidR="009365F2" w:rsidRPr="00D27D50">
        <w:rPr>
          <w:rFonts w:cs="Times New Roman"/>
        </w:rPr>
        <w:tab/>
      </w:r>
      <w:proofErr w:type="spellStart"/>
      <w:r w:rsidRPr="00D27D50">
        <w:rPr>
          <w:rFonts w:cs="Times New Roman"/>
        </w:rPr>
        <w:t>Bittker</w:t>
      </w:r>
      <w:proofErr w:type="spellEnd"/>
      <w:r w:rsidRPr="00D27D50">
        <w:rPr>
          <w:rFonts w:cs="Times New Roman"/>
        </w:rPr>
        <w:t xml:space="preserve"> (1969b) at 539-540.</w:t>
      </w:r>
    </w:p>
  </w:footnote>
  <w:footnote w:id="33">
    <w:p w14:paraId="610E465D"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gramStart"/>
      <w:r w:rsidRPr="00D27D50">
        <w:rPr>
          <w:rFonts w:cs="Times New Roman"/>
        </w:rPr>
        <w:t xml:space="preserve">Surrey and </w:t>
      </w:r>
      <w:proofErr w:type="spellStart"/>
      <w:r w:rsidRPr="00D27D50">
        <w:rPr>
          <w:rFonts w:cs="Times New Roman"/>
        </w:rPr>
        <w:t>Hellmuth</w:t>
      </w:r>
      <w:proofErr w:type="spellEnd"/>
      <w:r w:rsidRPr="00D27D50">
        <w:rPr>
          <w:rFonts w:cs="Times New Roman"/>
        </w:rPr>
        <w:t xml:space="preserve"> (1969) at 536.</w:t>
      </w:r>
      <w:proofErr w:type="gramEnd"/>
    </w:p>
  </w:footnote>
  <w:footnote w:id="34">
    <w:p w14:paraId="7BAE4555" w14:textId="77777777" w:rsidR="00367162" w:rsidRPr="00D27D50" w:rsidRDefault="00367162" w:rsidP="00367162">
      <w:pPr>
        <w:pStyle w:val="FootnoteText"/>
        <w:rPr>
          <w:rFonts w:cs="Times New Roman"/>
        </w:rPr>
      </w:pPr>
      <w:r w:rsidRPr="00D27D50">
        <w:rPr>
          <w:rStyle w:val="FootnoteReference"/>
          <w:vertAlign w:val="baseline"/>
        </w:rPr>
        <w:footnoteRef/>
      </w:r>
      <w:r w:rsidR="009365F2" w:rsidRPr="00D27D50">
        <w:rPr>
          <w:rFonts w:cs="Times New Roman"/>
        </w:rPr>
        <w:tab/>
      </w:r>
      <w:r w:rsidRPr="00D27D50">
        <w:rPr>
          <w:rFonts w:cs="Times New Roman"/>
        </w:rPr>
        <w:t>For example, academic commentators debated whether particular tax provisions were tax expenditures or not, and proposed alternative definitions of a tax expenditure that attempted (unsuccessfully) to avoid the problems of the Surrey definition; see</w:t>
      </w:r>
      <w:r w:rsidR="006A6D72" w:rsidRPr="00D27D50">
        <w:rPr>
          <w:rFonts w:cs="Times New Roman"/>
        </w:rPr>
        <w:t>, for example,</w:t>
      </w:r>
      <w:r w:rsidRPr="00D27D50">
        <w:rPr>
          <w:rFonts w:cs="Times New Roman"/>
        </w:rPr>
        <w:t xml:space="preserve"> </w:t>
      </w:r>
      <w:proofErr w:type="spellStart"/>
      <w:r w:rsidRPr="00D27D50">
        <w:rPr>
          <w:rFonts w:cs="Times New Roman"/>
        </w:rPr>
        <w:t>Thuronyi</w:t>
      </w:r>
      <w:proofErr w:type="spellEnd"/>
      <w:r w:rsidRPr="00D27D50">
        <w:rPr>
          <w:rFonts w:cs="Times New Roman"/>
        </w:rPr>
        <w:t xml:space="preserve"> (1988) at 1166-1170.</w:t>
      </w:r>
    </w:p>
  </w:footnote>
  <w:footnote w:id="35">
    <w:p w14:paraId="67A6CF21" w14:textId="77777777" w:rsidR="00367162" w:rsidRPr="00D27D50" w:rsidRDefault="00367162" w:rsidP="007F06DD">
      <w:pPr>
        <w:pStyle w:val="FootnoteText"/>
      </w:pPr>
      <w:r w:rsidRPr="00D27D50">
        <w:rPr>
          <w:rStyle w:val="FootnoteReference"/>
          <w:vertAlign w:val="baseline"/>
        </w:rPr>
        <w:footnoteRef/>
      </w:r>
      <w:r w:rsidR="007F06DD" w:rsidRPr="00D27D50">
        <w:rPr>
          <w:rFonts w:cs="Times New Roman"/>
        </w:rPr>
        <w:t xml:space="preserve"> </w:t>
      </w:r>
      <w:r w:rsidR="007F06DD" w:rsidRPr="00D27D50">
        <w:rPr>
          <w:rFonts w:cs="Times New Roman"/>
        </w:rPr>
        <w:tab/>
        <w:t xml:space="preserve">See: </w:t>
      </w:r>
      <w:hyperlink r:id="rId3" w:history="1">
        <w:r w:rsidR="00D27D50" w:rsidRPr="0020446B">
          <w:rPr>
            <w:rStyle w:val="Hyperlink"/>
          </w:rPr>
          <w:t>https://fraser.stlouisfed.org/scribd/?toc_id=213541&amp;filepath=/files/docs/publications/usspa/Specanalyses_1983.pdf</w:t>
        </w:r>
        <w:r w:rsidR="00D27D50" w:rsidRPr="0020446B">
          <w:rPr>
            <w:rStyle w:val="Hyperlink"/>
          </w:rPr>
          <w:br/>
          <w:t>&amp;</w:t>
        </w:r>
        <w:proofErr w:type="spellStart"/>
        <w:r w:rsidR="00D27D50" w:rsidRPr="0020446B">
          <w:rPr>
            <w:rStyle w:val="Hyperlink"/>
          </w:rPr>
          <w:t>start_page</w:t>
        </w:r>
        <w:proofErr w:type="spellEnd"/>
        <w:r w:rsidR="00D27D50" w:rsidRPr="0020446B">
          <w:rPr>
            <w:rStyle w:val="Hyperlink"/>
          </w:rPr>
          <w:t>=206</w:t>
        </w:r>
      </w:hyperlink>
      <w:r w:rsidR="00DF25AF" w:rsidRPr="00D27D50">
        <w:rPr>
          <w:rFonts w:cs="Times New Roman"/>
        </w:rPr>
        <w:t xml:space="preserve"> (at 208).</w:t>
      </w:r>
    </w:p>
  </w:footnote>
  <w:footnote w:id="36">
    <w:p w14:paraId="05650B92"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r w:rsidR="007F06DD" w:rsidRPr="00D27D50">
        <w:rPr>
          <w:rFonts w:cs="Times New Roman"/>
        </w:rPr>
        <w:t>Ibid.</w:t>
      </w:r>
    </w:p>
  </w:footnote>
  <w:footnote w:id="37">
    <w:p w14:paraId="107986B5" w14:textId="250E8CB0" w:rsidR="00367162" w:rsidRPr="00D27D50" w:rsidRDefault="00367162" w:rsidP="00367162">
      <w:pPr>
        <w:pStyle w:val="FootnoteText"/>
        <w:rPr>
          <w:rFonts w:cs="Times New Roman"/>
        </w:rPr>
      </w:pPr>
      <w:r w:rsidRPr="00D27D50">
        <w:rPr>
          <w:rStyle w:val="FootnoteReference"/>
          <w:vertAlign w:val="baseline"/>
        </w:rPr>
        <w:footnoteRef/>
      </w:r>
      <w:r w:rsidR="009365F2" w:rsidRPr="00D27D50">
        <w:rPr>
          <w:rFonts w:cs="Times New Roman"/>
        </w:rPr>
        <w:tab/>
      </w:r>
      <w:proofErr w:type="spellStart"/>
      <w:r w:rsidRPr="00D27D50">
        <w:rPr>
          <w:rFonts w:cs="Times New Roman"/>
        </w:rPr>
        <w:t>Sugin</w:t>
      </w:r>
      <w:proofErr w:type="spellEnd"/>
      <w:r w:rsidRPr="00D27D50">
        <w:rPr>
          <w:rFonts w:cs="Times New Roman"/>
        </w:rPr>
        <w:t xml:space="preserve"> (2011) at 32-33. Norman </w:t>
      </w:r>
      <w:proofErr w:type="spellStart"/>
      <w:r w:rsidRPr="00D27D50">
        <w:rPr>
          <w:rFonts w:cs="Times New Roman"/>
        </w:rPr>
        <w:t>Ture</w:t>
      </w:r>
      <w:proofErr w:type="spellEnd"/>
      <w:r w:rsidRPr="00D27D50">
        <w:rPr>
          <w:rFonts w:cs="Times New Roman"/>
        </w:rPr>
        <w:t xml:space="preserve">, a senior US Treasury official, was a key proponent of the Reagan administration changes. In particular, </w:t>
      </w:r>
      <w:proofErr w:type="spellStart"/>
      <w:r w:rsidRPr="00D27D50">
        <w:rPr>
          <w:rFonts w:cs="Times New Roman"/>
        </w:rPr>
        <w:t>Ture</w:t>
      </w:r>
      <w:proofErr w:type="spellEnd"/>
      <w:r w:rsidRPr="00D27D50">
        <w:rPr>
          <w:rFonts w:cs="Times New Roman"/>
        </w:rPr>
        <w:t xml:space="preserve"> criticised the income tax foundation of tax expenditure analysis, instead proposing, in effect, a</w:t>
      </w:r>
      <w:r w:rsidR="00B726FF">
        <w:rPr>
          <w:rFonts w:cs="Times New Roman"/>
        </w:rPr>
        <w:t> </w:t>
      </w:r>
      <w:r w:rsidRPr="00D27D50">
        <w:rPr>
          <w:rFonts w:cs="Times New Roman"/>
        </w:rPr>
        <w:t xml:space="preserve">consumption tax benchmark; Bartlett (2001) at 9-11. </w:t>
      </w:r>
    </w:p>
  </w:footnote>
  <w:footnote w:id="38">
    <w:p w14:paraId="213176BE"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gramStart"/>
      <w:r w:rsidRPr="00D27D50">
        <w:rPr>
          <w:rFonts w:cs="Times New Roman"/>
        </w:rPr>
        <w:t>Sullivan (2001) at 702; Joint Committee on Taxation (2008) at 26.</w:t>
      </w:r>
      <w:proofErr w:type="gramEnd"/>
    </w:p>
  </w:footnote>
  <w:footnote w:id="39">
    <w:p w14:paraId="01A51837"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r w:rsidRPr="00D27D50">
        <w:t>S</w:t>
      </w:r>
      <w:r w:rsidRPr="00D27D50">
        <w:rPr>
          <w:rFonts w:cs="Times New Roman"/>
        </w:rPr>
        <w:t>ullivan (2001) at 702-703.</w:t>
      </w:r>
    </w:p>
  </w:footnote>
  <w:footnote w:id="40">
    <w:p w14:paraId="359EAA82"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gramStart"/>
      <w:r w:rsidRPr="00D27D50">
        <w:rPr>
          <w:rFonts w:cs="Times New Roman"/>
        </w:rPr>
        <w:t>Ibid at 701.</w:t>
      </w:r>
      <w:proofErr w:type="gramEnd"/>
    </w:p>
  </w:footnote>
  <w:footnote w:id="41">
    <w:p w14:paraId="22FFFD5E" w14:textId="77777777" w:rsidR="00367162" w:rsidRPr="00D27D50" w:rsidRDefault="00367162" w:rsidP="00367162">
      <w:pPr>
        <w:pStyle w:val="FootnoteText"/>
        <w:rPr>
          <w:rFonts w:cs="Times New Roman"/>
        </w:rPr>
      </w:pPr>
      <w:r w:rsidRPr="00D27D50">
        <w:rPr>
          <w:rStyle w:val="FootnoteReference"/>
          <w:vertAlign w:val="baseline"/>
        </w:rPr>
        <w:footnoteRef/>
      </w:r>
      <w:r w:rsidR="009365F2" w:rsidRPr="00D27D50">
        <w:rPr>
          <w:rFonts w:cs="Times New Roman"/>
        </w:rPr>
        <w:tab/>
      </w:r>
      <w:proofErr w:type="gramStart"/>
      <w:r w:rsidRPr="00D27D50">
        <w:rPr>
          <w:rFonts w:cs="Times New Roman"/>
        </w:rPr>
        <w:t>US Budget 2002, Analytical Perspectives, Tax Expenditures, p61.</w:t>
      </w:r>
      <w:proofErr w:type="gramEnd"/>
    </w:p>
  </w:footnote>
  <w:footnote w:id="42">
    <w:p w14:paraId="51A7D0AB" w14:textId="77777777" w:rsidR="00367162" w:rsidRPr="00D27D50" w:rsidRDefault="00367162" w:rsidP="00367162">
      <w:pPr>
        <w:pStyle w:val="FootnoteText"/>
        <w:rPr>
          <w:rFonts w:cs="Times New Roman"/>
        </w:rPr>
      </w:pPr>
      <w:r w:rsidRPr="00D27D50">
        <w:rPr>
          <w:rStyle w:val="FootnoteReference"/>
          <w:vertAlign w:val="baseline"/>
        </w:rPr>
        <w:footnoteRef/>
      </w:r>
      <w:r w:rsidR="009365F2" w:rsidRPr="00D27D50">
        <w:rPr>
          <w:rFonts w:cs="Times New Roman"/>
        </w:rPr>
        <w:tab/>
      </w:r>
      <w:r w:rsidRPr="00D27D50">
        <w:rPr>
          <w:rFonts w:cs="Times New Roman"/>
        </w:rPr>
        <w:t>Noting the United States does not have dividend imputation.</w:t>
      </w:r>
    </w:p>
  </w:footnote>
  <w:footnote w:id="43">
    <w:p w14:paraId="2DFD21F0" w14:textId="77777777" w:rsidR="00367162" w:rsidRPr="00D27D50" w:rsidRDefault="00367162" w:rsidP="00367162">
      <w:pPr>
        <w:pStyle w:val="FootnoteText"/>
        <w:rPr>
          <w:rFonts w:cs="Times New Roman"/>
        </w:rPr>
      </w:pPr>
      <w:r w:rsidRPr="00D27D50">
        <w:rPr>
          <w:rStyle w:val="FootnoteReference"/>
          <w:vertAlign w:val="baseline"/>
        </w:rPr>
        <w:footnoteRef/>
      </w:r>
      <w:r w:rsidR="009365F2" w:rsidRPr="00D27D50">
        <w:rPr>
          <w:rFonts w:cs="Times New Roman"/>
        </w:rPr>
        <w:tab/>
      </w:r>
      <w:proofErr w:type="gramStart"/>
      <w:r w:rsidRPr="00D27D50">
        <w:rPr>
          <w:rFonts w:cs="Times New Roman"/>
        </w:rPr>
        <w:t xml:space="preserve">Joint Committee on Taxation (2008) at 28; </w:t>
      </w:r>
      <w:proofErr w:type="spellStart"/>
      <w:r w:rsidRPr="00D27D50">
        <w:rPr>
          <w:rFonts w:cs="Times New Roman"/>
        </w:rPr>
        <w:t>Sugin</w:t>
      </w:r>
      <w:proofErr w:type="spellEnd"/>
      <w:r w:rsidRPr="00D27D50">
        <w:rPr>
          <w:rFonts w:cs="Times New Roman"/>
        </w:rPr>
        <w:t xml:space="preserve"> (2011) at 33.</w:t>
      </w:r>
      <w:proofErr w:type="gramEnd"/>
    </w:p>
  </w:footnote>
  <w:footnote w:id="44">
    <w:p w14:paraId="630BCAA7" w14:textId="77777777" w:rsidR="00367162" w:rsidRPr="00D27D50" w:rsidRDefault="00367162" w:rsidP="00367162">
      <w:pPr>
        <w:pStyle w:val="FootnoteText"/>
        <w:rPr>
          <w:rFonts w:cs="Times New Roman"/>
        </w:rPr>
      </w:pPr>
      <w:r w:rsidRPr="00D27D50">
        <w:rPr>
          <w:rStyle w:val="FootnoteReference"/>
          <w:vertAlign w:val="baseline"/>
        </w:rPr>
        <w:footnoteRef/>
      </w:r>
      <w:r w:rsidR="009365F2" w:rsidRPr="00D27D50">
        <w:rPr>
          <w:rFonts w:cs="Times New Roman"/>
        </w:rPr>
        <w:tab/>
      </w:r>
      <w:proofErr w:type="spellStart"/>
      <w:proofErr w:type="gramStart"/>
      <w:r w:rsidRPr="00D27D50">
        <w:rPr>
          <w:rFonts w:cs="Times New Roman"/>
        </w:rPr>
        <w:t>Kleinbard</w:t>
      </w:r>
      <w:proofErr w:type="spellEnd"/>
      <w:r w:rsidRPr="00D27D50">
        <w:rPr>
          <w:rFonts w:cs="Times New Roman"/>
        </w:rPr>
        <w:t xml:space="preserve"> (2009) at 3.</w:t>
      </w:r>
      <w:proofErr w:type="gramEnd"/>
    </w:p>
  </w:footnote>
  <w:footnote w:id="45">
    <w:p w14:paraId="566A5A09"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spellStart"/>
      <w:proofErr w:type="gramStart"/>
      <w:r w:rsidRPr="00D27D50">
        <w:rPr>
          <w:rFonts w:cs="Times New Roman"/>
        </w:rPr>
        <w:t>Zelinsky</w:t>
      </w:r>
      <w:proofErr w:type="spellEnd"/>
      <w:r w:rsidRPr="00D27D50">
        <w:rPr>
          <w:rFonts w:cs="Times New Roman"/>
        </w:rPr>
        <w:t xml:space="preserve"> (2012) at 9.</w:t>
      </w:r>
      <w:proofErr w:type="gramEnd"/>
    </w:p>
  </w:footnote>
  <w:footnote w:id="46">
    <w:p w14:paraId="490CDE4A"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spellStart"/>
      <w:proofErr w:type="gramStart"/>
      <w:r w:rsidRPr="00D27D50">
        <w:rPr>
          <w:rFonts w:cs="Times New Roman"/>
        </w:rPr>
        <w:t>Kleinbard</w:t>
      </w:r>
      <w:proofErr w:type="spellEnd"/>
      <w:r w:rsidRPr="00D27D50">
        <w:rPr>
          <w:rFonts w:cs="Times New Roman"/>
        </w:rPr>
        <w:t xml:space="preserve"> (2009) at 18.</w:t>
      </w:r>
      <w:proofErr w:type="gramEnd"/>
      <w:r w:rsidRPr="00D27D50">
        <w:rPr>
          <w:rFonts w:cs="Times New Roman"/>
        </w:rPr>
        <w:t xml:space="preserve"> </w:t>
      </w:r>
    </w:p>
  </w:footnote>
  <w:footnote w:id="47">
    <w:p w14:paraId="0DB8A09E"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spellStart"/>
      <w:proofErr w:type="gramStart"/>
      <w:r w:rsidRPr="00D27D50">
        <w:rPr>
          <w:rFonts w:cs="Times New Roman"/>
        </w:rPr>
        <w:t>Zelinsky</w:t>
      </w:r>
      <w:proofErr w:type="spellEnd"/>
      <w:r w:rsidRPr="00D27D50">
        <w:rPr>
          <w:rFonts w:cs="Times New Roman"/>
        </w:rPr>
        <w:t xml:space="preserve"> (2012) at 8.</w:t>
      </w:r>
      <w:proofErr w:type="gramEnd"/>
      <w:r w:rsidRPr="00D27D50">
        <w:rPr>
          <w:rFonts w:cs="Times New Roman"/>
        </w:rPr>
        <w:t xml:space="preserve"> </w:t>
      </w:r>
    </w:p>
  </w:footnote>
  <w:footnote w:id="48">
    <w:p w14:paraId="7EF677CE"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gramStart"/>
      <w:r w:rsidR="001A1F80" w:rsidRPr="00D27D50">
        <w:rPr>
          <w:rFonts w:cs="Times New Roman"/>
        </w:rPr>
        <w:t>Ibid</w:t>
      </w:r>
      <w:r w:rsidRPr="00D27D50">
        <w:rPr>
          <w:rFonts w:cs="Times New Roman"/>
        </w:rPr>
        <w:t xml:space="preserve"> at 9.</w:t>
      </w:r>
      <w:proofErr w:type="gramEnd"/>
    </w:p>
  </w:footnote>
  <w:footnote w:id="49">
    <w:p w14:paraId="505F12B2"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gramStart"/>
      <w:r w:rsidRPr="00D27D50">
        <w:rPr>
          <w:rFonts w:cs="Times New Roman"/>
        </w:rPr>
        <w:t>Joint Committee on Taxation (2008) at 6.</w:t>
      </w:r>
      <w:proofErr w:type="gramEnd"/>
    </w:p>
  </w:footnote>
  <w:footnote w:id="50">
    <w:p w14:paraId="6A5D100D"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gramStart"/>
      <w:r w:rsidRPr="00D27D50">
        <w:rPr>
          <w:rFonts w:cs="Times New Roman"/>
        </w:rPr>
        <w:t>Ibid at 7-8.</w:t>
      </w:r>
      <w:proofErr w:type="gramEnd"/>
    </w:p>
  </w:footnote>
  <w:footnote w:id="51">
    <w:p w14:paraId="0F3DB750"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gramStart"/>
      <w:r w:rsidRPr="00D27D50">
        <w:rPr>
          <w:rFonts w:cs="Times New Roman"/>
        </w:rPr>
        <w:t>Ibid at 10.</w:t>
      </w:r>
      <w:proofErr w:type="gramEnd"/>
    </w:p>
  </w:footnote>
  <w:footnote w:id="52">
    <w:p w14:paraId="4DAE43D1"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gramStart"/>
      <w:r w:rsidRPr="00D27D50">
        <w:rPr>
          <w:rFonts w:cs="Times New Roman"/>
        </w:rPr>
        <w:t>Ibid at 25.</w:t>
      </w:r>
      <w:proofErr w:type="gramEnd"/>
    </w:p>
  </w:footnote>
  <w:footnote w:id="53">
    <w:p w14:paraId="316C74E7"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gramStart"/>
      <w:r w:rsidRPr="00D27D50">
        <w:rPr>
          <w:rFonts w:cs="Times New Roman"/>
        </w:rPr>
        <w:t>Ibid at 9.</w:t>
      </w:r>
      <w:proofErr w:type="gramEnd"/>
      <w:r w:rsidRPr="00D27D50">
        <w:rPr>
          <w:rFonts w:cs="Times New Roman"/>
        </w:rPr>
        <w:t xml:space="preserve"> </w:t>
      </w:r>
    </w:p>
  </w:footnote>
  <w:footnote w:id="54">
    <w:p w14:paraId="28CDA2CD"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gramStart"/>
      <w:r w:rsidRPr="00D27D50">
        <w:rPr>
          <w:rFonts w:cs="Times New Roman"/>
        </w:rPr>
        <w:t>Ibid at 10.</w:t>
      </w:r>
      <w:proofErr w:type="gramEnd"/>
      <w:r w:rsidRPr="00D27D50">
        <w:rPr>
          <w:rFonts w:cs="Times New Roman"/>
        </w:rPr>
        <w:t xml:space="preserve"> Tax-induced structural distortions, by definition are also not tax subsidies – that is, they don’t deviate from an identifiable general rule. The JCT also continued reporting a ‘few items’ that were neither tax subsidies nor tax-induced structural distortions, to ‘preserve continuity with… prior work’; ibid at 11.</w:t>
      </w:r>
    </w:p>
  </w:footnote>
  <w:footnote w:id="55">
    <w:p w14:paraId="73EB66FD" w14:textId="77777777" w:rsidR="00367162" w:rsidRPr="00D27D50" w:rsidRDefault="00367162" w:rsidP="00367162">
      <w:pPr>
        <w:pStyle w:val="FootnoteText"/>
        <w:rPr>
          <w:rFonts w:cs="Times New Roman"/>
        </w:rPr>
      </w:pPr>
      <w:r w:rsidRPr="00D27D50">
        <w:rPr>
          <w:rStyle w:val="FootnoteReference"/>
          <w:vertAlign w:val="baseline"/>
        </w:rPr>
        <w:footnoteRef/>
      </w:r>
      <w:r w:rsidR="009365F2" w:rsidRPr="00D27D50">
        <w:rPr>
          <w:rFonts w:cs="Times New Roman"/>
        </w:rPr>
        <w:tab/>
      </w:r>
      <w:r w:rsidRPr="00D27D50">
        <w:rPr>
          <w:rFonts w:cs="Times New Roman"/>
        </w:rPr>
        <w:t>Joint Committee on Taxation (2010) at 4-5.</w:t>
      </w:r>
    </w:p>
  </w:footnote>
  <w:footnote w:id="56">
    <w:p w14:paraId="28DAF3EB"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gramStart"/>
      <w:r w:rsidRPr="00D27D50">
        <w:rPr>
          <w:rFonts w:cs="Times New Roman"/>
        </w:rPr>
        <w:t xml:space="preserve">Dean (2012) at 279; </w:t>
      </w:r>
      <w:proofErr w:type="spellStart"/>
      <w:r w:rsidRPr="00D27D50">
        <w:rPr>
          <w:rFonts w:cs="Times New Roman"/>
        </w:rPr>
        <w:t>Sugin</w:t>
      </w:r>
      <w:proofErr w:type="spellEnd"/>
      <w:r w:rsidRPr="00D27D50">
        <w:rPr>
          <w:rFonts w:cs="Times New Roman"/>
        </w:rPr>
        <w:t xml:space="preserve"> (2011) at 34.</w:t>
      </w:r>
      <w:proofErr w:type="gramEnd"/>
    </w:p>
  </w:footnote>
  <w:footnote w:id="57">
    <w:p w14:paraId="72CC4985" w14:textId="77777777" w:rsidR="00367162" w:rsidRPr="00D27D50" w:rsidRDefault="00367162" w:rsidP="00367162">
      <w:pPr>
        <w:pStyle w:val="FootnoteText"/>
        <w:rPr>
          <w:rFonts w:cs="Times New Roman"/>
        </w:rPr>
      </w:pPr>
      <w:r w:rsidRPr="00D27D50">
        <w:rPr>
          <w:rStyle w:val="FootnoteReference"/>
          <w:vertAlign w:val="baseline"/>
        </w:rPr>
        <w:footnoteRef/>
      </w:r>
      <w:r w:rsidR="009365F2" w:rsidRPr="00D27D50">
        <w:rPr>
          <w:rFonts w:cs="Times New Roman"/>
        </w:rPr>
        <w:tab/>
      </w:r>
      <w:r w:rsidRPr="00D27D50">
        <w:rPr>
          <w:rFonts w:cs="Times New Roman"/>
        </w:rPr>
        <w:t>The ‘revenue forgone’ method used by the US Treasury since 1969 (which does not account for taxpayers behavioural responses) remains the standard way for estimating the size of tax expenditures in most OECD countries; Australian Treasury (201</w:t>
      </w:r>
      <w:r w:rsidR="00256566" w:rsidRPr="00D27D50">
        <w:rPr>
          <w:rFonts w:cs="Times New Roman"/>
        </w:rPr>
        <w:t>6</w:t>
      </w:r>
      <w:r w:rsidRPr="00D27D50">
        <w:rPr>
          <w:rFonts w:cs="Times New Roman"/>
        </w:rPr>
        <w:t>) at 4.</w:t>
      </w:r>
      <w:r w:rsidR="00BB0F23" w:rsidRPr="00D27D50">
        <w:rPr>
          <w:rFonts w:cs="Times New Roman"/>
        </w:rPr>
        <w:t xml:space="preserve"> The Australian Tax Expenditures Statement also includes ‘revenue gain’ estimates for ten large tax expenditures. While ‘revenue gain’ estimates do aim to account for taxpayer behavioural responses, they are subject to significant caveats: Australian Treasury (201</w:t>
      </w:r>
      <w:r w:rsidR="00256566" w:rsidRPr="00D27D50">
        <w:rPr>
          <w:rFonts w:cs="Times New Roman"/>
        </w:rPr>
        <w:t>6</w:t>
      </w:r>
      <w:r w:rsidR="00BB0F23" w:rsidRPr="00D27D50">
        <w:rPr>
          <w:rFonts w:cs="Times New Roman"/>
        </w:rPr>
        <w:t>) at 5.</w:t>
      </w:r>
    </w:p>
  </w:footnote>
  <w:footnote w:id="58">
    <w:p w14:paraId="222D7AA4"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gramStart"/>
      <w:r w:rsidR="00256566" w:rsidRPr="00D27D50">
        <w:rPr>
          <w:rFonts w:cs="Times New Roman"/>
        </w:rPr>
        <w:t>Australian Treasury (2016), Chapter 1.</w:t>
      </w:r>
      <w:proofErr w:type="gramEnd"/>
    </w:p>
  </w:footnote>
  <w:footnote w:id="59">
    <w:p w14:paraId="45C69AB4"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proofErr w:type="gramStart"/>
      <w:r w:rsidRPr="00D27D50">
        <w:rPr>
          <w:rFonts w:cs="Times New Roman"/>
        </w:rPr>
        <w:t>Dean (2012) at 267.</w:t>
      </w:r>
      <w:proofErr w:type="gramEnd"/>
    </w:p>
  </w:footnote>
  <w:footnote w:id="60">
    <w:p w14:paraId="6F29BCE9" w14:textId="77777777" w:rsidR="00367162" w:rsidRPr="00D27D50" w:rsidRDefault="00367162" w:rsidP="00367162">
      <w:pPr>
        <w:pStyle w:val="FootnoteText"/>
        <w:rPr>
          <w:rFonts w:cs="Times New Roman"/>
        </w:rPr>
      </w:pPr>
      <w:r w:rsidRPr="00D27D50">
        <w:rPr>
          <w:rStyle w:val="FootnoteReference"/>
          <w:vertAlign w:val="baseline"/>
        </w:rPr>
        <w:footnoteRef/>
      </w:r>
      <w:r w:rsidR="009365F2" w:rsidRPr="00D27D50">
        <w:rPr>
          <w:rFonts w:cs="Times New Roman"/>
        </w:rPr>
        <w:tab/>
      </w:r>
      <w:r w:rsidRPr="00D27D50">
        <w:rPr>
          <w:rFonts w:cs="Times New Roman"/>
        </w:rPr>
        <w:t>See</w:t>
      </w:r>
      <w:r w:rsidR="000D5DE7" w:rsidRPr="00D27D50">
        <w:rPr>
          <w:rFonts w:cs="Times New Roman"/>
        </w:rPr>
        <w:t>, for example,</w:t>
      </w:r>
      <w:r w:rsidRPr="00D27D50">
        <w:rPr>
          <w:rFonts w:cs="Times New Roman"/>
        </w:rPr>
        <w:t xml:space="preserve"> Fleming and </w:t>
      </w:r>
      <w:proofErr w:type="spellStart"/>
      <w:r w:rsidRPr="00D27D50">
        <w:rPr>
          <w:rFonts w:cs="Times New Roman"/>
        </w:rPr>
        <w:t>Peroni</w:t>
      </w:r>
      <w:proofErr w:type="spellEnd"/>
      <w:r w:rsidRPr="00D27D50">
        <w:rPr>
          <w:rFonts w:cs="Times New Roman"/>
        </w:rPr>
        <w:t xml:space="preserve"> (2008) at 508-511.</w:t>
      </w:r>
    </w:p>
  </w:footnote>
  <w:footnote w:id="61">
    <w:p w14:paraId="2F412876" w14:textId="77777777" w:rsidR="00367162" w:rsidRPr="00D27D50" w:rsidRDefault="00367162" w:rsidP="009365F2">
      <w:pPr>
        <w:pStyle w:val="FootnoteText"/>
      </w:pPr>
      <w:r w:rsidRPr="00D27D50">
        <w:rPr>
          <w:rStyle w:val="FootnoteReference"/>
          <w:vertAlign w:val="baseline"/>
        </w:rPr>
        <w:footnoteRef/>
      </w:r>
      <w:r w:rsidR="009365F2" w:rsidRPr="00D27D50">
        <w:rPr>
          <w:rFonts w:cs="Times New Roman"/>
        </w:rPr>
        <w:tab/>
      </w:r>
      <w:r w:rsidRPr="00D27D50">
        <w:rPr>
          <w:rFonts w:cs="Times New Roman"/>
        </w:rPr>
        <w:t xml:space="preserve">For example, to include information about who benefits from tax expenditures and who would lose if a tax expenditure was abolished: </w:t>
      </w:r>
      <w:proofErr w:type="spellStart"/>
      <w:r w:rsidRPr="00D27D50">
        <w:rPr>
          <w:rFonts w:cs="Times New Roman"/>
        </w:rPr>
        <w:t>Sugin</w:t>
      </w:r>
      <w:proofErr w:type="spellEnd"/>
      <w:r w:rsidRPr="00D27D50">
        <w:rPr>
          <w:rFonts w:cs="Times New Roman"/>
        </w:rPr>
        <w:t xml:space="preserve"> (2011) at 42.</w:t>
      </w:r>
    </w:p>
  </w:footnote>
  <w:footnote w:id="62">
    <w:p w14:paraId="71BA0D68" w14:textId="77777777" w:rsidR="00367162" w:rsidRPr="00D27D50" w:rsidRDefault="00367162" w:rsidP="009365F2">
      <w:pPr>
        <w:pStyle w:val="FootnoteText"/>
      </w:pPr>
      <w:r w:rsidRPr="00D27D50">
        <w:rPr>
          <w:rStyle w:val="FootnoteReference"/>
          <w:vertAlign w:val="baseline"/>
        </w:rPr>
        <w:footnoteRef/>
      </w:r>
      <w:r w:rsidR="009365F2" w:rsidRPr="00D27D50">
        <w:rPr>
          <w:rFonts w:cs="Times New Roman"/>
        </w:rPr>
        <w:tab/>
      </w:r>
      <w:r w:rsidRPr="00D27D50">
        <w:rPr>
          <w:rFonts w:cs="Times New Roman"/>
        </w:rPr>
        <w:t>For example, presenting tax expenditures explicitly as direct expenditures in the Budget and requiring them to go through the same authorisation process within Congress as direct expenditures;</w:t>
      </w:r>
      <w:r w:rsidRPr="00D27D50">
        <w:t xml:space="preserve"> </w:t>
      </w:r>
      <w:proofErr w:type="spellStart"/>
      <w:r w:rsidRPr="00D27D50">
        <w:rPr>
          <w:rFonts w:cs="Times New Roman"/>
        </w:rPr>
        <w:t>Kleinbard</w:t>
      </w:r>
      <w:proofErr w:type="spellEnd"/>
      <w:r w:rsidRPr="00D27D50">
        <w:rPr>
          <w:rFonts w:cs="Times New Roman"/>
        </w:rPr>
        <w:t xml:space="preserve"> (2009) at 28.</w:t>
      </w:r>
    </w:p>
  </w:footnote>
  <w:footnote w:id="63">
    <w:p w14:paraId="09A1471F" w14:textId="77777777" w:rsidR="00367162" w:rsidRPr="00D27D50" w:rsidRDefault="00367162" w:rsidP="00367162">
      <w:pPr>
        <w:pStyle w:val="FootnoteText"/>
        <w:rPr>
          <w:rFonts w:cs="Times New Roman"/>
        </w:rPr>
      </w:pPr>
      <w:r w:rsidRPr="00D27D50">
        <w:rPr>
          <w:rStyle w:val="FootnoteReference"/>
          <w:vertAlign w:val="baseline"/>
        </w:rPr>
        <w:footnoteRef/>
      </w:r>
      <w:r w:rsidR="009365F2" w:rsidRPr="00D27D50">
        <w:rPr>
          <w:rFonts w:cs="Times New Roman"/>
        </w:rPr>
        <w:tab/>
      </w:r>
      <w:proofErr w:type="spellStart"/>
      <w:r w:rsidRPr="00D27D50">
        <w:rPr>
          <w:rFonts w:cs="Times New Roman"/>
        </w:rPr>
        <w:t>Bittker</w:t>
      </w:r>
      <w:proofErr w:type="spellEnd"/>
      <w:r w:rsidRPr="00D27D50">
        <w:rPr>
          <w:rFonts w:cs="Times New Roman"/>
        </w:rPr>
        <w:t xml:space="preserve"> (1969) at 260-261.</w:t>
      </w:r>
    </w:p>
  </w:footnote>
  <w:footnote w:id="64">
    <w:p w14:paraId="0B3218CD" w14:textId="77777777" w:rsidR="00367162" w:rsidRPr="00D27D50" w:rsidRDefault="00367162" w:rsidP="00367162">
      <w:pPr>
        <w:pStyle w:val="FootnoteText"/>
      </w:pPr>
      <w:r w:rsidRPr="00D27D50">
        <w:rPr>
          <w:rStyle w:val="FootnoteReference"/>
          <w:vertAlign w:val="baseline"/>
        </w:rPr>
        <w:footnoteRef/>
      </w:r>
      <w:r w:rsidR="009365F2" w:rsidRPr="00D27D50">
        <w:rPr>
          <w:rFonts w:cs="Times New Roman"/>
        </w:rPr>
        <w:tab/>
      </w:r>
      <w:r w:rsidRPr="00D27D50">
        <w:rPr>
          <w:rFonts w:cs="Times New Roman"/>
        </w:rPr>
        <w:t>Kahn &amp; Lehman (1992) at 1664-1665.</w:t>
      </w:r>
    </w:p>
  </w:footnote>
  <w:footnote w:id="65">
    <w:p w14:paraId="1BEE2E37" w14:textId="77777777" w:rsidR="00367162" w:rsidRPr="00D27D50" w:rsidRDefault="00367162" w:rsidP="00D27D50">
      <w:pPr>
        <w:pStyle w:val="FootnoteText"/>
      </w:pPr>
      <w:r w:rsidRPr="00D27D50">
        <w:rPr>
          <w:rStyle w:val="FootnoteReference"/>
          <w:vertAlign w:val="baseline"/>
        </w:rPr>
        <w:footnoteRef/>
      </w:r>
      <w:r w:rsidR="009365F2" w:rsidRPr="00D27D50">
        <w:tab/>
      </w:r>
      <w:proofErr w:type="gramStart"/>
      <w:r w:rsidRPr="00D27D50">
        <w:t>Ibid at 1663.</w:t>
      </w:r>
      <w:proofErr w:type="gramEnd"/>
    </w:p>
  </w:footnote>
  <w:footnote w:id="66">
    <w:p w14:paraId="1B6FC13C" w14:textId="77777777" w:rsidR="00F32AC6" w:rsidRPr="00D27D50" w:rsidRDefault="00F32AC6" w:rsidP="00D27D50">
      <w:pPr>
        <w:pStyle w:val="FootnoteText"/>
      </w:pPr>
      <w:r w:rsidRPr="00D27D50">
        <w:rPr>
          <w:rStyle w:val="FootnoteReference"/>
          <w:vertAlign w:val="baseline"/>
        </w:rPr>
        <w:footnoteRef/>
      </w:r>
      <w:r w:rsidR="00F70D40" w:rsidRPr="00D27D50">
        <w:tab/>
      </w:r>
      <w:proofErr w:type="gramStart"/>
      <w:r w:rsidRPr="00D27D50">
        <w:t xml:space="preserve">Burton </w:t>
      </w:r>
      <w:r w:rsidR="001416CD" w:rsidRPr="00D27D50">
        <w:t>(</w:t>
      </w:r>
      <w:r w:rsidRPr="00D27D50">
        <w:t>2005</w:t>
      </w:r>
      <w:r w:rsidR="001416CD" w:rsidRPr="00D27D50">
        <w:t>)</w:t>
      </w:r>
      <w:r w:rsidRPr="00D27D50">
        <w:t xml:space="preserve"> at pp4-5.</w:t>
      </w:r>
      <w:proofErr w:type="gramEnd"/>
    </w:p>
  </w:footnote>
  <w:footnote w:id="67">
    <w:p w14:paraId="2954D8B0" w14:textId="77777777" w:rsidR="00F32AC6" w:rsidRPr="00D27D50" w:rsidRDefault="00F32AC6" w:rsidP="00D27D50">
      <w:pPr>
        <w:pStyle w:val="FootnoteText"/>
      </w:pPr>
      <w:r w:rsidRPr="00D27D50">
        <w:rPr>
          <w:rStyle w:val="FootnoteReference"/>
          <w:vertAlign w:val="baseline"/>
        </w:rPr>
        <w:footnoteRef/>
      </w:r>
      <w:r w:rsidR="00F70D40" w:rsidRPr="00D27D50">
        <w:tab/>
      </w:r>
      <w:r w:rsidRPr="00D27D50">
        <w:t xml:space="preserve">Burton and </w:t>
      </w:r>
      <w:proofErr w:type="spellStart"/>
      <w:r w:rsidRPr="00D27D50">
        <w:t>Sadiq</w:t>
      </w:r>
      <w:proofErr w:type="spellEnd"/>
      <w:r w:rsidRPr="00D27D50">
        <w:t xml:space="preserve"> go further and suggest that tax expenditure analysis should extend to ‘an omission to undertake the requisite administrative tasks’ and to where ‘the legislature has not enacted a rule that the normative framework indicated ought to be enacted’: Burton and </w:t>
      </w:r>
      <w:proofErr w:type="spellStart"/>
      <w:r w:rsidRPr="00D27D50">
        <w:t>Sadiq</w:t>
      </w:r>
      <w:proofErr w:type="spellEnd"/>
      <w:r w:rsidR="00B42F03" w:rsidRPr="00D27D50">
        <w:t xml:space="preserve"> (2013) </w:t>
      </w:r>
      <w:r w:rsidRPr="00D27D50">
        <w:t>at 61-62.</w:t>
      </w:r>
    </w:p>
  </w:footnote>
  <w:footnote w:id="68">
    <w:p w14:paraId="3709B320" w14:textId="77777777" w:rsidR="00F32AC6" w:rsidRPr="00D27D50" w:rsidRDefault="00F32AC6" w:rsidP="00D27D50">
      <w:pPr>
        <w:pStyle w:val="FootnoteText"/>
      </w:pPr>
      <w:r w:rsidRPr="00D27D50">
        <w:rPr>
          <w:rStyle w:val="FootnoteReference"/>
          <w:vertAlign w:val="baseline"/>
        </w:rPr>
        <w:footnoteRef/>
      </w:r>
      <w:r w:rsidR="00F70D40" w:rsidRPr="00D27D50">
        <w:tab/>
      </w:r>
      <w:proofErr w:type="gramStart"/>
      <w:r w:rsidRPr="00D27D50">
        <w:t>Burton</w:t>
      </w:r>
      <w:r w:rsidR="000F05EA" w:rsidRPr="00D27D50">
        <w:t xml:space="preserve"> (</w:t>
      </w:r>
      <w:r w:rsidRPr="00D27D50">
        <w:t>2005</w:t>
      </w:r>
      <w:r w:rsidR="000F05EA" w:rsidRPr="00D27D50">
        <w:t>)</w:t>
      </w:r>
      <w:r w:rsidRPr="00D27D50">
        <w:t xml:space="preserve"> at 69.</w:t>
      </w:r>
      <w:proofErr w:type="gramEnd"/>
    </w:p>
  </w:footnote>
  <w:footnote w:id="69">
    <w:p w14:paraId="0A29AEA4" w14:textId="77777777" w:rsidR="00F32AC6" w:rsidRPr="00D27D50" w:rsidRDefault="00F32AC6" w:rsidP="00F32AC6">
      <w:pPr>
        <w:pStyle w:val="FootnoteText"/>
      </w:pPr>
      <w:r w:rsidRPr="00D27D50">
        <w:rPr>
          <w:rStyle w:val="FootnoteReference"/>
          <w:vertAlign w:val="baseline"/>
        </w:rPr>
        <w:footnoteRef/>
      </w:r>
      <w:r w:rsidR="00F70D40" w:rsidRPr="00D27D50">
        <w:rPr>
          <w:rFonts w:cs="Times New Roman"/>
        </w:rPr>
        <w:tab/>
      </w:r>
      <w:proofErr w:type="gramStart"/>
      <w:r w:rsidRPr="00D27D50">
        <w:rPr>
          <w:rFonts w:cs="Times New Roman"/>
        </w:rPr>
        <w:t>Ibid at 29.</w:t>
      </w:r>
      <w:proofErr w:type="gramEnd"/>
    </w:p>
  </w:footnote>
  <w:footnote w:id="70">
    <w:p w14:paraId="7C1D7F26" w14:textId="77777777" w:rsidR="00F32AC6" w:rsidRPr="00D27D50" w:rsidRDefault="00F32AC6" w:rsidP="00F32AC6">
      <w:pPr>
        <w:pStyle w:val="FootnoteText"/>
      </w:pPr>
      <w:r w:rsidRPr="00D27D50">
        <w:rPr>
          <w:rStyle w:val="FootnoteReference"/>
          <w:vertAlign w:val="baseline"/>
        </w:rPr>
        <w:footnoteRef/>
      </w:r>
      <w:r w:rsidR="00F70D40" w:rsidRPr="00D27D50">
        <w:rPr>
          <w:rFonts w:cs="Times New Roman"/>
        </w:rPr>
        <w:tab/>
      </w:r>
      <w:proofErr w:type="gramStart"/>
      <w:r w:rsidRPr="00D27D50">
        <w:rPr>
          <w:rFonts w:cs="Times New Roman"/>
        </w:rPr>
        <w:t>Ibid at 34</w:t>
      </w:r>
      <w:r w:rsidRPr="00D27D50">
        <w:t>.</w:t>
      </w:r>
      <w:proofErr w:type="gramEnd"/>
    </w:p>
  </w:footnote>
  <w:footnote w:id="71">
    <w:p w14:paraId="12A3D024" w14:textId="77777777" w:rsidR="00F32AC6" w:rsidRPr="00D27D50" w:rsidRDefault="00F32AC6" w:rsidP="00F32AC6">
      <w:pPr>
        <w:pStyle w:val="FootnoteText"/>
        <w:rPr>
          <w:rFonts w:cs="Times New Roman"/>
        </w:rPr>
      </w:pPr>
      <w:r w:rsidRPr="00D27D50">
        <w:rPr>
          <w:rStyle w:val="FootnoteReference"/>
          <w:vertAlign w:val="baseline"/>
        </w:rPr>
        <w:footnoteRef/>
      </w:r>
      <w:r w:rsidR="00F70D40" w:rsidRPr="00D27D50">
        <w:rPr>
          <w:rFonts w:cs="Times New Roman"/>
        </w:rPr>
        <w:tab/>
      </w:r>
      <w:proofErr w:type="gramStart"/>
      <w:r w:rsidRPr="00D27D50">
        <w:rPr>
          <w:rFonts w:cs="Times New Roman"/>
        </w:rPr>
        <w:t>Ibid at 63-64.</w:t>
      </w:r>
      <w:proofErr w:type="gramEnd"/>
    </w:p>
  </w:footnote>
  <w:footnote w:id="72">
    <w:p w14:paraId="3174A7CE" w14:textId="77777777" w:rsidR="00F32AC6" w:rsidRPr="00F70D40" w:rsidRDefault="00F32AC6" w:rsidP="00F32AC6">
      <w:pPr>
        <w:pStyle w:val="FootnoteText"/>
      </w:pPr>
      <w:r w:rsidRPr="00D27D50">
        <w:rPr>
          <w:rStyle w:val="FootnoteReference"/>
          <w:vertAlign w:val="baseline"/>
        </w:rPr>
        <w:footnoteRef/>
      </w:r>
      <w:r w:rsidR="00F70D40" w:rsidRPr="00D27D50">
        <w:rPr>
          <w:rFonts w:cs="Times New Roman"/>
        </w:rPr>
        <w:tab/>
      </w:r>
      <w:proofErr w:type="gramStart"/>
      <w:r w:rsidRPr="00D27D50">
        <w:rPr>
          <w:rFonts w:cs="Times New Roman"/>
        </w:rPr>
        <w:t>Ibid at 32.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60225" w14:textId="6720E55A" w:rsidR="00B726FF" w:rsidRPr="00B726FF" w:rsidRDefault="00BC7845" w:rsidP="00B726FF">
    <w:pPr>
      <w:pStyle w:val="HeaderOdd"/>
    </w:pPr>
    <w:r>
      <w:fldChar w:fldCharType="begin"/>
    </w:r>
    <w:r>
      <w:instrText xml:space="preserve"> STYLEREF  "Heading 1"  \* MERGEFORMAT </w:instrText>
    </w:r>
    <w:r>
      <w:fldChar w:fldCharType="separate"/>
    </w:r>
    <w:r>
      <w:rPr>
        <w:noProof/>
      </w:rPr>
      <w:t>Abstract</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D0C73" w14:textId="77777777" w:rsidR="00F012EA" w:rsidRPr="00F012EA" w:rsidRDefault="00F012EA" w:rsidP="00F012EA">
    <w:pPr>
      <w:pStyle w:val="Header"/>
    </w:pPr>
    <w:r>
      <w:rPr>
        <w:noProof/>
        <w:lang w:eastAsia="en-AU"/>
      </w:rPr>
      <w:drawing>
        <wp:inline distT="0" distB="0" distL="0" distR="0" wp14:anchorId="747A5462" wp14:editId="140437DA">
          <wp:extent cx="1926336" cy="1194816"/>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26336" cy="119481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04BD0" w14:textId="77777777" w:rsidR="00F60530" w:rsidRPr="00F012EA" w:rsidRDefault="00F60530" w:rsidP="00F012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44EF4" w14:textId="0B9C18FA" w:rsidR="00B726FF" w:rsidRPr="00B726FF" w:rsidRDefault="00BC7845" w:rsidP="00B726FF">
    <w:pPr>
      <w:pStyle w:val="HeaderEven"/>
    </w:pPr>
    <w:r>
      <w:fldChar w:fldCharType="begin"/>
    </w:r>
    <w:r>
      <w:instrText xml:space="preserve"> TITLE   \* MERGEFORMAT </w:instrText>
    </w:r>
    <w:r>
      <w:fldChar w:fldCharType="separate"/>
    </w:r>
    <w:r w:rsidR="00B726FF">
      <w:t>Tax Expenditure Analysis - Origins, Debates and Future Prospects</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48418" w14:textId="77777777" w:rsidR="00F60530" w:rsidRPr="00D27D50" w:rsidRDefault="00F60530" w:rsidP="00B726FF">
    <w:pPr>
      <w:pStyle w:val="HeaderOd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C1804D6"/>
    <w:lvl w:ilvl="0">
      <w:start w:val="1"/>
      <w:numFmt w:val="decimal"/>
      <w:lvlText w:val="%1."/>
      <w:lvlJc w:val="left"/>
      <w:pPr>
        <w:tabs>
          <w:tab w:val="num" w:pos="1492"/>
        </w:tabs>
        <w:ind w:left="1492" w:hanging="360"/>
      </w:pPr>
    </w:lvl>
  </w:abstractNum>
  <w:abstractNum w:abstractNumId="1">
    <w:nsid w:val="FFFFFF7D"/>
    <w:multiLevelType w:val="singleLevel"/>
    <w:tmpl w:val="8A209078"/>
    <w:lvl w:ilvl="0">
      <w:start w:val="1"/>
      <w:numFmt w:val="decimal"/>
      <w:lvlText w:val="%1."/>
      <w:lvlJc w:val="left"/>
      <w:pPr>
        <w:tabs>
          <w:tab w:val="num" w:pos="1209"/>
        </w:tabs>
        <w:ind w:left="1209" w:hanging="360"/>
      </w:pPr>
    </w:lvl>
  </w:abstractNum>
  <w:abstractNum w:abstractNumId="2">
    <w:nsid w:val="FFFFFF7E"/>
    <w:multiLevelType w:val="singleLevel"/>
    <w:tmpl w:val="A7367478"/>
    <w:lvl w:ilvl="0">
      <w:start w:val="1"/>
      <w:numFmt w:val="decimal"/>
      <w:lvlText w:val="%1."/>
      <w:lvlJc w:val="left"/>
      <w:pPr>
        <w:tabs>
          <w:tab w:val="num" w:pos="926"/>
        </w:tabs>
        <w:ind w:left="926" w:hanging="360"/>
      </w:pPr>
    </w:lvl>
  </w:abstractNum>
  <w:abstractNum w:abstractNumId="3">
    <w:nsid w:val="FFFFFF7F"/>
    <w:multiLevelType w:val="singleLevel"/>
    <w:tmpl w:val="75B41A98"/>
    <w:lvl w:ilvl="0">
      <w:start w:val="1"/>
      <w:numFmt w:val="decimal"/>
      <w:lvlText w:val="%1."/>
      <w:lvlJc w:val="left"/>
      <w:pPr>
        <w:tabs>
          <w:tab w:val="num" w:pos="643"/>
        </w:tabs>
        <w:ind w:left="643" w:hanging="360"/>
      </w:pPr>
    </w:lvl>
  </w:abstractNum>
  <w:abstractNum w:abstractNumId="4">
    <w:nsid w:val="FFFFFF80"/>
    <w:multiLevelType w:val="singleLevel"/>
    <w:tmpl w:val="5AB42E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3C5C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73C52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644F1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B761CCE"/>
    <w:lvl w:ilvl="0">
      <w:start w:val="1"/>
      <w:numFmt w:val="decimal"/>
      <w:lvlText w:val="%1."/>
      <w:lvlJc w:val="left"/>
      <w:pPr>
        <w:tabs>
          <w:tab w:val="num" w:pos="360"/>
        </w:tabs>
        <w:ind w:left="360" w:hanging="360"/>
      </w:pPr>
    </w:lvl>
  </w:abstractNum>
  <w:abstractNum w:abstractNumId="9">
    <w:nsid w:val="FFFFFF89"/>
    <w:multiLevelType w:val="singleLevel"/>
    <w:tmpl w:val="0BDEB214"/>
    <w:lvl w:ilvl="0">
      <w:start w:val="1"/>
      <w:numFmt w:val="bullet"/>
      <w:lvlText w:val=""/>
      <w:lvlJc w:val="left"/>
      <w:pPr>
        <w:tabs>
          <w:tab w:val="num" w:pos="360"/>
        </w:tabs>
        <w:ind w:left="360" w:hanging="360"/>
      </w:pPr>
      <w:rPr>
        <w:rFonts w:ascii="Symbol" w:hAnsi="Symbol" w:hint="default"/>
      </w:rPr>
    </w:lvl>
  </w:abstractNum>
  <w:abstractNum w:abstractNumId="1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1">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6CC4E5D"/>
    <w:multiLevelType w:val="multilevel"/>
    <w:tmpl w:val="D10E9CF6"/>
    <w:numStyleLink w:val="OneLevelList"/>
  </w:abstractNum>
  <w:abstractNum w:abstractNumId="15">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3">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445B0A7E"/>
    <w:multiLevelType w:val="multilevel"/>
    <w:tmpl w:val="EDEE4FB6"/>
    <w:numStyleLink w:val="RecommendationBulletList"/>
  </w:abstractNum>
  <w:abstractNum w:abstractNumId="25">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10D2021"/>
    <w:multiLevelType w:val="multilevel"/>
    <w:tmpl w:val="72F8140E"/>
    <w:numStyleLink w:val="OutlineList"/>
  </w:abstractNum>
  <w:abstractNum w:abstractNumId="27">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5F73129"/>
    <w:multiLevelType w:val="multilevel"/>
    <w:tmpl w:val="D9A8A212"/>
    <w:numStyleLink w:val="RomanNumeralList"/>
  </w:abstractNum>
  <w:abstractNum w:abstractNumId="29">
    <w:nsid w:val="587257BC"/>
    <w:multiLevelType w:val="multilevel"/>
    <w:tmpl w:val="89340AA0"/>
    <w:name w:val="StandardBulletedList"/>
    <w:lvl w:ilvl="0">
      <w:start w:val="1"/>
      <w:numFmt w:val="bullet"/>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1">
    <w:nsid w:val="6A5F7B24"/>
    <w:multiLevelType w:val="multilevel"/>
    <w:tmpl w:val="2090AC60"/>
    <w:lvl w:ilvl="0">
      <w:start w:val="1"/>
      <w:numFmt w:val="decimal"/>
      <w:lvlRestart w:val="0"/>
      <w:pStyle w:val="Heading2"/>
      <w:lvlText w:val="%1."/>
      <w:lvlJc w:val="left"/>
      <w:pPr>
        <w:tabs>
          <w:tab w:val="num" w:pos="850"/>
        </w:tabs>
        <w:ind w:left="0" w:firstLine="0"/>
      </w:pPr>
      <w:rPr>
        <w:rFonts w:ascii="Arial Bold" w:hAnsi="Arial Bold" w:cs="Arial" w:hint="default"/>
        <w:b/>
        <w:i w:val="0"/>
        <w:color w:val="003157"/>
      </w:rPr>
    </w:lvl>
    <w:lvl w:ilvl="1">
      <w:start w:val="1"/>
      <w:numFmt w:val="decimal"/>
      <w:lvlText w:val="%1.%2"/>
      <w:lvlJc w:val="left"/>
      <w:pPr>
        <w:tabs>
          <w:tab w:val="num" w:pos="-1702"/>
        </w:tabs>
        <w:ind w:left="-2552" w:firstLine="0"/>
      </w:pPr>
      <w:rPr>
        <w:rFonts w:ascii="Arial Bold" w:hAnsi="Arial Bold" w:cs="Arial" w:hint="default"/>
        <w:b/>
        <w:i w:val="0"/>
        <w:color w:val="003157"/>
      </w:rPr>
    </w:lvl>
    <w:lvl w:ilvl="2">
      <w:start w:val="1"/>
      <w:numFmt w:val="none"/>
      <w:pStyle w:val="Heading4"/>
      <w:lvlText w:val=""/>
      <w:lvlJc w:val="left"/>
      <w:pPr>
        <w:tabs>
          <w:tab w:val="num" w:pos="-2552"/>
        </w:tabs>
        <w:ind w:left="-2552" w:firstLine="0"/>
      </w:pPr>
      <w:rPr>
        <w:rFonts w:ascii="Arial" w:hAnsi="Arial" w:cs="Arial" w:hint="default"/>
        <w:b w:val="0"/>
        <w:i w:val="0"/>
        <w:color w:val="003157"/>
      </w:rPr>
    </w:lvl>
    <w:lvl w:ilvl="3">
      <w:start w:val="1"/>
      <w:numFmt w:val="decimal"/>
      <w:lvlText w:val="%4"/>
      <w:lvlJc w:val="left"/>
      <w:pPr>
        <w:tabs>
          <w:tab w:val="num" w:pos="-284"/>
        </w:tabs>
        <w:ind w:left="-284" w:hanging="567"/>
      </w:pPr>
      <w:rPr>
        <w:rFonts w:hint="default"/>
        <w:b w:val="0"/>
        <w:i w:val="0"/>
        <w:color w:val="000000"/>
      </w:rPr>
    </w:lvl>
    <w:lvl w:ilvl="4">
      <w:start w:val="1"/>
      <w:numFmt w:val="decimal"/>
      <w:lvlText w:val="%5"/>
      <w:lvlJc w:val="left"/>
      <w:pPr>
        <w:tabs>
          <w:tab w:val="num" w:pos="283"/>
        </w:tabs>
        <w:ind w:left="283" w:hanging="567"/>
      </w:pPr>
      <w:rPr>
        <w:rFonts w:hint="default"/>
        <w:b w:val="0"/>
        <w:i w:val="0"/>
        <w:color w:val="000000"/>
      </w:rPr>
    </w:lvl>
    <w:lvl w:ilvl="5">
      <w:start w:val="1"/>
      <w:numFmt w:val="decimal"/>
      <w:lvlText w:val="%6"/>
      <w:lvlJc w:val="left"/>
      <w:pPr>
        <w:tabs>
          <w:tab w:val="num" w:pos="850"/>
        </w:tabs>
        <w:ind w:left="850" w:hanging="567"/>
      </w:pPr>
      <w:rPr>
        <w:rFonts w:hint="default"/>
        <w:b w:val="0"/>
        <w:i w:val="0"/>
        <w:color w:val="000000"/>
      </w:rPr>
    </w:lvl>
    <w:lvl w:ilvl="6">
      <w:start w:val="1"/>
      <w:numFmt w:val="decimal"/>
      <w:lvlText w:val="%7"/>
      <w:lvlJc w:val="left"/>
      <w:pPr>
        <w:tabs>
          <w:tab w:val="num" w:pos="1417"/>
        </w:tabs>
        <w:ind w:left="1417" w:hanging="567"/>
      </w:pPr>
      <w:rPr>
        <w:rFonts w:hint="default"/>
        <w:b w:val="0"/>
        <w:i w:val="0"/>
        <w:color w:val="000000"/>
      </w:rPr>
    </w:lvl>
    <w:lvl w:ilvl="7">
      <w:start w:val="1"/>
      <w:numFmt w:val="decimal"/>
      <w:lvlText w:val="%8"/>
      <w:lvlJc w:val="left"/>
      <w:pPr>
        <w:tabs>
          <w:tab w:val="num" w:pos="1984"/>
        </w:tabs>
        <w:ind w:left="1984" w:hanging="567"/>
      </w:pPr>
      <w:rPr>
        <w:rFonts w:hint="default"/>
        <w:b w:val="0"/>
        <w:i w:val="0"/>
        <w:color w:val="000000"/>
      </w:rPr>
    </w:lvl>
    <w:lvl w:ilvl="8">
      <w:start w:val="1"/>
      <w:numFmt w:val="decimal"/>
      <w:lvlText w:val="%9"/>
      <w:lvlJc w:val="left"/>
      <w:pPr>
        <w:tabs>
          <w:tab w:val="num" w:pos="2551"/>
        </w:tabs>
        <w:ind w:left="2551" w:hanging="567"/>
      </w:pPr>
      <w:rPr>
        <w:rFonts w:hint="default"/>
        <w:b w:val="0"/>
        <w:i w:val="0"/>
        <w:color w:val="000000"/>
      </w:rPr>
    </w:lvl>
  </w:abstractNum>
  <w:abstractNum w:abstractNumId="32">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11"/>
  </w:num>
  <w:num w:numId="3">
    <w:abstractNumId w:val="25"/>
  </w:num>
  <w:num w:numId="4">
    <w:abstractNumId w:val="21"/>
  </w:num>
  <w:num w:numId="5">
    <w:abstractNumId w:val="13"/>
  </w:num>
  <w:num w:numId="6">
    <w:abstractNumId w:val="15"/>
  </w:num>
  <w:num w:numId="7">
    <w:abstractNumId w:val="12"/>
  </w:num>
  <w:num w:numId="8">
    <w:abstractNumId w:val="14"/>
  </w:num>
  <w:num w:numId="9">
    <w:abstractNumId w:val="26"/>
  </w:num>
  <w:num w:numId="10">
    <w:abstractNumId w:val="24"/>
  </w:num>
  <w:num w:numId="11">
    <w:abstractNumId w:val="28"/>
  </w:num>
  <w:num w:numId="12">
    <w:abstractNumId w:val="20"/>
  </w:num>
  <w:num w:numId="13">
    <w:abstractNumId w:val="27"/>
  </w:num>
  <w:num w:numId="14">
    <w:abstractNumId w:val="16"/>
  </w:num>
  <w:num w:numId="15">
    <w:abstractNumId w:val="16"/>
  </w:num>
  <w:num w:numId="16">
    <w:abstractNumId w:val="23"/>
  </w:num>
  <w:num w:numId="17">
    <w:abstractNumId w:val="10"/>
  </w:num>
  <w:num w:numId="18">
    <w:abstractNumId w:val="30"/>
  </w:num>
  <w:num w:numId="19">
    <w:abstractNumId w:val="18"/>
  </w:num>
  <w:num w:numId="20">
    <w:abstractNumId w:val="22"/>
  </w:num>
  <w:num w:numId="21">
    <w:abstractNumId w:val="31"/>
  </w:num>
  <w:num w:numId="22">
    <w:abstractNumId w:val="32"/>
  </w:num>
  <w:num w:numId="23">
    <w:abstractNumId w:val="29"/>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 w:name="SecurityClassificationInHeader" w:val="False"/>
    <w:docVar w:name="SecurityDLMInHeader" w:val="False"/>
  </w:docVars>
  <w:rsids>
    <w:rsidRoot w:val="005554A6"/>
    <w:rsid w:val="00003ACD"/>
    <w:rsid w:val="00007CDE"/>
    <w:rsid w:val="000167A9"/>
    <w:rsid w:val="000349BC"/>
    <w:rsid w:val="000464B6"/>
    <w:rsid w:val="00051C46"/>
    <w:rsid w:val="000622B2"/>
    <w:rsid w:val="00077D52"/>
    <w:rsid w:val="00091054"/>
    <w:rsid w:val="00095C3F"/>
    <w:rsid w:val="000D5DE7"/>
    <w:rsid w:val="000F05EA"/>
    <w:rsid w:val="0010021B"/>
    <w:rsid w:val="001416CD"/>
    <w:rsid w:val="00147046"/>
    <w:rsid w:val="001759E9"/>
    <w:rsid w:val="001A1F80"/>
    <w:rsid w:val="001A420D"/>
    <w:rsid w:val="001E1D66"/>
    <w:rsid w:val="001E664D"/>
    <w:rsid w:val="001F0F52"/>
    <w:rsid w:val="002015AB"/>
    <w:rsid w:val="00211545"/>
    <w:rsid w:val="002249D2"/>
    <w:rsid w:val="002271BB"/>
    <w:rsid w:val="002330AC"/>
    <w:rsid w:val="00256566"/>
    <w:rsid w:val="00257A2D"/>
    <w:rsid w:val="002768B3"/>
    <w:rsid w:val="00280D28"/>
    <w:rsid w:val="00291937"/>
    <w:rsid w:val="00297C46"/>
    <w:rsid w:val="002B53E2"/>
    <w:rsid w:val="002C3075"/>
    <w:rsid w:val="002C3379"/>
    <w:rsid w:val="002C5398"/>
    <w:rsid w:val="002D316D"/>
    <w:rsid w:val="002D610B"/>
    <w:rsid w:val="002E5F5C"/>
    <w:rsid w:val="002E7527"/>
    <w:rsid w:val="002E7BDD"/>
    <w:rsid w:val="002F3DFC"/>
    <w:rsid w:val="002F73DF"/>
    <w:rsid w:val="00301A52"/>
    <w:rsid w:val="00304A5B"/>
    <w:rsid w:val="00322157"/>
    <w:rsid w:val="00331C51"/>
    <w:rsid w:val="003326C6"/>
    <w:rsid w:val="00334335"/>
    <w:rsid w:val="003406DF"/>
    <w:rsid w:val="003641BA"/>
    <w:rsid w:val="00365C6D"/>
    <w:rsid w:val="00367162"/>
    <w:rsid w:val="003809EA"/>
    <w:rsid w:val="00390529"/>
    <w:rsid w:val="003A1A88"/>
    <w:rsid w:val="003B0501"/>
    <w:rsid w:val="003C36A2"/>
    <w:rsid w:val="003C720F"/>
    <w:rsid w:val="003D27B3"/>
    <w:rsid w:val="003D296C"/>
    <w:rsid w:val="003D3DC9"/>
    <w:rsid w:val="003E0E7B"/>
    <w:rsid w:val="003E3374"/>
    <w:rsid w:val="003E6B90"/>
    <w:rsid w:val="00406016"/>
    <w:rsid w:val="00416E7C"/>
    <w:rsid w:val="00426CC1"/>
    <w:rsid w:val="004333F4"/>
    <w:rsid w:val="004370F4"/>
    <w:rsid w:val="00460338"/>
    <w:rsid w:val="00460A29"/>
    <w:rsid w:val="00460C65"/>
    <w:rsid w:val="004644F0"/>
    <w:rsid w:val="00494DE6"/>
    <w:rsid w:val="004B07A5"/>
    <w:rsid w:val="004B088E"/>
    <w:rsid w:val="004B6319"/>
    <w:rsid w:val="004C167F"/>
    <w:rsid w:val="004F4EE7"/>
    <w:rsid w:val="00500704"/>
    <w:rsid w:val="0051251F"/>
    <w:rsid w:val="005554A6"/>
    <w:rsid w:val="00555B0A"/>
    <w:rsid w:val="00562EFB"/>
    <w:rsid w:val="0057074A"/>
    <w:rsid w:val="005904CD"/>
    <w:rsid w:val="005B52C6"/>
    <w:rsid w:val="005C7CED"/>
    <w:rsid w:val="005D4813"/>
    <w:rsid w:val="005F100C"/>
    <w:rsid w:val="005F3390"/>
    <w:rsid w:val="005F5653"/>
    <w:rsid w:val="005F66EC"/>
    <w:rsid w:val="005F6EA2"/>
    <w:rsid w:val="00614BAC"/>
    <w:rsid w:val="006457CC"/>
    <w:rsid w:val="00661749"/>
    <w:rsid w:val="00672387"/>
    <w:rsid w:val="00676B7F"/>
    <w:rsid w:val="006A30A5"/>
    <w:rsid w:val="006A6D72"/>
    <w:rsid w:val="006C7A66"/>
    <w:rsid w:val="006D6023"/>
    <w:rsid w:val="006E3BFD"/>
    <w:rsid w:val="006E4318"/>
    <w:rsid w:val="006F3E0E"/>
    <w:rsid w:val="00711A1E"/>
    <w:rsid w:val="00714153"/>
    <w:rsid w:val="00743BDE"/>
    <w:rsid w:val="00744632"/>
    <w:rsid w:val="00767F36"/>
    <w:rsid w:val="0078304B"/>
    <w:rsid w:val="007A2ACB"/>
    <w:rsid w:val="007B0C23"/>
    <w:rsid w:val="007C48F0"/>
    <w:rsid w:val="007E6516"/>
    <w:rsid w:val="007F06DD"/>
    <w:rsid w:val="00803B2A"/>
    <w:rsid w:val="00812433"/>
    <w:rsid w:val="0082097D"/>
    <w:rsid w:val="0082402A"/>
    <w:rsid w:val="00833945"/>
    <w:rsid w:val="008627B1"/>
    <w:rsid w:val="00864D1D"/>
    <w:rsid w:val="00880ADB"/>
    <w:rsid w:val="008847CC"/>
    <w:rsid w:val="008A7EDB"/>
    <w:rsid w:val="008C0793"/>
    <w:rsid w:val="008C1101"/>
    <w:rsid w:val="008D08BE"/>
    <w:rsid w:val="008E0644"/>
    <w:rsid w:val="008F1ACC"/>
    <w:rsid w:val="008F373B"/>
    <w:rsid w:val="0090339D"/>
    <w:rsid w:val="0092354D"/>
    <w:rsid w:val="00936238"/>
    <w:rsid w:val="009365F2"/>
    <w:rsid w:val="0095562B"/>
    <w:rsid w:val="00955F84"/>
    <w:rsid w:val="0097280B"/>
    <w:rsid w:val="009862D1"/>
    <w:rsid w:val="00986C3E"/>
    <w:rsid w:val="00987358"/>
    <w:rsid w:val="00997B06"/>
    <w:rsid w:val="009A53E0"/>
    <w:rsid w:val="009C1116"/>
    <w:rsid w:val="009C57C2"/>
    <w:rsid w:val="009C7E17"/>
    <w:rsid w:val="009D0790"/>
    <w:rsid w:val="009D7A47"/>
    <w:rsid w:val="00A14CD9"/>
    <w:rsid w:val="00A1658C"/>
    <w:rsid w:val="00A2599E"/>
    <w:rsid w:val="00A3513E"/>
    <w:rsid w:val="00A42F49"/>
    <w:rsid w:val="00A44201"/>
    <w:rsid w:val="00A537E0"/>
    <w:rsid w:val="00A57848"/>
    <w:rsid w:val="00A75F04"/>
    <w:rsid w:val="00A9572D"/>
    <w:rsid w:val="00AA4528"/>
    <w:rsid w:val="00AA66C7"/>
    <w:rsid w:val="00AB525B"/>
    <w:rsid w:val="00AD27DF"/>
    <w:rsid w:val="00AF37FA"/>
    <w:rsid w:val="00B418E9"/>
    <w:rsid w:val="00B42F03"/>
    <w:rsid w:val="00B52FE8"/>
    <w:rsid w:val="00B55137"/>
    <w:rsid w:val="00B726FF"/>
    <w:rsid w:val="00B804EF"/>
    <w:rsid w:val="00B81DDA"/>
    <w:rsid w:val="00B939C4"/>
    <w:rsid w:val="00BA160F"/>
    <w:rsid w:val="00BA53AB"/>
    <w:rsid w:val="00BA6BF3"/>
    <w:rsid w:val="00BA6DD4"/>
    <w:rsid w:val="00BA72EE"/>
    <w:rsid w:val="00BB0F23"/>
    <w:rsid w:val="00BB3278"/>
    <w:rsid w:val="00BC4ADF"/>
    <w:rsid w:val="00BC5A10"/>
    <w:rsid w:val="00BC6527"/>
    <w:rsid w:val="00BC7845"/>
    <w:rsid w:val="00BD00AC"/>
    <w:rsid w:val="00BD491D"/>
    <w:rsid w:val="00BE59DB"/>
    <w:rsid w:val="00BF70D7"/>
    <w:rsid w:val="00C07F94"/>
    <w:rsid w:val="00C26351"/>
    <w:rsid w:val="00C41997"/>
    <w:rsid w:val="00C53DA6"/>
    <w:rsid w:val="00C63763"/>
    <w:rsid w:val="00C86465"/>
    <w:rsid w:val="00C8767F"/>
    <w:rsid w:val="00C911C1"/>
    <w:rsid w:val="00CB1E5D"/>
    <w:rsid w:val="00CB2127"/>
    <w:rsid w:val="00CB224A"/>
    <w:rsid w:val="00CB6AA7"/>
    <w:rsid w:val="00CC086B"/>
    <w:rsid w:val="00CC1A8A"/>
    <w:rsid w:val="00CC67EF"/>
    <w:rsid w:val="00CC755F"/>
    <w:rsid w:val="00CF0660"/>
    <w:rsid w:val="00D11517"/>
    <w:rsid w:val="00D120B5"/>
    <w:rsid w:val="00D16BE4"/>
    <w:rsid w:val="00D27D50"/>
    <w:rsid w:val="00D4005D"/>
    <w:rsid w:val="00D46334"/>
    <w:rsid w:val="00D606B4"/>
    <w:rsid w:val="00D6257B"/>
    <w:rsid w:val="00D70526"/>
    <w:rsid w:val="00D83627"/>
    <w:rsid w:val="00DC6201"/>
    <w:rsid w:val="00DD77E8"/>
    <w:rsid w:val="00DE2B14"/>
    <w:rsid w:val="00DF25AF"/>
    <w:rsid w:val="00DF4F94"/>
    <w:rsid w:val="00E0531A"/>
    <w:rsid w:val="00E12867"/>
    <w:rsid w:val="00E13B71"/>
    <w:rsid w:val="00E177C9"/>
    <w:rsid w:val="00E2425F"/>
    <w:rsid w:val="00E44260"/>
    <w:rsid w:val="00E54BA2"/>
    <w:rsid w:val="00E54DB4"/>
    <w:rsid w:val="00E63A8C"/>
    <w:rsid w:val="00E96C21"/>
    <w:rsid w:val="00E97758"/>
    <w:rsid w:val="00EA3090"/>
    <w:rsid w:val="00EA666C"/>
    <w:rsid w:val="00EB13CE"/>
    <w:rsid w:val="00EB169C"/>
    <w:rsid w:val="00EE6F94"/>
    <w:rsid w:val="00EF3E90"/>
    <w:rsid w:val="00EF5D56"/>
    <w:rsid w:val="00F012EA"/>
    <w:rsid w:val="00F026D5"/>
    <w:rsid w:val="00F036EF"/>
    <w:rsid w:val="00F10822"/>
    <w:rsid w:val="00F264DD"/>
    <w:rsid w:val="00F32AC6"/>
    <w:rsid w:val="00F33A6A"/>
    <w:rsid w:val="00F41E30"/>
    <w:rsid w:val="00F506A3"/>
    <w:rsid w:val="00F60530"/>
    <w:rsid w:val="00F703DE"/>
    <w:rsid w:val="00F70D40"/>
    <w:rsid w:val="00F73064"/>
    <w:rsid w:val="00F74714"/>
    <w:rsid w:val="00F805AB"/>
    <w:rsid w:val="00F81046"/>
    <w:rsid w:val="00F8675B"/>
    <w:rsid w:val="00F87048"/>
    <w:rsid w:val="00F90417"/>
    <w:rsid w:val="00F913A3"/>
    <w:rsid w:val="00F945C3"/>
    <w:rsid w:val="00FA0D2B"/>
    <w:rsid w:val="00FA527A"/>
    <w:rsid w:val="00FB3FED"/>
    <w:rsid w:val="00FB59AE"/>
    <w:rsid w:val="00FF4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32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50"/>
    <w:pPr>
      <w:spacing w:after="220" w:line="240" w:lineRule="auto"/>
      <w:jc w:val="both"/>
    </w:pPr>
    <w:rPr>
      <w:rFonts w:ascii="Calibri" w:hAnsi="Calibri"/>
      <w:color w:val="000000" w:themeColor="text1"/>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numPr>
        <w:numId w:val="21"/>
      </w:numPr>
      <w:tabs>
        <w:tab w:val="left" w:pos="426"/>
      </w:tabs>
      <w:adjustRightInd w:val="0"/>
      <w:spacing w:before="360" w:after="24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8C0793"/>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numPr>
        <w:ilvl w:val="2"/>
        <w:numId w:val="21"/>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8C0793"/>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link w:val="BulletChar"/>
    <w:rsid w:val="00331C51"/>
    <w:pPr>
      <w:keepNext/>
      <w:numPr>
        <w:numId w:val="19"/>
      </w:numPr>
      <w:tabs>
        <w:tab w:val="clear" w:pos="614"/>
        <w:tab w:val="num" w:pos="425"/>
      </w:tabs>
      <w:ind w:left="425" w:hanging="425"/>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19"/>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726FF"/>
    <w:pPr>
      <w:jc w:val="left"/>
    </w:pPr>
  </w:style>
  <w:style w:type="paragraph" w:customStyle="1" w:styleId="FooterOdd">
    <w:name w:val="Footer Odd"/>
    <w:basedOn w:val="Footer"/>
    <w:rsid w:val="00B55137"/>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uiPriority w:val="99"/>
    <w:rsid w:val="00D27D50"/>
    <w:pPr>
      <w:tabs>
        <w:tab w:val="left" w:pos="340"/>
      </w:tabs>
      <w:spacing w:after="0"/>
      <w:ind w:left="340" w:hanging="340"/>
    </w:pPr>
    <w:rPr>
      <w:sz w:val="18"/>
    </w:rPr>
  </w:style>
  <w:style w:type="character" w:customStyle="1" w:styleId="FootnoteTextChar">
    <w:name w:val="Footnote Text Char"/>
    <w:basedOn w:val="DefaultParagraphFont"/>
    <w:link w:val="FootnoteText"/>
    <w:uiPriority w:val="99"/>
    <w:rsid w:val="00D27D50"/>
    <w:rPr>
      <w:rFonts w:ascii="Calibri" w:hAnsi="Calibri"/>
      <w:color w:val="000000" w:themeColor="text1"/>
      <w:sz w:val="18"/>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B726FF"/>
    <w:pPr>
      <w:jc w:val="left"/>
    </w:pPr>
  </w:style>
  <w:style w:type="paragraph" w:customStyle="1" w:styleId="HeaderOdd">
    <w:name w:val="Header Odd"/>
    <w:basedOn w:val="Header"/>
    <w:rsid w:val="00B55137"/>
    <w:pPr>
      <w:jc w:val="right"/>
    </w:pPr>
  </w:style>
  <w:style w:type="character" w:styleId="Hyperlink">
    <w:name w:val="Hyperlink"/>
    <w:basedOn w:val="DefaultParagraphFont"/>
    <w:uiPriority w:val="99"/>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F73064"/>
    <w:pPr>
      <w:spacing w:before="1200" w:after="480"/>
      <w:jc w:val="center"/>
    </w:pPr>
    <w:rPr>
      <w:rFonts w:ascii="Arial Bold" w:hAnsi="Arial Bold"/>
      <w:b/>
      <w:smallCaps/>
      <w:kern w:val="28"/>
      <w:sz w:val="56"/>
    </w:rPr>
  </w:style>
  <w:style w:type="character" w:customStyle="1" w:styleId="TitleChar">
    <w:name w:val="Title Char"/>
    <w:basedOn w:val="DefaultParagraphFont"/>
    <w:link w:val="Title"/>
    <w:rsid w:val="00F73064"/>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6"/>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7"/>
      </w:numPr>
    </w:pPr>
  </w:style>
  <w:style w:type="paragraph" w:customStyle="1" w:styleId="AppendixHeadingLevel4">
    <w:name w:val="Appendix Heading Level 4"/>
    <w:basedOn w:val="Heading4"/>
    <w:next w:val="Normal"/>
    <w:rsid w:val="00F73064"/>
    <w:pPr>
      <w:numPr>
        <w:ilvl w:val="3"/>
        <w:numId w:val="17"/>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8"/>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0"/>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2"/>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character" w:customStyle="1" w:styleId="BulletChar">
    <w:name w:val="Bullet Char"/>
    <w:basedOn w:val="DefaultParagraphFont"/>
    <w:link w:val="Bullet"/>
    <w:rsid w:val="00331C51"/>
    <w:rPr>
      <w:rFonts w:ascii="Calibri" w:hAnsi="Calibri"/>
      <w:color w:val="000000" w:themeColor="text1"/>
    </w:rPr>
  </w:style>
  <w:style w:type="paragraph" w:styleId="Quote">
    <w:name w:val="Quote"/>
    <w:basedOn w:val="Normal"/>
    <w:next w:val="Normal"/>
    <w:link w:val="QuoteChar"/>
    <w:uiPriority w:val="29"/>
    <w:qFormat/>
    <w:rsid w:val="00D27D50"/>
    <w:pPr>
      <w:ind w:left="567" w:right="680"/>
    </w:pPr>
    <w:rPr>
      <w:i/>
      <w:iCs/>
    </w:rPr>
  </w:style>
  <w:style w:type="character" w:customStyle="1" w:styleId="QuoteChar">
    <w:name w:val="Quote Char"/>
    <w:basedOn w:val="DefaultParagraphFont"/>
    <w:link w:val="Quote"/>
    <w:uiPriority w:val="29"/>
    <w:rsid w:val="00D27D50"/>
    <w:rPr>
      <w:rFonts w:ascii="Calibri" w:hAnsi="Calibri"/>
      <w:i/>
      <w:iCs/>
      <w:color w:val="000000" w:themeColor="text1"/>
    </w:rPr>
  </w:style>
  <w:style w:type="paragraph" w:customStyle="1" w:styleId="Quote2">
    <w:name w:val="Quote 2"/>
    <w:basedOn w:val="Quote"/>
    <w:rsid w:val="00331C51"/>
    <w:pPr>
      <w:ind w:left="1134" w:right="1360"/>
    </w:pPr>
  </w:style>
  <w:style w:type="paragraph" w:customStyle="1" w:styleId="Heading3-NoTOC">
    <w:name w:val="Heading 3 - No TOC"/>
    <w:basedOn w:val="Heading3NotNumbered"/>
    <w:rsid w:val="00331C51"/>
    <w:pPr>
      <w:spacing w:before="240" w:after="180"/>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50"/>
    <w:pPr>
      <w:spacing w:after="220" w:line="240" w:lineRule="auto"/>
      <w:jc w:val="both"/>
    </w:pPr>
    <w:rPr>
      <w:rFonts w:ascii="Calibri" w:hAnsi="Calibri"/>
      <w:color w:val="000000" w:themeColor="text1"/>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numPr>
        <w:numId w:val="21"/>
      </w:numPr>
      <w:tabs>
        <w:tab w:val="left" w:pos="426"/>
      </w:tabs>
      <w:adjustRightInd w:val="0"/>
      <w:spacing w:before="360" w:after="24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8C0793"/>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numPr>
        <w:ilvl w:val="2"/>
        <w:numId w:val="21"/>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8C0793"/>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link w:val="BulletChar"/>
    <w:rsid w:val="00331C51"/>
    <w:pPr>
      <w:keepNext/>
      <w:numPr>
        <w:numId w:val="19"/>
      </w:numPr>
      <w:tabs>
        <w:tab w:val="clear" w:pos="614"/>
        <w:tab w:val="num" w:pos="425"/>
      </w:tabs>
      <w:ind w:left="425" w:hanging="425"/>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19"/>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726FF"/>
    <w:pPr>
      <w:jc w:val="left"/>
    </w:pPr>
  </w:style>
  <w:style w:type="paragraph" w:customStyle="1" w:styleId="FooterOdd">
    <w:name w:val="Footer Odd"/>
    <w:basedOn w:val="Footer"/>
    <w:rsid w:val="00B55137"/>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uiPriority w:val="99"/>
    <w:rsid w:val="00D27D50"/>
    <w:pPr>
      <w:tabs>
        <w:tab w:val="left" w:pos="340"/>
      </w:tabs>
      <w:spacing w:after="0"/>
      <w:ind w:left="340" w:hanging="340"/>
    </w:pPr>
    <w:rPr>
      <w:sz w:val="18"/>
    </w:rPr>
  </w:style>
  <w:style w:type="character" w:customStyle="1" w:styleId="FootnoteTextChar">
    <w:name w:val="Footnote Text Char"/>
    <w:basedOn w:val="DefaultParagraphFont"/>
    <w:link w:val="FootnoteText"/>
    <w:uiPriority w:val="99"/>
    <w:rsid w:val="00D27D50"/>
    <w:rPr>
      <w:rFonts w:ascii="Calibri" w:hAnsi="Calibri"/>
      <w:color w:val="000000" w:themeColor="text1"/>
      <w:sz w:val="18"/>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B726FF"/>
    <w:pPr>
      <w:jc w:val="left"/>
    </w:pPr>
  </w:style>
  <w:style w:type="paragraph" w:customStyle="1" w:styleId="HeaderOdd">
    <w:name w:val="Header Odd"/>
    <w:basedOn w:val="Header"/>
    <w:rsid w:val="00B55137"/>
    <w:pPr>
      <w:jc w:val="right"/>
    </w:pPr>
  </w:style>
  <w:style w:type="character" w:styleId="Hyperlink">
    <w:name w:val="Hyperlink"/>
    <w:basedOn w:val="DefaultParagraphFont"/>
    <w:uiPriority w:val="99"/>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F73064"/>
    <w:pPr>
      <w:spacing w:before="1200" w:after="480"/>
      <w:jc w:val="center"/>
    </w:pPr>
    <w:rPr>
      <w:rFonts w:ascii="Arial Bold" w:hAnsi="Arial Bold"/>
      <w:b/>
      <w:smallCaps/>
      <w:kern w:val="28"/>
      <w:sz w:val="56"/>
    </w:rPr>
  </w:style>
  <w:style w:type="character" w:customStyle="1" w:styleId="TitleChar">
    <w:name w:val="Title Char"/>
    <w:basedOn w:val="DefaultParagraphFont"/>
    <w:link w:val="Title"/>
    <w:rsid w:val="00F73064"/>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6"/>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7"/>
      </w:numPr>
    </w:pPr>
  </w:style>
  <w:style w:type="paragraph" w:customStyle="1" w:styleId="AppendixHeadingLevel4">
    <w:name w:val="Appendix Heading Level 4"/>
    <w:basedOn w:val="Heading4"/>
    <w:next w:val="Normal"/>
    <w:rsid w:val="00F73064"/>
    <w:pPr>
      <w:numPr>
        <w:ilvl w:val="3"/>
        <w:numId w:val="17"/>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8"/>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0"/>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2"/>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character" w:customStyle="1" w:styleId="BulletChar">
    <w:name w:val="Bullet Char"/>
    <w:basedOn w:val="DefaultParagraphFont"/>
    <w:link w:val="Bullet"/>
    <w:rsid w:val="00331C51"/>
    <w:rPr>
      <w:rFonts w:ascii="Calibri" w:hAnsi="Calibri"/>
      <w:color w:val="000000" w:themeColor="text1"/>
    </w:rPr>
  </w:style>
  <w:style w:type="paragraph" w:styleId="Quote">
    <w:name w:val="Quote"/>
    <w:basedOn w:val="Normal"/>
    <w:next w:val="Normal"/>
    <w:link w:val="QuoteChar"/>
    <w:uiPriority w:val="29"/>
    <w:qFormat/>
    <w:rsid w:val="00D27D50"/>
    <w:pPr>
      <w:ind w:left="567" w:right="680"/>
    </w:pPr>
    <w:rPr>
      <w:i/>
      <w:iCs/>
    </w:rPr>
  </w:style>
  <w:style w:type="character" w:customStyle="1" w:styleId="QuoteChar">
    <w:name w:val="Quote Char"/>
    <w:basedOn w:val="DefaultParagraphFont"/>
    <w:link w:val="Quote"/>
    <w:uiPriority w:val="29"/>
    <w:rsid w:val="00D27D50"/>
    <w:rPr>
      <w:rFonts w:ascii="Calibri" w:hAnsi="Calibri"/>
      <w:i/>
      <w:iCs/>
      <w:color w:val="000000" w:themeColor="text1"/>
    </w:rPr>
  </w:style>
  <w:style w:type="paragraph" w:customStyle="1" w:styleId="Quote2">
    <w:name w:val="Quote 2"/>
    <w:basedOn w:val="Quote"/>
    <w:rsid w:val="00331C51"/>
    <w:pPr>
      <w:ind w:left="1134" w:right="1360"/>
    </w:pPr>
  </w:style>
  <w:style w:type="paragraph" w:customStyle="1" w:styleId="Heading3-NoTOC">
    <w:name w:val="Heading 3 - No TOC"/>
    <w:basedOn w:val="Heading3NotNumbered"/>
    <w:rsid w:val="00331C51"/>
    <w:pPr>
      <w:spacing w:before="240" w:after="18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creativecommons.org/licenses/by/3.0/au/deed.en"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wmf"/><Relationship Id="rId29" Type="http://schemas.openxmlformats.org/officeDocument/2006/relationships/hyperlink" Target="http://theconversation.com/getting-tax-expenditures-right-is-a-game-of-hypotheticals-2432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medialiaison@treasury.gov.au" TargetMode="External"/><Relationship Id="rId28" Type="http://schemas.openxmlformats.org/officeDocument/2006/relationships/hyperlink" Target="http://theconversation.com/to-cut-fairly-commission-of-audit-should-look-at-tax-expenditures-23769" TargetMode="External"/><Relationship Id="rId10" Type="http://schemas.openxmlformats.org/officeDocument/2006/relationships/settings" Target="settings.xml"/><Relationship Id="rId19" Type="http://schemas.openxmlformats.org/officeDocument/2006/relationships/hyperlink" Target="http://creativecommons.org/licenses/by/3.0/au/legalcod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www.itsanhonour.gov.au" TargetMode="External"/><Relationship Id="rId27" Type="http://schemas.openxmlformats.org/officeDocument/2006/relationships/footer" Target="footer3.xml"/><Relationship Id="rId30" Type="http://schemas.openxmlformats.org/officeDocument/2006/relationships/hyperlink" Target="http://www.aph.gov.au/Parliamentary_Business/Committees/House/Tax_and_Revenue/Tax_Expenditures/Repor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raser.stlouisfed.org/scribd/?toc_id=213541&amp;filepath=/files/docs/publications/usspa/Specanalyses_1983.pdf&amp;start_page=206" TargetMode="External"/><Relationship Id="rId2" Type="http://schemas.openxmlformats.org/officeDocument/2006/relationships/hyperlink" Target="https://fraser.stlouisfed.org/scribd/?toc_id=323559&amp;filepath=/files/docs/publications/treasar/AR_TREASURY_1968.pdf&amp;start_page=3" TargetMode="External"/><Relationship Id="rId1" Type="http://schemas.openxmlformats.org/officeDocument/2006/relationships/hyperlink" Target="mailto:paul.palisi@treasury.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1253" ma:contentTypeDescription="" ma:contentTypeScope="" ma:versionID="826f32b4a4c02e5af13b880a6e37fdbb">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_dlc_DocId xmlns="eb47d8b7-fefc-4923-b53c-9685ba6b7210">2017CSSG-1551-533</_dlc_DocId>
    <_dlc_DocIdUrl xmlns="eb47d8b7-fefc-4923-b53c-9685ba6b7210">
      <Url>http://tweb/sites/cssg/ped/pu/pt/_layouts/15/DocIdRedir.aspx?ID=2017CSSG-1551-533</Url>
      <Description>2017CSSG-1551-533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0030-7619-4952-B159-89744D0F6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D6E16-306D-4914-A8D7-E46510888B96}">
  <ds:schemaRefs>
    <ds:schemaRef ds:uri="http://schemas.microsoft.com/sharepoint/events"/>
  </ds:schemaRefs>
</ds:datastoreItem>
</file>

<file path=customXml/itemProps3.xml><?xml version="1.0" encoding="utf-8"?>
<ds:datastoreItem xmlns:ds="http://schemas.openxmlformats.org/officeDocument/2006/customXml" ds:itemID="{95AC3B00-890B-4386-A753-8D6DB9DBAB3C}">
  <ds:schemaRefs>
    <ds:schemaRef ds:uri="office.server.policy"/>
  </ds:schemaRefs>
</ds:datastoreItem>
</file>

<file path=customXml/itemProps4.xml><?xml version="1.0" encoding="utf-8"?>
<ds:datastoreItem xmlns:ds="http://schemas.openxmlformats.org/officeDocument/2006/customXml" ds:itemID="{5715DB8C-49A9-4982-86B7-8A57D8AE36BA}">
  <ds:schemaRefs>
    <ds:schemaRef ds:uri="http://schemas.microsoft.com/sharepoint/v3/contenttype/forms"/>
  </ds:schemaRefs>
</ds:datastoreItem>
</file>

<file path=customXml/itemProps5.xml><?xml version="1.0" encoding="utf-8"?>
<ds:datastoreItem xmlns:ds="http://schemas.openxmlformats.org/officeDocument/2006/customXml" ds:itemID="{95F15457-60D4-4B24-9826-8AF0C32BF38D}">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sharepoint/v4"/>
    <ds:schemaRef ds:uri="http://purl.org/dc/dcmitype/"/>
    <ds:schemaRef ds:uri="eb47d8b7-fefc-4923-b53c-9685ba6b7210"/>
    <ds:schemaRef ds:uri="http://schemas.microsoft.com/office/infopath/2007/PartnerControls"/>
    <ds:schemaRef ds:uri="http://schemas.microsoft.com/sharepoint/v3"/>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839205CB-4D9F-4E7E-83BD-762E7689C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20</TotalTime>
  <Pages>17</Pages>
  <Words>4838</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[Title]</vt:lpstr>
    </vt:vector>
  </TitlesOfParts>
  <Company>Australian Government - The Treasury</Company>
  <LinksUpToDate>false</LinksUpToDate>
  <CharactersWithSpaces>32351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Expenditure Analysis - Origins, Debates and Future Prospects</dc:title>
  <dc:subject>Working paper: [subject]</dc:subject>
  <dc:creator>Palisi, Paul</dc:creator>
  <cp:lastModifiedBy>Moore, Ben</cp:lastModifiedBy>
  <cp:revision>6</cp:revision>
  <cp:lastPrinted>2017-03-17T03:01:00Z</cp:lastPrinted>
  <dcterms:created xsi:type="dcterms:W3CDTF">2017-03-24T03:31:00Z</dcterms:created>
  <dcterms:modified xsi:type="dcterms:W3CDTF">2017-03-24T05:53:00Z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Protected</vt:lpwstr>
  </property>
  <property fmtid="{D5CDD505-2E9C-101B-9397-08002B2CF9AE}" pid="3" name="DLMSecurityClassification">
    <vt:lpwstr>Sensitive</vt:lpwstr>
  </property>
  <property fmtid="{D5CDD505-2E9C-101B-9397-08002B2CF9AE}" pid="4" name="WorkingDocStatus">
    <vt:lpwstr>DRAFT WORKING DOCUMENT</vt:lpwstr>
  </property>
  <property fmtid="{D5CDD505-2E9C-101B-9397-08002B2CF9AE}" pid="5" name="Language">
    <vt:lpwstr>English</vt:lpwstr>
  </property>
  <property fmtid="{D5CDD505-2E9C-101B-9397-08002B2CF9AE}" pid="6" name="ContentTypeId">
    <vt:lpwstr>0x010100605AAC981168BE40A9BD548B81A50DF6006EB3B15072AC1D409928D75C61018CC2</vt:lpwstr>
  </property>
  <property fmtid="{D5CDD505-2E9C-101B-9397-08002B2CF9AE}" pid="7" name="TSYRecordClass">
    <vt:lpwstr>75;#AE-20337-Destroy 7 years after action completed|668ae28e-5138-4c7c-82db-1c8c6afc81a6</vt:lpwstr>
  </property>
  <property fmtid="{D5CDD505-2E9C-101B-9397-08002B2CF9AE}" pid="8" name="_dlc_DocIdItemGuid">
    <vt:lpwstr>ca27fc92-b4b2-4568-b075-bc6d42a9aa17</vt:lpwstr>
  </property>
  <property fmtid="{D5CDD505-2E9C-101B-9397-08002B2CF9AE}" pid="9" name="RecordPoint_WorkflowType">
    <vt:lpwstr>ActiveSubmitStub</vt:lpwstr>
  </property>
  <property fmtid="{D5CDD505-2E9C-101B-9397-08002B2CF9AE}" pid="10" name="RecordPoint_ActiveItemListId">
    <vt:lpwstr>{ae552c44-daad-439e-a48c-f25aaf725785}</vt:lpwstr>
  </property>
  <property fmtid="{D5CDD505-2E9C-101B-9397-08002B2CF9AE}" pid="11" name="RecordPoint_ActiveItemUniqueId">
    <vt:lpwstr>{ca27fc92-b4b2-4568-b075-bc6d42a9aa17}</vt:lpwstr>
  </property>
  <property fmtid="{D5CDD505-2E9C-101B-9397-08002B2CF9AE}" pid="12" name="RecordPoint_ActiveItemWebId">
    <vt:lpwstr>{e237d495-0881-4849-ae62-ddc8a8132df5}</vt:lpwstr>
  </property>
  <property fmtid="{D5CDD505-2E9C-101B-9397-08002B2CF9AE}" pid="13" name="RecordPoint_ActiveItemSiteId">
    <vt:lpwstr>{de902461-0703-410e-906b-a2e3a4f5dd57}</vt:lpwstr>
  </property>
  <property fmtid="{D5CDD505-2E9C-101B-9397-08002B2CF9AE}" pid="14" name="RecordPoint_RecordNumberSubmitted">
    <vt:lpwstr>R0001253190</vt:lpwstr>
  </property>
  <property fmtid="{D5CDD505-2E9C-101B-9397-08002B2CF9AE}" pid="15" name="RecordPoint_SubmissionCompleted">
    <vt:lpwstr>2017-03-24T14:40:23.2131859+11:00</vt:lpwstr>
  </property>
  <property fmtid="{D5CDD505-2E9C-101B-9397-08002B2CF9AE}" pid="16" name="_AdHocReviewCycleID">
    <vt:i4>-1624987084</vt:i4>
  </property>
  <property fmtid="{D5CDD505-2E9C-101B-9397-08002B2CF9AE}" pid="17" name="_NewReviewCycle">
    <vt:lpwstr/>
  </property>
  <property fmtid="{D5CDD505-2E9C-101B-9397-08002B2CF9AE}" pid="18" name="_EmailSubject">
    <vt:lpwstr>#T169274</vt:lpwstr>
  </property>
  <property fmtid="{D5CDD505-2E9C-101B-9397-08002B2CF9AE}" pid="19" name="_AuthorEmail">
    <vt:lpwstr>Sean.Easton@TREASURY.GOV.AU</vt:lpwstr>
  </property>
  <property fmtid="{D5CDD505-2E9C-101B-9397-08002B2CF9AE}" pid="20" name="_AuthorEmailDisplayName">
    <vt:lpwstr>Easton, Sean</vt:lpwstr>
  </property>
  <property fmtid="{D5CDD505-2E9C-101B-9397-08002B2CF9AE}" pid="21" name="_ReviewingToolsShownOnce">
    <vt:lpwstr/>
  </property>
</Properties>
</file>