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drawings/drawing1.xml" ContentType="application/vnd.openxmlformats-officedocument.drawingml.chartshapes+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4594"/>
        <w:tblOverlap w:val="never"/>
        <w:tblW w:w="5000" w:type="pct"/>
        <w:tblLayout w:type="fixed"/>
        <w:tblCellMar>
          <w:left w:w="0" w:type="dxa"/>
          <w:right w:w="0" w:type="dxa"/>
        </w:tblCellMar>
        <w:tblLook w:val="04A0" w:firstRow="1" w:lastRow="0" w:firstColumn="1" w:lastColumn="0" w:noHBand="0" w:noVBand="1"/>
      </w:tblPr>
      <w:tblGrid>
        <w:gridCol w:w="9070"/>
      </w:tblGrid>
      <w:tr w:rsidR="00885E8A" w:rsidRPr="001A6413" w14:paraId="754FDCB3" w14:textId="77777777">
        <w:tc>
          <w:tcPr>
            <w:tcW w:w="9070" w:type="dxa"/>
          </w:tcPr>
          <w:p w14:paraId="6C594055" w14:textId="77777777" w:rsidR="00885E8A" w:rsidRPr="001A6413" w:rsidRDefault="00FF5635" w:rsidP="00885E8A">
            <w:pPr>
              <w:pStyle w:val="Title"/>
            </w:pPr>
            <w:r>
              <w:t xml:space="preserve">Superannuation Guarantee </w:t>
            </w:r>
            <w:r w:rsidR="00F4727E">
              <w:br/>
            </w:r>
            <w:r>
              <w:t>Non-compliance</w:t>
            </w:r>
          </w:p>
          <w:p w14:paraId="3705E568" w14:textId="77777777" w:rsidR="004A445A" w:rsidRDefault="004A445A" w:rsidP="00885E8A">
            <w:pPr>
              <w:pStyle w:val="Subtitle"/>
              <w:rPr>
                <w:b/>
              </w:rPr>
            </w:pPr>
          </w:p>
          <w:p w14:paraId="783E893D" w14:textId="77777777" w:rsidR="004A445A" w:rsidRPr="004A445A" w:rsidRDefault="00FF5635" w:rsidP="00885E8A">
            <w:pPr>
              <w:pStyle w:val="Subtitle"/>
              <w:rPr>
                <w:b/>
              </w:rPr>
            </w:pPr>
            <w:r w:rsidRPr="00780F22">
              <w:rPr>
                <w:b/>
              </w:rPr>
              <w:t>A report to the Minister for Revenue and Financial Services</w:t>
            </w:r>
          </w:p>
          <w:p w14:paraId="1223EDC9" w14:textId="77777777" w:rsidR="004A445A" w:rsidRDefault="004A445A" w:rsidP="00885E8A">
            <w:pPr>
              <w:pStyle w:val="Subtitle"/>
            </w:pPr>
          </w:p>
          <w:p w14:paraId="0765FED5" w14:textId="77777777" w:rsidR="004A445A" w:rsidRDefault="004A445A" w:rsidP="00885E8A">
            <w:pPr>
              <w:pStyle w:val="Subtitle"/>
            </w:pPr>
          </w:p>
          <w:p w14:paraId="356EEE61" w14:textId="77777777" w:rsidR="00FF5635" w:rsidRPr="00224B95" w:rsidRDefault="004A445A" w:rsidP="00885E8A">
            <w:pPr>
              <w:pStyle w:val="Subtitle"/>
              <w:rPr>
                <w:sz w:val="28"/>
              </w:rPr>
            </w:pPr>
            <w:r w:rsidRPr="00224B95">
              <w:rPr>
                <w:sz w:val="28"/>
              </w:rPr>
              <w:t>Superannuation Guarantee Cross Agency Working Group</w:t>
            </w:r>
          </w:p>
          <w:p w14:paraId="7BBBE177" w14:textId="77777777" w:rsidR="00FF5635" w:rsidRDefault="00FF5635" w:rsidP="00885E8A">
            <w:pPr>
              <w:pStyle w:val="Subtitle"/>
            </w:pPr>
          </w:p>
          <w:p w14:paraId="71C59773" w14:textId="77777777" w:rsidR="00885E8A" w:rsidRDefault="00F4727E" w:rsidP="00FF5635">
            <w:pPr>
              <w:pStyle w:val="Subtitle"/>
            </w:pPr>
            <w:r>
              <w:t xml:space="preserve">31 </w:t>
            </w:r>
            <w:r w:rsidR="00FF5635">
              <w:t>March 2017</w:t>
            </w:r>
          </w:p>
          <w:p w14:paraId="44501555" w14:textId="77777777" w:rsidR="00FF5635" w:rsidRDefault="00FF5635" w:rsidP="00FF5635">
            <w:pPr>
              <w:pStyle w:val="Subtitle"/>
            </w:pPr>
          </w:p>
          <w:p w14:paraId="4F4F2FC6" w14:textId="77777777" w:rsidR="00763DDA" w:rsidRDefault="00763DDA" w:rsidP="00885E8A">
            <w:pPr>
              <w:pStyle w:val="Subtitle"/>
            </w:pPr>
          </w:p>
          <w:p w14:paraId="2BE8AD3A" w14:textId="77777777" w:rsidR="00B47205" w:rsidRDefault="00B47205" w:rsidP="00885E8A">
            <w:pPr>
              <w:pStyle w:val="Subtitle"/>
            </w:pPr>
          </w:p>
          <w:p w14:paraId="184A4BEF" w14:textId="77777777" w:rsidR="00482C70" w:rsidRPr="001A6413" w:rsidRDefault="00482C70" w:rsidP="00885E8A">
            <w:pPr>
              <w:pStyle w:val="Subtitle"/>
            </w:pPr>
          </w:p>
        </w:tc>
      </w:tr>
    </w:tbl>
    <w:p w14:paraId="13D2A6CE" w14:textId="77777777" w:rsidR="00885E8A" w:rsidRDefault="00832C57" w:rsidP="00885E8A">
      <w:pPr>
        <w:jc w:val="right"/>
      </w:pPr>
      <w:r>
        <w:rPr>
          <w:noProof/>
          <w:lang w:eastAsia="en-AU"/>
        </w:rPr>
        <w:drawing>
          <wp:inline distT="0" distB="0" distL="0" distR="0" wp14:anchorId="4E0C17A1" wp14:editId="40F36609">
            <wp:extent cx="2971800" cy="723900"/>
            <wp:effectExtent l="0" t="0" r="0" b="0"/>
            <wp:docPr id="2" name="Picture 1" descr="AustGovt_inline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stGovt_inline7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71800" cy="723900"/>
                    </a:xfrm>
                    <a:prstGeom prst="rect">
                      <a:avLst/>
                    </a:prstGeom>
                    <a:noFill/>
                    <a:ln>
                      <a:noFill/>
                    </a:ln>
                  </pic:spPr>
                </pic:pic>
              </a:graphicData>
            </a:graphic>
          </wp:inline>
        </w:drawing>
      </w:r>
    </w:p>
    <w:p w14:paraId="63D848B6" w14:textId="421CD025" w:rsidR="00885E8A" w:rsidRDefault="00885E8A" w:rsidP="00885E8A">
      <w:pPr>
        <w:pStyle w:val="InternalExternal"/>
        <w:framePr w:wrap="around"/>
      </w:pPr>
    </w:p>
    <w:p w14:paraId="7B6A578A" w14:textId="77777777" w:rsidR="00885E8A" w:rsidRDefault="00885E8A" w:rsidP="00885E8A">
      <w:pPr>
        <w:tabs>
          <w:tab w:val="left" w:pos="1418"/>
        </w:tabs>
        <w:sectPr w:rsidR="00885E8A">
          <w:headerReference w:type="default" r:id="rId16"/>
          <w:pgSz w:w="11906" w:h="16838" w:code="9"/>
          <w:pgMar w:top="1418" w:right="1418" w:bottom="1418" w:left="1418" w:header="397" w:footer="454" w:gutter="0"/>
          <w:cols w:space="720"/>
          <w:docGrid w:linePitch="360"/>
        </w:sectPr>
      </w:pPr>
    </w:p>
    <w:p w14:paraId="39AD38C7" w14:textId="77777777" w:rsidR="00885E8A" w:rsidRPr="00A22E93" w:rsidRDefault="00885E8A" w:rsidP="00885E8A">
      <w:pPr>
        <w:pStyle w:val="TOCHeading1"/>
      </w:pPr>
      <w:r>
        <w:lastRenderedPageBreak/>
        <w:t>Contents</w:t>
      </w:r>
    </w:p>
    <w:p w14:paraId="5DA053E0" w14:textId="457B6B02" w:rsidR="00F529F9" w:rsidRDefault="00885E8A">
      <w:pPr>
        <w:pStyle w:val="TOC1"/>
        <w:rPr>
          <w:rFonts w:asciiTheme="minorHAnsi" w:eastAsiaTheme="minorEastAsia" w:hAnsiTheme="minorHAnsi" w:cstheme="minorBidi"/>
          <w:b w:val="0"/>
          <w:noProof/>
          <w:color w:val="auto"/>
          <w:szCs w:val="22"/>
          <w:lang w:eastAsia="en-AU"/>
        </w:rPr>
      </w:pPr>
      <w:r>
        <w:fldChar w:fldCharType="begin"/>
      </w:r>
      <w:r>
        <w:instrText xml:space="preserve"> TOC \o "1-1" \h \z \t "Heading 2,2" </w:instrText>
      </w:r>
      <w:r>
        <w:fldChar w:fldCharType="separate"/>
      </w:r>
      <w:hyperlink w:anchor="_Toc478740668" w:history="1">
        <w:r w:rsidR="00F529F9" w:rsidRPr="00AC7FF2">
          <w:rPr>
            <w:rStyle w:val="Hyperlink"/>
            <w:noProof/>
          </w:rPr>
          <w:t>Executive Summary</w:t>
        </w:r>
        <w:r w:rsidR="00F529F9">
          <w:rPr>
            <w:noProof/>
            <w:webHidden/>
          </w:rPr>
          <w:tab/>
        </w:r>
        <w:r w:rsidR="00F529F9">
          <w:rPr>
            <w:noProof/>
            <w:webHidden/>
          </w:rPr>
          <w:fldChar w:fldCharType="begin"/>
        </w:r>
        <w:r w:rsidR="00F529F9">
          <w:rPr>
            <w:noProof/>
            <w:webHidden/>
          </w:rPr>
          <w:instrText xml:space="preserve"> PAGEREF _Toc478740668 \h </w:instrText>
        </w:r>
        <w:r w:rsidR="00F529F9">
          <w:rPr>
            <w:noProof/>
            <w:webHidden/>
          </w:rPr>
        </w:r>
        <w:r w:rsidR="00F529F9">
          <w:rPr>
            <w:noProof/>
            <w:webHidden/>
          </w:rPr>
          <w:fldChar w:fldCharType="separate"/>
        </w:r>
        <w:r w:rsidR="000B11B4">
          <w:rPr>
            <w:noProof/>
            <w:webHidden/>
          </w:rPr>
          <w:t>4</w:t>
        </w:r>
        <w:r w:rsidR="00F529F9">
          <w:rPr>
            <w:noProof/>
            <w:webHidden/>
          </w:rPr>
          <w:fldChar w:fldCharType="end"/>
        </w:r>
      </w:hyperlink>
    </w:p>
    <w:p w14:paraId="6ABEA9AA" w14:textId="2AC5105B" w:rsidR="00F529F9" w:rsidRDefault="008A29EE">
      <w:pPr>
        <w:pStyle w:val="TOC1"/>
        <w:rPr>
          <w:rFonts w:asciiTheme="minorHAnsi" w:eastAsiaTheme="minorEastAsia" w:hAnsiTheme="minorHAnsi" w:cstheme="minorBidi"/>
          <w:b w:val="0"/>
          <w:noProof/>
          <w:color w:val="auto"/>
          <w:szCs w:val="22"/>
          <w:lang w:eastAsia="en-AU"/>
        </w:rPr>
      </w:pPr>
      <w:hyperlink w:anchor="_Toc478740669" w:history="1">
        <w:r w:rsidR="00F529F9" w:rsidRPr="00AC7FF2">
          <w:rPr>
            <w:rStyle w:val="Hyperlink"/>
            <w:noProof/>
          </w:rPr>
          <w:t>1. Recommendations and administrative actions</w:t>
        </w:r>
        <w:r w:rsidR="00F529F9">
          <w:rPr>
            <w:noProof/>
            <w:webHidden/>
          </w:rPr>
          <w:tab/>
        </w:r>
        <w:r w:rsidR="00F529F9">
          <w:rPr>
            <w:noProof/>
            <w:webHidden/>
          </w:rPr>
          <w:fldChar w:fldCharType="begin"/>
        </w:r>
        <w:r w:rsidR="00F529F9">
          <w:rPr>
            <w:noProof/>
            <w:webHidden/>
          </w:rPr>
          <w:instrText xml:space="preserve"> PAGEREF _Toc478740669 \h </w:instrText>
        </w:r>
        <w:r w:rsidR="00F529F9">
          <w:rPr>
            <w:noProof/>
            <w:webHidden/>
          </w:rPr>
        </w:r>
        <w:r w:rsidR="00F529F9">
          <w:rPr>
            <w:noProof/>
            <w:webHidden/>
          </w:rPr>
          <w:fldChar w:fldCharType="separate"/>
        </w:r>
        <w:r w:rsidR="000B11B4">
          <w:rPr>
            <w:noProof/>
            <w:webHidden/>
          </w:rPr>
          <w:t>8</w:t>
        </w:r>
        <w:r w:rsidR="00F529F9">
          <w:rPr>
            <w:noProof/>
            <w:webHidden/>
          </w:rPr>
          <w:fldChar w:fldCharType="end"/>
        </w:r>
      </w:hyperlink>
    </w:p>
    <w:p w14:paraId="2F7FD12D" w14:textId="65114AB9" w:rsidR="00F529F9" w:rsidRDefault="008A29EE">
      <w:pPr>
        <w:pStyle w:val="TOC1"/>
        <w:rPr>
          <w:rFonts w:asciiTheme="minorHAnsi" w:eastAsiaTheme="minorEastAsia" w:hAnsiTheme="minorHAnsi" w:cstheme="minorBidi"/>
          <w:b w:val="0"/>
          <w:noProof/>
          <w:color w:val="auto"/>
          <w:szCs w:val="22"/>
          <w:lang w:eastAsia="en-AU"/>
        </w:rPr>
      </w:pPr>
      <w:hyperlink w:anchor="_Toc478740670" w:history="1">
        <w:r w:rsidR="00F529F9" w:rsidRPr="00AC7FF2">
          <w:rPr>
            <w:rStyle w:val="Hyperlink"/>
            <w:noProof/>
          </w:rPr>
          <w:t>2. Background and report structure</w:t>
        </w:r>
        <w:r w:rsidR="00F529F9">
          <w:rPr>
            <w:noProof/>
            <w:webHidden/>
          </w:rPr>
          <w:tab/>
        </w:r>
        <w:r w:rsidR="00F529F9">
          <w:rPr>
            <w:noProof/>
            <w:webHidden/>
          </w:rPr>
          <w:fldChar w:fldCharType="begin"/>
        </w:r>
        <w:r w:rsidR="00F529F9">
          <w:rPr>
            <w:noProof/>
            <w:webHidden/>
          </w:rPr>
          <w:instrText xml:space="preserve"> PAGEREF _Toc478740670 \h </w:instrText>
        </w:r>
        <w:r w:rsidR="00F529F9">
          <w:rPr>
            <w:noProof/>
            <w:webHidden/>
          </w:rPr>
        </w:r>
        <w:r w:rsidR="00F529F9">
          <w:rPr>
            <w:noProof/>
            <w:webHidden/>
          </w:rPr>
          <w:fldChar w:fldCharType="separate"/>
        </w:r>
        <w:r w:rsidR="000B11B4">
          <w:rPr>
            <w:noProof/>
            <w:webHidden/>
          </w:rPr>
          <w:t>12</w:t>
        </w:r>
        <w:r w:rsidR="00F529F9">
          <w:rPr>
            <w:noProof/>
            <w:webHidden/>
          </w:rPr>
          <w:fldChar w:fldCharType="end"/>
        </w:r>
      </w:hyperlink>
    </w:p>
    <w:p w14:paraId="55886CD6" w14:textId="636C88FA" w:rsidR="00F529F9" w:rsidRDefault="008A29EE">
      <w:pPr>
        <w:pStyle w:val="TOC2"/>
        <w:rPr>
          <w:rFonts w:asciiTheme="minorHAnsi" w:eastAsiaTheme="minorEastAsia" w:hAnsiTheme="minorHAnsi" w:cstheme="minorBidi"/>
          <w:noProof/>
          <w:color w:val="auto"/>
          <w:szCs w:val="22"/>
          <w:lang w:eastAsia="en-AU"/>
        </w:rPr>
      </w:pPr>
      <w:hyperlink w:anchor="_Toc478740671" w:history="1">
        <w:r w:rsidR="00F529F9" w:rsidRPr="00AC7FF2">
          <w:rPr>
            <w:rStyle w:val="Hyperlink"/>
            <w:noProof/>
          </w:rPr>
          <w:t>Report structure</w:t>
        </w:r>
        <w:r w:rsidR="00F529F9">
          <w:rPr>
            <w:noProof/>
            <w:webHidden/>
          </w:rPr>
          <w:tab/>
        </w:r>
        <w:r w:rsidR="00F529F9">
          <w:rPr>
            <w:noProof/>
            <w:webHidden/>
          </w:rPr>
          <w:fldChar w:fldCharType="begin"/>
        </w:r>
        <w:r w:rsidR="00F529F9">
          <w:rPr>
            <w:noProof/>
            <w:webHidden/>
          </w:rPr>
          <w:instrText xml:space="preserve"> PAGEREF _Toc478740671 \h </w:instrText>
        </w:r>
        <w:r w:rsidR="00F529F9">
          <w:rPr>
            <w:noProof/>
            <w:webHidden/>
          </w:rPr>
        </w:r>
        <w:r w:rsidR="00F529F9">
          <w:rPr>
            <w:noProof/>
            <w:webHidden/>
          </w:rPr>
          <w:fldChar w:fldCharType="separate"/>
        </w:r>
        <w:r w:rsidR="000B11B4">
          <w:rPr>
            <w:noProof/>
            <w:webHidden/>
          </w:rPr>
          <w:t>13</w:t>
        </w:r>
        <w:r w:rsidR="00F529F9">
          <w:rPr>
            <w:noProof/>
            <w:webHidden/>
          </w:rPr>
          <w:fldChar w:fldCharType="end"/>
        </w:r>
      </w:hyperlink>
    </w:p>
    <w:p w14:paraId="6DC41E23" w14:textId="55CFBCA1" w:rsidR="00F529F9" w:rsidRDefault="008A29EE">
      <w:pPr>
        <w:pStyle w:val="TOC2"/>
        <w:rPr>
          <w:rFonts w:asciiTheme="minorHAnsi" w:eastAsiaTheme="minorEastAsia" w:hAnsiTheme="minorHAnsi" w:cstheme="minorBidi"/>
          <w:noProof/>
          <w:color w:val="auto"/>
          <w:szCs w:val="22"/>
          <w:lang w:eastAsia="en-AU"/>
        </w:rPr>
      </w:pPr>
      <w:hyperlink w:anchor="_Toc478740672" w:history="1">
        <w:r w:rsidR="00F529F9" w:rsidRPr="00AC7FF2">
          <w:rPr>
            <w:rStyle w:val="Hyperlink"/>
            <w:noProof/>
          </w:rPr>
          <w:t>Interim Report</w:t>
        </w:r>
        <w:r w:rsidR="00F529F9">
          <w:rPr>
            <w:noProof/>
            <w:webHidden/>
          </w:rPr>
          <w:tab/>
        </w:r>
        <w:r w:rsidR="00F529F9">
          <w:rPr>
            <w:noProof/>
            <w:webHidden/>
          </w:rPr>
          <w:fldChar w:fldCharType="begin"/>
        </w:r>
        <w:r w:rsidR="00F529F9">
          <w:rPr>
            <w:noProof/>
            <w:webHidden/>
          </w:rPr>
          <w:instrText xml:space="preserve"> PAGEREF _Toc478740672 \h </w:instrText>
        </w:r>
        <w:r w:rsidR="00F529F9">
          <w:rPr>
            <w:noProof/>
            <w:webHidden/>
          </w:rPr>
        </w:r>
        <w:r w:rsidR="00F529F9">
          <w:rPr>
            <w:noProof/>
            <w:webHidden/>
          </w:rPr>
          <w:fldChar w:fldCharType="separate"/>
        </w:r>
        <w:r w:rsidR="000B11B4">
          <w:rPr>
            <w:noProof/>
            <w:webHidden/>
          </w:rPr>
          <w:t>13</w:t>
        </w:r>
        <w:r w:rsidR="00F529F9">
          <w:rPr>
            <w:noProof/>
            <w:webHidden/>
          </w:rPr>
          <w:fldChar w:fldCharType="end"/>
        </w:r>
      </w:hyperlink>
    </w:p>
    <w:p w14:paraId="17C52119" w14:textId="1D845637" w:rsidR="00F529F9" w:rsidRDefault="008A29EE">
      <w:pPr>
        <w:pStyle w:val="TOC2"/>
        <w:rPr>
          <w:rFonts w:asciiTheme="minorHAnsi" w:eastAsiaTheme="minorEastAsia" w:hAnsiTheme="minorHAnsi" w:cstheme="minorBidi"/>
          <w:noProof/>
          <w:color w:val="auto"/>
          <w:szCs w:val="22"/>
          <w:lang w:eastAsia="en-AU"/>
        </w:rPr>
      </w:pPr>
      <w:hyperlink w:anchor="_Toc478740673" w:history="1">
        <w:r w:rsidR="00F529F9" w:rsidRPr="00AC7FF2">
          <w:rPr>
            <w:rStyle w:val="Hyperlink"/>
            <w:noProof/>
          </w:rPr>
          <w:t>Senate Economics References Committee</w:t>
        </w:r>
        <w:r w:rsidR="00F529F9">
          <w:rPr>
            <w:noProof/>
            <w:webHidden/>
          </w:rPr>
          <w:tab/>
        </w:r>
        <w:r w:rsidR="00F529F9">
          <w:rPr>
            <w:noProof/>
            <w:webHidden/>
          </w:rPr>
          <w:fldChar w:fldCharType="begin"/>
        </w:r>
        <w:r w:rsidR="00F529F9">
          <w:rPr>
            <w:noProof/>
            <w:webHidden/>
          </w:rPr>
          <w:instrText xml:space="preserve"> PAGEREF _Toc478740673 \h </w:instrText>
        </w:r>
        <w:r w:rsidR="00F529F9">
          <w:rPr>
            <w:noProof/>
            <w:webHidden/>
          </w:rPr>
        </w:r>
        <w:r w:rsidR="00F529F9">
          <w:rPr>
            <w:noProof/>
            <w:webHidden/>
          </w:rPr>
          <w:fldChar w:fldCharType="separate"/>
        </w:r>
        <w:r w:rsidR="000B11B4">
          <w:rPr>
            <w:noProof/>
            <w:webHidden/>
          </w:rPr>
          <w:t>13</w:t>
        </w:r>
        <w:r w:rsidR="00F529F9">
          <w:rPr>
            <w:noProof/>
            <w:webHidden/>
          </w:rPr>
          <w:fldChar w:fldCharType="end"/>
        </w:r>
      </w:hyperlink>
    </w:p>
    <w:p w14:paraId="009383A5" w14:textId="78EC3AC4" w:rsidR="00F529F9" w:rsidRDefault="008A29EE">
      <w:pPr>
        <w:pStyle w:val="TOC2"/>
        <w:rPr>
          <w:rFonts w:asciiTheme="minorHAnsi" w:eastAsiaTheme="minorEastAsia" w:hAnsiTheme="minorHAnsi" w:cstheme="minorBidi"/>
          <w:noProof/>
          <w:color w:val="auto"/>
          <w:szCs w:val="22"/>
          <w:lang w:eastAsia="en-AU"/>
        </w:rPr>
      </w:pPr>
      <w:hyperlink w:anchor="_Toc478740674" w:history="1">
        <w:r w:rsidR="00F529F9" w:rsidRPr="00AC7FF2">
          <w:rPr>
            <w:rStyle w:val="Hyperlink"/>
            <w:noProof/>
          </w:rPr>
          <w:t>Related Government reviews underway</w:t>
        </w:r>
        <w:r w:rsidR="00F529F9">
          <w:rPr>
            <w:noProof/>
            <w:webHidden/>
          </w:rPr>
          <w:tab/>
        </w:r>
        <w:r w:rsidR="00F529F9">
          <w:rPr>
            <w:noProof/>
            <w:webHidden/>
          </w:rPr>
          <w:fldChar w:fldCharType="begin"/>
        </w:r>
        <w:r w:rsidR="00F529F9">
          <w:rPr>
            <w:noProof/>
            <w:webHidden/>
          </w:rPr>
          <w:instrText xml:space="preserve"> PAGEREF _Toc478740674 \h </w:instrText>
        </w:r>
        <w:r w:rsidR="00F529F9">
          <w:rPr>
            <w:noProof/>
            <w:webHidden/>
          </w:rPr>
        </w:r>
        <w:r w:rsidR="00F529F9">
          <w:rPr>
            <w:noProof/>
            <w:webHidden/>
          </w:rPr>
          <w:fldChar w:fldCharType="separate"/>
        </w:r>
        <w:r w:rsidR="000B11B4">
          <w:rPr>
            <w:noProof/>
            <w:webHidden/>
          </w:rPr>
          <w:t>14</w:t>
        </w:r>
        <w:r w:rsidR="00F529F9">
          <w:rPr>
            <w:noProof/>
            <w:webHidden/>
          </w:rPr>
          <w:fldChar w:fldCharType="end"/>
        </w:r>
      </w:hyperlink>
    </w:p>
    <w:p w14:paraId="362DEFF6" w14:textId="199779A6" w:rsidR="00F529F9" w:rsidRDefault="008A29EE">
      <w:pPr>
        <w:pStyle w:val="TOC1"/>
        <w:rPr>
          <w:rFonts w:asciiTheme="minorHAnsi" w:eastAsiaTheme="minorEastAsia" w:hAnsiTheme="minorHAnsi" w:cstheme="minorBidi"/>
          <w:b w:val="0"/>
          <w:noProof/>
          <w:color w:val="auto"/>
          <w:szCs w:val="22"/>
          <w:lang w:eastAsia="en-AU"/>
        </w:rPr>
      </w:pPr>
      <w:hyperlink w:anchor="_Toc478740675" w:history="1">
        <w:r w:rsidR="00F529F9" w:rsidRPr="00AC7FF2">
          <w:rPr>
            <w:rStyle w:val="Hyperlink"/>
            <w:noProof/>
          </w:rPr>
          <w:t>3. Superannuation Guarantee System</w:t>
        </w:r>
        <w:r w:rsidR="00F529F9">
          <w:rPr>
            <w:noProof/>
            <w:webHidden/>
          </w:rPr>
          <w:tab/>
        </w:r>
        <w:r w:rsidR="00F529F9">
          <w:rPr>
            <w:noProof/>
            <w:webHidden/>
          </w:rPr>
          <w:fldChar w:fldCharType="begin"/>
        </w:r>
        <w:r w:rsidR="00F529F9">
          <w:rPr>
            <w:noProof/>
            <w:webHidden/>
          </w:rPr>
          <w:instrText xml:space="preserve"> PAGEREF _Toc478740675 \h </w:instrText>
        </w:r>
        <w:r w:rsidR="00F529F9">
          <w:rPr>
            <w:noProof/>
            <w:webHidden/>
          </w:rPr>
        </w:r>
        <w:r w:rsidR="00F529F9">
          <w:rPr>
            <w:noProof/>
            <w:webHidden/>
          </w:rPr>
          <w:fldChar w:fldCharType="separate"/>
        </w:r>
        <w:r w:rsidR="000B11B4">
          <w:rPr>
            <w:noProof/>
            <w:webHidden/>
          </w:rPr>
          <w:t>15</w:t>
        </w:r>
        <w:r w:rsidR="00F529F9">
          <w:rPr>
            <w:noProof/>
            <w:webHidden/>
          </w:rPr>
          <w:fldChar w:fldCharType="end"/>
        </w:r>
      </w:hyperlink>
    </w:p>
    <w:p w14:paraId="1B5B91DA" w14:textId="6322A64D" w:rsidR="00F529F9" w:rsidRDefault="008A29EE">
      <w:pPr>
        <w:pStyle w:val="TOC2"/>
        <w:rPr>
          <w:rFonts w:asciiTheme="minorHAnsi" w:eastAsiaTheme="minorEastAsia" w:hAnsiTheme="minorHAnsi" w:cstheme="minorBidi"/>
          <w:noProof/>
          <w:color w:val="auto"/>
          <w:szCs w:val="22"/>
          <w:lang w:eastAsia="en-AU"/>
        </w:rPr>
      </w:pPr>
      <w:hyperlink w:anchor="_Toc478740676" w:history="1">
        <w:r w:rsidR="00F529F9" w:rsidRPr="00AC7FF2">
          <w:rPr>
            <w:rStyle w:val="Hyperlink"/>
            <w:noProof/>
          </w:rPr>
          <w:t>Introduction</w:t>
        </w:r>
        <w:r w:rsidR="00F529F9">
          <w:rPr>
            <w:noProof/>
            <w:webHidden/>
          </w:rPr>
          <w:tab/>
        </w:r>
        <w:r w:rsidR="00F529F9">
          <w:rPr>
            <w:noProof/>
            <w:webHidden/>
          </w:rPr>
          <w:fldChar w:fldCharType="begin"/>
        </w:r>
        <w:r w:rsidR="00F529F9">
          <w:rPr>
            <w:noProof/>
            <w:webHidden/>
          </w:rPr>
          <w:instrText xml:space="preserve"> PAGEREF _Toc478740676 \h </w:instrText>
        </w:r>
        <w:r w:rsidR="00F529F9">
          <w:rPr>
            <w:noProof/>
            <w:webHidden/>
          </w:rPr>
        </w:r>
        <w:r w:rsidR="00F529F9">
          <w:rPr>
            <w:noProof/>
            <w:webHidden/>
          </w:rPr>
          <w:fldChar w:fldCharType="separate"/>
        </w:r>
        <w:r w:rsidR="000B11B4">
          <w:rPr>
            <w:noProof/>
            <w:webHidden/>
          </w:rPr>
          <w:t>15</w:t>
        </w:r>
        <w:r w:rsidR="00F529F9">
          <w:rPr>
            <w:noProof/>
            <w:webHidden/>
          </w:rPr>
          <w:fldChar w:fldCharType="end"/>
        </w:r>
      </w:hyperlink>
    </w:p>
    <w:p w14:paraId="22F72333" w14:textId="4352BF60" w:rsidR="00F529F9" w:rsidRDefault="008A29EE">
      <w:pPr>
        <w:pStyle w:val="TOC2"/>
        <w:rPr>
          <w:rFonts w:asciiTheme="minorHAnsi" w:eastAsiaTheme="minorEastAsia" w:hAnsiTheme="minorHAnsi" w:cstheme="minorBidi"/>
          <w:noProof/>
          <w:color w:val="auto"/>
          <w:szCs w:val="22"/>
          <w:lang w:eastAsia="en-AU"/>
        </w:rPr>
      </w:pPr>
      <w:hyperlink w:anchor="_Toc478740677" w:history="1">
        <w:r w:rsidR="00F529F9" w:rsidRPr="00AC7FF2">
          <w:rPr>
            <w:rStyle w:val="Hyperlink"/>
            <w:noProof/>
          </w:rPr>
          <w:t>Characteristics and incidence of non</w:t>
        </w:r>
        <w:r w:rsidR="00F529F9" w:rsidRPr="00AC7FF2">
          <w:rPr>
            <w:rStyle w:val="Hyperlink"/>
            <w:noProof/>
          </w:rPr>
          <w:noBreakHyphen/>
          <w:t>compliance</w:t>
        </w:r>
        <w:r w:rsidR="00F529F9">
          <w:rPr>
            <w:noProof/>
            <w:webHidden/>
          </w:rPr>
          <w:tab/>
        </w:r>
        <w:r w:rsidR="00F529F9">
          <w:rPr>
            <w:noProof/>
            <w:webHidden/>
          </w:rPr>
          <w:fldChar w:fldCharType="begin"/>
        </w:r>
        <w:r w:rsidR="00F529F9">
          <w:rPr>
            <w:noProof/>
            <w:webHidden/>
          </w:rPr>
          <w:instrText xml:space="preserve"> PAGEREF _Toc478740677 \h </w:instrText>
        </w:r>
        <w:r w:rsidR="00F529F9">
          <w:rPr>
            <w:noProof/>
            <w:webHidden/>
          </w:rPr>
        </w:r>
        <w:r w:rsidR="00F529F9">
          <w:rPr>
            <w:noProof/>
            <w:webHidden/>
          </w:rPr>
          <w:fldChar w:fldCharType="separate"/>
        </w:r>
        <w:r w:rsidR="000B11B4">
          <w:rPr>
            <w:noProof/>
            <w:webHidden/>
          </w:rPr>
          <w:t>18</w:t>
        </w:r>
        <w:r w:rsidR="00F529F9">
          <w:rPr>
            <w:noProof/>
            <w:webHidden/>
          </w:rPr>
          <w:fldChar w:fldCharType="end"/>
        </w:r>
      </w:hyperlink>
    </w:p>
    <w:p w14:paraId="7E0E2E8B" w14:textId="588492D3" w:rsidR="00F529F9" w:rsidRDefault="008A29EE">
      <w:pPr>
        <w:pStyle w:val="TOC2"/>
        <w:rPr>
          <w:rFonts w:asciiTheme="minorHAnsi" w:eastAsiaTheme="minorEastAsia" w:hAnsiTheme="minorHAnsi" w:cstheme="minorBidi"/>
          <w:noProof/>
          <w:color w:val="auto"/>
          <w:szCs w:val="22"/>
          <w:lang w:eastAsia="en-AU"/>
        </w:rPr>
      </w:pPr>
      <w:hyperlink w:anchor="_Toc478740678" w:history="1">
        <w:r w:rsidR="00F529F9" w:rsidRPr="00AC7FF2">
          <w:rPr>
            <w:rStyle w:val="Hyperlink"/>
            <w:noProof/>
          </w:rPr>
          <w:t>Identifying and dealing with non</w:t>
        </w:r>
        <w:r w:rsidR="00F529F9" w:rsidRPr="00AC7FF2">
          <w:rPr>
            <w:rStyle w:val="Hyperlink"/>
            <w:noProof/>
          </w:rPr>
          <w:noBreakHyphen/>
          <w:t>compliance</w:t>
        </w:r>
        <w:r w:rsidR="00F529F9">
          <w:rPr>
            <w:noProof/>
            <w:webHidden/>
          </w:rPr>
          <w:tab/>
        </w:r>
        <w:r w:rsidR="00F529F9">
          <w:rPr>
            <w:noProof/>
            <w:webHidden/>
          </w:rPr>
          <w:fldChar w:fldCharType="begin"/>
        </w:r>
        <w:r w:rsidR="00F529F9">
          <w:rPr>
            <w:noProof/>
            <w:webHidden/>
          </w:rPr>
          <w:instrText xml:space="preserve"> PAGEREF _Toc478740678 \h </w:instrText>
        </w:r>
        <w:r w:rsidR="00F529F9">
          <w:rPr>
            <w:noProof/>
            <w:webHidden/>
          </w:rPr>
        </w:r>
        <w:r w:rsidR="00F529F9">
          <w:rPr>
            <w:noProof/>
            <w:webHidden/>
          </w:rPr>
          <w:fldChar w:fldCharType="separate"/>
        </w:r>
        <w:r w:rsidR="000B11B4">
          <w:rPr>
            <w:noProof/>
            <w:webHidden/>
          </w:rPr>
          <w:t>19</w:t>
        </w:r>
        <w:r w:rsidR="00F529F9">
          <w:rPr>
            <w:noProof/>
            <w:webHidden/>
          </w:rPr>
          <w:fldChar w:fldCharType="end"/>
        </w:r>
      </w:hyperlink>
    </w:p>
    <w:p w14:paraId="011C9498" w14:textId="71019765" w:rsidR="00F529F9" w:rsidRDefault="008A29EE">
      <w:pPr>
        <w:pStyle w:val="TOC2"/>
        <w:rPr>
          <w:rFonts w:asciiTheme="minorHAnsi" w:eastAsiaTheme="minorEastAsia" w:hAnsiTheme="minorHAnsi" w:cstheme="minorBidi"/>
          <w:noProof/>
          <w:color w:val="auto"/>
          <w:szCs w:val="22"/>
          <w:lang w:eastAsia="en-AU"/>
        </w:rPr>
      </w:pPr>
      <w:hyperlink w:anchor="_Toc478740679" w:history="1">
        <w:r w:rsidR="00F529F9" w:rsidRPr="00AC7FF2">
          <w:rPr>
            <w:rStyle w:val="Hyperlink"/>
            <w:noProof/>
          </w:rPr>
          <w:t>Previous independent reviews</w:t>
        </w:r>
        <w:r w:rsidR="00F529F9">
          <w:rPr>
            <w:noProof/>
            <w:webHidden/>
          </w:rPr>
          <w:tab/>
        </w:r>
        <w:r w:rsidR="00F529F9">
          <w:rPr>
            <w:noProof/>
            <w:webHidden/>
          </w:rPr>
          <w:fldChar w:fldCharType="begin"/>
        </w:r>
        <w:r w:rsidR="00F529F9">
          <w:rPr>
            <w:noProof/>
            <w:webHidden/>
          </w:rPr>
          <w:instrText xml:space="preserve"> PAGEREF _Toc478740679 \h </w:instrText>
        </w:r>
        <w:r w:rsidR="00F529F9">
          <w:rPr>
            <w:noProof/>
            <w:webHidden/>
          </w:rPr>
        </w:r>
        <w:r w:rsidR="00F529F9">
          <w:rPr>
            <w:noProof/>
            <w:webHidden/>
          </w:rPr>
          <w:fldChar w:fldCharType="separate"/>
        </w:r>
        <w:r w:rsidR="000B11B4">
          <w:rPr>
            <w:noProof/>
            <w:webHidden/>
          </w:rPr>
          <w:t>19</w:t>
        </w:r>
        <w:r w:rsidR="00F529F9">
          <w:rPr>
            <w:noProof/>
            <w:webHidden/>
          </w:rPr>
          <w:fldChar w:fldCharType="end"/>
        </w:r>
      </w:hyperlink>
    </w:p>
    <w:p w14:paraId="407D35B4" w14:textId="6519E95D" w:rsidR="00F529F9" w:rsidRDefault="008A29EE">
      <w:pPr>
        <w:pStyle w:val="TOC1"/>
        <w:rPr>
          <w:rFonts w:asciiTheme="minorHAnsi" w:eastAsiaTheme="minorEastAsia" w:hAnsiTheme="minorHAnsi" w:cstheme="minorBidi"/>
          <w:b w:val="0"/>
          <w:noProof/>
          <w:color w:val="auto"/>
          <w:szCs w:val="22"/>
          <w:lang w:eastAsia="en-AU"/>
        </w:rPr>
      </w:pPr>
      <w:hyperlink w:anchor="_Toc478740680" w:history="1">
        <w:r w:rsidR="00F529F9" w:rsidRPr="00AC7FF2">
          <w:rPr>
            <w:rStyle w:val="Hyperlink"/>
            <w:noProof/>
          </w:rPr>
          <w:t>4. Improving compliance and collection of debt</w:t>
        </w:r>
        <w:r w:rsidR="00F529F9">
          <w:rPr>
            <w:noProof/>
            <w:webHidden/>
          </w:rPr>
          <w:tab/>
        </w:r>
        <w:r w:rsidR="00F529F9">
          <w:rPr>
            <w:noProof/>
            <w:webHidden/>
          </w:rPr>
          <w:fldChar w:fldCharType="begin"/>
        </w:r>
        <w:r w:rsidR="00F529F9">
          <w:rPr>
            <w:noProof/>
            <w:webHidden/>
          </w:rPr>
          <w:instrText xml:space="preserve"> PAGEREF _Toc478740680 \h </w:instrText>
        </w:r>
        <w:r w:rsidR="00F529F9">
          <w:rPr>
            <w:noProof/>
            <w:webHidden/>
          </w:rPr>
        </w:r>
        <w:r w:rsidR="00F529F9">
          <w:rPr>
            <w:noProof/>
            <w:webHidden/>
          </w:rPr>
          <w:fldChar w:fldCharType="separate"/>
        </w:r>
        <w:r w:rsidR="000B11B4">
          <w:rPr>
            <w:noProof/>
            <w:webHidden/>
          </w:rPr>
          <w:t>21</w:t>
        </w:r>
        <w:r w:rsidR="00F529F9">
          <w:rPr>
            <w:noProof/>
            <w:webHidden/>
          </w:rPr>
          <w:fldChar w:fldCharType="end"/>
        </w:r>
      </w:hyperlink>
    </w:p>
    <w:p w14:paraId="1E8213DC" w14:textId="2E1A6F60" w:rsidR="00F529F9" w:rsidRDefault="008A29EE">
      <w:pPr>
        <w:pStyle w:val="TOC2"/>
        <w:rPr>
          <w:rFonts w:asciiTheme="minorHAnsi" w:eastAsiaTheme="minorEastAsia" w:hAnsiTheme="minorHAnsi" w:cstheme="minorBidi"/>
          <w:noProof/>
          <w:color w:val="auto"/>
          <w:szCs w:val="22"/>
          <w:lang w:eastAsia="en-AU"/>
        </w:rPr>
      </w:pPr>
      <w:hyperlink w:anchor="_Toc478740681" w:history="1">
        <w:r w:rsidR="00F529F9" w:rsidRPr="00AC7FF2">
          <w:rPr>
            <w:rStyle w:val="Hyperlink"/>
            <w:noProof/>
          </w:rPr>
          <w:t>Introduction</w:t>
        </w:r>
        <w:r w:rsidR="00F529F9">
          <w:rPr>
            <w:noProof/>
            <w:webHidden/>
          </w:rPr>
          <w:tab/>
        </w:r>
        <w:r w:rsidR="00F529F9">
          <w:rPr>
            <w:noProof/>
            <w:webHidden/>
          </w:rPr>
          <w:fldChar w:fldCharType="begin"/>
        </w:r>
        <w:r w:rsidR="00F529F9">
          <w:rPr>
            <w:noProof/>
            <w:webHidden/>
          </w:rPr>
          <w:instrText xml:space="preserve"> PAGEREF _Toc478740681 \h </w:instrText>
        </w:r>
        <w:r w:rsidR="00F529F9">
          <w:rPr>
            <w:noProof/>
            <w:webHidden/>
          </w:rPr>
        </w:r>
        <w:r w:rsidR="00F529F9">
          <w:rPr>
            <w:noProof/>
            <w:webHidden/>
          </w:rPr>
          <w:fldChar w:fldCharType="separate"/>
        </w:r>
        <w:r w:rsidR="000B11B4">
          <w:rPr>
            <w:noProof/>
            <w:webHidden/>
          </w:rPr>
          <w:t>21</w:t>
        </w:r>
        <w:r w:rsidR="00F529F9">
          <w:rPr>
            <w:noProof/>
            <w:webHidden/>
          </w:rPr>
          <w:fldChar w:fldCharType="end"/>
        </w:r>
      </w:hyperlink>
    </w:p>
    <w:p w14:paraId="7F409936" w14:textId="472F8081" w:rsidR="00F529F9" w:rsidRDefault="008A29EE">
      <w:pPr>
        <w:pStyle w:val="TOC2"/>
        <w:rPr>
          <w:rFonts w:asciiTheme="minorHAnsi" w:eastAsiaTheme="minorEastAsia" w:hAnsiTheme="minorHAnsi" w:cstheme="minorBidi"/>
          <w:noProof/>
          <w:color w:val="auto"/>
          <w:szCs w:val="22"/>
          <w:lang w:eastAsia="en-AU"/>
        </w:rPr>
      </w:pPr>
      <w:hyperlink w:anchor="_Toc478740682" w:history="1">
        <w:r w:rsidR="00F529F9" w:rsidRPr="00AC7FF2">
          <w:rPr>
            <w:rStyle w:val="Hyperlink"/>
            <w:noProof/>
          </w:rPr>
          <w:t>Better and more timely information from employers and funds</w:t>
        </w:r>
        <w:r w:rsidR="00F529F9">
          <w:rPr>
            <w:noProof/>
            <w:webHidden/>
          </w:rPr>
          <w:tab/>
        </w:r>
        <w:r w:rsidR="00F529F9">
          <w:rPr>
            <w:noProof/>
            <w:webHidden/>
          </w:rPr>
          <w:fldChar w:fldCharType="begin"/>
        </w:r>
        <w:r w:rsidR="00F529F9">
          <w:rPr>
            <w:noProof/>
            <w:webHidden/>
          </w:rPr>
          <w:instrText xml:space="preserve"> PAGEREF _Toc478740682 \h </w:instrText>
        </w:r>
        <w:r w:rsidR="00F529F9">
          <w:rPr>
            <w:noProof/>
            <w:webHidden/>
          </w:rPr>
        </w:r>
        <w:r w:rsidR="00F529F9">
          <w:rPr>
            <w:noProof/>
            <w:webHidden/>
          </w:rPr>
          <w:fldChar w:fldCharType="separate"/>
        </w:r>
        <w:r w:rsidR="000B11B4">
          <w:rPr>
            <w:noProof/>
            <w:webHidden/>
          </w:rPr>
          <w:t>22</w:t>
        </w:r>
        <w:r w:rsidR="00F529F9">
          <w:rPr>
            <w:noProof/>
            <w:webHidden/>
          </w:rPr>
          <w:fldChar w:fldCharType="end"/>
        </w:r>
      </w:hyperlink>
    </w:p>
    <w:p w14:paraId="6C42B8F5" w14:textId="0461AB69" w:rsidR="00F529F9" w:rsidRDefault="008A29EE">
      <w:pPr>
        <w:pStyle w:val="TOC2"/>
        <w:rPr>
          <w:rFonts w:asciiTheme="minorHAnsi" w:eastAsiaTheme="minorEastAsia" w:hAnsiTheme="minorHAnsi" w:cstheme="minorBidi"/>
          <w:noProof/>
          <w:color w:val="auto"/>
          <w:szCs w:val="22"/>
          <w:lang w:eastAsia="en-AU"/>
        </w:rPr>
      </w:pPr>
      <w:hyperlink w:anchor="_Toc478740683" w:history="1">
        <w:r w:rsidR="00F529F9" w:rsidRPr="00AC7FF2">
          <w:rPr>
            <w:rStyle w:val="Hyperlink"/>
            <w:noProof/>
          </w:rPr>
          <w:t>Other proposals not supported by the Working Group</w:t>
        </w:r>
        <w:r w:rsidR="00F529F9">
          <w:rPr>
            <w:noProof/>
            <w:webHidden/>
          </w:rPr>
          <w:tab/>
        </w:r>
        <w:r w:rsidR="00F529F9">
          <w:rPr>
            <w:noProof/>
            <w:webHidden/>
          </w:rPr>
          <w:fldChar w:fldCharType="begin"/>
        </w:r>
        <w:r w:rsidR="00F529F9">
          <w:rPr>
            <w:noProof/>
            <w:webHidden/>
          </w:rPr>
          <w:instrText xml:space="preserve"> PAGEREF _Toc478740683 \h </w:instrText>
        </w:r>
        <w:r w:rsidR="00F529F9">
          <w:rPr>
            <w:noProof/>
            <w:webHidden/>
          </w:rPr>
        </w:r>
        <w:r w:rsidR="00F529F9">
          <w:rPr>
            <w:noProof/>
            <w:webHidden/>
          </w:rPr>
          <w:fldChar w:fldCharType="separate"/>
        </w:r>
        <w:r w:rsidR="000B11B4">
          <w:rPr>
            <w:noProof/>
            <w:webHidden/>
          </w:rPr>
          <w:t>26</w:t>
        </w:r>
        <w:r w:rsidR="00F529F9">
          <w:rPr>
            <w:noProof/>
            <w:webHidden/>
          </w:rPr>
          <w:fldChar w:fldCharType="end"/>
        </w:r>
      </w:hyperlink>
    </w:p>
    <w:p w14:paraId="56BE7116" w14:textId="31F986C1" w:rsidR="00F529F9" w:rsidRDefault="008A29EE">
      <w:pPr>
        <w:pStyle w:val="TOC2"/>
        <w:rPr>
          <w:rFonts w:asciiTheme="minorHAnsi" w:eastAsiaTheme="minorEastAsia" w:hAnsiTheme="minorHAnsi" w:cstheme="minorBidi"/>
          <w:noProof/>
          <w:color w:val="auto"/>
          <w:szCs w:val="22"/>
          <w:lang w:eastAsia="en-AU"/>
        </w:rPr>
      </w:pPr>
      <w:hyperlink w:anchor="_Toc478740684" w:history="1">
        <w:r w:rsidR="00F529F9" w:rsidRPr="00AC7FF2">
          <w:rPr>
            <w:rStyle w:val="Hyperlink"/>
            <w:noProof/>
          </w:rPr>
          <w:t>Improving Compliance Approaches</w:t>
        </w:r>
        <w:r w:rsidR="00F529F9">
          <w:rPr>
            <w:noProof/>
            <w:webHidden/>
          </w:rPr>
          <w:tab/>
        </w:r>
        <w:r w:rsidR="00F529F9">
          <w:rPr>
            <w:noProof/>
            <w:webHidden/>
          </w:rPr>
          <w:fldChar w:fldCharType="begin"/>
        </w:r>
        <w:r w:rsidR="00F529F9">
          <w:rPr>
            <w:noProof/>
            <w:webHidden/>
          </w:rPr>
          <w:instrText xml:space="preserve"> PAGEREF _Toc478740684 \h </w:instrText>
        </w:r>
        <w:r w:rsidR="00F529F9">
          <w:rPr>
            <w:noProof/>
            <w:webHidden/>
          </w:rPr>
        </w:r>
        <w:r w:rsidR="00F529F9">
          <w:rPr>
            <w:noProof/>
            <w:webHidden/>
          </w:rPr>
          <w:fldChar w:fldCharType="separate"/>
        </w:r>
        <w:r w:rsidR="000B11B4">
          <w:rPr>
            <w:noProof/>
            <w:webHidden/>
          </w:rPr>
          <w:t>29</w:t>
        </w:r>
        <w:r w:rsidR="00F529F9">
          <w:rPr>
            <w:noProof/>
            <w:webHidden/>
          </w:rPr>
          <w:fldChar w:fldCharType="end"/>
        </w:r>
      </w:hyperlink>
    </w:p>
    <w:p w14:paraId="630529FD" w14:textId="4CB36903" w:rsidR="00F529F9" w:rsidRDefault="008A29EE">
      <w:pPr>
        <w:pStyle w:val="TOC2"/>
        <w:rPr>
          <w:rFonts w:asciiTheme="minorHAnsi" w:eastAsiaTheme="minorEastAsia" w:hAnsiTheme="minorHAnsi" w:cstheme="minorBidi"/>
          <w:noProof/>
          <w:color w:val="auto"/>
          <w:szCs w:val="22"/>
          <w:lang w:eastAsia="en-AU"/>
        </w:rPr>
      </w:pPr>
      <w:hyperlink w:anchor="_Toc478740685" w:history="1">
        <w:r w:rsidR="00F529F9" w:rsidRPr="00AC7FF2">
          <w:rPr>
            <w:rStyle w:val="Hyperlink"/>
            <w:noProof/>
          </w:rPr>
          <w:t>Frequency of superannuation guarantee contributions</w:t>
        </w:r>
        <w:r w:rsidR="00F529F9">
          <w:rPr>
            <w:noProof/>
            <w:webHidden/>
          </w:rPr>
          <w:tab/>
        </w:r>
        <w:r w:rsidR="00F529F9">
          <w:rPr>
            <w:noProof/>
            <w:webHidden/>
          </w:rPr>
          <w:fldChar w:fldCharType="begin"/>
        </w:r>
        <w:r w:rsidR="00F529F9">
          <w:rPr>
            <w:noProof/>
            <w:webHidden/>
          </w:rPr>
          <w:instrText xml:space="preserve"> PAGEREF _Toc478740685 \h </w:instrText>
        </w:r>
        <w:r w:rsidR="00F529F9">
          <w:rPr>
            <w:noProof/>
            <w:webHidden/>
          </w:rPr>
        </w:r>
        <w:r w:rsidR="00F529F9">
          <w:rPr>
            <w:noProof/>
            <w:webHidden/>
          </w:rPr>
          <w:fldChar w:fldCharType="separate"/>
        </w:r>
        <w:r w:rsidR="000B11B4">
          <w:rPr>
            <w:noProof/>
            <w:webHidden/>
          </w:rPr>
          <w:t>32</w:t>
        </w:r>
        <w:r w:rsidR="00F529F9">
          <w:rPr>
            <w:noProof/>
            <w:webHidden/>
          </w:rPr>
          <w:fldChar w:fldCharType="end"/>
        </w:r>
      </w:hyperlink>
    </w:p>
    <w:p w14:paraId="5828B64F" w14:textId="19D07C32" w:rsidR="00F529F9" w:rsidRDefault="008A29EE">
      <w:pPr>
        <w:pStyle w:val="TOC2"/>
        <w:rPr>
          <w:rFonts w:asciiTheme="minorHAnsi" w:eastAsiaTheme="minorEastAsia" w:hAnsiTheme="minorHAnsi" w:cstheme="minorBidi"/>
          <w:noProof/>
          <w:color w:val="auto"/>
          <w:szCs w:val="22"/>
          <w:lang w:eastAsia="en-AU"/>
        </w:rPr>
      </w:pPr>
      <w:hyperlink w:anchor="_Toc478740686" w:history="1">
        <w:r w:rsidR="00F529F9" w:rsidRPr="00AC7FF2">
          <w:rPr>
            <w:rStyle w:val="Hyperlink"/>
            <w:noProof/>
          </w:rPr>
          <w:t>Improving collection and debt recovery by the ATO</w:t>
        </w:r>
        <w:r w:rsidR="00F529F9">
          <w:rPr>
            <w:noProof/>
            <w:webHidden/>
          </w:rPr>
          <w:tab/>
        </w:r>
        <w:r w:rsidR="00F529F9">
          <w:rPr>
            <w:noProof/>
            <w:webHidden/>
          </w:rPr>
          <w:fldChar w:fldCharType="begin"/>
        </w:r>
        <w:r w:rsidR="00F529F9">
          <w:rPr>
            <w:noProof/>
            <w:webHidden/>
          </w:rPr>
          <w:instrText xml:space="preserve"> PAGEREF _Toc478740686 \h </w:instrText>
        </w:r>
        <w:r w:rsidR="00F529F9">
          <w:rPr>
            <w:noProof/>
            <w:webHidden/>
          </w:rPr>
        </w:r>
        <w:r w:rsidR="00F529F9">
          <w:rPr>
            <w:noProof/>
            <w:webHidden/>
          </w:rPr>
          <w:fldChar w:fldCharType="separate"/>
        </w:r>
        <w:r w:rsidR="000B11B4">
          <w:rPr>
            <w:noProof/>
            <w:webHidden/>
          </w:rPr>
          <w:t>34</w:t>
        </w:r>
        <w:r w:rsidR="00F529F9">
          <w:rPr>
            <w:noProof/>
            <w:webHidden/>
          </w:rPr>
          <w:fldChar w:fldCharType="end"/>
        </w:r>
      </w:hyperlink>
    </w:p>
    <w:p w14:paraId="2CE6E804" w14:textId="6E39576A" w:rsidR="00F529F9" w:rsidRDefault="008A29EE">
      <w:pPr>
        <w:pStyle w:val="TOC2"/>
        <w:rPr>
          <w:rFonts w:asciiTheme="minorHAnsi" w:eastAsiaTheme="minorEastAsia" w:hAnsiTheme="minorHAnsi" w:cstheme="minorBidi"/>
          <w:noProof/>
          <w:color w:val="auto"/>
          <w:szCs w:val="22"/>
          <w:lang w:eastAsia="en-AU"/>
        </w:rPr>
      </w:pPr>
      <w:hyperlink w:anchor="_Toc478740687" w:history="1">
        <w:r w:rsidR="00F529F9" w:rsidRPr="00AC7FF2">
          <w:rPr>
            <w:rStyle w:val="Hyperlink"/>
            <w:noProof/>
          </w:rPr>
          <w:t>Other proposals not supported by the Working Group</w:t>
        </w:r>
        <w:r w:rsidR="00F529F9">
          <w:rPr>
            <w:noProof/>
            <w:webHidden/>
          </w:rPr>
          <w:tab/>
        </w:r>
        <w:r w:rsidR="00F529F9">
          <w:rPr>
            <w:noProof/>
            <w:webHidden/>
          </w:rPr>
          <w:fldChar w:fldCharType="begin"/>
        </w:r>
        <w:r w:rsidR="00F529F9">
          <w:rPr>
            <w:noProof/>
            <w:webHidden/>
          </w:rPr>
          <w:instrText xml:space="preserve"> PAGEREF _Toc478740687 \h </w:instrText>
        </w:r>
        <w:r w:rsidR="00F529F9">
          <w:rPr>
            <w:noProof/>
            <w:webHidden/>
          </w:rPr>
        </w:r>
        <w:r w:rsidR="00F529F9">
          <w:rPr>
            <w:noProof/>
            <w:webHidden/>
          </w:rPr>
          <w:fldChar w:fldCharType="separate"/>
        </w:r>
        <w:r w:rsidR="000B11B4">
          <w:rPr>
            <w:noProof/>
            <w:webHidden/>
          </w:rPr>
          <w:t>39</w:t>
        </w:r>
        <w:r w:rsidR="00F529F9">
          <w:rPr>
            <w:noProof/>
            <w:webHidden/>
          </w:rPr>
          <w:fldChar w:fldCharType="end"/>
        </w:r>
      </w:hyperlink>
    </w:p>
    <w:p w14:paraId="315FA9D6" w14:textId="28DB61C3" w:rsidR="00F529F9" w:rsidRDefault="008A29EE">
      <w:pPr>
        <w:pStyle w:val="TOC1"/>
        <w:rPr>
          <w:rFonts w:asciiTheme="minorHAnsi" w:eastAsiaTheme="minorEastAsia" w:hAnsiTheme="minorHAnsi" w:cstheme="minorBidi"/>
          <w:b w:val="0"/>
          <w:noProof/>
          <w:color w:val="auto"/>
          <w:szCs w:val="22"/>
          <w:lang w:eastAsia="en-AU"/>
        </w:rPr>
      </w:pPr>
      <w:hyperlink w:anchor="_Toc478740688" w:history="1">
        <w:r w:rsidR="00F529F9" w:rsidRPr="00AC7FF2">
          <w:rPr>
            <w:rStyle w:val="Hyperlink"/>
            <w:noProof/>
          </w:rPr>
          <w:t>5. Ensuring the system is fit for purpose and builds community confidence</w:t>
        </w:r>
        <w:r w:rsidR="00F529F9">
          <w:rPr>
            <w:noProof/>
            <w:webHidden/>
          </w:rPr>
          <w:tab/>
        </w:r>
        <w:r w:rsidR="00F529F9">
          <w:rPr>
            <w:noProof/>
            <w:webHidden/>
          </w:rPr>
          <w:fldChar w:fldCharType="begin"/>
        </w:r>
        <w:r w:rsidR="00F529F9">
          <w:rPr>
            <w:noProof/>
            <w:webHidden/>
          </w:rPr>
          <w:instrText xml:space="preserve"> PAGEREF _Toc478740688 \h </w:instrText>
        </w:r>
        <w:r w:rsidR="00F529F9">
          <w:rPr>
            <w:noProof/>
            <w:webHidden/>
          </w:rPr>
        </w:r>
        <w:r w:rsidR="00F529F9">
          <w:rPr>
            <w:noProof/>
            <w:webHidden/>
          </w:rPr>
          <w:fldChar w:fldCharType="separate"/>
        </w:r>
        <w:r w:rsidR="000B11B4">
          <w:rPr>
            <w:noProof/>
            <w:webHidden/>
          </w:rPr>
          <w:t>43</w:t>
        </w:r>
        <w:r w:rsidR="00F529F9">
          <w:rPr>
            <w:noProof/>
            <w:webHidden/>
          </w:rPr>
          <w:fldChar w:fldCharType="end"/>
        </w:r>
      </w:hyperlink>
    </w:p>
    <w:p w14:paraId="3E033C0D" w14:textId="03425108" w:rsidR="00F529F9" w:rsidRDefault="008A29EE">
      <w:pPr>
        <w:pStyle w:val="TOC2"/>
        <w:rPr>
          <w:rFonts w:asciiTheme="minorHAnsi" w:eastAsiaTheme="minorEastAsia" w:hAnsiTheme="minorHAnsi" w:cstheme="minorBidi"/>
          <w:noProof/>
          <w:color w:val="auto"/>
          <w:szCs w:val="22"/>
          <w:lang w:eastAsia="en-AU"/>
        </w:rPr>
      </w:pPr>
      <w:hyperlink w:anchor="_Toc478740689" w:history="1">
        <w:r w:rsidR="00F529F9" w:rsidRPr="00AC7FF2">
          <w:rPr>
            <w:rStyle w:val="Hyperlink"/>
            <w:noProof/>
          </w:rPr>
          <w:t>Introduction</w:t>
        </w:r>
        <w:r w:rsidR="00F529F9">
          <w:rPr>
            <w:noProof/>
            <w:webHidden/>
          </w:rPr>
          <w:tab/>
        </w:r>
        <w:r w:rsidR="00F529F9">
          <w:rPr>
            <w:noProof/>
            <w:webHidden/>
          </w:rPr>
          <w:fldChar w:fldCharType="begin"/>
        </w:r>
        <w:r w:rsidR="00F529F9">
          <w:rPr>
            <w:noProof/>
            <w:webHidden/>
          </w:rPr>
          <w:instrText xml:space="preserve"> PAGEREF _Toc478740689 \h </w:instrText>
        </w:r>
        <w:r w:rsidR="00F529F9">
          <w:rPr>
            <w:noProof/>
            <w:webHidden/>
          </w:rPr>
        </w:r>
        <w:r w:rsidR="00F529F9">
          <w:rPr>
            <w:noProof/>
            <w:webHidden/>
          </w:rPr>
          <w:fldChar w:fldCharType="separate"/>
        </w:r>
        <w:r w:rsidR="000B11B4">
          <w:rPr>
            <w:noProof/>
            <w:webHidden/>
          </w:rPr>
          <w:t>43</w:t>
        </w:r>
        <w:r w:rsidR="00F529F9">
          <w:rPr>
            <w:noProof/>
            <w:webHidden/>
          </w:rPr>
          <w:fldChar w:fldCharType="end"/>
        </w:r>
      </w:hyperlink>
    </w:p>
    <w:p w14:paraId="1D23993D" w14:textId="222B558F" w:rsidR="00F529F9" w:rsidRDefault="008A29EE">
      <w:pPr>
        <w:pStyle w:val="TOC2"/>
        <w:rPr>
          <w:rFonts w:asciiTheme="minorHAnsi" w:eastAsiaTheme="minorEastAsia" w:hAnsiTheme="minorHAnsi" w:cstheme="minorBidi"/>
          <w:noProof/>
          <w:color w:val="auto"/>
          <w:szCs w:val="22"/>
          <w:lang w:eastAsia="en-AU"/>
        </w:rPr>
      </w:pPr>
      <w:hyperlink w:anchor="_Toc478740690" w:history="1">
        <w:r w:rsidR="00F529F9" w:rsidRPr="00AC7FF2">
          <w:rPr>
            <w:rStyle w:val="Hyperlink"/>
            <w:noProof/>
          </w:rPr>
          <w:t>Optimising compliance through an effective penalty framework</w:t>
        </w:r>
        <w:r w:rsidR="00F529F9">
          <w:rPr>
            <w:noProof/>
            <w:webHidden/>
          </w:rPr>
          <w:tab/>
        </w:r>
        <w:r w:rsidR="00F529F9">
          <w:rPr>
            <w:noProof/>
            <w:webHidden/>
          </w:rPr>
          <w:fldChar w:fldCharType="begin"/>
        </w:r>
        <w:r w:rsidR="00F529F9">
          <w:rPr>
            <w:noProof/>
            <w:webHidden/>
          </w:rPr>
          <w:instrText xml:space="preserve"> PAGEREF _Toc478740690 \h </w:instrText>
        </w:r>
        <w:r w:rsidR="00F529F9">
          <w:rPr>
            <w:noProof/>
            <w:webHidden/>
          </w:rPr>
        </w:r>
        <w:r w:rsidR="00F529F9">
          <w:rPr>
            <w:noProof/>
            <w:webHidden/>
          </w:rPr>
          <w:fldChar w:fldCharType="separate"/>
        </w:r>
        <w:r w:rsidR="000B11B4">
          <w:rPr>
            <w:noProof/>
            <w:webHidden/>
          </w:rPr>
          <w:t>43</w:t>
        </w:r>
        <w:r w:rsidR="00F529F9">
          <w:rPr>
            <w:noProof/>
            <w:webHidden/>
          </w:rPr>
          <w:fldChar w:fldCharType="end"/>
        </w:r>
      </w:hyperlink>
    </w:p>
    <w:p w14:paraId="79BA7CD1" w14:textId="737E0486" w:rsidR="00F529F9" w:rsidRDefault="008A29EE">
      <w:pPr>
        <w:pStyle w:val="TOC2"/>
        <w:rPr>
          <w:rFonts w:asciiTheme="minorHAnsi" w:eastAsiaTheme="minorEastAsia" w:hAnsiTheme="minorHAnsi" w:cstheme="minorBidi"/>
          <w:noProof/>
          <w:color w:val="auto"/>
          <w:szCs w:val="22"/>
          <w:lang w:eastAsia="en-AU"/>
        </w:rPr>
      </w:pPr>
      <w:hyperlink w:anchor="_Toc478740691" w:history="1">
        <w:r w:rsidR="00F529F9" w:rsidRPr="00AC7FF2">
          <w:rPr>
            <w:rStyle w:val="Hyperlink"/>
            <w:noProof/>
          </w:rPr>
          <w:t>Clarifying the law regarding salary sacrifice agreements</w:t>
        </w:r>
        <w:r w:rsidR="00F529F9">
          <w:rPr>
            <w:noProof/>
            <w:webHidden/>
          </w:rPr>
          <w:tab/>
        </w:r>
        <w:r w:rsidR="00F529F9">
          <w:rPr>
            <w:noProof/>
            <w:webHidden/>
          </w:rPr>
          <w:fldChar w:fldCharType="begin"/>
        </w:r>
        <w:r w:rsidR="00F529F9">
          <w:rPr>
            <w:noProof/>
            <w:webHidden/>
          </w:rPr>
          <w:instrText xml:space="preserve"> PAGEREF _Toc478740691 \h </w:instrText>
        </w:r>
        <w:r w:rsidR="00F529F9">
          <w:rPr>
            <w:noProof/>
            <w:webHidden/>
          </w:rPr>
        </w:r>
        <w:r w:rsidR="00F529F9">
          <w:rPr>
            <w:noProof/>
            <w:webHidden/>
          </w:rPr>
          <w:fldChar w:fldCharType="separate"/>
        </w:r>
        <w:r w:rsidR="000B11B4">
          <w:rPr>
            <w:noProof/>
            <w:webHidden/>
          </w:rPr>
          <w:t>47</w:t>
        </w:r>
        <w:r w:rsidR="00F529F9">
          <w:rPr>
            <w:noProof/>
            <w:webHidden/>
          </w:rPr>
          <w:fldChar w:fldCharType="end"/>
        </w:r>
      </w:hyperlink>
    </w:p>
    <w:p w14:paraId="02535EF5" w14:textId="448074A7" w:rsidR="00F529F9" w:rsidRDefault="008A29EE">
      <w:pPr>
        <w:pStyle w:val="TOC2"/>
        <w:rPr>
          <w:rFonts w:asciiTheme="minorHAnsi" w:eastAsiaTheme="minorEastAsia" w:hAnsiTheme="minorHAnsi" w:cstheme="minorBidi"/>
          <w:noProof/>
          <w:color w:val="auto"/>
          <w:szCs w:val="22"/>
          <w:lang w:eastAsia="en-AU"/>
        </w:rPr>
      </w:pPr>
      <w:hyperlink w:anchor="_Toc478740692" w:history="1">
        <w:r w:rsidR="00F529F9" w:rsidRPr="00AC7FF2">
          <w:rPr>
            <w:rStyle w:val="Hyperlink"/>
            <w:noProof/>
          </w:rPr>
          <w:t>Helping employers understand their obligations</w:t>
        </w:r>
        <w:r w:rsidR="00F529F9">
          <w:rPr>
            <w:noProof/>
            <w:webHidden/>
          </w:rPr>
          <w:tab/>
        </w:r>
        <w:r w:rsidR="00F529F9">
          <w:rPr>
            <w:noProof/>
            <w:webHidden/>
          </w:rPr>
          <w:fldChar w:fldCharType="begin"/>
        </w:r>
        <w:r w:rsidR="00F529F9">
          <w:rPr>
            <w:noProof/>
            <w:webHidden/>
          </w:rPr>
          <w:instrText xml:space="preserve"> PAGEREF _Toc478740692 \h </w:instrText>
        </w:r>
        <w:r w:rsidR="00F529F9">
          <w:rPr>
            <w:noProof/>
            <w:webHidden/>
          </w:rPr>
        </w:r>
        <w:r w:rsidR="00F529F9">
          <w:rPr>
            <w:noProof/>
            <w:webHidden/>
          </w:rPr>
          <w:fldChar w:fldCharType="separate"/>
        </w:r>
        <w:r w:rsidR="000B11B4">
          <w:rPr>
            <w:noProof/>
            <w:webHidden/>
          </w:rPr>
          <w:t>49</w:t>
        </w:r>
        <w:r w:rsidR="00F529F9">
          <w:rPr>
            <w:noProof/>
            <w:webHidden/>
          </w:rPr>
          <w:fldChar w:fldCharType="end"/>
        </w:r>
      </w:hyperlink>
    </w:p>
    <w:p w14:paraId="536E883D" w14:textId="0F07FAC5" w:rsidR="00F529F9" w:rsidRDefault="008A29EE">
      <w:pPr>
        <w:pStyle w:val="TOC2"/>
        <w:rPr>
          <w:rFonts w:asciiTheme="minorHAnsi" w:eastAsiaTheme="minorEastAsia" w:hAnsiTheme="minorHAnsi" w:cstheme="minorBidi"/>
          <w:noProof/>
          <w:color w:val="auto"/>
          <w:szCs w:val="22"/>
          <w:lang w:eastAsia="en-AU"/>
        </w:rPr>
      </w:pPr>
      <w:hyperlink w:anchor="_Toc478740693" w:history="1">
        <w:r w:rsidR="00F529F9" w:rsidRPr="00AC7FF2">
          <w:rPr>
            <w:rStyle w:val="Hyperlink"/>
            <w:noProof/>
          </w:rPr>
          <w:t>Helping employees understand their entitlements</w:t>
        </w:r>
        <w:r w:rsidR="00F529F9">
          <w:rPr>
            <w:noProof/>
            <w:webHidden/>
          </w:rPr>
          <w:tab/>
        </w:r>
        <w:r w:rsidR="00F529F9">
          <w:rPr>
            <w:noProof/>
            <w:webHidden/>
          </w:rPr>
          <w:fldChar w:fldCharType="begin"/>
        </w:r>
        <w:r w:rsidR="00F529F9">
          <w:rPr>
            <w:noProof/>
            <w:webHidden/>
          </w:rPr>
          <w:instrText xml:space="preserve"> PAGEREF _Toc478740693 \h </w:instrText>
        </w:r>
        <w:r w:rsidR="00F529F9">
          <w:rPr>
            <w:noProof/>
            <w:webHidden/>
          </w:rPr>
        </w:r>
        <w:r w:rsidR="00F529F9">
          <w:rPr>
            <w:noProof/>
            <w:webHidden/>
          </w:rPr>
          <w:fldChar w:fldCharType="separate"/>
        </w:r>
        <w:r w:rsidR="000B11B4">
          <w:rPr>
            <w:noProof/>
            <w:webHidden/>
          </w:rPr>
          <w:t>50</w:t>
        </w:r>
        <w:r w:rsidR="00F529F9">
          <w:rPr>
            <w:noProof/>
            <w:webHidden/>
          </w:rPr>
          <w:fldChar w:fldCharType="end"/>
        </w:r>
      </w:hyperlink>
    </w:p>
    <w:p w14:paraId="526D5E95" w14:textId="402C11B6" w:rsidR="00F529F9" w:rsidRDefault="008A29EE">
      <w:pPr>
        <w:pStyle w:val="TOC1"/>
        <w:rPr>
          <w:rFonts w:asciiTheme="minorHAnsi" w:eastAsiaTheme="minorEastAsia" w:hAnsiTheme="minorHAnsi" w:cstheme="minorBidi"/>
          <w:b w:val="0"/>
          <w:noProof/>
          <w:color w:val="auto"/>
          <w:szCs w:val="22"/>
          <w:lang w:eastAsia="en-AU"/>
        </w:rPr>
      </w:pPr>
      <w:hyperlink w:anchor="_Toc478740694" w:history="1">
        <w:r w:rsidR="00F529F9" w:rsidRPr="00AC7FF2">
          <w:rPr>
            <w:rStyle w:val="Hyperlink"/>
            <w:noProof/>
          </w:rPr>
          <w:t>Appendix A</w:t>
        </w:r>
        <w:r w:rsidR="00F529F9">
          <w:rPr>
            <w:noProof/>
            <w:webHidden/>
          </w:rPr>
          <w:tab/>
        </w:r>
        <w:r w:rsidR="00F529F9">
          <w:rPr>
            <w:noProof/>
            <w:webHidden/>
          </w:rPr>
          <w:fldChar w:fldCharType="begin"/>
        </w:r>
        <w:r w:rsidR="00F529F9">
          <w:rPr>
            <w:noProof/>
            <w:webHidden/>
          </w:rPr>
          <w:instrText xml:space="preserve"> PAGEREF _Toc478740694 \h </w:instrText>
        </w:r>
        <w:r w:rsidR="00F529F9">
          <w:rPr>
            <w:noProof/>
            <w:webHidden/>
          </w:rPr>
        </w:r>
        <w:r w:rsidR="00F529F9">
          <w:rPr>
            <w:noProof/>
            <w:webHidden/>
          </w:rPr>
          <w:fldChar w:fldCharType="separate"/>
        </w:r>
        <w:r w:rsidR="000B11B4">
          <w:rPr>
            <w:noProof/>
            <w:webHidden/>
          </w:rPr>
          <w:t>53</w:t>
        </w:r>
        <w:r w:rsidR="00F529F9">
          <w:rPr>
            <w:noProof/>
            <w:webHidden/>
          </w:rPr>
          <w:fldChar w:fldCharType="end"/>
        </w:r>
      </w:hyperlink>
    </w:p>
    <w:p w14:paraId="48D2637A" w14:textId="75B04B28" w:rsidR="00F529F9" w:rsidRDefault="008A29EE">
      <w:pPr>
        <w:pStyle w:val="TOC2"/>
        <w:rPr>
          <w:rFonts w:asciiTheme="minorHAnsi" w:eastAsiaTheme="minorEastAsia" w:hAnsiTheme="minorHAnsi" w:cstheme="minorBidi"/>
          <w:noProof/>
          <w:color w:val="auto"/>
          <w:szCs w:val="22"/>
          <w:lang w:eastAsia="en-AU"/>
        </w:rPr>
      </w:pPr>
      <w:hyperlink w:anchor="_Toc478740695" w:history="1">
        <w:r w:rsidR="00F529F9" w:rsidRPr="00AC7FF2">
          <w:rPr>
            <w:rStyle w:val="Hyperlink"/>
            <w:noProof/>
          </w:rPr>
          <w:t>Terms of Reference</w:t>
        </w:r>
        <w:r w:rsidR="00F529F9">
          <w:rPr>
            <w:noProof/>
            <w:webHidden/>
          </w:rPr>
          <w:tab/>
        </w:r>
        <w:r w:rsidR="00F529F9">
          <w:rPr>
            <w:noProof/>
            <w:webHidden/>
          </w:rPr>
          <w:fldChar w:fldCharType="begin"/>
        </w:r>
        <w:r w:rsidR="00F529F9">
          <w:rPr>
            <w:noProof/>
            <w:webHidden/>
          </w:rPr>
          <w:instrText xml:space="preserve"> PAGEREF _Toc478740695 \h </w:instrText>
        </w:r>
        <w:r w:rsidR="00F529F9">
          <w:rPr>
            <w:noProof/>
            <w:webHidden/>
          </w:rPr>
        </w:r>
        <w:r w:rsidR="00F529F9">
          <w:rPr>
            <w:noProof/>
            <w:webHidden/>
          </w:rPr>
          <w:fldChar w:fldCharType="separate"/>
        </w:r>
        <w:r w:rsidR="000B11B4">
          <w:rPr>
            <w:noProof/>
            <w:webHidden/>
          </w:rPr>
          <w:t>53</w:t>
        </w:r>
        <w:r w:rsidR="00F529F9">
          <w:rPr>
            <w:noProof/>
            <w:webHidden/>
          </w:rPr>
          <w:fldChar w:fldCharType="end"/>
        </w:r>
      </w:hyperlink>
    </w:p>
    <w:p w14:paraId="4A3F27FF" w14:textId="074027C9" w:rsidR="00F529F9" w:rsidRDefault="008A29EE">
      <w:pPr>
        <w:pStyle w:val="TOC1"/>
        <w:rPr>
          <w:rFonts w:asciiTheme="minorHAnsi" w:eastAsiaTheme="minorEastAsia" w:hAnsiTheme="minorHAnsi" w:cstheme="minorBidi"/>
          <w:b w:val="0"/>
          <w:noProof/>
          <w:color w:val="auto"/>
          <w:szCs w:val="22"/>
          <w:lang w:eastAsia="en-AU"/>
        </w:rPr>
      </w:pPr>
      <w:hyperlink w:anchor="_Toc478740696" w:history="1">
        <w:r w:rsidR="00F529F9" w:rsidRPr="00AC7FF2">
          <w:rPr>
            <w:rStyle w:val="Hyperlink"/>
            <w:noProof/>
          </w:rPr>
          <w:t>Appendix B</w:t>
        </w:r>
        <w:r w:rsidR="00F529F9">
          <w:rPr>
            <w:noProof/>
            <w:webHidden/>
          </w:rPr>
          <w:tab/>
        </w:r>
        <w:r w:rsidR="00F529F9">
          <w:rPr>
            <w:noProof/>
            <w:webHidden/>
          </w:rPr>
          <w:fldChar w:fldCharType="begin"/>
        </w:r>
        <w:r w:rsidR="00F529F9">
          <w:rPr>
            <w:noProof/>
            <w:webHidden/>
          </w:rPr>
          <w:instrText xml:space="preserve"> PAGEREF _Toc478740696 \h </w:instrText>
        </w:r>
        <w:r w:rsidR="00F529F9">
          <w:rPr>
            <w:noProof/>
            <w:webHidden/>
          </w:rPr>
        </w:r>
        <w:r w:rsidR="00F529F9">
          <w:rPr>
            <w:noProof/>
            <w:webHidden/>
          </w:rPr>
          <w:fldChar w:fldCharType="separate"/>
        </w:r>
        <w:r w:rsidR="000B11B4">
          <w:rPr>
            <w:noProof/>
            <w:webHidden/>
          </w:rPr>
          <w:t>54</w:t>
        </w:r>
        <w:r w:rsidR="00F529F9">
          <w:rPr>
            <w:noProof/>
            <w:webHidden/>
          </w:rPr>
          <w:fldChar w:fldCharType="end"/>
        </w:r>
      </w:hyperlink>
    </w:p>
    <w:p w14:paraId="73EE31F5" w14:textId="4342ECDC" w:rsidR="00F529F9" w:rsidRDefault="008A29EE">
      <w:pPr>
        <w:pStyle w:val="TOC2"/>
        <w:rPr>
          <w:rFonts w:asciiTheme="minorHAnsi" w:eastAsiaTheme="minorEastAsia" w:hAnsiTheme="minorHAnsi" w:cstheme="minorBidi"/>
          <w:noProof/>
          <w:color w:val="auto"/>
          <w:szCs w:val="22"/>
          <w:lang w:eastAsia="en-AU"/>
        </w:rPr>
      </w:pPr>
      <w:hyperlink w:anchor="_Toc478740697" w:history="1">
        <w:r w:rsidR="00F529F9" w:rsidRPr="00AC7FF2">
          <w:rPr>
            <w:rStyle w:val="Hyperlink"/>
            <w:noProof/>
          </w:rPr>
          <w:t>Working group agencies</w:t>
        </w:r>
        <w:r w:rsidR="00F529F9">
          <w:rPr>
            <w:noProof/>
            <w:webHidden/>
          </w:rPr>
          <w:tab/>
        </w:r>
        <w:r w:rsidR="00F529F9">
          <w:rPr>
            <w:noProof/>
            <w:webHidden/>
          </w:rPr>
          <w:fldChar w:fldCharType="begin"/>
        </w:r>
        <w:r w:rsidR="00F529F9">
          <w:rPr>
            <w:noProof/>
            <w:webHidden/>
          </w:rPr>
          <w:instrText xml:space="preserve"> PAGEREF _Toc478740697 \h </w:instrText>
        </w:r>
        <w:r w:rsidR="00F529F9">
          <w:rPr>
            <w:noProof/>
            <w:webHidden/>
          </w:rPr>
        </w:r>
        <w:r w:rsidR="00F529F9">
          <w:rPr>
            <w:noProof/>
            <w:webHidden/>
          </w:rPr>
          <w:fldChar w:fldCharType="separate"/>
        </w:r>
        <w:r w:rsidR="000B11B4">
          <w:rPr>
            <w:noProof/>
            <w:webHidden/>
          </w:rPr>
          <w:t>54</w:t>
        </w:r>
        <w:r w:rsidR="00F529F9">
          <w:rPr>
            <w:noProof/>
            <w:webHidden/>
          </w:rPr>
          <w:fldChar w:fldCharType="end"/>
        </w:r>
      </w:hyperlink>
    </w:p>
    <w:p w14:paraId="13FF796B" w14:textId="79859F84" w:rsidR="00F529F9" w:rsidRDefault="008A29EE">
      <w:pPr>
        <w:pStyle w:val="TOC1"/>
        <w:rPr>
          <w:rFonts w:asciiTheme="minorHAnsi" w:eastAsiaTheme="minorEastAsia" w:hAnsiTheme="minorHAnsi" w:cstheme="minorBidi"/>
          <w:b w:val="0"/>
          <w:noProof/>
          <w:color w:val="auto"/>
          <w:szCs w:val="22"/>
          <w:lang w:eastAsia="en-AU"/>
        </w:rPr>
      </w:pPr>
      <w:hyperlink w:anchor="_Toc478740698" w:history="1">
        <w:r w:rsidR="00F529F9" w:rsidRPr="00AC7FF2">
          <w:rPr>
            <w:rStyle w:val="Hyperlink"/>
            <w:noProof/>
          </w:rPr>
          <w:t>Appendix C</w:t>
        </w:r>
        <w:r w:rsidR="00F529F9">
          <w:rPr>
            <w:noProof/>
            <w:webHidden/>
          </w:rPr>
          <w:tab/>
        </w:r>
        <w:r w:rsidR="00F529F9">
          <w:rPr>
            <w:noProof/>
            <w:webHidden/>
          </w:rPr>
          <w:fldChar w:fldCharType="begin"/>
        </w:r>
        <w:r w:rsidR="00F529F9">
          <w:rPr>
            <w:noProof/>
            <w:webHidden/>
          </w:rPr>
          <w:instrText xml:space="preserve"> PAGEREF _Toc478740698 \h </w:instrText>
        </w:r>
        <w:r w:rsidR="00F529F9">
          <w:rPr>
            <w:noProof/>
            <w:webHidden/>
          </w:rPr>
        </w:r>
        <w:r w:rsidR="00F529F9">
          <w:rPr>
            <w:noProof/>
            <w:webHidden/>
          </w:rPr>
          <w:fldChar w:fldCharType="separate"/>
        </w:r>
        <w:r w:rsidR="000B11B4">
          <w:rPr>
            <w:noProof/>
            <w:webHidden/>
          </w:rPr>
          <w:t>57</w:t>
        </w:r>
        <w:r w:rsidR="00F529F9">
          <w:rPr>
            <w:noProof/>
            <w:webHidden/>
          </w:rPr>
          <w:fldChar w:fldCharType="end"/>
        </w:r>
      </w:hyperlink>
    </w:p>
    <w:p w14:paraId="4AE1C9A0" w14:textId="164584DD" w:rsidR="00F529F9" w:rsidRDefault="008A29EE">
      <w:pPr>
        <w:pStyle w:val="TOC2"/>
        <w:rPr>
          <w:rFonts w:asciiTheme="minorHAnsi" w:eastAsiaTheme="minorEastAsia" w:hAnsiTheme="minorHAnsi" w:cstheme="minorBidi"/>
          <w:noProof/>
          <w:color w:val="auto"/>
          <w:szCs w:val="22"/>
          <w:lang w:eastAsia="en-AU"/>
        </w:rPr>
      </w:pPr>
      <w:hyperlink w:anchor="_Toc478740699" w:history="1">
        <w:r w:rsidR="00F529F9" w:rsidRPr="00AC7FF2">
          <w:rPr>
            <w:rStyle w:val="Hyperlink"/>
            <w:noProof/>
          </w:rPr>
          <w:t>Superannuation guarantee framework and operation</w:t>
        </w:r>
        <w:r w:rsidR="00F529F9">
          <w:rPr>
            <w:noProof/>
            <w:webHidden/>
          </w:rPr>
          <w:tab/>
        </w:r>
        <w:r w:rsidR="00F529F9">
          <w:rPr>
            <w:noProof/>
            <w:webHidden/>
          </w:rPr>
          <w:fldChar w:fldCharType="begin"/>
        </w:r>
        <w:r w:rsidR="00F529F9">
          <w:rPr>
            <w:noProof/>
            <w:webHidden/>
          </w:rPr>
          <w:instrText xml:space="preserve"> PAGEREF _Toc478740699 \h </w:instrText>
        </w:r>
        <w:r w:rsidR="00F529F9">
          <w:rPr>
            <w:noProof/>
            <w:webHidden/>
          </w:rPr>
        </w:r>
        <w:r w:rsidR="00F529F9">
          <w:rPr>
            <w:noProof/>
            <w:webHidden/>
          </w:rPr>
          <w:fldChar w:fldCharType="separate"/>
        </w:r>
        <w:r w:rsidR="000B11B4">
          <w:rPr>
            <w:noProof/>
            <w:webHidden/>
          </w:rPr>
          <w:t>57</w:t>
        </w:r>
        <w:r w:rsidR="00F529F9">
          <w:rPr>
            <w:noProof/>
            <w:webHidden/>
          </w:rPr>
          <w:fldChar w:fldCharType="end"/>
        </w:r>
      </w:hyperlink>
    </w:p>
    <w:p w14:paraId="5300CB1A" w14:textId="0406DA25" w:rsidR="00F529F9" w:rsidRDefault="008A29EE">
      <w:pPr>
        <w:pStyle w:val="TOC1"/>
        <w:rPr>
          <w:rFonts w:asciiTheme="minorHAnsi" w:eastAsiaTheme="minorEastAsia" w:hAnsiTheme="minorHAnsi" w:cstheme="minorBidi"/>
          <w:b w:val="0"/>
          <w:noProof/>
          <w:color w:val="auto"/>
          <w:szCs w:val="22"/>
          <w:lang w:eastAsia="en-AU"/>
        </w:rPr>
      </w:pPr>
      <w:hyperlink w:anchor="_Toc478740700" w:history="1">
        <w:r w:rsidR="00F529F9" w:rsidRPr="00AC7FF2">
          <w:rPr>
            <w:rStyle w:val="Hyperlink"/>
            <w:noProof/>
          </w:rPr>
          <w:t>Appendix D</w:t>
        </w:r>
        <w:r w:rsidR="00F529F9">
          <w:rPr>
            <w:noProof/>
            <w:webHidden/>
          </w:rPr>
          <w:tab/>
        </w:r>
        <w:r w:rsidR="00F529F9">
          <w:rPr>
            <w:noProof/>
            <w:webHidden/>
          </w:rPr>
          <w:fldChar w:fldCharType="begin"/>
        </w:r>
        <w:r w:rsidR="00F529F9">
          <w:rPr>
            <w:noProof/>
            <w:webHidden/>
          </w:rPr>
          <w:instrText xml:space="preserve"> PAGEREF _Toc478740700 \h </w:instrText>
        </w:r>
        <w:r w:rsidR="00F529F9">
          <w:rPr>
            <w:noProof/>
            <w:webHidden/>
          </w:rPr>
        </w:r>
        <w:r w:rsidR="00F529F9">
          <w:rPr>
            <w:noProof/>
            <w:webHidden/>
          </w:rPr>
          <w:fldChar w:fldCharType="separate"/>
        </w:r>
        <w:r w:rsidR="000B11B4">
          <w:rPr>
            <w:noProof/>
            <w:webHidden/>
          </w:rPr>
          <w:t>62</w:t>
        </w:r>
        <w:r w:rsidR="00F529F9">
          <w:rPr>
            <w:noProof/>
            <w:webHidden/>
          </w:rPr>
          <w:fldChar w:fldCharType="end"/>
        </w:r>
      </w:hyperlink>
    </w:p>
    <w:p w14:paraId="607C8553" w14:textId="15EB7857" w:rsidR="00F529F9" w:rsidRDefault="008A29EE">
      <w:pPr>
        <w:pStyle w:val="TOC2"/>
        <w:rPr>
          <w:rFonts w:asciiTheme="minorHAnsi" w:eastAsiaTheme="minorEastAsia" w:hAnsiTheme="minorHAnsi" w:cstheme="minorBidi"/>
          <w:noProof/>
          <w:color w:val="auto"/>
          <w:szCs w:val="22"/>
          <w:lang w:eastAsia="en-AU"/>
        </w:rPr>
      </w:pPr>
      <w:hyperlink w:anchor="_Toc478740701" w:history="1">
        <w:r w:rsidR="00F529F9" w:rsidRPr="00AC7FF2">
          <w:rPr>
            <w:rStyle w:val="Hyperlink"/>
            <w:noProof/>
          </w:rPr>
          <w:t>ISA estimates of superannuation guarantee compliance</w:t>
        </w:r>
        <w:r w:rsidR="00F529F9">
          <w:rPr>
            <w:noProof/>
            <w:webHidden/>
          </w:rPr>
          <w:tab/>
        </w:r>
        <w:r w:rsidR="00F529F9">
          <w:rPr>
            <w:noProof/>
            <w:webHidden/>
          </w:rPr>
          <w:fldChar w:fldCharType="begin"/>
        </w:r>
        <w:r w:rsidR="00F529F9">
          <w:rPr>
            <w:noProof/>
            <w:webHidden/>
          </w:rPr>
          <w:instrText xml:space="preserve"> PAGEREF _Toc478740701 \h </w:instrText>
        </w:r>
        <w:r w:rsidR="00F529F9">
          <w:rPr>
            <w:noProof/>
            <w:webHidden/>
          </w:rPr>
        </w:r>
        <w:r w:rsidR="00F529F9">
          <w:rPr>
            <w:noProof/>
            <w:webHidden/>
          </w:rPr>
          <w:fldChar w:fldCharType="separate"/>
        </w:r>
        <w:r w:rsidR="000B11B4">
          <w:rPr>
            <w:noProof/>
            <w:webHidden/>
          </w:rPr>
          <w:t>62</w:t>
        </w:r>
        <w:r w:rsidR="00F529F9">
          <w:rPr>
            <w:noProof/>
            <w:webHidden/>
          </w:rPr>
          <w:fldChar w:fldCharType="end"/>
        </w:r>
      </w:hyperlink>
    </w:p>
    <w:p w14:paraId="2413BC09" w14:textId="05744C3E" w:rsidR="00F529F9" w:rsidRDefault="008A29EE">
      <w:pPr>
        <w:pStyle w:val="TOC1"/>
        <w:rPr>
          <w:rFonts w:asciiTheme="minorHAnsi" w:eastAsiaTheme="minorEastAsia" w:hAnsiTheme="minorHAnsi" w:cstheme="minorBidi"/>
          <w:b w:val="0"/>
          <w:noProof/>
          <w:color w:val="auto"/>
          <w:szCs w:val="22"/>
          <w:lang w:eastAsia="en-AU"/>
        </w:rPr>
      </w:pPr>
      <w:hyperlink w:anchor="_Toc478740702" w:history="1">
        <w:r w:rsidR="00F529F9" w:rsidRPr="00AC7FF2">
          <w:rPr>
            <w:rStyle w:val="Hyperlink"/>
            <w:noProof/>
          </w:rPr>
          <w:t>Appendix E</w:t>
        </w:r>
        <w:r w:rsidR="00F529F9">
          <w:rPr>
            <w:noProof/>
            <w:webHidden/>
          </w:rPr>
          <w:tab/>
        </w:r>
        <w:r w:rsidR="00F529F9">
          <w:rPr>
            <w:noProof/>
            <w:webHidden/>
          </w:rPr>
          <w:fldChar w:fldCharType="begin"/>
        </w:r>
        <w:r w:rsidR="00F529F9">
          <w:rPr>
            <w:noProof/>
            <w:webHidden/>
          </w:rPr>
          <w:instrText xml:space="preserve"> PAGEREF _Toc478740702 \h </w:instrText>
        </w:r>
        <w:r w:rsidR="00F529F9">
          <w:rPr>
            <w:noProof/>
            <w:webHidden/>
          </w:rPr>
        </w:r>
        <w:r w:rsidR="00F529F9">
          <w:rPr>
            <w:noProof/>
            <w:webHidden/>
          </w:rPr>
          <w:fldChar w:fldCharType="separate"/>
        </w:r>
        <w:r w:rsidR="000B11B4">
          <w:rPr>
            <w:noProof/>
            <w:webHidden/>
          </w:rPr>
          <w:t>72</w:t>
        </w:r>
        <w:r w:rsidR="00F529F9">
          <w:rPr>
            <w:noProof/>
            <w:webHidden/>
          </w:rPr>
          <w:fldChar w:fldCharType="end"/>
        </w:r>
      </w:hyperlink>
    </w:p>
    <w:p w14:paraId="24217AEA" w14:textId="599DA78F" w:rsidR="00F529F9" w:rsidRDefault="008A29EE">
      <w:pPr>
        <w:pStyle w:val="TOC2"/>
        <w:rPr>
          <w:rFonts w:asciiTheme="minorHAnsi" w:eastAsiaTheme="minorEastAsia" w:hAnsiTheme="minorHAnsi" w:cstheme="minorBidi"/>
          <w:noProof/>
          <w:color w:val="auto"/>
          <w:szCs w:val="22"/>
          <w:lang w:eastAsia="en-AU"/>
        </w:rPr>
      </w:pPr>
      <w:hyperlink w:anchor="_Toc478740703" w:history="1">
        <w:r w:rsidR="00F529F9" w:rsidRPr="00AC7FF2">
          <w:rPr>
            <w:rStyle w:val="Hyperlink"/>
            <w:noProof/>
          </w:rPr>
          <w:t>SuperStream</w:t>
        </w:r>
        <w:r w:rsidR="00F529F9">
          <w:rPr>
            <w:noProof/>
            <w:webHidden/>
          </w:rPr>
          <w:tab/>
        </w:r>
        <w:r w:rsidR="00F529F9">
          <w:rPr>
            <w:noProof/>
            <w:webHidden/>
          </w:rPr>
          <w:fldChar w:fldCharType="begin"/>
        </w:r>
        <w:r w:rsidR="00F529F9">
          <w:rPr>
            <w:noProof/>
            <w:webHidden/>
          </w:rPr>
          <w:instrText xml:space="preserve"> PAGEREF _Toc478740703 \h </w:instrText>
        </w:r>
        <w:r w:rsidR="00F529F9">
          <w:rPr>
            <w:noProof/>
            <w:webHidden/>
          </w:rPr>
        </w:r>
        <w:r w:rsidR="00F529F9">
          <w:rPr>
            <w:noProof/>
            <w:webHidden/>
          </w:rPr>
          <w:fldChar w:fldCharType="separate"/>
        </w:r>
        <w:r w:rsidR="000B11B4">
          <w:rPr>
            <w:noProof/>
            <w:webHidden/>
          </w:rPr>
          <w:t>72</w:t>
        </w:r>
        <w:r w:rsidR="00F529F9">
          <w:rPr>
            <w:noProof/>
            <w:webHidden/>
          </w:rPr>
          <w:fldChar w:fldCharType="end"/>
        </w:r>
      </w:hyperlink>
    </w:p>
    <w:p w14:paraId="33752E16" w14:textId="10320C44" w:rsidR="00F529F9" w:rsidRDefault="008A29EE">
      <w:pPr>
        <w:pStyle w:val="TOC1"/>
        <w:rPr>
          <w:rFonts w:asciiTheme="minorHAnsi" w:eastAsiaTheme="minorEastAsia" w:hAnsiTheme="minorHAnsi" w:cstheme="minorBidi"/>
          <w:b w:val="0"/>
          <w:noProof/>
          <w:color w:val="auto"/>
          <w:szCs w:val="22"/>
          <w:lang w:eastAsia="en-AU"/>
        </w:rPr>
      </w:pPr>
      <w:hyperlink w:anchor="_Toc478740704" w:history="1">
        <w:r w:rsidR="00F529F9" w:rsidRPr="00AC7FF2">
          <w:rPr>
            <w:rStyle w:val="Hyperlink"/>
            <w:noProof/>
          </w:rPr>
          <w:t>Appendix F</w:t>
        </w:r>
        <w:r w:rsidR="00F529F9">
          <w:rPr>
            <w:noProof/>
            <w:webHidden/>
          </w:rPr>
          <w:tab/>
        </w:r>
        <w:r w:rsidR="00F529F9">
          <w:rPr>
            <w:noProof/>
            <w:webHidden/>
          </w:rPr>
          <w:fldChar w:fldCharType="begin"/>
        </w:r>
        <w:r w:rsidR="00F529F9">
          <w:rPr>
            <w:noProof/>
            <w:webHidden/>
          </w:rPr>
          <w:instrText xml:space="preserve"> PAGEREF _Toc478740704 \h </w:instrText>
        </w:r>
        <w:r w:rsidR="00F529F9">
          <w:rPr>
            <w:noProof/>
            <w:webHidden/>
          </w:rPr>
        </w:r>
        <w:r w:rsidR="00F529F9">
          <w:rPr>
            <w:noProof/>
            <w:webHidden/>
          </w:rPr>
          <w:fldChar w:fldCharType="separate"/>
        </w:r>
        <w:r w:rsidR="000B11B4">
          <w:rPr>
            <w:noProof/>
            <w:webHidden/>
          </w:rPr>
          <w:t>74</w:t>
        </w:r>
        <w:r w:rsidR="00F529F9">
          <w:rPr>
            <w:noProof/>
            <w:webHidden/>
          </w:rPr>
          <w:fldChar w:fldCharType="end"/>
        </w:r>
      </w:hyperlink>
    </w:p>
    <w:p w14:paraId="3175DBFB" w14:textId="6B0D5515" w:rsidR="00F529F9" w:rsidRDefault="008A29EE">
      <w:pPr>
        <w:pStyle w:val="TOC2"/>
        <w:rPr>
          <w:rFonts w:asciiTheme="minorHAnsi" w:eastAsiaTheme="minorEastAsia" w:hAnsiTheme="minorHAnsi" w:cstheme="minorBidi"/>
          <w:noProof/>
          <w:color w:val="auto"/>
          <w:szCs w:val="22"/>
          <w:lang w:eastAsia="en-AU"/>
        </w:rPr>
      </w:pPr>
      <w:hyperlink w:anchor="_Toc478740705" w:history="1">
        <w:r w:rsidR="00F529F9" w:rsidRPr="00AC7FF2">
          <w:rPr>
            <w:rStyle w:val="Hyperlink"/>
            <w:noProof/>
          </w:rPr>
          <w:t>Single Touch Payroll</w:t>
        </w:r>
        <w:r w:rsidR="00F529F9">
          <w:rPr>
            <w:noProof/>
            <w:webHidden/>
          </w:rPr>
          <w:tab/>
        </w:r>
        <w:r w:rsidR="00F529F9">
          <w:rPr>
            <w:noProof/>
            <w:webHidden/>
          </w:rPr>
          <w:fldChar w:fldCharType="begin"/>
        </w:r>
        <w:r w:rsidR="00F529F9">
          <w:rPr>
            <w:noProof/>
            <w:webHidden/>
          </w:rPr>
          <w:instrText xml:space="preserve"> PAGEREF _Toc478740705 \h </w:instrText>
        </w:r>
        <w:r w:rsidR="00F529F9">
          <w:rPr>
            <w:noProof/>
            <w:webHidden/>
          </w:rPr>
        </w:r>
        <w:r w:rsidR="00F529F9">
          <w:rPr>
            <w:noProof/>
            <w:webHidden/>
          </w:rPr>
          <w:fldChar w:fldCharType="separate"/>
        </w:r>
        <w:r w:rsidR="000B11B4">
          <w:rPr>
            <w:noProof/>
            <w:webHidden/>
          </w:rPr>
          <w:t>74</w:t>
        </w:r>
        <w:r w:rsidR="00F529F9">
          <w:rPr>
            <w:noProof/>
            <w:webHidden/>
          </w:rPr>
          <w:fldChar w:fldCharType="end"/>
        </w:r>
      </w:hyperlink>
    </w:p>
    <w:p w14:paraId="11850BCC" w14:textId="7985F24C" w:rsidR="00F529F9" w:rsidRDefault="008A29EE">
      <w:pPr>
        <w:pStyle w:val="TOC1"/>
        <w:rPr>
          <w:rFonts w:asciiTheme="minorHAnsi" w:eastAsiaTheme="minorEastAsia" w:hAnsiTheme="minorHAnsi" w:cstheme="minorBidi"/>
          <w:b w:val="0"/>
          <w:noProof/>
          <w:color w:val="auto"/>
          <w:szCs w:val="22"/>
          <w:lang w:eastAsia="en-AU"/>
        </w:rPr>
      </w:pPr>
      <w:hyperlink w:anchor="_Toc478740706" w:history="1">
        <w:r w:rsidR="00F529F9" w:rsidRPr="00AC7FF2">
          <w:rPr>
            <w:rStyle w:val="Hyperlink"/>
            <w:noProof/>
          </w:rPr>
          <w:t>Appendix G</w:t>
        </w:r>
        <w:r w:rsidR="00F529F9">
          <w:rPr>
            <w:noProof/>
            <w:webHidden/>
          </w:rPr>
          <w:tab/>
        </w:r>
        <w:r w:rsidR="00F529F9">
          <w:rPr>
            <w:noProof/>
            <w:webHidden/>
          </w:rPr>
          <w:fldChar w:fldCharType="begin"/>
        </w:r>
        <w:r w:rsidR="00F529F9">
          <w:rPr>
            <w:noProof/>
            <w:webHidden/>
          </w:rPr>
          <w:instrText xml:space="preserve"> PAGEREF _Toc478740706 \h </w:instrText>
        </w:r>
        <w:r w:rsidR="00F529F9">
          <w:rPr>
            <w:noProof/>
            <w:webHidden/>
          </w:rPr>
        </w:r>
        <w:r w:rsidR="00F529F9">
          <w:rPr>
            <w:noProof/>
            <w:webHidden/>
          </w:rPr>
          <w:fldChar w:fldCharType="separate"/>
        </w:r>
        <w:r w:rsidR="000B11B4">
          <w:rPr>
            <w:noProof/>
            <w:webHidden/>
          </w:rPr>
          <w:t>76</w:t>
        </w:r>
        <w:r w:rsidR="00F529F9">
          <w:rPr>
            <w:noProof/>
            <w:webHidden/>
          </w:rPr>
          <w:fldChar w:fldCharType="end"/>
        </w:r>
      </w:hyperlink>
    </w:p>
    <w:p w14:paraId="38223BE5" w14:textId="22AD4E90" w:rsidR="00F529F9" w:rsidRDefault="008A29EE">
      <w:pPr>
        <w:pStyle w:val="TOC2"/>
        <w:rPr>
          <w:rFonts w:asciiTheme="minorHAnsi" w:eastAsiaTheme="minorEastAsia" w:hAnsiTheme="minorHAnsi" w:cstheme="minorBidi"/>
          <w:noProof/>
          <w:color w:val="auto"/>
          <w:szCs w:val="22"/>
          <w:lang w:eastAsia="en-AU"/>
        </w:rPr>
      </w:pPr>
      <w:hyperlink w:anchor="_Toc478740707" w:history="1">
        <w:r w:rsidR="00F529F9" w:rsidRPr="00AC7FF2">
          <w:rPr>
            <w:rStyle w:val="Hyperlink"/>
            <w:noProof/>
          </w:rPr>
          <w:t>Key related initiatives across government</w:t>
        </w:r>
        <w:r w:rsidR="00F529F9">
          <w:rPr>
            <w:noProof/>
            <w:webHidden/>
          </w:rPr>
          <w:tab/>
        </w:r>
        <w:r w:rsidR="00F529F9">
          <w:rPr>
            <w:noProof/>
            <w:webHidden/>
          </w:rPr>
          <w:fldChar w:fldCharType="begin"/>
        </w:r>
        <w:r w:rsidR="00F529F9">
          <w:rPr>
            <w:noProof/>
            <w:webHidden/>
          </w:rPr>
          <w:instrText xml:space="preserve"> PAGEREF _Toc478740707 \h </w:instrText>
        </w:r>
        <w:r w:rsidR="00F529F9">
          <w:rPr>
            <w:noProof/>
            <w:webHidden/>
          </w:rPr>
        </w:r>
        <w:r w:rsidR="00F529F9">
          <w:rPr>
            <w:noProof/>
            <w:webHidden/>
          </w:rPr>
          <w:fldChar w:fldCharType="separate"/>
        </w:r>
        <w:r w:rsidR="000B11B4">
          <w:rPr>
            <w:noProof/>
            <w:webHidden/>
          </w:rPr>
          <w:t>76</w:t>
        </w:r>
        <w:r w:rsidR="00F529F9">
          <w:rPr>
            <w:noProof/>
            <w:webHidden/>
          </w:rPr>
          <w:fldChar w:fldCharType="end"/>
        </w:r>
      </w:hyperlink>
    </w:p>
    <w:p w14:paraId="14608F2B" w14:textId="6DABB503" w:rsidR="00F529F9" w:rsidRDefault="008A29EE">
      <w:pPr>
        <w:pStyle w:val="TOC1"/>
        <w:rPr>
          <w:rFonts w:asciiTheme="minorHAnsi" w:eastAsiaTheme="minorEastAsia" w:hAnsiTheme="minorHAnsi" w:cstheme="minorBidi"/>
          <w:b w:val="0"/>
          <w:noProof/>
          <w:color w:val="auto"/>
          <w:szCs w:val="22"/>
          <w:lang w:eastAsia="en-AU"/>
        </w:rPr>
      </w:pPr>
      <w:hyperlink w:anchor="_Toc478740708" w:history="1">
        <w:r w:rsidR="00F529F9" w:rsidRPr="00AC7FF2">
          <w:rPr>
            <w:rStyle w:val="Hyperlink"/>
            <w:noProof/>
          </w:rPr>
          <w:t>Appendix H</w:t>
        </w:r>
        <w:r w:rsidR="00F529F9">
          <w:rPr>
            <w:noProof/>
            <w:webHidden/>
          </w:rPr>
          <w:tab/>
        </w:r>
        <w:r w:rsidR="00F529F9">
          <w:rPr>
            <w:noProof/>
            <w:webHidden/>
          </w:rPr>
          <w:fldChar w:fldCharType="begin"/>
        </w:r>
        <w:r w:rsidR="00F529F9">
          <w:rPr>
            <w:noProof/>
            <w:webHidden/>
          </w:rPr>
          <w:instrText xml:space="preserve"> PAGEREF _Toc478740708 \h </w:instrText>
        </w:r>
        <w:r w:rsidR="00F529F9">
          <w:rPr>
            <w:noProof/>
            <w:webHidden/>
          </w:rPr>
        </w:r>
        <w:r w:rsidR="00F529F9">
          <w:rPr>
            <w:noProof/>
            <w:webHidden/>
          </w:rPr>
          <w:fldChar w:fldCharType="separate"/>
        </w:r>
        <w:r w:rsidR="000B11B4">
          <w:rPr>
            <w:noProof/>
            <w:webHidden/>
          </w:rPr>
          <w:t>78</w:t>
        </w:r>
        <w:r w:rsidR="00F529F9">
          <w:rPr>
            <w:noProof/>
            <w:webHidden/>
          </w:rPr>
          <w:fldChar w:fldCharType="end"/>
        </w:r>
      </w:hyperlink>
    </w:p>
    <w:p w14:paraId="57612954" w14:textId="6F4C37F6" w:rsidR="00F529F9" w:rsidRDefault="008A29EE">
      <w:pPr>
        <w:pStyle w:val="TOC2"/>
        <w:rPr>
          <w:rFonts w:asciiTheme="minorHAnsi" w:eastAsiaTheme="minorEastAsia" w:hAnsiTheme="minorHAnsi" w:cstheme="minorBidi"/>
          <w:noProof/>
          <w:color w:val="auto"/>
          <w:szCs w:val="22"/>
          <w:lang w:eastAsia="en-AU"/>
        </w:rPr>
      </w:pPr>
      <w:hyperlink w:anchor="_Toc478740709" w:history="1">
        <w:r w:rsidR="00F529F9" w:rsidRPr="00AC7FF2">
          <w:rPr>
            <w:rStyle w:val="Hyperlink"/>
            <w:noProof/>
          </w:rPr>
          <w:t>Previous independent reviews</w:t>
        </w:r>
        <w:r w:rsidR="00F529F9">
          <w:rPr>
            <w:noProof/>
            <w:webHidden/>
          </w:rPr>
          <w:tab/>
        </w:r>
        <w:r w:rsidR="00F529F9">
          <w:rPr>
            <w:noProof/>
            <w:webHidden/>
          </w:rPr>
          <w:fldChar w:fldCharType="begin"/>
        </w:r>
        <w:r w:rsidR="00F529F9">
          <w:rPr>
            <w:noProof/>
            <w:webHidden/>
          </w:rPr>
          <w:instrText xml:space="preserve"> PAGEREF _Toc478740709 \h </w:instrText>
        </w:r>
        <w:r w:rsidR="00F529F9">
          <w:rPr>
            <w:noProof/>
            <w:webHidden/>
          </w:rPr>
        </w:r>
        <w:r w:rsidR="00F529F9">
          <w:rPr>
            <w:noProof/>
            <w:webHidden/>
          </w:rPr>
          <w:fldChar w:fldCharType="separate"/>
        </w:r>
        <w:r w:rsidR="000B11B4">
          <w:rPr>
            <w:noProof/>
            <w:webHidden/>
          </w:rPr>
          <w:t>78</w:t>
        </w:r>
        <w:r w:rsidR="00F529F9">
          <w:rPr>
            <w:noProof/>
            <w:webHidden/>
          </w:rPr>
          <w:fldChar w:fldCharType="end"/>
        </w:r>
      </w:hyperlink>
    </w:p>
    <w:p w14:paraId="6A4527B4" w14:textId="77777777" w:rsidR="00885E8A" w:rsidRDefault="00885E8A" w:rsidP="00885E8A">
      <w:r>
        <w:fldChar w:fldCharType="end"/>
      </w:r>
    </w:p>
    <w:p w14:paraId="7A110BB7" w14:textId="77777777" w:rsidR="00885E8A" w:rsidRDefault="00885E8A" w:rsidP="00885E8A"/>
    <w:p w14:paraId="7AFB57D3" w14:textId="77777777" w:rsidR="00885E8A" w:rsidRDefault="00885E8A" w:rsidP="00885E8A">
      <w:pPr>
        <w:pStyle w:val="Heading2"/>
        <w:sectPr w:rsidR="00885E8A">
          <w:headerReference w:type="default" r:id="rId17"/>
          <w:footerReference w:type="default" r:id="rId18"/>
          <w:headerReference w:type="first" r:id="rId19"/>
          <w:footerReference w:type="first" r:id="rId20"/>
          <w:pgSz w:w="11906" w:h="16838" w:code="9"/>
          <w:pgMar w:top="1418" w:right="1418" w:bottom="1418" w:left="1418" w:header="397" w:footer="454" w:gutter="0"/>
          <w:cols w:space="720"/>
          <w:titlePg/>
          <w:docGrid w:linePitch="360"/>
        </w:sectPr>
      </w:pPr>
    </w:p>
    <w:p w14:paraId="17652C85" w14:textId="77777777" w:rsidR="00C2278C" w:rsidRDefault="00C2278C" w:rsidP="00C2278C">
      <w:pPr>
        <w:pStyle w:val="Heading1"/>
        <w:framePr w:wrap="notBeside"/>
        <w:spacing w:before="0"/>
      </w:pPr>
      <w:bookmarkStart w:id="0" w:name="_Toc478651105"/>
      <w:bookmarkStart w:id="1" w:name="_Toc478651947"/>
      <w:bookmarkStart w:id="2" w:name="_Toc478654408"/>
      <w:bookmarkStart w:id="3" w:name="_Toc478655122"/>
      <w:bookmarkStart w:id="4" w:name="_Toc478656376"/>
      <w:bookmarkStart w:id="5" w:name="_Toc478657627"/>
      <w:bookmarkStart w:id="6" w:name="_Toc478716500"/>
      <w:bookmarkStart w:id="7" w:name="_Toc478718223"/>
      <w:bookmarkStart w:id="8" w:name="_Toc478718433"/>
      <w:bookmarkStart w:id="9" w:name="_Toc478738382"/>
      <w:bookmarkStart w:id="10" w:name="_Toc478740668"/>
      <w:bookmarkStart w:id="11" w:name="_Toc478485958"/>
      <w:bookmarkStart w:id="12" w:name="_Toc478501967"/>
      <w:r>
        <w:t>Executive Summary</w:t>
      </w:r>
      <w:bookmarkEnd w:id="0"/>
      <w:bookmarkEnd w:id="1"/>
      <w:bookmarkEnd w:id="2"/>
      <w:bookmarkEnd w:id="3"/>
      <w:bookmarkEnd w:id="4"/>
      <w:bookmarkEnd w:id="5"/>
      <w:bookmarkEnd w:id="6"/>
      <w:bookmarkEnd w:id="7"/>
      <w:bookmarkEnd w:id="8"/>
      <w:bookmarkEnd w:id="9"/>
      <w:bookmarkEnd w:id="10"/>
      <w:r>
        <w:t xml:space="preserve"> </w:t>
      </w:r>
      <w:bookmarkEnd w:id="11"/>
      <w:bookmarkEnd w:id="12"/>
    </w:p>
    <w:p w14:paraId="4BA0EBCD" w14:textId="77777777" w:rsidR="00023213" w:rsidRDefault="00023213" w:rsidP="001B18E3">
      <w:pPr>
        <w:spacing w:line="360" w:lineRule="auto"/>
      </w:pPr>
    </w:p>
    <w:p w14:paraId="1F69AF54" w14:textId="3A5111EF" w:rsidR="0048245F" w:rsidRDefault="00C25770" w:rsidP="00F71EF8">
      <w:pPr>
        <w:spacing w:before="120" w:line="360" w:lineRule="auto"/>
      </w:pPr>
      <w:r>
        <w:t>The</w:t>
      </w:r>
      <w:r w:rsidR="00C2278C">
        <w:t xml:space="preserve"> Superannuation Guarantee Cross Agency Working Group</w:t>
      </w:r>
      <w:r w:rsidR="0025377C">
        <w:t xml:space="preserve"> (the ‘Working Group’)</w:t>
      </w:r>
      <w:r w:rsidR="00C2278C">
        <w:t xml:space="preserve"> </w:t>
      </w:r>
      <w:r>
        <w:t xml:space="preserve">was established in December 2016 to </w:t>
      </w:r>
      <w:r w:rsidR="0048245F">
        <w:t xml:space="preserve">report to the Minister for Revenue and Financial Services on the operation, administration and </w:t>
      </w:r>
      <w:r>
        <w:t xml:space="preserve">extent of </w:t>
      </w:r>
      <w:r w:rsidR="0048245F">
        <w:t>non</w:t>
      </w:r>
      <w:r w:rsidR="0048245F">
        <w:noBreakHyphen/>
        <w:t xml:space="preserve">compliance in the </w:t>
      </w:r>
      <w:r w:rsidR="003901E5">
        <w:t>superannuation</w:t>
      </w:r>
      <w:r w:rsidR="00023213">
        <w:t xml:space="preserve"> guarantee</w:t>
      </w:r>
      <w:r w:rsidR="003901E5">
        <w:t xml:space="preserve"> </w:t>
      </w:r>
      <w:r w:rsidR="0048245F">
        <w:t xml:space="preserve">system </w:t>
      </w:r>
      <w:r>
        <w:t>in Australia</w:t>
      </w:r>
      <w:r w:rsidR="0048245F">
        <w:t xml:space="preserve">. </w:t>
      </w:r>
    </w:p>
    <w:p w14:paraId="3477E828" w14:textId="77777777" w:rsidR="00C2278C" w:rsidRDefault="0048245F" w:rsidP="00F71EF8">
      <w:pPr>
        <w:spacing w:before="120" w:line="360" w:lineRule="auto"/>
      </w:pPr>
      <w:r>
        <w:t xml:space="preserve">The Working Group was asked to analyse and </w:t>
      </w:r>
      <w:r w:rsidR="00C25770">
        <w:t xml:space="preserve">to develop options for improving </w:t>
      </w:r>
      <w:r w:rsidR="003901E5">
        <w:t xml:space="preserve">superannuation guarantee </w:t>
      </w:r>
      <w:r w:rsidR="00C25770">
        <w:t>compliance</w:t>
      </w:r>
      <w:r>
        <w:t xml:space="preserve"> and to</w:t>
      </w:r>
      <w:r w:rsidR="00C25770">
        <w:t xml:space="preserve"> report </w:t>
      </w:r>
      <w:r>
        <w:t xml:space="preserve">back to the Minister </w:t>
      </w:r>
      <w:r w:rsidR="00C25770">
        <w:t>by 31</w:t>
      </w:r>
      <w:r w:rsidR="00C833C8">
        <w:t> </w:t>
      </w:r>
      <w:r w:rsidR="00C25770">
        <w:t>March</w:t>
      </w:r>
      <w:r w:rsidR="00C833C8">
        <w:t> </w:t>
      </w:r>
      <w:r w:rsidR="00C25770">
        <w:t xml:space="preserve">2017. </w:t>
      </w:r>
    </w:p>
    <w:p w14:paraId="77121AAC" w14:textId="6FD6DF31" w:rsidR="0058471F" w:rsidRDefault="0058471F" w:rsidP="00F71EF8">
      <w:pPr>
        <w:spacing w:before="120" w:line="360" w:lineRule="auto"/>
      </w:pPr>
      <w:r>
        <w:t>The Working Group notes that the Senate Economics References Committee</w:t>
      </w:r>
      <w:r w:rsidR="0025377C">
        <w:t xml:space="preserve"> (the ‘Senate Committee’)</w:t>
      </w:r>
      <w:r>
        <w:t xml:space="preserve"> is </w:t>
      </w:r>
      <w:r w:rsidR="00647E76">
        <w:t xml:space="preserve">inquiring into </w:t>
      </w:r>
      <w:r w:rsidR="003901E5">
        <w:t xml:space="preserve">the </w:t>
      </w:r>
      <w:r w:rsidR="00647E76">
        <w:t>non</w:t>
      </w:r>
      <w:r w:rsidR="0025377C">
        <w:noBreakHyphen/>
      </w:r>
      <w:r w:rsidR="00647E76">
        <w:t>payment</w:t>
      </w:r>
      <w:r w:rsidR="003901E5">
        <w:t xml:space="preserve"> of superannuation guarantee</w:t>
      </w:r>
      <w:r w:rsidR="00647E76">
        <w:t xml:space="preserve">. The Working Group </w:t>
      </w:r>
      <w:r>
        <w:t xml:space="preserve">has </w:t>
      </w:r>
      <w:r w:rsidR="00222F03">
        <w:t>reviewed</w:t>
      </w:r>
      <w:r>
        <w:t xml:space="preserve"> the </w:t>
      </w:r>
      <w:r w:rsidR="00222F03">
        <w:t>public</w:t>
      </w:r>
      <w:r>
        <w:t xml:space="preserve"> submissions </w:t>
      </w:r>
      <w:r w:rsidR="00647E76">
        <w:t>to this inquiry</w:t>
      </w:r>
      <w:r>
        <w:t xml:space="preserve">, and these have informed its deliberations and recommendations. </w:t>
      </w:r>
      <w:r w:rsidR="00222F03">
        <w:t>T</w:t>
      </w:r>
      <w:r w:rsidR="00647E76">
        <w:t xml:space="preserve">he </w:t>
      </w:r>
      <w:r w:rsidR="0025377C">
        <w:t xml:space="preserve">Senate </w:t>
      </w:r>
      <w:r w:rsidR="00647E76">
        <w:t xml:space="preserve">Committee’s report </w:t>
      </w:r>
      <w:r w:rsidR="00023213">
        <w:t>is now</w:t>
      </w:r>
      <w:r w:rsidR="00647E76">
        <w:t xml:space="preserve"> </w:t>
      </w:r>
      <w:r w:rsidR="00222F03">
        <w:t>schedule</w:t>
      </w:r>
      <w:r w:rsidR="00023213">
        <w:t>d</w:t>
      </w:r>
      <w:r w:rsidR="00222F03">
        <w:t xml:space="preserve"> to be released on </w:t>
      </w:r>
      <w:r w:rsidR="00647E76">
        <w:t>1</w:t>
      </w:r>
      <w:r w:rsidR="00261BBD">
        <w:t>2</w:t>
      </w:r>
      <w:r w:rsidR="0025377C">
        <w:t> </w:t>
      </w:r>
      <w:r w:rsidR="00647E76">
        <w:t>April</w:t>
      </w:r>
      <w:r w:rsidR="00C833C8">
        <w:t> </w:t>
      </w:r>
      <w:r w:rsidR="0025377C">
        <w:t>2017</w:t>
      </w:r>
      <w:r w:rsidR="00222F03">
        <w:t>. Therefore</w:t>
      </w:r>
      <w:r w:rsidR="0048245F">
        <w:t xml:space="preserve"> t</w:t>
      </w:r>
      <w:r w:rsidR="00647E76">
        <w:t xml:space="preserve">he Working Group has been unable to </w:t>
      </w:r>
      <w:r w:rsidR="0025377C">
        <w:t xml:space="preserve">consider or </w:t>
      </w:r>
      <w:r w:rsidR="00647E76">
        <w:t xml:space="preserve">respond to the </w:t>
      </w:r>
      <w:r w:rsidR="0025377C">
        <w:t xml:space="preserve">Senate </w:t>
      </w:r>
      <w:r w:rsidR="00647E76">
        <w:t>Committee’s recommendations.</w:t>
      </w:r>
    </w:p>
    <w:p w14:paraId="0C963804" w14:textId="77777777" w:rsidR="00C25770" w:rsidRDefault="00C25770" w:rsidP="00F71EF8">
      <w:pPr>
        <w:spacing w:before="120" w:line="360" w:lineRule="auto"/>
      </w:pPr>
      <w:r>
        <w:t xml:space="preserve">There are currently no robust estimates of </w:t>
      </w:r>
      <w:r w:rsidR="00261BBD">
        <w:t xml:space="preserve">superannuation guarantee </w:t>
      </w:r>
      <w:r w:rsidR="00821E61">
        <w:t>non</w:t>
      </w:r>
      <w:r w:rsidR="0025377C">
        <w:noBreakHyphen/>
      </w:r>
      <w:r>
        <w:t xml:space="preserve">compliance. The </w:t>
      </w:r>
      <w:r w:rsidR="004D43A6">
        <w:t>Australian Taxation Office (</w:t>
      </w:r>
      <w:r>
        <w:t>ATO</w:t>
      </w:r>
      <w:r w:rsidR="004D43A6">
        <w:t>)</w:t>
      </w:r>
      <w:r>
        <w:t xml:space="preserve"> is currently developing an estimate of the </w:t>
      </w:r>
      <w:r w:rsidR="0023239F">
        <w:t>‘</w:t>
      </w:r>
      <w:r w:rsidR="0025377C">
        <w:t>superannuation guarantee</w:t>
      </w:r>
      <w:r>
        <w:t xml:space="preserve"> gap</w:t>
      </w:r>
      <w:r w:rsidR="0023239F">
        <w:t>’</w:t>
      </w:r>
      <w:r>
        <w:t xml:space="preserve"> which will be finalised in the coming months.</w:t>
      </w:r>
    </w:p>
    <w:p w14:paraId="79EFAAC5" w14:textId="39EA20C4" w:rsidR="00222F03" w:rsidRDefault="00C25770" w:rsidP="00F71EF8">
      <w:pPr>
        <w:spacing w:before="120" w:line="360" w:lineRule="auto"/>
      </w:pPr>
      <w:r>
        <w:t xml:space="preserve">In December 2016, Industry Super Australia </w:t>
      </w:r>
      <w:r w:rsidR="00116855">
        <w:t>(ISA)</w:t>
      </w:r>
      <w:r w:rsidR="00791F05">
        <w:rPr>
          <w:rStyle w:val="FootnoteReference"/>
        </w:rPr>
        <w:footnoteReference w:id="2"/>
      </w:r>
      <w:r w:rsidR="00116855">
        <w:t xml:space="preserve"> </w:t>
      </w:r>
      <w:r w:rsidR="007C37BC">
        <w:t>estimated non</w:t>
      </w:r>
      <w:r w:rsidR="007C37BC">
        <w:noBreakHyphen/>
      </w:r>
      <w:r>
        <w:t>compliance in 2013</w:t>
      </w:r>
      <w:r w:rsidR="00C833C8">
        <w:noBreakHyphen/>
      </w:r>
      <w:r>
        <w:t>14 to be $2.8</w:t>
      </w:r>
      <w:r w:rsidR="00C833C8">
        <w:t> </w:t>
      </w:r>
      <w:r>
        <w:t>billion</w:t>
      </w:r>
      <w:r w:rsidR="00082534">
        <w:t xml:space="preserve"> (affecting </w:t>
      </w:r>
      <w:r w:rsidR="00C01984">
        <w:t xml:space="preserve">an estimated </w:t>
      </w:r>
      <w:r w:rsidR="00082534">
        <w:t>2.</w:t>
      </w:r>
      <w:r w:rsidR="00261BBD">
        <w:t>15 </w:t>
      </w:r>
      <w:r w:rsidR="00082534">
        <w:t>million employees)</w:t>
      </w:r>
      <w:r>
        <w:t>. In March 2017 this estimate increased to $5.6 billion</w:t>
      </w:r>
      <w:r w:rsidR="00082534">
        <w:t xml:space="preserve"> (</w:t>
      </w:r>
      <w:r w:rsidR="00C01984">
        <w:t xml:space="preserve">affecting an estimated </w:t>
      </w:r>
      <w:r w:rsidR="00082534">
        <w:t>3</w:t>
      </w:r>
      <w:r w:rsidR="00C833C8">
        <w:t> </w:t>
      </w:r>
      <w:r w:rsidR="00082534">
        <w:t>million employees</w:t>
      </w:r>
      <w:r>
        <w:t>).</w:t>
      </w:r>
      <w:r w:rsidR="00023213" w:rsidRPr="00023213">
        <w:rPr>
          <w:rStyle w:val="FootnoteReference"/>
        </w:rPr>
        <w:t xml:space="preserve"> </w:t>
      </w:r>
      <w:r w:rsidR="00023213">
        <w:rPr>
          <w:rStyle w:val="FootnoteReference"/>
        </w:rPr>
        <w:footnoteReference w:id="3"/>
      </w:r>
      <w:r w:rsidR="00DD6AC4">
        <w:t xml:space="preserve"> </w:t>
      </w:r>
    </w:p>
    <w:p w14:paraId="7A77460B" w14:textId="713FC1CD" w:rsidR="00C25770" w:rsidRDefault="00C01984" w:rsidP="00F71EF8">
      <w:pPr>
        <w:spacing w:before="120" w:line="360" w:lineRule="auto"/>
      </w:pPr>
      <w:r>
        <w:t xml:space="preserve">The Working Group </w:t>
      </w:r>
      <w:r w:rsidR="00023213">
        <w:t xml:space="preserve">believes </w:t>
      </w:r>
      <w:r w:rsidR="00FD3FED">
        <w:t>this</w:t>
      </w:r>
      <w:r>
        <w:t xml:space="preserve"> estimate </w:t>
      </w:r>
      <w:r w:rsidR="00107576">
        <w:t xml:space="preserve">should be considered </w:t>
      </w:r>
      <w:r w:rsidR="0048245F">
        <w:t>in the context of the $8</w:t>
      </w:r>
      <w:r w:rsidR="004A445A">
        <w:t>9</w:t>
      </w:r>
      <w:r w:rsidR="0048245F">
        <w:t>.</w:t>
      </w:r>
      <w:r w:rsidR="004A445A">
        <w:t>6</w:t>
      </w:r>
      <w:r w:rsidR="0048245F">
        <w:t xml:space="preserve"> billion </w:t>
      </w:r>
      <w:r w:rsidR="00FD3FED">
        <w:t xml:space="preserve">in </w:t>
      </w:r>
      <w:r>
        <w:t xml:space="preserve">total </w:t>
      </w:r>
      <w:r w:rsidR="0048245F">
        <w:t>employer contributions made in 2015</w:t>
      </w:r>
      <w:r w:rsidR="00023213">
        <w:noBreakHyphen/>
      </w:r>
      <w:r w:rsidR="004A445A">
        <w:t>16</w:t>
      </w:r>
      <w:r w:rsidR="00FD3FED">
        <w:t>.</w:t>
      </w:r>
      <w:r w:rsidR="00FD3FED">
        <w:rPr>
          <w:rStyle w:val="FootnoteReference"/>
        </w:rPr>
        <w:footnoteReference w:id="4"/>
      </w:r>
      <w:r w:rsidR="00136B74">
        <w:t xml:space="preserve"> </w:t>
      </w:r>
      <w:r w:rsidR="00FD3FED">
        <w:t xml:space="preserve">This total has </w:t>
      </w:r>
      <w:r>
        <w:t xml:space="preserve">progressively grown from </w:t>
      </w:r>
      <w:r w:rsidR="00FD3FED">
        <w:t xml:space="preserve">about </w:t>
      </w:r>
      <w:r w:rsidR="000A55EA">
        <w:t>$62</w:t>
      </w:r>
      <w:r w:rsidR="00C833C8">
        <w:t> </w:t>
      </w:r>
      <w:r w:rsidR="000A55EA">
        <w:t>billion in 2006</w:t>
      </w:r>
      <w:r w:rsidR="00C833C8">
        <w:noBreakHyphen/>
      </w:r>
      <w:r w:rsidR="000A55EA">
        <w:t>07.</w:t>
      </w:r>
    </w:p>
    <w:p w14:paraId="4CC70536" w14:textId="35FAD454" w:rsidR="00C25770" w:rsidRDefault="00222F03" w:rsidP="00F71EF8">
      <w:pPr>
        <w:spacing w:before="120" w:line="360" w:lineRule="auto"/>
      </w:pPr>
      <w:r>
        <w:t>From the analysis of ISA</w:t>
      </w:r>
      <w:r w:rsidR="00023213">
        <w:t>’s</w:t>
      </w:r>
      <w:r>
        <w:t xml:space="preserve"> methodology</w:t>
      </w:r>
      <w:r w:rsidR="00023213">
        <w:t>,</w:t>
      </w:r>
      <w:r w:rsidR="0048245F">
        <w:t xml:space="preserve"> t</w:t>
      </w:r>
      <w:r w:rsidR="00C25770">
        <w:t xml:space="preserve">he Working Group considers that </w:t>
      </w:r>
      <w:r w:rsidR="0023239F">
        <w:t>the $5.6</w:t>
      </w:r>
      <w:r w:rsidR="00585181">
        <w:t> </w:t>
      </w:r>
      <w:r w:rsidR="0023239F">
        <w:t xml:space="preserve">billion estimate is likely to </w:t>
      </w:r>
      <w:r w:rsidR="0086601E">
        <w:t xml:space="preserve">substantially </w:t>
      </w:r>
      <w:r w:rsidR="0023239F">
        <w:t xml:space="preserve">overstate the actual size of the </w:t>
      </w:r>
      <w:r w:rsidR="00261BBD">
        <w:t xml:space="preserve">superannuation guarantee </w:t>
      </w:r>
      <w:r w:rsidR="0023239F">
        <w:t>gap</w:t>
      </w:r>
      <w:r>
        <w:t xml:space="preserve"> for a number of reasons</w:t>
      </w:r>
      <w:r w:rsidR="0023239F">
        <w:t xml:space="preserve">. </w:t>
      </w:r>
      <w:r w:rsidR="00261BBD">
        <w:t>ISA’s estimates do not fully account for some data limitations</w:t>
      </w:r>
      <w:r w:rsidR="001148B7">
        <w:t xml:space="preserve">. </w:t>
      </w:r>
      <w:r>
        <w:t>Further,</w:t>
      </w:r>
      <w:r w:rsidR="00261BBD">
        <w:t xml:space="preserve"> ISA </w:t>
      </w:r>
      <w:r w:rsidR="00116855">
        <w:t xml:space="preserve">incorrectly claims that defined benefit members are being underpaid their </w:t>
      </w:r>
      <w:r w:rsidR="00261BBD">
        <w:t xml:space="preserve">superannuation guarantee </w:t>
      </w:r>
      <w:r w:rsidR="00116855">
        <w:t>entitlements. More generally, both ISA estimates wrongly identify as underpaid new entrants to the labour market and people who receive a large share of their income in overtime</w:t>
      </w:r>
      <w:r w:rsidR="0002030A">
        <w:t>, and significantly overstate the number of people underpaid</w:t>
      </w:r>
      <w:r w:rsidR="00116855">
        <w:t xml:space="preserve">. </w:t>
      </w:r>
      <w:r w:rsidR="00C33951">
        <w:t xml:space="preserve">These </w:t>
      </w:r>
      <w:r w:rsidR="00116855">
        <w:t>errors reflect limitations in the data</w:t>
      </w:r>
      <w:r w:rsidR="00C33951">
        <w:t xml:space="preserve"> available</w:t>
      </w:r>
      <w:r w:rsidR="00116855">
        <w:t xml:space="preserve"> on </w:t>
      </w:r>
      <w:r w:rsidR="00261BBD">
        <w:t xml:space="preserve">superannuation guarantee </w:t>
      </w:r>
      <w:r w:rsidR="00C33951">
        <w:t xml:space="preserve">entitlements. </w:t>
      </w:r>
      <w:r w:rsidR="0079623E">
        <w:t xml:space="preserve">Additionally, the data is inconsistent with </w:t>
      </w:r>
      <w:r>
        <w:t xml:space="preserve">experiences and </w:t>
      </w:r>
      <w:r w:rsidR="0079623E">
        <w:t>observations from the ATO’s compliance program.</w:t>
      </w:r>
    </w:p>
    <w:p w14:paraId="0A1FD425" w14:textId="72B061EB" w:rsidR="000A55EA" w:rsidRDefault="00222F03" w:rsidP="00F71EF8">
      <w:pPr>
        <w:spacing w:before="120" w:line="360" w:lineRule="auto"/>
      </w:pPr>
      <w:r>
        <w:t xml:space="preserve">A review of </w:t>
      </w:r>
      <w:r w:rsidR="00C33951" w:rsidRPr="002304A1">
        <w:t xml:space="preserve">ATO </w:t>
      </w:r>
      <w:r>
        <w:t xml:space="preserve">case </w:t>
      </w:r>
      <w:r w:rsidR="00C33951" w:rsidRPr="002304A1">
        <w:t xml:space="preserve">data </w:t>
      </w:r>
      <w:r>
        <w:t>indicates</w:t>
      </w:r>
      <w:r w:rsidRPr="002304A1">
        <w:t xml:space="preserve"> </w:t>
      </w:r>
      <w:r w:rsidR="00C33951" w:rsidRPr="002304A1">
        <w:t xml:space="preserve">that small </w:t>
      </w:r>
      <w:r w:rsidR="00B4321C" w:rsidRPr="001B18E3">
        <w:t xml:space="preserve">businesses </w:t>
      </w:r>
      <w:r w:rsidR="00B4321C" w:rsidRPr="005A4573">
        <w:t>account</w:t>
      </w:r>
      <w:r w:rsidR="00C33951" w:rsidRPr="002304A1">
        <w:t xml:space="preserve"> for around 70</w:t>
      </w:r>
      <w:r w:rsidR="008106A4" w:rsidRPr="002304A1">
        <w:t> </w:t>
      </w:r>
      <w:r w:rsidR="00C33951" w:rsidRPr="002304A1">
        <w:t>per</w:t>
      </w:r>
      <w:r w:rsidR="008106A4" w:rsidRPr="002304A1">
        <w:t> </w:t>
      </w:r>
      <w:r w:rsidR="00C33951" w:rsidRPr="002304A1">
        <w:t xml:space="preserve">cent of </w:t>
      </w:r>
      <w:r w:rsidR="0048245F" w:rsidRPr="002304A1">
        <w:t xml:space="preserve">reported </w:t>
      </w:r>
      <w:r w:rsidR="008106A4" w:rsidRPr="002304A1">
        <w:t xml:space="preserve">superannuation guarantee </w:t>
      </w:r>
      <w:r w:rsidR="00133810" w:rsidRPr="002304A1">
        <w:t>non</w:t>
      </w:r>
      <w:r w:rsidR="00133810" w:rsidRPr="002304A1">
        <w:noBreakHyphen/>
      </w:r>
      <w:r w:rsidR="00C33951" w:rsidRPr="002304A1">
        <w:t xml:space="preserve">compliance. Cash flow problems are </w:t>
      </w:r>
      <w:r w:rsidR="00FD3FED">
        <w:t xml:space="preserve">often the major reason </w:t>
      </w:r>
      <w:r w:rsidR="000E1084" w:rsidRPr="002304A1">
        <w:t xml:space="preserve">small business </w:t>
      </w:r>
      <w:r w:rsidR="000A55EA">
        <w:t xml:space="preserve">employers </w:t>
      </w:r>
      <w:r w:rsidR="00793A77">
        <w:t xml:space="preserve">provide as </w:t>
      </w:r>
      <w:r w:rsidR="00EC13D5">
        <w:t>to why</w:t>
      </w:r>
      <w:r w:rsidR="00793A77">
        <w:t xml:space="preserve"> they did</w:t>
      </w:r>
      <w:r w:rsidR="00FD3FED">
        <w:t xml:space="preserve"> not </w:t>
      </w:r>
      <w:r w:rsidR="002710B6">
        <w:t>pay</w:t>
      </w:r>
      <w:r w:rsidR="000A55EA">
        <w:t xml:space="preserve"> their employees</w:t>
      </w:r>
      <w:r w:rsidR="00EF618E">
        <w:t>’</w:t>
      </w:r>
      <w:r w:rsidR="000A55EA">
        <w:t xml:space="preserve"> superannuation guarantee contributions.</w:t>
      </w:r>
    </w:p>
    <w:p w14:paraId="021A35A9" w14:textId="47825638" w:rsidR="006D2AB8" w:rsidRDefault="000E1084" w:rsidP="00F71EF8">
      <w:pPr>
        <w:spacing w:before="120" w:line="360" w:lineRule="auto"/>
      </w:pPr>
      <w:r>
        <w:t>T</w:t>
      </w:r>
      <w:r w:rsidR="00C33951" w:rsidRPr="002304A1">
        <w:t xml:space="preserve">he ATO follows up all </w:t>
      </w:r>
      <w:r w:rsidR="000A55EA">
        <w:t xml:space="preserve">reported </w:t>
      </w:r>
      <w:r w:rsidR="00C33951" w:rsidRPr="002304A1">
        <w:t>complaints</w:t>
      </w:r>
      <w:r w:rsidR="00775FA1" w:rsidRPr="002304A1">
        <w:t xml:space="preserve"> from employees</w:t>
      </w:r>
      <w:r w:rsidR="00FD3FED">
        <w:t xml:space="preserve"> about potential un</w:t>
      </w:r>
      <w:r w:rsidR="000A55EA">
        <w:t xml:space="preserve">paid superannuation </w:t>
      </w:r>
      <w:r w:rsidR="00EC13D5">
        <w:t>guarantee entitlements</w:t>
      </w:r>
      <w:r w:rsidR="000A55EA">
        <w:t>. T</w:t>
      </w:r>
      <w:r w:rsidR="00C33951" w:rsidRPr="002304A1">
        <w:t xml:space="preserve">here </w:t>
      </w:r>
      <w:r w:rsidR="006D2AB8">
        <w:t xml:space="preserve">are </w:t>
      </w:r>
      <w:r w:rsidR="00C33951" w:rsidRPr="002304A1">
        <w:t xml:space="preserve">significant delays in </w:t>
      </w:r>
      <w:r w:rsidR="00D86D13" w:rsidRPr="001B18E3">
        <w:t xml:space="preserve">the reporting of </w:t>
      </w:r>
      <w:r w:rsidR="00FD3FED">
        <w:t xml:space="preserve">these </w:t>
      </w:r>
      <w:r w:rsidR="00D86D13" w:rsidRPr="001B18E3">
        <w:t xml:space="preserve">complaints </w:t>
      </w:r>
      <w:r w:rsidR="0048245F" w:rsidRPr="002304A1">
        <w:t xml:space="preserve">to </w:t>
      </w:r>
      <w:r w:rsidR="00793A77">
        <w:t xml:space="preserve">the ATO for a variety of reasons, including the ease </w:t>
      </w:r>
      <w:r w:rsidR="00EC13D5">
        <w:t xml:space="preserve">(or lack of) </w:t>
      </w:r>
      <w:r w:rsidR="00793A77">
        <w:t>with which employe</w:t>
      </w:r>
      <w:r w:rsidR="008E2B14">
        <w:t>e</w:t>
      </w:r>
      <w:r w:rsidR="00793A77">
        <w:t xml:space="preserve">s are able to monitor the payment of superannuation guarantee contributions. </w:t>
      </w:r>
    </w:p>
    <w:p w14:paraId="428939EF" w14:textId="77777777" w:rsidR="00C33951" w:rsidRDefault="006D2AB8" w:rsidP="00F71EF8">
      <w:pPr>
        <w:spacing w:before="120" w:line="360" w:lineRule="auto"/>
      </w:pPr>
      <w:r>
        <w:t xml:space="preserve">The </w:t>
      </w:r>
      <w:r w:rsidR="0048245F" w:rsidRPr="00B47B3A">
        <w:t xml:space="preserve">ATO </w:t>
      </w:r>
      <w:r>
        <w:t xml:space="preserve">advises that as a result of </w:t>
      </w:r>
      <w:r w:rsidR="00793A77">
        <w:t xml:space="preserve">its </w:t>
      </w:r>
      <w:r>
        <w:t xml:space="preserve">compliance actions some </w:t>
      </w:r>
      <w:r w:rsidR="0048245F" w:rsidRPr="00B47B3A">
        <w:t xml:space="preserve">$2 billion has been </w:t>
      </w:r>
      <w:r w:rsidR="002304A1" w:rsidRPr="005A4573">
        <w:t xml:space="preserve">transferred </w:t>
      </w:r>
      <w:r w:rsidR="0048245F" w:rsidRPr="00B47B3A">
        <w:t xml:space="preserve">by the ATO </w:t>
      </w:r>
      <w:r w:rsidR="002304A1" w:rsidRPr="001B18E3">
        <w:t xml:space="preserve">to employees’ superannuation funds </w:t>
      </w:r>
      <w:r w:rsidR="0048245F" w:rsidRPr="00B47B3A">
        <w:t>since 2010</w:t>
      </w:r>
      <w:r>
        <w:t xml:space="preserve">. </w:t>
      </w:r>
      <w:r w:rsidR="006C2088">
        <w:t xml:space="preserve">However </w:t>
      </w:r>
      <w:r w:rsidR="006C2088" w:rsidRPr="00B47B3A">
        <w:t>only</w:t>
      </w:r>
      <w:r>
        <w:t xml:space="preserve"> </w:t>
      </w:r>
      <w:r w:rsidR="006C2088">
        <w:t>48</w:t>
      </w:r>
      <w:r w:rsidR="00265778">
        <w:t> </w:t>
      </w:r>
      <w:r w:rsidR="00C33951" w:rsidRPr="00B47B3A">
        <w:t>per</w:t>
      </w:r>
      <w:r w:rsidR="008106A4" w:rsidRPr="00B47B3A">
        <w:t> </w:t>
      </w:r>
      <w:r w:rsidR="00C33951" w:rsidRPr="00B47B3A">
        <w:t xml:space="preserve">cent of </w:t>
      </w:r>
      <w:r w:rsidR="00715418" w:rsidRPr="00B47B3A">
        <w:t xml:space="preserve">the </w:t>
      </w:r>
      <w:r w:rsidR="00FF6570">
        <w:t xml:space="preserve">total </w:t>
      </w:r>
      <w:r w:rsidR="005D0AF4" w:rsidRPr="00B47B3A">
        <w:t>superannuation guarantee c</w:t>
      </w:r>
      <w:r w:rsidR="00C33951" w:rsidRPr="00B47B3A">
        <w:t xml:space="preserve">harge </w:t>
      </w:r>
      <w:r w:rsidR="00D6639A" w:rsidRPr="00B47B3A">
        <w:t xml:space="preserve">raised </w:t>
      </w:r>
      <w:r w:rsidR="00C33951" w:rsidRPr="00B47B3A">
        <w:t>against n</w:t>
      </w:r>
      <w:r w:rsidR="005D0AF4" w:rsidRPr="00B47B3A">
        <w:t>on</w:t>
      </w:r>
      <w:r w:rsidR="005D0AF4" w:rsidRPr="00B47B3A">
        <w:noBreakHyphen/>
      </w:r>
      <w:r w:rsidR="00C33951" w:rsidRPr="00B47B3A">
        <w:t>compliant employers is collected</w:t>
      </w:r>
      <w:r w:rsidR="008106A4" w:rsidRPr="00B47B3A">
        <w:t xml:space="preserve"> by the ATO</w:t>
      </w:r>
      <w:r w:rsidR="006C2088">
        <w:t xml:space="preserve">, </w:t>
      </w:r>
      <w:r w:rsidR="008106A4" w:rsidRPr="00B47B3A">
        <w:t xml:space="preserve">often </w:t>
      </w:r>
      <w:r w:rsidR="00715418" w:rsidRPr="00B47B3A">
        <w:t>because the employer is insolvent.</w:t>
      </w:r>
    </w:p>
    <w:p w14:paraId="25805FBE" w14:textId="679052C5" w:rsidR="00647E76" w:rsidRDefault="00793A77" w:rsidP="00F71EF8">
      <w:pPr>
        <w:spacing w:before="120" w:line="360" w:lineRule="auto"/>
      </w:pPr>
      <w:r>
        <w:t>T</w:t>
      </w:r>
      <w:r w:rsidR="00647E76">
        <w:t xml:space="preserve">he Working Group recognises </w:t>
      </w:r>
      <w:r w:rsidR="00EC13D5">
        <w:t xml:space="preserve">that while </w:t>
      </w:r>
      <w:r w:rsidR="00647E76">
        <w:t>there is</w:t>
      </w:r>
      <w:r w:rsidR="00EC13D5">
        <w:t>,</w:t>
      </w:r>
      <w:r w:rsidR="00647E76">
        <w:t xml:space="preserve"> </w:t>
      </w:r>
      <w:r w:rsidR="00BB3F9E">
        <w:t>overall</w:t>
      </w:r>
      <w:r w:rsidR="00EC13D5">
        <w:t>,</w:t>
      </w:r>
      <w:r w:rsidR="00BB3F9E">
        <w:t xml:space="preserve"> a high level of voluntary compliance by the majority of employers</w:t>
      </w:r>
      <w:bookmarkStart w:id="13" w:name="_GoBack"/>
      <w:bookmarkEnd w:id="13"/>
      <w:r w:rsidR="00BB3F9E">
        <w:t xml:space="preserve"> </w:t>
      </w:r>
      <w:r w:rsidR="00647E76">
        <w:t>there is scope to improve compliance to better safeguard employee entitlements</w:t>
      </w:r>
      <w:r w:rsidR="00FF6570">
        <w:t>.</w:t>
      </w:r>
    </w:p>
    <w:p w14:paraId="48E5C54E" w14:textId="77777777" w:rsidR="00C33951" w:rsidRDefault="00FF6570" w:rsidP="00F71EF8">
      <w:pPr>
        <w:spacing w:before="120" w:line="360" w:lineRule="auto"/>
      </w:pPr>
      <w:r>
        <w:t>T</w:t>
      </w:r>
      <w:r w:rsidR="00C33951">
        <w:t>he Working Group has identified two key barriers to</w:t>
      </w:r>
      <w:r w:rsidR="007E3679">
        <w:t xml:space="preserve"> maintaining or</w:t>
      </w:r>
      <w:r w:rsidR="00C33951">
        <w:t xml:space="preserve"> improving </w:t>
      </w:r>
      <w:r w:rsidR="00440C01">
        <w:t xml:space="preserve">superannuation guarantee </w:t>
      </w:r>
      <w:r w:rsidR="00C33951">
        <w:t>compliance.</w:t>
      </w:r>
    </w:p>
    <w:p w14:paraId="31CF0D8A" w14:textId="77777777" w:rsidR="00C4583E" w:rsidRDefault="00C33951" w:rsidP="00F71EF8">
      <w:pPr>
        <w:spacing w:before="120" w:line="360" w:lineRule="auto"/>
      </w:pPr>
      <w:r>
        <w:t xml:space="preserve">The first </w:t>
      </w:r>
      <w:r w:rsidR="007E3679">
        <w:t xml:space="preserve">barrier </w:t>
      </w:r>
      <w:r>
        <w:t xml:space="preserve">is that the ATO does not currently have any visibility </w:t>
      </w:r>
      <w:r w:rsidR="00715418">
        <w:t>over an</w:t>
      </w:r>
      <w:r>
        <w:t xml:space="preserve"> employer’s </w:t>
      </w:r>
      <w:r w:rsidR="00440C01">
        <w:t xml:space="preserve">superannuation guarantee </w:t>
      </w:r>
      <w:r>
        <w:t xml:space="preserve">obligations to their employees. </w:t>
      </w:r>
      <w:r w:rsidR="00715418">
        <w:t xml:space="preserve">The second </w:t>
      </w:r>
      <w:r w:rsidR="000272D5">
        <w:t xml:space="preserve">barrier </w:t>
      </w:r>
      <w:r w:rsidR="00715418">
        <w:t xml:space="preserve">is that the ATO only receives information on </w:t>
      </w:r>
      <w:r w:rsidR="00273D81">
        <w:t xml:space="preserve">superannuation guarantee </w:t>
      </w:r>
      <w:r w:rsidR="00715418">
        <w:t xml:space="preserve">payments received by </w:t>
      </w:r>
      <w:r w:rsidR="00273D81">
        <w:t xml:space="preserve">superannuation </w:t>
      </w:r>
      <w:r w:rsidR="00715418">
        <w:t>funds on an annual basis. Current reporting arrangements mean there can be a lag of up to 14</w:t>
      </w:r>
      <w:r w:rsidR="006D6730">
        <w:t> </w:t>
      </w:r>
      <w:r w:rsidR="00715418">
        <w:t xml:space="preserve">months in </w:t>
      </w:r>
      <w:r w:rsidR="0039699A">
        <w:t xml:space="preserve">the </w:t>
      </w:r>
      <w:r w:rsidR="00715418">
        <w:t xml:space="preserve">reporting </w:t>
      </w:r>
      <w:r w:rsidR="0039699A">
        <w:t>of</w:t>
      </w:r>
      <w:r w:rsidR="00273D81">
        <w:t xml:space="preserve"> contributions that employers have paid</w:t>
      </w:r>
      <w:r w:rsidR="00715418">
        <w:t xml:space="preserve">. This delay </w:t>
      </w:r>
      <w:r w:rsidR="001C07A8">
        <w:t>further</w:t>
      </w:r>
      <w:r w:rsidR="00715418">
        <w:t xml:space="preserve"> reduces the effectiveness of the ATO’s compliance work.</w:t>
      </w:r>
    </w:p>
    <w:p w14:paraId="6F47368E" w14:textId="77777777" w:rsidR="00715418" w:rsidRDefault="00715418" w:rsidP="00F71EF8">
      <w:pPr>
        <w:spacing w:before="120" w:line="360" w:lineRule="auto"/>
      </w:pPr>
      <w:r>
        <w:t>The Working Group has identified two proposals to overcome these barriers.</w:t>
      </w:r>
    </w:p>
    <w:p w14:paraId="1A04D41C" w14:textId="5C627A28" w:rsidR="00C4583E" w:rsidRDefault="00AD3E39" w:rsidP="00F71EF8">
      <w:pPr>
        <w:spacing w:before="120" w:line="360" w:lineRule="auto"/>
      </w:pPr>
      <w:r>
        <w:t>Firstly, the</w:t>
      </w:r>
      <w:r w:rsidR="00715418">
        <w:t xml:space="preserve"> Working Group considers that all employers should report </w:t>
      </w:r>
      <w:r w:rsidR="0039699A">
        <w:t>superannuation guarantee</w:t>
      </w:r>
      <w:r w:rsidR="00715418">
        <w:t xml:space="preserve"> </w:t>
      </w:r>
      <w:r w:rsidR="00EC13D5">
        <w:t xml:space="preserve">obligation </w:t>
      </w:r>
      <w:r w:rsidR="00715418">
        <w:t xml:space="preserve">information </w:t>
      </w:r>
      <w:r>
        <w:t xml:space="preserve">to the ATO </w:t>
      </w:r>
      <w:r w:rsidR="00BF7E78">
        <w:t xml:space="preserve">in </w:t>
      </w:r>
      <w:r w:rsidR="00715418">
        <w:t xml:space="preserve">a </w:t>
      </w:r>
      <w:r w:rsidR="00BF7E78">
        <w:t>more timely manner</w:t>
      </w:r>
      <w:r>
        <w:t xml:space="preserve">. </w:t>
      </w:r>
      <w:r w:rsidR="00273D81">
        <w:t>One way t</w:t>
      </w:r>
      <w:r>
        <w:t xml:space="preserve">his will be achieved </w:t>
      </w:r>
      <w:r w:rsidR="00273D81">
        <w:t xml:space="preserve">is </w:t>
      </w:r>
      <w:r w:rsidR="000272D5">
        <w:t xml:space="preserve">to leverage </w:t>
      </w:r>
      <w:r>
        <w:t>the</w:t>
      </w:r>
      <w:r w:rsidR="000272D5">
        <w:t xml:space="preserve"> </w:t>
      </w:r>
      <w:r w:rsidR="00EC13D5">
        <w:t>G</w:t>
      </w:r>
      <w:r w:rsidR="000272D5">
        <w:t>overnment’s</w:t>
      </w:r>
      <w:r>
        <w:t xml:space="preserve"> introduction of Single Touch Payroll</w:t>
      </w:r>
      <w:r w:rsidR="00BF7E78">
        <w:t xml:space="preserve"> legislation</w:t>
      </w:r>
      <w:r>
        <w:t xml:space="preserve">. </w:t>
      </w:r>
      <w:r w:rsidR="00273D81">
        <w:t xml:space="preserve">Single Touch Payroll </w:t>
      </w:r>
      <w:r>
        <w:t>will commence for businesses with 20</w:t>
      </w:r>
      <w:r w:rsidR="00DE244A">
        <w:t> </w:t>
      </w:r>
      <w:r>
        <w:t>or</w:t>
      </w:r>
      <w:r w:rsidR="00DE244A">
        <w:t> </w:t>
      </w:r>
      <w:r>
        <w:t>more employees from 1</w:t>
      </w:r>
      <w:r w:rsidR="00273D81">
        <w:t> </w:t>
      </w:r>
      <w:r>
        <w:t>July</w:t>
      </w:r>
      <w:r w:rsidR="00273D81">
        <w:t> </w:t>
      </w:r>
      <w:r>
        <w:t>2018.</w:t>
      </w:r>
    </w:p>
    <w:p w14:paraId="4649E6A7" w14:textId="77777777" w:rsidR="00AD3E39" w:rsidRDefault="00AD3E39" w:rsidP="00F71EF8">
      <w:pPr>
        <w:spacing w:before="120" w:line="360" w:lineRule="auto"/>
      </w:pPr>
      <w:r>
        <w:t>The Working Group considers that S</w:t>
      </w:r>
      <w:r w:rsidR="00273D81">
        <w:t xml:space="preserve">ingle </w:t>
      </w:r>
      <w:r>
        <w:t>T</w:t>
      </w:r>
      <w:r w:rsidR="00273D81">
        <w:t xml:space="preserve">ouch </w:t>
      </w:r>
      <w:r>
        <w:t>P</w:t>
      </w:r>
      <w:r w:rsidR="00273D81">
        <w:t>ayroll</w:t>
      </w:r>
      <w:r>
        <w:t xml:space="preserve"> should be extended to businesses with 19</w:t>
      </w:r>
      <w:r w:rsidR="00DE244A">
        <w:t> </w:t>
      </w:r>
      <w:r>
        <w:t>or</w:t>
      </w:r>
      <w:r w:rsidR="00DE244A">
        <w:t> </w:t>
      </w:r>
      <w:r>
        <w:t>fewer employees</w:t>
      </w:r>
      <w:r w:rsidR="004D43A6">
        <w:t xml:space="preserve"> as soon as practicable</w:t>
      </w:r>
      <w:r>
        <w:t xml:space="preserve">. This would ensure that the ATO receives regular and accurate information on </w:t>
      </w:r>
      <w:r w:rsidR="0039699A">
        <w:t>superannuation guarantee</w:t>
      </w:r>
      <w:r>
        <w:t xml:space="preserve"> obligations from all employers.</w:t>
      </w:r>
    </w:p>
    <w:p w14:paraId="1C225C27" w14:textId="3FB3A792" w:rsidR="00AD3E39" w:rsidRPr="000E414A" w:rsidRDefault="00AD3E39" w:rsidP="00F71EF8">
      <w:pPr>
        <w:spacing w:before="120" w:line="360" w:lineRule="auto"/>
      </w:pPr>
      <w:r>
        <w:t xml:space="preserve">Secondly, the Working Group considers that superannuation funds should report more </w:t>
      </w:r>
      <w:r w:rsidR="00273D81">
        <w:t xml:space="preserve">information more </w:t>
      </w:r>
      <w:r>
        <w:t xml:space="preserve">frequently to the ATO on </w:t>
      </w:r>
      <w:r w:rsidR="00BF7E78">
        <w:t>the superannuation guarantee</w:t>
      </w:r>
      <w:r>
        <w:t xml:space="preserve"> </w:t>
      </w:r>
      <w:r w:rsidR="00A80526">
        <w:t>contributions</w:t>
      </w:r>
      <w:r>
        <w:t xml:space="preserve"> received from employers</w:t>
      </w:r>
      <w:r w:rsidRPr="000E414A">
        <w:t xml:space="preserve">. </w:t>
      </w:r>
      <w:r w:rsidR="000272D5" w:rsidRPr="000E414A">
        <w:t>Subject to more detailed design and consultation</w:t>
      </w:r>
      <w:r w:rsidR="00EC13D5">
        <w:t>,</w:t>
      </w:r>
      <w:r w:rsidR="000272D5" w:rsidRPr="000E414A">
        <w:t xml:space="preserve"> it is believed that t</w:t>
      </w:r>
      <w:r w:rsidRPr="000E414A">
        <w:t xml:space="preserve">his change </w:t>
      </w:r>
      <w:r w:rsidR="00BF7E78">
        <w:t>may be able to</w:t>
      </w:r>
      <w:r w:rsidR="00BF7E78" w:rsidRPr="000E414A">
        <w:t xml:space="preserve"> </w:t>
      </w:r>
      <w:r w:rsidRPr="000E414A">
        <w:t>be</w:t>
      </w:r>
      <w:r w:rsidR="008A3AE9" w:rsidRPr="000E414A">
        <w:t xml:space="preserve"> implemented </w:t>
      </w:r>
      <w:r w:rsidR="001C07A8" w:rsidRPr="000E414A">
        <w:t xml:space="preserve">from </w:t>
      </w:r>
      <w:r w:rsidR="008A3AE9" w:rsidRPr="000E414A">
        <w:t>1</w:t>
      </w:r>
      <w:r w:rsidR="00DE244A" w:rsidRPr="00224B95">
        <w:t> </w:t>
      </w:r>
      <w:r w:rsidR="008A3AE9" w:rsidRPr="000E414A">
        <w:t>July</w:t>
      </w:r>
      <w:r w:rsidR="00DE244A" w:rsidRPr="00224B95">
        <w:t> </w:t>
      </w:r>
      <w:r w:rsidR="008A3AE9" w:rsidRPr="000E414A">
        <w:t>2018.</w:t>
      </w:r>
    </w:p>
    <w:p w14:paraId="6D360295" w14:textId="48F52A5F" w:rsidR="00BF7E78" w:rsidRDefault="008A3AE9" w:rsidP="00F71EF8">
      <w:pPr>
        <w:spacing w:before="120" w:line="360" w:lineRule="auto"/>
      </w:pPr>
      <w:r>
        <w:t xml:space="preserve">In combination these changes would improve substantially the ATO’s capacity to monitor </w:t>
      </w:r>
      <w:r w:rsidR="00273D81">
        <w:t xml:space="preserve">superannuation guarantee </w:t>
      </w:r>
      <w:r>
        <w:t xml:space="preserve">compliance on a </w:t>
      </w:r>
      <w:r w:rsidR="001C07A8">
        <w:t xml:space="preserve">more </w:t>
      </w:r>
      <w:r w:rsidR="00EC13D5">
        <w:t xml:space="preserve">reliable and </w:t>
      </w:r>
      <w:r w:rsidR="001C07A8">
        <w:t>frequent</w:t>
      </w:r>
      <w:r>
        <w:t xml:space="preserve"> basis. </w:t>
      </w:r>
    </w:p>
    <w:p w14:paraId="4C0DF3BB" w14:textId="167BF477" w:rsidR="00B4687E" w:rsidRDefault="00BF7E78" w:rsidP="00F71EF8">
      <w:pPr>
        <w:spacing w:before="120" w:line="360" w:lineRule="auto"/>
      </w:pPr>
      <w:r>
        <w:t>In the interim</w:t>
      </w:r>
      <w:r w:rsidR="000E414A">
        <w:t xml:space="preserve">, </w:t>
      </w:r>
      <w:r w:rsidR="008A3AE9">
        <w:t xml:space="preserve">the ATO </w:t>
      </w:r>
      <w:r w:rsidR="000E414A">
        <w:t xml:space="preserve">will </w:t>
      </w:r>
      <w:r w:rsidR="00DA65F1">
        <w:t xml:space="preserve">undertake more </w:t>
      </w:r>
      <w:r w:rsidR="00273D81">
        <w:t>‘</w:t>
      </w:r>
      <w:r w:rsidR="008A3AE9">
        <w:t>proactive</w:t>
      </w:r>
      <w:r w:rsidR="00273D81">
        <w:t xml:space="preserve">’ superannuation guarantee </w:t>
      </w:r>
      <w:r w:rsidR="008A3AE9">
        <w:t>compliance work</w:t>
      </w:r>
      <w:r w:rsidR="00DA65F1">
        <w:t xml:space="preserve"> </w:t>
      </w:r>
      <w:r w:rsidR="000E414A">
        <w:t xml:space="preserve">(that is, reviews and audits not triggered by </w:t>
      </w:r>
      <w:r w:rsidR="008A3AE9">
        <w:t>employee complaints</w:t>
      </w:r>
      <w:r w:rsidR="000E414A">
        <w:t>)</w:t>
      </w:r>
      <w:r w:rsidR="00DA65F1">
        <w:t>.</w:t>
      </w:r>
      <w:r w:rsidR="000E414A">
        <w:t xml:space="preserve"> The ATO will aim </w:t>
      </w:r>
      <w:r w:rsidR="008A3AE9">
        <w:t xml:space="preserve">to ensure </w:t>
      </w:r>
      <w:r w:rsidR="000E414A">
        <w:t xml:space="preserve">the proportion of </w:t>
      </w:r>
      <w:r w:rsidR="00273D81">
        <w:t xml:space="preserve">its </w:t>
      </w:r>
      <w:r w:rsidR="000E414A">
        <w:t xml:space="preserve">superannuation guarantee reviews and audits </w:t>
      </w:r>
      <w:r w:rsidR="00DA65F1">
        <w:t xml:space="preserve">‘case mix’ </w:t>
      </w:r>
      <w:r>
        <w:t xml:space="preserve">will </w:t>
      </w:r>
      <w:r w:rsidR="000E414A">
        <w:t xml:space="preserve">increase to </w:t>
      </w:r>
      <w:r w:rsidR="0017251D">
        <w:t>4</w:t>
      </w:r>
      <w:r w:rsidR="008A3AE9">
        <w:t>0</w:t>
      </w:r>
      <w:r w:rsidR="00273D81">
        <w:t> </w:t>
      </w:r>
      <w:r w:rsidR="008A3AE9">
        <w:t>per</w:t>
      </w:r>
      <w:r w:rsidR="00273D81">
        <w:t> </w:t>
      </w:r>
      <w:r w:rsidR="008A3AE9">
        <w:t xml:space="preserve">cent </w:t>
      </w:r>
      <w:r w:rsidR="000E414A">
        <w:t>(</w:t>
      </w:r>
      <w:r w:rsidR="00EC13D5">
        <w:t>increased from 30</w:t>
      </w:r>
      <w:r w:rsidR="000E414A">
        <w:t> per cent)</w:t>
      </w:r>
      <w:r w:rsidR="007A0A70">
        <w:t xml:space="preserve">. </w:t>
      </w:r>
      <w:r w:rsidR="008A3AE9">
        <w:t>The Working Group has</w:t>
      </w:r>
      <w:r w:rsidR="000272D5">
        <w:t xml:space="preserve"> also</w:t>
      </w:r>
      <w:r w:rsidR="008A3AE9">
        <w:t xml:space="preserve"> identified additional measures to support a more </w:t>
      </w:r>
      <w:r w:rsidR="002D00F1">
        <w:t>pro</w:t>
      </w:r>
      <w:r w:rsidR="008A3AE9">
        <w:t xml:space="preserve">active approach to </w:t>
      </w:r>
      <w:r w:rsidR="002D00F1">
        <w:t>superannuation guarantee</w:t>
      </w:r>
      <w:r w:rsidR="008A3AE9">
        <w:t xml:space="preserve"> compliance. </w:t>
      </w:r>
      <w:r w:rsidR="00AE1422">
        <w:t xml:space="preserve">These include improved information sharing between the ATO and </w:t>
      </w:r>
      <w:r w:rsidR="007B3297">
        <w:t xml:space="preserve">the </w:t>
      </w:r>
      <w:r w:rsidR="00AE1422">
        <w:t xml:space="preserve">Fair Work </w:t>
      </w:r>
      <w:r w:rsidR="007B3297">
        <w:t>Ombudsman</w:t>
      </w:r>
      <w:r w:rsidR="00AE1422">
        <w:t xml:space="preserve"> </w:t>
      </w:r>
      <w:r w:rsidR="00B40C49">
        <w:t>(</w:t>
      </w:r>
      <w:r w:rsidR="00165EB7">
        <w:t>FWO</w:t>
      </w:r>
      <w:r w:rsidR="00B40C49">
        <w:t>)</w:t>
      </w:r>
      <w:r w:rsidR="00AE1422">
        <w:t xml:space="preserve"> and </w:t>
      </w:r>
      <w:r>
        <w:t xml:space="preserve">improved </w:t>
      </w:r>
      <w:r w:rsidR="00AE1422">
        <w:t xml:space="preserve">promotion of </w:t>
      </w:r>
      <w:r w:rsidR="002D00F1">
        <w:t xml:space="preserve">the </w:t>
      </w:r>
      <w:r w:rsidR="007A0A70">
        <w:t xml:space="preserve">outcomes from the ATO’s </w:t>
      </w:r>
      <w:r w:rsidR="00AE1422">
        <w:t>compliance program</w:t>
      </w:r>
      <w:r w:rsidR="007A0A70">
        <w:t xml:space="preserve"> in dealing with superannuation guarantee non</w:t>
      </w:r>
      <w:r w:rsidR="009E7E78">
        <w:noBreakHyphen/>
      </w:r>
      <w:r w:rsidR="007A0A70">
        <w:t>compliance.</w:t>
      </w:r>
      <w:r w:rsidR="00AE1422">
        <w:t xml:space="preserve"> </w:t>
      </w:r>
      <w:r w:rsidR="007B3297">
        <w:t xml:space="preserve">The ATO will </w:t>
      </w:r>
      <w:r>
        <w:t>also</w:t>
      </w:r>
      <w:r w:rsidR="007A0A70">
        <w:t xml:space="preserve"> </w:t>
      </w:r>
      <w:r w:rsidR="007B3297">
        <w:t xml:space="preserve">evaluate its current debt collection practices with the aim of increasing recovery of </w:t>
      </w:r>
      <w:r w:rsidR="008D26BB">
        <w:t xml:space="preserve">superannuation guarantee charge </w:t>
      </w:r>
      <w:r w:rsidR="007B3297">
        <w:t>amounts.</w:t>
      </w:r>
    </w:p>
    <w:p w14:paraId="4E4C3276" w14:textId="2C5E4775" w:rsidR="000D3E2B" w:rsidRDefault="007A0A70" w:rsidP="00F71EF8">
      <w:pPr>
        <w:spacing w:before="120" w:line="360" w:lineRule="auto"/>
      </w:pPr>
      <w:r>
        <w:t>T</w:t>
      </w:r>
      <w:r w:rsidR="00B4687E">
        <w:t xml:space="preserve">he Working Group </w:t>
      </w:r>
      <w:r w:rsidR="000D3E2B">
        <w:t>consider</w:t>
      </w:r>
      <w:r w:rsidR="00EC13D5">
        <w:t>s</w:t>
      </w:r>
      <w:r w:rsidR="000D3E2B">
        <w:t xml:space="preserve"> that some of the behaviours which employers display to avoid superannuation guarantee obligations are closely related to characteristics that are seen in phoenix activity. For this reason </w:t>
      </w:r>
      <w:r w:rsidR="00BF7E78">
        <w:t xml:space="preserve">the </w:t>
      </w:r>
      <w:r w:rsidR="000D3E2B">
        <w:t xml:space="preserve">Working Group supports </w:t>
      </w:r>
      <w:r w:rsidR="00B4687E">
        <w:t xml:space="preserve">the </w:t>
      </w:r>
      <w:r w:rsidR="00BF7E78">
        <w:t xml:space="preserve">considerations </w:t>
      </w:r>
      <w:r w:rsidR="00B4687E">
        <w:t>of the Phoenix Taskforc</w:t>
      </w:r>
      <w:r w:rsidR="000D3E2B">
        <w:t>e</w:t>
      </w:r>
      <w:r w:rsidR="00EC13D5">
        <w:t>,</w:t>
      </w:r>
      <w:r w:rsidR="000D3E2B">
        <w:t xml:space="preserve"> </w:t>
      </w:r>
      <w:r w:rsidR="00BF7E78">
        <w:t>which may recommend</w:t>
      </w:r>
      <w:r w:rsidR="000D3E2B">
        <w:t xml:space="preserve"> </w:t>
      </w:r>
      <w:r w:rsidR="00107576">
        <w:t>widening</w:t>
      </w:r>
      <w:r w:rsidR="000D3E2B">
        <w:t xml:space="preserve"> the manner in which </w:t>
      </w:r>
      <w:r w:rsidR="00BF7E78">
        <w:t xml:space="preserve">the ATO is able to use </w:t>
      </w:r>
      <w:r w:rsidR="00FA14E4">
        <w:t>S</w:t>
      </w:r>
      <w:r w:rsidR="000D3E2B">
        <w:t xml:space="preserve">ecurity </w:t>
      </w:r>
      <w:r w:rsidR="00FA14E4">
        <w:t>B</w:t>
      </w:r>
      <w:r w:rsidR="000D3E2B">
        <w:t xml:space="preserve">onds and </w:t>
      </w:r>
      <w:r w:rsidR="00107576">
        <w:t>more readily securing outstanding superannuation guarantee charge debts through</w:t>
      </w:r>
      <w:r w:rsidR="000D3E2B">
        <w:t xml:space="preserve"> </w:t>
      </w:r>
      <w:r w:rsidR="00E364B5">
        <w:t>D</w:t>
      </w:r>
      <w:r w:rsidR="000D3E2B">
        <w:t xml:space="preserve">irector </w:t>
      </w:r>
      <w:r w:rsidR="00E364B5">
        <w:t>P</w:t>
      </w:r>
      <w:r w:rsidR="000D3E2B">
        <w:t xml:space="preserve">enalty </w:t>
      </w:r>
      <w:r w:rsidR="00E364B5">
        <w:t>N</w:t>
      </w:r>
      <w:r w:rsidR="000D3E2B">
        <w:t>otices. Such actions will improve the ATO’s capacity to deal with high risk employers and to improve recovery of unpaid superannuation.</w:t>
      </w:r>
    </w:p>
    <w:p w14:paraId="5C38B76D" w14:textId="584EF1D5" w:rsidR="008A3AE9" w:rsidRDefault="00107576" w:rsidP="00F71EF8">
      <w:pPr>
        <w:spacing w:before="120" w:line="360" w:lineRule="auto"/>
      </w:pPr>
      <w:r>
        <w:t>Of course e</w:t>
      </w:r>
      <w:r w:rsidR="007B3297">
        <w:t>mployers have an important role to play in improv</w:t>
      </w:r>
      <w:r w:rsidR="008567AB">
        <w:t>ing</w:t>
      </w:r>
      <w:r w:rsidR="007B3297">
        <w:t xml:space="preserve"> </w:t>
      </w:r>
      <w:r w:rsidR="008D26BB">
        <w:t xml:space="preserve">superannuation guarantee </w:t>
      </w:r>
      <w:r w:rsidR="007B3297">
        <w:t xml:space="preserve">compliance. The </w:t>
      </w:r>
      <w:r w:rsidR="00C230EF">
        <w:t>Working Group supports</w:t>
      </w:r>
      <w:r w:rsidR="008567AB">
        <w:t>, and recognises</w:t>
      </w:r>
      <w:r w:rsidR="00C230EF">
        <w:t xml:space="preserve"> the importance of</w:t>
      </w:r>
      <w:r w:rsidR="008567AB">
        <w:t>,</w:t>
      </w:r>
      <w:r w:rsidR="00C230EF">
        <w:t xml:space="preserve"> the </w:t>
      </w:r>
      <w:r w:rsidR="007B3297">
        <w:t>ATO</w:t>
      </w:r>
      <w:r w:rsidR="008567AB">
        <w:t>’s</w:t>
      </w:r>
      <w:r w:rsidR="007B3297">
        <w:t xml:space="preserve"> continue</w:t>
      </w:r>
      <w:r w:rsidR="008567AB">
        <w:t>d</w:t>
      </w:r>
      <w:r w:rsidR="007B3297">
        <w:t xml:space="preserve"> assist</w:t>
      </w:r>
      <w:r w:rsidR="008567AB">
        <w:t>ance to</w:t>
      </w:r>
      <w:r w:rsidR="007B3297">
        <w:t xml:space="preserve"> employers to understand and meet their </w:t>
      </w:r>
      <w:r w:rsidR="008F59F8">
        <w:t>superannuation guarantee</w:t>
      </w:r>
      <w:r w:rsidR="007B3297">
        <w:t xml:space="preserve"> obligations. </w:t>
      </w:r>
      <w:r w:rsidR="00E12BCC">
        <w:t xml:space="preserve">It is </w:t>
      </w:r>
      <w:r>
        <w:t>also</w:t>
      </w:r>
      <w:r w:rsidR="00E12BCC">
        <w:t xml:space="preserve"> recognised that t</w:t>
      </w:r>
      <w:r w:rsidR="007B3297">
        <w:t xml:space="preserve">here must be strong penalties for employers and directors who breach their </w:t>
      </w:r>
      <w:r w:rsidR="00A55CCF">
        <w:t xml:space="preserve">superannuation guarantee </w:t>
      </w:r>
      <w:r w:rsidR="007B3297">
        <w:t xml:space="preserve">obligations. </w:t>
      </w:r>
      <w:r w:rsidR="00E12BCC">
        <w:t>However, w</w:t>
      </w:r>
      <w:r w:rsidR="007B3297">
        <w:t xml:space="preserve">hile the current penalties provide a strong deterrent, they can also have the </w:t>
      </w:r>
      <w:r w:rsidR="00763621">
        <w:t>effect</w:t>
      </w:r>
      <w:r w:rsidR="007C6BD7">
        <w:t xml:space="preserve"> </w:t>
      </w:r>
      <w:r w:rsidR="007B3297">
        <w:t xml:space="preserve">of </w:t>
      </w:r>
      <w:r w:rsidR="007C6BD7">
        <w:t xml:space="preserve">harshly </w:t>
      </w:r>
      <w:r w:rsidR="007B3297">
        <w:t>penalising ‘honest employers’ who make an inadvertent mistake</w:t>
      </w:r>
      <w:r w:rsidR="008567AB">
        <w:t>,</w:t>
      </w:r>
      <w:r w:rsidR="007B3297">
        <w:t xml:space="preserve"> </w:t>
      </w:r>
      <w:r w:rsidR="00956CFA">
        <w:t xml:space="preserve">thereby </w:t>
      </w:r>
      <w:r w:rsidR="007B3297">
        <w:t xml:space="preserve">discouraging reporting and rectification of underpayment. </w:t>
      </w:r>
      <w:r w:rsidR="00E12BCC">
        <w:t xml:space="preserve">The </w:t>
      </w:r>
      <w:r w:rsidR="007B3297">
        <w:t xml:space="preserve">current </w:t>
      </w:r>
      <w:r w:rsidR="00E12BCC">
        <w:t xml:space="preserve">superannuation guarantee charge </w:t>
      </w:r>
      <w:r w:rsidR="007B3297">
        <w:t xml:space="preserve">penalty </w:t>
      </w:r>
      <w:r w:rsidR="00E12BCC">
        <w:t xml:space="preserve">regime within which the ATO operates </w:t>
      </w:r>
      <w:r w:rsidR="007B3297">
        <w:t xml:space="preserve">is </w:t>
      </w:r>
      <w:r>
        <w:t xml:space="preserve">not consistent with the settings of </w:t>
      </w:r>
      <w:r w:rsidR="007B3297">
        <w:t>other areas of taxation</w:t>
      </w:r>
      <w:r w:rsidR="00E12BCC">
        <w:t xml:space="preserve"> administration</w:t>
      </w:r>
      <w:r>
        <w:t>. The superannuation guarantee charge regime</w:t>
      </w:r>
      <w:r w:rsidR="00E85094">
        <w:t xml:space="preserve"> </w:t>
      </w:r>
      <w:r w:rsidR="007B3297">
        <w:t xml:space="preserve">operates </w:t>
      </w:r>
      <w:r>
        <w:t xml:space="preserve">largely </w:t>
      </w:r>
      <w:r w:rsidR="007B3297">
        <w:t>on a one</w:t>
      </w:r>
      <w:r w:rsidR="009632A4">
        <w:noBreakHyphen/>
      </w:r>
      <w:r w:rsidR="007B3297">
        <w:t>size</w:t>
      </w:r>
      <w:r w:rsidR="009632A4">
        <w:noBreakHyphen/>
      </w:r>
      <w:r w:rsidR="007B3297">
        <w:t>fits</w:t>
      </w:r>
      <w:r w:rsidR="009632A4">
        <w:noBreakHyphen/>
      </w:r>
      <w:r w:rsidR="007B3297">
        <w:t xml:space="preserve">all basis and does not distinguish between </w:t>
      </w:r>
      <w:r w:rsidR="00A55CCF">
        <w:t>deliberate or repeated</w:t>
      </w:r>
      <w:r w:rsidR="007B3297">
        <w:t xml:space="preserve"> non</w:t>
      </w:r>
      <w:r w:rsidR="00956CFA">
        <w:noBreakHyphen/>
      </w:r>
      <w:r w:rsidR="007B3297">
        <w:t xml:space="preserve">compliance and inadvertent </w:t>
      </w:r>
      <w:r w:rsidR="007C6BD7">
        <w:t>mistakes</w:t>
      </w:r>
      <w:r w:rsidR="007B3297">
        <w:t>. T</w:t>
      </w:r>
      <w:r>
        <w:t>herefore t</w:t>
      </w:r>
      <w:r w:rsidR="007B3297">
        <w:t xml:space="preserve">he Working Group recommends </w:t>
      </w:r>
      <w:r>
        <w:t xml:space="preserve">that the regime </w:t>
      </w:r>
      <w:r w:rsidR="007B3297">
        <w:t xml:space="preserve">should be more flexible so that penalties can be tailored to reflect different levels of employer </w:t>
      </w:r>
      <w:r>
        <w:t xml:space="preserve">behaviour and </w:t>
      </w:r>
      <w:r w:rsidR="007B3297">
        <w:t>culpability</w:t>
      </w:r>
      <w:r w:rsidR="00EA2598">
        <w:t>.</w:t>
      </w:r>
    </w:p>
    <w:p w14:paraId="06E1B348" w14:textId="3E1FECE6" w:rsidR="008240BC" w:rsidRDefault="008A3AE9" w:rsidP="00F71EF8">
      <w:pPr>
        <w:spacing w:before="120" w:line="360" w:lineRule="auto"/>
      </w:pPr>
      <w:r>
        <w:t>The Working Group</w:t>
      </w:r>
      <w:r w:rsidR="000272D5">
        <w:t xml:space="preserve"> </w:t>
      </w:r>
      <w:r w:rsidR="008567AB">
        <w:t xml:space="preserve">also </w:t>
      </w:r>
      <w:r>
        <w:t>consider</w:t>
      </w:r>
      <w:r w:rsidR="008567AB">
        <w:t>s</w:t>
      </w:r>
      <w:r>
        <w:t xml:space="preserve"> that the Government should clarify the law on how salary sacrifice agreements affect an employer’s </w:t>
      </w:r>
      <w:r w:rsidR="00A55CCF">
        <w:t xml:space="preserve">superannuation guarantee </w:t>
      </w:r>
      <w:r>
        <w:t xml:space="preserve">obligations. </w:t>
      </w:r>
      <w:r w:rsidR="004D43A6">
        <w:t>In particular to,</w:t>
      </w:r>
      <w:r>
        <w:t xml:space="preserve"> </w:t>
      </w:r>
      <w:r w:rsidR="00152F2E">
        <w:t>firstly,</w:t>
      </w:r>
      <w:r>
        <w:t xml:space="preserve"> ensure that </w:t>
      </w:r>
      <w:r w:rsidR="0015761D">
        <w:t>employers cannot use an amount an employee salary sacrifices to superannuation to satisfy the employer’s supe</w:t>
      </w:r>
      <w:r w:rsidR="00152F2E">
        <w:t>rannuation guarantee obligation;</w:t>
      </w:r>
      <w:r w:rsidR="0015761D">
        <w:t xml:space="preserve"> and </w:t>
      </w:r>
      <w:r w:rsidR="00152F2E">
        <w:t xml:space="preserve">secondly, </w:t>
      </w:r>
      <w:r w:rsidR="0015761D">
        <w:t xml:space="preserve">to ensure that </w:t>
      </w:r>
      <w:r>
        <w:t xml:space="preserve">the </w:t>
      </w:r>
      <w:r w:rsidR="00A031FF" w:rsidRPr="00353C48">
        <w:rPr>
          <w:i/>
        </w:rPr>
        <w:t>ordinary time earnings</w:t>
      </w:r>
      <w:r w:rsidR="00A031FF">
        <w:t xml:space="preserve"> </w:t>
      </w:r>
      <w:r>
        <w:t xml:space="preserve">base </w:t>
      </w:r>
      <w:r w:rsidR="00AE1422">
        <w:t xml:space="preserve">used to calculate an employer’s </w:t>
      </w:r>
      <w:r w:rsidR="00A55CCF">
        <w:t xml:space="preserve">superannuation guarantee </w:t>
      </w:r>
      <w:r w:rsidR="00AE1422">
        <w:t xml:space="preserve">obligation </w:t>
      </w:r>
      <w:r>
        <w:t xml:space="preserve">includes </w:t>
      </w:r>
      <w:r w:rsidR="0015761D">
        <w:t xml:space="preserve">those </w:t>
      </w:r>
      <w:r w:rsidR="00AE1422">
        <w:t xml:space="preserve">salary </w:t>
      </w:r>
      <w:r w:rsidR="0015761D">
        <w:t xml:space="preserve">or wages </w:t>
      </w:r>
      <w:r w:rsidR="00AE1422">
        <w:t>sacrificed to superannuation. This will ensure that</w:t>
      </w:r>
      <w:r>
        <w:t xml:space="preserve"> </w:t>
      </w:r>
      <w:r w:rsidR="00AE1422">
        <w:t>employees receive the full benefit of voluntary contributions.</w:t>
      </w:r>
    </w:p>
    <w:p w14:paraId="1BA78D1A" w14:textId="3513C70C" w:rsidR="00C2278C" w:rsidRDefault="00AE1422" w:rsidP="00F71EF8">
      <w:pPr>
        <w:spacing w:before="120" w:line="360" w:lineRule="auto"/>
      </w:pPr>
      <w:r>
        <w:t xml:space="preserve">At present, </w:t>
      </w:r>
      <w:r w:rsidR="00A55CCF">
        <w:t xml:space="preserve">superannuation guarantee </w:t>
      </w:r>
      <w:r>
        <w:t>is required to be paid by employers within 28 days of the end of each quarter. While the Working Group</w:t>
      </w:r>
      <w:r w:rsidR="00134FE4">
        <w:t xml:space="preserve"> sees valid reasons to increase payment frequency</w:t>
      </w:r>
      <w:r>
        <w:t xml:space="preserve">, it has not recommended any changes to the current </w:t>
      </w:r>
      <w:r w:rsidR="00A55CCF">
        <w:t>quarterly</w:t>
      </w:r>
      <w:r w:rsidR="009D0777">
        <w:t xml:space="preserve"> payment</w:t>
      </w:r>
      <w:r w:rsidR="00A55CCF">
        <w:t xml:space="preserve"> obligation on employers</w:t>
      </w:r>
      <w:r>
        <w:t xml:space="preserve">. </w:t>
      </w:r>
      <w:r w:rsidR="00134FE4">
        <w:t xml:space="preserve">The Working Group considers that improvements to data visibility are the main priority after which payment frequency could be reviewed. </w:t>
      </w:r>
      <w:r w:rsidR="00107576">
        <w:t>Due to change</w:t>
      </w:r>
      <w:r w:rsidR="008567AB">
        <w:t>s</w:t>
      </w:r>
      <w:r w:rsidR="00107576">
        <w:t xml:space="preserve"> in technology and work practices, s</w:t>
      </w:r>
      <w:r>
        <w:t xml:space="preserve">ome employers already pay </w:t>
      </w:r>
      <w:r w:rsidR="009D0777">
        <w:t xml:space="preserve">superannuation guarantee </w:t>
      </w:r>
      <w:r>
        <w:t>more frequently and some funds require monthly payments. However the Working Group is mindful of the potential implications of more frequent payment on small business cash flow requirements.</w:t>
      </w:r>
    </w:p>
    <w:p w14:paraId="05DCDDEA" w14:textId="52C7F58B" w:rsidR="00107576" w:rsidRDefault="00B10E40" w:rsidP="00F71EF8">
      <w:pPr>
        <w:spacing w:before="120" w:line="360" w:lineRule="auto"/>
      </w:pPr>
      <w:r>
        <w:t xml:space="preserve">The </w:t>
      </w:r>
      <w:r w:rsidR="00107576">
        <w:t>formation of the Working Group has confirmed that there is merit in departments working more closely to promote conformance</w:t>
      </w:r>
      <w:r w:rsidR="008567AB">
        <w:t xml:space="preserve"> with</w:t>
      </w:r>
      <w:r w:rsidR="00221B2E">
        <w:t>,</w:t>
      </w:r>
      <w:r w:rsidR="00107576">
        <w:t xml:space="preserve"> and performance of</w:t>
      </w:r>
      <w:r w:rsidR="00221B2E">
        <w:t>,</w:t>
      </w:r>
      <w:r w:rsidR="00107576">
        <w:t xml:space="preserve"> the superannuation </w:t>
      </w:r>
      <w:r w:rsidR="00221B2E">
        <w:t xml:space="preserve">guarantee </w:t>
      </w:r>
      <w:r w:rsidR="00107576">
        <w:t>system drawing from the respective roles and expertise of each agency. To that end we have agreed to change some information sharing arrangements and collaborative strategies.</w:t>
      </w:r>
    </w:p>
    <w:p w14:paraId="053A07B8" w14:textId="77777777" w:rsidR="00B10E40" w:rsidRPr="008E2C85" w:rsidRDefault="00107576" w:rsidP="00F71EF8">
      <w:pPr>
        <w:spacing w:before="120" w:line="360" w:lineRule="auto"/>
      </w:pPr>
      <w:r>
        <w:t>Overall, the</w:t>
      </w:r>
      <w:r w:rsidR="00B10E40">
        <w:t xml:space="preserve"> Working Group</w:t>
      </w:r>
      <w:r w:rsidR="008240BC">
        <w:t xml:space="preserve"> is of the view that these changes and improvement</w:t>
      </w:r>
      <w:r w:rsidR="00E85094">
        <w:t>s</w:t>
      </w:r>
      <w:r w:rsidR="008240BC">
        <w:t xml:space="preserve"> present opportunit</w:t>
      </w:r>
      <w:r w:rsidR="00E85094">
        <w:t>ies</w:t>
      </w:r>
      <w:r w:rsidR="008240BC">
        <w:t xml:space="preserve"> to bring greater visibility to the payment of superannuation guarantee into employees</w:t>
      </w:r>
      <w:r w:rsidR="00E85094">
        <w:t>’</w:t>
      </w:r>
      <w:r w:rsidR="008240BC">
        <w:t xml:space="preserve"> fund</w:t>
      </w:r>
      <w:r w:rsidR="00E85094">
        <w:t>s</w:t>
      </w:r>
      <w:r w:rsidR="008240BC">
        <w:t xml:space="preserve">. </w:t>
      </w:r>
    </w:p>
    <w:p w14:paraId="1E46C9AE" w14:textId="77777777" w:rsidR="0035619E" w:rsidRDefault="0035619E" w:rsidP="00F71EF8">
      <w:pPr>
        <w:spacing w:before="120" w:line="360" w:lineRule="auto"/>
      </w:pPr>
    </w:p>
    <w:p w14:paraId="1CB3D5A8" w14:textId="77777777" w:rsidR="0035619E" w:rsidRDefault="0035619E" w:rsidP="00F71EF8">
      <w:pPr>
        <w:spacing w:before="120" w:line="276" w:lineRule="auto"/>
      </w:pPr>
      <w:r>
        <w:t>James O’Halloran</w:t>
      </w:r>
    </w:p>
    <w:p w14:paraId="3A183F69" w14:textId="77777777" w:rsidR="00107576" w:rsidRDefault="00107576" w:rsidP="00F71EF8">
      <w:pPr>
        <w:spacing w:before="120" w:line="276" w:lineRule="auto"/>
      </w:pPr>
      <w:r>
        <w:t xml:space="preserve">Deputy Commissioner </w:t>
      </w:r>
    </w:p>
    <w:p w14:paraId="0FC6B5C9" w14:textId="18D7F55C" w:rsidR="00221B2E" w:rsidRDefault="0035619E">
      <w:r>
        <w:t>Chair</w:t>
      </w:r>
      <w:r w:rsidR="00107576">
        <w:t xml:space="preserve">person, Superannuation Guarantee Cross Agency Working Group </w:t>
      </w:r>
      <w:bookmarkStart w:id="14" w:name="_Toc478651106"/>
      <w:bookmarkStart w:id="15" w:name="_Toc478651948"/>
      <w:bookmarkStart w:id="16" w:name="_Toc478654409"/>
      <w:bookmarkStart w:id="17" w:name="_Toc478655123"/>
      <w:bookmarkStart w:id="18" w:name="_Toc478656377"/>
      <w:bookmarkStart w:id="19" w:name="_Toc478657628"/>
      <w:bookmarkStart w:id="20" w:name="_Toc478716501"/>
      <w:bookmarkStart w:id="21" w:name="_Toc478718224"/>
      <w:bookmarkStart w:id="22" w:name="_Toc478718434"/>
      <w:bookmarkStart w:id="23" w:name="_Toc478485959"/>
      <w:bookmarkStart w:id="24" w:name="_Toc478501968"/>
      <w:r w:rsidR="00221B2E">
        <w:rPr>
          <w:bCs/>
        </w:rPr>
        <w:br w:type="page"/>
      </w:r>
    </w:p>
    <w:p w14:paraId="38258980" w14:textId="3BE9B4B7" w:rsidR="00A62775" w:rsidRDefault="0084162F" w:rsidP="00224B95">
      <w:pPr>
        <w:pStyle w:val="Heading1"/>
        <w:framePr w:wrap="notBeside"/>
      </w:pPr>
      <w:bookmarkStart w:id="25" w:name="_Toc478738383"/>
      <w:bookmarkStart w:id="26" w:name="_Toc478740669"/>
      <w:r>
        <w:t xml:space="preserve">1. </w:t>
      </w:r>
      <w:r w:rsidR="00BA5461">
        <w:t>R</w:t>
      </w:r>
      <w:r w:rsidR="00A62775">
        <w:t>ecommendations</w:t>
      </w:r>
      <w:r w:rsidR="00BA5461">
        <w:t xml:space="preserve"> and administrative actions</w:t>
      </w:r>
      <w:bookmarkEnd w:id="14"/>
      <w:bookmarkEnd w:id="15"/>
      <w:bookmarkEnd w:id="16"/>
      <w:bookmarkEnd w:id="17"/>
      <w:bookmarkEnd w:id="18"/>
      <w:bookmarkEnd w:id="19"/>
      <w:bookmarkEnd w:id="20"/>
      <w:bookmarkEnd w:id="21"/>
      <w:bookmarkEnd w:id="22"/>
      <w:bookmarkEnd w:id="25"/>
      <w:bookmarkEnd w:id="26"/>
    </w:p>
    <w:p w14:paraId="1318C0FB" w14:textId="77777777" w:rsidR="00672D23" w:rsidRDefault="00672D23" w:rsidP="00224B95">
      <w:pPr>
        <w:spacing w:line="360" w:lineRule="auto"/>
      </w:pPr>
    </w:p>
    <w:p w14:paraId="37B0099E" w14:textId="77777777" w:rsidR="00672D23" w:rsidRDefault="00672D23" w:rsidP="00672D23">
      <w:pPr>
        <w:pStyle w:val="ListParagraph"/>
        <w:numPr>
          <w:ilvl w:val="1"/>
          <w:numId w:val="26"/>
        </w:numPr>
        <w:spacing w:line="360" w:lineRule="auto"/>
        <w:ind w:left="567" w:hanging="567"/>
        <w:contextualSpacing w:val="0"/>
      </w:pPr>
      <w:r w:rsidRPr="0056435D">
        <w:t>This chapter sets out recommendations of the Working Group</w:t>
      </w:r>
      <w:r>
        <w:t>, together with steps agencies will take to improve non</w:t>
      </w:r>
      <w:r>
        <w:noBreakHyphen/>
        <w:t>compliance</w:t>
      </w:r>
      <w:r w:rsidRPr="0056435D">
        <w:t>.</w:t>
      </w:r>
    </w:p>
    <w:p w14:paraId="776DC138" w14:textId="77777777" w:rsidR="00672D23" w:rsidRDefault="00672D23" w:rsidP="00672D23">
      <w:pPr>
        <w:pStyle w:val="ListParagraph"/>
        <w:numPr>
          <w:ilvl w:val="1"/>
          <w:numId w:val="26"/>
        </w:numPr>
        <w:spacing w:line="360" w:lineRule="auto"/>
        <w:ind w:left="567" w:hanging="567"/>
        <w:contextualSpacing w:val="0"/>
      </w:pPr>
      <w:r>
        <w:t xml:space="preserve">These changes aim to ensure that </w:t>
      </w:r>
      <w:r w:rsidRPr="0056435D">
        <w:t>employees receiv</w:t>
      </w:r>
      <w:r>
        <w:t>e</w:t>
      </w:r>
      <w:r w:rsidRPr="0056435D">
        <w:t xml:space="preserve"> their superannuation guarantee</w:t>
      </w:r>
      <w:r>
        <w:t xml:space="preserve"> entitlements and </w:t>
      </w:r>
      <w:r w:rsidRPr="0056435D">
        <w:t xml:space="preserve">employers </w:t>
      </w:r>
      <w:r>
        <w:t>are supported and protected when doing the right thing</w:t>
      </w:r>
      <w:r w:rsidRPr="0056435D">
        <w:t>.</w:t>
      </w:r>
    </w:p>
    <w:p w14:paraId="489A84D8" w14:textId="0B858F30" w:rsidR="00476393" w:rsidRDefault="00672D23" w:rsidP="00672D23">
      <w:pPr>
        <w:pStyle w:val="ListParagraph"/>
        <w:numPr>
          <w:ilvl w:val="1"/>
          <w:numId w:val="26"/>
        </w:numPr>
        <w:spacing w:line="360" w:lineRule="auto"/>
        <w:ind w:left="567" w:hanging="567"/>
        <w:contextualSpacing w:val="0"/>
      </w:pPr>
      <w:r w:rsidRPr="0056435D">
        <w:t xml:space="preserve">These changes cannot prevent all non-compliance from occurring and the ATO, as regulator, cannot </w:t>
      </w:r>
      <w:r w:rsidR="00476393">
        <w:t>prevent</w:t>
      </w:r>
      <w:r w:rsidR="00476393" w:rsidRPr="0056435D">
        <w:t xml:space="preserve"> </w:t>
      </w:r>
      <w:r w:rsidRPr="0056435D">
        <w:t xml:space="preserve">every instance of non-compliance. </w:t>
      </w:r>
      <w:r w:rsidR="00476393">
        <w:t>However, n</w:t>
      </w:r>
      <w:r w:rsidRPr="0056435D">
        <w:t xml:space="preserve">on-compliance is not </w:t>
      </w:r>
      <w:r>
        <w:t xml:space="preserve">currently </w:t>
      </w:r>
      <w:r w:rsidR="00476393">
        <w:t xml:space="preserve">readily </w:t>
      </w:r>
      <w:r w:rsidRPr="0056435D">
        <w:t>identifi</w:t>
      </w:r>
      <w:r w:rsidR="003872E2">
        <w:t>able</w:t>
      </w:r>
      <w:r w:rsidRPr="0056435D">
        <w:t xml:space="preserve"> by the ATO</w:t>
      </w:r>
      <w:r w:rsidR="00476393">
        <w:t>. The proposed recommendations and actions</w:t>
      </w:r>
      <w:r w:rsidRPr="0056435D">
        <w:t xml:space="preserve"> focus on </w:t>
      </w:r>
      <w:r w:rsidR="00476393">
        <w:t xml:space="preserve">bringing forward systemic and operational improvements. </w:t>
      </w:r>
    </w:p>
    <w:p w14:paraId="6AE723EA" w14:textId="77777777" w:rsidR="00672D23" w:rsidRDefault="00672D23" w:rsidP="00672D23">
      <w:pPr>
        <w:pStyle w:val="ListParagraph"/>
        <w:numPr>
          <w:ilvl w:val="1"/>
          <w:numId w:val="26"/>
        </w:numPr>
        <w:spacing w:line="360" w:lineRule="auto"/>
        <w:ind w:left="567" w:hanging="567"/>
        <w:contextualSpacing w:val="0"/>
      </w:pPr>
      <w:r w:rsidRPr="0056435D">
        <w:t>I</w:t>
      </w:r>
      <w:r w:rsidR="00476393">
        <w:t>t is considered that i</w:t>
      </w:r>
      <w:r w:rsidRPr="0056435D">
        <w:t xml:space="preserve">nformation is critical </w:t>
      </w:r>
      <w:r>
        <w:t>not only for the regulator, but also for</w:t>
      </w:r>
      <w:r w:rsidRPr="0056435D">
        <w:t xml:space="preserve"> employees </w:t>
      </w:r>
      <w:r>
        <w:t>(</w:t>
      </w:r>
      <w:r w:rsidRPr="0056435D">
        <w:t>who need to</w:t>
      </w:r>
      <w:r>
        <w:t xml:space="preserve"> be aware of their entitlements),</w:t>
      </w:r>
      <w:r w:rsidRPr="0056435D">
        <w:t xml:space="preserve"> and employers </w:t>
      </w:r>
      <w:r>
        <w:t>(</w:t>
      </w:r>
      <w:r w:rsidRPr="0056435D">
        <w:t>who need to understand their obligations</w:t>
      </w:r>
      <w:r>
        <w:t>)</w:t>
      </w:r>
      <w:r w:rsidRPr="0056435D">
        <w:t>.</w:t>
      </w:r>
    </w:p>
    <w:p w14:paraId="4059B2DB" w14:textId="3F8F2B0A" w:rsidR="00672D23" w:rsidRDefault="00672D23" w:rsidP="00672D23">
      <w:pPr>
        <w:pStyle w:val="ListParagraph"/>
        <w:numPr>
          <w:ilvl w:val="1"/>
          <w:numId w:val="26"/>
        </w:numPr>
        <w:spacing w:line="360" w:lineRule="auto"/>
        <w:ind w:left="567" w:hanging="567"/>
        <w:contextualSpacing w:val="0"/>
      </w:pPr>
      <w:r>
        <w:t xml:space="preserve">To ensure a major improvement in the ability to identify </w:t>
      </w:r>
      <w:r w:rsidR="003872E2">
        <w:t xml:space="preserve">and deal with </w:t>
      </w:r>
      <w:r>
        <w:t>non</w:t>
      </w:r>
      <w:r>
        <w:noBreakHyphen/>
        <w:t>compliance the key recommendations seek to improve visibility by extending Single Touch Payroll to small business and ensure a more appropriate spectrum of sanctions to address employer behaviour based on culpability.</w:t>
      </w:r>
    </w:p>
    <w:p w14:paraId="4F08BA6F" w14:textId="77777777" w:rsidR="00A43792" w:rsidRPr="00224B95" w:rsidRDefault="00A43792" w:rsidP="00F71EF8">
      <w:pPr>
        <w:pStyle w:val="Boxtext"/>
        <w:keepNext/>
        <w:pBdr>
          <w:top w:val="none" w:sz="0" w:space="0" w:color="auto"/>
          <w:left w:val="none" w:sz="0" w:space="0" w:color="auto"/>
          <w:right w:val="none" w:sz="0" w:space="0" w:color="auto"/>
        </w:pBdr>
        <w:shd w:val="clear" w:color="auto" w:fill="D9D9D9" w:themeFill="background1" w:themeFillShade="D9"/>
        <w:spacing w:before="120" w:line="276" w:lineRule="auto"/>
        <w:rPr>
          <w:b/>
          <w:caps/>
          <w:color w:val="auto"/>
        </w:rPr>
      </w:pPr>
      <w:r w:rsidRPr="00224B95">
        <w:rPr>
          <w:b/>
          <w:caps/>
          <w:color w:val="auto"/>
        </w:rPr>
        <w:t>Recommendation 1</w:t>
      </w:r>
    </w:p>
    <w:p w14:paraId="10B227DF" w14:textId="1DD2E122" w:rsidR="00A70B80" w:rsidRDefault="008404C3" w:rsidP="00F71EF8">
      <w:pPr>
        <w:pStyle w:val="Boxtext"/>
        <w:keepNext/>
        <w:pBdr>
          <w:top w:val="none" w:sz="0" w:space="0" w:color="auto"/>
          <w:left w:val="none" w:sz="0" w:space="0" w:color="auto"/>
          <w:bottom w:val="none" w:sz="0" w:space="0" w:color="auto"/>
          <w:right w:val="none" w:sz="0" w:space="0" w:color="auto"/>
        </w:pBdr>
        <w:shd w:val="clear" w:color="auto" w:fill="D9D9D9" w:themeFill="background1" w:themeFillShade="D9"/>
        <w:spacing w:before="120" w:line="276" w:lineRule="auto"/>
        <w:rPr>
          <w:color w:val="auto"/>
        </w:rPr>
      </w:pPr>
      <w:r>
        <w:rPr>
          <w:color w:val="auto"/>
        </w:rPr>
        <w:t>That subject to the findings</w:t>
      </w:r>
      <w:r w:rsidR="00A70B80" w:rsidRPr="00A70B80">
        <w:rPr>
          <w:color w:val="auto"/>
        </w:rPr>
        <w:t xml:space="preserve"> of the current small business pilot being conducted by the ATO, to improve the ATO’s visibility of superannuation </w:t>
      </w:r>
      <w:r w:rsidR="00A70B80">
        <w:rPr>
          <w:color w:val="auto"/>
        </w:rPr>
        <w:t>obligations</w:t>
      </w:r>
      <w:r w:rsidR="00A70B80" w:rsidRPr="00A70B80">
        <w:rPr>
          <w:color w:val="auto"/>
        </w:rPr>
        <w:t xml:space="preserve"> it is recommended by the Working Group that all businesses (including small business) comply with Single Touch Payroll.</w:t>
      </w:r>
    </w:p>
    <w:p w14:paraId="19DEB89F" w14:textId="77777777" w:rsidR="00A43792" w:rsidRPr="00224B95" w:rsidRDefault="00A43792" w:rsidP="00F71EF8">
      <w:pPr>
        <w:spacing w:before="120" w:line="276" w:lineRule="auto"/>
        <w:rPr>
          <w:color w:val="auto"/>
          <w:sz w:val="6"/>
        </w:rPr>
      </w:pPr>
    </w:p>
    <w:p w14:paraId="105D7AAA" w14:textId="77777777" w:rsidR="00A43792" w:rsidRPr="00224B95" w:rsidRDefault="00A43792" w:rsidP="00F71EF8">
      <w:pPr>
        <w:pStyle w:val="Boxtext"/>
        <w:keepNext/>
        <w:pBdr>
          <w:top w:val="none" w:sz="0" w:space="0" w:color="auto"/>
          <w:left w:val="none" w:sz="0" w:space="0" w:color="auto"/>
          <w:right w:val="none" w:sz="0" w:space="0" w:color="auto"/>
        </w:pBdr>
        <w:shd w:val="clear" w:color="auto" w:fill="D9D9D9" w:themeFill="background1" w:themeFillShade="D9"/>
        <w:spacing w:before="120" w:line="276" w:lineRule="auto"/>
        <w:rPr>
          <w:b/>
          <w:caps/>
          <w:color w:val="auto"/>
        </w:rPr>
      </w:pPr>
      <w:r w:rsidRPr="00224B95">
        <w:rPr>
          <w:b/>
          <w:caps/>
          <w:color w:val="auto"/>
        </w:rPr>
        <w:t>Recommendation 2</w:t>
      </w:r>
    </w:p>
    <w:p w14:paraId="6D37897F" w14:textId="6C92B6DC" w:rsidR="00A43792" w:rsidRPr="00224B95" w:rsidRDefault="00A43792" w:rsidP="00F71EF8">
      <w:pPr>
        <w:pStyle w:val="Boxtext"/>
        <w:keepNext/>
        <w:pBdr>
          <w:top w:val="none" w:sz="0" w:space="0" w:color="auto"/>
          <w:left w:val="none" w:sz="0" w:space="0" w:color="auto"/>
          <w:bottom w:val="none" w:sz="0" w:space="0" w:color="auto"/>
          <w:right w:val="none" w:sz="0" w:space="0" w:color="auto"/>
        </w:pBdr>
        <w:shd w:val="clear" w:color="auto" w:fill="D9D9D9" w:themeFill="background1" w:themeFillShade="D9"/>
        <w:spacing w:before="120" w:line="276" w:lineRule="auto"/>
        <w:rPr>
          <w:color w:val="auto"/>
        </w:rPr>
      </w:pPr>
      <w:r w:rsidRPr="00224B95">
        <w:rPr>
          <w:color w:val="auto"/>
        </w:rPr>
        <w:t xml:space="preserve">To improve the ATO’s visibility of superannuation guarantee contributions made to employees’ superannuation funds, require superannuation funds to report </w:t>
      </w:r>
      <w:r w:rsidR="005031BB">
        <w:rPr>
          <w:color w:val="auto"/>
        </w:rPr>
        <w:t xml:space="preserve">detailed </w:t>
      </w:r>
      <w:r w:rsidRPr="00224B95">
        <w:rPr>
          <w:color w:val="auto"/>
        </w:rPr>
        <w:t xml:space="preserve">contributions </w:t>
      </w:r>
      <w:r w:rsidR="00476393">
        <w:rPr>
          <w:color w:val="auto"/>
        </w:rPr>
        <w:t xml:space="preserve">payment </w:t>
      </w:r>
      <w:r w:rsidRPr="00224B95">
        <w:rPr>
          <w:color w:val="auto"/>
        </w:rPr>
        <w:t xml:space="preserve">information more frequently. </w:t>
      </w:r>
      <w:r w:rsidR="00476393">
        <w:rPr>
          <w:color w:val="auto"/>
        </w:rPr>
        <w:t>It is understood t</w:t>
      </w:r>
      <w:r w:rsidRPr="00224B95">
        <w:rPr>
          <w:color w:val="auto"/>
        </w:rPr>
        <w:t xml:space="preserve">his can be </w:t>
      </w:r>
      <w:r w:rsidR="00476393">
        <w:rPr>
          <w:color w:val="auto"/>
        </w:rPr>
        <w:t>enacted</w:t>
      </w:r>
      <w:r w:rsidR="00476393" w:rsidRPr="00224B95">
        <w:rPr>
          <w:color w:val="auto"/>
        </w:rPr>
        <w:t xml:space="preserve"> </w:t>
      </w:r>
      <w:r w:rsidRPr="00224B95">
        <w:rPr>
          <w:color w:val="auto"/>
        </w:rPr>
        <w:t>through the creation of a legislative instrument by the Commissioner of Taxation</w:t>
      </w:r>
      <w:r w:rsidR="00476393">
        <w:rPr>
          <w:color w:val="auto"/>
        </w:rPr>
        <w:t xml:space="preserve"> to move from a requirement for superannuation funds to report superannuation contributions</w:t>
      </w:r>
      <w:r w:rsidR="00BF0BCE">
        <w:rPr>
          <w:color w:val="auto"/>
        </w:rPr>
        <w:t xml:space="preserve"> annually</w:t>
      </w:r>
      <w:r w:rsidRPr="00224B95">
        <w:rPr>
          <w:color w:val="auto"/>
        </w:rPr>
        <w:t xml:space="preserve">. </w:t>
      </w:r>
    </w:p>
    <w:p w14:paraId="598AA670" w14:textId="77777777" w:rsidR="008404C3" w:rsidRPr="00284D0F" w:rsidRDefault="008404C3" w:rsidP="00F71EF8">
      <w:pPr>
        <w:spacing w:before="120" w:line="276" w:lineRule="auto"/>
        <w:rPr>
          <w:color w:val="auto"/>
          <w:sz w:val="6"/>
        </w:rPr>
      </w:pPr>
    </w:p>
    <w:p w14:paraId="08A7081E" w14:textId="77777777" w:rsidR="00C8752B" w:rsidRPr="00284D0F" w:rsidRDefault="00C8752B" w:rsidP="00F71EF8">
      <w:pPr>
        <w:spacing w:before="120" w:line="276" w:lineRule="auto"/>
        <w:rPr>
          <w:color w:val="auto"/>
          <w:sz w:val="6"/>
        </w:rPr>
      </w:pPr>
    </w:p>
    <w:p w14:paraId="37200296" w14:textId="77777777" w:rsidR="008404C3" w:rsidRPr="00284D0F" w:rsidRDefault="008404C3" w:rsidP="00F71EF8">
      <w:pPr>
        <w:pStyle w:val="Boxtext"/>
        <w:keepNext/>
        <w:pBdr>
          <w:top w:val="none" w:sz="0" w:space="0" w:color="auto"/>
          <w:left w:val="none" w:sz="0" w:space="0" w:color="auto"/>
          <w:right w:val="none" w:sz="0" w:space="0" w:color="auto"/>
        </w:pBdr>
        <w:shd w:val="clear" w:color="auto" w:fill="D9D9D9" w:themeFill="background1" w:themeFillShade="D9"/>
        <w:spacing w:before="120" w:line="276" w:lineRule="auto"/>
        <w:rPr>
          <w:b/>
          <w:caps/>
          <w:color w:val="auto"/>
        </w:rPr>
      </w:pPr>
      <w:r w:rsidRPr="00284D0F">
        <w:rPr>
          <w:b/>
          <w:caps/>
          <w:color w:val="auto"/>
        </w:rPr>
        <w:t>Recommendation </w:t>
      </w:r>
      <w:r>
        <w:rPr>
          <w:b/>
          <w:caps/>
          <w:color w:val="auto"/>
        </w:rPr>
        <w:t>3</w:t>
      </w:r>
    </w:p>
    <w:p w14:paraId="620FFD8C" w14:textId="77777777" w:rsidR="008404C3" w:rsidRPr="000F201E" w:rsidRDefault="008404C3" w:rsidP="00F71EF8">
      <w:pPr>
        <w:pStyle w:val="Boxtext"/>
        <w:keepNext/>
        <w:pBdr>
          <w:top w:val="none" w:sz="0" w:space="0" w:color="auto"/>
          <w:left w:val="none" w:sz="0" w:space="0" w:color="auto"/>
          <w:bottom w:val="none" w:sz="0" w:space="0" w:color="auto"/>
          <w:right w:val="none" w:sz="0" w:space="0" w:color="auto"/>
        </w:pBdr>
        <w:shd w:val="clear" w:color="auto" w:fill="D9D9D9" w:themeFill="background1" w:themeFillShade="D9"/>
        <w:spacing w:before="120" w:line="276" w:lineRule="auto"/>
        <w:rPr>
          <w:color w:val="auto"/>
        </w:rPr>
      </w:pPr>
      <w:r w:rsidRPr="00A70B80">
        <w:t>The ATO should inform employees of its actions to collect their superannuation guarantee, including in ATO-initiated cases where this communication is currently constrained by current secrecy provisions. The ATO and Treasury will advise of the administrative and legal changes needed to inform employees that have not self-reported suspected non-payment to the ATO.</w:t>
      </w:r>
    </w:p>
    <w:p w14:paraId="06A2C0C1" w14:textId="77777777" w:rsidR="00FE34CE" w:rsidRPr="00284D0F" w:rsidRDefault="00FE34CE" w:rsidP="00F71EF8">
      <w:pPr>
        <w:spacing w:before="120" w:line="276" w:lineRule="auto"/>
        <w:rPr>
          <w:color w:val="auto"/>
          <w:sz w:val="6"/>
        </w:rPr>
      </w:pPr>
    </w:p>
    <w:p w14:paraId="2CC96A15" w14:textId="77777777" w:rsidR="00A43792" w:rsidRPr="00284D0F" w:rsidRDefault="00A43792" w:rsidP="00F71EF8">
      <w:pPr>
        <w:pStyle w:val="Boxtext"/>
        <w:keepNext/>
        <w:pBdr>
          <w:top w:val="none" w:sz="0" w:space="0" w:color="auto"/>
          <w:left w:val="none" w:sz="0" w:space="0" w:color="auto"/>
          <w:right w:val="none" w:sz="0" w:space="0" w:color="auto"/>
        </w:pBdr>
        <w:shd w:val="clear" w:color="auto" w:fill="B8CCE4" w:themeFill="accent1" w:themeFillTint="66"/>
        <w:spacing w:before="120" w:line="276" w:lineRule="auto"/>
        <w:rPr>
          <w:b/>
          <w:caps/>
          <w:color w:val="auto"/>
        </w:rPr>
      </w:pPr>
      <w:r>
        <w:rPr>
          <w:b/>
          <w:caps/>
          <w:color w:val="auto"/>
        </w:rPr>
        <w:t>agency action</w:t>
      </w:r>
      <w:r w:rsidRPr="00284D0F">
        <w:rPr>
          <w:b/>
          <w:caps/>
          <w:color w:val="auto"/>
        </w:rPr>
        <w:t> </w:t>
      </w:r>
      <w:r>
        <w:rPr>
          <w:b/>
          <w:caps/>
          <w:color w:val="auto"/>
        </w:rPr>
        <w:t>1</w:t>
      </w:r>
    </w:p>
    <w:p w14:paraId="45F7636C" w14:textId="77777777" w:rsidR="00A43792" w:rsidRPr="00284D0F" w:rsidRDefault="00A43792" w:rsidP="00F71EF8">
      <w:pPr>
        <w:pStyle w:val="Boxtext"/>
        <w:keepNext/>
        <w:pBdr>
          <w:top w:val="none" w:sz="0" w:space="0" w:color="auto"/>
          <w:left w:val="none" w:sz="0" w:space="0" w:color="auto"/>
          <w:bottom w:val="none" w:sz="0" w:space="0" w:color="auto"/>
          <w:right w:val="none" w:sz="0" w:space="0" w:color="auto"/>
        </w:pBdr>
        <w:shd w:val="clear" w:color="auto" w:fill="B8CCE4" w:themeFill="accent1" w:themeFillTint="66"/>
        <w:spacing w:before="120" w:line="276" w:lineRule="auto"/>
        <w:rPr>
          <w:color w:val="auto"/>
        </w:rPr>
      </w:pPr>
      <w:r>
        <w:t xml:space="preserve">In anticipation of Single Touch Payroll commencing for ‘substantial’ businesses on 1 July 2018 and </w:t>
      </w:r>
      <w:r w:rsidR="00476393">
        <w:t xml:space="preserve">the proposed more frequent reporting of contributions information by </w:t>
      </w:r>
      <w:r>
        <w:t xml:space="preserve">superannuation funds’, the ATO will review its data models and processes to </w:t>
      </w:r>
      <w:r w:rsidR="00476393">
        <w:t xml:space="preserve">be placed to be able to more readily </w:t>
      </w:r>
      <w:r>
        <w:t xml:space="preserve">identify </w:t>
      </w:r>
      <w:r w:rsidR="00476393">
        <w:t>apparent</w:t>
      </w:r>
      <w:r>
        <w:t xml:space="preserve"> non</w:t>
      </w:r>
      <w:r w:rsidR="00476393">
        <w:noBreakHyphen/>
      </w:r>
      <w:r>
        <w:t xml:space="preserve">compliance with superannuation guarantee obligations by employers. </w:t>
      </w:r>
    </w:p>
    <w:p w14:paraId="3EADFE20" w14:textId="77777777" w:rsidR="00FE34CE" w:rsidRPr="00284D0F" w:rsidRDefault="00FE34CE" w:rsidP="00F71EF8">
      <w:pPr>
        <w:spacing w:before="120" w:line="276" w:lineRule="auto"/>
        <w:rPr>
          <w:color w:val="auto"/>
          <w:sz w:val="6"/>
        </w:rPr>
      </w:pPr>
    </w:p>
    <w:p w14:paraId="33FAEDF0" w14:textId="77777777" w:rsidR="00A43792" w:rsidRPr="00284D0F" w:rsidRDefault="00A43792" w:rsidP="00F71EF8">
      <w:pPr>
        <w:pStyle w:val="Boxtext"/>
        <w:keepNext/>
        <w:pBdr>
          <w:top w:val="none" w:sz="0" w:space="0" w:color="auto"/>
          <w:left w:val="none" w:sz="0" w:space="0" w:color="auto"/>
          <w:right w:val="none" w:sz="0" w:space="0" w:color="auto"/>
        </w:pBdr>
        <w:shd w:val="clear" w:color="auto" w:fill="B8CCE4" w:themeFill="accent1" w:themeFillTint="66"/>
        <w:spacing w:before="120" w:line="276" w:lineRule="auto"/>
        <w:rPr>
          <w:b/>
          <w:caps/>
          <w:color w:val="auto"/>
        </w:rPr>
      </w:pPr>
      <w:r>
        <w:rPr>
          <w:b/>
          <w:caps/>
          <w:color w:val="auto"/>
        </w:rPr>
        <w:t>agency action</w:t>
      </w:r>
      <w:r w:rsidRPr="00284D0F">
        <w:rPr>
          <w:b/>
          <w:caps/>
          <w:color w:val="auto"/>
        </w:rPr>
        <w:t> </w:t>
      </w:r>
      <w:r>
        <w:rPr>
          <w:b/>
          <w:caps/>
          <w:color w:val="auto"/>
        </w:rPr>
        <w:t>2</w:t>
      </w:r>
    </w:p>
    <w:p w14:paraId="3C86E1A3" w14:textId="77777777" w:rsidR="00A43792" w:rsidRPr="00284D0F" w:rsidRDefault="00A43792" w:rsidP="00F71EF8">
      <w:pPr>
        <w:pStyle w:val="Boxtext"/>
        <w:keepNext/>
        <w:pBdr>
          <w:top w:val="none" w:sz="0" w:space="0" w:color="auto"/>
          <w:left w:val="none" w:sz="0" w:space="0" w:color="auto"/>
          <w:bottom w:val="none" w:sz="0" w:space="0" w:color="auto"/>
          <w:right w:val="none" w:sz="0" w:space="0" w:color="auto"/>
        </w:pBdr>
        <w:shd w:val="clear" w:color="auto" w:fill="B8CCE4" w:themeFill="accent1" w:themeFillTint="66"/>
        <w:spacing w:before="120" w:line="276" w:lineRule="auto"/>
        <w:rPr>
          <w:color w:val="auto"/>
        </w:rPr>
      </w:pPr>
      <w:r>
        <w:t>Within ATO’s current funding arrangements, the ATO will re</w:t>
      </w:r>
      <w:r>
        <w:noBreakHyphen/>
        <w:t xml:space="preserve">balance the focus of its </w:t>
      </w:r>
      <w:r w:rsidR="00476393">
        <w:t xml:space="preserve">superannuation guarantee </w:t>
      </w:r>
      <w:r>
        <w:t xml:space="preserve">compliance program to increase </w:t>
      </w:r>
      <w:r w:rsidR="00476393">
        <w:t>by 10 per cent</w:t>
      </w:r>
      <w:r>
        <w:t xml:space="preserve"> the proportion of its ATO</w:t>
      </w:r>
      <w:r w:rsidR="004472A5">
        <w:noBreakHyphen/>
      </w:r>
      <w:r>
        <w:t>initiated superannuation guarantee case work to 40</w:t>
      </w:r>
      <w:r w:rsidR="00476393">
        <w:t> </w:t>
      </w:r>
      <w:r>
        <w:t>per</w:t>
      </w:r>
      <w:r w:rsidR="00476393">
        <w:t> </w:t>
      </w:r>
      <w:r>
        <w:t xml:space="preserve">cent.  </w:t>
      </w:r>
    </w:p>
    <w:p w14:paraId="1D8AEEB4" w14:textId="77777777" w:rsidR="00FE34CE" w:rsidRPr="00284D0F" w:rsidRDefault="00FE34CE" w:rsidP="00F71EF8">
      <w:pPr>
        <w:spacing w:before="120" w:line="276" w:lineRule="auto"/>
        <w:rPr>
          <w:color w:val="auto"/>
          <w:sz w:val="6"/>
        </w:rPr>
      </w:pPr>
    </w:p>
    <w:p w14:paraId="75F4239D" w14:textId="77777777" w:rsidR="00A43792" w:rsidRPr="00284D0F" w:rsidRDefault="00A43792" w:rsidP="00F71EF8">
      <w:pPr>
        <w:pStyle w:val="Boxtext"/>
        <w:keepNext/>
        <w:pBdr>
          <w:top w:val="none" w:sz="0" w:space="0" w:color="auto"/>
          <w:left w:val="none" w:sz="0" w:space="0" w:color="auto"/>
          <w:right w:val="none" w:sz="0" w:space="0" w:color="auto"/>
        </w:pBdr>
        <w:shd w:val="clear" w:color="auto" w:fill="B8CCE4" w:themeFill="accent1" w:themeFillTint="66"/>
        <w:spacing w:before="120" w:line="276" w:lineRule="auto"/>
        <w:rPr>
          <w:b/>
          <w:caps/>
          <w:color w:val="auto"/>
        </w:rPr>
      </w:pPr>
      <w:r>
        <w:rPr>
          <w:b/>
          <w:caps/>
          <w:color w:val="auto"/>
        </w:rPr>
        <w:t>agency action</w:t>
      </w:r>
      <w:r w:rsidRPr="00284D0F">
        <w:rPr>
          <w:b/>
          <w:caps/>
          <w:color w:val="auto"/>
        </w:rPr>
        <w:t> </w:t>
      </w:r>
      <w:r>
        <w:rPr>
          <w:b/>
          <w:caps/>
          <w:color w:val="auto"/>
        </w:rPr>
        <w:t>3</w:t>
      </w:r>
    </w:p>
    <w:p w14:paraId="32072F07" w14:textId="77777777" w:rsidR="00A43792" w:rsidRPr="00284D0F" w:rsidRDefault="00A43792" w:rsidP="00F71EF8">
      <w:pPr>
        <w:pStyle w:val="Boxtext"/>
        <w:keepNext/>
        <w:pBdr>
          <w:top w:val="none" w:sz="0" w:space="0" w:color="auto"/>
          <w:left w:val="none" w:sz="0" w:space="0" w:color="auto"/>
          <w:bottom w:val="none" w:sz="0" w:space="0" w:color="auto"/>
          <w:right w:val="none" w:sz="0" w:space="0" w:color="auto"/>
        </w:pBdr>
        <w:shd w:val="clear" w:color="auto" w:fill="B8CCE4" w:themeFill="accent1" w:themeFillTint="66"/>
        <w:spacing w:before="120" w:line="276" w:lineRule="auto"/>
        <w:rPr>
          <w:color w:val="auto"/>
        </w:rPr>
      </w:pPr>
      <w:r>
        <w:t>The ATO, APRA, ASIC and the FWO will meet on a quarterly basis to increase monitoring of the operation of the superannuation guarantee system and to exchange information relevant to identifying and addressing superannuation guarantee non</w:t>
      </w:r>
      <w:r>
        <w:noBreakHyphen/>
        <w:t xml:space="preserve">compliance.  </w:t>
      </w:r>
    </w:p>
    <w:p w14:paraId="58A3F615" w14:textId="77777777" w:rsidR="00FE34CE" w:rsidRPr="00284D0F" w:rsidRDefault="00FE34CE" w:rsidP="00F71EF8">
      <w:pPr>
        <w:spacing w:before="120" w:line="276" w:lineRule="auto"/>
        <w:rPr>
          <w:color w:val="auto"/>
          <w:sz w:val="6"/>
        </w:rPr>
      </w:pPr>
    </w:p>
    <w:p w14:paraId="25247BF7" w14:textId="77777777" w:rsidR="00A75A8B" w:rsidRPr="00284D0F" w:rsidRDefault="00A75A8B" w:rsidP="00F71EF8">
      <w:pPr>
        <w:pStyle w:val="Boxtext"/>
        <w:keepNext/>
        <w:pBdr>
          <w:top w:val="none" w:sz="0" w:space="0" w:color="auto"/>
          <w:left w:val="none" w:sz="0" w:space="0" w:color="auto"/>
          <w:right w:val="none" w:sz="0" w:space="0" w:color="auto"/>
        </w:pBdr>
        <w:shd w:val="clear" w:color="auto" w:fill="B8CCE4" w:themeFill="accent1" w:themeFillTint="66"/>
        <w:spacing w:before="120" w:line="276" w:lineRule="auto"/>
        <w:rPr>
          <w:b/>
          <w:caps/>
          <w:color w:val="auto"/>
        </w:rPr>
      </w:pPr>
      <w:r>
        <w:rPr>
          <w:b/>
          <w:caps/>
          <w:color w:val="auto"/>
        </w:rPr>
        <w:t>agency action</w:t>
      </w:r>
      <w:r w:rsidRPr="00284D0F">
        <w:rPr>
          <w:b/>
          <w:caps/>
          <w:color w:val="auto"/>
        </w:rPr>
        <w:t> </w:t>
      </w:r>
      <w:r>
        <w:rPr>
          <w:b/>
          <w:caps/>
          <w:color w:val="auto"/>
        </w:rPr>
        <w:t>4</w:t>
      </w:r>
    </w:p>
    <w:p w14:paraId="3EDDE198" w14:textId="2C629119" w:rsidR="00FE34CE" w:rsidRDefault="00A75A8B" w:rsidP="00F71EF8">
      <w:pPr>
        <w:pStyle w:val="Boxtext"/>
        <w:keepNext/>
        <w:pBdr>
          <w:top w:val="none" w:sz="0" w:space="0" w:color="auto"/>
          <w:left w:val="none" w:sz="0" w:space="0" w:color="auto"/>
          <w:bottom w:val="none" w:sz="0" w:space="0" w:color="auto"/>
          <w:right w:val="none" w:sz="0" w:space="0" w:color="auto"/>
        </w:pBdr>
        <w:shd w:val="clear" w:color="auto" w:fill="B8CCE4" w:themeFill="accent1" w:themeFillTint="66"/>
        <w:spacing w:before="120" w:line="276" w:lineRule="auto"/>
      </w:pPr>
      <w:r>
        <w:t>To more frequently monitor the potential non</w:t>
      </w:r>
      <w:r>
        <w:noBreakHyphen/>
        <w:t>compliance with superannuation guarantee obligations by employers</w:t>
      </w:r>
      <w:r w:rsidR="004472A5">
        <w:t xml:space="preserve"> t</w:t>
      </w:r>
      <w:r>
        <w:t>he ATO and the FWO will increase the regularity of information exchange under their Memorandum of Understanding from six monthly to quarterly.</w:t>
      </w:r>
    </w:p>
    <w:p w14:paraId="2CE74A3A" w14:textId="77777777" w:rsidR="00A70B80" w:rsidRPr="00284D0F" w:rsidRDefault="00A70B80" w:rsidP="00F71EF8">
      <w:pPr>
        <w:spacing w:before="120" w:line="276" w:lineRule="auto"/>
        <w:rPr>
          <w:color w:val="auto"/>
          <w:sz w:val="6"/>
        </w:rPr>
      </w:pPr>
    </w:p>
    <w:p w14:paraId="61245178" w14:textId="5C652F24" w:rsidR="00046D78" w:rsidRPr="00284D0F" w:rsidRDefault="00046D78" w:rsidP="00F71EF8">
      <w:pPr>
        <w:pStyle w:val="Boxtext"/>
        <w:keepNext/>
        <w:pBdr>
          <w:top w:val="none" w:sz="0" w:space="0" w:color="auto"/>
          <w:left w:val="none" w:sz="0" w:space="0" w:color="auto"/>
          <w:right w:val="none" w:sz="0" w:space="0" w:color="auto"/>
        </w:pBdr>
        <w:shd w:val="clear" w:color="auto" w:fill="D9D9D9" w:themeFill="background1" w:themeFillShade="D9"/>
        <w:spacing w:before="120" w:line="276" w:lineRule="auto"/>
        <w:rPr>
          <w:b/>
          <w:caps/>
          <w:color w:val="auto"/>
        </w:rPr>
      </w:pPr>
      <w:r w:rsidRPr="00284D0F">
        <w:rPr>
          <w:b/>
          <w:caps/>
          <w:color w:val="auto"/>
        </w:rPr>
        <w:t>Recommendation </w:t>
      </w:r>
      <w:r w:rsidR="00A70B80">
        <w:rPr>
          <w:b/>
          <w:caps/>
          <w:color w:val="auto"/>
        </w:rPr>
        <w:t>4</w:t>
      </w:r>
    </w:p>
    <w:p w14:paraId="49564CD9" w14:textId="77777777" w:rsidR="00046D78" w:rsidRPr="00284D0F" w:rsidRDefault="00046D78" w:rsidP="00F71EF8">
      <w:pPr>
        <w:pStyle w:val="Boxtext"/>
        <w:keepNext/>
        <w:pBdr>
          <w:top w:val="none" w:sz="0" w:space="0" w:color="auto"/>
          <w:left w:val="none" w:sz="0" w:space="0" w:color="auto"/>
          <w:bottom w:val="none" w:sz="0" w:space="0" w:color="auto"/>
          <w:right w:val="none" w:sz="0" w:space="0" w:color="auto"/>
        </w:pBdr>
        <w:shd w:val="clear" w:color="auto" w:fill="D9D9D9" w:themeFill="background1" w:themeFillShade="D9"/>
        <w:spacing w:before="120" w:line="276" w:lineRule="auto"/>
        <w:rPr>
          <w:color w:val="auto"/>
        </w:rPr>
      </w:pPr>
      <w:r w:rsidRPr="00011A58">
        <w:t>To improve the overall framework for superannuation guarantee compliance and the collection of superannuation guarantee charge debts</w:t>
      </w:r>
      <w:r>
        <w:t>,</w:t>
      </w:r>
      <w:r w:rsidRPr="00011A58">
        <w:t xml:space="preserve"> enhancements should be made to the </w:t>
      </w:r>
      <w:r>
        <w:t>D</w:t>
      </w:r>
      <w:r w:rsidRPr="00011A58">
        <w:t xml:space="preserve">irector </w:t>
      </w:r>
      <w:r>
        <w:t>P</w:t>
      </w:r>
      <w:r w:rsidRPr="00011A58">
        <w:t xml:space="preserve">enalty </w:t>
      </w:r>
      <w:r>
        <w:t>N</w:t>
      </w:r>
      <w:r w:rsidRPr="00011A58">
        <w:t xml:space="preserve">otice regime and </w:t>
      </w:r>
      <w:r>
        <w:t>to the S</w:t>
      </w:r>
      <w:r w:rsidRPr="00011A58">
        <w:t xml:space="preserve">ecurity </w:t>
      </w:r>
      <w:r>
        <w:t>B</w:t>
      </w:r>
      <w:r w:rsidRPr="00011A58">
        <w:t xml:space="preserve">onds </w:t>
      </w:r>
      <w:r>
        <w:t>Regime.</w:t>
      </w:r>
    </w:p>
    <w:p w14:paraId="0ECEFC06" w14:textId="77777777" w:rsidR="00FE34CE" w:rsidRPr="00284D0F" w:rsidRDefault="00FE34CE" w:rsidP="00F71EF8">
      <w:pPr>
        <w:spacing w:before="120" w:line="276" w:lineRule="auto"/>
        <w:rPr>
          <w:color w:val="auto"/>
          <w:sz w:val="6"/>
        </w:rPr>
      </w:pPr>
    </w:p>
    <w:p w14:paraId="35A727D4" w14:textId="30CE67B9" w:rsidR="00046D78" w:rsidRPr="00284D0F" w:rsidRDefault="00046D78" w:rsidP="00F71EF8">
      <w:pPr>
        <w:pStyle w:val="Boxtext"/>
        <w:keepNext/>
        <w:pBdr>
          <w:top w:val="none" w:sz="0" w:space="0" w:color="auto"/>
          <w:left w:val="none" w:sz="0" w:space="0" w:color="auto"/>
          <w:right w:val="none" w:sz="0" w:space="0" w:color="auto"/>
        </w:pBdr>
        <w:shd w:val="clear" w:color="auto" w:fill="D9D9D9" w:themeFill="background1" w:themeFillShade="D9"/>
        <w:spacing w:before="120" w:line="276" w:lineRule="auto"/>
        <w:rPr>
          <w:b/>
          <w:caps/>
          <w:color w:val="auto"/>
        </w:rPr>
      </w:pPr>
      <w:r w:rsidRPr="00284D0F">
        <w:rPr>
          <w:b/>
          <w:caps/>
          <w:color w:val="auto"/>
        </w:rPr>
        <w:t>Recommendation </w:t>
      </w:r>
      <w:r w:rsidR="00A70B80">
        <w:rPr>
          <w:b/>
          <w:caps/>
          <w:color w:val="auto"/>
        </w:rPr>
        <w:t>5</w:t>
      </w:r>
    </w:p>
    <w:p w14:paraId="68AFCBF3" w14:textId="77777777" w:rsidR="00046D78" w:rsidRPr="00284D0F" w:rsidRDefault="00046D78" w:rsidP="00F71EF8">
      <w:pPr>
        <w:pStyle w:val="Boxtext"/>
        <w:keepNext/>
        <w:pBdr>
          <w:top w:val="none" w:sz="0" w:space="0" w:color="auto"/>
          <w:left w:val="none" w:sz="0" w:space="0" w:color="auto"/>
          <w:bottom w:val="none" w:sz="0" w:space="0" w:color="auto"/>
          <w:right w:val="none" w:sz="0" w:space="0" w:color="auto"/>
        </w:pBdr>
        <w:shd w:val="clear" w:color="auto" w:fill="D9D9D9" w:themeFill="background1" w:themeFillShade="D9"/>
        <w:spacing w:before="120" w:line="276" w:lineRule="auto"/>
        <w:rPr>
          <w:color w:val="auto"/>
        </w:rPr>
      </w:pPr>
      <w:r w:rsidRPr="00011A58">
        <w:t xml:space="preserve">That the Minister note work being undertaken by other taskforces on deterrents and increasing transparency, </w:t>
      </w:r>
      <w:r w:rsidR="004472A5">
        <w:t xml:space="preserve">with </w:t>
      </w:r>
      <w:r w:rsidRPr="00011A58">
        <w:t xml:space="preserve">particular </w:t>
      </w:r>
      <w:r w:rsidR="004472A5">
        <w:t xml:space="preserve">reference to recommendations for legislative and administrative reforms to be proposed </w:t>
      </w:r>
      <w:r w:rsidRPr="00011A58">
        <w:t>by the Phoenix Taskforce</w:t>
      </w:r>
      <w:r>
        <w:t>.</w:t>
      </w:r>
    </w:p>
    <w:p w14:paraId="3B30249C" w14:textId="77777777" w:rsidR="00FE34CE" w:rsidRPr="00284D0F" w:rsidRDefault="00FE34CE" w:rsidP="00F71EF8">
      <w:pPr>
        <w:spacing w:before="120" w:line="276" w:lineRule="auto"/>
        <w:rPr>
          <w:color w:val="auto"/>
          <w:sz w:val="6"/>
        </w:rPr>
      </w:pPr>
    </w:p>
    <w:p w14:paraId="40F94DC3" w14:textId="796DF068" w:rsidR="007E47A0" w:rsidRPr="00284D0F" w:rsidRDefault="007E47A0" w:rsidP="00F71EF8">
      <w:pPr>
        <w:pStyle w:val="Boxtext"/>
        <w:keepNext/>
        <w:pBdr>
          <w:top w:val="none" w:sz="0" w:space="0" w:color="auto"/>
          <w:left w:val="none" w:sz="0" w:space="0" w:color="auto"/>
          <w:right w:val="none" w:sz="0" w:space="0" w:color="auto"/>
        </w:pBdr>
        <w:shd w:val="clear" w:color="auto" w:fill="D9D9D9" w:themeFill="background1" w:themeFillShade="D9"/>
        <w:spacing w:before="120" w:line="276" w:lineRule="auto"/>
        <w:rPr>
          <w:b/>
          <w:caps/>
          <w:color w:val="auto"/>
        </w:rPr>
      </w:pPr>
      <w:r w:rsidRPr="00284D0F">
        <w:rPr>
          <w:b/>
          <w:caps/>
          <w:color w:val="auto"/>
        </w:rPr>
        <w:t>Recommendation </w:t>
      </w:r>
      <w:r w:rsidR="00A70B80">
        <w:rPr>
          <w:b/>
          <w:caps/>
          <w:color w:val="auto"/>
        </w:rPr>
        <w:t>6</w:t>
      </w:r>
    </w:p>
    <w:p w14:paraId="37290A8E" w14:textId="77777777" w:rsidR="007E47A0" w:rsidRPr="00284D0F" w:rsidRDefault="007E47A0" w:rsidP="00F71EF8">
      <w:pPr>
        <w:pStyle w:val="Boxtext"/>
        <w:keepNext/>
        <w:pBdr>
          <w:top w:val="none" w:sz="0" w:space="0" w:color="auto"/>
          <w:left w:val="none" w:sz="0" w:space="0" w:color="auto"/>
          <w:bottom w:val="none" w:sz="0" w:space="0" w:color="auto"/>
          <w:right w:val="none" w:sz="0" w:space="0" w:color="auto"/>
        </w:pBdr>
        <w:shd w:val="clear" w:color="auto" w:fill="D9D9D9" w:themeFill="background1" w:themeFillShade="D9"/>
        <w:spacing w:before="120" w:line="276" w:lineRule="auto"/>
        <w:rPr>
          <w:color w:val="auto"/>
        </w:rPr>
      </w:pPr>
      <w:r>
        <w:t>Ensure the penalty framework surrounding superannuation guarantee is sufficiently flexible to appropriately deal with the spectrum of employer culpability in non</w:t>
      </w:r>
      <w:r>
        <w:noBreakHyphen/>
        <w:t>compliance.</w:t>
      </w:r>
    </w:p>
    <w:p w14:paraId="3C86C5D3" w14:textId="77777777" w:rsidR="00FE34CE" w:rsidRPr="00284D0F" w:rsidRDefault="00FE34CE" w:rsidP="00F71EF8">
      <w:pPr>
        <w:spacing w:before="120" w:line="276" w:lineRule="auto"/>
        <w:rPr>
          <w:color w:val="auto"/>
          <w:sz w:val="6"/>
        </w:rPr>
      </w:pPr>
    </w:p>
    <w:p w14:paraId="195FFA22" w14:textId="09ACBB92" w:rsidR="007E47A0" w:rsidRPr="00284D0F" w:rsidRDefault="007E47A0" w:rsidP="00F71EF8">
      <w:pPr>
        <w:pStyle w:val="Boxtext"/>
        <w:keepNext/>
        <w:pBdr>
          <w:top w:val="none" w:sz="0" w:space="0" w:color="auto"/>
          <w:left w:val="none" w:sz="0" w:space="0" w:color="auto"/>
          <w:right w:val="none" w:sz="0" w:space="0" w:color="auto"/>
        </w:pBdr>
        <w:shd w:val="clear" w:color="auto" w:fill="D9D9D9" w:themeFill="background1" w:themeFillShade="D9"/>
        <w:spacing w:before="120" w:line="276" w:lineRule="auto"/>
        <w:rPr>
          <w:b/>
          <w:caps/>
          <w:color w:val="auto"/>
        </w:rPr>
      </w:pPr>
      <w:r w:rsidRPr="00284D0F">
        <w:rPr>
          <w:b/>
          <w:caps/>
          <w:color w:val="auto"/>
        </w:rPr>
        <w:t>Recommendation </w:t>
      </w:r>
      <w:r w:rsidR="00A70B80">
        <w:rPr>
          <w:b/>
          <w:caps/>
          <w:color w:val="auto"/>
        </w:rPr>
        <w:t>7</w:t>
      </w:r>
    </w:p>
    <w:p w14:paraId="120BB2F6" w14:textId="77777777" w:rsidR="007E47A0" w:rsidRPr="00284D0F" w:rsidRDefault="007E47A0" w:rsidP="00F71EF8">
      <w:pPr>
        <w:pStyle w:val="Boxtext"/>
        <w:keepNext/>
        <w:pBdr>
          <w:top w:val="none" w:sz="0" w:space="0" w:color="auto"/>
          <w:left w:val="none" w:sz="0" w:space="0" w:color="auto"/>
          <w:bottom w:val="none" w:sz="0" w:space="0" w:color="auto"/>
          <w:right w:val="none" w:sz="0" w:space="0" w:color="auto"/>
        </w:pBdr>
        <w:shd w:val="clear" w:color="auto" w:fill="D9D9D9" w:themeFill="background1" w:themeFillShade="D9"/>
        <w:spacing w:before="120" w:line="276" w:lineRule="auto"/>
        <w:rPr>
          <w:color w:val="auto"/>
        </w:rPr>
      </w:pPr>
      <w:r>
        <w:t xml:space="preserve">Amend the calculation of the nominal interest component in the </w:t>
      </w:r>
      <w:r w:rsidRPr="002762C8">
        <w:rPr>
          <w:i/>
        </w:rPr>
        <w:t>Superannuation Guarantee (Administration) Act 1992</w:t>
      </w:r>
      <w:r>
        <w:t xml:space="preserve"> so that interest is only payable for the period contributions are outstanding.</w:t>
      </w:r>
    </w:p>
    <w:p w14:paraId="65DD3B37" w14:textId="77777777" w:rsidR="00FE34CE" w:rsidRPr="00284D0F" w:rsidRDefault="00FE34CE" w:rsidP="00F71EF8">
      <w:pPr>
        <w:spacing w:before="120" w:line="276" w:lineRule="auto"/>
        <w:rPr>
          <w:color w:val="auto"/>
          <w:sz w:val="6"/>
        </w:rPr>
      </w:pPr>
    </w:p>
    <w:p w14:paraId="7335A17E" w14:textId="77777777" w:rsidR="007E47A0" w:rsidRPr="00284D0F" w:rsidRDefault="007E47A0" w:rsidP="00F71EF8">
      <w:pPr>
        <w:pStyle w:val="Boxtext"/>
        <w:keepNext/>
        <w:pBdr>
          <w:top w:val="none" w:sz="0" w:space="0" w:color="auto"/>
          <w:left w:val="none" w:sz="0" w:space="0" w:color="auto"/>
          <w:right w:val="none" w:sz="0" w:space="0" w:color="auto"/>
        </w:pBdr>
        <w:shd w:val="clear" w:color="auto" w:fill="B8CCE4" w:themeFill="accent1" w:themeFillTint="66"/>
        <w:spacing w:before="120" w:line="276" w:lineRule="auto"/>
        <w:rPr>
          <w:b/>
          <w:caps/>
          <w:color w:val="auto"/>
        </w:rPr>
      </w:pPr>
      <w:r>
        <w:rPr>
          <w:b/>
          <w:caps/>
          <w:color w:val="auto"/>
        </w:rPr>
        <w:t>agency action</w:t>
      </w:r>
      <w:r w:rsidRPr="00284D0F">
        <w:rPr>
          <w:b/>
          <w:caps/>
          <w:color w:val="auto"/>
        </w:rPr>
        <w:t> </w:t>
      </w:r>
      <w:r>
        <w:rPr>
          <w:b/>
          <w:caps/>
          <w:color w:val="auto"/>
        </w:rPr>
        <w:t>5</w:t>
      </w:r>
    </w:p>
    <w:p w14:paraId="6B8149EB" w14:textId="77777777" w:rsidR="007E47A0" w:rsidRPr="00284D0F" w:rsidRDefault="007E47A0" w:rsidP="00F71EF8">
      <w:pPr>
        <w:pStyle w:val="Boxtext"/>
        <w:keepNext/>
        <w:pBdr>
          <w:top w:val="none" w:sz="0" w:space="0" w:color="auto"/>
          <w:left w:val="none" w:sz="0" w:space="0" w:color="auto"/>
          <w:bottom w:val="none" w:sz="0" w:space="0" w:color="auto"/>
          <w:right w:val="none" w:sz="0" w:space="0" w:color="auto"/>
        </w:pBdr>
        <w:shd w:val="clear" w:color="auto" w:fill="B8CCE4" w:themeFill="accent1" w:themeFillTint="66"/>
        <w:spacing w:before="120" w:line="276" w:lineRule="auto"/>
        <w:rPr>
          <w:color w:val="auto"/>
        </w:rPr>
      </w:pPr>
      <w:r w:rsidRPr="0092707C">
        <w:t>To increase the visibility of the actions the ATO takes to address non</w:t>
      </w:r>
      <w:r>
        <w:noBreakHyphen/>
      </w:r>
      <w:r w:rsidRPr="0092707C">
        <w:t xml:space="preserve">compliance and to highlight its enforcement responses, the ATO </w:t>
      </w:r>
      <w:r>
        <w:t>will</w:t>
      </w:r>
      <w:r w:rsidRPr="0092707C">
        <w:t xml:space="preserve"> better promote its compliance program and the ‘tool kit’ to assist employees and improve compliance amongst employers</w:t>
      </w:r>
      <w:r>
        <w:t>.</w:t>
      </w:r>
    </w:p>
    <w:p w14:paraId="59FDB2D5" w14:textId="77777777" w:rsidR="00FE34CE" w:rsidRPr="00284D0F" w:rsidRDefault="00FE34CE" w:rsidP="00F71EF8">
      <w:pPr>
        <w:spacing w:before="120" w:line="276" w:lineRule="auto"/>
        <w:rPr>
          <w:color w:val="auto"/>
          <w:sz w:val="6"/>
        </w:rPr>
      </w:pPr>
    </w:p>
    <w:p w14:paraId="74C275F5" w14:textId="42A49832" w:rsidR="00333837" w:rsidRPr="00284D0F" w:rsidRDefault="00333837" w:rsidP="00F71EF8">
      <w:pPr>
        <w:pStyle w:val="Boxtext"/>
        <w:keepNext/>
        <w:pBdr>
          <w:top w:val="none" w:sz="0" w:space="0" w:color="auto"/>
          <w:left w:val="none" w:sz="0" w:space="0" w:color="auto"/>
          <w:right w:val="none" w:sz="0" w:space="0" w:color="auto"/>
        </w:pBdr>
        <w:shd w:val="clear" w:color="auto" w:fill="D9D9D9" w:themeFill="background1" w:themeFillShade="D9"/>
        <w:spacing w:before="120" w:line="276" w:lineRule="auto"/>
        <w:rPr>
          <w:b/>
          <w:caps/>
          <w:color w:val="auto"/>
        </w:rPr>
      </w:pPr>
      <w:r w:rsidRPr="00284D0F">
        <w:rPr>
          <w:b/>
          <w:caps/>
          <w:color w:val="auto"/>
        </w:rPr>
        <w:t>Recommendation </w:t>
      </w:r>
      <w:r w:rsidR="00A70B80">
        <w:rPr>
          <w:b/>
          <w:caps/>
          <w:color w:val="auto"/>
        </w:rPr>
        <w:t>8</w:t>
      </w:r>
    </w:p>
    <w:p w14:paraId="63343D60" w14:textId="77777777" w:rsidR="00333837" w:rsidRPr="00284D0F" w:rsidRDefault="00333837" w:rsidP="00F71EF8">
      <w:pPr>
        <w:pStyle w:val="Boxtext"/>
        <w:keepNext/>
        <w:pBdr>
          <w:top w:val="none" w:sz="0" w:space="0" w:color="auto"/>
          <w:left w:val="none" w:sz="0" w:space="0" w:color="auto"/>
          <w:bottom w:val="none" w:sz="0" w:space="0" w:color="auto"/>
          <w:right w:val="none" w:sz="0" w:space="0" w:color="auto"/>
        </w:pBdr>
        <w:shd w:val="clear" w:color="auto" w:fill="D9D9D9" w:themeFill="background1" w:themeFillShade="D9"/>
        <w:spacing w:before="120" w:line="276" w:lineRule="auto"/>
        <w:rPr>
          <w:color w:val="auto"/>
        </w:rPr>
      </w:pPr>
      <w:r>
        <w:t xml:space="preserve">To prevent contributions made under salary sacrifice arrangements from satisfying an employer’s superannuation guarantee obligations the </w:t>
      </w:r>
      <w:r w:rsidRPr="00F71EF8">
        <w:rPr>
          <w:i/>
        </w:rPr>
        <w:t>Superannuation Guarantee (Administration) Act 1992</w:t>
      </w:r>
      <w:r>
        <w:t xml:space="preserve"> should be amended.</w:t>
      </w:r>
    </w:p>
    <w:p w14:paraId="66237200" w14:textId="77777777" w:rsidR="00FE34CE" w:rsidRPr="00284D0F" w:rsidRDefault="00FE34CE" w:rsidP="00F71EF8">
      <w:pPr>
        <w:spacing w:before="120" w:line="276" w:lineRule="auto"/>
        <w:rPr>
          <w:color w:val="auto"/>
          <w:sz w:val="6"/>
        </w:rPr>
      </w:pPr>
    </w:p>
    <w:p w14:paraId="78D959F1" w14:textId="3F6F8CEE" w:rsidR="00333837" w:rsidRPr="00284D0F" w:rsidRDefault="00333837" w:rsidP="00F71EF8">
      <w:pPr>
        <w:pStyle w:val="Boxtext"/>
        <w:keepNext/>
        <w:pBdr>
          <w:top w:val="none" w:sz="0" w:space="0" w:color="auto"/>
          <w:left w:val="none" w:sz="0" w:space="0" w:color="auto"/>
          <w:right w:val="none" w:sz="0" w:space="0" w:color="auto"/>
        </w:pBdr>
        <w:shd w:val="clear" w:color="auto" w:fill="D9D9D9" w:themeFill="background1" w:themeFillShade="D9"/>
        <w:spacing w:before="120" w:line="276" w:lineRule="auto"/>
        <w:rPr>
          <w:b/>
          <w:caps/>
          <w:color w:val="auto"/>
        </w:rPr>
      </w:pPr>
      <w:r w:rsidRPr="00284D0F">
        <w:rPr>
          <w:b/>
          <w:caps/>
          <w:color w:val="auto"/>
        </w:rPr>
        <w:t>Recommendation </w:t>
      </w:r>
      <w:r w:rsidR="00DE72B0">
        <w:rPr>
          <w:b/>
          <w:caps/>
          <w:color w:val="auto"/>
        </w:rPr>
        <w:t>9</w:t>
      </w:r>
    </w:p>
    <w:p w14:paraId="455C5AA0" w14:textId="77777777" w:rsidR="00333837" w:rsidRPr="00284D0F" w:rsidRDefault="00333837" w:rsidP="00F71EF8">
      <w:pPr>
        <w:pStyle w:val="Boxtext"/>
        <w:keepNext/>
        <w:pBdr>
          <w:top w:val="none" w:sz="0" w:space="0" w:color="auto"/>
          <w:left w:val="none" w:sz="0" w:space="0" w:color="auto"/>
          <w:bottom w:val="none" w:sz="0" w:space="0" w:color="auto"/>
          <w:right w:val="none" w:sz="0" w:space="0" w:color="auto"/>
        </w:pBdr>
        <w:shd w:val="clear" w:color="auto" w:fill="D9D9D9" w:themeFill="background1" w:themeFillShade="D9"/>
        <w:spacing w:before="120" w:line="276" w:lineRule="auto"/>
        <w:rPr>
          <w:color w:val="auto"/>
        </w:rPr>
      </w:pPr>
      <w:r>
        <w:t xml:space="preserve">Amend the </w:t>
      </w:r>
      <w:r w:rsidRPr="002762C8">
        <w:rPr>
          <w:i/>
        </w:rPr>
        <w:t>Superannuation Guarantee (Administration) Act 1992</w:t>
      </w:r>
      <w:r>
        <w:t xml:space="preserve"> to specifically include in the base for calculating an employer’s superannuation guarantee obligations those salary or wages sacrificed to superannuation as part of salary sacrifice arrangements.</w:t>
      </w:r>
    </w:p>
    <w:p w14:paraId="030D9182" w14:textId="77777777" w:rsidR="00FE34CE" w:rsidRPr="00284D0F" w:rsidRDefault="00FE34CE" w:rsidP="00F71EF8">
      <w:pPr>
        <w:spacing w:before="120" w:line="276" w:lineRule="auto"/>
        <w:rPr>
          <w:color w:val="auto"/>
          <w:sz w:val="6"/>
        </w:rPr>
      </w:pPr>
    </w:p>
    <w:p w14:paraId="3A93D27D" w14:textId="77777777" w:rsidR="00333837" w:rsidRPr="00284D0F" w:rsidRDefault="00333837" w:rsidP="00F71EF8">
      <w:pPr>
        <w:pStyle w:val="Boxtext"/>
        <w:keepNext/>
        <w:pBdr>
          <w:top w:val="none" w:sz="0" w:space="0" w:color="auto"/>
          <w:left w:val="none" w:sz="0" w:space="0" w:color="auto"/>
          <w:right w:val="none" w:sz="0" w:space="0" w:color="auto"/>
        </w:pBdr>
        <w:shd w:val="clear" w:color="auto" w:fill="B8CCE4" w:themeFill="accent1" w:themeFillTint="66"/>
        <w:spacing w:before="120" w:line="276" w:lineRule="auto"/>
        <w:rPr>
          <w:b/>
          <w:caps/>
          <w:color w:val="auto"/>
        </w:rPr>
      </w:pPr>
      <w:r>
        <w:rPr>
          <w:b/>
          <w:caps/>
          <w:color w:val="auto"/>
        </w:rPr>
        <w:t>agency action</w:t>
      </w:r>
      <w:r w:rsidRPr="00284D0F">
        <w:rPr>
          <w:b/>
          <w:caps/>
          <w:color w:val="auto"/>
        </w:rPr>
        <w:t> </w:t>
      </w:r>
      <w:r>
        <w:rPr>
          <w:b/>
          <w:caps/>
          <w:color w:val="auto"/>
        </w:rPr>
        <w:t>6</w:t>
      </w:r>
    </w:p>
    <w:p w14:paraId="53FEC9F9" w14:textId="77777777" w:rsidR="00333837" w:rsidRPr="00284D0F" w:rsidRDefault="00333837" w:rsidP="00F71EF8">
      <w:pPr>
        <w:pStyle w:val="Boxtext"/>
        <w:keepNext/>
        <w:pBdr>
          <w:top w:val="none" w:sz="0" w:space="0" w:color="auto"/>
          <w:left w:val="none" w:sz="0" w:space="0" w:color="auto"/>
          <w:bottom w:val="none" w:sz="0" w:space="0" w:color="auto"/>
          <w:right w:val="none" w:sz="0" w:space="0" w:color="auto"/>
        </w:pBdr>
        <w:shd w:val="clear" w:color="auto" w:fill="B8CCE4" w:themeFill="accent1" w:themeFillTint="66"/>
        <w:spacing w:before="120" w:line="276" w:lineRule="auto"/>
        <w:rPr>
          <w:color w:val="auto"/>
        </w:rPr>
      </w:pPr>
      <w:r w:rsidRPr="00580825">
        <w:t>T</w:t>
      </w:r>
      <w:r>
        <w:t>o assist employers t</w:t>
      </w:r>
      <w:r w:rsidRPr="00580825">
        <w:t>he ATO will actively promote and make more visible its education and assistance services, tools and calculators, including the recently updated Employee Contractor Decision Tool.</w:t>
      </w:r>
    </w:p>
    <w:p w14:paraId="709727A7" w14:textId="77777777" w:rsidR="00FE34CE" w:rsidRPr="00284D0F" w:rsidRDefault="00FE34CE" w:rsidP="00F71EF8">
      <w:pPr>
        <w:spacing w:before="120" w:line="276" w:lineRule="auto"/>
        <w:rPr>
          <w:color w:val="auto"/>
          <w:sz w:val="6"/>
        </w:rPr>
      </w:pPr>
    </w:p>
    <w:p w14:paraId="71D91578" w14:textId="77777777" w:rsidR="0052031D" w:rsidRPr="00284D0F" w:rsidRDefault="0052031D" w:rsidP="00F71EF8">
      <w:pPr>
        <w:pStyle w:val="Boxtext"/>
        <w:keepNext/>
        <w:pBdr>
          <w:top w:val="none" w:sz="0" w:space="0" w:color="auto"/>
          <w:left w:val="none" w:sz="0" w:space="0" w:color="auto"/>
          <w:right w:val="none" w:sz="0" w:space="0" w:color="auto"/>
        </w:pBdr>
        <w:shd w:val="clear" w:color="auto" w:fill="B8CCE4" w:themeFill="accent1" w:themeFillTint="66"/>
        <w:spacing w:before="120" w:line="276" w:lineRule="auto"/>
        <w:rPr>
          <w:b/>
          <w:caps/>
          <w:color w:val="auto"/>
        </w:rPr>
      </w:pPr>
      <w:r>
        <w:rPr>
          <w:b/>
          <w:caps/>
          <w:color w:val="auto"/>
        </w:rPr>
        <w:t>agency action</w:t>
      </w:r>
      <w:r w:rsidRPr="00284D0F">
        <w:rPr>
          <w:b/>
          <w:caps/>
          <w:color w:val="auto"/>
        </w:rPr>
        <w:t> </w:t>
      </w:r>
      <w:r>
        <w:rPr>
          <w:b/>
          <w:caps/>
          <w:color w:val="auto"/>
        </w:rPr>
        <w:t>7</w:t>
      </w:r>
    </w:p>
    <w:p w14:paraId="30199AB3" w14:textId="77777777" w:rsidR="0052031D" w:rsidRPr="00284D0F" w:rsidRDefault="0052031D" w:rsidP="00F71EF8">
      <w:pPr>
        <w:pStyle w:val="Boxtext"/>
        <w:keepNext/>
        <w:pBdr>
          <w:top w:val="none" w:sz="0" w:space="0" w:color="auto"/>
          <w:left w:val="none" w:sz="0" w:space="0" w:color="auto"/>
          <w:bottom w:val="none" w:sz="0" w:space="0" w:color="auto"/>
          <w:right w:val="none" w:sz="0" w:space="0" w:color="auto"/>
        </w:pBdr>
        <w:shd w:val="clear" w:color="auto" w:fill="B8CCE4" w:themeFill="accent1" w:themeFillTint="66"/>
        <w:spacing w:before="120" w:line="276" w:lineRule="auto"/>
        <w:rPr>
          <w:color w:val="auto"/>
        </w:rPr>
      </w:pPr>
      <w:r w:rsidRPr="00C11280">
        <w:t>T</w:t>
      </w:r>
      <w:r w:rsidR="004472A5">
        <w:t>o provide more clarity and administrative ease for employers t</w:t>
      </w:r>
      <w:r w:rsidRPr="00C11280">
        <w:t>he ATO will review the useability of the superannuation guarantee charge form, instruction</w:t>
      </w:r>
      <w:r>
        <w:t>s</w:t>
      </w:r>
      <w:r w:rsidRPr="00C11280">
        <w:t xml:space="preserve"> and lodgement processes</w:t>
      </w:r>
      <w:r w:rsidRPr="00580825">
        <w:t>.</w:t>
      </w:r>
    </w:p>
    <w:p w14:paraId="6150937A" w14:textId="77777777" w:rsidR="00FE34CE" w:rsidRPr="00284D0F" w:rsidRDefault="00FE34CE" w:rsidP="00F71EF8">
      <w:pPr>
        <w:spacing w:before="120" w:line="276" w:lineRule="auto"/>
        <w:rPr>
          <w:color w:val="auto"/>
          <w:sz w:val="6"/>
        </w:rPr>
      </w:pPr>
    </w:p>
    <w:p w14:paraId="6B368FFA" w14:textId="77777777" w:rsidR="0052031D" w:rsidRPr="00284D0F" w:rsidRDefault="0052031D" w:rsidP="00F71EF8">
      <w:pPr>
        <w:pStyle w:val="Boxtext"/>
        <w:keepNext/>
        <w:pBdr>
          <w:top w:val="none" w:sz="0" w:space="0" w:color="auto"/>
          <w:left w:val="none" w:sz="0" w:space="0" w:color="auto"/>
          <w:right w:val="none" w:sz="0" w:space="0" w:color="auto"/>
        </w:pBdr>
        <w:shd w:val="clear" w:color="auto" w:fill="B8CCE4" w:themeFill="accent1" w:themeFillTint="66"/>
        <w:spacing w:before="120" w:line="276" w:lineRule="auto"/>
        <w:rPr>
          <w:b/>
          <w:caps/>
          <w:color w:val="auto"/>
        </w:rPr>
      </w:pPr>
      <w:r>
        <w:rPr>
          <w:b/>
          <w:caps/>
          <w:color w:val="auto"/>
        </w:rPr>
        <w:t>agency action</w:t>
      </w:r>
      <w:r w:rsidRPr="00284D0F">
        <w:rPr>
          <w:b/>
          <w:caps/>
          <w:color w:val="auto"/>
        </w:rPr>
        <w:t> </w:t>
      </w:r>
      <w:r>
        <w:rPr>
          <w:b/>
          <w:caps/>
          <w:color w:val="auto"/>
        </w:rPr>
        <w:t>8</w:t>
      </w:r>
    </w:p>
    <w:p w14:paraId="273E4FCD" w14:textId="77777777" w:rsidR="0052031D" w:rsidRPr="00284D0F" w:rsidRDefault="0052031D" w:rsidP="00F71EF8">
      <w:pPr>
        <w:pStyle w:val="Boxtext"/>
        <w:keepNext/>
        <w:pBdr>
          <w:top w:val="none" w:sz="0" w:space="0" w:color="auto"/>
          <w:left w:val="none" w:sz="0" w:space="0" w:color="auto"/>
          <w:bottom w:val="none" w:sz="0" w:space="0" w:color="auto"/>
          <w:right w:val="none" w:sz="0" w:space="0" w:color="auto"/>
        </w:pBdr>
        <w:shd w:val="clear" w:color="auto" w:fill="B8CCE4" w:themeFill="accent1" w:themeFillTint="66"/>
        <w:spacing w:before="120" w:line="276" w:lineRule="auto"/>
        <w:rPr>
          <w:color w:val="auto"/>
        </w:rPr>
      </w:pPr>
      <w:r>
        <w:t>To assist employees, t</w:t>
      </w:r>
      <w:r w:rsidRPr="00580825">
        <w:t>he ATO will actively promote and make more visible its education and assistance services, tools and calculators, to provid</w:t>
      </w:r>
      <w:r w:rsidR="004472A5">
        <w:t>e</w:t>
      </w:r>
      <w:r w:rsidRPr="00580825">
        <w:t xml:space="preserve"> more certainty to people about their status as a worker (employee or contractor)</w:t>
      </w:r>
      <w:r w:rsidR="004472A5">
        <w:t xml:space="preserve"> and work with t</w:t>
      </w:r>
      <w:r>
        <w:t xml:space="preserve">he FWO and Department of Employment </w:t>
      </w:r>
      <w:r w:rsidR="004472A5">
        <w:t xml:space="preserve">to </w:t>
      </w:r>
      <w:r>
        <w:t xml:space="preserve">provide more certainty on their </w:t>
      </w:r>
      <w:r w:rsidR="004472A5">
        <w:t xml:space="preserve">respective </w:t>
      </w:r>
      <w:r>
        <w:t xml:space="preserve">websites to employees about their entitlements under salary sacrifice arrangements. </w:t>
      </w:r>
    </w:p>
    <w:p w14:paraId="1C882731" w14:textId="77777777" w:rsidR="00A62775" w:rsidRDefault="00A62775">
      <w:r>
        <w:rPr>
          <w:bCs/>
        </w:rPr>
        <w:br w:type="page"/>
      </w:r>
    </w:p>
    <w:p w14:paraId="2E5453BA" w14:textId="77777777" w:rsidR="00885E8A" w:rsidRDefault="00F15CA7" w:rsidP="00224B95">
      <w:pPr>
        <w:pStyle w:val="Heading1"/>
        <w:framePr w:wrap="notBeside"/>
        <w:spacing w:before="0"/>
      </w:pPr>
      <w:bookmarkStart w:id="27" w:name="_Toc478651107"/>
      <w:bookmarkStart w:id="28" w:name="_Toc478651949"/>
      <w:bookmarkStart w:id="29" w:name="_Toc478654410"/>
      <w:bookmarkStart w:id="30" w:name="_Toc478655124"/>
      <w:bookmarkStart w:id="31" w:name="_Toc478656378"/>
      <w:bookmarkStart w:id="32" w:name="_Toc478657629"/>
      <w:bookmarkStart w:id="33" w:name="_Toc478716502"/>
      <w:bookmarkStart w:id="34" w:name="_Toc478718225"/>
      <w:bookmarkStart w:id="35" w:name="_Toc478718435"/>
      <w:bookmarkStart w:id="36" w:name="_Toc478738384"/>
      <w:bookmarkStart w:id="37" w:name="_Toc478740670"/>
      <w:r>
        <w:t xml:space="preserve">2. </w:t>
      </w:r>
      <w:r w:rsidR="00F02514">
        <w:t>Background and r</w:t>
      </w:r>
      <w:r w:rsidR="00C2278C">
        <w:t xml:space="preserve">eport </w:t>
      </w:r>
      <w:r w:rsidR="00F02514">
        <w:t>s</w:t>
      </w:r>
      <w:r w:rsidR="00C2278C">
        <w:t>tructure</w:t>
      </w:r>
      <w:bookmarkEnd w:id="23"/>
      <w:bookmarkEnd w:id="24"/>
      <w:bookmarkEnd w:id="27"/>
      <w:bookmarkEnd w:id="28"/>
      <w:bookmarkEnd w:id="29"/>
      <w:bookmarkEnd w:id="30"/>
      <w:bookmarkEnd w:id="31"/>
      <w:bookmarkEnd w:id="32"/>
      <w:bookmarkEnd w:id="33"/>
      <w:bookmarkEnd w:id="34"/>
      <w:bookmarkEnd w:id="35"/>
      <w:bookmarkEnd w:id="36"/>
      <w:bookmarkEnd w:id="37"/>
    </w:p>
    <w:p w14:paraId="19FCA4EF" w14:textId="77777777" w:rsidR="003872E2" w:rsidRDefault="003872E2" w:rsidP="00F71EF8">
      <w:pPr>
        <w:spacing w:line="360" w:lineRule="auto"/>
      </w:pPr>
    </w:p>
    <w:p w14:paraId="741CC0A3" w14:textId="357E6D57" w:rsidR="00F02514" w:rsidRDefault="00F02514" w:rsidP="00224B95">
      <w:pPr>
        <w:pStyle w:val="ListParagraph"/>
        <w:numPr>
          <w:ilvl w:val="1"/>
          <w:numId w:val="31"/>
        </w:numPr>
        <w:spacing w:line="360" w:lineRule="auto"/>
        <w:ind w:left="567" w:hanging="567"/>
        <w:contextualSpacing w:val="0"/>
      </w:pPr>
      <w:r>
        <w:t>The Superannuation Guarantee Cross</w:t>
      </w:r>
      <w:r w:rsidR="003872E2">
        <w:t xml:space="preserve"> </w:t>
      </w:r>
      <w:r>
        <w:t>Agency Working Group (</w:t>
      </w:r>
      <w:r w:rsidR="0097176A">
        <w:t xml:space="preserve">the </w:t>
      </w:r>
      <w:r>
        <w:t>‘Working Group’) was established at the request of the Minister for Revenue and Financial Services (‘the Minister’) in December 2016.</w:t>
      </w:r>
    </w:p>
    <w:p w14:paraId="0E1724A7" w14:textId="77777777" w:rsidR="00F02514" w:rsidRDefault="00F02514" w:rsidP="00224B95">
      <w:pPr>
        <w:pStyle w:val="ListParagraph"/>
        <w:numPr>
          <w:ilvl w:val="1"/>
          <w:numId w:val="31"/>
        </w:numPr>
        <w:spacing w:line="360" w:lineRule="auto"/>
        <w:ind w:left="567" w:hanging="567"/>
        <w:contextualSpacing w:val="0"/>
      </w:pPr>
      <w:r>
        <w:t xml:space="preserve">The Terms of Reference </w:t>
      </w:r>
      <w:r w:rsidR="008118B5">
        <w:t xml:space="preserve">sought </w:t>
      </w:r>
      <w:r>
        <w:t xml:space="preserve">advice on the </w:t>
      </w:r>
      <w:r w:rsidRPr="00F02514">
        <w:t>characteristics and drivers of superannuation guarantee non</w:t>
      </w:r>
      <w:r w:rsidR="0097176A">
        <w:noBreakHyphen/>
      </w:r>
      <w:r w:rsidRPr="00F02514">
        <w:t xml:space="preserve">compliance and </w:t>
      </w:r>
      <w:r w:rsidR="008118B5">
        <w:t>for</w:t>
      </w:r>
      <w:r w:rsidRPr="00F02514">
        <w:t xml:space="preserve"> administrative and policy recommendations to strengthen the superannuation guarantee system. The Terms of Reference are lis</w:t>
      </w:r>
      <w:r w:rsidRPr="000B7C87">
        <w:t xml:space="preserve">ted at </w:t>
      </w:r>
      <w:r w:rsidRPr="008E2C85">
        <w:rPr>
          <w:b/>
        </w:rPr>
        <w:t>Appendix A</w:t>
      </w:r>
      <w:r w:rsidRPr="000B7C87">
        <w:t>.</w:t>
      </w:r>
    </w:p>
    <w:p w14:paraId="28E5E2AD" w14:textId="77777777" w:rsidR="00F02514" w:rsidRDefault="00F02514" w:rsidP="00224B95">
      <w:pPr>
        <w:pStyle w:val="ListParagraph"/>
        <w:numPr>
          <w:ilvl w:val="1"/>
          <w:numId w:val="31"/>
        </w:numPr>
        <w:spacing w:line="360" w:lineRule="auto"/>
        <w:ind w:left="567" w:hanging="567"/>
        <w:contextualSpacing w:val="0"/>
      </w:pPr>
      <w:r>
        <w:t>The Working Group is comprised of five federal government agencies that have substantially contributed to and supported the preparation of this report</w:t>
      </w:r>
      <w:r w:rsidR="0097176A">
        <w:t>. These agencies</w:t>
      </w:r>
      <w:r>
        <w:t xml:space="preserve"> are:</w:t>
      </w:r>
    </w:p>
    <w:p w14:paraId="1635CFAE" w14:textId="77777777" w:rsidR="00F02514" w:rsidRPr="009A1DE9" w:rsidRDefault="004472A5" w:rsidP="00F02514">
      <w:pPr>
        <w:pStyle w:val="ListParagraph"/>
        <w:numPr>
          <w:ilvl w:val="0"/>
          <w:numId w:val="27"/>
        </w:numPr>
        <w:spacing w:line="360" w:lineRule="auto"/>
        <w:ind w:left="851" w:hanging="284"/>
        <w:contextualSpacing w:val="0"/>
      </w:pPr>
      <w:r>
        <w:t>Australian Taxation Office (</w:t>
      </w:r>
      <w:r w:rsidR="00B40C49">
        <w:t>ATO</w:t>
      </w:r>
      <w:r>
        <w:t>)</w:t>
      </w:r>
      <w:r w:rsidR="00A031FF">
        <w:t xml:space="preserve"> </w:t>
      </w:r>
    </w:p>
    <w:p w14:paraId="296D0EF8" w14:textId="4E356524" w:rsidR="00F02514" w:rsidRPr="009A1DE9" w:rsidRDefault="00F02514" w:rsidP="00F02514">
      <w:pPr>
        <w:pStyle w:val="ListParagraph"/>
        <w:numPr>
          <w:ilvl w:val="0"/>
          <w:numId w:val="27"/>
        </w:numPr>
        <w:spacing w:line="360" w:lineRule="auto"/>
        <w:ind w:left="851" w:hanging="284"/>
        <w:contextualSpacing w:val="0"/>
      </w:pPr>
      <w:r w:rsidRPr="009A1DE9">
        <w:t>Treasury</w:t>
      </w:r>
    </w:p>
    <w:p w14:paraId="57E401E1" w14:textId="77777777" w:rsidR="00F02514" w:rsidRPr="009A1DE9" w:rsidRDefault="00F02514" w:rsidP="00F02514">
      <w:pPr>
        <w:pStyle w:val="ListParagraph"/>
        <w:numPr>
          <w:ilvl w:val="0"/>
          <w:numId w:val="27"/>
        </w:numPr>
        <w:spacing w:line="360" w:lineRule="auto"/>
        <w:ind w:left="851" w:hanging="284"/>
        <w:contextualSpacing w:val="0"/>
      </w:pPr>
      <w:r w:rsidRPr="009A1DE9">
        <w:t>Department of Employment</w:t>
      </w:r>
    </w:p>
    <w:p w14:paraId="61290102" w14:textId="7543D341" w:rsidR="00F02514" w:rsidRPr="009A1DE9" w:rsidRDefault="00F02514" w:rsidP="00F02514">
      <w:pPr>
        <w:pStyle w:val="ListParagraph"/>
        <w:numPr>
          <w:ilvl w:val="0"/>
          <w:numId w:val="27"/>
        </w:numPr>
        <w:spacing w:line="360" w:lineRule="auto"/>
        <w:ind w:left="851" w:hanging="284"/>
        <w:contextualSpacing w:val="0"/>
      </w:pPr>
      <w:r w:rsidRPr="009A1DE9">
        <w:t>Australian Securities and Investment</w:t>
      </w:r>
      <w:r w:rsidR="003872E2">
        <w:t>s</w:t>
      </w:r>
      <w:r w:rsidRPr="009A1DE9">
        <w:t xml:space="preserve"> Commission</w:t>
      </w:r>
      <w:r w:rsidR="00B40C49">
        <w:t xml:space="preserve"> (ASIC)</w:t>
      </w:r>
    </w:p>
    <w:p w14:paraId="7D18959F" w14:textId="7175FB4E" w:rsidR="00F02514" w:rsidRPr="009A1DE9" w:rsidRDefault="00F02514" w:rsidP="00F02514">
      <w:pPr>
        <w:pStyle w:val="ListParagraph"/>
        <w:numPr>
          <w:ilvl w:val="0"/>
          <w:numId w:val="27"/>
        </w:numPr>
        <w:spacing w:line="360" w:lineRule="auto"/>
        <w:ind w:left="851" w:hanging="284"/>
        <w:contextualSpacing w:val="0"/>
      </w:pPr>
      <w:r w:rsidRPr="009A1DE9">
        <w:t>Australian Prudential Regulation Authority</w:t>
      </w:r>
      <w:r w:rsidR="00B40C49">
        <w:t xml:space="preserve"> (A</w:t>
      </w:r>
      <w:r w:rsidR="003872E2">
        <w:t>PRA</w:t>
      </w:r>
      <w:r w:rsidR="00B40C49">
        <w:t>)</w:t>
      </w:r>
    </w:p>
    <w:p w14:paraId="3330E42E" w14:textId="77777777" w:rsidR="00F02514" w:rsidRDefault="00F02514" w:rsidP="00224B95">
      <w:pPr>
        <w:pStyle w:val="ListParagraph"/>
        <w:numPr>
          <w:ilvl w:val="1"/>
          <w:numId w:val="31"/>
        </w:numPr>
        <w:spacing w:line="360" w:lineRule="auto"/>
        <w:ind w:left="567" w:hanging="567"/>
        <w:contextualSpacing w:val="0"/>
      </w:pPr>
      <w:r>
        <w:t xml:space="preserve">These agencies are either responsible for advising on </w:t>
      </w:r>
      <w:r w:rsidR="00126B47">
        <w:t>superannuation guarantee</w:t>
      </w:r>
      <w:r w:rsidR="00D57E8E">
        <w:t xml:space="preserve"> </w:t>
      </w:r>
      <w:r>
        <w:t>policy settings</w:t>
      </w:r>
      <w:r w:rsidR="00D57E8E">
        <w:t>;</w:t>
      </w:r>
      <w:r>
        <w:t xml:space="preserve"> administering the </w:t>
      </w:r>
      <w:r w:rsidR="00126B47">
        <w:t>superannuation guarantee</w:t>
      </w:r>
      <w:r>
        <w:t xml:space="preserve"> framework</w:t>
      </w:r>
      <w:r w:rsidR="00126B47">
        <w:t>;</w:t>
      </w:r>
      <w:r>
        <w:t xml:space="preserve"> or for strategies and programs that </w:t>
      </w:r>
      <w:r w:rsidR="00D57E8E">
        <w:t xml:space="preserve">affect </w:t>
      </w:r>
      <w:r w:rsidR="00126B47">
        <w:t>superannuation guarantee</w:t>
      </w:r>
      <w:r w:rsidR="00D57E8E">
        <w:t xml:space="preserve"> compliance</w:t>
      </w:r>
      <w:r>
        <w:t xml:space="preserve">. </w:t>
      </w:r>
      <w:r w:rsidRPr="00CA6B2D">
        <w:t>More information on these agencies can be found at</w:t>
      </w:r>
      <w:r>
        <w:t xml:space="preserve"> </w:t>
      </w:r>
      <w:r w:rsidRPr="008E2C85">
        <w:rPr>
          <w:b/>
        </w:rPr>
        <w:t>Appendix</w:t>
      </w:r>
      <w:r w:rsidR="00126B47">
        <w:rPr>
          <w:b/>
        </w:rPr>
        <w:t> </w:t>
      </w:r>
      <w:r w:rsidRPr="008E2C85">
        <w:rPr>
          <w:b/>
        </w:rPr>
        <w:t>B</w:t>
      </w:r>
      <w:r w:rsidRPr="00F02514">
        <w:t>.</w:t>
      </w:r>
    </w:p>
    <w:p w14:paraId="75AE9671" w14:textId="68EB2202" w:rsidR="0077177D" w:rsidRDefault="0077177D" w:rsidP="00224B95">
      <w:pPr>
        <w:pStyle w:val="ListParagraph"/>
        <w:numPr>
          <w:ilvl w:val="1"/>
          <w:numId w:val="31"/>
        </w:numPr>
        <w:spacing w:line="360" w:lineRule="auto"/>
        <w:ind w:left="567" w:hanging="567"/>
        <w:contextualSpacing w:val="0"/>
      </w:pPr>
      <w:r>
        <w:t xml:space="preserve">The Working Group has not conducted any consultations with industry or other stakeholder as this report touches on policy and legislative changes. </w:t>
      </w:r>
      <w:r w:rsidR="003872E2">
        <w:t>If</w:t>
      </w:r>
      <w:r>
        <w:t xml:space="preserve"> the recommendations </w:t>
      </w:r>
      <w:r w:rsidR="003872E2">
        <w:t xml:space="preserve">are </w:t>
      </w:r>
      <w:r>
        <w:t xml:space="preserve">accepted by </w:t>
      </w:r>
      <w:r w:rsidR="003872E2">
        <w:t>G</w:t>
      </w:r>
      <w:r>
        <w:t>overnment there would need to be more detailed design and consultation.</w:t>
      </w:r>
    </w:p>
    <w:p w14:paraId="45CE762B" w14:textId="77777777" w:rsidR="00F02514" w:rsidRDefault="00F02514" w:rsidP="00224B95">
      <w:pPr>
        <w:pStyle w:val="ListParagraph"/>
        <w:numPr>
          <w:ilvl w:val="1"/>
          <w:numId w:val="31"/>
        </w:numPr>
        <w:spacing w:line="360" w:lineRule="auto"/>
        <w:ind w:left="567" w:hanging="567"/>
        <w:contextualSpacing w:val="0"/>
      </w:pPr>
      <w:r w:rsidRPr="00F134BF">
        <w:t xml:space="preserve">The establishment of the Working Group </w:t>
      </w:r>
      <w:r w:rsidR="00D57E8E">
        <w:t xml:space="preserve">has provided </w:t>
      </w:r>
      <w:r w:rsidRPr="00F134BF">
        <w:t xml:space="preserve">opportunities for </w:t>
      </w:r>
      <w:r w:rsidR="00D57E8E">
        <w:t>member</w:t>
      </w:r>
      <w:r w:rsidR="00D57E8E" w:rsidRPr="00F134BF">
        <w:t xml:space="preserve"> </w:t>
      </w:r>
      <w:r w:rsidRPr="00F134BF">
        <w:t>agencies to review and improve the</w:t>
      </w:r>
      <w:r>
        <w:t>ir</w:t>
      </w:r>
      <w:r w:rsidRPr="00F134BF">
        <w:t xml:space="preserve"> </w:t>
      </w:r>
      <w:r>
        <w:t xml:space="preserve">strategies and </w:t>
      </w:r>
      <w:r w:rsidR="008118B5">
        <w:t xml:space="preserve">the coordination of </w:t>
      </w:r>
      <w:r>
        <w:t xml:space="preserve">activities for </w:t>
      </w:r>
      <w:r w:rsidRPr="00F134BF">
        <w:t>managing non-compliance</w:t>
      </w:r>
      <w:r>
        <w:t>.</w:t>
      </w:r>
      <w:r w:rsidRPr="00F134BF">
        <w:t xml:space="preserve"> </w:t>
      </w:r>
    </w:p>
    <w:p w14:paraId="1C9838E6" w14:textId="77777777" w:rsidR="00F02514" w:rsidRDefault="00F02514" w:rsidP="00F02514">
      <w:pPr>
        <w:pStyle w:val="Heading2"/>
      </w:pPr>
      <w:bookmarkStart w:id="38" w:name="_Toc478485960"/>
      <w:bookmarkStart w:id="39" w:name="_Toc478501969"/>
      <w:bookmarkStart w:id="40" w:name="_Toc478651108"/>
      <w:bookmarkStart w:id="41" w:name="_Toc478651950"/>
      <w:bookmarkStart w:id="42" w:name="_Toc478654411"/>
      <w:bookmarkStart w:id="43" w:name="_Toc478655125"/>
      <w:bookmarkStart w:id="44" w:name="_Toc478656379"/>
      <w:bookmarkStart w:id="45" w:name="_Toc478657630"/>
      <w:bookmarkStart w:id="46" w:name="_Toc478716503"/>
      <w:bookmarkStart w:id="47" w:name="_Toc478718226"/>
      <w:bookmarkStart w:id="48" w:name="_Toc478718436"/>
      <w:bookmarkStart w:id="49" w:name="_Toc478738385"/>
      <w:bookmarkStart w:id="50" w:name="_Toc478740671"/>
      <w:r>
        <w:t>Report structure</w:t>
      </w:r>
      <w:bookmarkEnd w:id="38"/>
      <w:bookmarkEnd w:id="39"/>
      <w:bookmarkEnd w:id="40"/>
      <w:bookmarkEnd w:id="41"/>
      <w:bookmarkEnd w:id="42"/>
      <w:bookmarkEnd w:id="43"/>
      <w:bookmarkEnd w:id="44"/>
      <w:bookmarkEnd w:id="45"/>
      <w:bookmarkEnd w:id="46"/>
      <w:bookmarkEnd w:id="47"/>
      <w:bookmarkEnd w:id="48"/>
      <w:bookmarkEnd w:id="49"/>
      <w:bookmarkEnd w:id="50"/>
      <w:r>
        <w:t xml:space="preserve"> </w:t>
      </w:r>
    </w:p>
    <w:p w14:paraId="16CB8AE7" w14:textId="77777777" w:rsidR="00791F05" w:rsidRPr="00224B95" w:rsidRDefault="00791F05" w:rsidP="00224B95">
      <w:pPr>
        <w:pStyle w:val="ListParagraph"/>
        <w:numPr>
          <w:ilvl w:val="1"/>
          <w:numId w:val="31"/>
        </w:numPr>
        <w:spacing w:line="360" w:lineRule="auto"/>
        <w:ind w:left="567" w:hanging="567"/>
        <w:contextualSpacing w:val="0"/>
      </w:pPr>
      <w:r w:rsidRPr="00224B95">
        <w:t xml:space="preserve">Chapter </w:t>
      </w:r>
      <w:r w:rsidRPr="00DB6E7C">
        <w:t xml:space="preserve">3 gives an overview </w:t>
      </w:r>
      <w:r w:rsidR="00A031FF" w:rsidRPr="00DB6E7C">
        <w:t>of</w:t>
      </w:r>
      <w:r w:rsidRPr="00DB6E7C">
        <w:t xml:space="preserve"> the superannuation guarantee system and notes the challenges to improving compliance, with further details in </w:t>
      </w:r>
      <w:r w:rsidRPr="00DB6E7C">
        <w:rPr>
          <w:b/>
        </w:rPr>
        <w:t>Appendix C</w:t>
      </w:r>
      <w:r w:rsidR="00F4658E">
        <w:rPr>
          <w:b/>
        </w:rPr>
        <w:t>.</w:t>
      </w:r>
    </w:p>
    <w:p w14:paraId="199C6E00" w14:textId="77777777" w:rsidR="00F02514" w:rsidRPr="00DB6E7C" w:rsidRDefault="00F02514" w:rsidP="00224B95">
      <w:pPr>
        <w:pStyle w:val="ListParagraph"/>
        <w:numPr>
          <w:ilvl w:val="1"/>
          <w:numId w:val="31"/>
        </w:numPr>
        <w:spacing w:line="360" w:lineRule="auto"/>
        <w:ind w:left="567" w:hanging="567"/>
        <w:contextualSpacing w:val="0"/>
      </w:pPr>
      <w:r w:rsidRPr="00224B95">
        <w:t xml:space="preserve">Chapter </w:t>
      </w:r>
      <w:r w:rsidR="008118B5" w:rsidRPr="00224B95">
        <w:t>4</w:t>
      </w:r>
      <w:r w:rsidRPr="00224B95">
        <w:t xml:space="preserve"> </w:t>
      </w:r>
      <w:r w:rsidR="00695627" w:rsidRPr="00DB6E7C">
        <w:t xml:space="preserve">provides commentary on the recommendations and administrative actions that agencies will take to improve the identification of </w:t>
      </w:r>
      <w:r w:rsidRPr="00DB6E7C">
        <w:t>non</w:t>
      </w:r>
      <w:r w:rsidRPr="00DB6E7C">
        <w:noBreakHyphen/>
        <w:t xml:space="preserve">compliance, </w:t>
      </w:r>
      <w:r w:rsidR="00695627" w:rsidRPr="00DB6E7C">
        <w:t xml:space="preserve">what is done </w:t>
      </w:r>
      <w:r w:rsidR="00791F05" w:rsidRPr="00DB6E7C">
        <w:t>to address it</w:t>
      </w:r>
      <w:r w:rsidR="00695627" w:rsidRPr="00DB6E7C">
        <w:t xml:space="preserve">, </w:t>
      </w:r>
      <w:r w:rsidRPr="00DB6E7C">
        <w:t>and the collection and recovery of the debt.</w:t>
      </w:r>
    </w:p>
    <w:p w14:paraId="2134C4AD" w14:textId="77777777" w:rsidR="00F02514" w:rsidRDefault="00F02514" w:rsidP="00224B95">
      <w:pPr>
        <w:pStyle w:val="ListParagraph"/>
        <w:numPr>
          <w:ilvl w:val="1"/>
          <w:numId w:val="31"/>
        </w:numPr>
        <w:spacing w:line="360" w:lineRule="auto"/>
        <w:ind w:left="567" w:hanging="567"/>
        <w:contextualSpacing w:val="0"/>
      </w:pPr>
      <w:r w:rsidRPr="00224B95">
        <w:t>Chapter 5</w:t>
      </w:r>
      <w:r w:rsidRPr="00DB6E7C">
        <w:t xml:space="preserve"> </w:t>
      </w:r>
      <w:r w:rsidR="00695627" w:rsidRPr="00DB6E7C">
        <w:t xml:space="preserve">provides commentary on the recommendations and administrative actions aimed at ensuring </w:t>
      </w:r>
      <w:r w:rsidRPr="00DB6E7C">
        <w:t>the superannuation</w:t>
      </w:r>
      <w:r w:rsidRPr="00F02514">
        <w:t xml:space="preserve"> guarantee system is operating as intended and in a </w:t>
      </w:r>
      <w:r w:rsidR="00740C15">
        <w:t>manner</w:t>
      </w:r>
      <w:r w:rsidR="00740C15" w:rsidRPr="00F02514">
        <w:t xml:space="preserve"> </w:t>
      </w:r>
      <w:r w:rsidRPr="00F02514">
        <w:t>that builds community confidence.</w:t>
      </w:r>
    </w:p>
    <w:p w14:paraId="0069F00D" w14:textId="77777777" w:rsidR="00F02514" w:rsidRPr="00DF41EE" w:rsidRDefault="00F02514" w:rsidP="00F02514">
      <w:pPr>
        <w:pStyle w:val="Heading2"/>
      </w:pPr>
      <w:bookmarkStart w:id="51" w:name="_Toc478485961"/>
      <w:bookmarkStart w:id="52" w:name="_Toc478501970"/>
      <w:bookmarkStart w:id="53" w:name="_Toc478651109"/>
      <w:bookmarkStart w:id="54" w:name="_Toc478651951"/>
      <w:bookmarkStart w:id="55" w:name="_Toc478654412"/>
      <w:bookmarkStart w:id="56" w:name="_Toc478655126"/>
      <w:bookmarkStart w:id="57" w:name="_Toc478656380"/>
      <w:bookmarkStart w:id="58" w:name="_Toc478657631"/>
      <w:bookmarkStart w:id="59" w:name="_Toc478716504"/>
      <w:bookmarkStart w:id="60" w:name="_Toc478718227"/>
      <w:bookmarkStart w:id="61" w:name="_Toc478718437"/>
      <w:bookmarkStart w:id="62" w:name="_Toc478738386"/>
      <w:bookmarkStart w:id="63" w:name="_Toc478740672"/>
      <w:r>
        <w:t>Interim Report</w:t>
      </w:r>
      <w:bookmarkEnd w:id="51"/>
      <w:bookmarkEnd w:id="52"/>
      <w:bookmarkEnd w:id="53"/>
      <w:bookmarkEnd w:id="54"/>
      <w:bookmarkEnd w:id="55"/>
      <w:bookmarkEnd w:id="56"/>
      <w:bookmarkEnd w:id="57"/>
      <w:bookmarkEnd w:id="58"/>
      <w:bookmarkEnd w:id="59"/>
      <w:bookmarkEnd w:id="60"/>
      <w:bookmarkEnd w:id="61"/>
      <w:bookmarkEnd w:id="62"/>
      <w:bookmarkEnd w:id="63"/>
    </w:p>
    <w:p w14:paraId="7B2AD5F8" w14:textId="77777777" w:rsidR="00791F05" w:rsidRDefault="00F02514" w:rsidP="00224B95">
      <w:pPr>
        <w:pStyle w:val="ListParagraph"/>
        <w:numPr>
          <w:ilvl w:val="1"/>
          <w:numId w:val="31"/>
        </w:numPr>
        <w:spacing w:line="360" w:lineRule="auto"/>
        <w:ind w:left="567" w:hanging="567"/>
        <w:contextualSpacing w:val="0"/>
      </w:pPr>
      <w:r>
        <w:t xml:space="preserve">The Working Group provided an Interim Report to the Minister on 31 January 2017. The Interim Report </w:t>
      </w:r>
      <w:r w:rsidR="00695627">
        <w:t>discussed</w:t>
      </w:r>
      <w:r>
        <w:t xml:space="preserve"> the operation of the superannuation guarantee system and </w:t>
      </w:r>
      <w:r w:rsidR="00695627">
        <w:t xml:space="preserve">provided </w:t>
      </w:r>
      <w:r>
        <w:t xml:space="preserve">observations on the characteristics and behaviours of </w:t>
      </w:r>
      <w:r w:rsidR="00695627">
        <w:t xml:space="preserve">employers </w:t>
      </w:r>
      <w:r>
        <w:t>who do not comply.</w:t>
      </w:r>
    </w:p>
    <w:p w14:paraId="355F9497" w14:textId="77777777" w:rsidR="00F02514" w:rsidRDefault="00F02514" w:rsidP="00224B95">
      <w:pPr>
        <w:pStyle w:val="ListParagraph"/>
        <w:numPr>
          <w:ilvl w:val="1"/>
          <w:numId w:val="31"/>
        </w:numPr>
        <w:spacing w:line="360" w:lineRule="auto"/>
        <w:ind w:left="567" w:hanging="567"/>
        <w:contextualSpacing w:val="0"/>
      </w:pPr>
      <w:r>
        <w:t xml:space="preserve">That report also </w:t>
      </w:r>
      <w:r w:rsidR="00A078AF">
        <w:t>reviewed</w:t>
      </w:r>
      <w:r>
        <w:t xml:space="preserve"> the policy recommendations </w:t>
      </w:r>
      <w:r w:rsidR="00A078AF">
        <w:t xml:space="preserve">presented </w:t>
      </w:r>
      <w:r>
        <w:t xml:space="preserve">by Industry Super Australia (ISA) in its report titled </w:t>
      </w:r>
      <w:r w:rsidRPr="00F02514">
        <w:rPr>
          <w:i/>
        </w:rPr>
        <w:t>Overdue: Time for Action on Unpaid Super</w:t>
      </w:r>
      <w:r>
        <w:t xml:space="preserve"> released in December 2016.</w:t>
      </w:r>
    </w:p>
    <w:p w14:paraId="2ED4328F" w14:textId="3D2D5F58" w:rsidR="00F02514" w:rsidRDefault="00F02514" w:rsidP="00224B95">
      <w:pPr>
        <w:pStyle w:val="ListParagraph"/>
        <w:numPr>
          <w:ilvl w:val="1"/>
          <w:numId w:val="31"/>
        </w:numPr>
        <w:spacing w:line="360" w:lineRule="auto"/>
        <w:ind w:left="567" w:hanging="567"/>
        <w:contextualSpacing w:val="0"/>
      </w:pPr>
      <w:r>
        <w:t xml:space="preserve">This Final Report </w:t>
      </w:r>
      <w:r w:rsidR="00A078AF">
        <w:t>addresses</w:t>
      </w:r>
      <w:r>
        <w:t xml:space="preserve"> ISA’s supplementary submission</w:t>
      </w:r>
      <w:r w:rsidRPr="00F02514">
        <w:rPr>
          <w:vertAlign w:val="superscript"/>
        </w:rPr>
        <w:footnoteReference w:id="5"/>
      </w:r>
      <w:r>
        <w:t xml:space="preserve"> to the Senate Committee, including </w:t>
      </w:r>
      <w:r w:rsidR="00A078AF">
        <w:t xml:space="preserve">its </w:t>
      </w:r>
      <w:r>
        <w:t>increased estimate of non</w:t>
      </w:r>
      <w:r>
        <w:noBreakHyphen/>
      </w:r>
      <w:r w:rsidRPr="00A232D2">
        <w:t>compliance</w:t>
      </w:r>
      <w:r w:rsidR="00E22C0A">
        <w:t>. For further details see</w:t>
      </w:r>
      <w:r w:rsidRPr="008E2C85">
        <w:t xml:space="preserve"> </w:t>
      </w:r>
      <w:r w:rsidRPr="008E2C85">
        <w:rPr>
          <w:b/>
        </w:rPr>
        <w:t xml:space="preserve">Appendix </w:t>
      </w:r>
      <w:r w:rsidR="002A4CF4" w:rsidRPr="008E2C85">
        <w:rPr>
          <w:b/>
        </w:rPr>
        <w:t>D</w:t>
      </w:r>
      <w:r w:rsidRPr="008E2C85">
        <w:t>.</w:t>
      </w:r>
    </w:p>
    <w:p w14:paraId="1DA4594A" w14:textId="77777777" w:rsidR="00F02514" w:rsidRDefault="00F02514" w:rsidP="00F02514">
      <w:pPr>
        <w:pStyle w:val="Heading2"/>
      </w:pPr>
      <w:bookmarkStart w:id="64" w:name="_Toc478485962"/>
      <w:bookmarkStart w:id="65" w:name="_Toc478501971"/>
      <w:bookmarkStart w:id="66" w:name="_Toc478651110"/>
      <w:bookmarkStart w:id="67" w:name="_Toc478651952"/>
      <w:bookmarkStart w:id="68" w:name="_Toc478654413"/>
      <w:bookmarkStart w:id="69" w:name="_Toc478655127"/>
      <w:bookmarkStart w:id="70" w:name="_Toc478656381"/>
      <w:bookmarkStart w:id="71" w:name="_Toc478657632"/>
      <w:bookmarkStart w:id="72" w:name="_Toc478716505"/>
      <w:bookmarkStart w:id="73" w:name="_Toc478718228"/>
      <w:bookmarkStart w:id="74" w:name="_Toc478718438"/>
      <w:bookmarkStart w:id="75" w:name="_Toc478738387"/>
      <w:bookmarkStart w:id="76" w:name="_Toc478740673"/>
      <w:r>
        <w:t>Senate Economics References Committee</w:t>
      </w:r>
      <w:bookmarkEnd w:id="64"/>
      <w:bookmarkEnd w:id="65"/>
      <w:bookmarkEnd w:id="66"/>
      <w:bookmarkEnd w:id="67"/>
      <w:bookmarkEnd w:id="68"/>
      <w:bookmarkEnd w:id="69"/>
      <w:bookmarkEnd w:id="70"/>
      <w:bookmarkEnd w:id="71"/>
      <w:bookmarkEnd w:id="72"/>
      <w:bookmarkEnd w:id="73"/>
      <w:bookmarkEnd w:id="74"/>
      <w:bookmarkEnd w:id="75"/>
      <w:bookmarkEnd w:id="76"/>
      <w:r>
        <w:t xml:space="preserve"> </w:t>
      </w:r>
    </w:p>
    <w:p w14:paraId="45022E58" w14:textId="10AF7DAD" w:rsidR="00F02514" w:rsidRDefault="00695627" w:rsidP="00224B95">
      <w:pPr>
        <w:pStyle w:val="ListParagraph"/>
        <w:numPr>
          <w:ilvl w:val="1"/>
          <w:numId w:val="31"/>
        </w:numPr>
        <w:spacing w:line="360" w:lineRule="auto"/>
        <w:ind w:left="567" w:hanging="567"/>
        <w:contextualSpacing w:val="0"/>
      </w:pPr>
      <w:r>
        <w:t>In December</w:t>
      </w:r>
      <w:r w:rsidR="003666CE">
        <w:t> </w:t>
      </w:r>
      <w:r>
        <w:t xml:space="preserve">2016, the Senate referred an inquiry </w:t>
      </w:r>
      <w:r w:rsidR="001F62E0">
        <w:t>into superannuation guarantee non</w:t>
      </w:r>
      <w:r w:rsidR="007D0242">
        <w:noBreakHyphen/>
      </w:r>
      <w:r w:rsidR="001F62E0">
        <w:t>payment to the Senate Economics References Committee (</w:t>
      </w:r>
      <w:r w:rsidR="007D0242">
        <w:t xml:space="preserve">the </w:t>
      </w:r>
      <w:r w:rsidR="001F62E0">
        <w:t>‘Senate Committee’)</w:t>
      </w:r>
      <w:r w:rsidR="007D0242">
        <w:t>.</w:t>
      </w:r>
    </w:p>
    <w:p w14:paraId="7FB8C43A" w14:textId="5E4A899D" w:rsidR="00F02514" w:rsidRDefault="00F02514" w:rsidP="00224B95">
      <w:pPr>
        <w:pStyle w:val="ListParagraph"/>
        <w:numPr>
          <w:ilvl w:val="1"/>
          <w:numId w:val="31"/>
        </w:numPr>
        <w:spacing w:line="360" w:lineRule="auto"/>
        <w:ind w:left="567" w:hanging="567"/>
        <w:contextualSpacing w:val="0"/>
      </w:pPr>
      <w:r>
        <w:t xml:space="preserve">The Working Group has considered the public submissions put forward to the Senate Committee. </w:t>
      </w:r>
    </w:p>
    <w:p w14:paraId="6E4CD23D" w14:textId="5F96AAF5" w:rsidR="00F02514" w:rsidRDefault="00F02514" w:rsidP="00224B95">
      <w:pPr>
        <w:pStyle w:val="ListParagraph"/>
        <w:numPr>
          <w:ilvl w:val="1"/>
          <w:numId w:val="31"/>
        </w:numPr>
        <w:spacing w:line="360" w:lineRule="auto"/>
        <w:ind w:left="567" w:hanging="567"/>
        <w:contextualSpacing w:val="0"/>
      </w:pPr>
      <w:r>
        <w:t xml:space="preserve">Members of </w:t>
      </w:r>
      <w:r w:rsidR="00043827">
        <w:t xml:space="preserve">this </w:t>
      </w:r>
      <w:r>
        <w:t>Working Group appeared before the Senate Committee on 3 March</w:t>
      </w:r>
      <w:r w:rsidR="00791F05">
        <w:t> </w:t>
      </w:r>
      <w:r>
        <w:t>2017 (one of its three public hearings). Senior representatives from the ATO also appeared as witnesses at the hearing on 25 January 2017</w:t>
      </w:r>
      <w:r w:rsidR="00E22C0A">
        <w:t>.</w:t>
      </w:r>
    </w:p>
    <w:p w14:paraId="142A6107" w14:textId="6C8E3921" w:rsidR="00A078AF" w:rsidRDefault="00A078AF" w:rsidP="00224B95">
      <w:pPr>
        <w:pStyle w:val="ListParagraph"/>
        <w:numPr>
          <w:ilvl w:val="1"/>
          <w:numId w:val="31"/>
        </w:numPr>
        <w:spacing w:line="360" w:lineRule="auto"/>
        <w:ind w:left="567" w:hanging="567"/>
        <w:contextualSpacing w:val="0"/>
      </w:pPr>
      <w:r>
        <w:t>The Senate Committee is scheduled to report on 12</w:t>
      </w:r>
      <w:r w:rsidR="003666CE">
        <w:t> </w:t>
      </w:r>
      <w:r>
        <w:t>April 2017.</w:t>
      </w:r>
    </w:p>
    <w:p w14:paraId="38D90E8D" w14:textId="273292D0" w:rsidR="00043827" w:rsidRDefault="005C75D7" w:rsidP="00043827">
      <w:pPr>
        <w:pStyle w:val="Heading2"/>
      </w:pPr>
      <w:bookmarkStart w:id="77" w:name="_Toc478485963"/>
      <w:bookmarkStart w:id="78" w:name="_Toc478501972"/>
      <w:bookmarkStart w:id="79" w:name="_Toc478651953"/>
      <w:bookmarkStart w:id="80" w:name="_Toc478654414"/>
      <w:bookmarkStart w:id="81" w:name="_Toc478655128"/>
      <w:bookmarkStart w:id="82" w:name="_Toc478656382"/>
      <w:bookmarkStart w:id="83" w:name="_Toc478657633"/>
      <w:bookmarkStart w:id="84" w:name="_Toc478716506"/>
      <w:bookmarkStart w:id="85" w:name="_Toc478718229"/>
      <w:bookmarkStart w:id="86" w:name="_Toc478718439"/>
      <w:bookmarkStart w:id="87" w:name="_Toc478738388"/>
      <w:bookmarkStart w:id="88" w:name="_Toc478740674"/>
      <w:r>
        <w:t xml:space="preserve">Related </w:t>
      </w:r>
      <w:r w:rsidR="00E22C0A">
        <w:t>G</w:t>
      </w:r>
      <w:r w:rsidR="00043827">
        <w:t>overnment</w:t>
      </w:r>
      <w:r w:rsidR="003666CE">
        <w:t xml:space="preserve"> </w:t>
      </w:r>
      <w:r w:rsidR="00043827">
        <w:t>reviews</w:t>
      </w:r>
      <w:bookmarkEnd w:id="77"/>
      <w:bookmarkEnd w:id="78"/>
      <w:r>
        <w:t xml:space="preserve"> underway</w:t>
      </w:r>
      <w:bookmarkEnd w:id="79"/>
      <w:bookmarkEnd w:id="80"/>
      <w:bookmarkEnd w:id="81"/>
      <w:bookmarkEnd w:id="82"/>
      <w:bookmarkEnd w:id="83"/>
      <w:bookmarkEnd w:id="84"/>
      <w:bookmarkEnd w:id="85"/>
      <w:bookmarkEnd w:id="86"/>
      <w:bookmarkEnd w:id="87"/>
      <w:bookmarkEnd w:id="88"/>
    </w:p>
    <w:p w14:paraId="7A101C39" w14:textId="10FB008A" w:rsidR="00043827" w:rsidRPr="00CF1D4A" w:rsidRDefault="00A078AF" w:rsidP="00224B95">
      <w:pPr>
        <w:pStyle w:val="ListParagraph"/>
        <w:numPr>
          <w:ilvl w:val="1"/>
          <w:numId w:val="31"/>
        </w:numPr>
        <w:spacing w:line="360" w:lineRule="auto"/>
        <w:ind w:left="567" w:hanging="567"/>
        <w:contextualSpacing w:val="0"/>
      </w:pPr>
      <w:r>
        <w:t>There are a number of G</w:t>
      </w:r>
      <w:r w:rsidR="00043827">
        <w:t>overnment</w:t>
      </w:r>
      <w:r w:rsidR="00126B47">
        <w:noBreakHyphen/>
      </w:r>
      <w:r w:rsidR="00043827">
        <w:t>initiated cross agency reviews in progress</w:t>
      </w:r>
      <w:r>
        <w:t xml:space="preserve"> that overlap </w:t>
      </w:r>
      <w:r w:rsidR="009118EA">
        <w:t>as they are considering the reasons for non</w:t>
      </w:r>
      <w:r w:rsidR="009118EA">
        <w:noBreakHyphen/>
        <w:t>compliance and approaches which may reduce non</w:t>
      </w:r>
      <w:r w:rsidR="009118EA">
        <w:noBreakHyphen/>
        <w:t>compliance</w:t>
      </w:r>
      <w:r w:rsidR="00043827">
        <w:t xml:space="preserve">. These </w:t>
      </w:r>
      <w:r w:rsidR="00043827" w:rsidRPr="00CF1D4A">
        <w:t xml:space="preserve">include: </w:t>
      </w:r>
      <w:r w:rsidR="00043827" w:rsidRPr="008E2C85">
        <w:t xml:space="preserve">the </w:t>
      </w:r>
      <w:r w:rsidR="00CF1D4A">
        <w:t>B</w:t>
      </w:r>
      <w:r w:rsidR="00043827" w:rsidRPr="008E2C85">
        <w:t xml:space="preserve">lack </w:t>
      </w:r>
      <w:r w:rsidR="00CF1D4A">
        <w:t>E</w:t>
      </w:r>
      <w:r w:rsidR="00043827" w:rsidRPr="008E2C85">
        <w:t>conomy</w:t>
      </w:r>
      <w:r w:rsidR="00CF1D4A">
        <w:t xml:space="preserve"> Taskforce</w:t>
      </w:r>
      <w:r w:rsidR="00043827" w:rsidRPr="008E2C85">
        <w:t xml:space="preserve">, </w:t>
      </w:r>
      <w:r w:rsidR="00CF1D4A">
        <w:t>P</w:t>
      </w:r>
      <w:r w:rsidR="00043827" w:rsidRPr="008E2C85">
        <w:t xml:space="preserve">hoenix </w:t>
      </w:r>
      <w:r w:rsidR="00CF1D4A">
        <w:t>Taskforce</w:t>
      </w:r>
      <w:r w:rsidR="00043827" w:rsidRPr="008E2C85">
        <w:t xml:space="preserve"> and </w:t>
      </w:r>
      <w:r w:rsidR="00CF1D4A">
        <w:t>M</w:t>
      </w:r>
      <w:r w:rsidR="00043827" w:rsidRPr="008E2C85">
        <w:t xml:space="preserve">igrant </w:t>
      </w:r>
      <w:r w:rsidR="00CF1D4A">
        <w:t>W</w:t>
      </w:r>
      <w:r w:rsidR="00043827" w:rsidRPr="008E2C85">
        <w:t>orkers</w:t>
      </w:r>
      <w:r w:rsidR="00CF1D4A">
        <w:t>’ Taskforce</w:t>
      </w:r>
      <w:r w:rsidR="00043827" w:rsidRPr="008E2C85">
        <w:t>.</w:t>
      </w:r>
      <w:r w:rsidR="00043827" w:rsidRPr="00CF1D4A">
        <w:t xml:space="preserve"> </w:t>
      </w:r>
    </w:p>
    <w:p w14:paraId="5717B137" w14:textId="08507A30" w:rsidR="009118EA" w:rsidRDefault="009118EA" w:rsidP="009118EA">
      <w:pPr>
        <w:pStyle w:val="ListParagraph"/>
        <w:numPr>
          <w:ilvl w:val="1"/>
          <w:numId w:val="31"/>
        </w:numPr>
        <w:spacing w:line="360" w:lineRule="auto"/>
        <w:ind w:left="567" w:hanging="567"/>
        <w:contextualSpacing w:val="0"/>
      </w:pPr>
      <w:r>
        <w:t xml:space="preserve">These Taskforces are yet to report to </w:t>
      </w:r>
      <w:r w:rsidR="00E22C0A">
        <w:t>G</w:t>
      </w:r>
      <w:r>
        <w:t xml:space="preserve">overnment and are considering issues relating to matters of deterrence, sanctions, transparency, director behaviour, phoenix activity and insolvent entities. All are </w:t>
      </w:r>
      <w:r w:rsidR="00AD5221">
        <w:t>relevant</w:t>
      </w:r>
      <w:r>
        <w:t xml:space="preserve"> to improving superannuation guarantee compliance and addressing the consequences of non</w:t>
      </w:r>
      <w:r>
        <w:noBreakHyphen/>
        <w:t>compliance.</w:t>
      </w:r>
    </w:p>
    <w:p w14:paraId="42F66438" w14:textId="47C6B828" w:rsidR="009118EA" w:rsidRDefault="009118EA" w:rsidP="009118EA">
      <w:pPr>
        <w:pStyle w:val="ListParagraph"/>
        <w:numPr>
          <w:ilvl w:val="1"/>
          <w:numId w:val="31"/>
        </w:numPr>
        <w:spacing w:line="360" w:lineRule="auto"/>
        <w:ind w:left="567" w:hanging="567"/>
        <w:contextualSpacing w:val="0"/>
      </w:pPr>
      <w:r>
        <w:t xml:space="preserve">In many instances the recommendations from these reviews will have application to the management of superannuation guarantee non-compliance. </w:t>
      </w:r>
      <w:r w:rsidR="00E22C0A">
        <w:t>For further details see</w:t>
      </w:r>
      <w:r w:rsidR="00E22C0A" w:rsidRPr="008E2C85">
        <w:t xml:space="preserve"> </w:t>
      </w:r>
      <w:r w:rsidR="00E22C0A" w:rsidRPr="008E2C85">
        <w:rPr>
          <w:b/>
        </w:rPr>
        <w:t>Appendix G</w:t>
      </w:r>
      <w:r w:rsidR="00E22C0A" w:rsidRPr="008E2C85">
        <w:t>.</w:t>
      </w:r>
    </w:p>
    <w:p w14:paraId="016F9F00" w14:textId="77777777" w:rsidR="00637CC6" w:rsidRDefault="00637CC6" w:rsidP="00AF343B">
      <w:r>
        <w:rPr>
          <w:bCs/>
        </w:rPr>
        <w:br w:type="page"/>
      </w:r>
    </w:p>
    <w:p w14:paraId="323370A2" w14:textId="77777777" w:rsidR="00637CC6" w:rsidRDefault="003D22F3" w:rsidP="00224B95">
      <w:pPr>
        <w:pStyle w:val="Heading1"/>
        <w:framePr w:wrap="notBeside"/>
        <w:spacing w:before="0"/>
      </w:pPr>
      <w:bookmarkStart w:id="89" w:name="_Toc478485964"/>
      <w:bookmarkStart w:id="90" w:name="_Toc478501973"/>
      <w:bookmarkStart w:id="91" w:name="_Toc478716507"/>
      <w:bookmarkStart w:id="92" w:name="_Toc478718230"/>
      <w:bookmarkStart w:id="93" w:name="_Toc478718440"/>
      <w:bookmarkStart w:id="94" w:name="_Toc478738389"/>
      <w:bookmarkStart w:id="95" w:name="_Toc478740675"/>
      <w:bookmarkStart w:id="96" w:name="_Toc478651954"/>
      <w:bookmarkStart w:id="97" w:name="_Toc478654415"/>
      <w:bookmarkStart w:id="98" w:name="_Toc478655129"/>
      <w:bookmarkStart w:id="99" w:name="_Toc478656383"/>
      <w:bookmarkStart w:id="100" w:name="_Toc478657634"/>
      <w:r>
        <w:t xml:space="preserve">3. </w:t>
      </w:r>
      <w:r w:rsidR="008429FE">
        <w:t>Superannuation Guarantee System</w:t>
      </w:r>
      <w:bookmarkEnd w:id="89"/>
      <w:bookmarkEnd w:id="90"/>
      <w:bookmarkEnd w:id="91"/>
      <w:bookmarkEnd w:id="92"/>
      <w:bookmarkEnd w:id="93"/>
      <w:bookmarkEnd w:id="94"/>
      <w:bookmarkEnd w:id="95"/>
      <w:r w:rsidR="008429FE">
        <w:t xml:space="preserve"> </w:t>
      </w:r>
      <w:bookmarkEnd w:id="96"/>
      <w:bookmarkEnd w:id="97"/>
      <w:bookmarkEnd w:id="98"/>
      <w:bookmarkEnd w:id="99"/>
      <w:bookmarkEnd w:id="100"/>
    </w:p>
    <w:p w14:paraId="7A74C214" w14:textId="77777777" w:rsidR="00637CC6" w:rsidRDefault="008429FE" w:rsidP="00AF343B">
      <w:pPr>
        <w:pStyle w:val="Heading2"/>
      </w:pPr>
      <w:bookmarkStart w:id="101" w:name="_Toc478485965"/>
      <w:bookmarkStart w:id="102" w:name="_Toc478501974"/>
      <w:bookmarkStart w:id="103" w:name="_Toc478651955"/>
      <w:bookmarkStart w:id="104" w:name="_Toc478654416"/>
      <w:bookmarkStart w:id="105" w:name="_Toc478655130"/>
      <w:bookmarkStart w:id="106" w:name="_Toc478656384"/>
      <w:bookmarkStart w:id="107" w:name="_Toc478657635"/>
      <w:bookmarkStart w:id="108" w:name="_Toc478716508"/>
      <w:bookmarkStart w:id="109" w:name="_Toc478718231"/>
      <w:bookmarkStart w:id="110" w:name="_Toc478718441"/>
      <w:bookmarkStart w:id="111" w:name="_Toc478738390"/>
      <w:bookmarkStart w:id="112" w:name="_Toc478740676"/>
      <w:r>
        <w:t>Introduction</w:t>
      </w:r>
      <w:bookmarkEnd w:id="101"/>
      <w:bookmarkEnd w:id="102"/>
      <w:bookmarkEnd w:id="103"/>
      <w:bookmarkEnd w:id="104"/>
      <w:bookmarkEnd w:id="105"/>
      <w:bookmarkEnd w:id="106"/>
      <w:bookmarkEnd w:id="107"/>
      <w:bookmarkEnd w:id="108"/>
      <w:bookmarkEnd w:id="109"/>
      <w:bookmarkEnd w:id="110"/>
      <w:bookmarkEnd w:id="111"/>
      <w:bookmarkEnd w:id="112"/>
      <w:r>
        <w:t xml:space="preserve"> </w:t>
      </w:r>
    </w:p>
    <w:p w14:paraId="6C466CB1" w14:textId="77777777" w:rsidR="008429FE" w:rsidRDefault="008429FE" w:rsidP="00224B95">
      <w:pPr>
        <w:pStyle w:val="ListParagraph"/>
        <w:keepNext/>
        <w:numPr>
          <w:ilvl w:val="1"/>
          <w:numId w:val="32"/>
        </w:numPr>
        <w:spacing w:line="360" w:lineRule="auto"/>
        <w:contextualSpacing w:val="0"/>
      </w:pPr>
      <w:r>
        <w:t xml:space="preserve">The superannuation guarantee is a fundamental pillar of Australia’s retirement income framework. Introduced in 1992, its intent is to support Australians </w:t>
      </w:r>
      <w:r w:rsidR="00A078AF">
        <w:t xml:space="preserve">to </w:t>
      </w:r>
      <w:r>
        <w:t>save for retirement by requiring employers to make contributions to eligible employees’ superannuation funds.</w:t>
      </w:r>
    </w:p>
    <w:p w14:paraId="64C4A847" w14:textId="4E829BBD" w:rsidR="00686553" w:rsidRDefault="008429FE" w:rsidP="00224B95">
      <w:pPr>
        <w:pStyle w:val="ListParagraph"/>
        <w:keepNext/>
        <w:numPr>
          <w:ilvl w:val="1"/>
          <w:numId w:val="32"/>
        </w:numPr>
        <w:spacing w:line="360" w:lineRule="auto"/>
        <w:contextualSpacing w:val="0"/>
      </w:pPr>
      <w:r>
        <w:t xml:space="preserve">Superannuation guarantee is payable </w:t>
      </w:r>
      <w:r w:rsidR="00281588">
        <w:t xml:space="preserve">quarterly </w:t>
      </w:r>
      <w:r>
        <w:t>at a rate of 9.5</w:t>
      </w:r>
      <w:r w:rsidR="00686553">
        <w:t> </w:t>
      </w:r>
      <w:r>
        <w:t>per</w:t>
      </w:r>
      <w:r w:rsidR="00686553">
        <w:t> </w:t>
      </w:r>
      <w:r>
        <w:t>cent of an eligible employee’s ordinary time earnings</w:t>
      </w:r>
      <w:r w:rsidR="00686553">
        <w:t>.</w:t>
      </w:r>
      <w:r w:rsidR="00686553">
        <w:rPr>
          <w:rStyle w:val="FootnoteReference"/>
        </w:rPr>
        <w:footnoteReference w:id="6"/>
      </w:r>
      <w:r w:rsidR="00686553">
        <w:t xml:space="preserve"> Failure to pay this amount results in a liability to pay a penalty in the form of the superannuation guarantee charge</w:t>
      </w:r>
      <w:r w:rsidR="00AD5221">
        <w:t xml:space="preserve">. This is </w:t>
      </w:r>
      <w:r w:rsidR="00686553">
        <w:t>calculated on the employee’s entire salary or wages and not just an employee’s ordinary time earnings. For further detail</w:t>
      </w:r>
      <w:r w:rsidR="00136B74">
        <w:t>s</w:t>
      </w:r>
      <w:r w:rsidR="00686553">
        <w:t xml:space="preserve"> </w:t>
      </w:r>
      <w:r w:rsidR="00136B74">
        <w:t>see</w:t>
      </w:r>
      <w:r w:rsidR="00686553">
        <w:t xml:space="preserve"> </w:t>
      </w:r>
      <w:r w:rsidR="00686553" w:rsidRPr="00F71EF8">
        <w:rPr>
          <w:b/>
        </w:rPr>
        <w:t>Appendix C.</w:t>
      </w:r>
    </w:p>
    <w:p w14:paraId="67788DDF" w14:textId="77777777" w:rsidR="00686553" w:rsidRDefault="00686553" w:rsidP="00224B95">
      <w:pPr>
        <w:pStyle w:val="ListParagraph"/>
        <w:keepNext/>
        <w:numPr>
          <w:ilvl w:val="1"/>
          <w:numId w:val="32"/>
        </w:numPr>
        <w:spacing w:line="360" w:lineRule="auto"/>
        <w:contextualSpacing w:val="0"/>
      </w:pPr>
      <w:r>
        <w:t xml:space="preserve">The broad design of the superannuation system is one based on the </w:t>
      </w:r>
      <w:r w:rsidR="00AD5221">
        <w:t xml:space="preserve">employment </w:t>
      </w:r>
      <w:r>
        <w:t xml:space="preserve">relationship between an employer and their employees, then the </w:t>
      </w:r>
      <w:r w:rsidR="00AD5221">
        <w:t xml:space="preserve">relationship between the </w:t>
      </w:r>
      <w:r>
        <w:t>employer and the employees’ superannuation funds.</w:t>
      </w:r>
    </w:p>
    <w:p w14:paraId="16E79B4D" w14:textId="44AC71D6" w:rsidR="00686553" w:rsidRDefault="00686553" w:rsidP="00224B95">
      <w:pPr>
        <w:pStyle w:val="ListParagraph"/>
        <w:keepNext/>
        <w:numPr>
          <w:ilvl w:val="1"/>
          <w:numId w:val="32"/>
        </w:numPr>
        <w:spacing w:line="360" w:lineRule="auto"/>
        <w:contextualSpacing w:val="0"/>
      </w:pPr>
      <w:r>
        <w:t>The ATO</w:t>
      </w:r>
      <w:r w:rsidR="00AD5221">
        <w:t xml:space="preserve"> annually</w:t>
      </w:r>
      <w:r>
        <w:t xml:space="preserve"> receives the employee’s salary or wage information, but not a report on their ordinary time earnings. </w:t>
      </w:r>
      <w:r w:rsidR="00971D20">
        <w:t xml:space="preserve">Salary or wage information </w:t>
      </w:r>
      <w:r>
        <w:t xml:space="preserve">is </w:t>
      </w:r>
      <w:r w:rsidR="00971D20">
        <w:t xml:space="preserve">reported </w:t>
      </w:r>
      <w:r>
        <w:t>through Pay As You Go (</w:t>
      </w:r>
      <w:r w:rsidR="00723F67">
        <w:t>PAYG)</w:t>
      </w:r>
      <w:r>
        <w:t xml:space="preserve"> </w:t>
      </w:r>
      <w:r w:rsidR="00971D20">
        <w:t>w</w:t>
      </w:r>
      <w:r>
        <w:t xml:space="preserve">ithholding reporting. </w:t>
      </w:r>
      <w:r w:rsidR="00971D20">
        <w:t>T</w:t>
      </w:r>
      <w:r>
        <w:t xml:space="preserve">he ATO is advised annually of superannuation guarantee contributions via reporting by the employee’s superannuation fund to the ATO. The ATO receives 33 million such reports each year. </w:t>
      </w:r>
      <w:r w:rsidR="00A8739B">
        <w:t>G</w:t>
      </w:r>
      <w:r>
        <w:t>iven these inherent features</w:t>
      </w:r>
      <w:r w:rsidR="00A8739B">
        <w:t>,</w:t>
      </w:r>
      <w:r>
        <w:t xml:space="preserve"> the information set used by the ATO to identify non</w:t>
      </w:r>
      <w:r>
        <w:noBreakHyphen/>
        <w:t>compliance has an inbuilt lag and does not produce an adequate level of specificity to be confident in its utility.</w:t>
      </w:r>
    </w:p>
    <w:p w14:paraId="4E3D930B" w14:textId="77777777" w:rsidR="009E0F00" w:rsidRDefault="008429FE" w:rsidP="00224B95">
      <w:pPr>
        <w:pStyle w:val="ListParagraph"/>
        <w:keepNext/>
        <w:numPr>
          <w:ilvl w:val="1"/>
          <w:numId w:val="32"/>
        </w:numPr>
        <w:spacing w:line="360" w:lineRule="auto"/>
        <w:contextualSpacing w:val="0"/>
      </w:pPr>
      <w:r>
        <w:t xml:space="preserve">The superannuation guarantee system has remained relatively </w:t>
      </w:r>
      <w:r w:rsidR="00B412C7">
        <w:t xml:space="preserve">stable </w:t>
      </w:r>
      <w:r>
        <w:t>since its introduction in terms of its policy and regulatory frameworks. Notable changes include progressive increases to the rate of superannuation guarantee (from 3</w:t>
      </w:r>
      <w:r w:rsidR="00F90297">
        <w:t>.0</w:t>
      </w:r>
      <w:r w:rsidR="00990894">
        <w:t> </w:t>
      </w:r>
      <w:r>
        <w:t>per</w:t>
      </w:r>
      <w:r w:rsidR="00990894">
        <w:t> </w:t>
      </w:r>
      <w:r>
        <w:t>cent in 1992 to 9.5</w:t>
      </w:r>
      <w:r w:rsidR="00990894">
        <w:t> </w:t>
      </w:r>
      <w:r>
        <w:t>per</w:t>
      </w:r>
      <w:r w:rsidR="00990894">
        <w:t> </w:t>
      </w:r>
      <w:r>
        <w:t>cent today</w:t>
      </w:r>
      <w:r>
        <w:rPr>
          <w:rStyle w:val="FootnoteReference"/>
        </w:rPr>
        <w:footnoteReference w:id="7"/>
      </w:r>
      <w:r>
        <w:t>), the mandating of a quarterly payment cycle (in</w:t>
      </w:r>
      <w:r w:rsidR="00990894">
        <w:t> </w:t>
      </w:r>
      <w:r>
        <w:t xml:space="preserve">2002) and </w:t>
      </w:r>
      <w:r w:rsidR="00D448B6">
        <w:t xml:space="preserve">the introduction of choice </w:t>
      </w:r>
      <w:r>
        <w:t>(in</w:t>
      </w:r>
      <w:r w:rsidR="00990894">
        <w:t> </w:t>
      </w:r>
      <w:r>
        <w:t>2005).</w:t>
      </w:r>
    </w:p>
    <w:p w14:paraId="2B3EDE12" w14:textId="2697F2F7" w:rsidR="007430AD" w:rsidRDefault="007430AD" w:rsidP="00224B95">
      <w:pPr>
        <w:pStyle w:val="ListParagraph"/>
        <w:keepNext/>
        <w:numPr>
          <w:ilvl w:val="1"/>
          <w:numId w:val="32"/>
        </w:numPr>
        <w:spacing w:line="360" w:lineRule="auto"/>
        <w:contextualSpacing w:val="0"/>
      </w:pPr>
      <w:r>
        <w:t>Arising from the Cooper Review</w:t>
      </w:r>
      <w:r w:rsidR="00A8739B">
        <w:t>,</w:t>
      </w:r>
      <w:r>
        <w:rPr>
          <w:rStyle w:val="FootnoteReference"/>
        </w:rPr>
        <w:footnoteReference w:id="8"/>
      </w:r>
      <w:r w:rsidR="00990894">
        <w:t xml:space="preserve"> </w:t>
      </w:r>
      <w:r w:rsidR="00F46A77">
        <w:t xml:space="preserve">which examined the </w:t>
      </w:r>
      <w:r>
        <w:t>efficiency of the superannuation industry in dealing with the processing of superannuation contributions, r</w:t>
      </w:r>
      <w:r w:rsidR="00504AC4" w:rsidRPr="00504AC4">
        <w:t xml:space="preserve">ecent </w:t>
      </w:r>
      <w:r w:rsidR="00A8739B">
        <w:t>G</w:t>
      </w:r>
      <w:r w:rsidR="00504AC4" w:rsidRPr="00504AC4">
        <w:t xml:space="preserve">overnment reforms have sought to improve </w:t>
      </w:r>
      <w:r w:rsidR="00D448B6">
        <w:t>payment flows within the superannuation system</w:t>
      </w:r>
      <w:r w:rsidR="00504AC4" w:rsidRPr="00504AC4">
        <w:t xml:space="preserve">. </w:t>
      </w:r>
      <w:r w:rsidR="00EA05B0">
        <w:t>SuperStream</w:t>
      </w:r>
      <w:r w:rsidR="00B4321C">
        <w:t xml:space="preserve"> introduced</w:t>
      </w:r>
      <w:r w:rsidR="00504AC4" w:rsidRPr="00504AC4">
        <w:t xml:space="preserve"> standard electronic messaging from employers to an employee</w:t>
      </w:r>
      <w:r w:rsidR="00F46A77">
        <w:t>s’</w:t>
      </w:r>
      <w:r w:rsidR="00504AC4" w:rsidRPr="00504AC4">
        <w:t xml:space="preserve"> superannuation fund</w:t>
      </w:r>
      <w:r w:rsidR="00B4321C">
        <w:t>.</w:t>
      </w:r>
      <w:r w:rsidR="00B4321C" w:rsidRPr="00E37FE4">
        <w:rPr>
          <w:rStyle w:val="FootnoteReference"/>
        </w:rPr>
        <w:t xml:space="preserve"> </w:t>
      </w:r>
      <w:r w:rsidR="00E37FE4">
        <w:rPr>
          <w:rStyle w:val="FootnoteReference"/>
        </w:rPr>
        <w:footnoteReference w:id="9"/>
      </w:r>
    </w:p>
    <w:p w14:paraId="25DA208C" w14:textId="2B6B1AAB" w:rsidR="00F46A77" w:rsidRDefault="007430AD" w:rsidP="00224B95">
      <w:pPr>
        <w:pStyle w:val="ListParagraph"/>
        <w:keepNext/>
        <w:numPr>
          <w:ilvl w:val="1"/>
          <w:numId w:val="32"/>
        </w:numPr>
        <w:spacing w:line="360" w:lineRule="auto"/>
        <w:contextualSpacing w:val="0"/>
      </w:pPr>
      <w:r>
        <w:t>I</w:t>
      </w:r>
      <w:r w:rsidR="00DB096C">
        <w:t xml:space="preserve">n a </w:t>
      </w:r>
      <w:r w:rsidR="005453CC">
        <w:t>superannuation</w:t>
      </w:r>
      <w:r w:rsidR="00DB096C">
        <w:t xml:space="preserve"> system </w:t>
      </w:r>
      <w:r w:rsidR="00C9768D">
        <w:t>in which</w:t>
      </w:r>
      <w:r w:rsidR="00DB096C">
        <w:t xml:space="preserve"> $89.6 billion of </w:t>
      </w:r>
      <w:r w:rsidR="00C9768D">
        <w:t xml:space="preserve">superannuation </w:t>
      </w:r>
      <w:r w:rsidR="00DB096C">
        <w:t xml:space="preserve">contributions </w:t>
      </w:r>
      <w:r w:rsidR="00C9768D">
        <w:t>were made by employers</w:t>
      </w:r>
      <w:r w:rsidR="00DB096C">
        <w:t xml:space="preserve"> in 2015</w:t>
      </w:r>
      <w:r w:rsidR="00DB096C">
        <w:noBreakHyphen/>
        <w:t>16</w:t>
      </w:r>
      <w:r w:rsidR="00C9768D">
        <w:t xml:space="preserve">, </w:t>
      </w:r>
      <w:r w:rsidR="00A8739B">
        <w:t>SuperStream provides</w:t>
      </w:r>
      <w:r w:rsidR="00C9768D">
        <w:t xml:space="preserve"> about </w:t>
      </w:r>
      <w:r w:rsidR="007E1841">
        <w:t>11</w:t>
      </w:r>
      <w:r w:rsidR="00C9768D" w:rsidRPr="005A4573">
        <w:t> </w:t>
      </w:r>
      <w:r w:rsidR="00504AC4" w:rsidRPr="00131B30">
        <w:t>m</w:t>
      </w:r>
      <w:r w:rsidR="00C9768D" w:rsidRPr="007E1841">
        <w:t>illion</w:t>
      </w:r>
      <w:r w:rsidR="00504AC4" w:rsidRPr="007E1841">
        <w:t xml:space="preserve"> </w:t>
      </w:r>
      <w:r w:rsidR="00504AC4" w:rsidRPr="00504AC4">
        <w:t xml:space="preserve">employees </w:t>
      </w:r>
      <w:r w:rsidR="00A8739B">
        <w:t>with</w:t>
      </w:r>
      <w:r w:rsidR="00504AC4" w:rsidRPr="00504AC4">
        <w:t xml:space="preserve"> </w:t>
      </w:r>
      <w:r w:rsidR="00B4321C">
        <w:t xml:space="preserve">greater assurance that </w:t>
      </w:r>
      <w:r w:rsidR="00504AC4" w:rsidRPr="00504AC4">
        <w:t xml:space="preserve">their </w:t>
      </w:r>
      <w:r w:rsidR="00EA05B0" w:rsidRPr="00504AC4">
        <w:t>superannuation</w:t>
      </w:r>
      <w:r w:rsidR="00504AC4" w:rsidRPr="00504AC4">
        <w:t xml:space="preserve"> contributions are </w:t>
      </w:r>
      <w:r w:rsidR="00B4321C">
        <w:t xml:space="preserve">being paid </w:t>
      </w:r>
      <w:r w:rsidR="00504AC4" w:rsidRPr="00504AC4">
        <w:t xml:space="preserve">into </w:t>
      </w:r>
      <w:r w:rsidR="00B4321C">
        <w:t>the correct fund</w:t>
      </w:r>
      <w:r w:rsidR="00504AC4" w:rsidRPr="00504AC4">
        <w:t xml:space="preserve"> </w:t>
      </w:r>
      <w:r w:rsidR="00B4321C">
        <w:t>on a timely basis.</w:t>
      </w:r>
    </w:p>
    <w:p w14:paraId="37833FAC" w14:textId="77777777" w:rsidR="006449EC" w:rsidRDefault="006449EC" w:rsidP="00224B95">
      <w:pPr>
        <w:pStyle w:val="ListParagraph"/>
        <w:keepNext/>
        <w:spacing w:line="360" w:lineRule="auto"/>
        <w:ind w:left="567"/>
        <w:contextualSpacing w:val="0"/>
        <w:rPr>
          <w:b/>
        </w:rPr>
      </w:pPr>
    </w:p>
    <w:p w14:paraId="3C1F63B1" w14:textId="46EAE8F6" w:rsidR="00794F41" w:rsidRDefault="00F46A77" w:rsidP="00224B95">
      <w:pPr>
        <w:pStyle w:val="ListParagraph"/>
        <w:keepNext/>
        <w:spacing w:line="360" w:lineRule="auto"/>
        <w:ind w:left="567"/>
        <w:contextualSpacing w:val="0"/>
      </w:pPr>
      <w:r>
        <w:rPr>
          <w:b/>
        </w:rPr>
        <w:t xml:space="preserve">Table: Total </w:t>
      </w:r>
      <w:r w:rsidR="00281588">
        <w:rPr>
          <w:b/>
        </w:rPr>
        <w:t xml:space="preserve">amount </w:t>
      </w:r>
      <w:r>
        <w:rPr>
          <w:b/>
        </w:rPr>
        <w:t xml:space="preserve">of employer contributions </w:t>
      </w:r>
      <w:r>
        <w:t>(source: APRA)</w:t>
      </w:r>
      <w:r>
        <w:rPr>
          <w:rStyle w:val="FootnoteReference"/>
        </w:rPr>
        <w:footnoteReference w:id="10"/>
      </w:r>
    </w:p>
    <w:p w14:paraId="1B40460F" w14:textId="77777777" w:rsidR="00794F41" w:rsidRDefault="00794F41" w:rsidP="00F71EF8">
      <w:pPr>
        <w:spacing w:line="360" w:lineRule="auto"/>
        <w:jc w:val="center"/>
      </w:pPr>
      <w:r w:rsidRPr="00C01984">
        <w:rPr>
          <w:noProof/>
          <w:lang w:eastAsia="en-AU"/>
        </w:rPr>
        <w:drawing>
          <wp:inline distT="0" distB="0" distL="0" distR="0" wp14:anchorId="549E4C59" wp14:editId="57E3CD72">
            <wp:extent cx="4730906" cy="2780017"/>
            <wp:effectExtent l="0" t="0" r="0" b="190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4730906" cy="2780017"/>
                    </a:xfrm>
                    <a:prstGeom prst="rect">
                      <a:avLst/>
                    </a:prstGeom>
                  </pic:spPr>
                </pic:pic>
              </a:graphicData>
            </a:graphic>
          </wp:inline>
        </w:drawing>
      </w:r>
    </w:p>
    <w:p w14:paraId="0BCC6F3D" w14:textId="77777777" w:rsidR="00567E55" w:rsidRDefault="00567E55" w:rsidP="00224B95">
      <w:pPr>
        <w:spacing w:line="360" w:lineRule="auto"/>
      </w:pPr>
    </w:p>
    <w:p w14:paraId="3CD43D12" w14:textId="3CF81336" w:rsidR="00567E55" w:rsidRDefault="00567E55" w:rsidP="00567E55">
      <w:pPr>
        <w:pStyle w:val="ListParagraph"/>
        <w:keepNext/>
        <w:numPr>
          <w:ilvl w:val="1"/>
          <w:numId w:val="32"/>
        </w:numPr>
        <w:spacing w:line="360" w:lineRule="auto"/>
        <w:contextualSpacing w:val="0"/>
      </w:pPr>
      <w:r>
        <w:t>For the December 2016 quarter</w:t>
      </w:r>
      <w:r w:rsidR="006449EC">
        <w:t>,</w:t>
      </w:r>
      <w:r>
        <w:t xml:space="preserve"> some 34 million contributions transactions were made to funds</w:t>
      </w:r>
      <w:r w:rsidR="006449EC">
        <w:t>,</w:t>
      </w:r>
      <w:r>
        <w:t xml:space="preserve"> with 95.6 per cent being made through SuperStream. </w:t>
      </w:r>
      <w:r w:rsidR="0092589B">
        <w:t xml:space="preserve">This </w:t>
      </w:r>
      <w:r>
        <w:t xml:space="preserve">move to </w:t>
      </w:r>
      <w:r w:rsidRPr="00504AC4">
        <w:t>standard electronic messaging</w:t>
      </w:r>
      <w:r>
        <w:t xml:space="preserve">, supported by the use of </w:t>
      </w:r>
      <w:r w:rsidR="005453CC">
        <w:t>the employee’s</w:t>
      </w:r>
      <w:r>
        <w:t xml:space="preserve"> Tax File Number</w:t>
      </w:r>
      <w:r w:rsidR="0092589B">
        <w:t xml:space="preserve"> as a key</w:t>
      </w:r>
      <w:r>
        <w:t xml:space="preserve"> identifier, has increased the level of confidence </w:t>
      </w:r>
      <w:r w:rsidR="0092589B">
        <w:t>for</w:t>
      </w:r>
      <w:r>
        <w:t xml:space="preserve"> employees that their superannuation payments have reached their superannuation </w:t>
      </w:r>
      <w:r w:rsidR="0092589B">
        <w:t>fund</w:t>
      </w:r>
      <w:r>
        <w:t xml:space="preserve"> within days of it being sent by their employer.</w:t>
      </w:r>
    </w:p>
    <w:p w14:paraId="3AE30E44" w14:textId="77777777" w:rsidR="006449EC" w:rsidRDefault="006449EC">
      <w:pPr>
        <w:spacing w:line="360" w:lineRule="auto"/>
        <w:ind w:left="567"/>
        <w:rPr>
          <w:b/>
        </w:rPr>
      </w:pPr>
    </w:p>
    <w:p w14:paraId="3537A113" w14:textId="77777777" w:rsidR="004C7DFF" w:rsidRDefault="004C7DFF">
      <w:pPr>
        <w:spacing w:line="360" w:lineRule="auto"/>
        <w:ind w:left="567"/>
      </w:pPr>
      <w:r>
        <w:rPr>
          <w:b/>
        </w:rPr>
        <w:t>Table: Employer conformance – rate</w:t>
      </w:r>
      <w:r w:rsidR="00AE0281">
        <w:rPr>
          <w:b/>
        </w:rPr>
        <w:t xml:space="preserve"> of transactions non</w:t>
      </w:r>
      <w:r w:rsidR="00AE0281">
        <w:rPr>
          <w:b/>
        </w:rPr>
        <w:noBreakHyphen/>
        <w:t>complying with SuperStream</w:t>
      </w:r>
      <w:r w:rsidR="0092589B">
        <w:rPr>
          <w:b/>
        </w:rPr>
        <w:t xml:space="preserve"> (source: ATO)</w:t>
      </w:r>
    </w:p>
    <w:p w14:paraId="322B1EF5" w14:textId="77777777" w:rsidR="004C7DFF" w:rsidRDefault="004C7DFF" w:rsidP="00224B95">
      <w:pPr>
        <w:spacing w:line="360" w:lineRule="auto"/>
        <w:jc w:val="center"/>
      </w:pPr>
      <w:r>
        <w:rPr>
          <w:rFonts w:ascii="Times" w:hAnsi="Times" w:cs="Times"/>
          <w:noProof/>
          <w:color w:val="18376A"/>
          <w:sz w:val="30"/>
          <w:szCs w:val="30"/>
          <w:lang w:eastAsia="en-AU"/>
        </w:rPr>
        <w:drawing>
          <wp:inline distT="0" distB="0" distL="0" distR="0" wp14:anchorId="594D6375" wp14:editId="08ED5F91">
            <wp:extent cx="4966970" cy="3021330"/>
            <wp:effectExtent l="0" t="0" r="508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966970" cy="3021330"/>
                    </a:xfrm>
                    <a:prstGeom prst="rect">
                      <a:avLst/>
                    </a:prstGeom>
                    <a:noFill/>
                    <a:ln>
                      <a:noFill/>
                    </a:ln>
                  </pic:spPr>
                </pic:pic>
              </a:graphicData>
            </a:graphic>
          </wp:inline>
        </w:drawing>
      </w:r>
    </w:p>
    <w:p w14:paraId="681ECD7A" w14:textId="77777777" w:rsidR="001D4BAA" w:rsidRDefault="001D4BAA" w:rsidP="00224B95">
      <w:pPr>
        <w:spacing w:line="360" w:lineRule="auto"/>
        <w:jc w:val="center"/>
      </w:pPr>
    </w:p>
    <w:p w14:paraId="12DE20D0" w14:textId="77777777" w:rsidR="00B4321C" w:rsidRPr="008E2C85" w:rsidRDefault="00B4321C" w:rsidP="00224B95">
      <w:pPr>
        <w:pStyle w:val="ListParagraph"/>
        <w:keepNext/>
        <w:numPr>
          <w:ilvl w:val="1"/>
          <w:numId w:val="32"/>
        </w:numPr>
        <w:spacing w:line="360" w:lineRule="auto"/>
        <w:contextualSpacing w:val="0"/>
      </w:pPr>
      <w:r w:rsidRPr="00F90297">
        <w:t xml:space="preserve">The next stage of reform is the implementation of Single Touch Payroll. </w:t>
      </w:r>
      <w:r w:rsidRPr="008E2C85">
        <w:t>This has the potential to significantly improve the visibility of superannuation guarantee obligations</w:t>
      </w:r>
      <w:r w:rsidR="00CA5618">
        <w:t>.</w:t>
      </w:r>
      <w:r w:rsidRPr="008E2C85">
        <w:t xml:space="preserve"> </w:t>
      </w:r>
      <w:r>
        <w:t>It brings with it the potential for substantially</w:t>
      </w:r>
      <w:r w:rsidRPr="008E2C85">
        <w:t xml:space="preserve"> improve</w:t>
      </w:r>
      <w:r>
        <w:t>d</w:t>
      </w:r>
      <w:r w:rsidRPr="008E2C85">
        <w:t xml:space="preserve"> data analysis to identify patterns of non</w:t>
      </w:r>
      <w:r w:rsidR="00E115B7">
        <w:noBreakHyphen/>
      </w:r>
      <w:r w:rsidRPr="008E2C85">
        <w:t>compliance and continue to reduce red tape for employers and build on natural business processes.</w:t>
      </w:r>
    </w:p>
    <w:p w14:paraId="2DDC760F" w14:textId="0DD0FA99" w:rsidR="005453CC" w:rsidRDefault="00A4434B" w:rsidP="00224B95">
      <w:pPr>
        <w:pStyle w:val="ListParagraph"/>
        <w:keepNext/>
        <w:numPr>
          <w:ilvl w:val="1"/>
          <w:numId w:val="32"/>
        </w:numPr>
        <w:spacing w:line="360" w:lineRule="auto"/>
        <w:contextualSpacing w:val="0"/>
      </w:pPr>
      <w:r>
        <w:t>As a free safety net for small business</w:t>
      </w:r>
      <w:r w:rsidR="003F4770">
        <w:rPr>
          <w:rStyle w:val="FootnoteReference"/>
        </w:rPr>
        <w:footnoteReference w:id="11"/>
      </w:r>
      <w:r>
        <w:t xml:space="preserve">, </w:t>
      </w:r>
      <w:r w:rsidR="005453CC">
        <w:t xml:space="preserve">to support electronic messaging, </w:t>
      </w:r>
      <w:r>
        <w:t xml:space="preserve">the </w:t>
      </w:r>
      <w:r w:rsidR="00715386">
        <w:t>ATO operates the Small Business Superannuation Clearing House</w:t>
      </w:r>
      <w:r w:rsidR="00E115B7">
        <w:t xml:space="preserve">. </w:t>
      </w:r>
      <w:r w:rsidR="00D15977">
        <w:t xml:space="preserve">It </w:t>
      </w:r>
      <w:r>
        <w:t>assist</w:t>
      </w:r>
      <w:r w:rsidR="00D15977">
        <w:t>s</w:t>
      </w:r>
      <w:r>
        <w:t xml:space="preserve"> </w:t>
      </w:r>
      <w:r w:rsidR="003F4770">
        <w:t>employers</w:t>
      </w:r>
      <w:r>
        <w:t xml:space="preserve"> meet their superannuation guarantee obligations, and reduce</w:t>
      </w:r>
      <w:r w:rsidR="00D15977">
        <w:t>s</w:t>
      </w:r>
      <w:r>
        <w:t xml:space="preserve"> red tape and compliance costs</w:t>
      </w:r>
      <w:r w:rsidR="00D15977">
        <w:t>.</w:t>
      </w:r>
      <w:r>
        <w:t xml:space="preserve"> </w:t>
      </w:r>
      <w:r w:rsidR="00715386">
        <w:t>It enable</w:t>
      </w:r>
      <w:r w:rsidR="00E115B7">
        <w:t>s</w:t>
      </w:r>
      <w:r w:rsidR="00715386">
        <w:t xml:space="preserve"> the</w:t>
      </w:r>
      <w:r w:rsidR="005B2B86">
        <w:t>se employers</w:t>
      </w:r>
      <w:r w:rsidR="00715386">
        <w:t xml:space="preserve"> to pay their </w:t>
      </w:r>
      <w:r w:rsidR="00715386" w:rsidRPr="001C2D78">
        <w:t>superannuation guarantee contributions as a single electronic payment.</w:t>
      </w:r>
    </w:p>
    <w:p w14:paraId="2A7BC0F3" w14:textId="77777777" w:rsidR="0050302F" w:rsidRPr="008E2C85" w:rsidRDefault="0050302F" w:rsidP="0050302F">
      <w:pPr>
        <w:keepNext/>
        <w:spacing w:line="360" w:lineRule="auto"/>
      </w:pPr>
    </w:p>
    <w:p w14:paraId="5E2109AD" w14:textId="77777777" w:rsidR="0050302F" w:rsidRDefault="0050302F" w:rsidP="0050302F">
      <w:pPr>
        <w:spacing w:line="360" w:lineRule="auto"/>
      </w:pPr>
    </w:p>
    <w:p w14:paraId="6D256CE4" w14:textId="13E302CC" w:rsidR="00715386" w:rsidRPr="00796D70" w:rsidRDefault="00E115B7" w:rsidP="00224B95">
      <w:pPr>
        <w:pStyle w:val="ListParagraph"/>
        <w:keepNext/>
        <w:numPr>
          <w:ilvl w:val="1"/>
          <w:numId w:val="32"/>
        </w:numPr>
        <w:spacing w:line="360" w:lineRule="auto"/>
        <w:contextualSpacing w:val="0"/>
      </w:pPr>
      <w:r>
        <w:t>O</w:t>
      </w:r>
      <w:r w:rsidR="00715386" w:rsidRPr="001C2D78">
        <w:t>ver 2</w:t>
      </w:r>
      <w:r w:rsidR="007A6AA3">
        <w:t>66</w:t>
      </w:r>
      <w:r w:rsidR="001C2D78">
        <w:t>,</w:t>
      </w:r>
      <w:r w:rsidR="00715386" w:rsidRPr="001C2D78">
        <w:t>000</w:t>
      </w:r>
      <w:r w:rsidR="005453CC">
        <w:t xml:space="preserve"> small business </w:t>
      </w:r>
      <w:r w:rsidR="00715386" w:rsidRPr="001C2D78">
        <w:t>employers</w:t>
      </w:r>
      <w:r w:rsidR="00715386" w:rsidRPr="001C2D78">
        <w:rPr>
          <w:rStyle w:val="FootnoteReference"/>
        </w:rPr>
        <w:footnoteReference w:id="12"/>
      </w:r>
      <w:r w:rsidR="00715386" w:rsidRPr="001C2D78">
        <w:t xml:space="preserve"> </w:t>
      </w:r>
      <w:r>
        <w:t xml:space="preserve">are </w:t>
      </w:r>
      <w:r w:rsidR="00715386" w:rsidRPr="001C2D78">
        <w:t xml:space="preserve">registered to use the clearing house </w:t>
      </w:r>
      <w:r w:rsidR="00796D70" w:rsidRPr="001C2D78">
        <w:t xml:space="preserve">on behalf of just under 2 million employees. In the </w:t>
      </w:r>
      <w:r w:rsidR="001C2D78" w:rsidRPr="001C2D78">
        <w:t>year</w:t>
      </w:r>
      <w:r w:rsidR="00796D70" w:rsidRPr="001C2D78">
        <w:t xml:space="preserve"> ending 30 June</w:t>
      </w:r>
      <w:r>
        <w:t xml:space="preserve"> </w:t>
      </w:r>
      <w:r w:rsidR="00796D70" w:rsidRPr="001C2D78">
        <w:t>2016</w:t>
      </w:r>
      <w:r w:rsidR="00AE199F">
        <w:t>,</w:t>
      </w:r>
      <w:r w:rsidR="00796D70" w:rsidRPr="001C2D78">
        <w:t xml:space="preserve"> </w:t>
      </w:r>
      <w:r w:rsidR="005453CC">
        <w:t>the clearing house</w:t>
      </w:r>
      <w:r w:rsidR="005453CC" w:rsidRPr="001C2D78">
        <w:t xml:space="preserve"> </w:t>
      </w:r>
      <w:r w:rsidR="00796D70" w:rsidRPr="001C2D78">
        <w:t>processed</w:t>
      </w:r>
      <w:r w:rsidR="001C2D78" w:rsidRPr="001C2D78">
        <w:t xml:space="preserve"> </w:t>
      </w:r>
      <w:r w:rsidR="007A6AA3">
        <w:t>3</w:t>
      </w:r>
      <w:r w:rsidR="001C2D78" w:rsidRPr="001C2D78">
        <w:t>.9</w:t>
      </w:r>
      <w:r w:rsidR="00796D70" w:rsidRPr="001C2D78">
        <w:t> million payments totall</w:t>
      </w:r>
      <w:r w:rsidR="00D15977">
        <w:t>ing</w:t>
      </w:r>
      <w:r w:rsidR="00796D70" w:rsidRPr="001C2D78">
        <w:t xml:space="preserve"> around $</w:t>
      </w:r>
      <w:r w:rsidR="007A6AA3">
        <w:t>2.</w:t>
      </w:r>
      <w:r w:rsidR="001C2D78" w:rsidRPr="001C2D78">
        <w:t>3</w:t>
      </w:r>
      <w:r w:rsidR="00796D70" w:rsidRPr="001C2D78">
        <w:t> billion.</w:t>
      </w:r>
      <w:r w:rsidR="00796D70" w:rsidRPr="00131B30">
        <w:t xml:space="preserve"> This</w:t>
      </w:r>
      <w:r w:rsidR="00796D70" w:rsidRPr="00796D70">
        <w:t xml:space="preserve"> </w:t>
      </w:r>
      <w:r w:rsidR="00796D70">
        <w:t xml:space="preserve">service assists a notable proportion of </w:t>
      </w:r>
      <w:r w:rsidR="00FC70C7">
        <w:t xml:space="preserve">small business </w:t>
      </w:r>
      <w:r w:rsidR="00D15977">
        <w:t>employers comply with their superannuation guarantee obligations</w:t>
      </w:r>
      <w:r w:rsidR="00FC70C7">
        <w:t>.</w:t>
      </w:r>
    </w:p>
    <w:p w14:paraId="4FCF4829" w14:textId="77777777" w:rsidR="008429FE" w:rsidRDefault="00532C6A" w:rsidP="00532C6A">
      <w:pPr>
        <w:pStyle w:val="Heading2"/>
      </w:pPr>
      <w:bookmarkStart w:id="113" w:name="_Toc478485966"/>
      <w:bookmarkStart w:id="114" w:name="_Toc478501975"/>
      <w:bookmarkStart w:id="115" w:name="_Toc478651956"/>
      <w:bookmarkStart w:id="116" w:name="_Toc478654417"/>
      <w:bookmarkStart w:id="117" w:name="_Toc478655131"/>
      <w:bookmarkStart w:id="118" w:name="_Toc478656385"/>
      <w:bookmarkStart w:id="119" w:name="_Toc478657636"/>
      <w:bookmarkStart w:id="120" w:name="_Toc478718232"/>
      <w:bookmarkStart w:id="121" w:name="_Toc478718442"/>
      <w:bookmarkStart w:id="122" w:name="_Toc478738391"/>
      <w:bookmarkStart w:id="123" w:name="_Toc478740677"/>
      <w:r>
        <w:t>Characteristics and incidence of non</w:t>
      </w:r>
      <w:r>
        <w:noBreakHyphen/>
        <w:t>compliance</w:t>
      </w:r>
      <w:bookmarkEnd w:id="113"/>
      <w:bookmarkEnd w:id="114"/>
      <w:bookmarkEnd w:id="115"/>
      <w:bookmarkEnd w:id="116"/>
      <w:bookmarkEnd w:id="117"/>
      <w:bookmarkEnd w:id="118"/>
      <w:bookmarkEnd w:id="119"/>
      <w:bookmarkEnd w:id="120"/>
      <w:bookmarkEnd w:id="121"/>
      <w:bookmarkEnd w:id="122"/>
      <w:bookmarkEnd w:id="123"/>
      <w:r>
        <w:t xml:space="preserve"> </w:t>
      </w:r>
    </w:p>
    <w:p w14:paraId="5E1024EF" w14:textId="77777777" w:rsidR="00E77FEF" w:rsidRDefault="00E77FEF" w:rsidP="00224B95">
      <w:pPr>
        <w:pStyle w:val="ListParagraph"/>
        <w:keepNext/>
        <w:numPr>
          <w:ilvl w:val="1"/>
          <w:numId w:val="32"/>
        </w:numPr>
        <w:spacing w:line="360" w:lineRule="auto"/>
        <w:contextualSpacing w:val="0"/>
      </w:pPr>
      <w:r>
        <w:t>Non</w:t>
      </w:r>
      <w:r>
        <w:noBreakHyphen/>
        <w:t>compliance by employers occur</w:t>
      </w:r>
      <w:r w:rsidR="005453CC">
        <w:t>s</w:t>
      </w:r>
      <w:r>
        <w:t xml:space="preserve"> when employers fail to make the correct superannuation guarantee contributions on time for their employees. This can be because of an honest mistake through to intentional avoidance</w:t>
      </w:r>
      <w:r w:rsidR="005453CC">
        <w:t>.</w:t>
      </w:r>
      <w:r>
        <w:rPr>
          <w:rStyle w:val="FootnoteReference"/>
        </w:rPr>
        <w:footnoteReference w:id="13"/>
      </w:r>
      <w:r>
        <w:t xml:space="preserve"> </w:t>
      </w:r>
      <w:r w:rsidR="005453CC">
        <w:t xml:space="preserve">Behaviours </w:t>
      </w:r>
      <w:r>
        <w:t xml:space="preserve">can be influenced by the nature of </w:t>
      </w:r>
      <w:r w:rsidR="005453CC">
        <w:t xml:space="preserve">a </w:t>
      </w:r>
      <w:r>
        <w:t xml:space="preserve">business; the size of </w:t>
      </w:r>
      <w:r w:rsidR="005453CC">
        <w:t xml:space="preserve">a </w:t>
      </w:r>
      <w:r>
        <w:t>business</w:t>
      </w:r>
      <w:r w:rsidRPr="00630D4E">
        <w:t xml:space="preserve"> </w:t>
      </w:r>
      <w:r>
        <w:t>and cash flow</w:t>
      </w:r>
      <w:r w:rsidR="005453CC">
        <w:t xml:space="preserve"> management</w:t>
      </w:r>
      <w:r w:rsidR="00ED2BD8">
        <w:t>.</w:t>
      </w:r>
    </w:p>
    <w:p w14:paraId="2C65CF13" w14:textId="1405E366" w:rsidR="00E77FEF" w:rsidRDefault="00E77FEF" w:rsidP="00224B95">
      <w:pPr>
        <w:pStyle w:val="ListParagraph"/>
        <w:keepNext/>
        <w:numPr>
          <w:ilvl w:val="1"/>
          <w:numId w:val="32"/>
        </w:numPr>
        <w:spacing w:line="360" w:lineRule="auto"/>
        <w:contextualSpacing w:val="0"/>
      </w:pPr>
      <w:r>
        <w:t>Non-compliance is typically not spread evenly across the employer population. ATO compliance data shows it is more prevalent in small and micro businesses and in certain industries</w:t>
      </w:r>
      <w:r w:rsidRPr="001E06F5">
        <w:t>.</w:t>
      </w:r>
      <w:r w:rsidR="00AE199F" w:rsidRPr="00AE199F">
        <w:rPr>
          <w:rStyle w:val="FootnoteReference"/>
        </w:rPr>
        <w:t xml:space="preserve"> </w:t>
      </w:r>
      <w:r w:rsidR="00AE199F">
        <w:rPr>
          <w:rStyle w:val="FootnoteReference"/>
        </w:rPr>
        <w:footnoteReference w:id="14"/>
      </w:r>
    </w:p>
    <w:p w14:paraId="58C5D51B" w14:textId="77777777" w:rsidR="007D735D" w:rsidRDefault="002775A8" w:rsidP="00224B95">
      <w:pPr>
        <w:pStyle w:val="ListParagraph"/>
        <w:keepNext/>
        <w:numPr>
          <w:ilvl w:val="1"/>
          <w:numId w:val="32"/>
        </w:numPr>
        <w:spacing w:line="360" w:lineRule="auto"/>
        <w:contextualSpacing w:val="0"/>
      </w:pPr>
      <w:r>
        <w:t>Such inciden</w:t>
      </w:r>
      <w:r w:rsidR="007D735D">
        <w:t>ce of non</w:t>
      </w:r>
      <w:r w:rsidR="00C07E85">
        <w:noBreakHyphen/>
      </w:r>
      <w:r w:rsidR="007D735D">
        <w:t>compliance</w:t>
      </w:r>
      <w:r w:rsidR="00F54DA2">
        <w:t>,</w:t>
      </w:r>
      <w:r w:rsidR="007D735D">
        <w:t xml:space="preserve"> while perhaps small in relative terms</w:t>
      </w:r>
      <w:r w:rsidR="00F54DA2">
        <w:t>,</w:t>
      </w:r>
      <w:r w:rsidR="007D735D">
        <w:t xml:space="preserve"> has a very personal impact on </w:t>
      </w:r>
      <w:r>
        <w:t>employees</w:t>
      </w:r>
      <w:r w:rsidR="007D735D">
        <w:t xml:space="preserve"> who are not paid the correct amount of </w:t>
      </w:r>
      <w:r>
        <w:t>superannuation</w:t>
      </w:r>
      <w:r w:rsidR="007D735D">
        <w:t xml:space="preserve"> guarantee. It reduces </w:t>
      </w:r>
      <w:r w:rsidR="00D15977">
        <w:t xml:space="preserve">their </w:t>
      </w:r>
      <w:r w:rsidR="007D735D">
        <w:t>retirement income and diminishes community confidence in the system overall.</w:t>
      </w:r>
    </w:p>
    <w:p w14:paraId="388D5868" w14:textId="77777777" w:rsidR="00D15977" w:rsidRDefault="00D15977" w:rsidP="00224B95">
      <w:pPr>
        <w:pStyle w:val="Heading3"/>
      </w:pPr>
      <w:r>
        <w:t xml:space="preserve">Estimating the size of non-compliance </w:t>
      </w:r>
    </w:p>
    <w:p w14:paraId="21856154" w14:textId="77777777" w:rsidR="007D735D" w:rsidRDefault="007D735D" w:rsidP="00224B95">
      <w:pPr>
        <w:pStyle w:val="ListParagraph"/>
        <w:keepNext/>
        <w:numPr>
          <w:ilvl w:val="1"/>
          <w:numId w:val="32"/>
        </w:numPr>
        <w:spacing w:line="360" w:lineRule="auto"/>
        <w:contextualSpacing w:val="0"/>
      </w:pPr>
      <w:r>
        <w:t xml:space="preserve">The ATO is committed to estimating tax </w:t>
      </w:r>
      <w:r w:rsidR="00F54DA2">
        <w:t>‘</w:t>
      </w:r>
      <w:r>
        <w:t>gaps</w:t>
      </w:r>
      <w:r w:rsidR="00F54DA2">
        <w:t>’</w:t>
      </w:r>
      <w:r>
        <w:t xml:space="preserve"> for the taxes it administers. Tax gap estimates are important for the ATO to understand compliance, inform its resource allocation and assess the effectiveness of its work </w:t>
      </w:r>
      <w:r w:rsidR="00D15977">
        <w:t>over</w:t>
      </w:r>
      <w:r w:rsidR="00C44854">
        <w:t xml:space="preserve"> </w:t>
      </w:r>
      <w:r w:rsidR="00D15977">
        <w:t>time</w:t>
      </w:r>
      <w:r w:rsidR="00B47205">
        <w:t xml:space="preserve"> against a trend benchmark</w:t>
      </w:r>
      <w:r>
        <w:t>.</w:t>
      </w:r>
    </w:p>
    <w:p w14:paraId="14F39B4D" w14:textId="40F17F4B" w:rsidR="007D735D" w:rsidRDefault="007D735D" w:rsidP="00224B95">
      <w:pPr>
        <w:pStyle w:val="ListParagraph"/>
        <w:keepNext/>
        <w:numPr>
          <w:ilvl w:val="1"/>
          <w:numId w:val="32"/>
        </w:numPr>
        <w:spacing w:line="360" w:lineRule="auto"/>
        <w:contextualSpacing w:val="0"/>
      </w:pPr>
      <w:r>
        <w:t>Estimating tax gaps generally</w:t>
      </w:r>
      <w:r w:rsidR="0073152E">
        <w:t>,</w:t>
      </w:r>
      <w:r>
        <w:t xml:space="preserve"> and the superannuation guarantee gap in particular</w:t>
      </w:r>
      <w:r w:rsidR="0073152E">
        <w:t>,</w:t>
      </w:r>
      <w:r>
        <w:t xml:space="preserve"> is consistent with contemporary international best practice in tax administration</w:t>
      </w:r>
      <w:r w:rsidR="005453CC">
        <w:t>. T</w:t>
      </w:r>
      <w:r>
        <w:t xml:space="preserve">here has been a strong interest over recent years from Parliamentary </w:t>
      </w:r>
      <w:r w:rsidR="00AE199F">
        <w:t>C</w:t>
      </w:r>
      <w:r>
        <w:t>ommittees and other stakeholders for the ATO to undertake tax gap estimates.</w:t>
      </w:r>
    </w:p>
    <w:p w14:paraId="60998CE5" w14:textId="5FA2A8F2" w:rsidR="007D735D" w:rsidRPr="00AE199F" w:rsidRDefault="005453CC" w:rsidP="00224B95">
      <w:pPr>
        <w:pStyle w:val="ListParagraph"/>
        <w:keepNext/>
        <w:numPr>
          <w:ilvl w:val="1"/>
          <w:numId w:val="32"/>
        </w:numPr>
        <w:spacing w:line="360" w:lineRule="auto"/>
        <w:contextualSpacing w:val="0"/>
      </w:pPr>
      <w:r>
        <w:t>T</w:t>
      </w:r>
      <w:r w:rsidR="007D735D">
        <w:t>he ATO is seeking to complete a credible and reliable estimate of the superannuation gap</w:t>
      </w:r>
      <w:r w:rsidR="0073152E">
        <w:t>,</w:t>
      </w:r>
      <w:r w:rsidR="007D735D">
        <w:t xml:space="preserve"> but at this stage it is not completed. One of the </w:t>
      </w:r>
      <w:r w:rsidR="007D735D" w:rsidRPr="00AE199F">
        <w:t xml:space="preserve">contributing factors is the </w:t>
      </w:r>
      <w:r w:rsidR="00F54DA2" w:rsidRPr="00AE199F">
        <w:t>lack</w:t>
      </w:r>
      <w:r w:rsidR="007D735D" w:rsidRPr="00AE199F">
        <w:t xml:space="preserve"> of real time visibility on reports of no</w:t>
      </w:r>
      <w:r w:rsidR="0073152E" w:rsidRPr="00AE199F">
        <w:t>n</w:t>
      </w:r>
      <w:r w:rsidR="0073152E" w:rsidRPr="00AE199F">
        <w:noBreakHyphen/>
      </w:r>
      <w:r w:rsidR="007D735D" w:rsidRPr="00AE199F">
        <w:t>compliance or pattern</w:t>
      </w:r>
      <w:r w:rsidR="007D735D" w:rsidRPr="00731F09">
        <w:t xml:space="preserve">s of </w:t>
      </w:r>
      <w:r w:rsidR="00F54DA2" w:rsidRPr="00226E1D">
        <w:t>payments</w:t>
      </w:r>
      <w:r w:rsidR="007D735D" w:rsidRPr="00226E1D">
        <w:t xml:space="preserve">. </w:t>
      </w:r>
      <w:r w:rsidR="002316A2" w:rsidRPr="00F71EF8">
        <w:t>For further detail</w:t>
      </w:r>
      <w:r w:rsidR="00AE199F">
        <w:t>s</w:t>
      </w:r>
      <w:r w:rsidR="002316A2" w:rsidRPr="00F71EF8">
        <w:t xml:space="preserve"> refer </w:t>
      </w:r>
      <w:r w:rsidR="00F54DA2" w:rsidRPr="00F71EF8">
        <w:rPr>
          <w:b/>
        </w:rPr>
        <w:t xml:space="preserve">Appendix </w:t>
      </w:r>
      <w:r w:rsidR="0073152E" w:rsidRPr="00F71EF8">
        <w:rPr>
          <w:b/>
        </w:rPr>
        <w:t>C</w:t>
      </w:r>
      <w:r w:rsidR="00F54DA2" w:rsidRPr="00F71EF8">
        <w:t>.</w:t>
      </w:r>
    </w:p>
    <w:p w14:paraId="7DBF28AB" w14:textId="77777777" w:rsidR="00BD56D3" w:rsidRDefault="00BD56D3" w:rsidP="00BD56D3">
      <w:pPr>
        <w:pStyle w:val="Heading2"/>
      </w:pPr>
      <w:bookmarkStart w:id="124" w:name="_Toc478485967"/>
      <w:bookmarkStart w:id="125" w:name="_Toc478501976"/>
      <w:bookmarkStart w:id="126" w:name="_Toc478651957"/>
      <w:bookmarkStart w:id="127" w:name="_Toc478654418"/>
      <w:bookmarkStart w:id="128" w:name="_Toc478655132"/>
      <w:bookmarkStart w:id="129" w:name="_Toc478656386"/>
      <w:bookmarkStart w:id="130" w:name="_Toc478657637"/>
      <w:bookmarkStart w:id="131" w:name="_Toc478718233"/>
      <w:bookmarkStart w:id="132" w:name="_Toc478718443"/>
      <w:bookmarkStart w:id="133" w:name="_Toc478738392"/>
      <w:bookmarkStart w:id="134" w:name="_Toc478740678"/>
      <w:r>
        <w:t>Identifying and dealing with non</w:t>
      </w:r>
      <w:r>
        <w:noBreakHyphen/>
        <w:t>compliance</w:t>
      </w:r>
      <w:bookmarkEnd w:id="124"/>
      <w:bookmarkEnd w:id="125"/>
      <w:bookmarkEnd w:id="126"/>
      <w:bookmarkEnd w:id="127"/>
      <w:bookmarkEnd w:id="128"/>
      <w:bookmarkEnd w:id="129"/>
      <w:bookmarkEnd w:id="130"/>
      <w:bookmarkEnd w:id="131"/>
      <w:bookmarkEnd w:id="132"/>
      <w:bookmarkEnd w:id="133"/>
      <w:bookmarkEnd w:id="134"/>
    </w:p>
    <w:p w14:paraId="29883583" w14:textId="77777777" w:rsidR="00366630" w:rsidRDefault="007D735D" w:rsidP="00224B95">
      <w:pPr>
        <w:pStyle w:val="ListParagraph"/>
        <w:keepNext/>
        <w:numPr>
          <w:ilvl w:val="1"/>
          <w:numId w:val="32"/>
        </w:numPr>
        <w:spacing w:line="360" w:lineRule="auto"/>
        <w:contextualSpacing w:val="0"/>
      </w:pPr>
      <w:r>
        <w:t xml:space="preserve">The </w:t>
      </w:r>
      <w:r w:rsidR="004E4154">
        <w:t xml:space="preserve">Working Group notes that the </w:t>
      </w:r>
      <w:r>
        <w:t xml:space="preserve">ATO </w:t>
      </w:r>
      <w:r w:rsidR="004B314C">
        <w:t>under</w:t>
      </w:r>
      <w:r>
        <w:t>take</w:t>
      </w:r>
      <w:r w:rsidR="00275B82">
        <w:t>s</w:t>
      </w:r>
      <w:r>
        <w:t xml:space="preserve"> a range of activities across education and enforcement to </w:t>
      </w:r>
      <w:r w:rsidR="00CB01A6">
        <w:t xml:space="preserve">promote </w:t>
      </w:r>
      <w:r w:rsidR="00BB6D70">
        <w:t>superannuation guarantee</w:t>
      </w:r>
      <w:r w:rsidR="00CB01A6">
        <w:t xml:space="preserve"> compliance and </w:t>
      </w:r>
      <w:r>
        <w:t xml:space="preserve">collect </w:t>
      </w:r>
      <w:r w:rsidR="00366630">
        <w:t>outstanding</w:t>
      </w:r>
      <w:r>
        <w:t xml:space="preserve"> </w:t>
      </w:r>
      <w:r w:rsidR="00CB01A6">
        <w:t>obligations</w:t>
      </w:r>
      <w:r>
        <w:t>.</w:t>
      </w:r>
    </w:p>
    <w:p w14:paraId="6979B323" w14:textId="77777777" w:rsidR="007D735D" w:rsidRDefault="007D735D" w:rsidP="00224B95">
      <w:pPr>
        <w:pStyle w:val="ListParagraph"/>
        <w:keepNext/>
        <w:numPr>
          <w:ilvl w:val="1"/>
          <w:numId w:val="32"/>
        </w:numPr>
        <w:spacing w:line="360" w:lineRule="auto"/>
        <w:contextualSpacing w:val="0"/>
      </w:pPr>
      <w:r>
        <w:t xml:space="preserve">The ATO generally identifies </w:t>
      </w:r>
      <w:r w:rsidRPr="00366630">
        <w:rPr>
          <w:i/>
        </w:rPr>
        <w:t>potential</w:t>
      </w:r>
      <w:r w:rsidR="00366630">
        <w:t xml:space="preserve"> non</w:t>
      </w:r>
      <w:r w:rsidR="00366630">
        <w:noBreakHyphen/>
      </w:r>
      <w:r>
        <w:t>compliance through:</w:t>
      </w:r>
    </w:p>
    <w:p w14:paraId="7CDA29AA" w14:textId="77777777" w:rsidR="007D735D" w:rsidRDefault="007D735D" w:rsidP="00366630">
      <w:pPr>
        <w:pStyle w:val="ListParagraph"/>
        <w:numPr>
          <w:ilvl w:val="0"/>
          <w:numId w:val="27"/>
        </w:numPr>
        <w:spacing w:line="360" w:lineRule="auto"/>
        <w:ind w:left="851" w:hanging="284"/>
        <w:contextualSpacing w:val="0"/>
      </w:pPr>
      <w:r>
        <w:t>‘employee notifications’ which are complaints made to the ATO by employees or</w:t>
      </w:r>
      <w:r w:rsidR="00366630">
        <w:t xml:space="preserve"> former employees about the non</w:t>
      </w:r>
      <w:r w:rsidR="00366630">
        <w:noBreakHyphen/>
      </w:r>
      <w:r>
        <w:t>payment or under</w:t>
      </w:r>
      <w:r w:rsidR="00BA4505">
        <w:noBreakHyphen/>
      </w:r>
      <w:r>
        <w:t>payment of superannuation guarantee</w:t>
      </w:r>
      <w:r w:rsidR="00366630">
        <w:t>,</w:t>
      </w:r>
    </w:p>
    <w:p w14:paraId="587D6ACC" w14:textId="77777777" w:rsidR="007D735D" w:rsidRDefault="007D735D" w:rsidP="00366630">
      <w:pPr>
        <w:pStyle w:val="ListParagraph"/>
        <w:numPr>
          <w:ilvl w:val="0"/>
          <w:numId w:val="27"/>
        </w:numPr>
        <w:spacing w:line="360" w:lineRule="auto"/>
        <w:ind w:left="851" w:hanging="284"/>
        <w:contextualSpacing w:val="0"/>
      </w:pPr>
      <w:r>
        <w:t xml:space="preserve">referrals of information from third parties, and </w:t>
      </w:r>
    </w:p>
    <w:p w14:paraId="5E7700AE" w14:textId="0BAD45C7" w:rsidR="007D735D" w:rsidRDefault="007D735D" w:rsidP="00366630">
      <w:pPr>
        <w:pStyle w:val="ListParagraph"/>
        <w:numPr>
          <w:ilvl w:val="0"/>
          <w:numId w:val="27"/>
        </w:numPr>
        <w:spacing w:line="360" w:lineRule="auto"/>
        <w:ind w:left="851" w:hanging="284"/>
        <w:contextualSpacing w:val="0"/>
      </w:pPr>
      <w:r>
        <w:t>examination of ATO</w:t>
      </w:r>
      <w:r w:rsidR="00BA4505">
        <w:noBreakHyphen/>
      </w:r>
      <w:r>
        <w:t>held data which direct the ATO</w:t>
      </w:r>
      <w:r w:rsidR="00BD7469">
        <w:noBreakHyphen/>
      </w:r>
      <w:r>
        <w:t xml:space="preserve">initiated reviews and audits on higher risk </w:t>
      </w:r>
      <w:r w:rsidR="00C44854">
        <w:t>employers</w:t>
      </w:r>
      <w:r>
        <w:t>.</w:t>
      </w:r>
    </w:p>
    <w:p w14:paraId="1661F49F" w14:textId="115A9B7E" w:rsidR="007D735D" w:rsidRPr="005B300C" w:rsidRDefault="007D735D" w:rsidP="00224B95">
      <w:pPr>
        <w:pStyle w:val="ListParagraph"/>
        <w:keepNext/>
        <w:numPr>
          <w:ilvl w:val="1"/>
          <w:numId w:val="32"/>
        </w:numPr>
        <w:spacing w:line="360" w:lineRule="auto"/>
        <w:contextualSpacing w:val="0"/>
      </w:pPr>
      <w:r>
        <w:t>Over 150</w:t>
      </w:r>
      <w:r w:rsidR="008A0F44">
        <w:t> </w:t>
      </w:r>
      <w:r>
        <w:t>ATO staff work full time on complaint-initiated cases and approximately 300</w:t>
      </w:r>
      <w:r w:rsidR="0018175A">
        <w:t> </w:t>
      </w:r>
      <w:r>
        <w:t xml:space="preserve">ATO staff are involved in reviews and audits of employers encompassing all employer obligations (including superannuation guarantee). </w:t>
      </w:r>
      <w:r w:rsidR="001A5913">
        <w:t>For 2015</w:t>
      </w:r>
      <w:r w:rsidR="0018175A">
        <w:noBreakHyphen/>
      </w:r>
      <w:r w:rsidR="001A5913">
        <w:t>16 t</w:t>
      </w:r>
      <w:r>
        <w:t>his has resulted in</w:t>
      </w:r>
      <w:r w:rsidR="001A5913">
        <w:t xml:space="preserve"> $670</w:t>
      </w:r>
      <w:r w:rsidR="0018175A">
        <w:t> </w:t>
      </w:r>
      <w:r w:rsidR="001A5913">
        <w:t>million in superannuation guarantee charge be</w:t>
      </w:r>
      <w:r w:rsidR="003F4770">
        <w:t>ing</w:t>
      </w:r>
      <w:r w:rsidR="001A5913">
        <w:t xml:space="preserve"> raised, with $341</w:t>
      </w:r>
      <w:r w:rsidR="0018175A">
        <w:t> </w:t>
      </w:r>
      <w:r w:rsidR="001A5913">
        <w:t>million being collected</w:t>
      </w:r>
      <w:r w:rsidR="003F4770">
        <w:t>. This includes</w:t>
      </w:r>
      <w:r w:rsidR="001A5913">
        <w:t xml:space="preserve"> </w:t>
      </w:r>
      <w:r w:rsidR="003F4770">
        <w:t xml:space="preserve">the raising of </w:t>
      </w:r>
      <w:r w:rsidR="001A5913">
        <w:t>approximately 3</w:t>
      </w:r>
      <w:r w:rsidR="003F4770">
        <w:t>,</w:t>
      </w:r>
      <w:r w:rsidR="001A5913">
        <w:t>000</w:t>
      </w:r>
      <w:r w:rsidR="0018175A">
        <w:t> </w:t>
      </w:r>
      <w:r w:rsidR="001A5913">
        <w:t xml:space="preserve">default assessments and </w:t>
      </w:r>
      <w:r w:rsidR="003F4770">
        <w:t>the issue of</w:t>
      </w:r>
      <w:r w:rsidR="001A5913">
        <w:t xml:space="preserve"> 877</w:t>
      </w:r>
      <w:r w:rsidR="0018175A">
        <w:t> </w:t>
      </w:r>
      <w:r w:rsidR="001A5913">
        <w:t>Director Penalty Notices for $130</w:t>
      </w:r>
      <w:r w:rsidR="0018175A">
        <w:t> </w:t>
      </w:r>
      <w:r w:rsidR="001A5913">
        <w:t>million.</w:t>
      </w:r>
      <w:r>
        <w:t xml:space="preserve"> </w:t>
      </w:r>
      <w:r w:rsidR="00D15977">
        <w:t xml:space="preserve">Since 2010 the ATO has </w:t>
      </w:r>
      <w:r w:rsidR="00D15977" w:rsidRPr="00131B30">
        <w:t>collected</w:t>
      </w:r>
      <w:r w:rsidR="00D15977" w:rsidRPr="00A841D0">
        <w:t xml:space="preserve"> and </w:t>
      </w:r>
      <w:r w:rsidR="00D15977">
        <w:t>distributed to members</w:t>
      </w:r>
      <w:r w:rsidR="00D15977" w:rsidRPr="00A841D0">
        <w:t xml:space="preserve"> some $2 billion</w:t>
      </w:r>
      <w:r w:rsidR="00D15977">
        <w:t xml:space="preserve"> in outstanding superannuation guarantee liabilities as a result of its compliance activities.</w:t>
      </w:r>
      <w:r>
        <w:t xml:space="preserve"> </w:t>
      </w:r>
      <w:r w:rsidR="001A5913">
        <w:t xml:space="preserve">For further details refer </w:t>
      </w:r>
      <w:r w:rsidRPr="005B300C">
        <w:rPr>
          <w:b/>
        </w:rPr>
        <w:t xml:space="preserve">Appendix </w:t>
      </w:r>
      <w:r w:rsidR="00BA4505" w:rsidRPr="005B300C">
        <w:rPr>
          <w:b/>
        </w:rPr>
        <w:t>C</w:t>
      </w:r>
      <w:r w:rsidRPr="005B300C">
        <w:rPr>
          <w:b/>
        </w:rPr>
        <w:t>.</w:t>
      </w:r>
    </w:p>
    <w:p w14:paraId="46F23055" w14:textId="77777777" w:rsidR="007D735D" w:rsidRDefault="009C45FD" w:rsidP="003F2085">
      <w:pPr>
        <w:pStyle w:val="Heading2"/>
      </w:pPr>
      <w:bookmarkStart w:id="135" w:name="_Toc478651958"/>
      <w:bookmarkStart w:id="136" w:name="_Toc478654419"/>
      <w:bookmarkStart w:id="137" w:name="_Toc478655133"/>
      <w:bookmarkStart w:id="138" w:name="_Toc478656387"/>
      <w:bookmarkStart w:id="139" w:name="_Toc478657638"/>
      <w:bookmarkStart w:id="140" w:name="_Toc478718234"/>
      <w:bookmarkStart w:id="141" w:name="_Toc478718444"/>
      <w:bookmarkStart w:id="142" w:name="_Toc478738393"/>
      <w:bookmarkStart w:id="143" w:name="_Toc478740679"/>
      <w:r>
        <w:t xml:space="preserve">Previous </w:t>
      </w:r>
      <w:r w:rsidR="000613E0">
        <w:t xml:space="preserve">independent </w:t>
      </w:r>
      <w:r>
        <w:t>reviews</w:t>
      </w:r>
      <w:bookmarkEnd w:id="135"/>
      <w:bookmarkEnd w:id="136"/>
      <w:bookmarkEnd w:id="137"/>
      <w:bookmarkEnd w:id="138"/>
      <w:bookmarkEnd w:id="139"/>
      <w:bookmarkEnd w:id="140"/>
      <w:bookmarkEnd w:id="141"/>
      <w:bookmarkEnd w:id="142"/>
      <w:bookmarkEnd w:id="143"/>
    </w:p>
    <w:p w14:paraId="54350C09" w14:textId="7AF1A9C0" w:rsidR="007D735D" w:rsidRDefault="007D735D" w:rsidP="00224B95">
      <w:pPr>
        <w:pStyle w:val="ListParagraph"/>
        <w:keepNext/>
        <w:numPr>
          <w:ilvl w:val="1"/>
          <w:numId w:val="32"/>
        </w:numPr>
        <w:spacing w:line="360" w:lineRule="auto"/>
        <w:contextualSpacing w:val="0"/>
      </w:pPr>
      <w:r>
        <w:t xml:space="preserve">Since 2010, the Australian National Audit Office and the Inspector General of Taxation have </w:t>
      </w:r>
      <w:r w:rsidR="009C45FD">
        <w:t xml:space="preserve">each </w:t>
      </w:r>
      <w:r>
        <w:t>reviewed aspects of the superannuation guarantee system and the ATO’s administration</w:t>
      </w:r>
      <w:r w:rsidR="009C45FD">
        <w:t xml:space="preserve"> of the system</w:t>
      </w:r>
      <w:r>
        <w:t>, including its ability to identify non-compliance, its response to employee complaints</w:t>
      </w:r>
      <w:r w:rsidR="00AE199F">
        <w:t>,</w:t>
      </w:r>
      <w:r>
        <w:t xml:space="preserve"> and </w:t>
      </w:r>
      <w:r w:rsidR="009C45FD">
        <w:t xml:space="preserve">the effectiveness of </w:t>
      </w:r>
      <w:r>
        <w:t>its deterrence and enforcement approaches.</w:t>
      </w:r>
    </w:p>
    <w:p w14:paraId="121BA956" w14:textId="77777777" w:rsidR="007D735D" w:rsidRDefault="009C45FD" w:rsidP="00224B95">
      <w:pPr>
        <w:pStyle w:val="ListParagraph"/>
        <w:keepNext/>
        <w:numPr>
          <w:ilvl w:val="1"/>
          <w:numId w:val="32"/>
        </w:numPr>
        <w:spacing w:line="360" w:lineRule="auto"/>
        <w:contextualSpacing w:val="0"/>
      </w:pPr>
      <w:r>
        <w:t>These</w:t>
      </w:r>
      <w:r w:rsidR="007D735D">
        <w:t xml:space="preserve"> reviews ultimately found that the superannuation guarantee system is working well and </w:t>
      </w:r>
      <w:r>
        <w:t xml:space="preserve">that </w:t>
      </w:r>
      <w:r w:rsidR="007D735D">
        <w:t xml:space="preserve">the ATO’s administration is sound. </w:t>
      </w:r>
    </w:p>
    <w:p w14:paraId="4A3C0994" w14:textId="77777777" w:rsidR="007D735D" w:rsidRPr="00AE199F" w:rsidRDefault="009C45FD" w:rsidP="00224B95">
      <w:pPr>
        <w:pStyle w:val="ListParagraph"/>
        <w:keepNext/>
        <w:numPr>
          <w:ilvl w:val="1"/>
          <w:numId w:val="32"/>
        </w:numPr>
        <w:spacing w:line="360" w:lineRule="auto"/>
        <w:contextualSpacing w:val="0"/>
      </w:pPr>
      <w:r>
        <w:t xml:space="preserve">However both reviews highlighted the need for the ATO to get better quality and more timely data. Similar themes </w:t>
      </w:r>
      <w:r w:rsidRPr="00AE199F">
        <w:t xml:space="preserve">were evident </w:t>
      </w:r>
      <w:r w:rsidR="004A250A" w:rsidRPr="00731F09">
        <w:t xml:space="preserve">in submissions to </w:t>
      </w:r>
      <w:r w:rsidR="00243DDE" w:rsidRPr="00AE199F">
        <w:t xml:space="preserve">the current </w:t>
      </w:r>
      <w:r w:rsidR="004A250A" w:rsidRPr="00AE199F">
        <w:t>Senate Committee.</w:t>
      </w:r>
      <w:r w:rsidR="005453CC" w:rsidRPr="00AE199F">
        <w:t xml:space="preserve"> For further details refer </w:t>
      </w:r>
      <w:r w:rsidR="005453CC" w:rsidRPr="00F71EF8">
        <w:rPr>
          <w:b/>
        </w:rPr>
        <w:t>Appendix H</w:t>
      </w:r>
      <w:r w:rsidR="005453CC" w:rsidRPr="00F71EF8">
        <w:t>.</w:t>
      </w:r>
    </w:p>
    <w:p w14:paraId="7C485B96" w14:textId="77777777" w:rsidR="00637CC6" w:rsidRDefault="00637CC6" w:rsidP="00AF343B">
      <w:pPr>
        <w:spacing w:before="0" w:line="240" w:lineRule="auto"/>
      </w:pPr>
      <w:bookmarkStart w:id="144" w:name="_Toc478639911"/>
      <w:bookmarkStart w:id="145" w:name="_Toc478639954"/>
      <w:bookmarkStart w:id="146" w:name="_Toc478639997"/>
      <w:bookmarkStart w:id="147" w:name="_Toc478640124"/>
      <w:bookmarkEnd w:id="144"/>
      <w:bookmarkEnd w:id="145"/>
      <w:bookmarkEnd w:id="146"/>
      <w:bookmarkEnd w:id="147"/>
      <w:r>
        <w:br w:type="page"/>
      </w:r>
    </w:p>
    <w:p w14:paraId="7EEE8E1D" w14:textId="77777777" w:rsidR="00637CC6" w:rsidRDefault="003D22F3" w:rsidP="00224B95">
      <w:pPr>
        <w:pStyle w:val="Heading1"/>
        <w:framePr w:wrap="notBeside"/>
        <w:spacing w:before="0"/>
      </w:pPr>
      <w:bookmarkStart w:id="148" w:name="_Toc478485971"/>
      <w:bookmarkStart w:id="149" w:name="_Toc478501981"/>
      <w:bookmarkStart w:id="150" w:name="_Toc478651959"/>
      <w:bookmarkStart w:id="151" w:name="_Toc478654420"/>
      <w:bookmarkStart w:id="152" w:name="_Toc478655134"/>
      <w:bookmarkStart w:id="153" w:name="_Toc478656388"/>
      <w:bookmarkStart w:id="154" w:name="_Toc478657639"/>
      <w:bookmarkStart w:id="155" w:name="_Toc478718235"/>
      <w:bookmarkStart w:id="156" w:name="_Toc478718445"/>
      <w:bookmarkStart w:id="157" w:name="_Toc478738394"/>
      <w:bookmarkStart w:id="158" w:name="_Toc478740680"/>
      <w:r>
        <w:t xml:space="preserve">4. </w:t>
      </w:r>
      <w:r w:rsidR="00A24732">
        <w:t>Improving compliance and collection of debt</w:t>
      </w:r>
      <w:bookmarkEnd w:id="148"/>
      <w:bookmarkEnd w:id="149"/>
      <w:bookmarkEnd w:id="150"/>
      <w:bookmarkEnd w:id="151"/>
      <w:bookmarkEnd w:id="152"/>
      <w:bookmarkEnd w:id="153"/>
      <w:bookmarkEnd w:id="154"/>
      <w:bookmarkEnd w:id="155"/>
      <w:bookmarkEnd w:id="156"/>
      <w:bookmarkEnd w:id="157"/>
      <w:bookmarkEnd w:id="158"/>
      <w:r w:rsidR="00A24732">
        <w:t xml:space="preserve"> </w:t>
      </w:r>
    </w:p>
    <w:p w14:paraId="20CEDBB5" w14:textId="77777777" w:rsidR="00637CC6" w:rsidRDefault="003E2124" w:rsidP="00AF343B">
      <w:pPr>
        <w:pStyle w:val="Heading2"/>
      </w:pPr>
      <w:bookmarkStart w:id="159" w:name="_Toc478485972"/>
      <w:bookmarkStart w:id="160" w:name="_Toc478501982"/>
      <w:bookmarkStart w:id="161" w:name="_Toc478651960"/>
      <w:bookmarkStart w:id="162" w:name="_Toc478654421"/>
      <w:bookmarkStart w:id="163" w:name="_Toc478655135"/>
      <w:bookmarkStart w:id="164" w:name="_Toc478656389"/>
      <w:bookmarkStart w:id="165" w:name="_Toc478657640"/>
      <w:bookmarkStart w:id="166" w:name="_Toc478718236"/>
      <w:bookmarkStart w:id="167" w:name="_Toc478718446"/>
      <w:bookmarkStart w:id="168" w:name="_Toc478738395"/>
      <w:bookmarkStart w:id="169" w:name="_Toc478740681"/>
      <w:r>
        <w:t>Introduction</w:t>
      </w:r>
      <w:bookmarkEnd w:id="159"/>
      <w:bookmarkEnd w:id="160"/>
      <w:bookmarkEnd w:id="161"/>
      <w:bookmarkEnd w:id="162"/>
      <w:bookmarkEnd w:id="163"/>
      <w:bookmarkEnd w:id="164"/>
      <w:bookmarkEnd w:id="165"/>
      <w:bookmarkEnd w:id="166"/>
      <w:bookmarkEnd w:id="167"/>
      <w:bookmarkEnd w:id="168"/>
      <w:bookmarkEnd w:id="169"/>
    </w:p>
    <w:p w14:paraId="3ACF7B42" w14:textId="77777777" w:rsidR="00A031FF" w:rsidRDefault="003106E3" w:rsidP="003106E3">
      <w:pPr>
        <w:pStyle w:val="ListParagraph"/>
        <w:numPr>
          <w:ilvl w:val="1"/>
          <w:numId w:val="33"/>
        </w:numPr>
        <w:spacing w:line="360" w:lineRule="auto"/>
        <w:contextualSpacing w:val="0"/>
      </w:pPr>
      <w:r>
        <w:t xml:space="preserve">Any improvement to the current </w:t>
      </w:r>
      <w:r w:rsidR="003E2124">
        <w:t>superannuation guarantee</w:t>
      </w:r>
      <w:r>
        <w:t xml:space="preserve"> system should focus on</w:t>
      </w:r>
      <w:r w:rsidR="00A031FF">
        <w:t>:</w:t>
      </w:r>
    </w:p>
    <w:p w14:paraId="44B857E9" w14:textId="5C0BED17" w:rsidR="00A031FF" w:rsidRDefault="005453CC" w:rsidP="00224B95">
      <w:pPr>
        <w:pStyle w:val="ListParagraph"/>
        <w:numPr>
          <w:ilvl w:val="0"/>
          <w:numId w:val="27"/>
        </w:numPr>
        <w:spacing w:line="360" w:lineRule="auto"/>
        <w:ind w:left="851" w:hanging="284"/>
        <w:contextualSpacing w:val="0"/>
      </w:pPr>
      <w:r>
        <w:t xml:space="preserve">the </w:t>
      </w:r>
      <w:r w:rsidR="00E808E1">
        <w:t>d</w:t>
      </w:r>
      <w:r w:rsidR="00A031FF">
        <w:t xml:space="preserve">etection of non-compliance by </w:t>
      </w:r>
      <w:r w:rsidR="003106E3">
        <w:t>improv</w:t>
      </w:r>
      <w:r w:rsidR="003E2124">
        <w:t>ing</w:t>
      </w:r>
      <w:r w:rsidR="003106E3">
        <w:t xml:space="preserve"> the visibility of the </w:t>
      </w:r>
      <w:r w:rsidR="003E2124">
        <w:t xml:space="preserve">superannuation guarantee </w:t>
      </w:r>
      <w:r w:rsidR="00603908">
        <w:t xml:space="preserve">obligation </w:t>
      </w:r>
      <w:r w:rsidR="003E2124">
        <w:t xml:space="preserve">and </w:t>
      </w:r>
      <w:r w:rsidR="003106E3">
        <w:t xml:space="preserve">the payment of the contribution, </w:t>
      </w:r>
    </w:p>
    <w:p w14:paraId="6F1163AD" w14:textId="77777777" w:rsidR="00A031FF" w:rsidRDefault="003106E3" w:rsidP="00224B95">
      <w:pPr>
        <w:pStyle w:val="ListParagraph"/>
        <w:numPr>
          <w:ilvl w:val="0"/>
          <w:numId w:val="27"/>
        </w:numPr>
        <w:spacing w:line="360" w:lineRule="auto"/>
        <w:ind w:left="851" w:hanging="284"/>
        <w:contextualSpacing w:val="0"/>
      </w:pPr>
      <w:r>
        <w:t>improve</w:t>
      </w:r>
      <w:r w:rsidR="00A348C4">
        <w:t>d</w:t>
      </w:r>
      <w:r>
        <w:t xml:space="preserve"> </w:t>
      </w:r>
      <w:r w:rsidR="003E2124">
        <w:t>enforcement mechanisms</w:t>
      </w:r>
      <w:r w:rsidR="00A031FF">
        <w:t>,</w:t>
      </w:r>
      <w:r w:rsidR="003E2124">
        <w:t xml:space="preserve"> and </w:t>
      </w:r>
    </w:p>
    <w:p w14:paraId="0929E27B" w14:textId="77777777" w:rsidR="003E2124" w:rsidRDefault="003E2124" w:rsidP="00224B95">
      <w:pPr>
        <w:pStyle w:val="ListParagraph"/>
        <w:numPr>
          <w:ilvl w:val="0"/>
          <w:numId w:val="27"/>
        </w:numPr>
        <w:spacing w:line="360" w:lineRule="auto"/>
        <w:ind w:left="851" w:hanging="284"/>
        <w:contextualSpacing w:val="0"/>
      </w:pPr>
      <w:r>
        <w:t>the</w:t>
      </w:r>
      <w:r w:rsidR="003106E3">
        <w:t xml:space="preserve"> level of collections. </w:t>
      </w:r>
    </w:p>
    <w:p w14:paraId="26E23B1D" w14:textId="42E2D239" w:rsidR="00FF5847" w:rsidRPr="00FF5847" w:rsidRDefault="00FF5847" w:rsidP="00FF5847">
      <w:pPr>
        <w:pStyle w:val="ListParagraph"/>
        <w:numPr>
          <w:ilvl w:val="1"/>
          <w:numId w:val="33"/>
        </w:numPr>
        <w:spacing w:line="360" w:lineRule="auto"/>
        <w:contextualSpacing w:val="0"/>
      </w:pPr>
      <w:r w:rsidRPr="00FF5847">
        <w:t xml:space="preserve">Leveraging from </w:t>
      </w:r>
      <w:r w:rsidR="00C44854">
        <w:t xml:space="preserve">the </w:t>
      </w:r>
      <w:r w:rsidRPr="00FF5847">
        <w:t>introduction of Single Touch Payroll</w:t>
      </w:r>
      <w:r w:rsidR="00CD1DAF">
        <w:t xml:space="preserve"> </w:t>
      </w:r>
      <w:r w:rsidR="006B73A9">
        <w:t>(</w:t>
      </w:r>
      <w:r w:rsidRPr="00FF5847">
        <w:t>where there is a requirement for businesses employing 20 or more employees to report their superannuation guarantee obligation for each employee to the ATO</w:t>
      </w:r>
      <w:r w:rsidR="006B73A9">
        <w:t xml:space="preserve"> </w:t>
      </w:r>
      <w:r w:rsidRPr="00FF5847">
        <w:t xml:space="preserve">through </w:t>
      </w:r>
      <w:r w:rsidR="00CD1DAF">
        <w:t xml:space="preserve">business </w:t>
      </w:r>
      <w:r w:rsidRPr="00FF5847">
        <w:t>payroll software</w:t>
      </w:r>
      <w:r w:rsidR="006B73A9">
        <w:t>)</w:t>
      </w:r>
      <w:r w:rsidR="00CD1DAF">
        <w:t xml:space="preserve"> </w:t>
      </w:r>
      <w:r w:rsidRPr="00FF5847">
        <w:t xml:space="preserve">will </w:t>
      </w:r>
      <w:r w:rsidR="00CD1DAF">
        <w:t xml:space="preserve">improve the </w:t>
      </w:r>
      <w:r>
        <w:t xml:space="preserve">ability </w:t>
      </w:r>
      <w:r w:rsidR="00AE199F">
        <w:t xml:space="preserve">of </w:t>
      </w:r>
      <w:r>
        <w:t>the ATO to</w:t>
      </w:r>
      <w:r w:rsidRPr="00FF5847">
        <w:t xml:space="preserve"> monitor employers’ </w:t>
      </w:r>
      <w:r w:rsidR="006B73A9">
        <w:t xml:space="preserve">superannuation guarantee </w:t>
      </w:r>
      <w:r w:rsidRPr="00FF5847">
        <w:t>liabilities.</w:t>
      </w:r>
    </w:p>
    <w:p w14:paraId="50028460" w14:textId="12A7A8C8" w:rsidR="00FF5847" w:rsidRDefault="00FF5847" w:rsidP="00FF5847">
      <w:pPr>
        <w:pStyle w:val="ListParagraph"/>
        <w:numPr>
          <w:ilvl w:val="1"/>
          <w:numId w:val="33"/>
        </w:numPr>
        <w:spacing w:line="360" w:lineRule="auto"/>
        <w:contextualSpacing w:val="0"/>
      </w:pPr>
      <w:r w:rsidRPr="00FF5847">
        <w:t xml:space="preserve">Increasing the ATO’s visibility of employers’ superannuation guarantee contributions would allow for progressive and timely monitoring of the overall patterns and </w:t>
      </w:r>
      <w:r w:rsidR="00C759D0">
        <w:t xml:space="preserve">emerging </w:t>
      </w:r>
      <w:r w:rsidR="00C759D0" w:rsidRPr="00FF5847">
        <w:t>trends</w:t>
      </w:r>
      <w:r w:rsidR="00C759D0">
        <w:t xml:space="preserve">. It will also highlight </w:t>
      </w:r>
      <w:r w:rsidRPr="00FF5847">
        <w:t>incidences of non</w:t>
      </w:r>
      <w:r w:rsidRPr="00FF5847">
        <w:noBreakHyphen/>
        <w:t xml:space="preserve">payment. </w:t>
      </w:r>
      <w:r w:rsidR="00C759D0">
        <w:t xml:space="preserve">This will </w:t>
      </w:r>
      <w:r w:rsidR="00B60A06">
        <w:t xml:space="preserve">provide better </w:t>
      </w:r>
      <w:r w:rsidR="00C759D0">
        <w:t xml:space="preserve">data features </w:t>
      </w:r>
      <w:r w:rsidR="005453CC">
        <w:t xml:space="preserve">which can then </w:t>
      </w:r>
      <w:r w:rsidR="00C759D0">
        <w:t xml:space="preserve">be included in </w:t>
      </w:r>
      <w:r w:rsidR="004A250A">
        <w:t>more sophisticated predictive</w:t>
      </w:r>
      <w:r w:rsidR="00B60A06">
        <w:t xml:space="preserve"> data models to detect potential non</w:t>
      </w:r>
      <w:r w:rsidR="00B60A06">
        <w:noBreakHyphen/>
        <w:t>compliance</w:t>
      </w:r>
      <w:r w:rsidR="00C759D0">
        <w:t xml:space="preserve">. </w:t>
      </w:r>
    </w:p>
    <w:p w14:paraId="0B9D4399" w14:textId="4502AC7D" w:rsidR="005453CC" w:rsidRDefault="00A2691E" w:rsidP="00D950E3">
      <w:pPr>
        <w:pStyle w:val="ListParagraph"/>
        <w:numPr>
          <w:ilvl w:val="1"/>
          <w:numId w:val="33"/>
        </w:numPr>
        <w:spacing w:line="360" w:lineRule="auto"/>
        <w:contextualSpacing w:val="0"/>
      </w:pPr>
      <w:r>
        <w:t xml:space="preserve">To improve </w:t>
      </w:r>
      <w:r w:rsidR="00AE199F">
        <w:t xml:space="preserve">the </w:t>
      </w:r>
      <w:r w:rsidR="005453CC">
        <w:t xml:space="preserve">collection of </w:t>
      </w:r>
      <w:r>
        <w:t>superannuation guarantee charge debts, changes are recommended</w:t>
      </w:r>
      <w:r w:rsidR="004A250A" w:rsidRPr="004A250A">
        <w:t xml:space="preserve"> </w:t>
      </w:r>
      <w:r w:rsidR="004A250A">
        <w:t xml:space="preserve">to allow for more decisive enforcement action, </w:t>
      </w:r>
      <w:r w:rsidR="005453CC">
        <w:t>there</w:t>
      </w:r>
      <w:r w:rsidR="00AE199F">
        <w:t>by</w:t>
      </w:r>
      <w:r w:rsidR="005453CC">
        <w:t xml:space="preserve"> </w:t>
      </w:r>
      <w:r w:rsidR="004A250A">
        <w:t xml:space="preserve">increasing the likelihood of the recovery of debts. </w:t>
      </w:r>
    </w:p>
    <w:p w14:paraId="2B370D90" w14:textId="0B935B96" w:rsidR="0024032B" w:rsidRDefault="005453CC" w:rsidP="00D950E3">
      <w:pPr>
        <w:pStyle w:val="ListParagraph"/>
        <w:numPr>
          <w:ilvl w:val="1"/>
          <w:numId w:val="33"/>
        </w:numPr>
        <w:spacing w:line="360" w:lineRule="auto"/>
        <w:contextualSpacing w:val="0"/>
      </w:pPr>
      <w:r>
        <w:t>The</w:t>
      </w:r>
      <w:r w:rsidR="0024032B">
        <w:t xml:space="preserve"> existing mechanisms to </w:t>
      </w:r>
      <w:r w:rsidR="00106EDA">
        <w:t xml:space="preserve">enhance debt </w:t>
      </w:r>
      <w:r w:rsidR="0024032B">
        <w:t xml:space="preserve">collection can be improved through </w:t>
      </w:r>
      <w:r w:rsidR="00106EDA">
        <w:t xml:space="preserve">specific </w:t>
      </w:r>
      <w:r w:rsidR="0024032B">
        <w:t xml:space="preserve">legislative amendments. </w:t>
      </w:r>
      <w:r>
        <w:t>Specifically</w:t>
      </w:r>
      <w:r w:rsidR="0024032B">
        <w:t>, the</w:t>
      </w:r>
      <w:r>
        <w:t xml:space="preserve"> current</w:t>
      </w:r>
      <w:r w:rsidR="0024032B">
        <w:t xml:space="preserve"> Director Penalty Notice </w:t>
      </w:r>
      <w:r w:rsidR="00AE199F">
        <w:t>r</w:t>
      </w:r>
      <w:r w:rsidR="0024032B">
        <w:t xml:space="preserve">egime and Security Bond </w:t>
      </w:r>
      <w:r w:rsidR="00AE199F">
        <w:t>r</w:t>
      </w:r>
      <w:r w:rsidR="0024032B">
        <w:t xml:space="preserve">egime would benefit from some enhancements to ensure they are working effectively. </w:t>
      </w:r>
      <w:r>
        <w:t>Suitable a</w:t>
      </w:r>
      <w:r w:rsidR="00106EDA">
        <w:t>mendments</w:t>
      </w:r>
      <w:r>
        <w:t xml:space="preserve"> should be considered</w:t>
      </w:r>
      <w:r w:rsidR="00106EDA">
        <w:t xml:space="preserve"> </w:t>
      </w:r>
      <w:r w:rsidR="00444422">
        <w:t xml:space="preserve">to allow </w:t>
      </w:r>
      <w:r w:rsidR="00106EDA">
        <w:t xml:space="preserve">their </w:t>
      </w:r>
      <w:r w:rsidR="00AE199F">
        <w:t xml:space="preserve">application </w:t>
      </w:r>
      <w:r>
        <w:t>to better reflect the</w:t>
      </w:r>
      <w:r w:rsidR="00106EDA">
        <w:t xml:space="preserve"> compliance history </w:t>
      </w:r>
      <w:r>
        <w:t xml:space="preserve">of </w:t>
      </w:r>
      <w:r w:rsidR="00106EDA">
        <w:t>an employer or active disengagement from the reasonable efforts of the ATO to collect an outstanding superannuation guarantee charge debt.</w:t>
      </w:r>
      <w:r w:rsidR="00C14808">
        <w:br/>
      </w:r>
    </w:p>
    <w:p w14:paraId="7A102400" w14:textId="77777777" w:rsidR="00E326A7" w:rsidRDefault="0048715B" w:rsidP="00E326A7">
      <w:pPr>
        <w:pStyle w:val="Heading2"/>
      </w:pPr>
      <w:bookmarkStart w:id="170" w:name="_Toc478651961"/>
      <w:bookmarkStart w:id="171" w:name="_Toc478654422"/>
      <w:bookmarkStart w:id="172" w:name="_Toc478655136"/>
      <w:bookmarkStart w:id="173" w:name="_Toc478656390"/>
      <w:bookmarkStart w:id="174" w:name="_Toc478657641"/>
      <w:bookmarkStart w:id="175" w:name="_Toc478718237"/>
      <w:bookmarkStart w:id="176" w:name="_Toc478718447"/>
      <w:bookmarkStart w:id="177" w:name="_Toc478738396"/>
      <w:bookmarkStart w:id="178" w:name="_Toc478740682"/>
      <w:r>
        <w:t xml:space="preserve">Better and more timely information </w:t>
      </w:r>
      <w:r w:rsidR="006F3451">
        <w:t>from employers and funds</w:t>
      </w:r>
      <w:bookmarkEnd w:id="170"/>
      <w:bookmarkEnd w:id="171"/>
      <w:bookmarkEnd w:id="172"/>
      <w:bookmarkEnd w:id="173"/>
      <w:bookmarkEnd w:id="174"/>
      <w:bookmarkEnd w:id="175"/>
      <w:bookmarkEnd w:id="176"/>
      <w:bookmarkEnd w:id="177"/>
      <w:bookmarkEnd w:id="178"/>
    </w:p>
    <w:p w14:paraId="58421A45" w14:textId="77777777" w:rsidR="00920C7C" w:rsidRDefault="00920C7C" w:rsidP="00224B95"/>
    <w:p w14:paraId="7AF6B615" w14:textId="77777777" w:rsidR="002E34EA" w:rsidRPr="00224B95" w:rsidRDefault="002E34EA" w:rsidP="002E34EA">
      <w:pPr>
        <w:pStyle w:val="Boxtext"/>
        <w:keepNext/>
        <w:pBdr>
          <w:top w:val="none" w:sz="0" w:space="0" w:color="auto"/>
          <w:left w:val="none" w:sz="0" w:space="0" w:color="auto"/>
          <w:right w:val="none" w:sz="0" w:space="0" w:color="auto"/>
        </w:pBdr>
        <w:shd w:val="clear" w:color="auto" w:fill="D9D9D9" w:themeFill="background1" w:themeFillShade="D9"/>
        <w:spacing w:line="276" w:lineRule="auto"/>
        <w:rPr>
          <w:b/>
          <w:caps/>
          <w:color w:val="auto"/>
        </w:rPr>
      </w:pPr>
      <w:r w:rsidRPr="00224B95">
        <w:rPr>
          <w:b/>
          <w:caps/>
          <w:color w:val="auto"/>
        </w:rPr>
        <w:t>Recommendation 1</w:t>
      </w:r>
    </w:p>
    <w:p w14:paraId="5B71E4DB" w14:textId="0BEBB19D" w:rsidR="00DE72B0" w:rsidRDefault="008404C3" w:rsidP="00DE72B0">
      <w:pPr>
        <w:pStyle w:val="Boxtext"/>
        <w:keepNext/>
        <w:pBdr>
          <w:top w:val="none" w:sz="0" w:space="0" w:color="auto"/>
          <w:left w:val="none" w:sz="0" w:space="0" w:color="auto"/>
          <w:bottom w:val="none" w:sz="0" w:space="0" w:color="auto"/>
          <w:right w:val="none" w:sz="0" w:space="0" w:color="auto"/>
        </w:pBdr>
        <w:shd w:val="clear" w:color="auto" w:fill="D9D9D9" w:themeFill="background1" w:themeFillShade="D9"/>
        <w:spacing w:line="276" w:lineRule="auto"/>
        <w:rPr>
          <w:color w:val="auto"/>
        </w:rPr>
      </w:pPr>
      <w:r>
        <w:rPr>
          <w:color w:val="auto"/>
        </w:rPr>
        <w:t>That subject to the findings</w:t>
      </w:r>
      <w:r w:rsidRPr="00A70B80">
        <w:rPr>
          <w:color w:val="auto"/>
        </w:rPr>
        <w:t xml:space="preserve"> </w:t>
      </w:r>
      <w:r w:rsidR="00DE72B0" w:rsidRPr="00A70B80">
        <w:rPr>
          <w:color w:val="auto"/>
        </w:rPr>
        <w:t xml:space="preserve">of the current small business pilot being conducted by the ATO, to improve the ATO’s visibility of superannuation </w:t>
      </w:r>
      <w:r w:rsidR="00DE72B0">
        <w:rPr>
          <w:color w:val="auto"/>
        </w:rPr>
        <w:t>obligations</w:t>
      </w:r>
      <w:r w:rsidR="00DE72B0" w:rsidRPr="00A70B80">
        <w:rPr>
          <w:color w:val="auto"/>
        </w:rPr>
        <w:t xml:space="preserve"> it is recommended by the Working Group that all businesses (including small business) comply with Single Touch Payroll.</w:t>
      </w:r>
    </w:p>
    <w:p w14:paraId="5141A10A" w14:textId="77777777" w:rsidR="002E34EA" w:rsidRPr="00224B95" w:rsidRDefault="002E34EA" w:rsidP="002E34EA">
      <w:pPr>
        <w:spacing w:line="276" w:lineRule="auto"/>
        <w:rPr>
          <w:color w:val="auto"/>
          <w:sz w:val="6"/>
        </w:rPr>
      </w:pPr>
    </w:p>
    <w:p w14:paraId="5DCBDE0A" w14:textId="77777777" w:rsidR="002E34EA" w:rsidRPr="00224B95" w:rsidRDefault="002E34EA" w:rsidP="002E34EA">
      <w:pPr>
        <w:pStyle w:val="Boxtext"/>
        <w:keepNext/>
        <w:pBdr>
          <w:top w:val="none" w:sz="0" w:space="0" w:color="auto"/>
          <w:left w:val="none" w:sz="0" w:space="0" w:color="auto"/>
          <w:right w:val="none" w:sz="0" w:space="0" w:color="auto"/>
        </w:pBdr>
        <w:shd w:val="clear" w:color="auto" w:fill="D9D9D9" w:themeFill="background1" w:themeFillShade="D9"/>
        <w:spacing w:line="276" w:lineRule="auto"/>
        <w:rPr>
          <w:b/>
          <w:caps/>
          <w:color w:val="auto"/>
        </w:rPr>
      </w:pPr>
      <w:r w:rsidRPr="00224B95">
        <w:rPr>
          <w:b/>
          <w:caps/>
          <w:color w:val="auto"/>
        </w:rPr>
        <w:t>Recommendation 2</w:t>
      </w:r>
    </w:p>
    <w:p w14:paraId="6337834A" w14:textId="496E5925" w:rsidR="00DE72B0" w:rsidRPr="00224B95" w:rsidRDefault="00DE72B0" w:rsidP="00DE72B0">
      <w:pPr>
        <w:pStyle w:val="Boxtext"/>
        <w:keepNext/>
        <w:pBdr>
          <w:top w:val="none" w:sz="0" w:space="0" w:color="auto"/>
          <w:left w:val="none" w:sz="0" w:space="0" w:color="auto"/>
          <w:bottom w:val="none" w:sz="0" w:space="0" w:color="auto"/>
          <w:right w:val="none" w:sz="0" w:space="0" w:color="auto"/>
        </w:pBdr>
        <w:shd w:val="clear" w:color="auto" w:fill="D9D9D9" w:themeFill="background1" w:themeFillShade="D9"/>
        <w:spacing w:line="276" w:lineRule="auto"/>
        <w:rPr>
          <w:color w:val="auto"/>
        </w:rPr>
      </w:pPr>
      <w:r w:rsidRPr="00224B95">
        <w:rPr>
          <w:color w:val="auto"/>
        </w:rPr>
        <w:t xml:space="preserve">To improve the ATO’s visibility of superannuation guarantee contributions made to employees’ superannuation funds, require </w:t>
      </w:r>
      <w:r w:rsidR="00F64C12">
        <w:rPr>
          <w:color w:val="auto"/>
        </w:rPr>
        <w:t>superannuation funds to report</w:t>
      </w:r>
      <w:r w:rsidRPr="00224B95">
        <w:rPr>
          <w:color w:val="auto"/>
        </w:rPr>
        <w:t xml:space="preserve"> </w:t>
      </w:r>
      <w:r>
        <w:rPr>
          <w:color w:val="auto"/>
        </w:rPr>
        <w:t xml:space="preserve">detailed </w:t>
      </w:r>
      <w:r w:rsidR="00F64C12">
        <w:rPr>
          <w:color w:val="auto"/>
        </w:rPr>
        <w:t xml:space="preserve">contributions </w:t>
      </w:r>
      <w:r>
        <w:rPr>
          <w:color w:val="auto"/>
        </w:rPr>
        <w:t xml:space="preserve">payment </w:t>
      </w:r>
      <w:r w:rsidRPr="00224B95">
        <w:rPr>
          <w:color w:val="auto"/>
        </w:rPr>
        <w:t xml:space="preserve">information more frequently. </w:t>
      </w:r>
      <w:r>
        <w:rPr>
          <w:color w:val="auto"/>
        </w:rPr>
        <w:t>It is understood t</w:t>
      </w:r>
      <w:r w:rsidRPr="00224B95">
        <w:rPr>
          <w:color w:val="auto"/>
        </w:rPr>
        <w:t xml:space="preserve">his can be </w:t>
      </w:r>
      <w:r>
        <w:rPr>
          <w:color w:val="auto"/>
        </w:rPr>
        <w:t>enacted</w:t>
      </w:r>
      <w:r w:rsidRPr="00224B95">
        <w:rPr>
          <w:color w:val="auto"/>
        </w:rPr>
        <w:t xml:space="preserve"> through the creation of a legislative instrument by the Commissioner of Taxation</w:t>
      </w:r>
      <w:r>
        <w:rPr>
          <w:color w:val="auto"/>
        </w:rPr>
        <w:t xml:space="preserve"> to move from a requirement for superannuation funds to report superannuation contributions</w:t>
      </w:r>
      <w:r w:rsidR="00BF0BCE">
        <w:rPr>
          <w:color w:val="auto"/>
        </w:rPr>
        <w:t xml:space="preserve"> annually</w:t>
      </w:r>
      <w:r w:rsidRPr="00224B95">
        <w:rPr>
          <w:color w:val="auto"/>
        </w:rPr>
        <w:t xml:space="preserve">. </w:t>
      </w:r>
    </w:p>
    <w:p w14:paraId="6A81581B" w14:textId="77777777" w:rsidR="00C56CF6" w:rsidRPr="00224B95" w:rsidRDefault="00C56CF6" w:rsidP="00C56CF6">
      <w:pPr>
        <w:spacing w:line="276" w:lineRule="auto"/>
        <w:rPr>
          <w:color w:val="auto"/>
          <w:sz w:val="6"/>
        </w:rPr>
      </w:pPr>
    </w:p>
    <w:p w14:paraId="358FDA6D" w14:textId="5A4082B9" w:rsidR="00C56CF6" w:rsidRPr="004A3723" w:rsidRDefault="00C56CF6" w:rsidP="00C56CF6">
      <w:pPr>
        <w:pStyle w:val="Boxtext"/>
        <w:keepNext/>
        <w:pBdr>
          <w:top w:val="none" w:sz="0" w:space="0" w:color="auto"/>
          <w:left w:val="none" w:sz="0" w:space="0" w:color="auto"/>
          <w:right w:val="none" w:sz="0" w:space="0" w:color="auto"/>
        </w:pBdr>
        <w:shd w:val="clear" w:color="auto" w:fill="D9D9D9" w:themeFill="background1" w:themeFillShade="D9"/>
        <w:spacing w:line="276" w:lineRule="auto"/>
        <w:rPr>
          <w:b/>
          <w:caps/>
          <w:color w:val="auto"/>
        </w:rPr>
      </w:pPr>
      <w:r w:rsidRPr="004A3723">
        <w:rPr>
          <w:b/>
          <w:caps/>
          <w:color w:val="auto"/>
        </w:rPr>
        <w:t>Recommendation 3</w:t>
      </w:r>
    </w:p>
    <w:p w14:paraId="6ABB5A9E" w14:textId="77777777" w:rsidR="00C56CF6" w:rsidRPr="004A3723" w:rsidRDefault="00C56CF6" w:rsidP="00C56CF6">
      <w:pPr>
        <w:pStyle w:val="Boxtext"/>
        <w:keepNext/>
        <w:pBdr>
          <w:top w:val="none" w:sz="0" w:space="0" w:color="auto"/>
          <w:left w:val="none" w:sz="0" w:space="0" w:color="auto"/>
          <w:bottom w:val="none" w:sz="0" w:space="0" w:color="auto"/>
          <w:right w:val="none" w:sz="0" w:space="0" w:color="auto"/>
        </w:pBdr>
        <w:shd w:val="clear" w:color="auto" w:fill="D9D9D9" w:themeFill="background1" w:themeFillShade="D9"/>
        <w:spacing w:line="276" w:lineRule="auto"/>
        <w:rPr>
          <w:color w:val="auto"/>
        </w:rPr>
      </w:pPr>
      <w:r w:rsidRPr="004A3723">
        <w:t>The ATO should inform employees of its actions to collect their superannuation guarantee, including in ATO-initiated cases where this communication is currently constrained by current secrecy provisions. The ATO and Treasury will advise of the administrative and legal changes needed to inform employees that have not self-reported suspected non-payment to the ATO.</w:t>
      </w:r>
    </w:p>
    <w:p w14:paraId="5B460DD5" w14:textId="77777777" w:rsidR="00A43792" w:rsidRDefault="00A43792" w:rsidP="00A43792"/>
    <w:p w14:paraId="298D9872" w14:textId="77777777" w:rsidR="005453CC" w:rsidRDefault="008567A0" w:rsidP="00224B95">
      <w:pPr>
        <w:pStyle w:val="ListParagraph"/>
        <w:keepNext/>
        <w:numPr>
          <w:ilvl w:val="1"/>
          <w:numId w:val="33"/>
        </w:numPr>
        <w:spacing w:line="360" w:lineRule="auto"/>
        <w:contextualSpacing w:val="0"/>
      </w:pPr>
      <w:r>
        <w:t>Under the</w:t>
      </w:r>
      <w:r w:rsidR="00106EDA">
        <w:t xml:space="preserve"> c</w:t>
      </w:r>
      <w:r w:rsidR="008624EC" w:rsidRPr="008624EC">
        <w:t xml:space="preserve">urrent </w:t>
      </w:r>
      <w:r w:rsidR="0044630C">
        <w:t>superannuation guarantee</w:t>
      </w:r>
      <w:r>
        <w:t xml:space="preserve"> system,</w:t>
      </w:r>
      <w:r w:rsidR="008624EC" w:rsidRPr="008624EC">
        <w:t xml:space="preserve"> the ATO has limited visibility and no timely mechanism by which to monitor employer payment of superannuation guarantee. </w:t>
      </w:r>
    </w:p>
    <w:p w14:paraId="381E0EC1" w14:textId="77777777" w:rsidR="00984CDD" w:rsidRDefault="008624EC" w:rsidP="00224B95">
      <w:pPr>
        <w:pStyle w:val="ListParagraph"/>
        <w:keepNext/>
        <w:numPr>
          <w:ilvl w:val="1"/>
          <w:numId w:val="33"/>
        </w:numPr>
        <w:spacing w:line="360" w:lineRule="auto"/>
        <w:contextualSpacing w:val="0"/>
      </w:pPr>
      <w:r w:rsidRPr="008624EC">
        <w:t>The base on which superannuation guarantee is calculated, ordinary time earnings, is not reported by employers to the ATO</w:t>
      </w:r>
      <w:r w:rsidR="005453CC">
        <w:t xml:space="preserve"> nor is the accrued superannuation guarantee obligation itself</w:t>
      </w:r>
      <w:r w:rsidRPr="008624EC">
        <w:t xml:space="preserve">. </w:t>
      </w:r>
      <w:r w:rsidR="00296CBD">
        <w:t>While e</w:t>
      </w:r>
      <w:r w:rsidR="00296CBD" w:rsidRPr="008624EC">
        <w:t xml:space="preserve">mployer contributions are reported by superannuation funds to the ATO, this reporting suffers from time lags, inability to distinguish between superannuation guarantee payments and other amounts, and difficulty matching contributions to a member’s employer. </w:t>
      </w:r>
    </w:p>
    <w:p w14:paraId="7428C492" w14:textId="77777777" w:rsidR="00641563" w:rsidRDefault="008567A0" w:rsidP="009467B3">
      <w:pPr>
        <w:pStyle w:val="ListParagraph"/>
        <w:numPr>
          <w:ilvl w:val="1"/>
          <w:numId w:val="33"/>
        </w:numPr>
        <w:spacing w:line="360" w:lineRule="auto"/>
        <w:contextualSpacing w:val="0"/>
      </w:pPr>
      <w:r>
        <w:t xml:space="preserve">The Working Group considers that better and </w:t>
      </w:r>
      <w:r w:rsidR="008250EB">
        <w:t>more tim</w:t>
      </w:r>
      <w:r w:rsidR="00F23D75">
        <w:t>el</w:t>
      </w:r>
      <w:r w:rsidR="008250EB">
        <w:t xml:space="preserve">y </w:t>
      </w:r>
      <w:r>
        <w:t xml:space="preserve">data is fundamental to improved </w:t>
      </w:r>
      <w:r w:rsidR="0044630C">
        <w:t>superannuation guarantee</w:t>
      </w:r>
      <w:r>
        <w:t xml:space="preserve"> compliance. </w:t>
      </w:r>
      <w:r w:rsidR="00652E30">
        <w:t xml:space="preserve">The most effective and efficient mechanism for improving compliance </w:t>
      </w:r>
      <w:r w:rsidR="00B13787">
        <w:t>is</w:t>
      </w:r>
      <w:r w:rsidR="00652E30">
        <w:t xml:space="preserve"> through improved visibility</w:t>
      </w:r>
      <w:r w:rsidR="005453CC">
        <w:t xml:space="preserve"> to both employees and the ATO as regulator</w:t>
      </w:r>
      <w:r w:rsidR="00243C6F">
        <w:t xml:space="preserve">. This can be achieved by applying </w:t>
      </w:r>
      <w:r w:rsidR="00652E30">
        <w:t xml:space="preserve">Single Touch Payroll </w:t>
      </w:r>
      <w:r w:rsidR="00B13787">
        <w:t xml:space="preserve">to </w:t>
      </w:r>
      <w:r w:rsidR="00652E30">
        <w:t xml:space="preserve">all employers and requiring more frequent </w:t>
      </w:r>
      <w:r w:rsidR="006B73A9">
        <w:t xml:space="preserve">and detailed </w:t>
      </w:r>
      <w:r w:rsidR="0044630C">
        <w:t>superannuation</w:t>
      </w:r>
      <w:r w:rsidR="00652E30">
        <w:t xml:space="preserve"> fund reporting.</w:t>
      </w:r>
    </w:p>
    <w:p w14:paraId="5B0A19A9" w14:textId="77777777" w:rsidR="008567A0" w:rsidRDefault="00652E30" w:rsidP="00716C3A">
      <w:pPr>
        <w:pStyle w:val="ListParagraph"/>
        <w:numPr>
          <w:ilvl w:val="1"/>
          <w:numId w:val="33"/>
        </w:numPr>
        <w:spacing w:line="360" w:lineRule="auto"/>
        <w:contextualSpacing w:val="0"/>
      </w:pPr>
      <w:r>
        <w:t xml:space="preserve">These initiatives will strengthen </w:t>
      </w:r>
      <w:r w:rsidR="005453CC">
        <w:t xml:space="preserve">both the employee’s and </w:t>
      </w:r>
      <w:r>
        <w:t xml:space="preserve">the ATO’s capacity to </w:t>
      </w:r>
      <w:r w:rsidR="00641563">
        <w:t xml:space="preserve">monitor compliance and to </w:t>
      </w:r>
      <w:r>
        <w:t>identify non</w:t>
      </w:r>
      <w:r>
        <w:noBreakHyphen/>
        <w:t>compliance when it occurs, as well as to improve strategies to prevent it.</w:t>
      </w:r>
    </w:p>
    <w:p w14:paraId="2D875591" w14:textId="77777777" w:rsidR="00A95710" w:rsidRPr="009619DE" w:rsidRDefault="00652E30" w:rsidP="00A95710">
      <w:pPr>
        <w:pStyle w:val="Heading3"/>
      </w:pPr>
      <w:r>
        <w:t xml:space="preserve">Using Single Touch Payroll to improve </w:t>
      </w:r>
      <w:r w:rsidR="00A95710">
        <w:t>compliance</w:t>
      </w:r>
    </w:p>
    <w:p w14:paraId="3BEA681A" w14:textId="7D323555" w:rsidR="00A95710" w:rsidRDefault="00AE199F" w:rsidP="00A335D7">
      <w:pPr>
        <w:pStyle w:val="ListParagraph"/>
        <w:numPr>
          <w:ilvl w:val="1"/>
          <w:numId w:val="33"/>
        </w:numPr>
        <w:spacing w:line="360" w:lineRule="auto"/>
        <w:contextualSpacing w:val="0"/>
      </w:pPr>
      <w:r>
        <w:t>Closer to r</w:t>
      </w:r>
      <w:r w:rsidR="00A95710" w:rsidRPr="00A335D7">
        <w:t>eal</w:t>
      </w:r>
      <w:r>
        <w:noBreakHyphen/>
      </w:r>
      <w:r w:rsidR="00A95710" w:rsidRPr="00A335D7">
        <w:t xml:space="preserve">time visibility of superannuation guarantee </w:t>
      </w:r>
      <w:r w:rsidR="001F1982">
        <w:t>obligations</w:t>
      </w:r>
      <w:r w:rsidR="001F1982" w:rsidRPr="00A335D7">
        <w:t xml:space="preserve"> </w:t>
      </w:r>
      <w:r w:rsidR="00A95710" w:rsidRPr="00A335D7">
        <w:t>and payments will enable the ATO to better monitor superannuation guarantee shortfalls at the employer and employee level and engage earlier.</w:t>
      </w:r>
    </w:p>
    <w:p w14:paraId="2AA891C7" w14:textId="77777777" w:rsidR="00652E30" w:rsidRDefault="00652E30" w:rsidP="00A335D7">
      <w:pPr>
        <w:pStyle w:val="ListParagraph"/>
        <w:numPr>
          <w:ilvl w:val="1"/>
          <w:numId w:val="33"/>
        </w:numPr>
        <w:spacing w:line="360" w:lineRule="auto"/>
        <w:contextualSpacing w:val="0"/>
      </w:pPr>
      <w:r>
        <w:t>The introduction of Single Touch Payroll from 1</w:t>
      </w:r>
      <w:r w:rsidR="001F1982">
        <w:t> </w:t>
      </w:r>
      <w:r>
        <w:t>July 2018 will provide this visibility in relation to employers with 20</w:t>
      </w:r>
      <w:r w:rsidR="005E08FF">
        <w:t> </w:t>
      </w:r>
      <w:r>
        <w:t xml:space="preserve">or more employees. </w:t>
      </w:r>
      <w:r w:rsidR="00A664C5">
        <w:t xml:space="preserve">Employers </w:t>
      </w:r>
      <w:r>
        <w:t xml:space="preserve">will report wages, </w:t>
      </w:r>
      <w:r w:rsidR="00507C0F">
        <w:t xml:space="preserve">superannuation guarantee liabilities </w:t>
      </w:r>
      <w:r>
        <w:t xml:space="preserve">and contributions to the ATO on a </w:t>
      </w:r>
      <w:r w:rsidR="00507C0F">
        <w:t xml:space="preserve">more frequent </w:t>
      </w:r>
      <w:r>
        <w:t>basis</w:t>
      </w:r>
      <w:r w:rsidR="008D6219">
        <w:t xml:space="preserve"> (although</w:t>
      </w:r>
      <w:r w:rsidR="005453CC" w:rsidRPr="005453CC">
        <w:t xml:space="preserve"> </w:t>
      </w:r>
      <w:r w:rsidR="008D6219">
        <w:t>in future</w:t>
      </w:r>
      <w:r w:rsidR="00A664C5">
        <w:t>,</w:t>
      </w:r>
      <w:r w:rsidR="008D6219">
        <w:t xml:space="preserve"> </w:t>
      </w:r>
      <w:r w:rsidR="00A664C5">
        <w:t xml:space="preserve">superannuation </w:t>
      </w:r>
      <w:r w:rsidR="008D6219">
        <w:t>funds may report contributions instead of employers)</w:t>
      </w:r>
      <w:r>
        <w:t xml:space="preserve">. </w:t>
      </w:r>
    </w:p>
    <w:p w14:paraId="1FED3B17" w14:textId="0A34EE46" w:rsidR="005453CC" w:rsidRPr="00353C48" w:rsidRDefault="005453CC" w:rsidP="005453CC">
      <w:pPr>
        <w:pStyle w:val="ListParagraph"/>
        <w:keepNext/>
        <w:numPr>
          <w:ilvl w:val="1"/>
          <w:numId w:val="33"/>
        </w:numPr>
        <w:spacing w:line="360" w:lineRule="auto"/>
        <w:contextualSpacing w:val="0"/>
        <w:rPr>
          <w:color w:val="auto"/>
        </w:rPr>
      </w:pPr>
      <w:r w:rsidRPr="00353C48">
        <w:rPr>
          <w:color w:val="auto"/>
        </w:rPr>
        <w:t xml:space="preserve">There are benefits for employees as well, primarily the ability to be more informed about their superannuation entitlements. For employees (in a superannuation guarantee context), the ATO (through myGov) will be able to make available timely, accurate and consolidated information about two key things: their </w:t>
      </w:r>
      <w:r>
        <w:rPr>
          <w:color w:val="auto"/>
        </w:rPr>
        <w:t xml:space="preserve">superannuation </w:t>
      </w:r>
      <w:r w:rsidR="00CA10E5">
        <w:rPr>
          <w:color w:val="auto"/>
        </w:rPr>
        <w:t>guarantee</w:t>
      </w:r>
      <w:r w:rsidRPr="00353C48">
        <w:rPr>
          <w:color w:val="auto"/>
        </w:rPr>
        <w:t xml:space="preserve"> </w:t>
      </w:r>
      <w:r w:rsidR="00C44854" w:rsidRPr="00353C48">
        <w:rPr>
          <w:color w:val="auto"/>
        </w:rPr>
        <w:t>entitlements;</w:t>
      </w:r>
      <w:r w:rsidRPr="00353C48">
        <w:rPr>
          <w:color w:val="auto"/>
        </w:rPr>
        <w:t xml:space="preserve"> and the amounts that their employers have paid to their superannuation funds. This information will be more visible and accessible to employees as the ATO leverages key ‘intervention’ points (for example, pop-up text that people will see when they are completing their income tax returns) and behavioural insights to ‘nudge’ people to engage if there is a possible shortfall. </w:t>
      </w:r>
    </w:p>
    <w:p w14:paraId="6B0092E1" w14:textId="77777777" w:rsidR="005453CC" w:rsidRDefault="005453CC" w:rsidP="005453CC">
      <w:pPr>
        <w:pStyle w:val="ListParagraph"/>
        <w:numPr>
          <w:ilvl w:val="1"/>
          <w:numId w:val="33"/>
        </w:numPr>
        <w:spacing w:line="360" w:lineRule="auto"/>
        <w:contextualSpacing w:val="0"/>
      </w:pPr>
      <w:r w:rsidRPr="005453CC">
        <w:t>It would be highly beneficial to require small businesses</w:t>
      </w:r>
      <w:r>
        <w:t xml:space="preserve"> to comply with Single Touch Payroll from a superannuation guarantee compliance perspective. The ATO is conducting a pilot due to report in April 2017 to demonstrate the deregulation benefits for businesses, with a focus on small business. </w:t>
      </w:r>
    </w:p>
    <w:p w14:paraId="100FC46B" w14:textId="0FA7456F" w:rsidR="005453CC" w:rsidRDefault="005453CC" w:rsidP="005453CC">
      <w:pPr>
        <w:pStyle w:val="ListParagraph"/>
        <w:numPr>
          <w:ilvl w:val="1"/>
          <w:numId w:val="33"/>
        </w:numPr>
        <w:spacing w:line="360" w:lineRule="auto"/>
        <w:contextualSpacing w:val="0"/>
      </w:pPr>
      <w:r>
        <w:t xml:space="preserve">The Government is due to consider the extension of Single Touch Payroll to small business in the latter half of 2017. The timing of extending Single Touch Payroll to small business is best considered through the </w:t>
      </w:r>
      <w:r w:rsidR="00AE199F">
        <w:t xml:space="preserve">Government approval </w:t>
      </w:r>
      <w:r>
        <w:t>process</w:t>
      </w:r>
      <w:r w:rsidR="00AE199F">
        <w:t>es</w:t>
      </w:r>
      <w:r>
        <w:t>, but could occur at the earliest by 1 July 2019 to provide businesses sufficient time to adapt systems.</w:t>
      </w:r>
    </w:p>
    <w:p w14:paraId="47EEE7F4" w14:textId="77777777" w:rsidR="00A664C5" w:rsidRPr="00A335D7" w:rsidRDefault="00652E30" w:rsidP="00A664C5">
      <w:pPr>
        <w:pStyle w:val="ListParagraph"/>
        <w:numPr>
          <w:ilvl w:val="1"/>
          <w:numId w:val="33"/>
        </w:numPr>
        <w:spacing w:line="360" w:lineRule="auto"/>
        <w:contextualSpacing w:val="0"/>
      </w:pPr>
      <w:r>
        <w:t>I</w:t>
      </w:r>
      <w:r w:rsidR="00A95710" w:rsidRPr="00A335D7">
        <w:t xml:space="preserve">mplementation of Single Touch Payroll </w:t>
      </w:r>
      <w:r w:rsidR="00967106">
        <w:t>means</w:t>
      </w:r>
      <w:r w:rsidR="00A95710" w:rsidRPr="00A335D7">
        <w:t xml:space="preserve"> the ATO </w:t>
      </w:r>
      <w:r w:rsidR="008B004B">
        <w:t>will be in</w:t>
      </w:r>
      <w:r w:rsidR="00A95710" w:rsidRPr="00A335D7">
        <w:t xml:space="preserve"> a better positon to identify non</w:t>
      </w:r>
      <w:r w:rsidR="00967106">
        <w:noBreakHyphen/>
      </w:r>
      <w:r w:rsidR="00A95710" w:rsidRPr="00A335D7">
        <w:t>compliance with greater certainty</w:t>
      </w:r>
      <w:r w:rsidR="008B004B">
        <w:t xml:space="preserve"> and in a </w:t>
      </w:r>
      <w:r w:rsidR="00507C0F">
        <w:t xml:space="preserve">timelier </w:t>
      </w:r>
      <w:r w:rsidR="008B004B">
        <w:t>manner</w:t>
      </w:r>
      <w:r w:rsidR="00A95710" w:rsidRPr="00A335D7">
        <w:t xml:space="preserve">. </w:t>
      </w:r>
      <w:r w:rsidR="00A664C5">
        <w:t xml:space="preserve">It will improve </w:t>
      </w:r>
      <w:r w:rsidR="00A664C5" w:rsidRPr="00A335D7">
        <w:t xml:space="preserve">employer </w:t>
      </w:r>
      <w:r w:rsidR="00A664C5">
        <w:t xml:space="preserve">engagement </w:t>
      </w:r>
      <w:r w:rsidR="00A664C5" w:rsidRPr="00A335D7">
        <w:t xml:space="preserve">by </w:t>
      </w:r>
      <w:r w:rsidR="00A664C5">
        <w:t>ensuring that</w:t>
      </w:r>
      <w:r w:rsidR="00A664C5" w:rsidRPr="00A335D7">
        <w:t xml:space="preserve"> superannuation obligations </w:t>
      </w:r>
      <w:r w:rsidR="00A664C5">
        <w:t xml:space="preserve">are </w:t>
      </w:r>
      <w:r w:rsidR="00A664C5" w:rsidRPr="00A335D7">
        <w:t>front of mind at each payroll cycle.</w:t>
      </w:r>
    </w:p>
    <w:p w14:paraId="3345667D" w14:textId="15FF7531" w:rsidR="00A95710" w:rsidRPr="00A335D7" w:rsidRDefault="00A664C5" w:rsidP="006547F9">
      <w:pPr>
        <w:pStyle w:val="ListParagraph"/>
        <w:numPr>
          <w:ilvl w:val="1"/>
          <w:numId w:val="33"/>
        </w:numPr>
        <w:spacing w:line="360" w:lineRule="auto"/>
        <w:contextualSpacing w:val="0"/>
      </w:pPr>
      <w:r>
        <w:t xml:space="preserve">Single Touch Payroll </w:t>
      </w:r>
      <w:r w:rsidR="00652E30">
        <w:t>will</w:t>
      </w:r>
      <w:r w:rsidR="00E26D66">
        <w:t xml:space="preserve"> </w:t>
      </w:r>
      <w:r w:rsidR="00113FC0">
        <w:t xml:space="preserve">also </w:t>
      </w:r>
      <w:r w:rsidR="00E26D66">
        <w:t xml:space="preserve">allow the ATO to </w:t>
      </w:r>
      <w:r w:rsidR="00652E30">
        <w:t>implement</w:t>
      </w:r>
      <w:r w:rsidR="00E26D66">
        <w:t xml:space="preserve"> preventative measures</w:t>
      </w:r>
      <w:r>
        <w:t xml:space="preserve"> for employers</w:t>
      </w:r>
      <w:r w:rsidR="00E26D66">
        <w:t>, such as</w:t>
      </w:r>
      <w:r>
        <w:t>:</w:t>
      </w:r>
      <w:r w:rsidR="00E26D66">
        <w:t xml:space="preserve"> adopting ‘nudge’ strategies</w:t>
      </w:r>
      <w:r>
        <w:t>;</w:t>
      </w:r>
      <w:r w:rsidR="00444714">
        <w:t xml:space="preserve"> </w:t>
      </w:r>
      <w:r w:rsidR="004B5EE4">
        <w:t>send</w:t>
      </w:r>
      <w:r>
        <w:t>ing</w:t>
      </w:r>
      <w:r w:rsidR="004B5EE4">
        <w:t xml:space="preserve"> SMS payment reminders</w:t>
      </w:r>
      <w:r>
        <w:t>;</w:t>
      </w:r>
      <w:r w:rsidR="004B5EE4">
        <w:t xml:space="preserve"> </w:t>
      </w:r>
      <w:r>
        <w:t xml:space="preserve">and </w:t>
      </w:r>
      <w:r w:rsidR="004B5EE4">
        <w:t>contact</w:t>
      </w:r>
      <w:r>
        <w:t xml:space="preserve">ing them </w:t>
      </w:r>
      <w:r w:rsidR="004B5EE4">
        <w:t>w</w:t>
      </w:r>
      <w:r w:rsidR="004B5EE4" w:rsidRPr="005615CC">
        <w:t>he</w:t>
      </w:r>
      <w:r>
        <w:t>n</w:t>
      </w:r>
      <w:r w:rsidR="004B5EE4" w:rsidRPr="005615CC">
        <w:t xml:space="preserve"> a predicted payment is missed</w:t>
      </w:r>
      <w:r>
        <w:t xml:space="preserve">. The ATO </w:t>
      </w:r>
      <w:r w:rsidR="00B32FB9">
        <w:t xml:space="preserve">could </w:t>
      </w:r>
      <w:r>
        <w:t xml:space="preserve">also </w:t>
      </w:r>
      <w:r w:rsidR="004B5EE4">
        <w:t>take compliance action w</w:t>
      </w:r>
      <w:r w:rsidR="004B5EE4" w:rsidRPr="005615CC">
        <w:t xml:space="preserve">here an employer has a shortfall and has yet to lodge </w:t>
      </w:r>
      <w:r w:rsidR="00731F09">
        <w:t>a Superannuation Guarantee Charge Statement</w:t>
      </w:r>
      <w:r w:rsidR="00E26D66">
        <w:t>.</w:t>
      </w:r>
    </w:p>
    <w:p w14:paraId="3D955EA1" w14:textId="77777777" w:rsidR="000C2B12" w:rsidRPr="00061903" w:rsidRDefault="000C2B12" w:rsidP="00131B30">
      <w:pPr>
        <w:pStyle w:val="Heading3"/>
      </w:pPr>
      <w:r w:rsidRPr="00061903">
        <w:t xml:space="preserve">Additional reporting </w:t>
      </w:r>
      <w:r w:rsidR="006F3451">
        <w:t>by</w:t>
      </w:r>
      <w:r w:rsidR="006F3451" w:rsidRPr="00061903">
        <w:t xml:space="preserve"> </w:t>
      </w:r>
      <w:r w:rsidRPr="00061903">
        <w:t xml:space="preserve">superannuation funds </w:t>
      </w:r>
      <w:r w:rsidR="006F3451" w:rsidRPr="00061903">
        <w:t>on employer contributions</w:t>
      </w:r>
    </w:p>
    <w:p w14:paraId="265C1D08" w14:textId="1A9F1952" w:rsidR="000C2B12" w:rsidRPr="001008C5" w:rsidRDefault="000C2B12" w:rsidP="001008C5">
      <w:pPr>
        <w:pStyle w:val="ListParagraph"/>
        <w:numPr>
          <w:ilvl w:val="1"/>
          <w:numId w:val="33"/>
        </w:numPr>
        <w:spacing w:line="360" w:lineRule="auto"/>
        <w:contextualSpacing w:val="0"/>
      </w:pPr>
      <w:r w:rsidRPr="00E63D79">
        <w:rPr>
          <w:rFonts w:eastAsiaTheme="minorHAnsi"/>
        </w:rPr>
        <w:t>Currently</w:t>
      </w:r>
      <w:r w:rsidR="006634FC">
        <w:rPr>
          <w:rFonts w:eastAsiaTheme="minorHAnsi"/>
        </w:rPr>
        <w:t>,</w:t>
      </w:r>
      <w:r w:rsidRPr="00E63D79">
        <w:rPr>
          <w:rFonts w:eastAsiaTheme="minorHAnsi"/>
        </w:rPr>
        <w:t xml:space="preserve"> superannuation funds report</w:t>
      </w:r>
      <w:r w:rsidR="00523427">
        <w:rPr>
          <w:rFonts w:eastAsiaTheme="minorHAnsi"/>
        </w:rPr>
        <w:t xml:space="preserve"> member information each October to the ATO </w:t>
      </w:r>
      <w:r w:rsidRPr="00E63D79">
        <w:rPr>
          <w:rFonts w:eastAsiaTheme="minorHAnsi"/>
        </w:rPr>
        <w:t xml:space="preserve"> </w:t>
      </w:r>
      <w:r w:rsidR="00500037">
        <w:rPr>
          <w:rFonts w:eastAsiaTheme="minorHAnsi"/>
        </w:rPr>
        <w:t>,</w:t>
      </w:r>
      <w:r w:rsidRPr="00E63D79">
        <w:rPr>
          <w:rFonts w:eastAsiaTheme="minorHAnsi"/>
        </w:rPr>
        <w:t xml:space="preserve"> including contributions and </w:t>
      </w:r>
      <w:r>
        <w:rPr>
          <w:rFonts w:eastAsiaTheme="minorHAnsi"/>
        </w:rPr>
        <w:t xml:space="preserve">a </w:t>
      </w:r>
      <w:r w:rsidRPr="00E63D79">
        <w:rPr>
          <w:rFonts w:eastAsiaTheme="minorHAnsi"/>
        </w:rPr>
        <w:t xml:space="preserve">financial </w:t>
      </w:r>
      <w:r w:rsidRPr="009242D6">
        <w:rPr>
          <w:rFonts w:eastAsiaTheme="minorHAnsi"/>
        </w:rPr>
        <w:t>year end balance</w:t>
      </w:r>
      <w:r w:rsidR="00500037" w:rsidRPr="009242D6">
        <w:rPr>
          <w:rFonts w:eastAsiaTheme="minorHAnsi"/>
        </w:rPr>
        <w:t>,</w:t>
      </w:r>
      <w:r w:rsidRPr="009242D6">
        <w:rPr>
          <w:rFonts w:eastAsiaTheme="minorHAnsi"/>
        </w:rPr>
        <w:t xml:space="preserve"> through the Member Contribution Statement. </w:t>
      </w:r>
    </w:p>
    <w:p w14:paraId="36D28DE1" w14:textId="649B169C" w:rsidR="00221E40" w:rsidRDefault="006634FC" w:rsidP="0024571E">
      <w:pPr>
        <w:pStyle w:val="ListParagraph"/>
        <w:numPr>
          <w:ilvl w:val="1"/>
          <w:numId w:val="33"/>
        </w:numPr>
        <w:spacing w:line="360" w:lineRule="auto"/>
        <w:contextualSpacing w:val="0"/>
        <w:rPr>
          <w:rFonts w:eastAsiaTheme="minorHAnsi"/>
        </w:rPr>
      </w:pPr>
      <w:r>
        <w:rPr>
          <w:rFonts w:eastAsiaTheme="minorHAnsi"/>
        </w:rPr>
        <w:t>As</w:t>
      </w:r>
      <w:r w:rsidR="008132CA">
        <w:rPr>
          <w:rFonts w:eastAsiaTheme="minorHAnsi"/>
        </w:rPr>
        <w:t xml:space="preserve"> a result of the 2016</w:t>
      </w:r>
      <w:r w:rsidR="00731F09">
        <w:rPr>
          <w:rFonts w:eastAsiaTheme="minorHAnsi"/>
        </w:rPr>
        <w:noBreakHyphen/>
        <w:t>17</w:t>
      </w:r>
      <w:r w:rsidR="008132CA">
        <w:rPr>
          <w:rFonts w:eastAsiaTheme="minorHAnsi"/>
        </w:rPr>
        <w:t xml:space="preserve"> Superannuation Budget Measures</w:t>
      </w:r>
      <w:r>
        <w:rPr>
          <w:rFonts w:eastAsiaTheme="minorHAnsi"/>
        </w:rPr>
        <w:t xml:space="preserve">, there is a recognition by </w:t>
      </w:r>
      <w:r w:rsidR="00731F09">
        <w:rPr>
          <w:rFonts w:eastAsiaTheme="minorHAnsi"/>
        </w:rPr>
        <w:t xml:space="preserve">superannuation </w:t>
      </w:r>
      <w:r>
        <w:rPr>
          <w:rFonts w:eastAsiaTheme="minorHAnsi"/>
        </w:rPr>
        <w:t>funds and the ATO of the</w:t>
      </w:r>
      <w:r w:rsidR="008132CA">
        <w:rPr>
          <w:rFonts w:eastAsiaTheme="minorHAnsi"/>
        </w:rPr>
        <w:t xml:space="preserve"> need for more timely and ‘event</w:t>
      </w:r>
      <w:r w:rsidR="008132CA">
        <w:rPr>
          <w:rFonts w:eastAsiaTheme="minorHAnsi"/>
        </w:rPr>
        <w:noBreakHyphen/>
        <w:t>based’ reporting by superannuation funds</w:t>
      </w:r>
      <w:r>
        <w:rPr>
          <w:rFonts w:eastAsiaTheme="minorHAnsi"/>
        </w:rPr>
        <w:t xml:space="preserve">. </w:t>
      </w:r>
    </w:p>
    <w:p w14:paraId="4699BFA3" w14:textId="70CFE2B0" w:rsidR="008132CA" w:rsidRDefault="006634FC" w:rsidP="0024571E">
      <w:pPr>
        <w:pStyle w:val="ListParagraph"/>
        <w:numPr>
          <w:ilvl w:val="1"/>
          <w:numId w:val="33"/>
        </w:numPr>
        <w:spacing w:line="360" w:lineRule="auto"/>
        <w:contextualSpacing w:val="0"/>
        <w:rPr>
          <w:rFonts w:eastAsiaTheme="minorHAnsi"/>
        </w:rPr>
      </w:pPr>
      <w:r>
        <w:rPr>
          <w:rFonts w:eastAsiaTheme="minorHAnsi"/>
        </w:rPr>
        <w:t>I</w:t>
      </w:r>
      <w:r w:rsidR="008132CA">
        <w:rPr>
          <w:rFonts w:eastAsiaTheme="minorHAnsi"/>
        </w:rPr>
        <w:t>n March</w:t>
      </w:r>
      <w:r w:rsidR="00CF3597">
        <w:rPr>
          <w:rFonts w:eastAsiaTheme="minorHAnsi"/>
        </w:rPr>
        <w:t> </w:t>
      </w:r>
      <w:r w:rsidR="008132CA">
        <w:rPr>
          <w:rFonts w:eastAsiaTheme="minorHAnsi"/>
        </w:rPr>
        <w:t>2017</w:t>
      </w:r>
      <w:r>
        <w:rPr>
          <w:rFonts w:eastAsiaTheme="minorHAnsi"/>
        </w:rPr>
        <w:t>,</w:t>
      </w:r>
      <w:r w:rsidR="008132CA">
        <w:rPr>
          <w:rFonts w:eastAsiaTheme="minorHAnsi"/>
        </w:rPr>
        <w:t xml:space="preserve"> the ATO </w:t>
      </w:r>
      <w:r>
        <w:rPr>
          <w:rFonts w:eastAsiaTheme="minorHAnsi"/>
        </w:rPr>
        <w:t>and</w:t>
      </w:r>
      <w:r w:rsidR="008132CA">
        <w:rPr>
          <w:rFonts w:eastAsiaTheme="minorHAnsi"/>
        </w:rPr>
        <w:t xml:space="preserve"> key superannuation industry participants </w:t>
      </w:r>
      <w:r>
        <w:rPr>
          <w:rFonts w:eastAsiaTheme="minorHAnsi"/>
        </w:rPr>
        <w:t>began exploring</w:t>
      </w:r>
      <w:r w:rsidR="008132CA">
        <w:rPr>
          <w:rFonts w:eastAsiaTheme="minorHAnsi"/>
        </w:rPr>
        <w:t xml:space="preserve"> the feasibility of moving to ‘event</w:t>
      </w:r>
      <w:r w:rsidR="008132CA">
        <w:rPr>
          <w:rFonts w:eastAsiaTheme="minorHAnsi"/>
        </w:rPr>
        <w:noBreakHyphen/>
        <w:t>based reporting’ for a range of ATO requirements for the administration of superannuation. A model, design principles and a proposed 12</w:t>
      </w:r>
      <w:r w:rsidR="008132CA">
        <w:rPr>
          <w:rFonts w:eastAsiaTheme="minorHAnsi"/>
        </w:rPr>
        <w:noBreakHyphen/>
        <w:t>18</w:t>
      </w:r>
      <w:r w:rsidR="00731F09">
        <w:rPr>
          <w:rFonts w:eastAsiaTheme="minorHAnsi"/>
        </w:rPr>
        <w:t> </w:t>
      </w:r>
      <w:r w:rsidR="008132CA">
        <w:rPr>
          <w:rFonts w:eastAsiaTheme="minorHAnsi"/>
        </w:rPr>
        <w:t>month</w:t>
      </w:r>
      <w:r w:rsidR="002E05A7">
        <w:rPr>
          <w:rFonts w:eastAsiaTheme="minorHAnsi"/>
        </w:rPr>
        <w:t xml:space="preserve"> indicative timetable</w:t>
      </w:r>
      <w:r w:rsidR="006547F9">
        <w:rPr>
          <w:rFonts w:eastAsiaTheme="minorHAnsi"/>
        </w:rPr>
        <w:t xml:space="preserve"> </w:t>
      </w:r>
      <w:r w:rsidR="008132CA">
        <w:rPr>
          <w:rFonts w:eastAsiaTheme="minorHAnsi"/>
        </w:rPr>
        <w:t xml:space="preserve">is currently </w:t>
      </w:r>
      <w:r w:rsidR="00A93008">
        <w:rPr>
          <w:rFonts w:eastAsiaTheme="minorHAnsi"/>
        </w:rPr>
        <w:t xml:space="preserve">being considered by </w:t>
      </w:r>
      <w:r w:rsidR="008132CA">
        <w:rPr>
          <w:rFonts w:eastAsiaTheme="minorHAnsi"/>
        </w:rPr>
        <w:t>senior executives of APRA</w:t>
      </w:r>
      <w:r w:rsidR="005B491B">
        <w:rPr>
          <w:rFonts w:eastAsiaTheme="minorHAnsi"/>
        </w:rPr>
        <w:noBreakHyphen/>
        <w:t>regulated</w:t>
      </w:r>
      <w:r w:rsidR="008132CA">
        <w:rPr>
          <w:rFonts w:eastAsiaTheme="minorHAnsi"/>
        </w:rPr>
        <w:t xml:space="preserve"> funds. A component of ‘event</w:t>
      </w:r>
      <w:r w:rsidR="008132CA">
        <w:rPr>
          <w:rFonts w:eastAsiaTheme="minorHAnsi"/>
        </w:rPr>
        <w:noBreakHyphen/>
        <w:t xml:space="preserve">based reporting’ is that funds will be responsible for reporting all contributions </w:t>
      </w:r>
      <w:r w:rsidR="008132CA" w:rsidRPr="004F6245">
        <w:rPr>
          <w:rFonts w:eastAsiaTheme="minorHAnsi"/>
        </w:rPr>
        <w:t>(including employer</w:t>
      </w:r>
      <w:r w:rsidR="008132CA">
        <w:rPr>
          <w:rFonts w:eastAsiaTheme="minorHAnsi"/>
        </w:rPr>
        <w:t xml:space="preserve"> superannuation guarantee</w:t>
      </w:r>
      <w:r w:rsidR="008132CA" w:rsidRPr="004F6245">
        <w:rPr>
          <w:rFonts w:eastAsiaTheme="minorHAnsi"/>
        </w:rPr>
        <w:t xml:space="preserve"> contributions) to the ATO when they are received.</w:t>
      </w:r>
      <w:r w:rsidR="008132CA">
        <w:rPr>
          <w:rFonts w:eastAsiaTheme="minorHAnsi"/>
        </w:rPr>
        <w:t xml:space="preserve"> </w:t>
      </w:r>
      <w:r w:rsidR="00FD417F">
        <w:t>This event</w:t>
      </w:r>
      <w:r w:rsidR="00731F09">
        <w:noBreakHyphen/>
      </w:r>
      <w:r w:rsidR="00FD417F">
        <w:t xml:space="preserve">based approach is still subject to </w:t>
      </w:r>
      <w:r w:rsidR="00FD417F" w:rsidRPr="0024571E">
        <w:t>design</w:t>
      </w:r>
      <w:r w:rsidR="00FD417F">
        <w:t>,</w:t>
      </w:r>
      <w:r w:rsidR="00FD417F" w:rsidRPr="0024571E">
        <w:t xml:space="preserve"> compliance costs</w:t>
      </w:r>
      <w:r w:rsidR="00FD417F">
        <w:t xml:space="preserve"> and some legislative change.</w:t>
      </w:r>
    </w:p>
    <w:p w14:paraId="1359B452" w14:textId="72385F9D" w:rsidR="00221E40" w:rsidRDefault="00221E40" w:rsidP="00221E40">
      <w:pPr>
        <w:pStyle w:val="ListParagraph"/>
        <w:numPr>
          <w:ilvl w:val="1"/>
          <w:numId w:val="33"/>
        </w:numPr>
        <w:spacing w:line="360" w:lineRule="auto"/>
        <w:contextualSpacing w:val="0"/>
      </w:pPr>
      <w:r>
        <w:t xml:space="preserve">Such action would ensure that the ATO receives timely reporting of all employer contributions, including in relation to small businesses. For </w:t>
      </w:r>
      <w:r w:rsidRPr="009242D6">
        <w:t>employer</w:t>
      </w:r>
      <w:r>
        <w:t>s,</w:t>
      </w:r>
      <w:r w:rsidRPr="009242D6">
        <w:t xml:space="preserve"> it </w:t>
      </w:r>
      <w:r>
        <w:t>would mean that</w:t>
      </w:r>
      <w:r w:rsidRPr="009242D6">
        <w:t xml:space="preserve"> Single Touch Payroll obligations </w:t>
      </w:r>
      <w:r>
        <w:t xml:space="preserve">in respect of contributions information would be satisfied </w:t>
      </w:r>
      <w:r w:rsidR="00731F09">
        <w:t>by</w:t>
      </w:r>
      <w:r w:rsidR="00731F09" w:rsidRPr="009242D6">
        <w:t xml:space="preserve"> </w:t>
      </w:r>
      <w:r w:rsidRPr="009242D6">
        <w:t>superannuation funds.</w:t>
      </w:r>
    </w:p>
    <w:p w14:paraId="73677B0A" w14:textId="71439B63" w:rsidR="0024571E" w:rsidRPr="0024571E" w:rsidRDefault="008132CA" w:rsidP="006634FC">
      <w:pPr>
        <w:pStyle w:val="ListParagraph"/>
        <w:numPr>
          <w:ilvl w:val="1"/>
          <w:numId w:val="33"/>
        </w:numPr>
        <w:spacing w:line="360" w:lineRule="auto"/>
        <w:contextualSpacing w:val="0"/>
      </w:pPr>
      <w:r w:rsidRPr="008132CA">
        <w:rPr>
          <w:rFonts w:eastAsiaTheme="minorHAnsi"/>
        </w:rPr>
        <w:t>The Working Group note</w:t>
      </w:r>
      <w:r w:rsidR="00FD417F">
        <w:rPr>
          <w:rFonts w:eastAsiaTheme="minorHAnsi"/>
        </w:rPr>
        <w:t>s</w:t>
      </w:r>
      <w:r w:rsidR="00A30A60">
        <w:rPr>
          <w:rFonts w:eastAsiaTheme="minorHAnsi"/>
        </w:rPr>
        <w:t xml:space="preserve"> </w:t>
      </w:r>
      <w:r w:rsidRPr="008132CA">
        <w:rPr>
          <w:rFonts w:eastAsiaTheme="minorHAnsi"/>
        </w:rPr>
        <w:t>that issues such as information privacy, implementation costs</w:t>
      </w:r>
      <w:r w:rsidR="00A93008">
        <w:rPr>
          <w:rFonts w:eastAsiaTheme="minorHAnsi"/>
        </w:rPr>
        <w:t>,</w:t>
      </w:r>
      <w:r w:rsidRPr="008132CA">
        <w:rPr>
          <w:rFonts w:eastAsiaTheme="minorHAnsi"/>
        </w:rPr>
        <w:t xml:space="preserve"> and data use and storage are being considered (as at the time of writing).</w:t>
      </w:r>
    </w:p>
    <w:p w14:paraId="63E812E3" w14:textId="77B8F69A" w:rsidR="00873A30" w:rsidRPr="001008C5" w:rsidRDefault="008D6219" w:rsidP="006D4285">
      <w:pPr>
        <w:pStyle w:val="ListParagraph"/>
        <w:keepNext/>
        <w:numPr>
          <w:ilvl w:val="1"/>
          <w:numId w:val="33"/>
        </w:numPr>
        <w:spacing w:line="360" w:lineRule="auto"/>
        <w:contextualSpacing w:val="0"/>
      </w:pPr>
      <w:r>
        <w:t xml:space="preserve">More regular </w:t>
      </w:r>
      <w:r w:rsidR="00873A30">
        <w:t xml:space="preserve">(and detailed) </w:t>
      </w:r>
      <w:r>
        <w:t xml:space="preserve">reporting </w:t>
      </w:r>
      <w:r w:rsidRPr="001008C5">
        <w:t>on superannuation contributions</w:t>
      </w:r>
      <w:r>
        <w:t xml:space="preserve"> by funds to</w:t>
      </w:r>
      <w:r w:rsidR="000C2B12" w:rsidRPr="001008C5">
        <w:t xml:space="preserve"> the ATO would enable </w:t>
      </w:r>
      <w:r w:rsidR="00221E40">
        <w:t>the ATO</w:t>
      </w:r>
      <w:r w:rsidR="00221E40" w:rsidRPr="001008C5">
        <w:t xml:space="preserve"> </w:t>
      </w:r>
      <w:r w:rsidR="000C2B12" w:rsidRPr="001008C5">
        <w:t xml:space="preserve">to undertake more timely compliance activity. </w:t>
      </w:r>
      <w:r w:rsidR="002814C4">
        <w:rPr>
          <w:color w:val="auto"/>
        </w:rPr>
        <w:t xml:space="preserve">Specifically the ATO could </w:t>
      </w:r>
      <w:r w:rsidR="00221E40">
        <w:rPr>
          <w:color w:val="auto"/>
        </w:rPr>
        <w:t xml:space="preserve">act </w:t>
      </w:r>
      <w:r w:rsidR="002814C4">
        <w:rPr>
          <w:color w:val="auto"/>
        </w:rPr>
        <w:t xml:space="preserve">if contributions cease in respect of a large proportion of a business’ employees and could identify potentially insolvent businesses </w:t>
      </w:r>
      <w:r w:rsidR="002814C4" w:rsidRPr="006E5CEB">
        <w:rPr>
          <w:color w:val="auto"/>
        </w:rPr>
        <w:t>earlier</w:t>
      </w:r>
      <w:r w:rsidR="002814C4">
        <w:rPr>
          <w:color w:val="auto"/>
        </w:rPr>
        <w:t>, enabling more prompt intervention</w:t>
      </w:r>
      <w:r w:rsidR="003D2335">
        <w:rPr>
          <w:color w:val="auto"/>
        </w:rPr>
        <w:t>.</w:t>
      </w:r>
    </w:p>
    <w:p w14:paraId="592969A7" w14:textId="17404B6E" w:rsidR="00221E40" w:rsidRPr="001008C5" w:rsidRDefault="00731F09" w:rsidP="006D4285">
      <w:pPr>
        <w:pStyle w:val="ListParagraph"/>
        <w:keepNext/>
        <w:numPr>
          <w:ilvl w:val="1"/>
          <w:numId w:val="33"/>
        </w:numPr>
        <w:spacing w:line="360" w:lineRule="auto"/>
        <w:contextualSpacing w:val="0"/>
      </w:pPr>
      <w:r>
        <w:rPr>
          <w:rFonts w:eastAsiaTheme="minorHAnsi"/>
        </w:rPr>
        <w:t>A</w:t>
      </w:r>
      <w:r w:rsidR="00221E40">
        <w:rPr>
          <w:rFonts w:eastAsiaTheme="minorHAnsi"/>
        </w:rPr>
        <w:t>t the same time it may also present opportunities to move to the proactive notification of an employee that the ATO has detected apparent non</w:t>
      </w:r>
      <w:r w:rsidR="00221E40">
        <w:rPr>
          <w:rFonts w:eastAsiaTheme="minorHAnsi"/>
        </w:rPr>
        <w:noBreakHyphen/>
        <w:t xml:space="preserve">payment of superannuation guarantee payments and are already investigating the matter. This would have a positive effect </w:t>
      </w:r>
      <w:r>
        <w:rPr>
          <w:rFonts w:eastAsiaTheme="minorHAnsi"/>
        </w:rPr>
        <w:t xml:space="preserve">in </w:t>
      </w:r>
      <w:r w:rsidR="00221E40">
        <w:rPr>
          <w:rFonts w:eastAsiaTheme="minorHAnsi"/>
        </w:rPr>
        <w:t>the confidence of the ATO deal with non</w:t>
      </w:r>
      <w:r w:rsidR="00221E40">
        <w:rPr>
          <w:rFonts w:eastAsiaTheme="minorHAnsi"/>
        </w:rPr>
        <w:noBreakHyphen/>
        <w:t>compliance</w:t>
      </w:r>
    </w:p>
    <w:p w14:paraId="24C707AF" w14:textId="3107FD62" w:rsidR="001062ED" w:rsidRDefault="00873A30" w:rsidP="00224B95">
      <w:pPr>
        <w:pStyle w:val="ListParagraph"/>
        <w:keepNext/>
        <w:numPr>
          <w:ilvl w:val="1"/>
          <w:numId w:val="33"/>
        </w:numPr>
        <w:spacing w:line="360" w:lineRule="auto"/>
        <w:contextualSpacing w:val="0"/>
        <w:rPr>
          <w:color w:val="auto"/>
        </w:rPr>
      </w:pPr>
      <w:r>
        <w:t>Longer term benefits for superannuation funds include</w:t>
      </w:r>
      <w:r>
        <w:rPr>
          <w:color w:val="auto"/>
        </w:rPr>
        <w:t xml:space="preserve"> reduced</w:t>
      </w:r>
      <w:r w:rsidRPr="004335C9">
        <w:rPr>
          <w:color w:val="auto"/>
        </w:rPr>
        <w:t xml:space="preserve"> costs associated with </w:t>
      </w:r>
      <w:r>
        <w:rPr>
          <w:color w:val="auto"/>
        </w:rPr>
        <w:t>the current Member Contribution Statement</w:t>
      </w:r>
      <w:r w:rsidRPr="004335C9">
        <w:rPr>
          <w:color w:val="auto"/>
        </w:rPr>
        <w:t xml:space="preserve"> reporting</w:t>
      </w:r>
      <w:r>
        <w:rPr>
          <w:color w:val="auto"/>
        </w:rPr>
        <w:t>;</w:t>
      </w:r>
      <w:r w:rsidRPr="002814C4">
        <w:rPr>
          <w:color w:val="auto"/>
        </w:rPr>
        <w:t xml:space="preserve"> </w:t>
      </w:r>
      <w:r>
        <w:rPr>
          <w:color w:val="auto"/>
        </w:rPr>
        <w:t>r</w:t>
      </w:r>
      <w:r w:rsidRPr="004335C9">
        <w:rPr>
          <w:color w:val="auto"/>
        </w:rPr>
        <w:t xml:space="preserve">educed </w:t>
      </w:r>
      <w:r>
        <w:rPr>
          <w:color w:val="auto"/>
        </w:rPr>
        <w:t>requirement to engage with</w:t>
      </w:r>
      <w:r w:rsidRPr="004335C9">
        <w:rPr>
          <w:color w:val="auto"/>
        </w:rPr>
        <w:t xml:space="preserve"> employers regarding contributions errors</w:t>
      </w:r>
      <w:r w:rsidR="00731F09">
        <w:rPr>
          <w:color w:val="auto"/>
        </w:rPr>
        <w:t>;</w:t>
      </w:r>
      <w:r w:rsidRPr="002814C4">
        <w:rPr>
          <w:color w:val="auto"/>
        </w:rPr>
        <w:t xml:space="preserve"> </w:t>
      </w:r>
      <w:r>
        <w:rPr>
          <w:color w:val="auto"/>
        </w:rPr>
        <w:t>and likely o</w:t>
      </w:r>
      <w:r w:rsidRPr="004335C9">
        <w:rPr>
          <w:color w:val="auto"/>
        </w:rPr>
        <w:t xml:space="preserve">pportunities to </w:t>
      </w:r>
      <w:r>
        <w:rPr>
          <w:color w:val="auto"/>
        </w:rPr>
        <w:t xml:space="preserve">significantly </w:t>
      </w:r>
      <w:r w:rsidRPr="004335C9">
        <w:rPr>
          <w:color w:val="auto"/>
        </w:rPr>
        <w:t xml:space="preserve">improve services </w:t>
      </w:r>
      <w:r>
        <w:rPr>
          <w:color w:val="auto"/>
        </w:rPr>
        <w:t xml:space="preserve">for </w:t>
      </w:r>
      <w:r w:rsidRPr="004335C9">
        <w:rPr>
          <w:color w:val="auto"/>
        </w:rPr>
        <w:t>members</w:t>
      </w:r>
      <w:r w:rsidR="00615756">
        <w:rPr>
          <w:color w:val="auto"/>
        </w:rPr>
        <w:t>;</w:t>
      </w:r>
      <w:r w:rsidRPr="004335C9">
        <w:rPr>
          <w:color w:val="auto"/>
        </w:rPr>
        <w:t xml:space="preserve"> </w:t>
      </w:r>
      <w:r>
        <w:rPr>
          <w:color w:val="auto"/>
        </w:rPr>
        <w:t>and the provision of more timely information to monitor their superannuation guarantee payments.</w:t>
      </w:r>
    </w:p>
    <w:p w14:paraId="027E7A27" w14:textId="189A84EB" w:rsidR="001062ED" w:rsidRPr="001062ED" w:rsidRDefault="00705682" w:rsidP="00224B95">
      <w:pPr>
        <w:pStyle w:val="ListParagraph"/>
        <w:keepNext/>
        <w:numPr>
          <w:ilvl w:val="1"/>
          <w:numId w:val="33"/>
        </w:numPr>
        <w:spacing w:line="360" w:lineRule="auto"/>
        <w:contextualSpacing w:val="0"/>
        <w:rPr>
          <w:color w:val="auto"/>
        </w:rPr>
      </w:pPr>
      <w:r>
        <w:t>B</w:t>
      </w:r>
      <w:r w:rsidR="001062ED">
        <w:t xml:space="preserve">etter reporting by superannuation funds will improve superannuation guarantee compliance, </w:t>
      </w:r>
      <w:r>
        <w:t xml:space="preserve">however </w:t>
      </w:r>
      <w:r w:rsidR="001062ED">
        <w:t>the Working Group does not consider</w:t>
      </w:r>
      <w:r>
        <w:t xml:space="preserve"> </w:t>
      </w:r>
      <w:r w:rsidR="001062ED">
        <w:t xml:space="preserve">it should be done without the extension of </w:t>
      </w:r>
      <w:r w:rsidR="001062ED" w:rsidRPr="001008C5">
        <w:t>Single Touch Payroll</w:t>
      </w:r>
      <w:r w:rsidR="001062ED">
        <w:t xml:space="preserve"> to small business. </w:t>
      </w:r>
      <w:r>
        <w:t>It</w:t>
      </w:r>
      <w:r w:rsidR="001062ED">
        <w:t xml:space="preserve"> is </w:t>
      </w:r>
      <w:r>
        <w:t>highly beneficial</w:t>
      </w:r>
      <w:r w:rsidR="001062ED">
        <w:t xml:space="preserve"> to have both the employer report </w:t>
      </w:r>
      <w:r w:rsidR="00615756">
        <w:t xml:space="preserve">on ‘pay day’ </w:t>
      </w:r>
      <w:r w:rsidR="001535C0">
        <w:t>(</w:t>
      </w:r>
      <w:r w:rsidR="001062ED">
        <w:t>to the ATO</w:t>
      </w:r>
      <w:r w:rsidR="001535C0">
        <w:t>)</w:t>
      </w:r>
      <w:r w:rsidR="001062ED">
        <w:t xml:space="preserve"> what they </w:t>
      </w:r>
      <w:r w:rsidR="001535C0">
        <w:t>will</w:t>
      </w:r>
      <w:r w:rsidR="001062ED">
        <w:t xml:space="preserve"> pay in superannuation guarantee and then </w:t>
      </w:r>
      <w:r w:rsidR="001535C0">
        <w:t xml:space="preserve">for the ATO to </w:t>
      </w:r>
      <w:r w:rsidR="001062ED">
        <w:t>match the actual payment made to superannuation fund</w:t>
      </w:r>
      <w:r w:rsidR="001535C0">
        <w:t>s</w:t>
      </w:r>
      <w:r w:rsidR="001062ED">
        <w:t>.</w:t>
      </w:r>
    </w:p>
    <w:p w14:paraId="3B18E6B4" w14:textId="2CCAE434" w:rsidR="005A77AB" w:rsidRPr="00F71EF8" w:rsidRDefault="005A77AB" w:rsidP="00F71EF8">
      <w:pPr>
        <w:pStyle w:val="Heading3"/>
        <w:rPr>
          <w:color w:val="auto"/>
        </w:rPr>
      </w:pPr>
      <w:r>
        <w:t xml:space="preserve">Enabling ATO communication with employees in proactive compliance work </w:t>
      </w:r>
    </w:p>
    <w:p w14:paraId="1BD39EC4" w14:textId="77777777" w:rsidR="005A77AB" w:rsidRDefault="005A77AB" w:rsidP="005A77AB">
      <w:pPr>
        <w:pStyle w:val="ListParagraph"/>
        <w:keepNext/>
        <w:numPr>
          <w:ilvl w:val="1"/>
          <w:numId w:val="33"/>
        </w:numPr>
        <w:spacing w:line="360" w:lineRule="auto"/>
        <w:contextualSpacing w:val="0"/>
        <w:rPr>
          <w:color w:val="auto"/>
        </w:rPr>
      </w:pPr>
      <w:r w:rsidRPr="005A77AB">
        <w:rPr>
          <w:color w:val="auto"/>
        </w:rPr>
        <w:t xml:space="preserve">Requiring funds to report superannuation contributions earlier will provide the ATO greater visibility and enable the ATO to undertake more proactive compliance activities. </w:t>
      </w:r>
    </w:p>
    <w:p w14:paraId="2FE57181" w14:textId="77777777" w:rsidR="005A77AB" w:rsidRDefault="005A77AB" w:rsidP="005A77AB">
      <w:pPr>
        <w:pStyle w:val="ListParagraph"/>
        <w:keepNext/>
        <w:numPr>
          <w:ilvl w:val="1"/>
          <w:numId w:val="33"/>
        </w:numPr>
        <w:spacing w:line="360" w:lineRule="auto"/>
        <w:contextualSpacing w:val="0"/>
        <w:rPr>
          <w:color w:val="auto"/>
        </w:rPr>
      </w:pPr>
      <w:r w:rsidRPr="005A77AB">
        <w:rPr>
          <w:color w:val="auto"/>
        </w:rPr>
        <w:t xml:space="preserve">Ideally, the ATO should advise employees (or ex-employees) that it has detected potential non-payment of their superannuation guarantee entitlement and inform them of the actions being undertaken to collect it on their behalf. </w:t>
      </w:r>
    </w:p>
    <w:p w14:paraId="43C23ED4" w14:textId="77777777" w:rsidR="005A77AB" w:rsidRDefault="005A77AB" w:rsidP="005A77AB">
      <w:pPr>
        <w:pStyle w:val="ListParagraph"/>
        <w:keepNext/>
        <w:numPr>
          <w:ilvl w:val="1"/>
          <w:numId w:val="33"/>
        </w:numPr>
        <w:spacing w:line="360" w:lineRule="auto"/>
        <w:contextualSpacing w:val="0"/>
        <w:rPr>
          <w:color w:val="auto"/>
        </w:rPr>
      </w:pPr>
      <w:r w:rsidRPr="005A77AB">
        <w:rPr>
          <w:color w:val="auto"/>
        </w:rPr>
        <w:t>However, while the ATO can provide information to employees who have reported the under</w:t>
      </w:r>
      <w:r>
        <w:rPr>
          <w:color w:val="auto"/>
        </w:rPr>
        <w:noBreakHyphen/>
      </w:r>
      <w:r w:rsidRPr="005A77AB">
        <w:rPr>
          <w:color w:val="auto"/>
        </w:rPr>
        <w:t xml:space="preserve">payment to the ATO, the ATO is constrained under the current secrecy provisions from providing information to employees about its 'proactive' investigations. </w:t>
      </w:r>
    </w:p>
    <w:p w14:paraId="5E60E976" w14:textId="0DF136EA" w:rsidR="005A77AB" w:rsidRPr="001062ED" w:rsidRDefault="005A77AB" w:rsidP="005A77AB">
      <w:pPr>
        <w:pStyle w:val="ListParagraph"/>
        <w:keepNext/>
        <w:numPr>
          <w:ilvl w:val="1"/>
          <w:numId w:val="33"/>
        </w:numPr>
        <w:spacing w:line="360" w:lineRule="auto"/>
        <w:contextualSpacing w:val="0"/>
        <w:rPr>
          <w:color w:val="auto"/>
        </w:rPr>
      </w:pPr>
      <w:r w:rsidRPr="005A77AB">
        <w:rPr>
          <w:color w:val="auto"/>
        </w:rPr>
        <w:t>The Working Group recommends that the ATO should advise employees about the actions it undertakes on their behalf, including in proactive investigations. The ATO and Treasury will examine the existing administrative and legislative barriers to this and provide further advice to Government.</w:t>
      </w:r>
    </w:p>
    <w:p w14:paraId="4920D8C6" w14:textId="77777777" w:rsidR="00562451" w:rsidRPr="001535C0" w:rsidRDefault="00562451" w:rsidP="001535C0">
      <w:pPr>
        <w:pStyle w:val="Heading2"/>
      </w:pPr>
      <w:bookmarkStart w:id="179" w:name="_Toc478651962"/>
      <w:bookmarkStart w:id="180" w:name="_Toc478654423"/>
      <w:bookmarkStart w:id="181" w:name="_Toc478655137"/>
      <w:bookmarkStart w:id="182" w:name="_Toc478656391"/>
      <w:bookmarkStart w:id="183" w:name="_Toc478657642"/>
      <w:bookmarkStart w:id="184" w:name="_Toc478718238"/>
      <w:bookmarkStart w:id="185" w:name="_Toc478718448"/>
      <w:bookmarkStart w:id="186" w:name="_Toc478738397"/>
      <w:bookmarkStart w:id="187" w:name="_Toc478740683"/>
      <w:r w:rsidRPr="001535C0">
        <w:t>Other proposals</w:t>
      </w:r>
      <w:r w:rsidR="00637E3C" w:rsidRPr="001535C0">
        <w:t xml:space="preserve"> not supported by the Working Group</w:t>
      </w:r>
      <w:bookmarkEnd w:id="179"/>
      <w:bookmarkEnd w:id="180"/>
      <w:bookmarkEnd w:id="181"/>
      <w:bookmarkEnd w:id="182"/>
      <w:bookmarkEnd w:id="183"/>
      <w:bookmarkEnd w:id="184"/>
      <w:bookmarkEnd w:id="185"/>
      <w:bookmarkEnd w:id="186"/>
      <w:bookmarkEnd w:id="187"/>
    </w:p>
    <w:p w14:paraId="0C28FD06" w14:textId="7AE9E98F" w:rsidR="008B0DA7" w:rsidRDefault="00562451" w:rsidP="008777A7">
      <w:pPr>
        <w:pStyle w:val="ListParagraph"/>
        <w:numPr>
          <w:ilvl w:val="1"/>
          <w:numId w:val="33"/>
        </w:numPr>
        <w:spacing w:line="360" w:lineRule="auto"/>
        <w:contextualSpacing w:val="0"/>
      </w:pPr>
      <w:r>
        <w:t xml:space="preserve">The Working Group considered </w:t>
      </w:r>
      <w:r w:rsidR="00BD28DC">
        <w:t xml:space="preserve">three </w:t>
      </w:r>
      <w:r>
        <w:t xml:space="preserve">other proposals for improving </w:t>
      </w:r>
      <w:r w:rsidR="0004792B">
        <w:t>superannuation guarantee</w:t>
      </w:r>
      <w:r>
        <w:t xml:space="preserve"> compliance</w:t>
      </w:r>
      <w:r w:rsidR="00221E40">
        <w:t xml:space="preserve"> that have been raised through submissions to the Senate </w:t>
      </w:r>
      <w:r w:rsidR="00615756">
        <w:t>Committee</w:t>
      </w:r>
      <w:r>
        <w:t>.</w:t>
      </w:r>
    </w:p>
    <w:p w14:paraId="1B7F9889" w14:textId="53AE2463" w:rsidR="008B0DA7" w:rsidRDefault="00BD28DC" w:rsidP="008B0DA7">
      <w:pPr>
        <w:pStyle w:val="ListParagraph"/>
        <w:numPr>
          <w:ilvl w:val="1"/>
          <w:numId w:val="33"/>
        </w:numPr>
        <w:spacing w:line="360" w:lineRule="auto"/>
        <w:contextualSpacing w:val="0"/>
      </w:pPr>
      <w:r>
        <w:t xml:space="preserve">The first involves </w:t>
      </w:r>
      <w:r w:rsidR="00615756">
        <w:t xml:space="preserve">a fundamental change to the superannuation guarantee system by </w:t>
      </w:r>
      <w:r>
        <w:t xml:space="preserve">calculating </w:t>
      </w:r>
      <w:r>
        <w:rPr>
          <w:color w:val="auto"/>
        </w:rPr>
        <w:t xml:space="preserve">superannuation guarantee as a flat rate of total salary and wages (rather than ordinary time earnings) and asking employers to remit all superannuation guarantee payments directly to the ATO as part of a single lump sum covering tax and superannuation. The </w:t>
      </w:r>
      <w:r w:rsidR="00615756">
        <w:rPr>
          <w:color w:val="auto"/>
        </w:rPr>
        <w:t xml:space="preserve">second </w:t>
      </w:r>
      <w:r w:rsidR="00221E40">
        <w:rPr>
          <w:color w:val="auto"/>
        </w:rPr>
        <w:t>proposal</w:t>
      </w:r>
      <w:r>
        <w:rPr>
          <w:color w:val="auto"/>
        </w:rPr>
        <w:t xml:space="preserve"> requires </w:t>
      </w:r>
      <w:r w:rsidR="00562451">
        <w:t xml:space="preserve">employers to provide payslip information about actual superannuation guarantee payments (‘payslip reporting’). </w:t>
      </w:r>
      <w:r w:rsidR="00E370BC">
        <w:t xml:space="preserve">The third </w:t>
      </w:r>
      <w:r w:rsidR="00221E40">
        <w:t>proposal</w:t>
      </w:r>
      <w:r w:rsidR="008B0DA7">
        <w:t xml:space="preserve"> </w:t>
      </w:r>
      <w:r w:rsidR="00E370BC">
        <w:t>requires</w:t>
      </w:r>
      <w:r w:rsidR="008B0DA7">
        <w:t xml:space="preserve"> superannuation funds to notify members more frequently about actual contributions received (‘fund notification</w:t>
      </w:r>
      <w:r w:rsidR="00F716AB">
        <w:t xml:space="preserve"> to employees</w:t>
      </w:r>
      <w:r w:rsidR="008B0DA7">
        <w:t xml:space="preserve">’). </w:t>
      </w:r>
    </w:p>
    <w:p w14:paraId="090B92F2" w14:textId="4B7BBC5B" w:rsidR="00562451" w:rsidRPr="00562451" w:rsidRDefault="008B0DA7" w:rsidP="00E15C1F">
      <w:pPr>
        <w:pStyle w:val="ListParagraph"/>
        <w:numPr>
          <w:ilvl w:val="1"/>
          <w:numId w:val="33"/>
        </w:numPr>
        <w:spacing w:line="360" w:lineRule="auto"/>
        <w:contextualSpacing w:val="0"/>
      </w:pPr>
      <w:r>
        <w:t xml:space="preserve">The Working Group does not consider that these proposals would be as effective in boosting </w:t>
      </w:r>
      <w:r w:rsidR="00C85600">
        <w:t>superannuation guarantee</w:t>
      </w:r>
      <w:r>
        <w:t xml:space="preserve"> compliance as more frequent reporting to the ATO by employers and</w:t>
      </w:r>
      <w:r w:rsidR="00E370BC">
        <w:t xml:space="preserve"> superannuation</w:t>
      </w:r>
      <w:r>
        <w:t xml:space="preserve"> funds</w:t>
      </w:r>
      <w:r w:rsidR="00BD28DC">
        <w:t xml:space="preserve"> discussed above</w:t>
      </w:r>
      <w:r>
        <w:t>.</w:t>
      </w:r>
      <w:r w:rsidR="00F716AB">
        <w:t xml:space="preserve"> </w:t>
      </w:r>
    </w:p>
    <w:p w14:paraId="1C10F2DB" w14:textId="77777777" w:rsidR="00444714" w:rsidRDefault="00444714" w:rsidP="00224B95">
      <w:pPr>
        <w:pStyle w:val="Heading3"/>
        <w:rPr>
          <w:b/>
          <w:iCs/>
          <w:color w:val="15565F"/>
          <w:sz w:val="26"/>
        </w:rPr>
      </w:pPr>
      <w:r>
        <w:t xml:space="preserve">Proposals for more fundamental changes to </w:t>
      </w:r>
      <w:r w:rsidR="00C239FF">
        <w:t>superannuation guarantee</w:t>
      </w:r>
      <w:r>
        <w:t xml:space="preserve"> </w:t>
      </w:r>
    </w:p>
    <w:p w14:paraId="51418417" w14:textId="5AB6B99D" w:rsidR="00444714" w:rsidRPr="00353C48" w:rsidRDefault="00444714" w:rsidP="00BF1FCB">
      <w:pPr>
        <w:pStyle w:val="ListParagraph"/>
        <w:numPr>
          <w:ilvl w:val="1"/>
          <w:numId w:val="33"/>
        </w:numPr>
        <w:spacing w:line="360" w:lineRule="auto"/>
        <w:contextualSpacing w:val="0"/>
      </w:pPr>
      <w:r>
        <w:rPr>
          <w:color w:val="auto"/>
        </w:rPr>
        <w:t xml:space="preserve">The Working Group </w:t>
      </w:r>
      <w:r w:rsidR="00221E40">
        <w:rPr>
          <w:color w:val="auto"/>
        </w:rPr>
        <w:t xml:space="preserve">has considered submissions made to the Senate Committee which propose </w:t>
      </w:r>
      <w:r w:rsidRPr="00353C48">
        <w:t xml:space="preserve">fundamental change to Australia’s </w:t>
      </w:r>
      <w:r w:rsidR="00C239FF" w:rsidRPr="00353C48">
        <w:t>superannuation guarantee</w:t>
      </w:r>
      <w:r w:rsidRPr="00353C48">
        <w:t xml:space="preserve"> system. </w:t>
      </w:r>
    </w:p>
    <w:p w14:paraId="59753999" w14:textId="77777777" w:rsidR="00221E40" w:rsidRPr="00353C48" w:rsidRDefault="00444714" w:rsidP="00BF1FCB">
      <w:pPr>
        <w:pStyle w:val="ListParagraph"/>
        <w:numPr>
          <w:ilvl w:val="1"/>
          <w:numId w:val="33"/>
        </w:numPr>
        <w:spacing w:line="360" w:lineRule="auto"/>
        <w:contextualSpacing w:val="0"/>
        <w:rPr>
          <w:color w:val="auto"/>
        </w:rPr>
      </w:pPr>
      <w:r w:rsidRPr="00353C48">
        <w:t xml:space="preserve">The Council of Small Business of Australia (COSBOA) has previously proposed an alternative approach under which </w:t>
      </w:r>
      <w:r w:rsidR="00C239FF" w:rsidRPr="00353C48">
        <w:t>superannuation guarantee</w:t>
      </w:r>
      <w:r w:rsidRPr="00353C48">
        <w:t xml:space="preserve"> is calculated as a flat rate of total salary and wages (rather than </w:t>
      </w:r>
      <w:r w:rsidR="00C239FF" w:rsidRPr="00353C48">
        <w:t>ordinary time earnings</w:t>
      </w:r>
      <w:r w:rsidRPr="00353C48">
        <w:t xml:space="preserve">). </w:t>
      </w:r>
    </w:p>
    <w:p w14:paraId="012F9B39" w14:textId="2EFB9919" w:rsidR="00444714" w:rsidRDefault="00444714" w:rsidP="00BF1FCB">
      <w:pPr>
        <w:pStyle w:val="ListParagraph"/>
        <w:numPr>
          <w:ilvl w:val="1"/>
          <w:numId w:val="33"/>
        </w:numPr>
        <w:spacing w:line="360" w:lineRule="auto"/>
        <w:contextualSpacing w:val="0"/>
        <w:rPr>
          <w:color w:val="auto"/>
        </w:rPr>
      </w:pPr>
      <w:r w:rsidRPr="00353C48">
        <w:t xml:space="preserve">Under this approach, employers would remit all </w:t>
      </w:r>
      <w:r w:rsidR="00C239FF" w:rsidRPr="00353C48">
        <w:t>superannuation guarantee</w:t>
      </w:r>
      <w:r w:rsidRPr="00353C48">
        <w:t xml:space="preserve"> payments directly to the ATO as part of a single lump sum</w:t>
      </w:r>
      <w:r>
        <w:rPr>
          <w:color w:val="auto"/>
        </w:rPr>
        <w:t xml:space="preserve"> covering tax and superannuation. This would occur monthly (for businesses whose annual withholding amount is between $25,000 and $1</w:t>
      </w:r>
      <w:r w:rsidR="00CA12C1">
        <w:rPr>
          <w:color w:val="auto"/>
        </w:rPr>
        <w:t> </w:t>
      </w:r>
      <w:r>
        <w:rPr>
          <w:color w:val="auto"/>
        </w:rPr>
        <w:t xml:space="preserve">million) and quarterly (for businesses whose annual withholding amount is less than $25,000). Responsibility for remitting </w:t>
      </w:r>
      <w:r w:rsidR="00C239FF">
        <w:rPr>
          <w:color w:val="auto"/>
        </w:rPr>
        <w:t>superannuation guarantee</w:t>
      </w:r>
      <w:r>
        <w:rPr>
          <w:color w:val="auto"/>
        </w:rPr>
        <w:t xml:space="preserve"> contributions to the superannuation fund would fall to the ATO.</w:t>
      </w:r>
      <w:r>
        <w:rPr>
          <w:rStyle w:val="FootnoteReference"/>
        </w:rPr>
        <w:footnoteReference w:id="15"/>
      </w:r>
      <w:r>
        <w:rPr>
          <w:color w:val="auto"/>
        </w:rPr>
        <w:t xml:space="preserve"> It is claimed this proposal would reduce compliance costs for small businesses that are currently associated with on</w:t>
      </w:r>
      <w:r w:rsidR="00C239FF">
        <w:rPr>
          <w:color w:val="auto"/>
        </w:rPr>
        <w:noBreakHyphen/>
      </w:r>
      <w:r>
        <w:rPr>
          <w:color w:val="auto"/>
        </w:rPr>
        <w:t xml:space="preserve">boarding new employees and calculating and remitting </w:t>
      </w:r>
      <w:r w:rsidR="00C239FF">
        <w:rPr>
          <w:color w:val="auto"/>
        </w:rPr>
        <w:t>superannuation guarantee</w:t>
      </w:r>
      <w:r>
        <w:rPr>
          <w:color w:val="auto"/>
        </w:rPr>
        <w:t xml:space="preserve"> obligations. </w:t>
      </w:r>
    </w:p>
    <w:p w14:paraId="1A6277C2" w14:textId="583FE4C8" w:rsidR="00221E40" w:rsidRDefault="00221E40" w:rsidP="00BF1FCB">
      <w:pPr>
        <w:pStyle w:val="ListParagraph"/>
        <w:numPr>
          <w:ilvl w:val="1"/>
          <w:numId w:val="33"/>
        </w:numPr>
        <w:spacing w:line="360" w:lineRule="auto"/>
        <w:contextualSpacing w:val="0"/>
        <w:rPr>
          <w:color w:val="auto"/>
        </w:rPr>
      </w:pPr>
      <w:r>
        <w:rPr>
          <w:color w:val="auto"/>
        </w:rPr>
        <w:t>More recently t</w:t>
      </w:r>
      <w:r w:rsidR="00444714">
        <w:rPr>
          <w:color w:val="auto"/>
        </w:rPr>
        <w:t>he Productivity Commission’s draft report on Alternative Default Models</w:t>
      </w:r>
      <w:r w:rsidR="00226E1D">
        <w:rPr>
          <w:color w:val="auto"/>
        </w:rPr>
        <w:t>,</w:t>
      </w:r>
      <w:r w:rsidR="00444714">
        <w:rPr>
          <w:color w:val="auto"/>
        </w:rPr>
        <w:t xml:space="preserve"> </w:t>
      </w:r>
      <w:r>
        <w:rPr>
          <w:color w:val="auto"/>
        </w:rPr>
        <w:t xml:space="preserve">released in March 2017, </w:t>
      </w:r>
      <w:r w:rsidR="00444714">
        <w:rPr>
          <w:color w:val="auto"/>
        </w:rPr>
        <w:t>contains a draft recommendation that the Australian Government should establish a centralised on</w:t>
      </w:r>
      <w:r w:rsidR="00C239FF">
        <w:rPr>
          <w:color w:val="auto"/>
        </w:rPr>
        <w:noBreakHyphen/>
      </w:r>
      <w:r w:rsidR="00444714">
        <w:rPr>
          <w:color w:val="auto"/>
        </w:rPr>
        <w:t>line service that builds on the existing functionality of myGov and Single Touch Payroll that allows members to open, close and consolidate accounts as well as carryover accounts when they change jobs.</w:t>
      </w:r>
      <w:r w:rsidR="00444714">
        <w:rPr>
          <w:rStyle w:val="FootnoteReference"/>
          <w:color w:val="auto"/>
        </w:rPr>
        <w:footnoteReference w:id="16"/>
      </w:r>
      <w:r w:rsidR="00444714">
        <w:rPr>
          <w:color w:val="auto"/>
        </w:rPr>
        <w:t xml:space="preserve"> </w:t>
      </w:r>
    </w:p>
    <w:p w14:paraId="4E98FABC" w14:textId="77777777" w:rsidR="00444714" w:rsidRDefault="00444714" w:rsidP="00BF1FCB">
      <w:pPr>
        <w:pStyle w:val="ListParagraph"/>
        <w:numPr>
          <w:ilvl w:val="1"/>
          <w:numId w:val="33"/>
        </w:numPr>
        <w:spacing w:line="360" w:lineRule="auto"/>
        <w:contextualSpacing w:val="0"/>
        <w:rPr>
          <w:color w:val="auto"/>
        </w:rPr>
      </w:pPr>
      <w:r>
        <w:rPr>
          <w:color w:val="auto"/>
        </w:rPr>
        <w:t>The draft report also considers the case for a central clearing house as a means of promoting competition and reducing multiple accounts. It does not make any recommendations on this issue.</w:t>
      </w:r>
    </w:p>
    <w:p w14:paraId="5DD7D88C" w14:textId="77777777" w:rsidR="00221E40" w:rsidRDefault="00444714" w:rsidP="00BF1FCB">
      <w:pPr>
        <w:pStyle w:val="ListParagraph"/>
        <w:numPr>
          <w:ilvl w:val="1"/>
          <w:numId w:val="33"/>
        </w:numPr>
        <w:spacing w:line="360" w:lineRule="auto"/>
        <w:contextualSpacing w:val="0"/>
        <w:rPr>
          <w:color w:val="auto"/>
        </w:rPr>
      </w:pPr>
      <w:r>
        <w:rPr>
          <w:color w:val="auto"/>
        </w:rPr>
        <w:t>Consistent with its terms of reference, the focus of the Working Group has been on improving the operation of the current system</w:t>
      </w:r>
      <w:r w:rsidR="00221E40">
        <w:rPr>
          <w:color w:val="auto"/>
        </w:rPr>
        <w:t xml:space="preserve"> and these recommendations have not been considered</w:t>
      </w:r>
      <w:r>
        <w:rPr>
          <w:color w:val="auto"/>
        </w:rPr>
        <w:t xml:space="preserve">. </w:t>
      </w:r>
    </w:p>
    <w:p w14:paraId="3C9B57B7" w14:textId="604B3BEB" w:rsidR="00221E40" w:rsidRPr="00221E40" w:rsidRDefault="00221E40" w:rsidP="00BF1FCB">
      <w:pPr>
        <w:pStyle w:val="ListParagraph"/>
        <w:numPr>
          <w:ilvl w:val="1"/>
          <w:numId w:val="33"/>
        </w:numPr>
        <w:spacing w:line="360" w:lineRule="auto"/>
        <w:contextualSpacing w:val="0"/>
        <w:rPr>
          <w:color w:val="auto"/>
        </w:rPr>
      </w:pPr>
      <w:r w:rsidRPr="00221E40">
        <w:rPr>
          <w:color w:val="auto"/>
        </w:rPr>
        <w:t>However, it is acknowledged that the move to effectively a ‘withholding system’ for the collection of superannuation guarantee would place the ATO in the middle of a set of transactions and require extensive investment in systems development as well as risk delays in the transmission of payments to a members</w:t>
      </w:r>
      <w:r w:rsidR="00226E1D">
        <w:rPr>
          <w:color w:val="auto"/>
        </w:rPr>
        <w:t>’</w:t>
      </w:r>
      <w:r w:rsidRPr="00221E40">
        <w:rPr>
          <w:color w:val="auto"/>
        </w:rPr>
        <w:t xml:space="preserve"> superannuation fund, at a time when SuperStream has significantly sped this process up through electronic messaging. </w:t>
      </w:r>
    </w:p>
    <w:p w14:paraId="2E80CDB1" w14:textId="258DD144" w:rsidR="00221E40" w:rsidRPr="00353C48" w:rsidRDefault="00221E40" w:rsidP="00BF1FCB">
      <w:pPr>
        <w:pStyle w:val="ListParagraph"/>
        <w:numPr>
          <w:ilvl w:val="1"/>
          <w:numId w:val="33"/>
        </w:numPr>
        <w:spacing w:line="360" w:lineRule="auto"/>
        <w:contextualSpacing w:val="0"/>
        <w:rPr>
          <w:color w:val="auto"/>
        </w:rPr>
      </w:pPr>
      <w:r>
        <w:rPr>
          <w:color w:val="auto"/>
        </w:rPr>
        <w:t>The Working Group also notes that these initiatives and the existence of the Small Business Superannuation Clearing House deliver many of the efficiencies that COSBOA’s proposal aims to achieve. SuperStream has simplified the transfer of superannuation guarantee contributions data between employers and superannuation funds. It has allowed employers to send their entire superannuation guarantee contributions data to their employer</w:t>
      </w:r>
      <w:r>
        <w:rPr>
          <w:color w:val="auto"/>
        </w:rPr>
        <w:noBreakHyphen/>
        <w:t xml:space="preserve">nominated (default) superannuation fund and the default fund is then required to pass the data </w:t>
      </w:r>
      <w:r w:rsidR="00226E1D">
        <w:rPr>
          <w:color w:val="auto"/>
        </w:rPr>
        <w:t xml:space="preserve">and payment </w:t>
      </w:r>
      <w:r>
        <w:rPr>
          <w:color w:val="auto"/>
        </w:rPr>
        <w:t>to the employee’s correct fund.</w:t>
      </w:r>
    </w:p>
    <w:p w14:paraId="1E5FBA59" w14:textId="77777777" w:rsidR="00221E40" w:rsidRDefault="00221E40" w:rsidP="00BF1FCB">
      <w:pPr>
        <w:pStyle w:val="ListParagraph"/>
        <w:numPr>
          <w:ilvl w:val="1"/>
          <w:numId w:val="33"/>
        </w:numPr>
        <w:spacing w:line="360" w:lineRule="auto"/>
        <w:contextualSpacing w:val="0"/>
        <w:rPr>
          <w:color w:val="auto"/>
        </w:rPr>
      </w:pPr>
      <w:r>
        <w:rPr>
          <w:color w:val="auto"/>
        </w:rPr>
        <w:t xml:space="preserve">Both the COSBOA proposal and the draft recommendation from the Productivity Commissioner also need to be considered in light of the significant level of investment by government and the superannuation industry in the SuperStream program. </w:t>
      </w:r>
    </w:p>
    <w:p w14:paraId="597CA0E7" w14:textId="77777777" w:rsidR="00444714" w:rsidRDefault="00444714" w:rsidP="00BF1FCB">
      <w:pPr>
        <w:pStyle w:val="ListParagraph"/>
        <w:numPr>
          <w:ilvl w:val="1"/>
          <w:numId w:val="33"/>
        </w:numPr>
        <w:spacing w:line="360" w:lineRule="auto"/>
        <w:contextualSpacing w:val="0"/>
        <w:rPr>
          <w:color w:val="auto"/>
        </w:rPr>
      </w:pPr>
      <w:r>
        <w:rPr>
          <w:color w:val="auto"/>
        </w:rPr>
        <w:t xml:space="preserve">The Working Group considers that substantial improvements in </w:t>
      </w:r>
      <w:r w:rsidR="00A926EF">
        <w:rPr>
          <w:color w:val="auto"/>
        </w:rPr>
        <w:t>superannuation guarantee</w:t>
      </w:r>
      <w:r>
        <w:rPr>
          <w:color w:val="auto"/>
        </w:rPr>
        <w:t xml:space="preserve"> compliance can </w:t>
      </w:r>
      <w:r w:rsidR="00221E40">
        <w:rPr>
          <w:color w:val="auto"/>
        </w:rPr>
        <w:t xml:space="preserve">however </w:t>
      </w:r>
      <w:r>
        <w:rPr>
          <w:color w:val="auto"/>
        </w:rPr>
        <w:t xml:space="preserve">be achieved through the proposals </w:t>
      </w:r>
      <w:r w:rsidR="00221E40">
        <w:rPr>
          <w:color w:val="auto"/>
        </w:rPr>
        <w:t xml:space="preserve">and recommendations </w:t>
      </w:r>
      <w:r>
        <w:rPr>
          <w:color w:val="auto"/>
        </w:rPr>
        <w:t xml:space="preserve">in this report, particularly extension of </w:t>
      </w:r>
      <w:r w:rsidR="00A926EF">
        <w:rPr>
          <w:color w:val="auto"/>
        </w:rPr>
        <w:t>Single Touch Payroll</w:t>
      </w:r>
      <w:r>
        <w:rPr>
          <w:color w:val="auto"/>
        </w:rPr>
        <w:t xml:space="preserve"> to all employers and more frequent and different fund reporting. </w:t>
      </w:r>
    </w:p>
    <w:p w14:paraId="1D359D14" w14:textId="77777777" w:rsidR="00C631DC" w:rsidRPr="00DD2761" w:rsidRDefault="008B0DA7" w:rsidP="00131B30">
      <w:pPr>
        <w:pStyle w:val="Heading3"/>
      </w:pPr>
      <w:r>
        <w:t>Payslip reporting</w:t>
      </w:r>
    </w:p>
    <w:p w14:paraId="2CD7D5F8" w14:textId="77777777" w:rsidR="008B0DA7" w:rsidRDefault="008B0DA7">
      <w:pPr>
        <w:pStyle w:val="ListParagraph"/>
        <w:keepNext/>
        <w:numPr>
          <w:ilvl w:val="1"/>
          <w:numId w:val="33"/>
        </w:numPr>
        <w:spacing w:line="360" w:lineRule="auto"/>
        <w:contextualSpacing w:val="0"/>
      </w:pPr>
      <w:r w:rsidRPr="00DD2761">
        <w:t xml:space="preserve">A number of </w:t>
      </w:r>
      <w:r w:rsidR="00E660F6">
        <w:t>submissions to the Senate Committee</w:t>
      </w:r>
      <w:r w:rsidRPr="00C631DC">
        <w:rPr>
          <w:vertAlign w:val="superscript"/>
        </w:rPr>
        <w:footnoteReference w:id="17"/>
      </w:r>
      <w:r w:rsidRPr="00DD2761">
        <w:t xml:space="preserve"> have </w:t>
      </w:r>
      <w:r>
        <w:t>suggested</w:t>
      </w:r>
      <w:r w:rsidRPr="00DD2761">
        <w:t xml:space="preserve"> that report</w:t>
      </w:r>
      <w:r>
        <w:t>ing</w:t>
      </w:r>
      <w:r w:rsidRPr="00DD2761">
        <w:t xml:space="preserve"> actual superannuation guarantee amounts paid on payslips </w:t>
      </w:r>
      <w:r>
        <w:t>would help</w:t>
      </w:r>
      <w:r w:rsidRPr="00DD2761">
        <w:t xml:space="preserve"> employees monitor whether superannuation guarantee is being paid.</w:t>
      </w:r>
    </w:p>
    <w:p w14:paraId="6F384C6E" w14:textId="77777777" w:rsidR="00DD2761" w:rsidRPr="00DD2761" w:rsidRDefault="008B0DA7" w:rsidP="00DD2761">
      <w:pPr>
        <w:pStyle w:val="ListParagraph"/>
        <w:numPr>
          <w:ilvl w:val="1"/>
          <w:numId w:val="33"/>
        </w:numPr>
        <w:spacing w:line="360" w:lineRule="auto"/>
        <w:contextualSpacing w:val="0"/>
      </w:pPr>
      <w:r>
        <w:t xml:space="preserve">This </w:t>
      </w:r>
      <w:r w:rsidR="00563728">
        <w:t xml:space="preserve">proposal </w:t>
      </w:r>
      <w:r>
        <w:t xml:space="preserve">reflects </w:t>
      </w:r>
      <w:r w:rsidR="00DD2761" w:rsidRPr="00DD2761">
        <w:t xml:space="preserve">concerns that employees </w:t>
      </w:r>
      <w:r w:rsidR="00563728">
        <w:t xml:space="preserve">currently </w:t>
      </w:r>
      <w:r w:rsidR="00DD2761" w:rsidRPr="00DD2761">
        <w:t xml:space="preserve">have limited visibility over superannuation guarantee payment. </w:t>
      </w:r>
      <w:r w:rsidR="00563728">
        <w:t>They</w:t>
      </w:r>
      <w:r w:rsidR="00DD2761" w:rsidRPr="00DD2761">
        <w:t xml:space="preserve"> can only detect underpayment by </w:t>
      </w:r>
      <w:r w:rsidR="00563728">
        <w:t>reviewing</w:t>
      </w:r>
      <w:r w:rsidR="00563728" w:rsidRPr="00DD2761">
        <w:t xml:space="preserve"> </w:t>
      </w:r>
      <w:r w:rsidR="00DD2761" w:rsidRPr="00DD2761">
        <w:t xml:space="preserve">their </w:t>
      </w:r>
      <w:r w:rsidR="00563728">
        <w:t xml:space="preserve">account details, either via their </w:t>
      </w:r>
      <w:r w:rsidR="00677348">
        <w:t xml:space="preserve">superannuation </w:t>
      </w:r>
      <w:r w:rsidR="00563728">
        <w:t xml:space="preserve">fund or through myGov </w:t>
      </w:r>
      <w:r w:rsidR="00677348">
        <w:t>(</w:t>
      </w:r>
      <w:r w:rsidR="00563728">
        <w:t>which enables members</w:t>
      </w:r>
      <w:r w:rsidR="000A7C3A">
        <w:t xml:space="preserve"> to view their superannuation account details including recent contributions</w:t>
      </w:r>
      <w:r w:rsidR="00677348">
        <w:t>)</w:t>
      </w:r>
      <w:r w:rsidR="000A7C3A">
        <w:t>.</w:t>
      </w:r>
    </w:p>
    <w:p w14:paraId="5DD900C9" w14:textId="77777777" w:rsidR="00DD2761" w:rsidRPr="00373431" w:rsidRDefault="00DD2761" w:rsidP="006D4285">
      <w:pPr>
        <w:pStyle w:val="ListParagraph"/>
        <w:keepNext/>
        <w:numPr>
          <w:ilvl w:val="1"/>
          <w:numId w:val="33"/>
        </w:numPr>
        <w:spacing w:line="360" w:lineRule="auto"/>
        <w:contextualSpacing w:val="0"/>
        <w:rPr>
          <w:rFonts w:eastAsiaTheme="minorHAnsi" w:cs="Arial"/>
          <w:szCs w:val="22"/>
        </w:rPr>
      </w:pPr>
      <w:r w:rsidRPr="00373431">
        <w:rPr>
          <w:rFonts w:eastAsiaTheme="minorHAnsi" w:cs="Arial"/>
          <w:szCs w:val="22"/>
        </w:rPr>
        <w:t>While providing employees with better and more timely information about their superannuation is desirable, this proposal:</w:t>
      </w:r>
    </w:p>
    <w:p w14:paraId="68FFFD5A" w14:textId="2EF7630C" w:rsidR="00DD2761" w:rsidRPr="00DD2761" w:rsidRDefault="00226E1D" w:rsidP="00DD2761">
      <w:pPr>
        <w:pStyle w:val="ListParagraph"/>
        <w:numPr>
          <w:ilvl w:val="0"/>
          <w:numId w:val="27"/>
        </w:numPr>
        <w:spacing w:line="360" w:lineRule="auto"/>
        <w:ind w:left="851" w:hanging="284"/>
        <w:contextualSpacing w:val="0"/>
        <w:rPr>
          <w:color w:val="auto"/>
        </w:rPr>
      </w:pPr>
      <w:r>
        <w:rPr>
          <w:color w:val="auto"/>
        </w:rPr>
        <w:t>r</w:t>
      </w:r>
      <w:r w:rsidR="00DD2761" w:rsidRPr="00DD2761">
        <w:rPr>
          <w:color w:val="auto"/>
        </w:rPr>
        <w:t xml:space="preserve">isks confusing employees because under current quarterly payment requirements employers </w:t>
      </w:r>
      <w:r w:rsidR="00563728">
        <w:rPr>
          <w:color w:val="auto"/>
        </w:rPr>
        <w:t>may</w:t>
      </w:r>
      <w:r w:rsidR="00563728" w:rsidRPr="00DD2761">
        <w:rPr>
          <w:color w:val="auto"/>
        </w:rPr>
        <w:t xml:space="preserve"> </w:t>
      </w:r>
      <w:r w:rsidR="00DD2761" w:rsidRPr="00DD2761">
        <w:rPr>
          <w:color w:val="auto"/>
        </w:rPr>
        <w:t xml:space="preserve">report a positive figure the four times a year </w:t>
      </w:r>
      <w:r w:rsidR="00563728">
        <w:rPr>
          <w:color w:val="auto"/>
        </w:rPr>
        <w:t xml:space="preserve">that </w:t>
      </w:r>
      <w:r w:rsidR="00DD2761" w:rsidRPr="00DD2761">
        <w:rPr>
          <w:color w:val="auto"/>
        </w:rPr>
        <w:t>payments are made and zero otherwise</w:t>
      </w:r>
      <w:r>
        <w:rPr>
          <w:color w:val="auto"/>
        </w:rPr>
        <w:t>; and</w:t>
      </w:r>
    </w:p>
    <w:p w14:paraId="3FA759D6" w14:textId="639FA1B1" w:rsidR="00DD2761" w:rsidRPr="00373431" w:rsidRDefault="00226E1D" w:rsidP="00224B95">
      <w:pPr>
        <w:pStyle w:val="ListParagraph"/>
        <w:numPr>
          <w:ilvl w:val="0"/>
          <w:numId w:val="27"/>
        </w:numPr>
        <w:spacing w:line="360" w:lineRule="auto"/>
        <w:ind w:left="851" w:hanging="284"/>
        <w:contextualSpacing w:val="0"/>
      </w:pPr>
      <w:r>
        <w:rPr>
          <w:color w:val="auto"/>
        </w:rPr>
        <w:t>i</w:t>
      </w:r>
      <w:r w:rsidR="00DD2761" w:rsidRPr="00DD2761">
        <w:rPr>
          <w:color w:val="auto"/>
        </w:rPr>
        <w:t>nvolves compliance costs of updating payroll software or systems for employers</w:t>
      </w:r>
      <w:r w:rsidR="008132CA">
        <w:rPr>
          <w:color w:val="auto"/>
        </w:rPr>
        <w:t xml:space="preserve"> which has previously been strongly resisted by the payroll software industry</w:t>
      </w:r>
      <w:r w:rsidR="00DD2761" w:rsidRPr="00DD2761">
        <w:rPr>
          <w:color w:val="auto"/>
        </w:rPr>
        <w:t>.</w:t>
      </w:r>
    </w:p>
    <w:p w14:paraId="122E2F0D" w14:textId="77777777" w:rsidR="00DD2761" w:rsidRPr="00701AB0" w:rsidRDefault="00F716AB" w:rsidP="00DD2761">
      <w:pPr>
        <w:pStyle w:val="Heading3"/>
      </w:pPr>
      <w:r>
        <w:t>F</w:t>
      </w:r>
      <w:r w:rsidR="00DD2761" w:rsidRPr="00701AB0">
        <w:t xml:space="preserve">und </w:t>
      </w:r>
      <w:r w:rsidR="00DD2761">
        <w:t>notification to employees</w:t>
      </w:r>
    </w:p>
    <w:p w14:paraId="10CFC411" w14:textId="77777777" w:rsidR="008132CA" w:rsidRPr="00131B30" w:rsidRDefault="00F716AB" w:rsidP="006D4285">
      <w:pPr>
        <w:pStyle w:val="ListParagraph"/>
        <w:keepNext/>
        <w:numPr>
          <w:ilvl w:val="1"/>
          <w:numId w:val="33"/>
        </w:numPr>
        <w:spacing w:line="360" w:lineRule="auto"/>
        <w:contextualSpacing w:val="0"/>
        <w:rPr>
          <w:rFonts w:eastAsiaTheme="minorHAnsi"/>
          <w:color w:val="auto"/>
        </w:rPr>
      </w:pPr>
      <w:r>
        <w:t xml:space="preserve">More regular reporting by funds to members has also been suggested by </w:t>
      </w:r>
      <w:r w:rsidR="00E660F6">
        <w:t>submissions to the Senate Committee</w:t>
      </w:r>
      <w:r w:rsidRPr="00701AB0">
        <w:rPr>
          <w:rFonts w:eastAsiaTheme="minorHAnsi" w:cs="Arial"/>
          <w:color w:val="auto"/>
          <w:szCs w:val="22"/>
          <w:vertAlign w:val="superscript"/>
        </w:rPr>
        <w:footnoteReference w:id="18"/>
      </w:r>
      <w:r>
        <w:t xml:space="preserve"> as a way of improving member visibility of employer contributions</w:t>
      </w:r>
      <w:r w:rsidR="00DD2761" w:rsidRPr="00540222">
        <w:rPr>
          <w:rFonts w:eastAsiaTheme="minorHAnsi" w:cs="Arial"/>
          <w:szCs w:val="22"/>
        </w:rPr>
        <w:t>.</w:t>
      </w:r>
    </w:p>
    <w:p w14:paraId="0DA17873" w14:textId="77777777" w:rsidR="004E41A0" w:rsidRPr="004E41A0" w:rsidRDefault="005A083C" w:rsidP="006D4285">
      <w:pPr>
        <w:pStyle w:val="ListParagraph"/>
        <w:keepNext/>
        <w:numPr>
          <w:ilvl w:val="1"/>
          <w:numId w:val="33"/>
        </w:numPr>
        <w:spacing w:line="360" w:lineRule="auto"/>
        <w:contextualSpacing w:val="0"/>
        <w:rPr>
          <w:rFonts w:eastAsiaTheme="minorHAnsi"/>
          <w:color w:val="auto"/>
        </w:rPr>
      </w:pPr>
      <w:r w:rsidRPr="00701AB0">
        <w:rPr>
          <w:rFonts w:eastAsiaTheme="minorHAnsi" w:cs="Arial"/>
          <w:color w:val="auto"/>
          <w:szCs w:val="22"/>
        </w:rPr>
        <w:t>Curre</w:t>
      </w:r>
      <w:r w:rsidRPr="00DD2761">
        <w:t>n</w:t>
      </w:r>
      <w:r w:rsidRPr="00701AB0">
        <w:rPr>
          <w:rFonts w:eastAsiaTheme="minorHAnsi" w:cs="Arial"/>
          <w:color w:val="auto"/>
          <w:szCs w:val="22"/>
        </w:rPr>
        <w:t>tly</w:t>
      </w:r>
      <w:r>
        <w:rPr>
          <w:rFonts w:eastAsiaTheme="minorHAnsi" w:cs="Arial"/>
          <w:color w:val="auto"/>
          <w:szCs w:val="22"/>
        </w:rPr>
        <w:t>,</w:t>
      </w:r>
      <w:r w:rsidRPr="00701AB0">
        <w:rPr>
          <w:rFonts w:eastAsiaTheme="minorHAnsi" w:cs="Arial"/>
          <w:color w:val="auto"/>
          <w:szCs w:val="22"/>
        </w:rPr>
        <w:t xml:space="preserve"> </w:t>
      </w:r>
      <w:r w:rsidRPr="00DD2761">
        <w:t>funds</w:t>
      </w:r>
      <w:r w:rsidRPr="00701AB0">
        <w:rPr>
          <w:rFonts w:eastAsiaTheme="minorHAnsi" w:cs="Arial"/>
          <w:color w:val="auto"/>
          <w:szCs w:val="22"/>
        </w:rPr>
        <w:t xml:space="preserve"> are only required to contact members through an annual </w:t>
      </w:r>
      <w:r>
        <w:rPr>
          <w:rFonts w:eastAsiaTheme="minorHAnsi" w:cs="Arial"/>
          <w:color w:val="auto"/>
          <w:szCs w:val="22"/>
        </w:rPr>
        <w:t>report</w:t>
      </w:r>
      <w:r w:rsidRPr="00701AB0">
        <w:rPr>
          <w:rFonts w:eastAsiaTheme="minorHAnsi" w:cs="Arial"/>
          <w:color w:val="auto"/>
          <w:szCs w:val="22"/>
        </w:rPr>
        <w:t xml:space="preserve"> that may not </w:t>
      </w:r>
      <w:r>
        <w:rPr>
          <w:rFonts w:eastAsiaTheme="minorHAnsi" w:cs="Arial"/>
          <w:color w:val="auto"/>
          <w:szCs w:val="22"/>
        </w:rPr>
        <w:t>be provided</w:t>
      </w:r>
      <w:r w:rsidRPr="00701AB0">
        <w:rPr>
          <w:rFonts w:eastAsiaTheme="minorHAnsi" w:cs="Arial"/>
          <w:color w:val="auto"/>
          <w:szCs w:val="22"/>
        </w:rPr>
        <w:t xml:space="preserve"> until six months after the end of the financial year</w:t>
      </w:r>
      <w:r>
        <w:rPr>
          <w:rFonts w:eastAsiaTheme="minorHAnsi" w:cs="Arial"/>
          <w:color w:val="auto"/>
          <w:szCs w:val="22"/>
        </w:rPr>
        <w:t xml:space="preserve">. </w:t>
      </w:r>
      <w:r w:rsidR="004E41A0">
        <w:rPr>
          <w:rFonts w:eastAsiaTheme="minorHAnsi" w:cs="Arial"/>
          <w:color w:val="auto"/>
          <w:szCs w:val="22"/>
        </w:rPr>
        <w:t xml:space="preserve">Consequently, </w:t>
      </w:r>
      <w:r w:rsidR="004E41A0" w:rsidRPr="00701AB0">
        <w:rPr>
          <w:rFonts w:eastAsiaTheme="minorHAnsi" w:cs="Arial"/>
          <w:color w:val="auto"/>
          <w:szCs w:val="22"/>
        </w:rPr>
        <w:t>employees can be unaware for up to eighteen months that their employer has not made superannuation contributions</w:t>
      </w:r>
      <w:r w:rsidR="004E41A0">
        <w:rPr>
          <w:rFonts w:eastAsiaTheme="minorHAnsi" w:cs="Arial"/>
          <w:color w:val="auto"/>
          <w:szCs w:val="22"/>
        </w:rPr>
        <w:t>.</w:t>
      </w:r>
    </w:p>
    <w:p w14:paraId="06969711" w14:textId="05C3725C" w:rsidR="004E41A0" w:rsidRPr="00131B30" w:rsidRDefault="004E41A0" w:rsidP="006D4285">
      <w:pPr>
        <w:pStyle w:val="ListParagraph"/>
        <w:keepNext/>
        <w:numPr>
          <w:ilvl w:val="1"/>
          <w:numId w:val="33"/>
        </w:numPr>
        <w:spacing w:line="360" w:lineRule="auto"/>
        <w:contextualSpacing w:val="0"/>
        <w:rPr>
          <w:rFonts w:eastAsiaTheme="minorHAnsi"/>
          <w:color w:val="auto"/>
        </w:rPr>
      </w:pPr>
      <w:r w:rsidRPr="00344B82">
        <w:rPr>
          <w:color w:val="auto"/>
        </w:rPr>
        <w:t>The Working Group has two concerns with this proposal</w:t>
      </w:r>
      <w:r w:rsidR="00226E1D">
        <w:rPr>
          <w:color w:val="auto"/>
        </w:rPr>
        <w:t>. It</w:t>
      </w:r>
      <w:r w:rsidRPr="00344B82">
        <w:rPr>
          <w:color w:val="auto"/>
        </w:rPr>
        <w:t xml:space="preserve"> would impose compliance costs on superannuation funds by requiring them to update their systems and send more regular information to all members. More importantly, it is unlikely to be </w:t>
      </w:r>
      <w:r w:rsidR="00226E1D">
        <w:rPr>
          <w:color w:val="auto"/>
        </w:rPr>
        <w:t>very</w:t>
      </w:r>
      <w:r w:rsidR="00226E1D" w:rsidRPr="00344B82">
        <w:rPr>
          <w:color w:val="auto"/>
        </w:rPr>
        <w:t xml:space="preserve"> </w:t>
      </w:r>
      <w:r w:rsidRPr="00344B82">
        <w:rPr>
          <w:color w:val="auto"/>
        </w:rPr>
        <w:t>effective</w:t>
      </w:r>
      <w:r>
        <w:t xml:space="preserve"> due to</w:t>
      </w:r>
      <w:r w:rsidRPr="00701AB0">
        <w:t xml:space="preserve"> employee disengagement and reticence to report non-compliance by their employers</w:t>
      </w:r>
      <w:r>
        <w:t>.</w:t>
      </w:r>
    </w:p>
    <w:p w14:paraId="5A2E1EFF" w14:textId="77777777" w:rsidR="00FE2E32" w:rsidRDefault="00526EF9" w:rsidP="00FE2E32">
      <w:pPr>
        <w:pStyle w:val="Heading2"/>
      </w:pPr>
      <w:bookmarkStart w:id="188" w:name="_Toc478651963"/>
      <w:bookmarkStart w:id="189" w:name="_Toc478654424"/>
      <w:bookmarkStart w:id="190" w:name="_Toc478655138"/>
      <w:bookmarkStart w:id="191" w:name="_Toc478656392"/>
      <w:bookmarkStart w:id="192" w:name="_Toc478657643"/>
      <w:bookmarkStart w:id="193" w:name="_Toc478718239"/>
      <w:bookmarkStart w:id="194" w:name="_Toc478718449"/>
      <w:bookmarkStart w:id="195" w:name="_Toc478738398"/>
      <w:bookmarkStart w:id="196" w:name="_Toc478740684"/>
      <w:r>
        <w:t>Improving Compliance Approaches</w:t>
      </w:r>
      <w:bookmarkEnd w:id="188"/>
      <w:bookmarkEnd w:id="189"/>
      <w:bookmarkEnd w:id="190"/>
      <w:bookmarkEnd w:id="191"/>
      <w:bookmarkEnd w:id="192"/>
      <w:bookmarkEnd w:id="193"/>
      <w:bookmarkEnd w:id="194"/>
      <w:bookmarkEnd w:id="195"/>
      <w:bookmarkEnd w:id="196"/>
    </w:p>
    <w:p w14:paraId="366802D7" w14:textId="77777777" w:rsidR="00A75A8B" w:rsidRDefault="00A75A8B" w:rsidP="00224B95"/>
    <w:p w14:paraId="4F41C2A7" w14:textId="77777777" w:rsidR="00CA10E5" w:rsidRPr="00284D0F" w:rsidRDefault="00CA10E5" w:rsidP="00CA10E5">
      <w:pPr>
        <w:pStyle w:val="Boxtext"/>
        <w:keepNext/>
        <w:pBdr>
          <w:top w:val="none" w:sz="0" w:space="0" w:color="auto"/>
          <w:left w:val="none" w:sz="0" w:space="0" w:color="auto"/>
          <w:right w:val="none" w:sz="0" w:space="0" w:color="auto"/>
        </w:pBdr>
        <w:shd w:val="clear" w:color="auto" w:fill="B8CCE4" w:themeFill="accent1" w:themeFillTint="66"/>
        <w:spacing w:line="276" w:lineRule="auto"/>
        <w:rPr>
          <w:b/>
          <w:caps/>
          <w:color w:val="auto"/>
        </w:rPr>
      </w:pPr>
      <w:r>
        <w:rPr>
          <w:b/>
          <w:caps/>
          <w:color w:val="auto"/>
        </w:rPr>
        <w:t>agency action</w:t>
      </w:r>
      <w:r w:rsidRPr="00284D0F">
        <w:rPr>
          <w:b/>
          <w:caps/>
          <w:color w:val="auto"/>
        </w:rPr>
        <w:t> </w:t>
      </w:r>
      <w:r>
        <w:rPr>
          <w:b/>
          <w:caps/>
          <w:color w:val="auto"/>
        </w:rPr>
        <w:t>1</w:t>
      </w:r>
    </w:p>
    <w:p w14:paraId="37003A32" w14:textId="77777777" w:rsidR="00DE72B0" w:rsidRPr="00284D0F" w:rsidRDefault="00DE72B0" w:rsidP="00DE72B0">
      <w:pPr>
        <w:pStyle w:val="Boxtext"/>
        <w:keepNext/>
        <w:pBdr>
          <w:top w:val="none" w:sz="0" w:space="0" w:color="auto"/>
          <w:left w:val="none" w:sz="0" w:space="0" w:color="auto"/>
          <w:bottom w:val="none" w:sz="0" w:space="0" w:color="auto"/>
          <w:right w:val="none" w:sz="0" w:space="0" w:color="auto"/>
        </w:pBdr>
        <w:shd w:val="clear" w:color="auto" w:fill="B8CCE4" w:themeFill="accent1" w:themeFillTint="66"/>
        <w:spacing w:line="276" w:lineRule="auto"/>
        <w:rPr>
          <w:color w:val="auto"/>
        </w:rPr>
      </w:pPr>
      <w:r>
        <w:t>In anticipation of Single Touch Payroll commencing for ‘substantial’ businesses on 1 July 2018 and the proposed more frequent reporting of contributions information by superannuation funds’, the ATO will review its data models and processes to be placed to be able to more readily identify apparent non</w:t>
      </w:r>
      <w:r>
        <w:noBreakHyphen/>
        <w:t xml:space="preserve">compliance with superannuation guarantee obligations by employers. </w:t>
      </w:r>
    </w:p>
    <w:p w14:paraId="1D820D71" w14:textId="77777777" w:rsidR="00CA10E5" w:rsidRPr="00284D0F" w:rsidRDefault="00CA10E5" w:rsidP="00CA10E5">
      <w:pPr>
        <w:spacing w:line="276" w:lineRule="auto"/>
        <w:rPr>
          <w:color w:val="auto"/>
          <w:sz w:val="6"/>
        </w:rPr>
      </w:pPr>
    </w:p>
    <w:p w14:paraId="214A6E30" w14:textId="77777777" w:rsidR="00CA10E5" w:rsidRPr="00284D0F" w:rsidRDefault="00CA10E5" w:rsidP="00CA10E5">
      <w:pPr>
        <w:pStyle w:val="Boxtext"/>
        <w:keepNext/>
        <w:pBdr>
          <w:top w:val="none" w:sz="0" w:space="0" w:color="auto"/>
          <w:left w:val="none" w:sz="0" w:space="0" w:color="auto"/>
          <w:right w:val="none" w:sz="0" w:space="0" w:color="auto"/>
        </w:pBdr>
        <w:shd w:val="clear" w:color="auto" w:fill="B8CCE4" w:themeFill="accent1" w:themeFillTint="66"/>
        <w:spacing w:line="276" w:lineRule="auto"/>
        <w:rPr>
          <w:b/>
          <w:caps/>
          <w:color w:val="auto"/>
        </w:rPr>
      </w:pPr>
      <w:r>
        <w:rPr>
          <w:b/>
          <w:caps/>
          <w:color w:val="auto"/>
        </w:rPr>
        <w:t>agency action</w:t>
      </w:r>
      <w:r w:rsidRPr="00284D0F">
        <w:rPr>
          <w:b/>
          <w:caps/>
          <w:color w:val="auto"/>
        </w:rPr>
        <w:t> </w:t>
      </w:r>
      <w:r>
        <w:rPr>
          <w:b/>
          <w:caps/>
          <w:color w:val="auto"/>
        </w:rPr>
        <w:t>2</w:t>
      </w:r>
    </w:p>
    <w:p w14:paraId="296D586A" w14:textId="77777777" w:rsidR="00DE72B0" w:rsidRPr="00284D0F" w:rsidRDefault="00DE72B0" w:rsidP="00DE72B0">
      <w:pPr>
        <w:pStyle w:val="Boxtext"/>
        <w:keepNext/>
        <w:pBdr>
          <w:top w:val="none" w:sz="0" w:space="0" w:color="auto"/>
          <w:left w:val="none" w:sz="0" w:space="0" w:color="auto"/>
          <w:bottom w:val="none" w:sz="0" w:space="0" w:color="auto"/>
          <w:right w:val="none" w:sz="0" w:space="0" w:color="auto"/>
        </w:pBdr>
        <w:shd w:val="clear" w:color="auto" w:fill="B8CCE4" w:themeFill="accent1" w:themeFillTint="66"/>
        <w:spacing w:line="276" w:lineRule="auto"/>
        <w:rPr>
          <w:color w:val="auto"/>
        </w:rPr>
      </w:pPr>
      <w:r>
        <w:t>Within ATO’s current funding arrangements, the ATO will re</w:t>
      </w:r>
      <w:r>
        <w:noBreakHyphen/>
        <w:t>balance the focus of its superannuation guarantee compliance program to increase by 10 per cent the proportion of its ATO</w:t>
      </w:r>
      <w:r>
        <w:noBreakHyphen/>
        <w:t xml:space="preserve">initiated superannuation guarantee case work to 40 per cent.  </w:t>
      </w:r>
    </w:p>
    <w:p w14:paraId="0DFF13A6" w14:textId="77777777" w:rsidR="00CA10E5" w:rsidRPr="00284D0F" w:rsidRDefault="00CA10E5" w:rsidP="00CA10E5">
      <w:pPr>
        <w:spacing w:line="276" w:lineRule="auto"/>
        <w:rPr>
          <w:color w:val="auto"/>
          <w:sz w:val="6"/>
        </w:rPr>
      </w:pPr>
    </w:p>
    <w:p w14:paraId="0DA17FBB" w14:textId="77777777" w:rsidR="00CA10E5" w:rsidRPr="00284D0F" w:rsidRDefault="00CA10E5" w:rsidP="00CA10E5">
      <w:pPr>
        <w:pStyle w:val="Boxtext"/>
        <w:keepNext/>
        <w:pBdr>
          <w:top w:val="none" w:sz="0" w:space="0" w:color="auto"/>
          <w:left w:val="none" w:sz="0" w:space="0" w:color="auto"/>
          <w:right w:val="none" w:sz="0" w:space="0" w:color="auto"/>
        </w:pBdr>
        <w:shd w:val="clear" w:color="auto" w:fill="B8CCE4" w:themeFill="accent1" w:themeFillTint="66"/>
        <w:spacing w:line="276" w:lineRule="auto"/>
        <w:rPr>
          <w:b/>
          <w:caps/>
          <w:color w:val="auto"/>
        </w:rPr>
      </w:pPr>
      <w:r>
        <w:rPr>
          <w:b/>
          <w:caps/>
          <w:color w:val="auto"/>
        </w:rPr>
        <w:t>agency action</w:t>
      </w:r>
      <w:r w:rsidRPr="00284D0F">
        <w:rPr>
          <w:b/>
          <w:caps/>
          <w:color w:val="auto"/>
        </w:rPr>
        <w:t> </w:t>
      </w:r>
      <w:r>
        <w:rPr>
          <w:b/>
          <w:caps/>
          <w:color w:val="auto"/>
        </w:rPr>
        <w:t>3</w:t>
      </w:r>
    </w:p>
    <w:p w14:paraId="369993BB" w14:textId="77777777" w:rsidR="00DE72B0" w:rsidRPr="00284D0F" w:rsidRDefault="00DE72B0" w:rsidP="00DE72B0">
      <w:pPr>
        <w:pStyle w:val="Boxtext"/>
        <w:keepNext/>
        <w:pBdr>
          <w:top w:val="none" w:sz="0" w:space="0" w:color="auto"/>
          <w:left w:val="none" w:sz="0" w:space="0" w:color="auto"/>
          <w:bottom w:val="none" w:sz="0" w:space="0" w:color="auto"/>
          <w:right w:val="none" w:sz="0" w:space="0" w:color="auto"/>
        </w:pBdr>
        <w:shd w:val="clear" w:color="auto" w:fill="B8CCE4" w:themeFill="accent1" w:themeFillTint="66"/>
        <w:spacing w:line="276" w:lineRule="auto"/>
        <w:rPr>
          <w:color w:val="auto"/>
        </w:rPr>
      </w:pPr>
      <w:r>
        <w:t>The ATO, APRA, ASIC and the FWO will meet on a quarterly basis to increase monitoring of the operation of the superannuation guarantee system and to exchange information relevant to identifying and addressing superannuation guarantee non</w:t>
      </w:r>
      <w:r>
        <w:noBreakHyphen/>
        <w:t xml:space="preserve">compliance.  </w:t>
      </w:r>
    </w:p>
    <w:p w14:paraId="32A2E8B1" w14:textId="77777777" w:rsidR="00CA10E5" w:rsidRPr="00284D0F" w:rsidRDefault="00CA10E5" w:rsidP="00CA10E5">
      <w:pPr>
        <w:spacing w:line="276" w:lineRule="auto"/>
        <w:rPr>
          <w:color w:val="auto"/>
          <w:sz w:val="6"/>
        </w:rPr>
      </w:pPr>
    </w:p>
    <w:p w14:paraId="2EC58EE4" w14:textId="77777777" w:rsidR="00CA10E5" w:rsidRPr="00284D0F" w:rsidRDefault="00CA10E5" w:rsidP="00CA10E5">
      <w:pPr>
        <w:pStyle w:val="Boxtext"/>
        <w:keepNext/>
        <w:pBdr>
          <w:top w:val="none" w:sz="0" w:space="0" w:color="auto"/>
          <w:left w:val="none" w:sz="0" w:space="0" w:color="auto"/>
          <w:right w:val="none" w:sz="0" w:space="0" w:color="auto"/>
        </w:pBdr>
        <w:shd w:val="clear" w:color="auto" w:fill="B8CCE4" w:themeFill="accent1" w:themeFillTint="66"/>
        <w:spacing w:line="276" w:lineRule="auto"/>
        <w:rPr>
          <w:b/>
          <w:caps/>
          <w:color w:val="auto"/>
        </w:rPr>
      </w:pPr>
      <w:r>
        <w:rPr>
          <w:b/>
          <w:caps/>
          <w:color w:val="auto"/>
        </w:rPr>
        <w:t>agency action</w:t>
      </w:r>
      <w:r w:rsidRPr="00284D0F">
        <w:rPr>
          <w:b/>
          <w:caps/>
          <w:color w:val="auto"/>
        </w:rPr>
        <w:t> </w:t>
      </w:r>
      <w:r>
        <w:rPr>
          <w:b/>
          <w:caps/>
          <w:color w:val="auto"/>
        </w:rPr>
        <w:t>4</w:t>
      </w:r>
    </w:p>
    <w:p w14:paraId="73CA7DA3" w14:textId="77777777" w:rsidR="00DE72B0" w:rsidRDefault="00DE72B0" w:rsidP="00DE72B0">
      <w:pPr>
        <w:pStyle w:val="Boxtext"/>
        <w:keepNext/>
        <w:pBdr>
          <w:top w:val="none" w:sz="0" w:space="0" w:color="auto"/>
          <w:left w:val="none" w:sz="0" w:space="0" w:color="auto"/>
          <w:bottom w:val="none" w:sz="0" w:space="0" w:color="auto"/>
          <w:right w:val="none" w:sz="0" w:space="0" w:color="auto"/>
        </w:pBdr>
        <w:shd w:val="clear" w:color="auto" w:fill="B8CCE4" w:themeFill="accent1" w:themeFillTint="66"/>
        <w:spacing w:line="276" w:lineRule="auto"/>
      </w:pPr>
      <w:r>
        <w:t>To more frequently monitor the potential non</w:t>
      </w:r>
      <w:r>
        <w:noBreakHyphen/>
        <w:t>compliance with superannuation guarantee obligations by employers the ATO and the FWO will increase the regularity of information exchange under their Memorandum of Understanding from six monthly to quarterly.</w:t>
      </w:r>
    </w:p>
    <w:p w14:paraId="7852BFFC" w14:textId="77777777" w:rsidR="00CA10E5" w:rsidRDefault="00CA10E5" w:rsidP="00224B95"/>
    <w:p w14:paraId="199C0FF9" w14:textId="77777777" w:rsidR="00FE2E32" w:rsidRPr="004F6245" w:rsidRDefault="00FE2E32" w:rsidP="00FE2E32">
      <w:pPr>
        <w:pStyle w:val="Heading3"/>
        <w:rPr>
          <w:color w:val="auto"/>
        </w:rPr>
      </w:pPr>
      <w:r>
        <w:t>Data modelling to improve compliance</w:t>
      </w:r>
    </w:p>
    <w:p w14:paraId="131D8CD1" w14:textId="77777777" w:rsidR="00FE2E32" w:rsidRPr="002638C0" w:rsidRDefault="008132CA" w:rsidP="00FE2E32">
      <w:pPr>
        <w:pStyle w:val="ListParagraph"/>
        <w:numPr>
          <w:ilvl w:val="1"/>
          <w:numId w:val="33"/>
        </w:numPr>
        <w:spacing w:line="360" w:lineRule="auto"/>
        <w:contextualSpacing w:val="0"/>
      </w:pPr>
      <w:r>
        <w:t>T</w:t>
      </w:r>
      <w:r w:rsidR="00FE2E32">
        <w:t xml:space="preserve">he ATO’s </w:t>
      </w:r>
      <w:r w:rsidR="00FE2E32" w:rsidRPr="00FE2E32">
        <w:t xml:space="preserve">compliance program </w:t>
      </w:r>
      <w:r w:rsidR="001A2611">
        <w:t>focuses on</w:t>
      </w:r>
      <w:r w:rsidR="001A2611" w:rsidRPr="00FE2E32">
        <w:t xml:space="preserve"> </w:t>
      </w:r>
      <w:r w:rsidR="00FE2E32" w:rsidRPr="00FE2E32">
        <w:t xml:space="preserve">employers </w:t>
      </w:r>
      <w:r w:rsidR="001A2611">
        <w:t xml:space="preserve">who, </w:t>
      </w:r>
      <w:r w:rsidR="001A2611" w:rsidRPr="00FE2E32">
        <w:t>based upon analysis of ATO</w:t>
      </w:r>
      <w:r w:rsidR="001A2611">
        <w:noBreakHyphen/>
      </w:r>
      <w:r w:rsidR="001A2611" w:rsidRPr="00FE2E32">
        <w:t xml:space="preserve">held data, are considered a </w:t>
      </w:r>
      <w:r w:rsidR="001A2611" w:rsidRPr="00224B95">
        <w:rPr>
          <w:i/>
        </w:rPr>
        <w:t>high risk</w:t>
      </w:r>
      <w:r w:rsidR="001A2611" w:rsidRPr="00FE2E32">
        <w:t xml:space="preserve"> </w:t>
      </w:r>
      <w:r w:rsidR="001A2611">
        <w:t xml:space="preserve">of not meeting their </w:t>
      </w:r>
      <w:r w:rsidR="00761EFD">
        <w:t>superannuation guarantee</w:t>
      </w:r>
      <w:r w:rsidR="001A2611">
        <w:t xml:space="preserve"> obligations or are </w:t>
      </w:r>
      <w:r w:rsidR="001A2611" w:rsidRPr="00224B95">
        <w:rPr>
          <w:i/>
        </w:rPr>
        <w:t>suspected</w:t>
      </w:r>
      <w:r w:rsidR="001A2611">
        <w:t xml:space="preserve"> of having not met their </w:t>
      </w:r>
      <w:r w:rsidR="00761EFD">
        <w:t>superannuation guarantee</w:t>
      </w:r>
      <w:r w:rsidR="001A2611">
        <w:t xml:space="preserve"> obligations.</w:t>
      </w:r>
    </w:p>
    <w:p w14:paraId="6FAFDABB" w14:textId="77777777" w:rsidR="00FE2E32" w:rsidRPr="002638C0" w:rsidRDefault="001A2611" w:rsidP="00FE2E32">
      <w:pPr>
        <w:pStyle w:val="ListParagraph"/>
        <w:numPr>
          <w:ilvl w:val="1"/>
          <w:numId w:val="33"/>
        </w:numPr>
        <w:spacing w:line="360" w:lineRule="auto"/>
        <w:contextualSpacing w:val="0"/>
      </w:pPr>
      <w:r>
        <w:t xml:space="preserve">At present, ATO assessments are based on </w:t>
      </w:r>
      <w:r w:rsidR="00FE2E32" w:rsidRPr="00FE2E32">
        <w:t>comparing salary and wage data from individual income tax returns with superannuation guarantee</w:t>
      </w:r>
      <w:r w:rsidR="00FE2E32" w:rsidRPr="002623E8">
        <w:rPr>
          <w:rFonts w:cs="Arial"/>
          <w:szCs w:val="22"/>
          <w:lang w:eastAsia="en-AU"/>
        </w:rPr>
        <w:t xml:space="preserve"> payments reported by funds in </w:t>
      </w:r>
      <w:r w:rsidR="008708E7">
        <w:rPr>
          <w:rFonts w:cs="Arial"/>
          <w:szCs w:val="22"/>
          <w:lang w:eastAsia="en-AU"/>
        </w:rPr>
        <w:t>M</w:t>
      </w:r>
      <w:r w:rsidR="00FE2E32" w:rsidRPr="002623E8">
        <w:rPr>
          <w:rFonts w:cs="Arial"/>
          <w:szCs w:val="22"/>
          <w:lang w:eastAsia="en-AU"/>
        </w:rPr>
        <w:t xml:space="preserve">ember </w:t>
      </w:r>
      <w:r w:rsidR="008708E7">
        <w:rPr>
          <w:rFonts w:cs="Arial"/>
          <w:szCs w:val="22"/>
          <w:lang w:eastAsia="en-AU"/>
        </w:rPr>
        <w:t>C</w:t>
      </w:r>
      <w:r w:rsidR="00FE2E32" w:rsidRPr="002623E8">
        <w:rPr>
          <w:rFonts w:cs="Arial"/>
          <w:szCs w:val="22"/>
          <w:lang w:eastAsia="en-AU"/>
        </w:rPr>
        <w:t xml:space="preserve">ontribution </w:t>
      </w:r>
      <w:r w:rsidR="008708E7">
        <w:rPr>
          <w:rFonts w:cs="Arial"/>
          <w:szCs w:val="22"/>
          <w:lang w:eastAsia="en-AU"/>
        </w:rPr>
        <w:t>S</w:t>
      </w:r>
      <w:r w:rsidR="00FE2E32" w:rsidRPr="002623E8">
        <w:rPr>
          <w:rFonts w:cs="Arial"/>
          <w:szCs w:val="22"/>
          <w:lang w:eastAsia="en-AU"/>
        </w:rPr>
        <w:t xml:space="preserve">tatements. This information is then aggregated to an employer level. </w:t>
      </w:r>
      <w:r>
        <w:rPr>
          <w:rFonts w:cs="Arial"/>
          <w:szCs w:val="22"/>
          <w:lang w:eastAsia="en-AU"/>
        </w:rPr>
        <w:t>While these</w:t>
      </w:r>
      <w:r w:rsidRPr="002623E8">
        <w:rPr>
          <w:rFonts w:cs="Arial"/>
          <w:szCs w:val="22"/>
          <w:lang w:eastAsia="en-AU"/>
        </w:rPr>
        <w:t xml:space="preserve"> </w:t>
      </w:r>
      <w:r w:rsidR="00FE2E32" w:rsidRPr="002623E8">
        <w:rPr>
          <w:rFonts w:cs="Arial"/>
          <w:szCs w:val="22"/>
          <w:lang w:eastAsia="en-AU"/>
        </w:rPr>
        <w:t>assessment</w:t>
      </w:r>
      <w:r>
        <w:rPr>
          <w:rFonts w:cs="Arial"/>
          <w:szCs w:val="22"/>
          <w:lang w:eastAsia="en-AU"/>
        </w:rPr>
        <w:t>s</w:t>
      </w:r>
      <w:r w:rsidR="00FE2E32" w:rsidRPr="002623E8">
        <w:rPr>
          <w:rFonts w:cs="Arial"/>
          <w:szCs w:val="22"/>
          <w:lang w:eastAsia="en-AU"/>
        </w:rPr>
        <w:t xml:space="preserve"> </w:t>
      </w:r>
      <w:r>
        <w:rPr>
          <w:rFonts w:cs="Arial"/>
          <w:szCs w:val="22"/>
          <w:lang w:eastAsia="en-AU"/>
        </w:rPr>
        <w:t>are</w:t>
      </w:r>
      <w:r w:rsidRPr="002623E8">
        <w:rPr>
          <w:rFonts w:cs="Arial"/>
          <w:szCs w:val="22"/>
          <w:lang w:eastAsia="en-AU"/>
        </w:rPr>
        <w:t xml:space="preserve"> </w:t>
      </w:r>
      <w:r w:rsidR="00FE2E32" w:rsidRPr="002623E8">
        <w:rPr>
          <w:rFonts w:cs="Arial"/>
          <w:szCs w:val="22"/>
          <w:lang w:eastAsia="en-AU"/>
        </w:rPr>
        <w:t xml:space="preserve">by no means definitive, </w:t>
      </w:r>
      <w:r>
        <w:rPr>
          <w:rFonts w:cs="Arial"/>
          <w:szCs w:val="22"/>
          <w:lang w:eastAsia="en-AU"/>
        </w:rPr>
        <w:t>they</w:t>
      </w:r>
      <w:r w:rsidRPr="002623E8">
        <w:rPr>
          <w:rFonts w:cs="Arial"/>
          <w:szCs w:val="22"/>
          <w:lang w:eastAsia="en-AU"/>
        </w:rPr>
        <w:t xml:space="preserve"> </w:t>
      </w:r>
      <w:r w:rsidR="00FE2E32" w:rsidRPr="002623E8">
        <w:rPr>
          <w:rFonts w:cs="Arial"/>
          <w:szCs w:val="22"/>
          <w:lang w:eastAsia="en-AU"/>
        </w:rPr>
        <w:t xml:space="preserve">can highlight </w:t>
      </w:r>
      <w:r>
        <w:rPr>
          <w:rFonts w:cs="Arial"/>
          <w:szCs w:val="22"/>
          <w:lang w:eastAsia="en-AU"/>
        </w:rPr>
        <w:t>potential cases of</w:t>
      </w:r>
      <w:r w:rsidR="00FE2E32" w:rsidRPr="00FE2E32">
        <w:t xml:space="preserve"> superannuation guarantee</w:t>
      </w:r>
      <w:r>
        <w:t xml:space="preserve"> underpayment</w:t>
      </w:r>
      <w:r w:rsidR="00FE2E32" w:rsidRPr="00FE2E32">
        <w:t xml:space="preserve">. </w:t>
      </w:r>
      <w:r>
        <w:t>Review and audit</w:t>
      </w:r>
      <w:r w:rsidR="00FE2E32" w:rsidRPr="00FE2E32">
        <w:t xml:space="preserve"> resources </w:t>
      </w:r>
      <w:r>
        <w:t>are then focused</w:t>
      </w:r>
      <w:r w:rsidRPr="00FE2E32">
        <w:t xml:space="preserve"> </w:t>
      </w:r>
      <w:r>
        <w:t>on these cases</w:t>
      </w:r>
      <w:r w:rsidR="00FE2E32" w:rsidRPr="00FE2E32">
        <w:t>.</w:t>
      </w:r>
    </w:p>
    <w:p w14:paraId="4867299A" w14:textId="77777777" w:rsidR="00FE2E32" w:rsidRPr="002638C0" w:rsidRDefault="001A2611" w:rsidP="00FE2E32">
      <w:pPr>
        <w:pStyle w:val="ListParagraph"/>
        <w:numPr>
          <w:ilvl w:val="1"/>
          <w:numId w:val="33"/>
        </w:numPr>
        <w:spacing w:line="360" w:lineRule="auto"/>
        <w:contextualSpacing w:val="0"/>
      </w:pPr>
      <w:r>
        <w:t>The results of r</w:t>
      </w:r>
      <w:r w:rsidR="00FE2E32" w:rsidRPr="00FE2E32">
        <w:t xml:space="preserve">eviews and audits undertaken </w:t>
      </w:r>
      <w:r>
        <w:t>on the basis of</w:t>
      </w:r>
      <w:r w:rsidRPr="00FE2E32">
        <w:t xml:space="preserve"> </w:t>
      </w:r>
      <w:r w:rsidR="00FE2E32" w:rsidRPr="00FE2E32">
        <w:t>this strategy have consistently produced stronger results in terms of adjustments raised per audit than the ATO’s employee notification driven work</w:t>
      </w:r>
      <w:r>
        <w:t>.</w:t>
      </w:r>
    </w:p>
    <w:p w14:paraId="38B3C18D" w14:textId="5FB73872" w:rsidR="00FE2E32" w:rsidRDefault="00813343" w:rsidP="00FE2E32">
      <w:pPr>
        <w:pStyle w:val="ListParagraph"/>
        <w:numPr>
          <w:ilvl w:val="1"/>
          <w:numId w:val="33"/>
        </w:numPr>
        <w:spacing w:line="360" w:lineRule="auto"/>
        <w:contextualSpacing w:val="0"/>
      </w:pPr>
      <w:r>
        <w:t>An e</w:t>
      </w:r>
      <w:r w:rsidR="001A2611">
        <w:t xml:space="preserve">xtension of Single Touch Payroll to all employers and </w:t>
      </w:r>
      <w:r w:rsidR="00FE2E32">
        <w:t xml:space="preserve">more frequent superannuation fund reporting will </w:t>
      </w:r>
      <w:r w:rsidR="001A2611">
        <w:t xml:space="preserve">provide </w:t>
      </w:r>
      <w:r w:rsidR="00AB447A">
        <w:t>much better and</w:t>
      </w:r>
      <w:r w:rsidR="00226E1D">
        <w:t xml:space="preserve"> more</w:t>
      </w:r>
      <w:r w:rsidR="00AB447A">
        <w:t xml:space="preserve"> timely information for targeting the ATO’s proactive compliance activities</w:t>
      </w:r>
      <w:r w:rsidR="00FE2E32">
        <w:t xml:space="preserve">. The ATO will need to develop </w:t>
      </w:r>
      <w:r w:rsidR="00AB447A">
        <w:t xml:space="preserve">new </w:t>
      </w:r>
      <w:r w:rsidR="00FE2E32">
        <w:t xml:space="preserve">data models to optimise </w:t>
      </w:r>
      <w:r w:rsidR="00AB447A">
        <w:t xml:space="preserve">use of this </w:t>
      </w:r>
      <w:r w:rsidR="00FE2E32">
        <w:t xml:space="preserve">additional </w:t>
      </w:r>
      <w:r w:rsidR="00AB447A">
        <w:t>information</w:t>
      </w:r>
      <w:r w:rsidR="00FE2E32">
        <w:t>.</w:t>
      </w:r>
    </w:p>
    <w:p w14:paraId="6315186F" w14:textId="53591EFC" w:rsidR="00EE14B0" w:rsidRDefault="00FE2E32" w:rsidP="00EE14B0">
      <w:pPr>
        <w:pStyle w:val="ListParagraph"/>
        <w:numPr>
          <w:ilvl w:val="1"/>
          <w:numId w:val="33"/>
        </w:numPr>
        <w:spacing w:line="360" w:lineRule="auto"/>
        <w:contextualSpacing w:val="0"/>
      </w:pPr>
      <w:r>
        <w:t>T</w:t>
      </w:r>
      <w:r w:rsidRPr="00260427">
        <w:t xml:space="preserve">he ATO </w:t>
      </w:r>
      <w:r>
        <w:t xml:space="preserve">will </w:t>
      </w:r>
      <w:r w:rsidRPr="00260427">
        <w:t xml:space="preserve">review and adapt </w:t>
      </w:r>
      <w:r>
        <w:t xml:space="preserve">data modelling techniques, </w:t>
      </w:r>
      <w:r w:rsidRPr="00260427">
        <w:t xml:space="preserve">procedures and processes ahead of the commencement of </w:t>
      </w:r>
      <w:r>
        <w:t>Single Touch Payroll</w:t>
      </w:r>
      <w:r w:rsidRPr="00260427">
        <w:t xml:space="preserve"> for business with 20</w:t>
      </w:r>
      <w:r w:rsidR="00712018">
        <w:t> </w:t>
      </w:r>
      <w:r w:rsidR="00226E1D">
        <w:t xml:space="preserve">or more </w:t>
      </w:r>
      <w:r w:rsidRPr="00260427">
        <w:t>employees on 1</w:t>
      </w:r>
      <w:r w:rsidR="00E24DCF">
        <w:t> </w:t>
      </w:r>
      <w:r w:rsidRPr="00260427">
        <w:t>July 2018.</w:t>
      </w:r>
    </w:p>
    <w:p w14:paraId="3B574ED7" w14:textId="77777777" w:rsidR="003759DB" w:rsidRDefault="00A70666" w:rsidP="003759DB">
      <w:pPr>
        <w:pStyle w:val="Heading3"/>
      </w:pPr>
      <w:r>
        <w:t>A stronger focus on proactive compliance</w:t>
      </w:r>
    </w:p>
    <w:p w14:paraId="1F7852E4" w14:textId="77777777" w:rsidR="0088564C" w:rsidRDefault="003759DB" w:rsidP="003759DB">
      <w:pPr>
        <w:pStyle w:val="ListParagraph"/>
        <w:numPr>
          <w:ilvl w:val="1"/>
          <w:numId w:val="33"/>
        </w:numPr>
        <w:spacing w:line="360" w:lineRule="auto"/>
        <w:contextualSpacing w:val="0"/>
      </w:pPr>
      <w:r>
        <w:t xml:space="preserve">The </w:t>
      </w:r>
      <w:r w:rsidRPr="0085319A">
        <w:t xml:space="preserve">ATO has a </w:t>
      </w:r>
      <w:r>
        <w:t>broad spectrum</w:t>
      </w:r>
      <w:r w:rsidRPr="0085319A">
        <w:t xml:space="preserve"> compliance program. </w:t>
      </w:r>
      <w:r w:rsidR="0088564C">
        <w:t>While it</w:t>
      </w:r>
      <w:r>
        <w:t xml:space="preserve"> remains committed to addressing all ‘employee notifications’</w:t>
      </w:r>
      <w:r w:rsidR="0088564C">
        <w:t xml:space="preserve">, extension of Single Touch Payroll to all employers and more frequent superannuation fund reporting will enable it to adopt a more targeted and proactive approach to </w:t>
      </w:r>
      <w:r w:rsidR="000C4BBC">
        <w:t>superannuation guarantee</w:t>
      </w:r>
      <w:r w:rsidR="0088564C">
        <w:t xml:space="preserve"> compliance</w:t>
      </w:r>
      <w:r>
        <w:t>.</w:t>
      </w:r>
    </w:p>
    <w:p w14:paraId="6610C4ED" w14:textId="6075D7B7" w:rsidR="00535188" w:rsidRDefault="0088564C">
      <w:pPr>
        <w:pStyle w:val="ListParagraph"/>
        <w:numPr>
          <w:ilvl w:val="1"/>
          <w:numId w:val="33"/>
        </w:numPr>
        <w:spacing w:line="360" w:lineRule="auto"/>
        <w:contextualSpacing w:val="0"/>
        <w:rPr>
          <w:color w:val="auto"/>
        </w:rPr>
      </w:pPr>
      <w:r>
        <w:t xml:space="preserve">The </w:t>
      </w:r>
      <w:r w:rsidR="003759DB">
        <w:t>ATO will rebalance the focus of its superannuation guarantee compliance program by increasing the proportion of ATO</w:t>
      </w:r>
      <w:r w:rsidR="003759DB">
        <w:noBreakHyphen/>
        <w:t xml:space="preserve">initiated </w:t>
      </w:r>
      <w:r w:rsidR="00C2549D">
        <w:t xml:space="preserve">reviews and </w:t>
      </w:r>
      <w:r w:rsidR="003759DB">
        <w:t xml:space="preserve">audits. </w:t>
      </w:r>
      <w:r w:rsidR="00535188">
        <w:t xml:space="preserve">Resources </w:t>
      </w:r>
      <w:r w:rsidR="00226E1D">
        <w:t xml:space="preserve">will be </w:t>
      </w:r>
      <w:r w:rsidR="00535188">
        <w:t xml:space="preserve">allocated to support, assist and investigate </w:t>
      </w:r>
      <w:r w:rsidR="00535188" w:rsidRPr="002638C0">
        <w:t xml:space="preserve">all </w:t>
      </w:r>
      <w:r w:rsidR="00535188" w:rsidRPr="00224B95">
        <w:rPr>
          <w:color w:val="auto"/>
        </w:rPr>
        <w:t>complaints from employees</w:t>
      </w:r>
      <w:r w:rsidR="00C2549D">
        <w:rPr>
          <w:color w:val="auto"/>
        </w:rPr>
        <w:t>.</w:t>
      </w:r>
    </w:p>
    <w:p w14:paraId="47DAE3B7" w14:textId="09990300" w:rsidR="00226E1D" w:rsidRDefault="00226E1D">
      <w:pPr>
        <w:pStyle w:val="ListParagraph"/>
        <w:numPr>
          <w:ilvl w:val="1"/>
          <w:numId w:val="33"/>
        </w:numPr>
        <w:spacing w:line="360" w:lineRule="auto"/>
        <w:contextualSpacing w:val="0"/>
        <w:rPr>
          <w:color w:val="auto"/>
        </w:rPr>
      </w:pPr>
      <w:r>
        <w:rPr>
          <w:color w:val="auto"/>
        </w:rPr>
        <w:t>The ATO finds a greater percentage of non</w:t>
      </w:r>
      <w:r>
        <w:rPr>
          <w:color w:val="auto"/>
        </w:rPr>
        <w:noBreakHyphen/>
        <w:t xml:space="preserve">compliant employers from its proactive case work than from employee notification cases: 82 per cent and 65 per cent respectively. </w:t>
      </w:r>
    </w:p>
    <w:p w14:paraId="6A6E4A59" w14:textId="1C385CAE" w:rsidR="003759DB" w:rsidRDefault="003759DB">
      <w:pPr>
        <w:pStyle w:val="ListParagraph"/>
        <w:numPr>
          <w:ilvl w:val="1"/>
          <w:numId w:val="33"/>
        </w:numPr>
        <w:spacing w:line="360" w:lineRule="auto"/>
        <w:contextualSpacing w:val="0"/>
      </w:pPr>
      <w:r>
        <w:t>Enhanced analytical models will be used to create a more complete picture of employers who potentially do not comply (at the individual, industry and/or market level). Better identification of the at</w:t>
      </w:r>
      <w:r>
        <w:noBreakHyphen/>
        <w:t>risk population will see the number of ATO</w:t>
      </w:r>
      <w:r>
        <w:noBreakHyphen/>
        <w:t>initiated cases in 2017</w:t>
      </w:r>
      <w:r>
        <w:noBreakHyphen/>
        <w:t xml:space="preserve">18 to increase to 40 per cent </w:t>
      </w:r>
      <w:r w:rsidR="00226E1D">
        <w:t xml:space="preserve">(from the current base of 30 per cent) </w:t>
      </w:r>
      <w:r>
        <w:t xml:space="preserve">of the total superannuation guarantee </w:t>
      </w:r>
      <w:r w:rsidR="00535188">
        <w:t>cases</w:t>
      </w:r>
      <w:r>
        <w:t xml:space="preserve"> undertaken. </w:t>
      </w:r>
    </w:p>
    <w:p w14:paraId="24272295" w14:textId="77777777" w:rsidR="00FE2E32" w:rsidRPr="004F6245" w:rsidRDefault="00EE14B0" w:rsidP="00FE2E32">
      <w:pPr>
        <w:pStyle w:val="Heading3"/>
        <w:rPr>
          <w:color w:val="auto"/>
        </w:rPr>
      </w:pPr>
      <w:r>
        <w:t>Leveraging other sources of compliance information</w:t>
      </w:r>
    </w:p>
    <w:p w14:paraId="0C667756" w14:textId="77777777" w:rsidR="00FE2E32" w:rsidRPr="00611132" w:rsidRDefault="00FE2E32" w:rsidP="00FE2E32">
      <w:pPr>
        <w:pStyle w:val="ListParagraph"/>
        <w:numPr>
          <w:ilvl w:val="1"/>
          <w:numId w:val="33"/>
        </w:numPr>
        <w:spacing w:line="360" w:lineRule="auto"/>
        <w:contextualSpacing w:val="0"/>
      </w:pPr>
      <w:r w:rsidRPr="00FE2E32">
        <w:t xml:space="preserve">In addition to reports from employees, the ATO also receives information </w:t>
      </w:r>
      <w:r w:rsidR="00EE14B0">
        <w:t xml:space="preserve">on </w:t>
      </w:r>
      <w:r w:rsidR="00EE14B0" w:rsidRPr="00FE2E32">
        <w:t>possible employer non</w:t>
      </w:r>
      <w:r w:rsidR="001D6BE1">
        <w:noBreakHyphen/>
      </w:r>
      <w:r w:rsidR="00EE14B0" w:rsidRPr="00FE2E32">
        <w:t>c</w:t>
      </w:r>
      <w:r w:rsidR="00EE14B0">
        <w:t>ompliance</w:t>
      </w:r>
      <w:r w:rsidR="00EE14B0" w:rsidRPr="00FE2E32">
        <w:t xml:space="preserve"> </w:t>
      </w:r>
      <w:r w:rsidRPr="00FE2E32">
        <w:t xml:space="preserve">from </w:t>
      </w:r>
      <w:r w:rsidRPr="00FE2E32" w:rsidDel="00EE14B0">
        <w:t xml:space="preserve">superannuation </w:t>
      </w:r>
      <w:r w:rsidRPr="00FE2E32">
        <w:t>funds, unions</w:t>
      </w:r>
      <w:r w:rsidR="00EE14B0">
        <w:t xml:space="preserve">, </w:t>
      </w:r>
      <w:r w:rsidR="00334492">
        <w:t xml:space="preserve">community </w:t>
      </w:r>
      <w:r w:rsidR="004E41A0">
        <w:t>referrals</w:t>
      </w:r>
      <w:r w:rsidR="00334492">
        <w:t xml:space="preserve"> directly to the ATO </w:t>
      </w:r>
      <w:r w:rsidRPr="00FE2E32">
        <w:t xml:space="preserve">and other third </w:t>
      </w:r>
      <w:r w:rsidR="00EE14B0">
        <w:t xml:space="preserve">parties. </w:t>
      </w:r>
      <w:r w:rsidRPr="00FE2E32">
        <w:t>This information is evaluated and compliance action is taken</w:t>
      </w:r>
      <w:r w:rsidR="00EE14B0">
        <w:t xml:space="preserve"> where </w:t>
      </w:r>
      <w:r w:rsidR="00334492">
        <w:t>there is sufficient evidence to proceed.</w:t>
      </w:r>
      <w:r w:rsidR="00EE14B0">
        <w:t xml:space="preserve"> </w:t>
      </w:r>
    </w:p>
    <w:p w14:paraId="51FCE37A" w14:textId="77777777" w:rsidR="00FE2E32" w:rsidRDefault="00FE2E32" w:rsidP="00FE2E32">
      <w:pPr>
        <w:pStyle w:val="ListParagraph"/>
        <w:numPr>
          <w:ilvl w:val="1"/>
          <w:numId w:val="33"/>
        </w:numPr>
        <w:spacing w:line="360" w:lineRule="auto"/>
        <w:contextualSpacing w:val="0"/>
      </w:pPr>
      <w:r w:rsidRPr="00FE2E32">
        <w:t>Third party referrals are an important source of information as 70</w:t>
      </w:r>
      <w:r w:rsidR="00E24DCF">
        <w:t> </w:t>
      </w:r>
      <w:r w:rsidRPr="00FE2E32">
        <w:t>per</w:t>
      </w:r>
      <w:r w:rsidR="00E24DCF">
        <w:t> </w:t>
      </w:r>
      <w:r w:rsidRPr="00FE2E32">
        <w:t xml:space="preserve">cent of employee notifications are lodged after the employee has left their employer. Third party sources can provide </w:t>
      </w:r>
      <w:r w:rsidR="00334492">
        <w:t xml:space="preserve">more </w:t>
      </w:r>
      <w:r w:rsidR="00EE14B0">
        <w:t>time</w:t>
      </w:r>
      <w:r w:rsidR="00334492">
        <w:t>ly</w:t>
      </w:r>
      <w:r w:rsidR="004E41A0">
        <w:t xml:space="preserve"> </w:t>
      </w:r>
      <w:r w:rsidRPr="00FE2E32">
        <w:t>information about potential underpayments. These referrals often complement other information held by the ATO or assist with cases already underway.</w:t>
      </w:r>
      <w:r w:rsidR="008132CA">
        <w:t xml:space="preserve"> </w:t>
      </w:r>
      <w:r w:rsidR="00EE14B0">
        <w:t>Of course</w:t>
      </w:r>
      <w:r w:rsidR="00E24DCF">
        <w:t>, n</w:t>
      </w:r>
      <w:r w:rsidRPr="00FE2E32">
        <w:t xml:space="preserve">ot all third party referrals generate audit cases as some lack the </w:t>
      </w:r>
      <w:r w:rsidR="00EE14B0">
        <w:t xml:space="preserve">necessary </w:t>
      </w:r>
      <w:r w:rsidRPr="00FE2E32">
        <w:t>information and others have already been resolved.</w:t>
      </w:r>
      <w:r w:rsidR="00EE14B0">
        <w:t xml:space="preserve"> </w:t>
      </w:r>
    </w:p>
    <w:p w14:paraId="6DAF92DD" w14:textId="77777777" w:rsidR="00EE14B0" w:rsidRPr="00131B30" w:rsidRDefault="00FE2E32" w:rsidP="00EE14B0">
      <w:pPr>
        <w:pStyle w:val="ListParagraph"/>
        <w:numPr>
          <w:ilvl w:val="1"/>
          <w:numId w:val="33"/>
        </w:numPr>
        <w:spacing w:line="360" w:lineRule="auto"/>
        <w:contextualSpacing w:val="0"/>
      </w:pPr>
      <w:r>
        <w:t xml:space="preserve">The ATO works closely with the </w:t>
      </w:r>
      <w:r w:rsidR="00165EB7" w:rsidRPr="00353C48">
        <w:t>FWO</w:t>
      </w:r>
      <w:r w:rsidR="00EB5C47">
        <w:t xml:space="preserve">. </w:t>
      </w:r>
      <w:r w:rsidRPr="00FE2E32">
        <w:t xml:space="preserve">Under the Memorandum of Understanding between the </w:t>
      </w:r>
      <w:r w:rsidRPr="00353C48">
        <w:t>FWO</w:t>
      </w:r>
      <w:r w:rsidRPr="00FE2E32">
        <w:t xml:space="preserve"> and the ATO, the FWO provides </w:t>
      </w:r>
      <w:r w:rsidR="001D6BE1">
        <w:rPr>
          <w:rFonts w:cs="Arial"/>
          <w:szCs w:val="22"/>
          <w:lang w:eastAsia="en-AU"/>
        </w:rPr>
        <w:t>six</w:t>
      </w:r>
      <w:r w:rsidR="001D6BE1">
        <w:rPr>
          <w:rFonts w:cs="Arial"/>
          <w:szCs w:val="22"/>
          <w:lang w:eastAsia="en-AU"/>
        </w:rPr>
        <w:noBreakHyphen/>
        <w:t>monthly</w:t>
      </w:r>
      <w:r w:rsidRPr="00EE14B0">
        <w:rPr>
          <w:rFonts w:cs="Arial"/>
          <w:szCs w:val="22"/>
          <w:lang w:eastAsia="en-AU"/>
        </w:rPr>
        <w:t xml:space="preserve"> reports </w:t>
      </w:r>
      <w:r w:rsidR="00EE14B0">
        <w:rPr>
          <w:rFonts w:cs="Arial"/>
          <w:szCs w:val="22"/>
          <w:lang w:eastAsia="en-AU"/>
        </w:rPr>
        <w:t>containing</w:t>
      </w:r>
      <w:r w:rsidR="00EE14B0" w:rsidRPr="00EE14B0">
        <w:rPr>
          <w:rFonts w:cs="Arial"/>
          <w:szCs w:val="22"/>
          <w:lang w:eastAsia="en-AU"/>
        </w:rPr>
        <w:t xml:space="preserve"> </w:t>
      </w:r>
      <w:r w:rsidRPr="00EE14B0">
        <w:rPr>
          <w:rFonts w:cs="Arial"/>
          <w:szCs w:val="22"/>
          <w:lang w:eastAsia="en-AU"/>
        </w:rPr>
        <w:t xml:space="preserve">details of employers who appear to have not </w:t>
      </w:r>
      <w:r w:rsidR="001D6BE1">
        <w:rPr>
          <w:rFonts w:cs="Arial"/>
          <w:szCs w:val="22"/>
          <w:lang w:eastAsia="en-AU"/>
        </w:rPr>
        <w:t xml:space="preserve">met </w:t>
      </w:r>
      <w:r w:rsidRPr="00EE14B0">
        <w:rPr>
          <w:rFonts w:cs="Arial"/>
          <w:szCs w:val="22"/>
          <w:lang w:eastAsia="en-AU"/>
        </w:rPr>
        <w:t xml:space="preserve">superannuation guarantee </w:t>
      </w:r>
      <w:r w:rsidR="001D6BE1">
        <w:rPr>
          <w:rFonts w:cs="Arial"/>
          <w:szCs w:val="22"/>
          <w:lang w:eastAsia="en-AU"/>
        </w:rPr>
        <w:t>obligations</w:t>
      </w:r>
      <w:r w:rsidRPr="00EE14B0">
        <w:rPr>
          <w:rFonts w:cs="Arial"/>
          <w:szCs w:val="22"/>
          <w:lang w:eastAsia="en-AU"/>
        </w:rPr>
        <w:t xml:space="preserve">. </w:t>
      </w:r>
    </w:p>
    <w:p w14:paraId="03A2166F" w14:textId="77777777" w:rsidR="00FE2E32" w:rsidRDefault="00FE2E32" w:rsidP="00EE14B0">
      <w:pPr>
        <w:pStyle w:val="ListParagraph"/>
        <w:numPr>
          <w:ilvl w:val="1"/>
          <w:numId w:val="33"/>
        </w:numPr>
        <w:spacing w:line="360" w:lineRule="auto"/>
        <w:contextualSpacing w:val="0"/>
      </w:pPr>
      <w:r w:rsidRPr="00EE14B0">
        <w:rPr>
          <w:rFonts w:cs="Arial"/>
          <w:szCs w:val="22"/>
          <w:lang w:eastAsia="en-AU"/>
        </w:rPr>
        <w:t xml:space="preserve">The </w:t>
      </w:r>
      <w:r w:rsidRPr="00FE2E32">
        <w:t xml:space="preserve">ATO </w:t>
      </w:r>
      <w:r w:rsidR="008E2843" w:rsidRPr="00353C48">
        <w:t>and FWO</w:t>
      </w:r>
      <w:r w:rsidR="008E2843">
        <w:t xml:space="preserve"> have undertaken to </w:t>
      </w:r>
      <w:r w:rsidRPr="00FE2E32">
        <w:t xml:space="preserve">increase the frequency of this information exchange. </w:t>
      </w:r>
      <w:r w:rsidR="001717C1">
        <w:t>Information will now be exchanged on a quarterly rather than six</w:t>
      </w:r>
      <w:r w:rsidR="00DB52EB">
        <w:t xml:space="preserve"> </w:t>
      </w:r>
      <w:r w:rsidR="001717C1">
        <w:t>monthly basis.</w:t>
      </w:r>
    </w:p>
    <w:p w14:paraId="7C43543F" w14:textId="77777777" w:rsidR="001717C1" w:rsidRPr="00611132" w:rsidRDefault="001717C1" w:rsidP="00131B30">
      <w:pPr>
        <w:pStyle w:val="Heading3"/>
      </w:pPr>
      <w:r>
        <w:t>Closer cooperation between regulators</w:t>
      </w:r>
    </w:p>
    <w:p w14:paraId="3E03F05E" w14:textId="77777777" w:rsidR="001717C1" w:rsidRDefault="001717C1" w:rsidP="001717C1">
      <w:pPr>
        <w:pStyle w:val="ListParagraph"/>
        <w:numPr>
          <w:ilvl w:val="1"/>
          <w:numId w:val="33"/>
        </w:numPr>
        <w:spacing w:line="360" w:lineRule="auto"/>
        <w:contextualSpacing w:val="0"/>
      </w:pPr>
      <w:r>
        <w:t>C</w:t>
      </w:r>
      <w:r w:rsidR="00FE2E32">
        <w:t>ross</w:t>
      </w:r>
      <w:r w:rsidR="007634AB">
        <w:noBreakHyphen/>
      </w:r>
      <w:r w:rsidR="00FE2E32">
        <w:t>agency information</w:t>
      </w:r>
      <w:r w:rsidR="009C088E">
        <w:noBreakHyphen/>
      </w:r>
      <w:r w:rsidR="00FE2E32">
        <w:t>sharing is crucial to increasing the likelihood that employee entitlements are recovered where companies are in financial distress or entering insolvency.</w:t>
      </w:r>
      <w:r>
        <w:t xml:space="preserve"> ASIC and APRA both hold information about the operations and viability of </w:t>
      </w:r>
      <w:r w:rsidR="00E660F6">
        <w:t>participants</w:t>
      </w:r>
      <w:r>
        <w:t xml:space="preserve"> in the superannuation guarantee system (for example, company director information).</w:t>
      </w:r>
    </w:p>
    <w:p w14:paraId="38292D2D" w14:textId="77777777" w:rsidR="00FE2E32" w:rsidRPr="00FE2E32" w:rsidRDefault="001717C1" w:rsidP="00224B95">
      <w:pPr>
        <w:pStyle w:val="ListParagraph"/>
        <w:numPr>
          <w:ilvl w:val="1"/>
          <w:numId w:val="33"/>
        </w:numPr>
        <w:spacing w:line="360" w:lineRule="auto"/>
        <w:contextualSpacing w:val="0"/>
      </w:pPr>
      <w:r>
        <w:t xml:space="preserve">The regulatory bodies involved in this Working Group – ATO, APRA and ASIC – together with the </w:t>
      </w:r>
      <w:r w:rsidR="00165EB7">
        <w:t>FWO</w:t>
      </w:r>
      <w:r>
        <w:t>, will meet on a quarterly basis to monitor the operation of the superannuation guarantee system, and to exchange information relevant to identifying and addressing superannuation guarantee non</w:t>
      </w:r>
      <w:r>
        <w:noBreakHyphen/>
        <w:t>compliance. This will ensure that existing administrative and legislative mechanisms for dealing with non</w:t>
      </w:r>
      <w:r>
        <w:noBreakHyphen/>
        <w:t>compliance are being appropriately utilised. It will also enable identification of issues and trends. The agencies’ focus will evolve once reporting to the ATO matures, reflecting the substantial impact this change will have on the superannuation guarantee system.</w:t>
      </w:r>
    </w:p>
    <w:p w14:paraId="1EB6E7D3" w14:textId="793B7352" w:rsidR="00B733AF" w:rsidRDefault="00D7051A" w:rsidP="00731E31">
      <w:pPr>
        <w:pStyle w:val="ListParagraph"/>
        <w:numPr>
          <w:ilvl w:val="1"/>
          <w:numId w:val="33"/>
        </w:numPr>
        <w:spacing w:line="360" w:lineRule="auto"/>
        <w:contextualSpacing w:val="0"/>
      </w:pPr>
      <w:r w:rsidRPr="00224B95">
        <w:t xml:space="preserve">The Working Group notes that the </w:t>
      </w:r>
      <w:r w:rsidRPr="00224B95">
        <w:rPr>
          <w:i/>
        </w:rPr>
        <w:t>Australian Securities and Investment Commission Act 2001</w:t>
      </w:r>
      <w:r w:rsidRPr="00224B95">
        <w:t xml:space="preserve"> has been recently amended to promote greater sharing of information.</w:t>
      </w:r>
      <w:r w:rsidR="00365529" w:rsidRPr="00365529">
        <w:rPr>
          <w:rStyle w:val="FootnoteReference"/>
        </w:rPr>
        <w:t xml:space="preserve"> </w:t>
      </w:r>
      <w:r w:rsidR="00365529">
        <w:rPr>
          <w:rStyle w:val="FootnoteReference"/>
        </w:rPr>
        <w:footnoteReference w:id="19"/>
      </w:r>
      <w:r w:rsidRPr="00224B95">
        <w:t xml:space="preserve"> The process by which ASIC can share information with the ATO has been simplified and </w:t>
      </w:r>
      <w:r w:rsidR="00365529">
        <w:t xml:space="preserve">this </w:t>
      </w:r>
      <w:r w:rsidRPr="00224B95">
        <w:t xml:space="preserve">will assist </w:t>
      </w:r>
      <w:r w:rsidR="0060377C">
        <w:t>with</w:t>
      </w:r>
      <w:r w:rsidRPr="00224B95">
        <w:t xml:space="preserve"> timely information exchange and enable the respective agencies to identify certain behaviours (such as early warnings of insolvency) that can increase the </w:t>
      </w:r>
      <w:r w:rsidR="0060377C">
        <w:t xml:space="preserve">risk </w:t>
      </w:r>
      <w:r w:rsidRPr="00224B95">
        <w:t>of employers being non-complian</w:t>
      </w:r>
      <w:r w:rsidR="0060377C">
        <w:t>t</w:t>
      </w:r>
      <w:r w:rsidR="007A6B48">
        <w:t xml:space="preserve"> This will need to be explored in the context of superannuation guarantee. </w:t>
      </w:r>
    </w:p>
    <w:p w14:paraId="69E84046" w14:textId="77777777" w:rsidR="003B3F1A" w:rsidRPr="003B3F1A" w:rsidRDefault="003B3F1A" w:rsidP="003B3F1A">
      <w:pPr>
        <w:pStyle w:val="Heading2"/>
      </w:pPr>
      <w:bookmarkStart w:id="197" w:name="_Toc478403051"/>
      <w:bookmarkStart w:id="198" w:name="_Toc478485975"/>
      <w:bookmarkStart w:id="199" w:name="_Toc478501985"/>
      <w:bookmarkStart w:id="200" w:name="_Toc478651964"/>
      <w:bookmarkStart w:id="201" w:name="_Toc478654425"/>
      <w:bookmarkStart w:id="202" w:name="_Toc478655139"/>
      <w:bookmarkStart w:id="203" w:name="_Toc478656393"/>
      <w:bookmarkStart w:id="204" w:name="_Toc478657644"/>
      <w:bookmarkStart w:id="205" w:name="_Toc478718240"/>
      <w:bookmarkStart w:id="206" w:name="_Toc478718450"/>
      <w:bookmarkStart w:id="207" w:name="_Toc478738399"/>
      <w:bookmarkStart w:id="208" w:name="_Toc478740685"/>
      <w:r w:rsidRPr="003B3F1A">
        <w:t>Frequency of superannuation guarantee contributions</w:t>
      </w:r>
      <w:bookmarkEnd w:id="197"/>
      <w:bookmarkEnd w:id="198"/>
      <w:bookmarkEnd w:id="199"/>
      <w:bookmarkEnd w:id="200"/>
      <w:bookmarkEnd w:id="201"/>
      <w:bookmarkEnd w:id="202"/>
      <w:bookmarkEnd w:id="203"/>
      <w:bookmarkEnd w:id="204"/>
      <w:bookmarkEnd w:id="205"/>
      <w:bookmarkEnd w:id="206"/>
      <w:bookmarkEnd w:id="207"/>
      <w:bookmarkEnd w:id="208"/>
      <w:r w:rsidRPr="003B3F1A">
        <w:t xml:space="preserve"> </w:t>
      </w:r>
    </w:p>
    <w:p w14:paraId="0DF6A73B" w14:textId="78C3FFC1" w:rsidR="003B3F1A" w:rsidRPr="0002435B" w:rsidRDefault="003B3F1A" w:rsidP="003B3F1A">
      <w:pPr>
        <w:pStyle w:val="ListParagraph"/>
        <w:numPr>
          <w:ilvl w:val="1"/>
          <w:numId w:val="33"/>
        </w:numPr>
        <w:spacing w:line="360" w:lineRule="auto"/>
        <w:contextualSpacing w:val="0"/>
      </w:pPr>
      <w:r w:rsidRPr="0002435B">
        <w:t>Currently employers are required to make superannuation guarantee contributions quarterly (within 28 days after the end of the quarter).</w:t>
      </w:r>
    </w:p>
    <w:p w14:paraId="4A7A4831" w14:textId="77777777" w:rsidR="00314D09" w:rsidRDefault="003B3F1A" w:rsidP="00314D09">
      <w:pPr>
        <w:pStyle w:val="ListParagraph"/>
        <w:numPr>
          <w:ilvl w:val="1"/>
          <w:numId w:val="33"/>
        </w:numPr>
        <w:spacing w:line="360" w:lineRule="auto"/>
        <w:contextualSpacing w:val="0"/>
      </w:pPr>
      <w:r w:rsidRPr="0002435B">
        <w:t xml:space="preserve">A number of stakeholders have proposed that employers be required to pay their employees’ superannuation guarantee </w:t>
      </w:r>
      <w:r>
        <w:t xml:space="preserve">more frequently, such as </w:t>
      </w:r>
      <w:r w:rsidRPr="0002435B">
        <w:t>every month</w:t>
      </w:r>
      <w:r w:rsidR="00306639">
        <w:t>.</w:t>
      </w:r>
      <w:r w:rsidRPr="0002435B">
        <w:rPr>
          <w:rStyle w:val="FootnoteReference"/>
          <w:sz w:val="16"/>
        </w:rPr>
        <w:footnoteReference w:id="20"/>
      </w:r>
      <w:r>
        <w:t xml:space="preserve"> They assert </w:t>
      </w:r>
      <w:r w:rsidRPr="0002435B">
        <w:t xml:space="preserve">that </w:t>
      </w:r>
      <w:r>
        <w:t xml:space="preserve">the quarterly payment cycle </w:t>
      </w:r>
      <w:r w:rsidRPr="0002435B">
        <w:t>increases the risk of superannuation guarantee non</w:t>
      </w:r>
      <w:r>
        <w:t>-</w:t>
      </w:r>
      <w:r w:rsidRPr="0002435B">
        <w:t>compliance because it can take many months before employees can identify unpaid superannuation guarantee.</w:t>
      </w:r>
    </w:p>
    <w:p w14:paraId="50305DC3" w14:textId="070D9B4B" w:rsidR="002131C8" w:rsidRDefault="003B3F1A" w:rsidP="002131C8">
      <w:pPr>
        <w:pStyle w:val="ListParagraph"/>
        <w:numPr>
          <w:ilvl w:val="1"/>
          <w:numId w:val="33"/>
        </w:numPr>
        <w:spacing w:line="360" w:lineRule="auto"/>
        <w:contextualSpacing w:val="0"/>
      </w:pPr>
      <w:r w:rsidRPr="0002435B">
        <w:t xml:space="preserve">The ATO has identified </w:t>
      </w:r>
      <w:r w:rsidR="003768B7">
        <w:t>that</w:t>
      </w:r>
      <w:r w:rsidRPr="0002435B">
        <w:t xml:space="preserve"> cash flow </w:t>
      </w:r>
      <w:r w:rsidR="003768B7">
        <w:t xml:space="preserve">is cited </w:t>
      </w:r>
      <w:r w:rsidR="00365529">
        <w:t xml:space="preserve">by employers </w:t>
      </w:r>
      <w:r w:rsidRPr="0002435B">
        <w:t xml:space="preserve">as </w:t>
      </w:r>
      <w:r w:rsidR="003768B7">
        <w:t xml:space="preserve">a major reason for why </w:t>
      </w:r>
      <w:r w:rsidR="00365529">
        <w:t>they</w:t>
      </w:r>
      <w:r w:rsidR="00365529" w:rsidRPr="0002435B">
        <w:t xml:space="preserve"> </w:t>
      </w:r>
      <w:r w:rsidR="003768B7">
        <w:t>do not</w:t>
      </w:r>
      <w:r w:rsidRPr="0002435B">
        <w:t xml:space="preserve"> comply with their superannuation guarantee obligations.</w:t>
      </w:r>
      <w:r w:rsidRPr="00974923">
        <w:rPr>
          <w:vertAlign w:val="superscript"/>
        </w:rPr>
        <w:footnoteReference w:id="21"/>
      </w:r>
      <w:r w:rsidRPr="0002435B">
        <w:t xml:space="preserve"> Mandating monthly superannuation guarantee payments could encourage businesses to </w:t>
      </w:r>
      <w:r w:rsidR="00CA2C39">
        <w:t xml:space="preserve">prioritise </w:t>
      </w:r>
      <w:r w:rsidRPr="0002435B">
        <w:t>their</w:t>
      </w:r>
      <w:r w:rsidR="00CA2C39">
        <w:t xml:space="preserve"> superannuation guarantee commitments</w:t>
      </w:r>
      <w:r w:rsidR="00365529">
        <w:t xml:space="preserve"> </w:t>
      </w:r>
      <w:r w:rsidRPr="0002435B">
        <w:t xml:space="preserve">better, potentially improving compliance. </w:t>
      </w:r>
    </w:p>
    <w:p w14:paraId="6A89D323" w14:textId="300B433F" w:rsidR="00B733AF" w:rsidRDefault="003768B7" w:rsidP="002131C8">
      <w:pPr>
        <w:pStyle w:val="ListParagraph"/>
        <w:numPr>
          <w:ilvl w:val="1"/>
          <w:numId w:val="33"/>
        </w:numPr>
        <w:spacing w:line="360" w:lineRule="auto"/>
        <w:contextualSpacing w:val="0"/>
      </w:pPr>
      <w:r>
        <w:t xml:space="preserve">However it could also increase pressure </w:t>
      </w:r>
      <w:r w:rsidR="0060377C">
        <w:t xml:space="preserve">on </w:t>
      </w:r>
      <w:r>
        <w:t>business and would not necessarily be supported by small business</w:t>
      </w:r>
      <w:r w:rsidR="00B733AF">
        <w:t xml:space="preserve">. Previous experience in scoping Single Touch Payroll would suggest that small business will see this </w:t>
      </w:r>
      <w:r>
        <w:t>as an unnecessary burden given the number of small business</w:t>
      </w:r>
      <w:r w:rsidR="00C60BD0">
        <w:t>es</w:t>
      </w:r>
      <w:r>
        <w:t xml:space="preserve"> who do pay their superannuation guarantee in full compliance with the law.</w:t>
      </w:r>
    </w:p>
    <w:p w14:paraId="4475C2A0" w14:textId="434E4E13" w:rsidR="002A3C04" w:rsidRDefault="002131C8" w:rsidP="002131C8">
      <w:pPr>
        <w:pStyle w:val="ListParagraph"/>
        <w:numPr>
          <w:ilvl w:val="1"/>
          <w:numId w:val="33"/>
        </w:numPr>
        <w:spacing w:line="360" w:lineRule="auto"/>
        <w:contextualSpacing w:val="0"/>
      </w:pPr>
      <w:r>
        <w:t xml:space="preserve">It is noted </w:t>
      </w:r>
      <w:r w:rsidR="00B733AF">
        <w:t xml:space="preserve">by the Working Group </w:t>
      </w:r>
      <w:r>
        <w:t xml:space="preserve">that bringing forward the payment date for the payment of superannuation guarantee from quarterly to monthly would be seen as reducing the working capital available to businesses. </w:t>
      </w:r>
      <w:r w:rsidR="002A3C04">
        <w:t>From a red tape perspective, an employer who is non</w:t>
      </w:r>
      <w:r w:rsidR="002A3C04">
        <w:noBreakHyphen/>
        <w:t xml:space="preserve">compliant for one financial year would need to lodge twelve monthly </w:t>
      </w:r>
      <w:r w:rsidR="00365529">
        <w:t>S</w:t>
      </w:r>
      <w:r w:rsidR="002A3C04">
        <w:t xml:space="preserve">uperannuation </w:t>
      </w:r>
      <w:r w:rsidR="00365529">
        <w:t>G</w:t>
      </w:r>
      <w:r w:rsidR="002A3C04">
        <w:t xml:space="preserve">uarantee </w:t>
      </w:r>
      <w:r w:rsidR="00365529">
        <w:t>C</w:t>
      </w:r>
      <w:r w:rsidR="002A3C04">
        <w:t xml:space="preserve">harge </w:t>
      </w:r>
      <w:r w:rsidR="00365529">
        <w:t>S</w:t>
      </w:r>
      <w:r w:rsidR="002A3C04">
        <w:t>tatements rather than just four quarterly statements, tripling the compliance burden.</w:t>
      </w:r>
    </w:p>
    <w:p w14:paraId="74B856F4" w14:textId="209ED893" w:rsidR="002131C8" w:rsidRPr="00DB6E7C" w:rsidRDefault="00041412" w:rsidP="002131C8">
      <w:pPr>
        <w:pStyle w:val="ListParagraph"/>
        <w:numPr>
          <w:ilvl w:val="1"/>
          <w:numId w:val="33"/>
        </w:numPr>
        <w:spacing w:line="360" w:lineRule="auto"/>
        <w:contextualSpacing w:val="0"/>
      </w:pPr>
      <w:r>
        <w:t>B</w:t>
      </w:r>
      <w:r w:rsidR="00650ACB" w:rsidRPr="00DB6E7C">
        <w:t>ringing forward the payment date, for some businesses potentially close to insolvency, may actually have the effect of bringing forward the identification of a problem</w:t>
      </w:r>
      <w:r w:rsidR="00535188">
        <w:t xml:space="preserve"> and thus</w:t>
      </w:r>
      <w:r w:rsidR="00645330" w:rsidRPr="00DB6E7C">
        <w:t xml:space="preserve"> be beneficial to creditors and employees owed </w:t>
      </w:r>
      <w:r w:rsidR="00A2691E" w:rsidRPr="00DB6E7C">
        <w:t>employment</w:t>
      </w:r>
      <w:r w:rsidR="00645330" w:rsidRPr="00DB6E7C">
        <w:t xml:space="preserve"> entitlements.</w:t>
      </w:r>
    </w:p>
    <w:p w14:paraId="5EECBEE2" w14:textId="1F7FD45B" w:rsidR="002B6D54" w:rsidRDefault="002B6D54" w:rsidP="003B3F1A">
      <w:pPr>
        <w:pStyle w:val="ListParagraph"/>
        <w:numPr>
          <w:ilvl w:val="1"/>
          <w:numId w:val="33"/>
        </w:numPr>
        <w:spacing w:line="360" w:lineRule="auto"/>
        <w:contextualSpacing w:val="0"/>
      </w:pPr>
      <w:r>
        <w:t xml:space="preserve">The Working Group recognises that </w:t>
      </w:r>
      <w:r w:rsidR="003B3F1A" w:rsidRPr="0002435B">
        <w:t xml:space="preserve">there are </w:t>
      </w:r>
      <w:r>
        <w:t xml:space="preserve">valid </w:t>
      </w:r>
      <w:r w:rsidR="00115B12">
        <w:t>r</w:t>
      </w:r>
      <w:r w:rsidR="003B3F1A" w:rsidRPr="0002435B">
        <w:t>easons why superannuation guarantee payment frequency should be increased</w:t>
      </w:r>
      <w:r>
        <w:t xml:space="preserve"> </w:t>
      </w:r>
      <w:r w:rsidR="00535188">
        <w:t xml:space="preserve">to better </w:t>
      </w:r>
      <w:r w:rsidR="00365529">
        <w:t xml:space="preserve">align with </w:t>
      </w:r>
      <w:r w:rsidR="00535188">
        <w:t>when an employee receives</w:t>
      </w:r>
      <w:r>
        <w:t xml:space="preserve"> their </w:t>
      </w:r>
      <w:r w:rsidR="00535188">
        <w:t>salary. W</w:t>
      </w:r>
      <w:r w:rsidR="00535188" w:rsidRPr="0002435B">
        <w:t xml:space="preserve">hen quarterly </w:t>
      </w:r>
      <w:r w:rsidR="00115B12">
        <w:t>superannuation guarantee</w:t>
      </w:r>
      <w:r>
        <w:t xml:space="preserve"> </w:t>
      </w:r>
      <w:r w:rsidR="00535188" w:rsidRPr="0002435B">
        <w:t xml:space="preserve">payments were mandated in 2002, there </w:t>
      </w:r>
      <w:r w:rsidR="00535188">
        <w:t>were</w:t>
      </w:r>
      <w:r w:rsidR="00535188" w:rsidRPr="0002435B">
        <w:t xml:space="preserve"> far </w:t>
      </w:r>
      <w:r w:rsidR="00365529">
        <w:t>more</w:t>
      </w:r>
      <w:r w:rsidR="00535188" w:rsidRPr="0002435B">
        <w:t xml:space="preserve"> technological barriers to monthly superannuation guarantee payments</w:t>
      </w:r>
      <w:r w:rsidR="00365529">
        <w:t xml:space="preserve"> than</w:t>
      </w:r>
      <w:r w:rsidR="00535188" w:rsidRPr="0002435B">
        <w:t xml:space="preserve"> now.</w:t>
      </w:r>
      <w:r w:rsidR="00535188">
        <w:rPr>
          <w:rStyle w:val="FootnoteReference"/>
        </w:rPr>
        <w:footnoteReference w:id="22"/>
      </w:r>
      <w:r w:rsidR="00535188" w:rsidRPr="0002435B">
        <w:t xml:space="preserve"> Given other employee entitlements, such as</w:t>
      </w:r>
      <w:r>
        <w:t xml:space="preserve"> </w:t>
      </w:r>
      <w:r w:rsidRPr="00365529">
        <w:t xml:space="preserve">wages </w:t>
      </w:r>
      <w:r w:rsidR="00535188" w:rsidRPr="00F71EF8">
        <w:t xml:space="preserve">and PAYG </w:t>
      </w:r>
      <w:r w:rsidR="00365529">
        <w:t>w</w:t>
      </w:r>
      <w:r w:rsidR="00535188" w:rsidRPr="00365529">
        <w:t>ithholding</w:t>
      </w:r>
      <w:r w:rsidR="00E15CDF">
        <w:t>,</w:t>
      </w:r>
      <w:r w:rsidR="00535188" w:rsidRPr="0002435B">
        <w:t xml:space="preserve"> are paid more frequently there is little to disti</w:t>
      </w:r>
      <w:r w:rsidR="00535188">
        <w:t>nguish superannuation guarantee</w:t>
      </w:r>
      <w:r>
        <w:t>.</w:t>
      </w:r>
    </w:p>
    <w:p w14:paraId="3B63C1B0" w14:textId="122DD616" w:rsidR="003B3F1A" w:rsidRPr="0002435B" w:rsidRDefault="003B3F1A" w:rsidP="003B3F1A">
      <w:pPr>
        <w:pStyle w:val="ListParagraph"/>
        <w:numPr>
          <w:ilvl w:val="1"/>
          <w:numId w:val="33"/>
        </w:numPr>
        <w:spacing w:line="360" w:lineRule="auto"/>
        <w:contextualSpacing w:val="0"/>
      </w:pPr>
      <w:r w:rsidRPr="0002435B">
        <w:t>In practice, many businesses already make superannuation contributions more frequently than quarterly</w:t>
      </w:r>
      <w:r>
        <w:t>.</w:t>
      </w:r>
      <w:r w:rsidRPr="0002435B">
        <w:rPr>
          <w:rStyle w:val="FootnoteReference"/>
          <w:sz w:val="16"/>
        </w:rPr>
        <w:footnoteReference w:id="23"/>
      </w:r>
      <w:r w:rsidRPr="0002435B">
        <w:t xml:space="preserve"> However, without changes to reporting requirements that improve the visibility </w:t>
      </w:r>
      <w:r w:rsidRPr="00816268">
        <w:t>of superannuation guarantee non</w:t>
      </w:r>
      <w:r w:rsidRPr="00816268">
        <w:noBreakHyphen/>
        <w:t xml:space="preserve">compliance, a change to require monthly superannuation guarantee payments would only marginally assist the ATO </w:t>
      </w:r>
      <w:r w:rsidR="00365529">
        <w:t xml:space="preserve">to </w:t>
      </w:r>
      <w:r w:rsidRPr="00816268">
        <w:t>detect non</w:t>
      </w:r>
      <w:r w:rsidRPr="00816268">
        <w:noBreakHyphen/>
        <w:t>compliance sooner. It may assist employees identify missing contributions faster but only if they are engaged.</w:t>
      </w:r>
    </w:p>
    <w:p w14:paraId="7D0A51C1" w14:textId="06026002" w:rsidR="003B3F1A" w:rsidRDefault="003B3F1A" w:rsidP="003B3F1A">
      <w:pPr>
        <w:pStyle w:val="ListParagraph"/>
        <w:numPr>
          <w:ilvl w:val="1"/>
          <w:numId w:val="33"/>
        </w:numPr>
        <w:spacing w:line="360" w:lineRule="auto"/>
        <w:contextualSpacing w:val="0"/>
      </w:pPr>
      <w:r w:rsidRPr="003B3F1A">
        <w:t>For</w:t>
      </w:r>
      <w:r>
        <w:rPr>
          <w:color w:val="auto"/>
        </w:rPr>
        <w:t xml:space="preserve"> these reasons it is recommended</w:t>
      </w:r>
      <w:r w:rsidRPr="00C81F12">
        <w:rPr>
          <w:color w:val="auto"/>
        </w:rPr>
        <w:t xml:space="preserve"> to firstly </w:t>
      </w:r>
      <w:r w:rsidRPr="002638C0">
        <w:t>improve</w:t>
      </w:r>
      <w:r w:rsidRPr="00C81F12">
        <w:rPr>
          <w:color w:val="auto"/>
        </w:rPr>
        <w:t xml:space="preserve"> data visibility,</w:t>
      </w:r>
      <w:r>
        <w:rPr>
          <w:color w:val="auto"/>
        </w:rPr>
        <w:t xml:space="preserve"> preferably through Single Touch Payroll,</w:t>
      </w:r>
      <w:r w:rsidRPr="00C81F12">
        <w:rPr>
          <w:color w:val="auto"/>
        </w:rPr>
        <w:t xml:space="preserve"> and then review payment frequency at </w:t>
      </w:r>
      <w:r w:rsidR="00365529">
        <w:rPr>
          <w:color w:val="auto"/>
        </w:rPr>
        <w:t>a</w:t>
      </w:r>
      <w:r w:rsidR="00365529" w:rsidRPr="00C81F12">
        <w:rPr>
          <w:color w:val="auto"/>
        </w:rPr>
        <w:t xml:space="preserve"> </w:t>
      </w:r>
      <w:r w:rsidRPr="00C81F12">
        <w:rPr>
          <w:color w:val="auto"/>
        </w:rPr>
        <w:t xml:space="preserve">later date (ensuring businesses have sufficient time to implement if </w:t>
      </w:r>
      <w:r w:rsidR="00365529">
        <w:rPr>
          <w:color w:val="auto"/>
        </w:rPr>
        <w:t xml:space="preserve">the </w:t>
      </w:r>
      <w:r w:rsidRPr="00C81F12">
        <w:rPr>
          <w:color w:val="auto"/>
        </w:rPr>
        <w:t xml:space="preserve">frequency were </w:t>
      </w:r>
      <w:r w:rsidRPr="003B3F1A">
        <w:t>changed).</w:t>
      </w:r>
    </w:p>
    <w:p w14:paraId="0FEF4AA2" w14:textId="77777777" w:rsidR="009D5220" w:rsidRDefault="009D5220">
      <w:pPr>
        <w:pStyle w:val="Heading2"/>
      </w:pPr>
      <w:bookmarkStart w:id="209" w:name="_Toc478485977"/>
      <w:bookmarkStart w:id="210" w:name="_Toc478501987"/>
      <w:bookmarkStart w:id="211" w:name="_Toc478651965"/>
      <w:bookmarkStart w:id="212" w:name="_Toc478654426"/>
      <w:bookmarkStart w:id="213" w:name="_Toc478655140"/>
      <w:bookmarkStart w:id="214" w:name="_Toc478656394"/>
      <w:bookmarkStart w:id="215" w:name="_Toc478657645"/>
      <w:bookmarkStart w:id="216" w:name="_Toc478718241"/>
      <w:bookmarkStart w:id="217" w:name="_Toc478718451"/>
      <w:bookmarkStart w:id="218" w:name="_Toc478738400"/>
      <w:bookmarkStart w:id="219" w:name="_Toc478740686"/>
      <w:r w:rsidRPr="009D5220">
        <w:t>Improving collection and debt recovery</w:t>
      </w:r>
      <w:bookmarkEnd w:id="209"/>
      <w:bookmarkEnd w:id="210"/>
      <w:r w:rsidR="005B320C">
        <w:t xml:space="preserve"> by the ATO</w:t>
      </w:r>
      <w:bookmarkEnd w:id="211"/>
      <w:bookmarkEnd w:id="212"/>
      <w:bookmarkEnd w:id="213"/>
      <w:bookmarkEnd w:id="214"/>
      <w:bookmarkEnd w:id="215"/>
      <w:bookmarkEnd w:id="216"/>
      <w:bookmarkEnd w:id="217"/>
      <w:bookmarkEnd w:id="218"/>
      <w:bookmarkEnd w:id="219"/>
    </w:p>
    <w:p w14:paraId="4DE32480" w14:textId="3DC46C38" w:rsidR="009672AE" w:rsidRPr="00F71EF8" w:rsidRDefault="009672AE" w:rsidP="00F71EF8">
      <w:pPr>
        <w:keepNext/>
        <w:keepLines/>
      </w:pPr>
      <w:r>
        <w:t xml:space="preserve"> </w:t>
      </w:r>
    </w:p>
    <w:p w14:paraId="583B47C5" w14:textId="2429E201" w:rsidR="00CA10E5" w:rsidRPr="00284D0F" w:rsidRDefault="00CA10E5" w:rsidP="00F71EF8">
      <w:pPr>
        <w:pStyle w:val="Boxtext"/>
        <w:keepNext/>
        <w:keepLines/>
        <w:pBdr>
          <w:top w:val="none" w:sz="0" w:space="0" w:color="auto"/>
          <w:left w:val="none" w:sz="0" w:space="0" w:color="auto"/>
          <w:right w:val="none" w:sz="0" w:space="0" w:color="auto"/>
        </w:pBdr>
        <w:shd w:val="clear" w:color="auto" w:fill="D9D9D9" w:themeFill="background1" w:themeFillShade="D9"/>
        <w:spacing w:line="276" w:lineRule="auto"/>
        <w:rPr>
          <w:b/>
          <w:caps/>
          <w:color w:val="auto"/>
        </w:rPr>
      </w:pPr>
      <w:r w:rsidRPr="00284D0F">
        <w:rPr>
          <w:b/>
          <w:caps/>
          <w:color w:val="auto"/>
        </w:rPr>
        <w:t>Recommendation </w:t>
      </w:r>
      <w:r w:rsidR="00DE72B0">
        <w:rPr>
          <w:b/>
          <w:caps/>
          <w:color w:val="auto"/>
        </w:rPr>
        <w:t>4</w:t>
      </w:r>
    </w:p>
    <w:p w14:paraId="47D689DE" w14:textId="77777777" w:rsidR="00DE72B0" w:rsidRPr="00284D0F" w:rsidRDefault="00DE72B0" w:rsidP="00DE72B0">
      <w:pPr>
        <w:pStyle w:val="Boxtext"/>
        <w:keepNext/>
        <w:pBdr>
          <w:top w:val="none" w:sz="0" w:space="0" w:color="auto"/>
          <w:left w:val="none" w:sz="0" w:space="0" w:color="auto"/>
          <w:bottom w:val="none" w:sz="0" w:space="0" w:color="auto"/>
          <w:right w:val="none" w:sz="0" w:space="0" w:color="auto"/>
        </w:pBdr>
        <w:shd w:val="clear" w:color="auto" w:fill="D9D9D9" w:themeFill="background1" w:themeFillShade="D9"/>
        <w:spacing w:line="276" w:lineRule="auto"/>
        <w:rPr>
          <w:color w:val="auto"/>
        </w:rPr>
      </w:pPr>
      <w:r w:rsidRPr="00011A58">
        <w:t>To improve the overall framework for superannuation guarantee compliance and the collection of superannuation guarantee charge debts</w:t>
      </w:r>
      <w:r>
        <w:t>,</w:t>
      </w:r>
      <w:r w:rsidRPr="00011A58">
        <w:t xml:space="preserve"> enhancements should be made to the </w:t>
      </w:r>
      <w:r>
        <w:t>D</w:t>
      </w:r>
      <w:r w:rsidRPr="00011A58">
        <w:t xml:space="preserve">irector </w:t>
      </w:r>
      <w:r>
        <w:t>P</w:t>
      </w:r>
      <w:r w:rsidRPr="00011A58">
        <w:t xml:space="preserve">enalty </w:t>
      </w:r>
      <w:r>
        <w:t>N</w:t>
      </w:r>
      <w:r w:rsidRPr="00011A58">
        <w:t xml:space="preserve">otice regime and </w:t>
      </w:r>
      <w:r>
        <w:t>to the S</w:t>
      </w:r>
      <w:r w:rsidRPr="00011A58">
        <w:t xml:space="preserve">ecurity </w:t>
      </w:r>
      <w:r>
        <w:t>B</w:t>
      </w:r>
      <w:r w:rsidRPr="00011A58">
        <w:t xml:space="preserve">onds </w:t>
      </w:r>
      <w:r>
        <w:t>Regime.</w:t>
      </w:r>
    </w:p>
    <w:p w14:paraId="4A733CB5" w14:textId="77777777" w:rsidR="00CA10E5" w:rsidRPr="00284D0F" w:rsidRDefault="00CA10E5" w:rsidP="00CA10E5">
      <w:pPr>
        <w:spacing w:line="276" w:lineRule="auto"/>
        <w:rPr>
          <w:color w:val="auto"/>
          <w:sz w:val="6"/>
        </w:rPr>
      </w:pPr>
    </w:p>
    <w:p w14:paraId="41ECBEB3" w14:textId="6F4351EE" w:rsidR="00CA10E5" w:rsidRPr="00284D0F" w:rsidRDefault="00CA10E5" w:rsidP="00CA10E5">
      <w:pPr>
        <w:pStyle w:val="Boxtext"/>
        <w:keepNext/>
        <w:pBdr>
          <w:top w:val="none" w:sz="0" w:space="0" w:color="auto"/>
          <w:left w:val="none" w:sz="0" w:space="0" w:color="auto"/>
          <w:right w:val="none" w:sz="0" w:space="0" w:color="auto"/>
        </w:pBdr>
        <w:shd w:val="clear" w:color="auto" w:fill="D9D9D9" w:themeFill="background1" w:themeFillShade="D9"/>
        <w:spacing w:line="276" w:lineRule="auto"/>
        <w:rPr>
          <w:b/>
          <w:caps/>
          <w:color w:val="auto"/>
        </w:rPr>
      </w:pPr>
      <w:r w:rsidRPr="00284D0F">
        <w:rPr>
          <w:b/>
          <w:caps/>
          <w:color w:val="auto"/>
        </w:rPr>
        <w:t>Recommendation </w:t>
      </w:r>
      <w:r w:rsidR="00DE72B0">
        <w:rPr>
          <w:b/>
          <w:caps/>
          <w:color w:val="auto"/>
        </w:rPr>
        <w:t>5</w:t>
      </w:r>
    </w:p>
    <w:p w14:paraId="7B269625" w14:textId="77777777" w:rsidR="00DE72B0" w:rsidRPr="00284D0F" w:rsidRDefault="00DE72B0" w:rsidP="00DE72B0">
      <w:pPr>
        <w:pStyle w:val="Boxtext"/>
        <w:keepNext/>
        <w:pBdr>
          <w:top w:val="none" w:sz="0" w:space="0" w:color="auto"/>
          <w:left w:val="none" w:sz="0" w:space="0" w:color="auto"/>
          <w:bottom w:val="none" w:sz="0" w:space="0" w:color="auto"/>
          <w:right w:val="none" w:sz="0" w:space="0" w:color="auto"/>
        </w:pBdr>
        <w:shd w:val="clear" w:color="auto" w:fill="D9D9D9" w:themeFill="background1" w:themeFillShade="D9"/>
        <w:spacing w:line="276" w:lineRule="auto"/>
        <w:rPr>
          <w:color w:val="auto"/>
        </w:rPr>
      </w:pPr>
      <w:r w:rsidRPr="00011A58">
        <w:t xml:space="preserve">That the Minister note work being undertaken by other taskforces on deterrents and increasing transparency, </w:t>
      </w:r>
      <w:r>
        <w:t xml:space="preserve">with </w:t>
      </w:r>
      <w:r w:rsidRPr="00011A58">
        <w:t xml:space="preserve">particular </w:t>
      </w:r>
      <w:r>
        <w:t xml:space="preserve">reference to recommendations for legislative and administrative reforms to be proposed </w:t>
      </w:r>
      <w:r w:rsidRPr="00011A58">
        <w:t>by the Phoenix Taskforce</w:t>
      </w:r>
      <w:r>
        <w:t>.</w:t>
      </w:r>
    </w:p>
    <w:p w14:paraId="29B6DB47" w14:textId="77777777" w:rsidR="00CA10E5" w:rsidRPr="00284D0F" w:rsidRDefault="00CA10E5" w:rsidP="00CA10E5">
      <w:pPr>
        <w:spacing w:line="276" w:lineRule="auto"/>
        <w:rPr>
          <w:color w:val="auto"/>
          <w:sz w:val="6"/>
        </w:rPr>
      </w:pPr>
    </w:p>
    <w:p w14:paraId="135461D9" w14:textId="77777777" w:rsidR="009D5220" w:rsidRPr="009D5220" w:rsidRDefault="009D5220" w:rsidP="009D5220">
      <w:pPr>
        <w:pStyle w:val="Heading3"/>
      </w:pPr>
      <w:r w:rsidRPr="009D5220">
        <w:t xml:space="preserve">ATO debt collection strategies </w:t>
      </w:r>
    </w:p>
    <w:p w14:paraId="273A7755" w14:textId="77777777" w:rsidR="00E15CDF" w:rsidRDefault="00E15CDF" w:rsidP="00DD33F2">
      <w:pPr>
        <w:pStyle w:val="ListParagraph"/>
        <w:numPr>
          <w:ilvl w:val="1"/>
          <w:numId w:val="33"/>
        </w:numPr>
        <w:spacing w:after="120" w:line="360" w:lineRule="auto"/>
        <w:contextualSpacing w:val="0"/>
      </w:pPr>
      <w:r w:rsidRPr="009D5220">
        <w:t>The superannuation guarantee charge debt is a debt owing to the Commonwealth</w:t>
      </w:r>
      <w:r>
        <w:t>. Once received, t</w:t>
      </w:r>
      <w:r w:rsidRPr="009D5220">
        <w:t>he ATO pays the superannuation guarantee shortfall and interest component to the relevant employee’s superannuation fund. This</w:t>
      </w:r>
      <w:r>
        <w:t xml:space="preserve"> ‘employee</w:t>
      </w:r>
      <w:r>
        <w:noBreakHyphen/>
        <w:t>entitlement’ aspect</w:t>
      </w:r>
      <w:r w:rsidRPr="009D5220">
        <w:t xml:space="preserve"> distinguishes it from other types of tax debt</w:t>
      </w:r>
    </w:p>
    <w:p w14:paraId="0900C5E2" w14:textId="77777777" w:rsidR="0072203F" w:rsidRPr="00901136" w:rsidRDefault="0072203F" w:rsidP="00353C48">
      <w:pPr>
        <w:pStyle w:val="ListParagraph"/>
        <w:spacing w:after="120" w:line="360" w:lineRule="auto"/>
        <w:ind w:left="567"/>
        <w:contextualSpacing w:val="0"/>
        <w:rPr>
          <w:rFonts w:eastAsia="Calibri"/>
          <w:b/>
          <w:color w:val="auto"/>
        </w:rPr>
      </w:pPr>
      <w:r w:rsidRPr="00901136">
        <w:rPr>
          <w:rFonts w:eastAsia="Calibri"/>
          <w:b/>
          <w:color w:val="auto"/>
        </w:rPr>
        <w:t>Table: Trend in superannuation guarantee charge debt</w:t>
      </w:r>
      <w:r w:rsidR="0062651B" w:rsidRPr="00335913">
        <w:rPr>
          <w:rStyle w:val="FootnoteReference"/>
          <w:rFonts w:cs="Arial"/>
          <w:b/>
          <w:color w:val="auto"/>
          <w:sz w:val="15"/>
          <w:szCs w:val="15"/>
        </w:rPr>
        <w:footnoteReference w:id="24"/>
      </w:r>
    </w:p>
    <w:tbl>
      <w:tblPr>
        <w:tblStyle w:val="TableGrid4"/>
        <w:tblW w:w="0" w:type="auto"/>
        <w:jc w:val="center"/>
        <w:tblInd w:w="-459" w:type="dxa"/>
        <w:tblLook w:val="04A0" w:firstRow="1" w:lastRow="0" w:firstColumn="1" w:lastColumn="0" w:noHBand="0" w:noVBand="1"/>
      </w:tblPr>
      <w:tblGrid>
        <w:gridCol w:w="959"/>
        <w:gridCol w:w="675"/>
        <w:gridCol w:w="675"/>
        <w:gridCol w:w="675"/>
        <w:gridCol w:w="675"/>
        <w:gridCol w:w="800"/>
        <w:gridCol w:w="675"/>
        <w:gridCol w:w="800"/>
        <w:gridCol w:w="675"/>
        <w:gridCol w:w="800"/>
        <w:gridCol w:w="675"/>
      </w:tblGrid>
      <w:tr w:rsidR="0072203F" w:rsidRPr="0067498E" w14:paraId="1D1E4374" w14:textId="77777777" w:rsidTr="0072203F">
        <w:trPr>
          <w:trHeight w:val="380"/>
          <w:jc w:val="center"/>
        </w:trPr>
        <w:tc>
          <w:tcPr>
            <w:tcW w:w="0" w:type="auto"/>
            <w:shd w:val="clear" w:color="auto" w:fill="B2A1C7" w:themeFill="accent4" w:themeFillTint="99"/>
            <w:noWrap/>
            <w:vAlign w:val="center"/>
            <w:hideMark/>
          </w:tcPr>
          <w:p w14:paraId="7DB425F2" w14:textId="77777777" w:rsidR="0072203F" w:rsidRPr="0062651B" w:rsidRDefault="0072203F" w:rsidP="0072203F">
            <w:pPr>
              <w:spacing w:before="0" w:line="240" w:lineRule="auto"/>
              <w:jc w:val="center"/>
              <w:rPr>
                <w:b/>
                <w:color w:val="auto"/>
                <w:sz w:val="15"/>
              </w:rPr>
            </w:pPr>
            <w:r w:rsidRPr="0062651B">
              <w:rPr>
                <w:b/>
                <w:color w:val="auto"/>
                <w:sz w:val="15"/>
              </w:rPr>
              <w:t>SGC</w:t>
            </w:r>
          </w:p>
        </w:tc>
        <w:tc>
          <w:tcPr>
            <w:tcW w:w="0" w:type="auto"/>
            <w:gridSpan w:val="2"/>
            <w:shd w:val="clear" w:color="auto" w:fill="B2A1C7" w:themeFill="accent4" w:themeFillTint="99"/>
            <w:noWrap/>
            <w:vAlign w:val="center"/>
            <w:hideMark/>
          </w:tcPr>
          <w:p w14:paraId="0320B39F" w14:textId="77777777" w:rsidR="0072203F" w:rsidRPr="0062651B" w:rsidRDefault="0072203F" w:rsidP="0072203F">
            <w:pPr>
              <w:spacing w:before="0" w:line="240" w:lineRule="auto"/>
              <w:jc w:val="center"/>
              <w:rPr>
                <w:b/>
                <w:color w:val="auto"/>
                <w:sz w:val="15"/>
              </w:rPr>
            </w:pPr>
            <w:r w:rsidRPr="0062651B">
              <w:rPr>
                <w:b/>
                <w:color w:val="auto"/>
                <w:sz w:val="15"/>
              </w:rPr>
              <w:t>2011-12</w:t>
            </w:r>
          </w:p>
        </w:tc>
        <w:tc>
          <w:tcPr>
            <w:tcW w:w="0" w:type="auto"/>
            <w:gridSpan w:val="2"/>
            <w:shd w:val="clear" w:color="auto" w:fill="B2A1C7" w:themeFill="accent4" w:themeFillTint="99"/>
            <w:noWrap/>
            <w:vAlign w:val="center"/>
            <w:hideMark/>
          </w:tcPr>
          <w:p w14:paraId="1897943C" w14:textId="77777777" w:rsidR="0072203F" w:rsidRPr="0062651B" w:rsidRDefault="0072203F" w:rsidP="0072203F">
            <w:pPr>
              <w:spacing w:before="0" w:line="240" w:lineRule="auto"/>
              <w:jc w:val="center"/>
              <w:rPr>
                <w:b/>
                <w:color w:val="auto"/>
                <w:sz w:val="15"/>
              </w:rPr>
            </w:pPr>
            <w:r w:rsidRPr="0062651B">
              <w:rPr>
                <w:b/>
                <w:color w:val="auto"/>
                <w:sz w:val="15"/>
              </w:rPr>
              <w:t>2012-13</w:t>
            </w:r>
          </w:p>
        </w:tc>
        <w:tc>
          <w:tcPr>
            <w:tcW w:w="0" w:type="auto"/>
            <w:gridSpan w:val="2"/>
            <w:shd w:val="clear" w:color="auto" w:fill="B2A1C7" w:themeFill="accent4" w:themeFillTint="99"/>
            <w:noWrap/>
            <w:vAlign w:val="center"/>
            <w:hideMark/>
          </w:tcPr>
          <w:p w14:paraId="0A1E817E" w14:textId="77777777" w:rsidR="0072203F" w:rsidRPr="0062651B" w:rsidRDefault="0072203F" w:rsidP="0072203F">
            <w:pPr>
              <w:spacing w:before="0" w:line="240" w:lineRule="auto"/>
              <w:jc w:val="center"/>
              <w:rPr>
                <w:b/>
                <w:color w:val="auto"/>
                <w:sz w:val="15"/>
              </w:rPr>
            </w:pPr>
            <w:r w:rsidRPr="0062651B">
              <w:rPr>
                <w:b/>
                <w:color w:val="auto"/>
                <w:sz w:val="15"/>
              </w:rPr>
              <w:t>2013-14</w:t>
            </w:r>
          </w:p>
        </w:tc>
        <w:tc>
          <w:tcPr>
            <w:tcW w:w="0" w:type="auto"/>
            <w:gridSpan w:val="2"/>
            <w:shd w:val="clear" w:color="auto" w:fill="B2A1C7" w:themeFill="accent4" w:themeFillTint="99"/>
            <w:noWrap/>
            <w:vAlign w:val="center"/>
            <w:hideMark/>
          </w:tcPr>
          <w:p w14:paraId="4F5A7206" w14:textId="77777777" w:rsidR="0072203F" w:rsidRPr="0062651B" w:rsidRDefault="0072203F" w:rsidP="0072203F">
            <w:pPr>
              <w:spacing w:before="0" w:line="240" w:lineRule="auto"/>
              <w:jc w:val="center"/>
              <w:rPr>
                <w:b/>
                <w:color w:val="auto"/>
                <w:sz w:val="15"/>
              </w:rPr>
            </w:pPr>
            <w:r w:rsidRPr="0062651B">
              <w:rPr>
                <w:b/>
                <w:color w:val="auto"/>
                <w:sz w:val="15"/>
              </w:rPr>
              <w:t>2014-15</w:t>
            </w:r>
          </w:p>
        </w:tc>
        <w:tc>
          <w:tcPr>
            <w:tcW w:w="0" w:type="auto"/>
            <w:gridSpan w:val="2"/>
            <w:shd w:val="clear" w:color="auto" w:fill="B2A1C7" w:themeFill="accent4" w:themeFillTint="99"/>
            <w:noWrap/>
            <w:vAlign w:val="center"/>
            <w:hideMark/>
          </w:tcPr>
          <w:p w14:paraId="5BD5334F" w14:textId="77777777" w:rsidR="0072203F" w:rsidRPr="0062651B" w:rsidRDefault="0072203F" w:rsidP="0072203F">
            <w:pPr>
              <w:spacing w:before="0" w:line="240" w:lineRule="auto"/>
              <w:jc w:val="center"/>
              <w:rPr>
                <w:b/>
                <w:color w:val="auto"/>
                <w:sz w:val="15"/>
              </w:rPr>
            </w:pPr>
            <w:r w:rsidRPr="0062651B">
              <w:rPr>
                <w:b/>
                <w:color w:val="auto"/>
                <w:sz w:val="15"/>
              </w:rPr>
              <w:t>2015-16</w:t>
            </w:r>
          </w:p>
        </w:tc>
      </w:tr>
      <w:tr w:rsidR="0072203F" w:rsidRPr="004002DE" w14:paraId="37B282C5" w14:textId="77777777" w:rsidTr="0072203F">
        <w:trPr>
          <w:trHeight w:val="298"/>
          <w:jc w:val="center"/>
        </w:trPr>
        <w:tc>
          <w:tcPr>
            <w:tcW w:w="0" w:type="auto"/>
            <w:tcBorders>
              <w:bottom w:val="single" w:sz="4" w:space="0" w:color="auto"/>
            </w:tcBorders>
            <w:shd w:val="clear" w:color="auto" w:fill="B2A1C7" w:themeFill="accent4" w:themeFillTint="99"/>
            <w:noWrap/>
            <w:vAlign w:val="center"/>
            <w:hideMark/>
          </w:tcPr>
          <w:p w14:paraId="2D0E863E" w14:textId="77777777" w:rsidR="0072203F" w:rsidRPr="0062651B" w:rsidRDefault="0072203F" w:rsidP="0072203F">
            <w:pPr>
              <w:spacing w:before="0" w:line="240" w:lineRule="auto"/>
              <w:jc w:val="center"/>
              <w:rPr>
                <w:b/>
                <w:color w:val="auto"/>
                <w:sz w:val="15"/>
              </w:rPr>
            </w:pPr>
          </w:p>
        </w:tc>
        <w:tc>
          <w:tcPr>
            <w:tcW w:w="0" w:type="auto"/>
            <w:shd w:val="clear" w:color="auto" w:fill="B2A1C7" w:themeFill="accent4" w:themeFillTint="99"/>
            <w:noWrap/>
            <w:vAlign w:val="center"/>
            <w:hideMark/>
          </w:tcPr>
          <w:p w14:paraId="2140CED8" w14:textId="77777777" w:rsidR="0072203F" w:rsidRPr="0062651B" w:rsidRDefault="0072203F" w:rsidP="0072203F">
            <w:pPr>
              <w:spacing w:before="0" w:line="240" w:lineRule="auto"/>
              <w:jc w:val="center"/>
              <w:rPr>
                <w:b/>
                <w:color w:val="auto"/>
                <w:sz w:val="15"/>
              </w:rPr>
            </w:pPr>
            <w:r w:rsidRPr="0062651B">
              <w:rPr>
                <w:b/>
                <w:color w:val="auto"/>
                <w:sz w:val="15"/>
              </w:rPr>
              <w:t>$m</w:t>
            </w:r>
          </w:p>
        </w:tc>
        <w:tc>
          <w:tcPr>
            <w:tcW w:w="0" w:type="auto"/>
            <w:shd w:val="clear" w:color="auto" w:fill="B2A1C7" w:themeFill="accent4" w:themeFillTint="99"/>
            <w:noWrap/>
            <w:vAlign w:val="center"/>
            <w:hideMark/>
          </w:tcPr>
          <w:p w14:paraId="4E4BF189" w14:textId="77777777" w:rsidR="0072203F" w:rsidRPr="0062651B" w:rsidRDefault="0072203F" w:rsidP="0072203F">
            <w:pPr>
              <w:spacing w:before="0" w:line="240" w:lineRule="auto"/>
              <w:jc w:val="center"/>
              <w:rPr>
                <w:b/>
                <w:color w:val="auto"/>
                <w:sz w:val="15"/>
              </w:rPr>
            </w:pPr>
            <w:r w:rsidRPr="0062651B">
              <w:rPr>
                <w:b/>
                <w:color w:val="auto"/>
                <w:sz w:val="15"/>
              </w:rPr>
              <w:t>Cases</w:t>
            </w:r>
          </w:p>
        </w:tc>
        <w:tc>
          <w:tcPr>
            <w:tcW w:w="0" w:type="auto"/>
            <w:shd w:val="clear" w:color="auto" w:fill="B2A1C7" w:themeFill="accent4" w:themeFillTint="99"/>
            <w:noWrap/>
            <w:vAlign w:val="center"/>
            <w:hideMark/>
          </w:tcPr>
          <w:p w14:paraId="527DF008" w14:textId="77777777" w:rsidR="0072203F" w:rsidRPr="0062651B" w:rsidRDefault="0072203F" w:rsidP="0072203F">
            <w:pPr>
              <w:spacing w:before="0" w:line="240" w:lineRule="auto"/>
              <w:jc w:val="center"/>
              <w:rPr>
                <w:b/>
                <w:color w:val="auto"/>
                <w:sz w:val="15"/>
              </w:rPr>
            </w:pPr>
            <w:r w:rsidRPr="0062651B">
              <w:rPr>
                <w:b/>
                <w:color w:val="auto"/>
                <w:sz w:val="15"/>
              </w:rPr>
              <w:t>$m</w:t>
            </w:r>
          </w:p>
        </w:tc>
        <w:tc>
          <w:tcPr>
            <w:tcW w:w="0" w:type="auto"/>
            <w:shd w:val="clear" w:color="auto" w:fill="B2A1C7" w:themeFill="accent4" w:themeFillTint="99"/>
            <w:noWrap/>
            <w:vAlign w:val="center"/>
            <w:hideMark/>
          </w:tcPr>
          <w:p w14:paraId="446E45E3" w14:textId="77777777" w:rsidR="0072203F" w:rsidRPr="0062651B" w:rsidRDefault="0072203F" w:rsidP="0072203F">
            <w:pPr>
              <w:spacing w:before="0" w:line="240" w:lineRule="auto"/>
              <w:jc w:val="center"/>
              <w:rPr>
                <w:b/>
                <w:color w:val="auto"/>
                <w:sz w:val="15"/>
              </w:rPr>
            </w:pPr>
            <w:r w:rsidRPr="0062651B">
              <w:rPr>
                <w:b/>
                <w:color w:val="auto"/>
                <w:sz w:val="15"/>
              </w:rPr>
              <w:t>Cases</w:t>
            </w:r>
          </w:p>
        </w:tc>
        <w:tc>
          <w:tcPr>
            <w:tcW w:w="0" w:type="auto"/>
            <w:shd w:val="clear" w:color="auto" w:fill="B2A1C7" w:themeFill="accent4" w:themeFillTint="99"/>
            <w:noWrap/>
            <w:vAlign w:val="center"/>
            <w:hideMark/>
          </w:tcPr>
          <w:p w14:paraId="557BED48" w14:textId="77777777" w:rsidR="0072203F" w:rsidRPr="0062651B" w:rsidRDefault="0072203F" w:rsidP="0072203F">
            <w:pPr>
              <w:spacing w:before="0" w:line="240" w:lineRule="auto"/>
              <w:jc w:val="center"/>
              <w:rPr>
                <w:b/>
                <w:color w:val="auto"/>
                <w:sz w:val="15"/>
              </w:rPr>
            </w:pPr>
            <w:r w:rsidRPr="0062651B">
              <w:rPr>
                <w:b/>
                <w:color w:val="auto"/>
                <w:sz w:val="15"/>
              </w:rPr>
              <w:t>$m</w:t>
            </w:r>
          </w:p>
        </w:tc>
        <w:tc>
          <w:tcPr>
            <w:tcW w:w="0" w:type="auto"/>
            <w:shd w:val="clear" w:color="auto" w:fill="B2A1C7" w:themeFill="accent4" w:themeFillTint="99"/>
            <w:noWrap/>
            <w:vAlign w:val="center"/>
            <w:hideMark/>
          </w:tcPr>
          <w:p w14:paraId="0E4AB881" w14:textId="77777777" w:rsidR="0072203F" w:rsidRPr="0062651B" w:rsidRDefault="0072203F" w:rsidP="0072203F">
            <w:pPr>
              <w:spacing w:before="0" w:line="240" w:lineRule="auto"/>
              <w:jc w:val="center"/>
              <w:rPr>
                <w:b/>
                <w:color w:val="auto"/>
                <w:sz w:val="15"/>
              </w:rPr>
            </w:pPr>
            <w:r w:rsidRPr="0062651B">
              <w:rPr>
                <w:b/>
                <w:color w:val="auto"/>
                <w:sz w:val="15"/>
              </w:rPr>
              <w:t>Cases</w:t>
            </w:r>
          </w:p>
        </w:tc>
        <w:tc>
          <w:tcPr>
            <w:tcW w:w="0" w:type="auto"/>
            <w:shd w:val="clear" w:color="auto" w:fill="B2A1C7" w:themeFill="accent4" w:themeFillTint="99"/>
            <w:noWrap/>
            <w:vAlign w:val="center"/>
            <w:hideMark/>
          </w:tcPr>
          <w:p w14:paraId="6394DC11" w14:textId="77777777" w:rsidR="0072203F" w:rsidRPr="0062651B" w:rsidRDefault="0072203F" w:rsidP="0072203F">
            <w:pPr>
              <w:spacing w:before="0" w:line="240" w:lineRule="auto"/>
              <w:jc w:val="center"/>
              <w:rPr>
                <w:b/>
                <w:color w:val="auto"/>
                <w:sz w:val="15"/>
              </w:rPr>
            </w:pPr>
            <w:r w:rsidRPr="0062651B">
              <w:rPr>
                <w:b/>
                <w:color w:val="auto"/>
                <w:sz w:val="15"/>
              </w:rPr>
              <w:t>$m</w:t>
            </w:r>
          </w:p>
        </w:tc>
        <w:tc>
          <w:tcPr>
            <w:tcW w:w="0" w:type="auto"/>
            <w:shd w:val="clear" w:color="auto" w:fill="B2A1C7" w:themeFill="accent4" w:themeFillTint="99"/>
            <w:noWrap/>
            <w:vAlign w:val="center"/>
            <w:hideMark/>
          </w:tcPr>
          <w:p w14:paraId="60CB62A6" w14:textId="77777777" w:rsidR="0072203F" w:rsidRPr="0062651B" w:rsidRDefault="0072203F" w:rsidP="0072203F">
            <w:pPr>
              <w:spacing w:before="0" w:line="240" w:lineRule="auto"/>
              <w:jc w:val="center"/>
              <w:rPr>
                <w:b/>
                <w:color w:val="auto"/>
                <w:sz w:val="15"/>
              </w:rPr>
            </w:pPr>
            <w:r w:rsidRPr="0062651B">
              <w:rPr>
                <w:b/>
                <w:color w:val="auto"/>
                <w:sz w:val="15"/>
              </w:rPr>
              <w:t>Cases</w:t>
            </w:r>
          </w:p>
        </w:tc>
        <w:tc>
          <w:tcPr>
            <w:tcW w:w="0" w:type="auto"/>
            <w:shd w:val="clear" w:color="auto" w:fill="B2A1C7" w:themeFill="accent4" w:themeFillTint="99"/>
            <w:noWrap/>
            <w:vAlign w:val="center"/>
            <w:hideMark/>
          </w:tcPr>
          <w:p w14:paraId="75945869" w14:textId="77777777" w:rsidR="0072203F" w:rsidRPr="0062651B" w:rsidRDefault="0072203F" w:rsidP="0072203F">
            <w:pPr>
              <w:spacing w:before="0" w:line="240" w:lineRule="auto"/>
              <w:jc w:val="center"/>
              <w:rPr>
                <w:b/>
                <w:color w:val="auto"/>
                <w:sz w:val="15"/>
              </w:rPr>
            </w:pPr>
            <w:r w:rsidRPr="0062651B">
              <w:rPr>
                <w:b/>
                <w:color w:val="auto"/>
                <w:sz w:val="15"/>
              </w:rPr>
              <w:t>$m</w:t>
            </w:r>
          </w:p>
        </w:tc>
        <w:tc>
          <w:tcPr>
            <w:tcW w:w="0" w:type="auto"/>
            <w:shd w:val="clear" w:color="auto" w:fill="B2A1C7" w:themeFill="accent4" w:themeFillTint="99"/>
            <w:noWrap/>
            <w:vAlign w:val="center"/>
            <w:hideMark/>
          </w:tcPr>
          <w:p w14:paraId="5710B9BE" w14:textId="77777777" w:rsidR="0072203F" w:rsidRPr="0062651B" w:rsidRDefault="0072203F" w:rsidP="0072203F">
            <w:pPr>
              <w:spacing w:before="0" w:line="240" w:lineRule="auto"/>
              <w:jc w:val="center"/>
              <w:rPr>
                <w:b/>
                <w:color w:val="auto"/>
                <w:sz w:val="15"/>
              </w:rPr>
            </w:pPr>
            <w:r w:rsidRPr="0062651B">
              <w:rPr>
                <w:b/>
                <w:color w:val="auto"/>
                <w:sz w:val="15"/>
              </w:rPr>
              <w:t>Cases</w:t>
            </w:r>
          </w:p>
        </w:tc>
      </w:tr>
      <w:tr w:rsidR="0072203F" w:rsidRPr="0067498E" w14:paraId="2BF72AB1" w14:textId="77777777" w:rsidTr="0072203F">
        <w:trPr>
          <w:trHeight w:val="372"/>
          <w:jc w:val="center"/>
        </w:trPr>
        <w:tc>
          <w:tcPr>
            <w:tcW w:w="0" w:type="auto"/>
            <w:shd w:val="clear" w:color="auto" w:fill="B2A1C7" w:themeFill="accent4" w:themeFillTint="99"/>
            <w:noWrap/>
            <w:vAlign w:val="center"/>
            <w:hideMark/>
          </w:tcPr>
          <w:p w14:paraId="564F83C0" w14:textId="77777777" w:rsidR="0072203F" w:rsidRPr="0062651B" w:rsidRDefault="0072203F" w:rsidP="0072203F">
            <w:pPr>
              <w:spacing w:before="0" w:line="240" w:lineRule="auto"/>
              <w:jc w:val="center"/>
              <w:rPr>
                <w:color w:val="auto"/>
                <w:sz w:val="15"/>
              </w:rPr>
            </w:pPr>
            <w:r w:rsidRPr="0062651B">
              <w:rPr>
                <w:color w:val="auto"/>
                <w:sz w:val="15"/>
              </w:rPr>
              <w:t>Collectable</w:t>
            </w:r>
          </w:p>
        </w:tc>
        <w:tc>
          <w:tcPr>
            <w:tcW w:w="0" w:type="auto"/>
            <w:noWrap/>
            <w:vAlign w:val="center"/>
            <w:hideMark/>
          </w:tcPr>
          <w:p w14:paraId="437E41D4" w14:textId="77777777" w:rsidR="0072203F" w:rsidRPr="0062651B" w:rsidRDefault="0072203F" w:rsidP="0072203F">
            <w:pPr>
              <w:spacing w:before="0" w:line="240" w:lineRule="auto"/>
              <w:jc w:val="center"/>
              <w:rPr>
                <w:color w:val="auto"/>
                <w:sz w:val="15"/>
              </w:rPr>
            </w:pPr>
            <w:r w:rsidRPr="0062651B">
              <w:rPr>
                <w:color w:val="auto"/>
                <w:sz w:val="15"/>
              </w:rPr>
              <w:t>340.14</w:t>
            </w:r>
          </w:p>
        </w:tc>
        <w:tc>
          <w:tcPr>
            <w:tcW w:w="0" w:type="auto"/>
            <w:noWrap/>
            <w:vAlign w:val="center"/>
            <w:hideMark/>
          </w:tcPr>
          <w:p w14:paraId="5DB03D20" w14:textId="77777777" w:rsidR="0072203F" w:rsidRPr="0062651B" w:rsidRDefault="0072203F" w:rsidP="0072203F">
            <w:pPr>
              <w:spacing w:before="0" w:line="240" w:lineRule="auto"/>
              <w:jc w:val="center"/>
              <w:rPr>
                <w:color w:val="auto"/>
                <w:sz w:val="15"/>
              </w:rPr>
            </w:pPr>
            <w:r w:rsidRPr="0062651B">
              <w:rPr>
                <w:color w:val="auto"/>
                <w:sz w:val="15"/>
              </w:rPr>
              <w:t>11,231</w:t>
            </w:r>
          </w:p>
        </w:tc>
        <w:tc>
          <w:tcPr>
            <w:tcW w:w="0" w:type="auto"/>
            <w:noWrap/>
            <w:vAlign w:val="center"/>
            <w:hideMark/>
          </w:tcPr>
          <w:p w14:paraId="4D25F008" w14:textId="77777777" w:rsidR="0072203F" w:rsidRPr="0062651B" w:rsidRDefault="0072203F" w:rsidP="0072203F">
            <w:pPr>
              <w:spacing w:before="0" w:line="240" w:lineRule="auto"/>
              <w:jc w:val="center"/>
              <w:rPr>
                <w:color w:val="auto"/>
                <w:sz w:val="15"/>
              </w:rPr>
            </w:pPr>
            <w:r w:rsidRPr="0062651B">
              <w:rPr>
                <w:color w:val="auto"/>
                <w:sz w:val="15"/>
              </w:rPr>
              <w:t>403.35</w:t>
            </w:r>
          </w:p>
        </w:tc>
        <w:tc>
          <w:tcPr>
            <w:tcW w:w="0" w:type="auto"/>
            <w:noWrap/>
            <w:vAlign w:val="center"/>
            <w:hideMark/>
          </w:tcPr>
          <w:p w14:paraId="437642F7" w14:textId="77777777" w:rsidR="0072203F" w:rsidRPr="0062651B" w:rsidRDefault="0072203F" w:rsidP="0072203F">
            <w:pPr>
              <w:spacing w:before="0" w:line="240" w:lineRule="auto"/>
              <w:jc w:val="center"/>
              <w:rPr>
                <w:color w:val="auto"/>
                <w:sz w:val="15"/>
              </w:rPr>
            </w:pPr>
            <w:r w:rsidRPr="0062651B">
              <w:rPr>
                <w:color w:val="auto"/>
                <w:sz w:val="15"/>
              </w:rPr>
              <w:t>12,879</w:t>
            </w:r>
          </w:p>
        </w:tc>
        <w:tc>
          <w:tcPr>
            <w:tcW w:w="0" w:type="auto"/>
            <w:noWrap/>
            <w:vAlign w:val="center"/>
            <w:hideMark/>
          </w:tcPr>
          <w:p w14:paraId="2AF3D253" w14:textId="77777777" w:rsidR="0072203F" w:rsidRPr="0062651B" w:rsidRDefault="0072203F" w:rsidP="0072203F">
            <w:pPr>
              <w:spacing w:before="0" w:line="240" w:lineRule="auto"/>
              <w:jc w:val="center"/>
              <w:rPr>
                <w:color w:val="auto"/>
                <w:sz w:val="15"/>
              </w:rPr>
            </w:pPr>
            <w:r w:rsidRPr="0062651B">
              <w:rPr>
                <w:color w:val="auto"/>
                <w:sz w:val="15"/>
              </w:rPr>
              <w:t>461.59</w:t>
            </w:r>
          </w:p>
        </w:tc>
        <w:tc>
          <w:tcPr>
            <w:tcW w:w="0" w:type="auto"/>
            <w:noWrap/>
            <w:vAlign w:val="center"/>
            <w:hideMark/>
          </w:tcPr>
          <w:p w14:paraId="66D896C3" w14:textId="77777777" w:rsidR="0072203F" w:rsidRPr="0062651B" w:rsidRDefault="0072203F" w:rsidP="0072203F">
            <w:pPr>
              <w:spacing w:before="0" w:line="240" w:lineRule="auto"/>
              <w:jc w:val="center"/>
              <w:rPr>
                <w:color w:val="auto"/>
                <w:sz w:val="15"/>
              </w:rPr>
            </w:pPr>
            <w:r w:rsidRPr="0062651B">
              <w:rPr>
                <w:color w:val="auto"/>
                <w:sz w:val="15"/>
              </w:rPr>
              <w:t>17,389</w:t>
            </w:r>
          </w:p>
        </w:tc>
        <w:tc>
          <w:tcPr>
            <w:tcW w:w="0" w:type="auto"/>
            <w:noWrap/>
            <w:vAlign w:val="center"/>
            <w:hideMark/>
          </w:tcPr>
          <w:p w14:paraId="1E1CA42A" w14:textId="77777777" w:rsidR="0072203F" w:rsidRPr="0062651B" w:rsidRDefault="0072203F" w:rsidP="0072203F">
            <w:pPr>
              <w:spacing w:before="0" w:line="240" w:lineRule="auto"/>
              <w:jc w:val="center"/>
              <w:rPr>
                <w:color w:val="auto"/>
                <w:sz w:val="15"/>
              </w:rPr>
            </w:pPr>
            <w:r w:rsidRPr="0062651B">
              <w:rPr>
                <w:color w:val="auto"/>
                <w:sz w:val="15"/>
              </w:rPr>
              <w:t>521.39</w:t>
            </w:r>
          </w:p>
        </w:tc>
        <w:tc>
          <w:tcPr>
            <w:tcW w:w="0" w:type="auto"/>
            <w:noWrap/>
            <w:vAlign w:val="center"/>
            <w:hideMark/>
          </w:tcPr>
          <w:p w14:paraId="4BD29342" w14:textId="77777777" w:rsidR="0072203F" w:rsidRPr="0062651B" w:rsidRDefault="0072203F" w:rsidP="0072203F">
            <w:pPr>
              <w:spacing w:before="0" w:line="240" w:lineRule="auto"/>
              <w:jc w:val="center"/>
              <w:rPr>
                <w:color w:val="auto"/>
                <w:sz w:val="15"/>
              </w:rPr>
            </w:pPr>
            <w:r w:rsidRPr="0062651B">
              <w:rPr>
                <w:color w:val="auto"/>
                <w:sz w:val="15"/>
              </w:rPr>
              <w:t>25,281</w:t>
            </w:r>
          </w:p>
        </w:tc>
        <w:tc>
          <w:tcPr>
            <w:tcW w:w="0" w:type="auto"/>
            <w:noWrap/>
            <w:vAlign w:val="center"/>
            <w:hideMark/>
          </w:tcPr>
          <w:p w14:paraId="68682710" w14:textId="77777777" w:rsidR="0072203F" w:rsidRPr="0062651B" w:rsidRDefault="0072203F" w:rsidP="0072203F">
            <w:pPr>
              <w:spacing w:before="0" w:line="240" w:lineRule="auto"/>
              <w:jc w:val="center"/>
              <w:rPr>
                <w:color w:val="auto"/>
                <w:sz w:val="15"/>
              </w:rPr>
            </w:pPr>
            <w:r w:rsidRPr="0062651B">
              <w:rPr>
                <w:color w:val="auto"/>
                <w:sz w:val="15"/>
              </w:rPr>
              <w:t>622.62</w:t>
            </w:r>
          </w:p>
        </w:tc>
        <w:tc>
          <w:tcPr>
            <w:tcW w:w="0" w:type="auto"/>
            <w:noWrap/>
            <w:vAlign w:val="center"/>
            <w:hideMark/>
          </w:tcPr>
          <w:p w14:paraId="7EAF73B7" w14:textId="77777777" w:rsidR="0072203F" w:rsidRPr="0062651B" w:rsidRDefault="0072203F" w:rsidP="0072203F">
            <w:pPr>
              <w:spacing w:before="0" w:line="240" w:lineRule="auto"/>
              <w:jc w:val="center"/>
              <w:rPr>
                <w:color w:val="auto"/>
                <w:sz w:val="15"/>
              </w:rPr>
            </w:pPr>
            <w:r w:rsidRPr="0062651B">
              <w:rPr>
                <w:color w:val="auto"/>
                <w:sz w:val="15"/>
              </w:rPr>
              <w:t>25,665</w:t>
            </w:r>
          </w:p>
        </w:tc>
      </w:tr>
      <w:tr w:rsidR="0072203F" w:rsidRPr="0067498E" w14:paraId="100092CD" w14:textId="77777777" w:rsidTr="0072203F">
        <w:trPr>
          <w:trHeight w:val="361"/>
          <w:jc w:val="center"/>
        </w:trPr>
        <w:tc>
          <w:tcPr>
            <w:tcW w:w="0" w:type="auto"/>
            <w:shd w:val="clear" w:color="auto" w:fill="B2A1C7" w:themeFill="accent4" w:themeFillTint="99"/>
            <w:noWrap/>
            <w:vAlign w:val="center"/>
            <w:hideMark/>
          </w:tcPr>
          <w:p w14:paraId="442DA1D7" w14:textId="77777777" w:rsidR="0072203F" w:rsidRPr="0062651B" w:rsidRDefault="0072203F" w:rsidP="0072203F">
            <w:pPr>
              <w:spacing w:before="0" w:line="240" w:lineRule="auto"/>
              <w:jc w:val="center"/>
              <w:rPr>
                <w:color w:val="auto"/>
                <w:sz w:val="15"/>
              </w:rPr>
            </w:pPr>
            <w:r w:rsidRPr="0062651B">
              <w:rPr>
                <w:color w:val="auto"/>
                <w:sz w:val="15"/>
              </w:rPr>
              <w:t>Disputed</w:t>
            </w:r>
          </w:p>
        </w:tc>
        <w:tc>
          <w:tcPr>
            <w:tcW w:w="0" w:type="auto"/>
            <w:noWrap/>
            <w:vAlign w:val="center"/>
            <w:hideMark/>
          </w:tcPr>
          <w:p w14:paraId="25A69145" w14:textId="77777777" w:rsidR="0072203F" w:rsidRPr="0062651B" w:rsidRDefault="0072203F" w:rsidP="0072203F">
            <w:pPr>
              <w:spacing w:before="0" w:line="240" w:lineRule="auto"/>
              <w:jc w:val="center"/>
              <w:rPr>
                <w:color w:val="auto"/>
                <w:sz w:val="15"/>
              </w:rPr>
            </w:pPr>
            <w:r w:rsidRPr="0062651B">
              <w:rPr>
                <w:color w:val="auto"/>
                <w:sz w:val="15"/>
              </w:rPr>
              <w:t>45.17</w:t>
            </w:r>
          </w:p>
        </w:tc>
        <w:tc>
          <w:tcPr>
            <w:tcW w:w="0" w:type="auto"/>
            <w:noWrap/>
            <w:vAlign w:val="center"/>
            <w:hideMark/>
          </w:tcPr>
          <w:p w14:paraId="021FC795" w14:textId="77777777" w:rsidR="0072203F" w:rsidRPr="0062651B" w:rsidRDefault="0072203F" w:rsidP="0072203F">
            <w:pPr>
              <w:spacing w:before="0" w:line="240" w:lineRule="auto"/>
              <w:jc w:val="center"/>
              <w:rPr>
                <w:color w:val="auto"/>
                <w:sz w:val="15"/>
              </w:rPr>
            </w:pPr>
            <w:r w:rsidRPr="0062651B">
              <w:rPr>
                <w:color w:val="auto"/>
                <w:sz w:val="15"/>
              </w:rPr>
              <w:t>358</w:t>
            </w:r>
          </w:p>
        </w:tc>
        <w:tc>
          <w:tcPr>
            <w:tcW w:w="0" w:type="auto"/>
            <w:noWrap/>
            <w:vAlign w:val="center"/>
            <w:hideMark/>
          </w:tcPr>
          <w:p w14:paraId="1838457F" w14:textId="77777777" w:rsidR="0072203F" w:rsidRPr="0062651B" w:rsidRDefault="0072203F" w:rsidP="0072203F">
            <w:pPr>
              <w:spacing w:before="0" w:line="240" w:lineRule="auto"/>
              <w:jc w:val="center"/>
              <w:rPr>
                <w:color w:val="auto"/>
                <w:sz w:val="15"/>
              </w:rPr>
            </w:pPr>
            <w:r w:rsidRPr="0062651B">
              <w:rPr>
                <w:color w:val="auto"/>
                <w:sz w:val="15"/>
              </w:rPr>
              <w:t>71.44</w:t>
            </w:r>
          </w:p>
        </w:tc>
        <w:tc>
          <w:tcPr>
            <w:tcW w:w="0" w:type="auto"/>
            <w:noWrap/>
            <w:vAlign w:val="center"/>
            <w:hideMark/>
          </w:tcPr>
          <w:p w14:paraId="41CECC9D" w14:textId="77777777" w:rsidR="0072203F" w:rsidRPr="0062651B" w:rsidRDefault="0072203F" w:rsidP="0072203F">
            <w:pPr>
              <w:spacing w:before="0" w:line="240" w:lineRule="auto"/>
              <w:jc w:val="center"/>
              <w:rPr>
                <w:color w:val="auto"/>
                <w:sz w:val="15"/>
              </w:rPr>
            </w:pPr>
            <w:r w:rsidRPr="0062651B">
              <w:rPr>
                <w:color w:val="auto"/>
                <w:sz w:val="15"/>
              </w:rPr>
              <w:t>483</w:t>
            </w:r>
          </w:p>
        </w:tc>
        <w:tc>
          <w:tcPr>
            <w:tcW w:w="0" w:type="auto"/>
            <w:noWrap/>
            <w:vAlign w:val="center"/>
            <w:hideMark/>
          </w:tcPr>
          <w:p w14:paraId="358C8BB6" w14:textId="77777777" w:rsidR="0072203F" w:rsidRPr="0062651B" w:rsidRDefault="0072203F" w:rsidP="0072203F">
            <w:pPr>
              <w:spacing w:before="0" w:line="240" w:lineRule="auto"/>
              <w:jc w:val="center"/>
              <w:rPr>
                <w:color w:val="auto"/>
                <w:sz w:val="15"/>
              </w:rPr>
            </w:pPr>
            <w:r w:rsidRPr="0062651B">
              <w:rPr>
                <w:color w:val="auto"/>
                <w:sz w:val="15"/>
              </w:rPr>
              <w:t>35.98</w:t>
            </w:r>
          </w:p>
        </w:tc>
        <w:tc>
          <w:tcPr>
            <w:tcW w:w="0" w:type="auto"/>
            <w:noWrap/>
            <w:vAlign w:val="center"/>
            <w:hideMark/>
          </w:tcPr>
          <w:p w14:paraId="6BD89570" w14:textId="77777777" w:rsidR="0072203F" w:rsidRPr="0062651B" w:rsidRDefault="0072203F" w:rsidP="0072203F">
            <w:pPr>
              <w:spacing w:before="0" w:line="240" w:lineRule="auto"/>
              <w:jc w:val="center"/>
              <w:rPr>
                <w:color w:val="auto"/>
                <w:sz w:val="15"/>
              </w:rPr>
            </w:pPr>
            <w:r w:rsidRPr="0062651B">
              <w:rPr>
                <w:color w:val="auto"/>
                <w:sz w:val="15"/>
              </w:rPr>
              <w:t>380</w:t>
            </w:r>
          </w:p>
        </w:tc>
        <w:tc>
          <w:tcPr>
            <w:tcW w:w="0" w:type="auto"/>
            <w:noWrap/>
            <w:vAlign w:val="center"/>
            <w:hideMark/>
          </w:tcPr>
          <w:p w14:paraId="6EE9DF19" w14:textId="77777777" w:rsidR="0072203F" w:rsidRPr="0062651B" w:rsidRDefault="0072203F" w:rsidP="0072203F">
            <w:pPr>
              <w:spacing w:before="0" w:line="240" w:lineRule="auto"/>
              <w:jc w:val="center"/>
              <w:rPr>
                <w:color w:val="auto"/>
                <w:sz w:val="15"/>
              </w:rPr>
            </w:pPr>
            <w:r w:rsidRPr="0062651B">
              <w:rPr>
                <w:color w:val="auto"/>
                <w:sz w:val="15"/>
              </w:rPr>
              <w:t>24.57</w:t>
            </w:r>
          </w:p>
        </w:tc>
        <w:tc>
          <w:tcPr>
            <w:tcW w:w="0" w:type="auto"/>
            <w:noWrap/>
            <w:vAlign w:val="center"/>
            <w:hideMark/>
          </w:tcPr>
          <w:p w14:paraId="1D20B433" w14:textId="77777777" w:rsidR="0072203F" w:rsidRPr="0062651B" w:rsidRDefault="0072203F" w:rsidP="0072203F">
            <w:pPr>
              <w:spacing w:before="0" w:line="240" w:lineRule="auto"/>
              <w:jc w:val="center"/>
              <w:rPr>
                <w:color w:val="auto"/>
                <w:sz w:val="15"/>
              </w:rPr>
            </w:pPr>
            <w:r w:rsidRPr="0062651B">
              <w:rPr>
                <w:color w:val="auto"/>
                <w:sz w:val="15"/>
              </w:rPr>
              <w:t>212</w:t>
            </w:r>
          </w:p>
        </w:tc>
        <w:tc>
          <w:tcPr>
            <w:tcW w:w="0" w:type="auto"/>
            <w:noWrap/>
            <w:vAlign w:val="center"/>
            <w:hideMark/>
          </w:tcPr>
          <w:p w14:paraId="0AADD495" w14:textId="77777777" w:rsidR="0072203F" w:rsidRPr="0062651B" w:rsidRDefault="0072203F" w:rsidP="0072203F">
            <w:pPr>
              <w:spacing w:before="0" w:line="240" w:lineRule="auto"/>
              <w:jc w:val="center"/>
              <w:rPr>
                <w:color w:val="auto"/>
                <w:sz w:val="15"/>
              </w:rPr>
            </w:pPr>
            <w:r w:rsidRPr="0062651B">
              <w:rPr>
                <w:color w:val="auto"/>
                <w:sz w:val="15"/>
              </w:rPr>
              <w:t>28.33</w:t>
            </w:r>
          </w:p>
        </w:tc>
        <w:tc>
          <w:tcPr>
            <w:tcW w:w="0" w:type="auto"/>
            <w:noWrap/>
            <w:vAlign w:val="center"/>
            <w:hideMark/>
          </w:tcPr>
          <w:p w14:paraId="49C1199E" w14:textId="77777777" w:rsidR="0072203F" w:rsidRPr="0062651B" w:rsidRDefault="0072203F" w:rsidP="0072203F">
            <w:pPr>
              <w:spacing w:before="0" w:line="240" w:lineRule="auto"/>
              <w:jc w:val="center"/>
              <w:rPr>
                <w:color w:val="auto"/>
                <w:sz w:val="15"/>
              </w:rPr>
            </w:pPr>
            <w:r w:rsidRPr="0062651B">
              <w:rPr>
                <w:color w:val="auto"/>
                <w:sz w:val="15"/>
              </w:rPr>
              <w:t>247</w:t>
            </w:r>
          </w:p>
        </w:tc>
      </w:tr>
      <w:tr w:rsidR="0072203F" w:rsidRPr="0067498E" w14:paraId="30011C5C" w14:textId="77777777" w:rsidTr="0072203F">
        <w:trPr>
          <w:trHeight w:val="421"/>
          <w:jc w:val="center"/>
        </w:trPr>
        <w:tc>
          <w:tcPr>
            <w:tcW w:w="0" w:type="auto"/>
            <w:tcBorders>
              <w:bottom w:val="single" w:sz="4" w:space="0" w:color="auto"/>
            </w:tcBorders>
            <w:shd w:val="clear" w:color="auto" w:fill="B2A1C7" w:themeFill="accent4" w:themeFillTint="99"/>
            <w:noWrap/>
            <w:vAlign w:val="center"/>
            <w:hideMark/>
          </w:tcPr>
          <w:p w14:paraId="010C7222" w14:textId="77777777" w:rsidR="0072203F" w:rsidRPr="0062651B" w:rsidRDefault="0072203F" w:rsidP="0072203F">
            <w:pPr>
              <w:spacing w:before="0" w:line="240" w:lineRule="auto"/>
              <w:ind w:left="-249" w:firstLine="249"/>
              <w:jc w:val="center"/>
              <w:rPr>
                <w:color w:val="auto"/>
                <w:sz w:val="15"/>
              </w:rPr>
            </w:pPr>
            <w:r w:rsidRPr="0062651B">
              <w:rPr>
                <w:color w:val="auto"/>
                <w:sz w:val="15"/>
              </w:rPr>
              <w:t>Insolvent</w:t>
            </w:r>
          </w:p>
        </w:tc>
        <w:tc>
          <w:tcPr>
            <w:tcW w:w="0" w:type="auto"/>
            <w:tcBorders>
              <w:bottom w:val="single" w:sz="4" w:space="0" w:color="auto"/>
            </w:tcBorders>
            <w:noWrap/>
            <w:vAlign w:val="center"/>
            <w:hideMark/>
          </w:tcPr>
          <w:p w14:paraId="5583238B" w14:textId="77777777" w:rsidR="0072203F" w:rsidRPr="0062651B" w:rsidRDefault="0072203F" w:rsidP="0072203F">
            <w:pPr>
              <w:spacing w:before="0" w:line="240" w:lineRule="auto"/>
              <w:jc w:val="center"/>
              <w:rPr>
                <w:color w:val="auto"/>
                <w:sz w:val="15"/>
              </w:rPr>
            </w:pPr>
            <w:r w:rsidRPr="0062651B">
              <w:rPr>
                <w:color w:val="auto"/>
                <w:sz w:val="15"/>
              </w:rPr>
              <w:t>454.27</w:t>
            </w:r>
          </w:p>
        </w:tc>
        <w:tc>
          <w:tcPr>
            <w:tcW w:w="0" w:type="auto"/>
            <w:tcBorders>
              <w:bottom w:val="single" w:sz="4" w:space="0" w:color="auto"/>
            </w:tcBorders>
            <w:noWrap/>
            <w:vAlign w:val="center"/>
            <w:hideMark/>
          </w:tcPr>
          <w:p w14:paraId="22F7773F" w14:textId="77777777" w:rsidR="0072203F" w:rsidRPr="0062651B" w:rsidRDefault="0072203F" w:rsidP="0072203F">
            <w:pPr>
              <w:spacing w:before="0" w:line="240" w:lineRule="auto"/>
              <w:jc w:val="center"/>
              <w:rPr>
                <w:color w:val="auto"/>
                <w:sz w:val="15"/>
              </w:rPr>
            </w:pPr>
            <w:r w:rsidRPr="0062651B">
              <w:rPr>
                <w:color w:val="auto"/>
                <w:sz w:val="15"/>
              </w:rPr>
              <w:t>6,089</w:t>
            </w:r>
          </w:p>
        </w:tc>
        <w:tc>
          <w:tcPr>
            <w:tcW w:w="0" w:type="auto"/>
            <w:tcBorders>
              <w:bottom w:val="single" w:sz="4" w:space="0" w:color="auto"/>
            </w:tcBorders>
            <w:noWrap/>
            <w:vAlign w:val="center"/>
            <w:hideMark/>
          </w:tcPr>
          <w:p w14:paraId="0AA67279" w14:textId="77777777" w:rsidR="0072203F" w:rsidRPr="0062651B" w:rsidRDefault="0072203F" w:rsidP="0072203F">
            <w:pPr>
              <w:spacing w:before="0" w:line="240" w:lineRule="auto"/>
              <w:jc w:val="center"/>
              <w:rPr>
                <w:color w:val="auto"/>
                <w:sz w:val="15"/>
              </w:rPr>
            </w:pPr>
            <w:r w:rsidRPr="0062651B">
              <w:rPr>
                <w:color w:val="auto"/>
                <w:sz w:val="15"/>
              </w:rPr>
              <w:t>461.17</w:t>
            </w:r>
          </w:p>
        </w:tc>
        <w:tc>
          <w:tcPr>
            <w:tcW w:w="0" w:type="auto"/>
            <w:tcBorders>
              <w:bottom w:val="single" w:sz="4" w:space="0" w:color="auto"/>
            </w:tcBorders>
            <w:noWrap/>
            <w:vAlign w:val="center"/>
            <w:hideMark/>
          </w:tcPr>
          <w:p w14:paraId="2E82437B" w14:textId="77777777" w:rsidR="0072203F" w:rsidRPr="0062651B" w:rsidRDefault="0072203F" w:rsidP="0072203F">
            <w:pPr>
              <w:spacing w:before="0" w:line="240" w:lineRule="auto"/>
              <w:jc w:val="center"/>
              <w:rPr>
                <w:color w:val="auto"/>
                <w:sz w:val="15"/>
              </w:rPr>
            </w:pPr>
            <w:r w:rsidRPr="0062651B">
              <w:rPr>
                <w:color w:val="auto"/>
                <w:sz w:val="15"/>
              </w:rPr>
              <w:t>5,561</w:t>
            </w:r>
          </w:p>
        </w:tc>
        <w:tc>
          <w:tcPr>
            <w:tcW w:w="0" w:type="auto"/>
            <w:tcBorders>
              <w:bottom w:val="single" w:sz="4" w:space="0" w:color="auto"/>
            </w:tcBorders>
            <w:noWrap/>
            <w:vAlign w:val="center"/>
            <w:hideMark/>
          </w:tcPr>
          <w:p w14:paraId="56639003" w14:textId="77777777" w:rsidR="0072203F" w:rsidRPr="0062651B" w:rsidRDefault="0072203F" w:rsidP="0072203F">
            <w:pPr>
              <w:spacing w:before="0" w:line="240" w:lineRule="auto"/>
              <w:jc w:val="center"/>
              <w:rPr>
                <w:color w:val="auto"/>
                <w:sz w:val="15"/>
              </w:rPr>
            </w:pPr>
            <w:r w:rsidRPr="0062651B">
              <w:rPr>
                <w:color w:val="auto"/>
                <w:sz w:val="15"/>
              </w:rPr>
              <w:t>517.57</w:t>
            </w:r>
          </w:p>
        </w:tc>
        <w:tc>
          <w:tcPr>
            <w:tcW w:w="0" w:type="auto"/>
            <w:tcBorders>
              <w:bottom w:val="single" w:sz="4" w:space="0" w:color="auto"/>
            </w:tcBorders>
            <w:noWrap/>
            <w:vAlign w:val="center"/>
            <w:hideMark/>
          </w:tcPr>
          <w:p w14:paraId="4498A41F" w14:textId="77777777" w:rsidR="0072203F" w:rsidRPr="0062651B" w:rsidRDefault="0072203F" w:rsidP="0072203F">
            <w:pPr>
              <w:spacing w:before="0" w:line="240" w:lineRule="auto"/>
              <w:jc w:val="center"/>
              <w:rPr>
                <w:color w:val="auto"/>
                <w:sz w:val="15"/>
              </w:rPr>
            </w:pPr>
            <w:r w:rsidRPr="0062651B">
              <w:rPr>
                <w:color w:val="auto"/>
                <w:sz w:val="15"/>
              </w:rPr>
              <w:t>5,774</w:t>
            </w:r>
          </w:p>
        </w:tc>
        <w:tc>
          <w:tcPr>
            <w:tcW w:w="0" w:type="auto"/>
            <w:tcBorders>
              <w:bottom w:val="single" w:sz="4" w:space="0" w:color="auto"/>
            </w:tcBorders>
            <w:noWrap/>
            <w:vAlign w:val="center"/>
            <w:hideMark/>
          </w:tcPr>
          <w:p w14:paraId="2EDD1BB8" w14:textId="77777777" w:rsidR="0072203F" w:rsidRPr="0062651B" w:rsidRDefault="0072203F" w:rsidP="0072203F">
            <w:pPr>
              <w:spacing w:before="0" w:line="240" w:lineRule="auto"/>
              <w:jc w:val="center"/>
              <w:rPr>
                <w:color w:val="auto"/>
                <w:sz w:val="15"/>
              </w:rPr>
            </w:pPr>
            <w:r w:rsidRPr="0062651B">
              <w:rPr>
                <w:color w:val="auto"/>
                <w:sz w:val="15"/>
              </w:rPr>
              <w:t>598.41</w:t>
            </w:r>
          </w:p>
        </w:tc>
        <w:tc>
          <w:tcPr>
            <w:tcW w:w="0" w:type="auto"/>
            <w:tcBorders>
              <w:bottom w:val="single" w:sz="4" w:space="0" w:color="auto"/>
            </w:tcBorders>
            <w:noWrap/>
            <w:vAlign w:val="center"/>
            <w:hideMark/>
          </w:tcPr>
          <w:p w14:paraId="737D2F3E" w14:textId="77777777" w:rsidR="0072203F" w:rsidRPr="0062651B" w:rsidRDefault="0072203F" w:rsidP="0072203F">
            <w:pPr>
              <w:spacing w:before="0" w:line="240" w:lineRule="auto"/>
              <w:jc w:val="center"/>
              <w:rPr>
                <w:color w:val="auto"/>
                <w:sz w:val="15"/>
              </w:rPr>
            </w:pPr>
            <w:r w:rsidRPr="0062651B">
              <w:rPr>
                <w:color w:val="auto"/>
                <w:sz w:val="15"/>
              </w:rPr>
              <w:t>6,541</w:t>
            </w:r>
          </w:p>
        </w:tc>
        <w:tc>
          <w:tcPr>
            <w:tcW w:w="0" w:type="auto"/>
            <w:tcBorders>
              <w:bottom w:val="single" w:sz="4" w:space="0" w:color="auto"/>
            </w:tcBorders>
            <w:noWrap/>
            <w:vAlign w:val="center"/>
            <w:hideMark/>
          </w:tcPr>
          <w:p w14:paraId="248A4FB7" w14:textId="77777777" w:rsidR="0072203F" w:rsidRPr="0062651B" w:rsidRDefault="0072203F" w:rsidP="0072203F">
            <w:pPr>
              <w:spacing w:before="0" w:line="240" w:lineRule="auto"/>
              <w:jc w:val="center"/>
              <w:rPr>
                <w:color w:val="auto"/>
                <w:sz w:val="15"/>
              </w:rPr>
            </w:pPr>
            <w:r w:rsidRPr="0062651B">
              <w:rPr>
                <w:color w:val="auto"/>
                <w:sz w:val="15"/>
              </w:rPr>
              <w:t>718.34</w:t>
            </w:r>
          </w:p>
        </w:tc>
        <w:tc>
          <w:tcPr>
            <w:tcW w:w="0" w:type="auto"/>
            <w:tcBorders>
              <w:bottom w:val="single" w:sz="4" w:space="0" w:color="auto"/>
            </w:tcBorders>
            <w:noWrap/>
            <w:vAlign w:val="center"/>
            <w:hideMark/>
          </w:tcPr>
          <w:p w14:paraId="6920F26D" w14:textId="77777777" w:rsidR="0072203F" w:rsidRPr="0062651B" w:rsidRDefault="0072203F" w:rsidP="0072203F">
            <w:pPr>
              <w:spacing w:before="0" w:line="240" w:lineRule="auto"/>
              <w:jc w:val="center"/>
              <w:rPr>
                <w:color w:val="auto"/>
                <w:sz w:val="15"/>
              </w:rPr>
            </w:pPr>
            <w:r w:rsidRPr="0062651B">
              <w:rPr>
                <w:color w:val="auto"/>
                <w:sz w:val="15"/>
              </w:rPr>
              <w:t>7,977</w:t>
            </w:r>
          </w:p>
        </w:tc>
      </w:tr>
      <w:tr w:rsidR="0072203F" w:rsidRPr="004002DE" w14:paraId="228AF177" w14:textId="77777777" w:rsidTr="0072203F">
        <w:trPr>
          <w:trHeight w:val="481"/>
          <w:jc w:val="center"/>
        </w:trPr>
        <w:tc>
          <w:tcPr>
            <w:tcW w:w="0" w:type="auto"/>
            <w:shd w:val="clear" w:color="auto" w:fill="B2A1C7" w:themeFill="accent4" w:themeFillTint="99"/>
            <w:noWrap/>
            <w:vAlign w:val="center"/>
            <w:hideMark/>
          </w:tcPr>
          <w:p w14:paraId="35A9CA51" w14:textId="77777777" w:rsidR="0072203F" w:rsidRPr="0062651B" w:rsidRDefault="0072203F" w:rsidP="0072203F">
            <w:pPr>
              <w:spacing w:before="0" w:line="240" w:lineRule="auto"/>
              <w:jc w:val="center"/>
              <w:rPr>
                <w:b/>
                <w:color w:val="auto"/>
                <w:sz w:val="15"/>
              </w:rPr>
            </w:pPr>
            <w:r w:rsidRPr="0062651B">
              <w:rPr>
                <w:b/>
                <w:color w:val="auto"/>
                <w:sz w:val="15"/>
              </w:rPr>
              <w:t>Total</w:t>
            </w:r>
          </w:p>
        </w:tc>
        <w:tc>
          <w:tcPr>
            <w:tcW w:w="0" w:type="auto"/>
            <w:shd w:val="clear" w:color="auto" w:fill="B2A1C7" w:themeFill="accent4" w:themeFillTint="99"/>
            <w:noWrap/>
            <w:vAlign w:val="center"/>
            <w:hideMark/>
          </w:tcPr>
          <w:p w14:paraId="4DC3578C" w14:textId="77777777" w:rsidR="0072203F" w:rsidRPr="0062651B" w:rsidRDefault="0072203F" w:rsidP="0072203F">
            <w:pPr>
              <w:spacing w:before="0" w:line="240" w:lineRule="auto"/>
              <w:jc w:val="center"/>
              <w:rPr>
                <w:b/>
                <w:color w:val="auto"/>
                <w:sz w:val="15"/>
              </w:rPr>
            </w:pPr>
            <w:r w:rsidRPr="0062651B">
              <w:rPr>
                <w:b/>
                <w:color w:val="auto"/>
                <w:sz w:val="15"/>
              </w:rPr>
              <w:t>839.58</w:t>
            </w:r>
          </w:p>
        </w:tc>
        <w:tc>
          <w:tcPr>
            <w:tcW w:w="0" w:type="auto"/>
            <w:shd w:val="clear" w:color="auto" w:fill="B2A1C7" w:themeFill="accent4" w:themeFillTint="99"/>
            <w:noWrap/>
            <w:vAlign w:val="center"/>
            <w:hideMark/>
          </w:tcPr>
          <w:p w14:paraId="5A0272B2" w14:textId="77777777" w:rsidR="0072203F" w:rsidRPr="0062651B" w:rsidRDefault="0072203F" w:rsidP="0072203F">
            <w:pPr>
              <w:spacing w:before="0" w:line="240" w:lineRule="auto"/>
              <w:jc w:val="center"/>
              <w:rPr>
                <w:b/>
                <w:color w:val="auto"/>
                <w:sz w:val="15"/>
              </w:rPr>
            </w:pPr>
            <w:r w:rsidRPr="0062651B">
              <w:rPr>
                <w:b/>
                <w:color w:val="auto"/>
                <w:sz w:val="15"/>
              </w:rPr>
              <w:t>17,678</w:t>
            </w:r>
          </w:p>
        </w:tc>
        <w:tc>
          <w:tcPr>
            <w:tcW w:w="0" w:type="auto"/>
            <w:shd w:val="clear" w:color="auto" w:fill="B2A1C7" w:themeFill="accent4" w:themeFillTint="99"/>
            <w:noWrap/>
            <w:vAlign w:val="center"/>
            <w:hideMark/>
          </w:tcPr>
          <w:p w14:paraId="2AF6F287" w14:textId="77777777" w:rsidR="0072203F" w:rsidRPr="0062651B" w:rsidRDefault="0072203F" w:rsidP="0072203F">
            <w:pPr>
              <w:spacing w:before="0" w:line="240" w:lineRule="auto"/>
              <w:jc w:val="center"/>
              <w:rPr>
                <w:b/>
                <w:color w:val="auto"/>
                <w:sz w:val="15"/>
              </w:rPr>
            </w:pPr>
            <w:r w:rsidRPr="0062651B">
              <w:rPr>
                <w:b/>
                <w:color w:val="auto"/>
                <w:sz w:val="15"/>
              </w:rPr>
              <w:t>935.96</w:t>
            </w:r>
          </w:p>
        </w:tc>
        <w:tc>
          <w:tcPr>
            <w:tcW w:w="0" w:type="auto"/>
            <w:shd w:val="clear" w:color="auto" w:fill="B2A1C7" w:themeFill="accent4" w:themeFillTint="99"/>
            <w:noWrap/>
            <w:vAlign w:val="center"/>
            <w:hideMark/>
          </w:tcPr>
          <w:p w14:paraId="5EC2F30B" w14:textId="77777777" w:rsidR="0072203F" w:rsidRPr="0062651B" w:rsidRDefault="0072203F" w:rsidP="0072203F">
            <w:pPr>
              <w:spacing w:before="0" w:line="240" w:lineRule="auto"/>
              <w:jc w:val="center"/>
              <w:rPr>
                <w:b/>
                <w:color w:val="auto"/>
                <w:sz w:val="15"/>
              </w:rPr>
            </w:pPr>
            <w:r w:rsidRPr="0062651B">
              <w:rPr>
                <w:b/>
                <w:color w:val="auto"/>
                <w:sz w:val="15"/>
              </w:rPr>
              <w:t>18,923</w:t>
            </w:r>
          </w:p>
        </w:tc>
        <w:tc>
          <w:tcPr>
            <w:tcW w:w="0" w:type="auto"/>
            <w:shd w:val="clear" w:color="auto" w:fill="B2A1C7" w:themeFill="accent4" w:themeFillTint="99"/>
            <w:noWrap/>
            <w:vAlign w:val="center"/>
            <w:hideMark/>
          </w:tcPr>
          <w:p w14:paraId="77F2CA34" w14:textId="77777777" w:rsidR="0072203F" w:rsidRPr="0062651B" w:rsidRDefault="0072203F" w:rsidP="0072203F">
            <w:pPr>
              <w:spacing w:before="0" w:line="240" w:lineRule="auto"/>
              <w:jc w:val="center"/>
              <w:rPr>
                <w:b/>
                <w:color w:val="auto"/>
                <w:sz w:val="15"/>
              </w:rPr>
            </w:pPr>
            <w:r w:rsidRPr="0062651B">
              <w:rPr>
                <w:b/>
                <w:color w:val="auto"/>
                <w:sz w:val="15"/>
              </w:rPr>
              <w:t>1,015.14</w:t>
            </w:r>
          </w:p>
        </w:tc>
        <w:tc>
          <w:tcPr>
            <w:tcW w:w="0" w:type="auto"/>
            <w:shd w:val="clear" w:color="auto" w:fill="B2A1C7" w:themeFill="accent4" w:themeFillTint="99"/>
            <w:noWrap/>
            <w:vAlign w:val="center"/>
            <w:hideMark/>
          </w:tcPr>
          <w:p w14:paraId="38442B98" w14:textId="77777777" w:rsidR="0072203F" w:rsidRPr="0062651B" w:rsidRDefault="0072203F" w:rsidP="0072203F">
            <w:pPr>
              <w:spacing w:before="0" w:line="240" w:lineRule="auto"/>
              <w:jc w:val="center"/>
              <w:rPr>
                <w:b/>
                <w:color w:val="auto"/>
                <w:sz w:val="15"/>
              </w:rPr>
            </w:pPr>
            <w:r w:rsidRPr="0062651B">
              <w:rPr>
                <w:b/>
                <w:color w:val="auto"/>
                <w:sz w:val="15"/>
              </w:rPr>
              <w:t>23,543</w:t>
            </w:r>
          </w:p>
        </w:tc>
        <w:tc>
          <w:tcPr>
            <w:tcW w:w="0" w:type="auto"/>
            <w:shd w:val="clear" w:color="auto" w:fill="B2A1C7" w:themeFill="accent4" w:themeFillTint="99"/>
            <w:noWrap/>
            <w:vAlign w:val="center"/>
            <w:hideMark/>
          </w:tcPr>
          <w:p w14:paraId="2A49460E" w14:textId="77777777" w:rsidR="0072203F" w:rsidRPr="0062651B" w:rsidRDefault="0072203F" w:rsidP="0072203F">
            <w:pPr>
              <w:spacing w:before="0" w:line="240" w:lineRule="auto"/>
              <w:jc w:val="center"/>
              <w:rPr>
                <w:b/>
                <w:color w:val="auto"/>
                <w:sz w:val="15"/>
              </w:rPr>
            </w:pPr>
            <w:r w:rsidRPr="0062651B">
              <w:rPr>
                <w:b/>
                <w:color w:val="auto"/>
                <w:sz w:val="15"/>
              </w:rPr>
              <w:t>1,144.37</w:t>
            </w:r>
          </w:p>
        </w:tc>
        <w:tc>
          <w:tcPr>
            <w:tcW w:w="0" w:type="auto"/>
            <w:shd w:val="clear" w:color="auto" w:fill="B2A1C7" w:themeFill="accent4" w:themeFillTint="99"/>
            <w:noWrap/>
            <w:vAlign w:val="center"/>
            <w:hideMark/>
          </w:tcPr>
          <w:p w14:paraId="581146C6" w14:textId="77777777" w:rsidR="0072203F" w:rsidRPr="0062651B" w:rsidRDefault="0072203F" w:rsidP="0072203F">
            <w:pPr>
              <w:spacing w:before="0" w:line="240" w:lineRule="auto"/>
              <w:jc w:val="center"/>
              <w:rPr>
                <w:b/>
                <w:color w:val="auto"/>
                <w:sz w:val="15"/>
              </w:rPr>
            </w:pPr>
            <w:r w:rsidRPr="0062651B">
              <w:rPr>
                <w:b/>
                <w:color w:val="auto"/>
                <w:sz w:val="15"/>
              </w:rPr>
              <w:t>32,034</w:t>
            </w:r>
          </w:p>
        </w:tc>
        <w:tc>
          <w:tcPr>
            <w:tcW w:w="0" w:type="auto"/>
            <w:shd w:val="clear" w:color="auto" w:fill="B2A1C7" w:themeFill="accent4" w:themeFillTint="99"/>
            <w:noWrap/>
            <w:vAlign w:val="center"/>
            <w:hideMark/>
          </w:tcPr>
          <w:p w14:paraId="29D502E8" w14:textId="77777777" w:rsidR="0072203F" w:rsidRPr="0062651B" w:rsidRDefault="0072203F" w:rsidP="0072203F">
            <w:pPr>
              <w:spacing w:before="0" w:line="240" w:lineRule="auto"/>
              <w:jc w:val="center"/>
              <w:rPr>
                <w:b/>
                <w:color w:val="auto"/>
                <w:sz w:val="15"/>
              </w:rPr>
            </w:pPr>
            <w:r w:rsidRPr="0062651B">
              <w:rPr>
                <w:b/>
                <w:color w:val="auto"/>
                <w:sz w:val="15"/>
              </w:rPr>
              <w:t>1,369.29</w:t>
            </w:r>
          </w:p>
        </w:tc>
        <w:tc>
          <w:tcPr>
            <w:tcW w:w="0" w:type="auto"/>
            <w:shd w:val="clear" w:color="auto" w:fill="B2A1C7" w:themeFill="accent4" w:themeFillTint="99"/>
            <w:noWrap/>
            <w:vAlign w:val="center"/>
            <w:hideMark/>
          </w:tcPr>
          <w:p w14:paraId="6BDD441D" w14:textId="77777777" w:rsidR="0072203F" w:rsidRPr="0062651B" w:rsidRDefault="0072203F" w:rsidP="0072203F">
            <w:pPr>
              <w:spacing w:before="0" w:line="240" w:lineRule="auto"/>
              <w:jc w:val="center"/>
              <w:rPr>
                <w:b/>
                <w:color w:val="auto"/>
                <w:sz w:val="15"/>
              </w:rPr>
            </w:pPr>
            <w:r w:rsidRPr="0062651B">
              <w:rPr>
                <w:b/>
                <w:color w:val="auto"/>
                <w:sz w:val="15"/>
              </w:rPr>
              <w:t>33,889</w:t>
            </w:r>
          </w:p>
        </w:tc>
      </w:tr>
    </w:tbl>
    <w:p w14:paraId="475E2F7B" w14:textId="4B412BE4" w:rsidR="0072203F" w:rsidRPr="00224B95" w:rsidRDefault="00DB6E7C" w:rsidP="00DD33F2">
      <w:pPr>
        <w:pStyle w:val="ListParagraph"/>
        <w:numPr>
          <w:ilvl w:val="1"/>
          <w:numId w:val="33"/>
        </w:numPr>
        <w:spacing w:before="240" w:line="360" w:lineRule="auto"/>
        <w:contextualSpacing w:val="0"/>
      </w:pPr>
      <w:r w:rsidRPr="00224B95">
        <w:t>The top six industries where the highest amount of collectible</w:t>
      </w:r>
      <w:r w:rsidR="00FE011A">
        <w:t xml:space="preserve"> debt exists are listed below. </w:t>
      </w:r>
      <w:r w:rsidR="0072203F" w:rsidRPr="00224B95">
        <w:t>The small business sector has the highest amount of superannuation guarantee charge collect</w:t>
      </w:r>
      <w:r w:rsidR="00365529">
        <w:t>a</w:t>
      </w:r>
      <w:r w:rsidR="0072203F" w:rsidRPr="00224B95">
        <w:t xml:space="preserve">ble debt. </w:t>
      </w:r>
    </w:p>
    <w:p w14:paraId="035065F1" w14:textId="77777777" w:rsidR="0072203F" w:rsidRPr="009D6D2C" w:rsidRDefault="0072203F" w:rsidP="00F71EF8">
      <w:pPr>
        <w:pStyle w:val="BodyText"/>
        <w:keepNext/>
        <w:keepLines/>
        <w:spacing w:line="360" w:lineRule="auto"/>
        <w:ind w:left="567"/>
        <w:rPr>
          <w:rFonts w:eastAsia="Calibri" w:cstheme="minorHAnsi"/>
          <w:b/>
          <w:color w:val="auto"/>
          <w:szCs w:val="22"/>
        </w:rPr>
      </w:pPr>
      <w:r w:rsidRPr="009D6D2C">
        <w:rPr>
          <w:rFonts w:cstheme="minorHAnsi"/>
          <w:b/>
        </w:rPr>
        <w:t xml:space="preserve">Table: </w:t>
      </w:r>
      <w:r w:rsidRPr="009D6D2C">
        <w:rPr>
          <w:rFonts w:eastAsia="Calibri" w:cstheme="minorHAnsi"/>
          <w:b/>
          <w:color w:val="auto"/>
          <w:szCs w:val="22"/>
        </w:rPr>
        <w:t>SGC collectable debt by industry (top six) at 30 June 2016</w:t>
      </w:r>
      <w:r w:rsidR="0062651B" w:rsidRPr="0067498E">
        <w:rPr>
          <w:rStyle w:val="FootnoteReference"/>
          <w:rFonts w:cs="Arial"/>
          <w:color w:val="auto"/>
          <w:sz w:val="14"/>
          <w:szCs w:val="18"/>
        </w:rPr>
        <w:footnoteReference w:id="25"/>
      </w:r>
    </w:p>
    <w:tbl>
      <w:tblPr>
        <w:tblStyle w:val="TableGrid7"/>
        <w:tblW w:w="0" w:type="auto"/>
        <w:jc w:val="center"/>
        <w:tblInd w:w="-2296" w:type="dxa"/>
        <w:tblLook w:val="04A0" w:firstRow="1" w:lastRow="0" w:firstColumn="1" w:lastColumn="0" w:noHBand="0" w:noVBand="1"/>
      </w:tblPr>
      <w:tblGrid>
        <w:gridCol w:w="4274"/>
        <w:gridCol w:w="1520"/>
        <w:gridCol w:w="1457"/>
      </w:tblGrid>
      <w:tr w:rsidR="0072203F" w:rsidRPr="0067498E" w14:paraId="0A4959B0" w14:textId="77777777" w:rsidTr="00636615">
        <w:trPr>
          <w:trHeight w:val="212"/>
          <w:jc w:val="center"/>
        </w:trPr>
        <w:tc>
          <w:tcPr>
            <w:tcW w:w="4274" w:type="dxa"/>
            <w:shd w:val="clear" w:color="auto" w:fill="B2A1C7" w:themeFill="accent4" w:themeFillTint="99"/>
            <w:noWrap/>
          </w:tcPr>
          <w:p w14:paraId="3E638360" w14:textId="77777777" w:rsidR="0072203F" w:rsidRPr="00C74EEF" w:rsidRDefault="0072203F" w:rsidP="00F71EF8">
            <w:pPr>
              <w:keepNext/>
              <w:keepLines/>
              <w:spacing w:before="60" w:after="60" w:line="240" w:lineRule="auto"/>
              <w:rPr>
                <w:b/>
                <w:color w:val="auto"/>
                <w:sz w:val="16"/>
              </w:rPr>
            </w:pPr>
            <w:r w:rsidRPr="00C74EEF">
              <w:rPr>
                <w:b/>
                <w:color w:val="auto"/>
                <w:sz w:val="16"/>
              </w:rPr>
              <w:t>Industry</w:t>
            </w:r>
          </w:p>
        </w:tc>
        <w:tc>
          <w:tcPr>
            <w:tcW w:w="1520" w:type="dxa"/>
            <w:shd w:val="clear" w:color="auto" w:fill="B2A1C7" w:themeFill="accent4" w:themeFillTint="99"/>
            <w:noWrap/>
          </w:tcPr>
          <w:p w14:paraId="0AB3D5E5" w14:textId="77777777" w:rsidR="0072203F" w:rsidRPr="00C74EEF" w:rsidRDefault="0072203F" w:rsidP="00F71EF8">
            <w:pPr>
              <w:keepNext/>
              <w:keepLines/>
              <w:spacing w:before="60" w:after="60" w:line="240" w:lineRule="auto"/>
              <w:jc w:val="center"/>
              <w:rPr>
                <w:b/>
                <w:color w:val="auto"/>
                <w:sz w:val="16"/>
              </w:rPr>
            </w:pPr>
            <w:r w:rsidRPr="00C74EEF">
              <w:rPr>
                <w:b/>
                <w:color w:val="auto"/>
                <w:sz w:val="16"/>
              </w:rPr>
              <w:t>Debt ($m)</w:t>
            </w:r>
          </w:p>
        </w:tc>
        <w:tc>
          <w:tcPr>
            <w:tcW w:w="1457" w:type="dxa"/>
            <w:shd w:val="clear" w:color="auto" w:fill="B2A1C7" w:themeFill="accent4" w:themeFillTint="99"/>
          </w:tcPr>
          <w:p w14:paraId="30215868" w14:textId="77777777" w:rsidR="0072203F" w:rsidRPr="00C74EEF" w:rsidRDefault="0072203F" w:rsidP="00F71EF8">
            <w:pPr>
              <w:keepNext/>
              <w:keepLines/>
              <w:spacing w:before="60" w:after="60" w:line="240" w:lineRule="auto"/>
              <w:jc w:val="center"/>
              <w:rPr>
                <w:b/>
                <w:color w:val="auto"/>
                <w:sz w:val="16"/>
              </w:rPr>
            </w:pPr>
            <w:r w:rsidRPr="00C74EEF">
              <w:rPr>
                <w:b/>
                <w:color w:val="auto"/>
                <w:sz w:val="16"/>
              </w:rPr>
              <w:t>Proportion</w:t>
            </w:r>
          </w:p>
        </w:tc>
      </w:tr>
      <w:tr w:rsidR="0072203F" w:rsidRPr="0067498E" w14:paraId="697665DF" w14:textId="77777777" w:rsidTr="00636615">
        <w:trPr>
          <w:trHeight w:val="271"/>
          <w:jc w:val="center"/>
        </w:trPr>
        <w:tc>
          <w:tcPr>
            <w:tcW w:w="4274" w:type="dxa"/>
            <w:shd w:val="clear" w:color="auto" w:fill="B2A1C7" w:themeFill="accent4" w:themeFillTint="99"/>
            <w:noWrap/>
          </w:tcPr>
          <w:p w14:paraId="3B02687D" w14:textId="77777777" w:rsidR="0072203F" w:rsidRPr="00C74EEF" w:rsidRDefault="0072203F" w:rsidP="00F71EF8">
            <w:pPr>
              <w:keepNext/>
              <w:keepLines/>
              <w:spacing w:before="60" w:after="60" w:line="240" w:lineRule="auto"/>
              <w:rPr>
                <w:b/>
                <w:color w:val="auto"/>
                <w:sz w:val="16"/>
              </w:rPr>
            </w:pPr>
            <w:r w:rsidRPr="00C74EEF">
              <w:rPr>
                <w:b/>
                <w:color w:val="auto"/>
                <w:sz w:val="16"/>
              </w:rPr>
              <w:t>Construction</w:t>
            </w:r>
          </w:p>
        </w:tc>
        <w:tc>
          <w:tcPr>
            <w:tcW w:w="1520" w:type="dxa"/>
            <w:noWrap/>
          </w:tcPr>
          <w:p w14:paraId="666F5C0C" w14:textId="77777777" w:rsidR="0072203F" w:rsidRPr="00C74EEF" w:rsidRDefault="0072203F" w:rsidP="00F71EF8">
            <w:pPr>
              <w:keepNext/>
              <w:keepLines/>
              <w:spacing w:before="60" w:after="60" w:line="240" w:lineRule="auto"/>
              <w:jc w:val="center"/>
              <w:rPr>
                <w:color w:val="auto"/>
                <w:sz w:val="16"/>
              </w:rPr>
            </w:pPr>
            <w:r w:rsidRPr="00C74EEF">
              <w:rPr>
                <w:color w:val="auto"/>
                <w:sz w:val="16"/>
              </w:rPr>
              <w:t>85.0</w:t>
            </w:r>
          </w:p>
        </w:tc>
        <w:tc>
          <w:tcPr>
            <w:tcW w:w="1457" w:type="dxa"/>
          </w:tcPr>
          <w:p w14:paraId="592B33FD" w14:textId="77777777" w:rsidR="0072203F" w:rsidRPr="00C74EEF" w:rsidRDefault="0072203F" w:rsidP="00F71EF8">
            <w:pPr>
              <w:keepNext/>
              <w:keepLines/>
              <w:spacing w:before="60" w:after="60" w:line="240" w:lineRule="auto"/>
              <w:jc w:val="center"/>
              <w:rPr>
                <w:color w:val="auto"/>
                <w:sz w:val="16"/>
              </w:rPr>
            </w:pPr>
            <w:r w:rsidRPr="00C74EEF">
              <w:rPr>
                <w:color w:val="auto"/>
                <w:sz w:val="16"/>
              </w:rPr>
              <w:t>14.7%</w:t>
            </w:r>
          </w:p>
        </w:tc>
      </w:tr>
      <w:tr w:rsidR="0072203F" w:rsidRPr="0067498E" w14:paraId="696E00F8" w14:textId="77777777" w:rsidTr="00636615">
        <w:trPr>
          <w:trHeight w:val="167"/>
          <w:jc w:val="center"/>
        </w:trPr>
        <w:tc>
          <w:tcPr>
            <w:tcW w:w="4274" w:type="dxa"/>
            <w:shd w:val="clear" w:color="auto" w:fill="B2A1C7" w:themeFill="accent4" w:themeFillTint="99"/>
            <w:noWrap/>
          </w:tcPr>
          <w:p w14:paraId="7E2F0A9A" w14:textId="77777777" w:rsidR="0072203F" w:rsidRPr="00C74EEF" w:rsidRDefault="0072203F" w:rsidP="00F71EF8">
            <w:pPr>
              <w:keepNext/>
              <w:keepLines/>
              <w:spacing w:before="60" w:after="60" w:line="240" w:lineRule="auto"/>
              <w:rPr>
                <w:b/>
                <w:color w:val="auto"/>
                <w:sz w:val="16"/>
              </w:rPr>
            </w:pPr>
            <w:r w:rsidRPr="00C74EEF">
              <w:rPr>
                <w:b/>
                <w:color w:val="auto"/>
                <w:sz w:val="16"/>
              </w:rPr>
              <w:t>Accommodation and food services</w:t>
            </w:r>
          </w:p>
        </w:tc>
        <w:tc>
          <w:tcPr>
            <w:tcW w:w="1520" w:type="dxa"/>
            <w:noWrap/>
          </w:tcPr>
          <w:p w14:paraId="6DB6BA0B" w14:textId="77777777" w:rsidR="0072203F" w:rsidRPr="00C74EEF" w:rsidRDefault="0072203F" w:rsidP="00F71EF8">
            <w:pPr>
              <w:keepNext/>
              <w:keepLines/>
              <w:spacing w:before="60" w:after="60" w:line="240" w:lineRule="auto"/>
              <w:jc w:val="center"/>
              <w:rPr>
                <w:color w:val="auto"/>
                <w:sz w:val="16"/>
              </w:rPr>
            </w:pPr>
            <w:r w:rsidRPr="00C74EEF">
              <w:rPr>
                <w:color w:val="auto"/>
                <w:sz w:val="16"/>
              </w:rPr>
              <w:t>81.5</w:t>
            </w:r>
          </w:p>
        </w:tc>
        <w:tc>
          <w:tcPr>
            <w:tcW w:w="1457" w:type="dxa"/>
          </w:tcPr>
          <w:p w14:paraId="160C1AD4" w14:textId="77777777" w:rsidR="0072203F" w:rsidRPr="00C74EEF" w:rsidRDefault="0072203F" w:rsidP="00F71EF8">
            <w:pPr>
              <w:keepNext/>
              <w:keepLines/>
              <w:spacing w:before="60" w:after="60" w:line="240" w:lineRule="auto"/>
              <w:jc w:val="center"/>
              <w:rPr>
                <w:color w:val="auto"/>
                <w:sz w:val="16"/>
              </w:rPr>
            </w:pPr>
            <w:r w:rsidRPr="00C74EEF">
              <w:rPr>
                <w:color w:val="auto"/>
                <w:sz w:val="16"/>
              </w:rPr>
              <w:t>14.1%</w:t>
            </w:r>
          </w:p>
        </w:tc>
      </w:tr>
      <w:tr w:rsidR="0072203F" w:rsidRPr="0067498E" w14:paraId="0FA5D444" w14:textId="77777777" w:rsidTr="00636615">
        <w:trPr>
          <w:trHeight w:val="225"/>
          <w:jc w:val="center"/>
        </w:trPr>
        <w:tc>
          <w:tcPr>
            <w:tcW w:w="4274" w:type="dxa"/>
            <w:shd w:val="clear" w:color="auto" w:fill="B2A1C7" w:themeFill="accent4" w:themeFillTint="99"/>
            <w:noWrap/>
          </w:tcPr>
          <w:p w14:paraId="3C280EA6" w14:textId="77777777" w:rsidR="0072203F" w:rsidRPr="00C74EEF" w:rsidRDefault="0072203F" w:rsidP="00F71EF8">
            <w:pPr>
              <w:keepNext/>
              <w:keepLines/>
              <w:spacing w:before="60" w:after="60" w:line="240" w:lineRule="auto"/>
              <w:rPr>
                <w:b/>
                <w:color w:val="auto"/>
                <w:sz w:val="16"/>
              </w:rPr>
            </w:pPr>
            <w:r w:rsidRPr="00C74EEF">
              <w:rPr>
                <w:b/>
                <w:color w:val="auto"/>
                <w:sz w:val="16"/>
              </w:rPr>
              <w:t>Manufacturing</w:t>
            </w:r>
          </w:p>
        </w:tc>
        <w:tc>
          <w:tcPr>
            <w:tcW w:w="1520" w:type="dxa"/>
            <w:noWrap/>
          </w:tcPr>
          <w:p w14:paraId="67C6C700" w14:textId="77777777" w:rsidR="0072203F" w:rsidRPr="00C74EEF" w:rsidRDefault="0072203F" w:rsidP="00F71EF8">
            <w:pPr>
              <w:keepNext/>
              <w:keepLines/>
              <w:spacing w:before="60" w:after="60" w:line="240" w:lineRule="auto"/>
              <w:jc w:val="center"/>
              <w:rPr>
                <w:color w:val="auto"/>
                <w:sz w:val="16"/>
              </w:rPr>
            </w:pPr>
            <w:r w:rsidRPr="00C74EEF">
              <w:rPr>
                <w:color w:val="auto"/>
                <w:sz w:val="16"/>
              </w:rPr>
              <w:t>53.8</w:t>
            </w:r>
          </w:p>
        </w:tc>
        <w:tc>
          <w:tcPr>
            <w:tcW w:w="1457" w:type="dxa"/>
          </w:tcPr>
          <w:p w14:paraId="4FCD3CE4" w14:textId="77777777" w:rsidR="0072203F" w:rsidRPr="00C74EEF" w:rsidRDefault="0072203F" w:rsidP="00F71EF8">
            <w:pPr>
              <w:keepNext/>
              <w:keepLines/>
              <w:spacing w:before="60" w:after="60" w:line="240" w:lineRule="auto"/>
              <w:jc w:val="center"/>
              <w:rPr>
                <w:color w:val="auto"/>
                <w:sz w:val="16"/>
              </w:rPr>
            </w:pPr>
            <w:r w:rsidRPr="00C74EEF">
              <w:rPr>
                <w:color w:val="auto"/>
                <w:sz w:val="16"/>
              </w:rPr>
              <w:t>9.3%</w:t>
            </w:r>
          </w:p>
        </w:tc>
      </w:tr>
      <w:tr w:rsidR="0072203F" w:rsidRPr="0067498E" w14:paraId="4EB0D904" w14:textId="77777777" w:rsidTr="00636615">
        <w:trPr>
          <w:trHeight w:val="225"/>
          <w:jc w:val="center"/>
        </w:trPr>
        <w:tc>
          <w:tcPr>
            <w:tcW w:w="4274" w:type="dxa"/>
            <w:shd w:val="clear" w:color="auto" w:fill="B2A1C7" w:themeFill="accent4" w:themeFillTint="99"/>
            <w:noWrap/>
          </w:tcPr>
          <w:p w14:paraId="67CCFB95" w14:textId="77777777" w:rsidR="0072203F" w:rsidRPr="00C74EEF" w:rsidRDefault="0072203F" w:rsidP="00F71EF8">
            <w:pPr>
              <w:keepNext/>
              <w:keepLines/>
              <w:spacing w:before="60" w:after="60" w:line="240" w:lineRule="auto"/>
              <w:rPr>
                <w:b/>
                <w:color w:val="auto"/>
                <w:sz w:val="16"/>
              </w:rPr>
            </w:pPr>
            <w:r w:rsidRPr="00C74EEF">
              <w:rPr>
                <w:b/>
                <w:color w:val="auto"/>
                <w:sz w:val="16"/>
              </w:rPr>
              <w:t>Administrative and support services</w:t>
            </w:r>
          </w:p>
        </w:tc>
        <w:tc>
          <w:tcPr>
            <w:tcW w:w="1520" w:type="dxa"/>
            <w:noWrap/>
          </w:tcPr>
          <w:p w14:paraId="3DDC7CE3" w14:textId="77777777" w:rsidR="0072203F" w:rsidRPr="00C74EEF" w:rsidRDefault="0072203F" w:rsidP="00F71EF8">
            <w:pPr>
              <w:keepNext/>
              <w:keepLines/>
              <w:spacing w:before="60" w:after="60" w:line="240" w:lineRule="auto"/>
              <w:jc w:val="center"/>
              <w:rPr>
                <w:color w:val="auto"/>
                <w:sz w:val="16"/>
              </w:rPr>
            </w:pPr>
            <w:r w:rsidRPr="00C74EEF">
              <w:rPr>
                <w:color w:val="auto"/>
                <w:sz w:val="16"/>
              </w:rPr>
              <w:t>52.3</w:t>
            </w:r>
          </w:p>
        </w:tc>
        <w:tc>
          <w:tcPr>
            <w:tcW w:w="1457" w:type="dxa"/>
          </w:tcPr>
          <w:p w14:paraId="4EAFF0AC" w14:textId="77777777" w:rsidR="0072203F" w:rsidRPr="00C74EEF" w:rsidRDefault="0072203F" w:rsidP="00F71EF8">
            <w:pPr>
              <w:keepNext/>
              <w:keepLines/>
              <w:spacing w:before="60" w:after="60" w:line="240" w:lineRule="auto"/>
              <w:jc w:val="center"/>
              <w:rPr>
                <w:color w:val="auto"/>
                <w:sz w:val="16"/>
              </w:rPr>
            </w:pPr>
            <w:r w:rsidRPr="00C74EEF">
              <w:rPr>
                <w:color w:val="auto"/>
                <w:sz w:val="16"/>
              </w:rPr>
              <w:t>9.0%</w:t>
            </w:r>
          </w:p>
        </w:tc>
      </w:tr>
      <w:tr w:rsidR="0072203F" w:rsidRPr="0067498E" w14:paraId="7F443E21" w14:textId="77777777" w:rsidTr="00636615">
        <w:trPr>
          <w:trHeight w:val="103"/>
          <w:jc w:val="center"/>
        </w:trPr>
        <w:tc>
          <w:tcPr>
            <w:tcW w:w="4274" w:type="dxa"/>
            <w:shd w:val="clear" w:color="auto" w:fill="B2A1C7" w:themeFill="accent4" w:themeFillTint="99"/>
            <w:noWrap/>
          </w:tcPr>
          <w:p w14:paraId="718242D2" w14:textId="77777777" w:rsidR="0072203F" w:rsidRPr="00C74EEF" w:rsidRDefault="0072203F" w:rsidP="00F71EF8">
            <w:pPr>
              <w:keepNext/>
              <w:keepLines/>
              <w:spacing w:before="60" w:after="60" w:line="240" w:lineRule="auto"/>
              <w:rPr>
                <w:b/>
                <w:color w:val="auto"/>
                <w:sz w:val="16"/>
              </w:rPr>
            </w:pPr>
            <w:r w:rsidRPr="00C74EEF">
              <w:rPr>
                <w:b/>
                <w:color w:val="auto"/>
                <w:sz w:val="16"/>
              </w:rPr>
              <w:t>Other services</w:t>
            </w:r>
          </w:p>
        </w:tc>
        <w:tc>
          <w:tcPr>
            <w:tcW w:w="1520" w:type="dxa"/>
            <w:noWrap/>
          </w:tcPr>
          <w:p w14:paraId="2D4A605C" w14:textId="77777777" w:rsidR="0072203F" w:rsidRPr="00C74EEF" w:rsidRDefault="0072203F" w:rsidP="00F71EF8">
            <w:pPr>
              <w:keepNext/>
              <w:keepLines/>
              <w:spacing w:before="60" w:after="60" w:line="240" w:lineRule="auto"/>
              <w:jc w:val="center"/>
              <w:rPr>
                <w:color w:val="auto"/>
                <w:sz w:val="16"/>
              </w:rPr>
            </w:pPr>
            <w:r w:rsidRPr="00C74EEF">
              <w:rPr>
                <w:color w:val="auto"/>
                <w:sz w:val="16"/>
              </w:rPr>
              <w:t>50.8</w:t>
            </w:r>
          </w:p>
        </w:tc>
        <w:tc>
          <w:tcPr>
            <w:tcW w:w="1457" w:type="dxa"/>
          </w:tcPr>
          <w:p w14:paraId="195F7CD2" w14:textId="77777777" w:rsidR="0072203F" w:rsidRPr="00C74EEF" w:rsidRDefault="0072203F" w:rsidP="00F71EF8">
            <w:pPr>
              <w:keepNext/>
              <w:keepLines/>
              <w:spacing w:before="60" w:after="60" w:line="240" w:lineRule="auto"/>
              <w:jc w:val="center"/>
              <w:rPr>
                <w:color w:val="auto"/>
                <w:sz w:val="16"/>
              </w:rPr>
            </w:pPr>
            <w:r w:rsidRPr="00C74EEF">
              <w:rPr>
                <w:color w:val="auto"/>
                <w:sz w:val="16"/>
              </w:rPr>
              <w:t>8.8%</w:t>
            </w:r>
          </w:p>
        </w:tc>
      </w:tr>
      <w:tr w:rsidR="0072203F" w:rsidRPr="0067498E" w14:paraId="55A67DD7" w14:textId="77777777" w:rsidTr="00636615">
        <w:trPr>
          <w:trHeight w:val="180"/>
          <w:jc w:val="center"/>
        </w:trPr>
        <w:tc>
          <w:tcPr>
            <w:tcW w:w="4274" w:type="dxa"/>
            <w:shd w:val="clear" w:color="auto" w:fill="B2A1C7" w:themeFill="accent4" w:themeFillTint="99"/>
            <w:noWrap/>
          </w:tcPr>
          <w:p w14:paraId="781080E1" w14:textId="77777777" w:rsidR="0072203F" w:rsidRPr="00C74EEF" w:rsidRDefault="0072203F" w:rsidP="00F71EF8">
            <w:pPr>
              <w:keepNext/>
              <w:keepLines/>
              <w:spacing w:before="60" w:after="60" w:line="240" w:lineRule="auto"/>
              <w:rPr>
                <w:b/>
                <w:color w:val="auto"/>
                <w:sz w:val="16"/>
              </w:rPr>
            </w:pPr>
            <w:r w:rsidRPr="00C74EEF">
              <w:rPr>
                <w:b/>
                <w:color w:val="auto"/>
                <w:sz w:val="16"/>
              </w:rPr>
              <w:t>Retail trade</w:t>
            </w:r>
          </w:p>
        </w:tc>
        <w:tc>
          <w:tcPr>
            <w:tcW w:w="1520" w:type="dxa"/>
            <w:noWrap/>
          </w:tcPr>
          <w:p w14:paraId="2C2D328C" w14:textId="77777777" w:rsidR="0072203F" w:rsidRPr="00C74EEF" w:rsidRDefault="0072203F" w:rsidP="00F71EF8">
            <w:pPr>
              <w:keepNext/>
              <w:keepLines/>
              <w:spacing w:before="60" w:after="60" w:line="240" w:lineRule="auto"/>
              <w:jc w:val="center"/>
              <w:rPr>
                <w:color w:val="auto"/>
                <w:sz w:val="16"/>
              </w:rPr>
            </w:pPr>
            <w:r w:rsidRPr="00C74EEF">
              <w:rPr>
                <w:color w:val="auto"/>
                <w:sz w:val="16"/>
              </w:rPr>
              <w:t>48.2</w:t>
            </w:r>
          </w:p>
        </w:tc>
        <w:tc>
          <w:tcPr>
            <w:tcW w:w="1457" w:type="dxa"/>
          </w:tcPr>
          <w:p w14:paraId="5CF8F39C" w14:textId="77777777" w:rsidR="0072203F" w:rsidRPr="00C74EEF" w:rsidRDefault="0072203F" w:rsidP="00F71EF8">
            <w:pPr>
              <w:keepNext/>
              <w:keepLines/>
              <w:spacing w:before="60" w:after="60" w:line="240" w:lineRule="auto"/>
              <w:jc w:val="center"/>
              <w:rPr>
                <w:color w:val="auto"/>
                <w:sz w:val="16"/>
              </w:rPr>
            </w:pPr>
            <w:r w:rsidRPr="00C74EEF">
              <w:rPr>
                <w:color w:val="auto"/>
                <w:sz w:val="16"/>
              </w:rPr>
              <w:t>8.3%</w:t>
            </w:r>
          </w:p>
        </w:tc>
      </w:tr>
    </w:tbl>
    <w:p w14:paraId="6F367699" w14:textId="7D4F5E37" w:rsidR="009D5220" w:rsidRPr="009D5220" w:rsidRDefault="00062FCF" w:rsidP="00DD33F2">
      <w:pPr>
        <w:pStyle w:val="ListParagraph"/>
        <w:numPr>
          <w:ilvl w:val="1"/>
          <w:numId w:val="33"/>
        </w:numPr>
        <w:spacing w:before="240" w:line="360" w:lineRule="auto"/>
        <w:contextualSpacing w:val="0"/>
      </w:pPr>
      <w:r>
        <w:t>Where a debt arises, the</w:t>
      </w:r>
      <w:r w:rsidRPr="009D5220">
        <w:t xml:space="preserve"> </w:t>
      </w:r>
      <w:r w:rsidR="009D5220" w:rsidRPr="009D5220">
        <w:t xml:space="preserve">ATO’s focus is on making it as easy as possible for employers to pay or promptly address </w:t>
      </w:r>
      <w:r w:rsidR="00C36888">
        <w:t>the</w:t>
      </w:r>
      <w:r w:rsidR="009D5220" w:rsidRPr="009D5220">
        <w:t xml:space="preserve"> debt. </w:t>
      </w:r>
      <w:r>
        <w:t>It does this</w:t>
      </w:r>
      <w:r w:rsidR="009D5220" w:rsidRPr="009D5220">
        <w:t xml:space="preserve"> through use of SMS reminders, written communication and online payment options.</w:t>
      </w:r>
      <w:r w:rsidR="00C510E6">
        <w:t xml:space="preserve"> This support will be </w:t>
      </w:r>
      <w:r>
        <w:t xml:space="preserve">improved following </w:t>
      </w:r>
      <w:r w:rsidR="00C510E6">
        <w:t xml:space="preserve">the introduction of more frequent superannuation fund reporting </w:t>
      </w:r>
      <w:r w:rsidR="0072203F">
        <w:t xml:space="preserve">of contributions information </w:t>
      </w:r>
      <w:r w:rsidR="00C510E6">
        <w:t xml:space="preserve">and Single Touch Payroll as the ATO will have better data to determine support needs and </w:t>
      </w:r>
      <w:r w:rsidR="0072203F">
        <w:t>mechanisms</w:t>
      </w:r>
      <w:r w:rsidR="00C510E6">
        <w:t xml:space="preserve">. </w:t>
      </w:r>
      <w:r w:rsidR="004B7013">
        <w:t>T</w:t>
      </w:r>
      <w:r w:rsidR="00062B7C">
        <w:t>his may mean that the ATO can commence debt collection activities closer to when non</w:t>
      </w:r>
      <w:r w:rsidR="008B73CC">
        <w:noBreakHyphen/>
      </w:r>
      <w:r w:rsidR="00062B7C">
        <w:t>payment has occurred (mitigating, but not overcoming</w:t>
      </w:r>
      <w:r w:rsidR="00365529">
        <w:t>,</w:t>
      </w:r>
      <w:r w:rsidR="00062B7C">
        <w:t xml:space="preserve"> one of the challenges surrounding collection).</w:t>
      </w:r>
    </w:p>
    <w:p w14:paraId="1770AF17" w14:textId="68DE4C21" w:rsidR="009D5220" w:rsidRPr="009D5220" w:rsidRDefault="009D5220" w:rsidP="009D5220">
      <w:pPr>
        <w:pStyle w:val="ListParagraph"/>
        <w:numPr>
          <w:ilvl w:val="1"/>
          <w:numId w:val="33"/>
        </w:numPr>
        <w:spacing w:line="360" w:lineRule="auto"/>
        <w:contextualSpacing w:val="0"/>
      </w:pPr>
      <w:r w:rsidRPr="009D5220">
        <w:t>The ATO recognises that employers in viable well-run businesses may occasionally experience short</w:t>
      </w:r>
      <w:r w:rsidR="009F0048">
        <w:noBreakHyphen/>
      </w:r>
      <w:r w:rsidRPr="009D5220">
        <w:t>term cash flow issues. There are benefits in giving people a ‘hand up’ with payment arrangements tailored to their circumstances.</w:t>
      </w:r>
      <w:r w:rsidR="004002DE">
        <w:t xml:space="preserve"> In 2015</w:t>
      </w:r>
      <w:r w:rsidR="004002DE">
        <w:noBreakHyphen/>
        <w:t>16</w:t>
      </w:r>
      <w:r w:rsidR="009F0048">
        <w:t>,</w:t>
      </w:r>
      <w:r w:rsidR="004002DE">
        <w:t xml:space="preserve"> the ATO granted around 6,000</w:t>
      </w:r>
      <w:r w:rsidR="00115B12">
        <w:t xml:space="preserve"> </w:t>
      </w:r>
      <w:r w:rsidR="004002DE">
        <w:t>payment plans worth almost $250 million for superannuation guarantee charge debts.</w:t>
      </w:r>
    </w:p>
    <w:p w14:paraId="58F9C139" w14:textId="692FFB4A" w:rsidR="009D5220" w:rsidRPr="009D5220" w:rsidRDefault="00062FCF" w:rsidP="009D5220">
      <w:pPr>
        <w:pStyle w:val="ListParagraph"/>
        <w:numPr>
          <w:ilvl w:val="1"/>
          <w:numId w:val="33"/>
        </w:numPr>
        <w:spacing w:line="360" w:lineRule="auto"/>
        <w:contextualSpacing w:val="0"/>
      </w:pPr>
      <w:r>
        <w:t>For</w:t>
      </w:r>
      <w:r w:rsidR="009D5220" w:rsidRPr="009D5220">
        <w:t xml:space="preserve"> the minority of employers </w:t>
      </w:r>
      <w:r>
        <w:t>who</w:t>
      </w:r>
      <w:r w:rsidRPr="009D5220">
        <w:t xml:space="preserve"> </w:t>
      </w:r>
      <w:r w:rsidR="009D5220" w:rsidRPr="009D5220">
        <w:t xml:space="preserve">do not promptly </w:t>
      </w:r>
      <w:r>
        <w:t>address</w:t>
      </w:r>
      <w:r w:rsidRPr="009D5220">
        <w:t xml:space="preserve"> </w:t>
      </w:r>
      <w:r w:rsidR="009D5220" w:rsidRPr="009D5220">
        <w:t>their superannuation guarantee charge debts, the ATO can and does take stronger action to prevent them from gaining an unfair financial advantage over the majority who pay on time. These can include garnishees, director penalties and</w:t>
      </w:r>
      <w:r w:rsidR="009F0048">
        <w:t xml:space="preserve"> legal</w:t>
      </w:r>
      <w:r w:rsidR="009D5220" w:rsidRPr="009D5220">
        <w:t xml:space="preserve"> insolvency proceedings.</w:t>
      </w:r>
    </w:p>
    <w:p w14:paraId="00768692" w14:textId="77777777" w:rsidR="009D5220" w:rsidRPr="009D5220" w:rsidRDefault="009D5220" w:rsidP="009D5220">
      <w:pPr>
        <w:pStyle w:val="ListParagraph"/>
        <w:numPr>
          <w:ilvl w:val="1"/>
          <w:numId w:val="33"/>
        </w:numPr>
        <w:spacing w:line="360" w:lineRule="auto"/>
        <w:contextualSpacing w:val="0"/>
      </w:pPr>
      <w:r w:rsidRPr="009D5220">
        <w:t xml:space="preserve">There is often a considerable lag between when an employer fails to make a superannuation payment for </w:t>
      </w:r>
      <w:r w:rsidR="004716A4">
        <w:t>an</w:t>
      </w:r>
      <w:r w:rsidR="004716A4" w:rsidRPr="009D5220">
        <w:t xml:space="preserve"> </w:t>
      </w:r>
      <w:r w:rsidRPr="009D5220">
        <w:t>employee and when the ATO starts pursuing collection of the resulting superannuation guarantee charge debt.</w:t>
      </w:r>
      <w:r w:rsidR="00DC2CAD">
        <w:t xml:space="preserve"> </w:t>
      </w:r>
      <w:r w:rsidRPr="009D5220">
        <w:t>Factors that impact the ATO’s ability to collect debt generally include whether the entity holds net assets or is operating such that it continues to have a revenue stream.</w:t>
      </w:r>
    </w:p>
    <w:p w14:paraId="5E1540DD" w14:textId="44D6576E" w:rsidR="005649A5" w:rsidRDefault="005649A5" w:rsidP="009D5220">
      <w:pPr>
        <w:pStyle w:val="ListParagraph"/>
        <w:numPr>
          <w:ilvl w:val="1"/>
          <w:numId w:val="33"/>
        </w:numPr>
        <w:spacing w:line="360" w:lineRule="auto"/>
        <w:contextualSpacing w:val="0"/>
      </w:pPr>
      <w:r w:rsidRPr="004E4287">
        <w:t xml:space="preserve">Due to the lag, insolvency is a significant issue in the recovery of </w:t>
      </w:r>
      <w:r>
        <w:t>superannuation guarantee charge</w:t>
      </w:r>
      <w:r w:rsidRPr="004E4287">
        <w:t xml:space="preserve"> debt, with $113.2</w:t>
      </w:r>
      <w:r w:rsidR="00D81D9B">
        <w:t> </w:t>
      </w:r>
      <w:r w:rsidRPr="004E4287">
        <w:t>million irrecoverable at law in 2015</w:t>
      </w:r>
      <w:r w:rsidR="00D81D9B">
        <w:noBreakHyphen/>
      </w:r>
      <w:r w:rsidRPr="004E4287">
        <w:t>16.</w:t>
      </w:r>
    </w:p>
    <w:p w14:paraId="70665678" w14:textId="46570F54" w:rsidR="005649A5" w:rsidRDefault="005649A5" w:rsidP="009D5220">
      <w:pPr>
        <w:pStyle w:val="ListParagraph"/>
        <w:numPr>
          <w:ilvl w:val="1"/>
          <w:numId w:val="33"/>
        </w:numPr>
        <w:spacing w:line="360" w:lineRule="auto"/>
        <w:contextualSpacing w:val="0"/>
      </w:pPr>
      <w:r w:rsidRPr="004E4287">
        <w:t>For</w:t>
      </w:r>
      <w:r w:rsidR="00E15CDF">
        <w:t xml:space="preserve"> the</w:t>
      </w:r>
      <w:r w:rsidRPr="004E4287">
        <w:t xml:space="preserve"> </w:t>
      </w:r>
      <w:r>
        <w:t>superannuation guarantee charge</w:t>
      </w:r>
      <w:r w:rsidRPr="004E4287">
        <w:t xml:space="preserve"> at 30</w:t>
      </w:r>
      <w:r w:rsidR="00D81D9B">
        <w:t> </w:t>
      </w:r>
      <w:r w:rsidRPr="004E4287">
        <w:t>June 2016, insolvent debt represents 52</w:t>
      </w:r>
      <w:r>
        <w:t> per cent</w:t>
      </w:r>
      <w:r w:rsidRPr="004E4287">
        <w:t xml:space="preserve"> of the total </w:t>
      </w:r>
      <w:r>
        <w:t>superannuation guarantee charge</w:t>
      </w:r>
      <w:r w:rsidRPr="004E4287">
        <w:t xml:space="preserve"> debt</w:t>
      </w:r>
      <w:r w:rsidR="009F0048">
        <w:t>. This</w:t>
      </w:r>
      <w:r w:rsidRPr="004E4287">
        <w:t xml:space="preserve"> compare</w:t>
      </w:r>
      <w:r w:rsidR="009F0048">
        <w:t>s</w:t>
      </w:r>
      <w:r w:rsidRPr="004E4287">
        <w:t xml:space="preserve"> to 19</w:t>
      </w:r>
      <w:r>
        <w:t> per cent</w:t>
      </w:r>
      <w:r w:rsidRPr="004E4287">
        <w:t xml:space="preserve"> for all debt types.</w:t>
      </w:r>
    </w:p>
    <w:p w14:paraId="21102C63" w14:textId="77777777" w:rsidR="005649A5" w:rsidRDefault="005649A5" w:rsidP="009D5220">
      <w:pPr>
        <w:pStyle w:val="ListParagraph"/>
        <w:numPr>
          <w:ilvl w:val="1"/>
          <w:numId w:val="33"/>
        </w:numPr>
        <w:spacing w:line="360" w:lineRule="auto"/>
        <w:contextualSpacing w:val="0"/>
      </w:pPr>
      <w:r w:rsidRPr="004E4287">
        <w:t xml:space="preserve">Administrative improvements to the recovery of </w:t>
      </w:r>
      <w:r w:rsidR="00062B7C">
        <w:t>superannuation guarantee charge</w:t>
      </w:r>
      <w:r w:rsidRPr="004E4287">
        <w:t xml:space="preserve"> potentially could be achieved by improving the systems that support the issuing of </w:t>
      </w:r>
      <w:r w:rsidR="00E364B5">
        <w:t>D</w:t>
      </w:r>
      <w:r w:rsidR="00062B7C">
        <w:t xml:space="preserve">irector </w:t>
      </w:r>
      <w:r w:rsidR="00E364B5">
        <w:t>P</w:t>
      </w:r>
      <w:r w:rsidR="00062B7C">
        <w:t xml:space="preserve">enalty </w:t>
      </w:r>
      <w:r w:rsidR="00E364B5">
        <w:t>N</w:t>
      </w:r>
      <w:r w:rsidR="00062B7C">
        <w:t>otices</w:t>
      </w:r>
      <w:r>
        <w:t>.</w:t>
      </w:r>
    </w:p>
    <w:p w14:paraId="04838FEF" w14:textId="77777777" w:rsidR="005649A5" w:rsidRDefault="005649A5" w:rsidP="009D5220">
      <w:pPr>
        <w:pStyle w:val="ListParagraph"/>
        <w:numPr>
          <w:ilvl w:val="1"/>
          <w:numId w:val="33"/>
        </w:numPr>
        <w:spacing w:line="360" w:lineRule="auto"/>
        <w:contextualSpacing w:val="0"/>
      </w:pPr>
      <w:r>
        <w:t>I</w:t>
      </w:r>
      <w:r w:rsidRPr="004E4287">
        <w:t xml:space="preserve">t appears that a significant reduction in the amount of unpaid </w:t>
      </w:r>
      <w:r w:rsidR="00062B7C">
        <w:t>superannuation guarantee charge</w:t>
      </w:r>
      <w:r w:rsidR="00062B7C" w:rsidRPr="004E4287">
        <w:t xml:space="preserve"> </w:t>
      </w:r>
      <w:r w:rsidRPr="004E4287">
        <w:t xml:space="preserve">can be achieved </w:t>
      </w:r>
      <w:r w:rsidRPr="004E4287" w:rsidDel="004B7013">
        <w:t>by some improvements i</w:t>
      </w:r>
      <w:r w:rsidRPr="004E4287">
        <w:t>n the effectiveness of the Commissioner’s and insolvency practitioner recovery pow</w:t>
      </w:r>
      <w:r>
        <w:t>ers, or by the introduction</w:t>
      </w:r>
      <w:r w:rsidRPr="004E4287">
        <w:t xml:space="preserve"> </w:t>
      </w:r>
      <w:r>
        <w:t xml:space="preserve">of </w:t>
      </w:r>
      <w:r w:rsidRPr="004E4287">
        <w:t>measure</w:t>
      </w:r>
      <w:r>
        <w:t>s</w:t>
      </w:r>
      <w:r w:rsidRPr="004E4287">
        <w:t xml:space="preserve"> that would reduce the capacity </w:t>
      </w:r>
      <w:r>
        <w:t xml:space="preserve">or further increase the personal disincentives </w:t>
      </w:r>
      <w:r w:rsidRPr="004E4287">
        <w:t>for em</w:t>
      </w:r>
      <w:r>
        <w:t xml:space="preserve">ployers to incur </w:t>
      </w:r>
      <w:r w:rsidR="00062B7C">
        <w:t>superannuation guarantee charge</w:t>
      </w:r>
      <w:r>
        <w:t xml:space="preserve"> liabilities.</w:t>
      </w:r>
    </w:p>
    <w:p w14:paraId="46357F9E" w14:textId="77777777" w:rsidR="009D5220" w:rsidRPr="009D5220" w:rsidRDefault="009D5220" w:rsidP="009D5220">
      <w:pPr>
        <w:pStyle w:val="Heading3"/>
      </w:pPr>
      <w:r w:rsidRPr="009D5220">
        <w:t xml:space="preserve">Improving legislative mechanisms for collection </w:t>
      </w:r>
    </w:p>
    <w:p w14:paraId="0D6DA84B" w14:textId="77777777" w:rsidR="009D5220" w:rsidRPr="009D5220" w:rsidRDefault="009D5220" w:rsidP="009D5220">
      <w:pPr>
        <w:pStyle w:val="ListParagraph"/>
        <w:numPr>
          <w:ilvl w:val="1"/>
          <w:numId w:val="33"/>
        </w:numPr>
        <w:spacing w:line="360" w:lineRule="auto"/>
        <w:contextualSpacing w:val="0"/>
      </w:pPr>
      <w:r w:rsidRPr="009D5220">
        <w:t xml:space="preserve">Improving collection of superannuation guarantee charge liabilities is important to ensure the intent and integrity of the system. This can be particularly difficult for the ATO where insolvency and bankruptcy are prevalent. </w:t>
      </w:r>
    </w:p>
    <w:p w14:paraId="42DDFB32" w14:textId="77777777" w:rsidR="009D5220" w:rsidRPr="00E24300" w:rsidRDefault="009D5220" w:rsidP="009D5220">
      <w:pPr>
        <w:pStyle w:val="ListParagraph"/>
        <w:numPr>
          <w:ilvl w:val="1"/>
          <w:numId w:val="33"/>
        </w:numPr>
        <w:spacing w:line="360" w:lineRule="auto"/>
        <w:contextualSpacing w:val="0"/>
      </w:pPr>
      <w:r w:rsidRPr="002768E2">
        <w:t xml:space="preserve">The Working Group </w:t>
      </w:r>
      <w:r w:rsidR="00E24300">
        <w:t>commends the</w:t>
      </w:r>
      <w:r w:rsidRPr="002768E2">
        <w:t xml:space="preserve"> work </w:t>
      </w:r>
      <w:r w:rsidR="00E24300">
        <w:t xml:space="preserve">being undertaken </w:t>
      </w:r>
      <w:r w:rsidRPr="002768E2">
        <w:t xml:space="preserve">by the Phoenix Taskforce. Some of these proposals will have direct </w:t>
      </w:r>
      <w:r w:rsidR="00E02244">
        <w:t>benefits for</w:t>
      </w:r>
      <w:r w:rsidR="00E02244" w:rsidRPr="002768E2">
        <w:t xml:space="preserve"> </w:t>
      </w:r>
      <w:r w:rsidRPr="002768E2">
        <w:t>superannuation guarantee compliance and collection</w:t>
      </w:r>
      <w:r w:rsidRPr="00E24300">
        <w:t xml:space="preserve">. </w:t>
      </w:r>
    </w:p>
    <w:p w14:paraId="58FA7E9C" w14:textId="77777777" w:rsidR="00252B3F" w:rsidRDefault="00E02244" w:rsidP="009D5220">
      <w:pPr>
        <w:pStyle w:val="ListParagraph"/>
        <w:numPr>
          <w:ilvl w:val="1"/>
          <w:numId w:val="33"/>
        </w:numPr>
        <w:spacing w:line="360" w:lineRule="auto"/>
        <w:contextualSpacing w:val="0"/>
      </w:pPr>
      <w:r>
        <w:t>To avoid duplicating the work of the Ph</w:t>
      </w:r>
      <w:r w:rsidR="00252B3F">
        <w:t>oe</w:t>
      </w:r>
      <w:r>
        <w:t>nix Taskforce,</w:t>
      </w:r>
      <w:r w:rsidR="009D5220" w:rsidRPr="008E2C85">
        <w:t xml:space="preserve"> the Working Group has </w:t>
      </w:r>
      <w:r>
        <w:t>focused on two issues:</w:t>
      </w:r>
      <w:r w:rsidR="009D5220" w:rsidRPr="008E2C85">
        <w:t xml:space="preserve"> </w:t>
      </w:r>
      <w:r>
        <w:t xml:space="preserve">enhancements to the </w:t>
      </w:r>
      <w:r w:rsidR="009D5220" w:rsidRPr="008E2C85">
        <w:t xml:space="preserve">Director Penalty Notice </w:t>
      </w:r>
      <w:r>
        <w:t xml:space="preserve">regime </w:t>
      </w:r>
      <w:r w:rsidR="009D5220" w:rsidRPr="008E2C85">
        <w:t>and Security Bond Demand improvements.</w:t>
      </w:r>
    </w:p>
    <w:p w14:paraId="1CD81186" w14:textId="14F3F1D2" w:rsidR="009D5220" w:rsidRDefault="00252B3F" w:rsidP="009D5220">
      <w:pPr>
        <w:pStyle w:val="ListParagraph"/>
        <w:numPr>
          <w:ilvl w:val="1"/>
          <w:numId w:val="33"/>
        </w:numPr>
        <w:spacing w:line="360" w:lineRule="auto"/>
        <w:contextualSpacing w:val="0"/>
      </w:pPr>
      <w:r>
        <w:t xml:space="preserve">Some of the broader measures under consideration by the Phoenix Taskforce have the potential to improve collection of unpaid </w:t>
      </w:r>
      <w:r w:rsidR="00602B9D">
        <w:t>superannuation guarantee</w:t>
      </w:r>
      <w:bookmarkStart w:id="220" w:name="_Toc475629661"/>
      <w:bookmarkStart w:id="221" w:name="_Toc475629391"/>
      <w:bookmarkStart w:id="222" w:name="_Toc475965837"/>
      <w:bookmarkStart w:id="223" w:name="_Toc475971704"/>
      <w:bookmarkStart w:id="224" w:name="_Toc475975420"/>
      <w:bookmarkStart w:id="225" w:name="_Toc477866811"/>
      <w:bookmarkEnd w:id="220"/>
      <w:bookmarkEnd w:id="221"/>
      <w:bookmarkEnd w:id="222"/>
      <w:bookmarkEnd w:id="223"/>
      <w:bookmarkEnd w:id="224"/>
      <w:bookmarkEnd w:id="225"/>
      <w:r w:rsidR="00E24300">
        <w:t>:</w:t>
      </w:r>
    </w:p>
    <w:p w14:paraId="2824F5E8" w14:textId="6D90B2C5" w:rsidR="00E24300" w:rsidRPr="0017251D" w:rsidRDefault="009F0048" w:rsidP="0017251D">
      <w:pPr>
        <w:pStyle w:val="ListParagraph"/>
        <w:numPr>
          <w:ilvl w:val="0"/>
          <w:numId w:val="27"/>
        </w:numPr>
        <w:spacing w:line="360" w:lineRule="auto"/>
        <w:ind w:left="851" w:hanging="284"/>
        <w:contextualSpacing w:val="0"/>
      </w:pPr>
      <w:r>
        <w:t>d</w:t>
      </w:r>
      <w:r w:rsidR="00E24300">
        <w:t>irector Identification Numbers</w:t>
      </w:r>
      <w:r>
        <w:t>;</w:t>
      </w:r>
    </w:p>
    <w:p w14:paraId="2CFA8FE9" w14:textId="63271338" w:rsidR="00704AB9" w:rsidRDefault="009F0048" w:rsidP="00704AB9">
      <w:pPr>
        <w:pStyle w:val="ListParagraph"/>
        <w:numPr>
          <w:ilvl w:val="0"/>
          <w:numId w:val="27"/>
        </w:numPr>
        <w:spacing w:line="360" w:lineRule="auto"/>
        <w:ind w:left="851" w:hanging="284"/>
        <w:contextualSpacing w:val="0"/>
      </w:pPr>
      <w:r>
        <w:t>i</w:t>
      </w:r>
      <w:r w:rsidR="00704AB9" w:rsidRPr="00704AB9">
        <w:t>mproved director disqualification/qualification rules</w:t>
      </w:r>
      <w:r>
        <w:t>; and</w:t>
      </w:r>
    </w:p>
    <w:p w14:paraId="236FB430" w14:textId="6D193B82" w:rsidR="00704AB9" w:rsidRDefault="009F0048" w:rsidP="008E2C85">
      <w:pPr>
        <w:pStyle w:val="ListParagraph"/>
        <w:numPr>
          <w:ilvl w:val="0"/>
          <w:numId w:val="27"/>
        </w:numPr>
        <w:spacing w:line="360" w:lineRule="auto"/>
        <w:ind w:left="851" w:hanging="284"/>
        <w:contextualSpacing w:val="0"/>
      </w:pPr>
      <w:r>
        <w:t>g</w:t>
      </w:r>
      <w:r w:rsidR="00704AB9" w:rsidRPr="00704AB9">
        <w:t xml:space="preserve">rouping </w:t>
      </w:r>
      <w:r w:rsidR="00704AB9">
        <w:t xml:space="preserve">rules to apply to </w:t>
      </w:r>
      <w:r w:rsidR="00704AB9" w:rsidRPr="00704AB9">
        <w:t xml:space="preserve">debts </w:t>
      </w:r>
      <w:r w:rsidR="00704AB9">
        <w:t>(</w:t>
      </w:r>
      <w:r w:rsidR="00704AB9" w:rsidRPr="00704AB9">
        <w:t xml:space="preserve">to protect </w:t>
      </w:r>
      <w:r w:rsidR="00704AB9">
        <w:t>super</w:t>
      </w:r>
      <w:r w:rsidR="00C833C8">
        <w:t>annuation</w:t>
      </w:r>
      <w:r w:rsidR="00704AB9">
        <w:t xml:space="preserve"> g</w:t>
      </w:r>
      <w:r w:rsidR="00704AB9" w:rsidRPr="00704AB9">
        <w:t>uarantee and wider employee entitlements</w:t>
      </w:r>
      <w:r w:rsidR="00704AB9">
        <w:t>) by</w:t>
      </w:r>
      <w:r w:rsidR="00704AB9" w:rsidRPr="00704AB9">
        <w:t xml:space="preserve"> enabl</w:t>
      </w:r>
      <w:r w:rsidR="00704AB9">
        <w:t>ing</w:t>
      </w:r>
      <w:r w:rsidR="00704AB9" w:rsidRPr="00704AB9">
        <w:t xml:space="preserve"> collection from other arms of </w:t>
      </w:r>
      <w:r w:rsidR="00704AB9">
        <w:t>a</w:t>
      </w:r>
      <w:r w:rsidR="00704AB9" w:rsidRPr="00704AB9">
        <w:t xml:space="preserve"> business where the labour hire arm is continually liquidated.</w:t>
      </w:r>
    </w:p>
    <w:p w14:paraId="77EDA552" w14:textId="77777777" w:rsidR="00C91D44" w:rsidRDefault="00C91D44" w:rsidP="008E2C85">
      <w:pPr>
        <w:keepNext/>
        <w:rPr>
          <w:rFonts w:ascii="Calibri" w:eastAsia="Times New Roman" w:hAnsi="Calibri"/>
          <w:b/>
          <w:bCs/>
          <w:iCs/>
          <w:color w:val="15565F"/>
          <w:sz w:val="26"/>
        </w:rPr>
      </w:pPr>
    </w:p>
    <w:p w14:paraId="0F60676A" w14:textId="7C0CE734" w:rsidR="005F172D" w:rsidRPr="00C35AE8" w:rsidRDefault="005F172D" w:rsidP="008E2C85">
      <w:pPr>
        <w:keepNext/>
        <w:rPr>
          <w:color w:val="auto"/>
        </w:rPr>
      </w:pPr>
      <w:r w:rsidRPr="00505540">
        <w:rPr>
          <w:rFonts w:ascii="Calibri" w:eastAsia="Times New Roman" w:hAnsi="Calibri"/>
          <w:b/>
          <w:bCs/>
          <w:iCs/>
          <w:color w:val="15565F"/>
          <w:sz w:val="26"/>
        </w:rPr>
        <w:t xml:space="preserve">Enhancements to the Director Penalty </w:t>
      </w:r>
      <w:r w:rsidR="002B6181">
        <w:rPr>
          <w:rFonts w:ascii="Calibri" w:eastAsia="Times New Roman" w:hAnsi="Calibri"/>
          <w:b/>
          <w:bCs/>
          <w:iCs/>
          <w:color w:val="15565F"/>
          <w:sz w:val="26"/>
        </w:rPr>
        <w:t xml:space="preserve">Notice </w:t>
      </w:r>
      <w:r w:rsidR="009F0048">
        <w:rPr>
          <w:rFonts w:ascii="Calibri" w:eastAsia="Times New Roman" w:hAnsi="Calibri"/>
          <w:b/>
          <w:bCs/>
          <w:iCs/>
          <w:color w:val="15565F"/>
          <w:sz w:val="26"/>
        </w:rPr>
        <w:t>r</w:t>
      </w:r>
      <w:r w:rsidRPr="00505540">
        <w:rPr>
          <w:rFonts w:ascii="Calibri" w:eastAsia="Times New Roman" w:hAnsi="Calibri"/>
          <w:b/>
          <w:bCs/>
          <w:iCs/>
          <w:color w:val="15565F"/>
          <w:sz w:val="26"/>
        </w:rPr>
        <w:t xml:space="preserve">egime </w:t>
      </w:r>
    </w:p>
    <w:p w14:paraId="006BF60C" w14:textId="41AA1914" w:rsidR="005F172D" w:rsidRPr="008E2C85" w:rsidRDefault="00BB482E" w:rsidP="005F172D">
      <w:pPr>
        <w:pStyle w:val="ListParagraph"/>
        <w:numPr>
          <w:ilvl w:val="1"/>
          <w:numId w:val="33"/>
        </w:numPr>
        <w:spacing w:line="360" w:lineRule="auto"/>
        <w:contextualSpacing w:val="0"/>
      </w:pPr>
      <w:r>
        <w:t>The</w:t>
      </w:r>
      <w:r w:rsidR="005F172D" w:rsidRPr="008E2C85">
        <w:t xml:space="preserve"> Director Penalty Notice regime</w:t>
      </w:r>
      <w:r w:rsidR="009F0048">
        <w:t>,</w:t>
      </w:r>
      <w:r w:rsidR="005F172D" w:rsidRPr="008E2C85">
        <w:t xml:space="preserve"> </w:t>
      </w:r>
      <w:r w:rsidR="00252B3F">
        <w:t>introduced in 2012</w:t>
      </w:r>
      <w:r w:rsidR="009F0048">
        <w:t>,</w:t>
      </w:r>
      <w:r w:rsidR="00252B3F">
        <w:t xml:space="preserve"> </w:t>
      </w:r>
      <w:r w:rsidR="005F172D" w:rsidRPr="008E2C85">
        <w:t>has allowed the ATO</w:t>
      </w:r>
      <w:r w:rsidR="00252B3F">
        <w:t xml:space="preserve"> </w:t>
      </w:r>
      <w:r w:rsidR="005F172D" w:rsidRPr="008E2C85">
        <w:t>to hold directors personally liable for their company’s unpaid superannuation guarantee.</w:t>
      </w:r>
    </w:p>
    <w:p w14:paraId="48CAE81A" w14:textId="77777777" w:rsidR="00E15CDF" w:rsidRDefault="005F172D" w:rsidP="005F172D">
      <w:pPr>
        <w:pStyle w:val="ListParagraph"/>
        <w:numPr>
          <w:ilvl w:val="1"/>
          <w:numId w:val="33"/>
        </w:numPr>
        <w:spacing w:line="360" w:lineRule="auto"/>
        <w:contextualSpacing w:val="0"/>
      </w:pPr>
      <w:r w:rsidRPr="008E2C85">
        <w:t xml:space="preserve">However, the ATO is not entitled to pursue a director penalty related to the company’s unpaid superannuation guarantee charge liability until a </w:t>
      </w:r>
      <w:r w:rsidR="00E364B5">
        <w:t>D</w:t>
      </w:r>
      <w:r w:rsidRPr="008E2C85">
        <w:t xml:space="preserve">irector </w:t>
      </w:r>
      <w:r w:rsidR="00E364B5">
        <w:t>P</w:t>
      </w:r>
      <w:r w:rsidRPr="008E2C85">
        <w:t xml:space="preserve">enalty </w:t>
      </w:r>
      <w:r w:rsidR="00E364B5">
        <w:t>N</w:t>
      </w:r>
      <w:r w:rsidRPr="008E2C85">
        <w:t>otice conveying the amount of the penalty</w:t>
      </w:r>
      <w:r w:rsidR="00BB482E">
        <w:t xml:space="preserve"> </w:t>
      </w:r>
      <w:r w:rsidR="00BB482E" w:rsidRPr="008E2C85">
        <w:t xml:space="preserve">has </w:t>
      </w:r>
      <w:r w:rsidR="00BB482E">
        <w:t xml:space="preserve">been </w:t>
      </w:r>
      <w:r w:rsidR="00BB482E" w:rsidRPr="008E2C85">
        <w:t>issued</w:t>
      </w:r>
      <w:r w:rsidRPr="008E2C85">
        <w:t xml:space="preserve">. </w:t>
      </w:r>
    </w:p>
    <w:p w14:paraId="2B36FAB3" w14:textId="77777777" w:rsidR="005F172D" w:rsidRPr="008E2C85" w:rsidRDefault="00E15CDF" w:rsidP="005F172D">
      <w:pPr>
        <w:pStyle w:val="ListParagraph"/>
        <w:numPr>
          <w:ilvl w:val="1"/>
          <w:numId w:val="33"/>
        </w:numPr>
        <w:spacing w:line="360" w:lineRule="auto"/>
        <w:contextualSpacing w:val="0"/>
      </w:pPr>
      <w:r>
        <w:t>Experience has shown</w:t>
      </w:r>
      <w:r w:rsidR="00BB482E">
        <w:t xml:space="preserve"> that</w:t>
      </w:r>
      <w:r w:rsidR="005F172D" w:rsidRPr="008E2C85">
        <w:t xml:space="preserve"> the amount of the penalty </w:t>
      </w:r>
      <w:r w:rsidR="00BB482E">
        <w:t>will not be</w:t>
      </w:r>
      <w:r w:rsidR="00BB482E" w:rsidRPr="008E2C85">
        <w:t xml:space="preserve"> </w:t>
      </w:r>
      <w:r w:rsidR="005F172D" w:rsidRPr="008E2C85">
        <w:t>known to the ATO in circumstances where the company’s liability has not been reported or assessed.</w:t>
      </w:r>
    </w:p>
    <w:p w14:paraId="773C6E61" w14:textId="1B69531B" w:rsidR="005F172D" w:rsidRPr="008E2C85" w:rsidRDefault="005F172D" w:rsidP="005F172D">
      <w:pPr>
        <w:pStyle w:val="ListParagraph"/>
        <w:numPr>
          <w:ilvl w:val="1"/>
          <w:numId w:val="33"/>
        </w:numPr>
        <w:spacing w:line="360" w:lineRule="auto"/>
        <w:contextualSpacing w:val="0"/>
      </w:pPr>
      <w:r w:rsidRPr="008E2C85">
        <w:t>Although the ATO has the power to estimate the company’s unreported liability, this power does not facilitate recovery of the penalty owed by the directors. With a</w:t>
      </w:r>
      <w:r w:rsidR="002E3AA4">
        <w:t>n</w:t>
      </w:r>
      <w:r w:rsidRPr="008E2C85">
        <w:t xml:space="preserve"> amendment to the </w:t>
      </w:r>
      <w:r w:rsidR="002E3AA4">
        <w:t xml:space="preserve">law the ATO relies upon to </w:t>
      </w:r>
      <w:r w:rsidRPr="008E2C85">
        <w:t xml:space="preserve">estimate </w:t>
      </w:r>
      <w:r w:rsidR="002E3AA4">
        <w:t>a liability</w:t>
      </w:r>
      <w:r w:rsidRPr="008E2C85">
        <w:t xml:space="preserve">, the ATO would be able to estimate the director’s penalty to enable recovery of </w:t>
      </w:r>
      <w:r w:rsidR="00425BE0">
        <w:t xml:space="preserve">the </w:t>
      </w:r>
      <w:r w:rsidRPr="008E2C85">
        <w:t>employees’ superannuation</w:t>
      </w:r>
      <w:r w:rsidR="009F0048">
        <w:t xml:space="preserve"> guarantee</w:t>
      </w:r>
      <w:r w:rsidRPr="008E2C85">
        <w:t xml:space="preserve"> entitlements.</w:t>
      </w:r>
    </w:p>
    <w:p w14:paraId="646378C5" w14:textId="2C6F26E7" w:rsidR="00425BE0" w:rsidRDefault="005F172D" w:rsidP="005F172D">
      <w:pPr>
        <w:pStyle w:val="ListParagraph"/>
        <w:numPr>
          <w:ilvl w:val="1"/>
          <w:numId w:val="33"/>
        </w:numPr>
        <w:spacing w:line="360" w:lineRule="auto"/>
        <w:contextualSpacing w:val="0"/>
      </w:pPr>
      <w:r w:rsidRPr="008E2C85">
        <w:t xml:space="preserve">The </w:t>
      </w:r>
      <w:r w:rsidR="00D81D9B">
        <w:t>D</w:t>
      </w:r>
      <w:r w:rsidRPr="008E2C85">
        <w:t xml:space="preserve">irector </w:t>
      </w:r>
      <w:r w:rsidR="00D81D9B">
        <w:t>P</w:t>
      </w:r>
      <w:r w:rsidRPr="008E2C85">
        <w:t>enalty</w:t>
      </w:r>
      <w:r w:rsidR="00D81D9B">
        <w:t xml:space="preserve"> Notice</w:t>
      </w:r>
      <w:r w:rsidRPr="008E2C85">
        <w:t xml:space="preserve"> is less effective for the recovery of superannuation guarantee charge liabilities than it is for </w:t>
      </w:r>
      <w:r w:rsidRPr="00353C48">
        <w:t xml:space="preserve">PAYG </w:t>
      </w:r>
      <w:r w:rsidR="00732D06">
        <w:t>w</w:t>
      </w:r>
      <w:r w:rsidRPr="00353C48">
        <w:t>ithholding</w:t>
      </w:r>
      <w:r w:rsidRPr="008E2C85">
        <w:t xml:space="preserve"> liabilities</w:t>
      </w:r>
      <w:r w:rsidR="00425BE0">
        <w:t xml:space="preserve">. This is because of the </w:t>
      </w:r>
      <w:r w:rsidR="00E15CDF">
        <w:t>so</w:t>
      </w:r>
      <w:r w:rsidR="00E15CDF">
        <w:noBreakHyphen/>
        <w:t>called</w:t>
      </w:r>
      <w:r w:rsidR="00425BE0">
        <w:t xml:space="preserve"> </w:t>
      </w:r>
      <w:r w:rsidRPr="008E2C85">
        <w:t>‘lock-down’ rules, which prevent Director Penalty Notices from being applied to the most recent debt.</w:t>
      </w:r>
    </w:p>
    <w:p w14:paraId="571D0F3B" w14:textId="3F343187" w:rsidR="00E15CDF" w:rsidRDefault="005F172D" w:rsidP="005F172D">
      <w:pPr>
        <w:pStyle w:val="ListParagraph"/>
        <w:numPr>
          <w:ilvl w:val="1"/>
          <w:numId w:val="33"/>
        </w:numPr>
        <w:spacing w:line="360" w:lineRule="auto"/>
        <w:contextualSpacing w:val="0"/>
      </w:pPr>
      <w:r w:rsidRPr="00353C48">
        <w:t xml:space="preserve">PAYG </w:t>
      </w:r>
      <w:r w:rsidR="00732D06">
        <w:t>w</w:t>
      </w:r>
      <w:r w:rsidRPr="00353C48">
        <w:t>ithholding</w:t>
      </w:r>
      <w:r w:rsidRPr="008E2C85">
        <w:t xml:space="preserve"> liabilities are generally reported at least monthly, and with due dates 21</w:t>
      </w:r>
      <w:r w:rsidR="00D81D9B">
        <w:t> </w:t>
      </w:r>
      <w:r w:rsidRPr="008E2C85">
        <w:t xml:space="preserve">days (or less) after the end of the reporting period. </w:t>
      </w:r>
      <w:r w:rsidR="00563548">
        <w:t>By contrast</w:t>
      </w:r>
      <w:r w:rsidRPr="008E2C85">
        <w:t xml:space="preserve">, superannuation guarantee charge liabilities are reported quarterly, with due dates a full two months after the end of the reporting period. </w:t>
      </w:r>
    </w:p>
    <w:p w14:paraId="10DE3955" w14:textId="051B91A5" w:rsidR="005F172D" w:rsidRPr="008E2C85" w:rsidRDefault="005F172D" w:rsidP="005F172D">
      <w:pPr>
        <w:pStyle w:val="ListParagraph"/>
        <w:numPr>
          <w:ilvl w:val="1"/>
          <w:numId w:val="33"/>
        </w:numPr>
        <w:spacing w:line="360" w:lineRule="auto"/>
        <w:contextualSpacing w:val="0"/>
      </w:pPr>
      <w:r w:rsidRPr="008E2C85">
        <w:t xml:space="preserve">Directors </w:t>
      </w:r>
      <w:r w:rsidR="00E15CDF">
        <w:t>then</w:t>
      </w:r>
      <w:r w:rsidR="00E15CDF" w:rsidRPr="008E2C85">
        <w:t xml:space="preserve"> </w:t>
      </w:r>
      <w:r w:rsidRPr="008E2C85">
        <w:t xml:space="preserve">have another three months within which they can put the company into liquidation and </w:t>
      </w:r>
      <w:r w:rsidR="009F0048">
        <w:t>not have a</w:t>
      </w:r>
      <w:r w:rsidR="009F0048" w:rsidRPr="008E2C85">
        <w:t xml:space="preserve"> </w:t>
      </w:r>
      <w:r w:rsidRPr="008E2C85">
        <w:t>personal liability</w:t>
      </w:r>
      <w:r w:rsidR="00E15CDF">
        <w:t>,</w:t>
      </w:r>
      <w:r w:rsidRPr="008E2C85">
        <w:t xml:space="preserve"> unless the ATO has already issued a </w:t>
      </w:r>
      <w:r w:rsidR="00D81D9B">
        <w:t>Director Penalty Notice</w:t>
      </w:r>
      <w:r w:rsidRPr="008E2C85">
        <w:t>, in which case the director must liquidate the company within 21</w:t>
      </w:r>
      <w:r w:rsidR="00D81D9B">
        <w:t> </w:t>
      </w:r>
      <w:r w:rsidRPr="008E2C85">
        <w:t>days or the expiry of the three month period, whichever comes first. T</w:t>
      </w:r>
      <w:r w:rsidR="00E15CDF">
        <w:t>herefore</w:t>
      </w:r>
      <w:r w:rsidRPr="008E2C85">
        <w:t xml:space="preserve">, the liquidation of a non-reporting company will extinguish, at most, three months of PAYG </w:t>
      </w:r>
      <w:r w:rsidR="00732D06">
        <w:t>w</w:t>
      </w:r>
      <w:r w:rsidRPr="008E2C85">
        <w:t xml:space="preserve">ithholding liabilities, but as </w:t>
      </w:r>
      <w:r w:rsidR="00563548">
        <w:t>many</w:t>
      </w:r>
      <w:r w:rsidR="00563548" w:rsidRPr="008E2C85">
        <w:t xml:space="preserve"> </w:t>
      </w:r>
      <w:r w:rsidRPr="008E2C85">
        <w:t>as eight months of unpaid superannuation entitlements.</w:t>
      </w:r>
    </w:p>
    <w:p w14:paraId="384A1EC3" w14:textId="5682CE7D" w:rsidR="005F172D" w:rsidRPr="008E2C85" w:rsidRDefault="005F172D" w:rsidP="005F172D">
      <w:pPr>
        <w:pStyle w:val="ListParagraph"/>
        <w:numPr>
          <w:ilvl w:val="1"/>
          <w:numId w:val="33"/>
        </w:numPr>
        <w:spacing w:line="360" w:lineRule="auto"/>
        <w:contextualSpacing w:val="0"/>
      </w:pPr>
      <w:r w:rsidRPr="008E2C85">
        <w:t>T</w:t>
      </w:r>
      <w:r w:rsidR="00E15CDF">
        <w:t>he Working Group consider t</w:t>
      </w:r>
      <w:r w:rsidRPr="008E2C85">
        <w:t xml:space="preserve">his could be addressed by ‘locking down’ </w:t>
      </w:r>
      <w:r w:rsidR="00D81D9B">
        <w:t>D</w:t>
      </w:r>
      <w:r w:rsidRPr="008E2C85">
        <w:t xml:space="preserve">irector </w:t>
      </w:r>
      <w:r w:rsidR="00D81D9B">
        <w:t>P</w:t>
      </w:r>
      <w:r w:rsidRPr="008E2C85">
        <w:t>enalties related to superannuation guarantee charge as soon as they are incurred.</w:t>
      </w:r>
      <w:r w:rsidR="009F0048">
        <w:t xml:space="preserve"> The issue of a Director Penalty Notice would still be a prerequisite to the recovery of the penalty amount.</w:t>
      </w:r>
      <w:r w:rsidRPr="008E2C85">
        <w:t xml:space="preserve"> </w:t>
      </w:r>
      <w:r w:rsidR="003074D4">
        <w:t>T</w:t>
      </w:r>
      <w:r w:rsidRPr="008E2C85">
        <w:t>his would</w:t>
      </w:r>
      <w:r w:rsidR="00E15CDF">
        <w:t xml:space="preserve"> </w:t>
      </w:r>
      <w:r w:rsidRPr="008E2C85">
        <w:t xml:space="preserve">still be two months after </w:t>
      </w:r>
      <w:r w:rsidR="00E15CDF">
        <w:t>the</w:t>
      </w:r>
      <w:r w:rsidRPr="008E2C85">
        <w:t xml:space="preserve"> last superannuation obligation was incurred in that reporting period, and almost five months after the first obligation was incurred</w:t>
      </w:r>
      <w:r w:rsidR="009F0048">
        <w:t>, it</w:t>
      </w:r>
      <w:r w:rsidRPr="008E2C85">
        <w:t xml:space="preserve"> would reduce the amount of superannuation guarantee charge that is irrecoverable due to corporate insolvencies.</w:t>
      </w:r>
    </w:p>
    <w:p w14:paraId="0E8AF11D" w14:textId="77777777" w:rsidR="005F172D" w:rsidRPr="008E2C85" w:rsidRDefault="005F172D" w:rsidP="008E2C85">
      <w:pPr>
        <w:pStyle w:val="ListParagraph"/>
        <w:keepNext/>
        <w:numPr>
          <w:ilvl w:val="1"/>
          <w:numId w:val="33"/>
        </w:numPr>
        <w:ind w:left="0" w:firstLine="0"/>
        <w:contextualSpacing w:val="0"/>
      </w:pPr>
      <w:r w:rsidRPr="008E2C85">
        <w:t>Therefore, proposed enhancements include:</w:t>
      </w:r>
    </w:p>
    <w:p w14:paraId="0350A9F3" w14:textId="73386314" w:rsidR="005F172D" w:rsidRPr="008E2C85" w:rsidRDefault="009F0048" w:rsidP="008E2C85">
      <w:pPr>
        <w:pStyle w:val="ListParagraph"/>
        <w:numPr>
          <w:ilvl w:val="0"/>
          <w:numId w:val="27"/>
        </w:numPr>
        <w:spacing w:line="360" w:lineRule="auto"/>
        <w:ind w:left="851" w:hanging="284"/>
        <w:contextualSpacing w:val="0"/>
      </w:pPr>
      <w:r>
        <w:t>e</w:t>
      </w:r>
      <w:r w:rsidR="005F172D" w:rsidRPr="008E2C85">
        <w:t xml:space="preserve">xpanding the application of the estimates power to enable the Commissioner to estimate a </w:t>
      </w:r>
      <w:r w:rsidR="00D81D9B">
        <w:t>D</w:t>
      </w:r>
      <w:r w:rsidR="005F172D" w:rsidRPr="008E2C85">
        <w:t xml:space="preserve">irector’s </w:t>
      </w:r>
      <w:r w:rsidR="00D81D9B">
        <w:t>P</w:t>
      </w:r>
      <w:r w:rsidR="005F172D" w:rsidRPr="008E2C85">
        <w:t>enalty; and</w:t>
      </w:r>
    </w:p>
    <w:p w14:paraId="48947C89" w14:textId="553DF604" w:rsidR="005F172D" w:rsidRPr="008E2C85" w:rsidRDefault="009F0048" w:rsidP="008E2C85">
      <w:pPr>
        <w:pStyle w:val="ListParagraph"/>
        <w:numPr>
          <w:ilvl w:val="0"/>
          <w:numId w:val="27"/>
        </w:numPr>
        <w:spacing w:line="360" w:lineRule="auto"/>
        <w:ind w:left="851" w:hanging="284"/>
        <w:contextualSpacing w:val="0"/>
      </w:pPr>
      <w:r>
        <w:t>r</w:t>
      </w:r>
      <w:r w:rsidR="005F172D" w:rsidRPr="008E2C85">
        <w:t>emoving the three</w:t>
      </w:r>
      <w:r w:rsidR="00D81D9B">
        <w:noBreakHyphen/>
      </w:r>
      <w:r w:rsidR="005F172D" w:rsidRPr="008E2C85">
        <w:t xml:space="preserve">month delay before the lockdown measure applies in respect of superannuation guarantee charge </w:t>
      </w:r>
      <w:r w:rsidR="00D81D9B">
        <w:t>D</w:t>
      </w:r>
      <w:r w:rsidR="005F172D" w:rsidRPr="008E2C85">
        <w:t xml:space="preserve">irector </w:t>
      </w:r>
      <w:r w:rsidR="00D81D9B">
        <w:t>P</w:t>
      </w:r>
      <w:r w:rsidR="005F172D" w:rsidRPr="008E2C85">
        <w:t>enalties.</w:t>
      </w:r>
    </w:p>
    <w:p w14:paraId="037A6287" w14:textId="77777777" w:rsidR="00782A7D" w:rsidRPr="001D11FC" w:rsidRDefault="00782A7D" w:rsidP="008E2C85">
      <w:pPr>
        <w:keepNext/>
        <w:rPr>
          <w:rFonts w:ascii="Calibri" w:eastAsia="Times New Roman" w:hAnsi="Calibri"/>
          <w:b/>
          <w:bCs/>
          <w:iCs/>
          <w:color w:val="15565F"/>
          <w:sz w:val="26"/>
        </w:rPr>
      </w:pPr>
      <w:r>
        <w:rPr>
          <w:rFonts w:ascii="Calibri" w:eastAsia="Times New Roman" w:hAnsi="Calibri"/>
          <w:b/>
          <w:bCs/>
          <w:iCs/>
          <w:color w:val="15565F"/>
          <w:sz w:val="26"/>
        </w:rPr>
        <w:t>E</w:t>
      </w:r>
      <w:r w:rsidRPr="00E8601A">
        <w:rPr>
          <w:rFonts w:ascii="Calibri" w:eastAsia="Times New Roman" w:hAnsi="Calibri"/>
          <w:b/>
          <w:bCs/>
          <w:iCs/>
          <w:color w:val="15565F"/>
          <w:sz w:val="26"/>
        </w:rPr>
        <w:t>nhancements</w:t>
      </w:r>
      <w:r w:rsidRPr="001D11FC">
        <w:rPr>
          <w:rFonts w:ascii="Calibri" w:eastAsia="Times New Roman" w:hAnsi="Calibri"/>
          <w:b/>
          <w:bCs/>
          <w:iCs/>
          <w:color w:val="15565F"/>
          <w:sz w:val="26"/>
        </w:rPr>
        <w:t xml:space="preserve"> to the Security Bond Demand </w:t>
      </w:r>
    </w:p>
    <w:p w14:paraId="0922757E" w14:textId="77777777" w:rsidR="00782A7D" w:rsidRPr="008E2C85" w:rsidRDefault="00782A7D" w:rsidP="00782A7D">
      <w:pPr>
        <w:pStyle w:val="ListParagraph"/>
        <w:numPr>
          <w:ilvl w:val="1"/>
          <w:numId w:val="33"/>
        </w:numPr>
        <w:spacing w:line="360" w:lineRule="auto"/>
        <w:contextualSpacing w:val="0"/>
      </w:pPr>
      <w:r w:rsidRPr="008E2C85">
        <w:t>The Security Bond Demand power requires a taxpayer to provide a bond or security where the Commissioner perceives a superannuation guarantee charge liability is at risk of not being paid.</w:t>
      </w:r>
    </w:p>
    <w:p w14:paraId="0A0208D7" w14:textId="77777777" w:rsidR="00782A7D" w:rsidRPr="008E2C85" w:rsidRDefault="00782A7D" w:rsidP="00782A7D">
      <w:pPr>
        <w:pStyle w:val="ListParagraph"/>
        <w:numPr>
          <w:ilvl w:val="1"/>
          <w:numId w:val="33"/>
        </w:numPr>
        <w:spacing w:line="360" w:lineRule="auto"/>
        <w:contextualSpacing w:val="0"/>
      </w:pPr>
      <w:r w:rsidRPr="008E2C85">
        <w:t xml:space="preserve">However, compliance with the Security Bond Demand is very low due </w:t>
      </w:r>
      <w:r w:rsidR="00E15CDF">
        <w:t>mainly</w:t>
      </w:r>
      <w:r w:rsidRPr="008E2C85">
        <w:t xml:space="preserve"> to the relatively modest penalty the employer may face if prosecuted ($18,000 maximum) when compared with the quantum of the superannuation guarantee charge the ATO is seeking to secure</w:t>
      </w:r>
      <w:r w:rsidR="00E15CDF">
        <w:t xml:space="preserve">. At the same time any such </w:t>
      </w:r>
      <w:r w:rsidRPr="008E2C85">
        <w:t>fine would be extinguished in liquidation.</w:t>
      </w:r>
    </w:p>
    <w:p w14:paraId="0B19DE13" w14:textId="77777777" w:rsidR="00E15CDF" w:rsidRDefault="00E15CDF" w:rsidP="00782A7D">
      <w:pPr>
        <w:pStyle w:val="ListParagraph"/>
        <w:numPr>
          <w:ilvl w:val="1"/>
          <w:numId w:val="33"/>
        </w:numPr>
        <w:spacing w:line="360" w:lineRule="auto"/>
        <w:contextualSpacing w:val="0"/>
      </w:pPr>
      <w:r>
        <w:t>T</w:t>
      </w:r>
      <w:r w:rsidR="00782A7D" w:rsidRPr="008E2C85">
        <w:t xml:space="preserve">he effectiveness of the Security Bond Demand </w:t>
      </w:r>
      <w:r>
        <w:t>provisions is limited in that</w:t>
      </w:r>
      <w:r w:rsidR="00782A7D" w:rsidRPr="008E2C85">
        <w:t xml:space="preserve"> it can only be used where the recipient entity actually has the capacity to furnish security. </w:t>
      </w:r>
    </w:p>
    <w:p w14:paraId="7A693AB1" w14:textId="77777777" w:rsidR="004266CC" w:rsidRDefault="00E15CDF" w:rsidP="00782A7D">
      <w:pPr>
        <w:pStyle w:val="ListParagraph"/>
        <w:numPr>
          <w:ilvl w:val="1"/>
          <w:numId w:val="33"/>
        </w:numPr>
        <w:spacing w:line="360" w:lineRule="auto"/>
        <w:contextualSpacing w:val="0"/>
      </w:pPr>
      <w:r>
        <w:t>The ATO advises that i</w:t>
      </w:r>
      <w:r w:rsidR="00782A7D" w:rsidRPr="008E2C85">
        <w:t>t is a common practice for enterprises to include a separate employment entity which incurs the superannuation guarantee charge liabilities but which have no assets other than the cadre of employees.</w:t>
      </w:r>
    </w:p>
    <w:p w14:paraId="31FD968E" w14:textId="77777777" w:rsidR="00782A7D" w:rsidRPr="008E2C85" w:rsidRDefault="004266CC" w:rsidP="005E229D">
      <w:pPr>
        <w:pStyle w:val="ListParagraph"/>
        <w:numPr>
          <w:ilvl w:val="1"/>
          <w:numId w:val="33"/>
        </w:numPr>
        <w:spacing w:line="360" w:lineRule="auto"/>
        <w:contextualSpacing w:val="0"/>
      </w:pPr>
      <w:r>
        <w:t>The Working Group considers that the</w:t>
      </w:r>
      <w:r w:rsidR="00782A7D" w:rsidRPr="008E2C85">
        <w:t xml:space="preserve"> </w:t>
      </w:r>
      <w:r>
        <w:t>effectiveness</w:t>
      </w:r>
      <w:r w:rsidRPr="008E2C85">
        <w:t xml:space="preserve"> </w:t>
      </w:r>
      <w:r w:rsidR="00782A7D" w:rsidRPr="008E2C85">
        <w:t>of the Security Bond Demand power to secure payment of the corporate employer’s superannuation guarantee charge liability would be enhanced if it could be used in respect of assets owned by closely-related entities.</w:t>
      </w:r>
    </w:p>
    <w:p w14:paraId="6885A1F8" w14:textId="3666CB28" w:rsidR="00782A7D" w:rsidRPr="008E2C85" w:rsidRDefault="0061323A" w:rsidP="000A7219">
      <w:pPr>
        <w:pStyle w:val="ListParagraph"/>
        <w:numPr>
          <w:ilvl w:val="1"/>
          <w:numId w:val="33"/>
        </w:numPr>
        <w:spacing w:line="360" w:lineRule="auto"/>
        <w:contextualSpacing w:val="0"/>
      </w:pPr>
      <w:r>
        <w:t>It also considers that</w:t>
      </w:r>
      <w:r w:rsidR="000A7219">
        <w:t xml:space="preserve">, </w:t>
      </w:r>
      <w:r w:rsidR="000A7219" w:rsidRPr="000A7219">
        <w:t>where the Security Bond Demand is issued in respect of a ‘future tax-related liability’ (as is permissible under the existing legislation) the entity’s failure to comply with the Security Bond Demand should trigger an option for the Commissioner to use his statutory garnishee power as if that future tax-related liability were an existing tax-related liability. The amount recovered via the garnishee would be held as a bond that could later be applied against the unpaid liability or otherwise refunded to the taxpayer in the event that the anticipated liability is actually paid.</w:t>
      </w:r>
    </w:p>
    <w:p w14:paraId="69A3A5DF" w14:textId="4513EC1E" w:rsidR="00782A7D" w:rsidRPr="008E2C85" w:rsidRDefault="00700416" w:rsidP="008E2C85">
      <w:pPr>
        <w:pStyle w:val="ListParagraph"/>
        <w:keepNext/>
        <w:numPr>
          <w:ilvl w:val="1"/>
          <w:numId w:val="33"/>
        </w:numPr>
        <w:ind w:left="0" w:firstLine="0"/>
        <w:contextualSpacing w:val="0"/>
      </w:pPr>
      <w:r>
        <w:t xml:space="preserve">The Working Group </w:t>
      </w:r>
      <w:r w:rsidR="007F2600">
        <w:t>considers</w:t>
      </w:r>
      <w:r>
        <w:t xml:space="preserve"> p</w:t>
      </w:r>
      <w:r w:rsidR="00782A7D" w:rsidRPr="008E2C85">
        <w:t xml:space="preserve">roposed enhancements </w:t>
      </w:r>
      <w:r>
        <w:t>could include</w:t>
      </w:r>
      <w:r w:rsidR="00782A7D" w:rsidRPr="008E2C85">
        <w:t>:</w:t>
      </w:r>
    </w:p>
    <w:p w14:paraId="461F42BD" w14:textId="28560D9F" w:rsidR="00782A7D" w:rsidRPr="008E2C85" w:rsidRDefault="003074D4" w:rsidP="008E2C85">
      <w:pPr>
        <w:pStyle w:val="ListParagraph"/>
        <w:numPr>
          <w:ilvl w:val="0"/>
          <w:numId w:val="27"/>
        </w:numPr>
        <w:spacing w:line="360" w:lineRule="auto"/>
        <w:ind w:left="851" w:hanging="284"/>
        <w:contextualSpacing w:val="0"/>
      </w:pPr>
      <w:r>
        <w:t>t</w:t>
      </w:r>
      <w:r w:rsidR="00700416">
        <w:t>he i</w:t>
      </w:r>
      <w:r w:rsidR="00782A7D" w:rsidRPr="008E2C85">
        <w:t>ntroduction of a non-pecuniary penalty for non-compliance with a Security Bond Demand;</w:t>
      </w:r>
    </w:p>
    <w:p w14:paraId="385027A0" w14:textId="77777777" w:rsidR="00782A7D" w:rsidRPr="008E2C85" w:rsidRDefault="00700416" w:rsidP="008E2C85">
      <w:pPr>
        <w:pStyle w:val="ListParagraph"/>
        <w:numPr>
          <w:ilvl w:val="0"/>
          <w:numId w:val="27"/>
        </w:numPr>
        <w:spacing w:line="360" w:lineRule="auto"/>
        <w:ind w:left="851" w:hanging="284"/>
        <w:contextualSpacing w:val="0"/>
      </w:pPr>
      <w:r>
        <w:t>e</w:t>
      </w:r>
      <w:r w:rsidR="00782A7D" w:rsidRPr="008E2C85">
        <w:t>mpowering the Commissioner to make an application to the Court for compliance with the Security Bond Demand;</w:t>
      </w:r>
    </w:p>
    <w:p w14:paraId="760CEC3B" w14:textId="05D2BE45" w:rsidR="00782A7D" w:rsidRPr="008E2C85" w:rsidRDefault="00700416" w:rsidP="005E229D">
      <w:pPr>
        <w:pStyle w:val="ListParagraph"/>
        <w:numPr>
          <w:ilvl w:val="0"/>
          <w:numId w:val="27"/>
        </w:numPr>
        <w:spacing w:line="360" w:lineRule="auto"/>
        <w:ind w:left="851" w:hanging="284"/>
        <w:contextualSpacing w:val="0"/>
      </w:pPr>
      <w:r>
        <w:t>e</w:t>
      </w:r>
      <w:r w:rsidR="00782A7D" w:rsidRPr="008E2C85">
        <w:t>xtending the scope of the Security Bond Demand to assets held by closely-related entities where the corporate employer holds no assets;</w:t>
      </w:r>
      <w:r w:rsidR="009F0048">
        <w:t xml:space="preserve"> and</w:t>
      </w:r>
    </w:p>
    <w:p w14:paraId="68CF7BBB" w14:textId="38654FBC" w:rsidR="00782A7D" w:rsidRPr="006554A3" w:rsidRDefault="00700416" w:rsidP="005E229D">
      <w:pPr>
        <w:pStyle w:val="ListParagraph"/>
        <w:numPr>
          <w:ilvl w:val="0"/>
          <w:numId w:val="27"/>
        </w:numPr>
        <w:spacing w:line="360" w:lineRule="auto"/>
        <w:ind w:left="851" w:hanging="284"/>
        <w:contextualSpacing w:val="0"/>
        <w:rPr>
          <w:color w:val="auto"/>
        </w:rPr>
      </w:pPr>
      <w:r>
        <w:t>i</w:t>
      </w:r>
      <w:r w:rsidR="00782A7D" w:rsidRPr="008E2C85">
        <w:t>ncluding within the definition of a tax</w:t>
      </w:r>
      <w:r>
        <w:noBreakHyphen/>
      </w:r>
      <w:r w:rsidR="00782A7D" w:rsidRPr="008E2C85">
        <w:t xml:space="preserve">related liability the amount of the anticipated superannuation </w:t>
      </w:r>
      <w:r w:rsidR="00782A7D" w:rsidRPr="006554A3">
        <w:rPr>
          <w:color w:val="auto"/>
        </w:rPr>
        <w:t>guarantee charge liability which is the subject of the Security Bond Demand</w:t>
      </w:r>
      <w:r w:rsidR="009F0048">
        <w:rPr>
          <w:color w:val="auto"/>
        </w:rPr>
        <w:t xml:space="preserve"> which</w:t>
      </w:r>
      <w:r w:rsidR="00782A7D" w:rsidRPr="006554A3">
        <w:rPr>
          <w:color w:val="auto"/>
        </w:rPr>
        <w:t xml:space="preserve"> would enable the Commissioner to use his statutory garnishee power to acquire the bond.</w:t>
      </w:r>
    </w:p>
    <w:p w14:paraId="7ACAAF23" w14:textId="77777777" w:rsidR="00637E3C" w:rsidRDefault="00637E3C" w:rsidP="00637E3C">
      <w:pPr>
        <w:pStyle w:val="Heading2"/>
      </w:pPr>
      <w:bookmarkStart w:id="226" w:name="_Toc478651966"/>
      <w:bookmarkStart w:id="227" w:name="_Toc478654427"/>
      <w:bookmarkStart w:id="228" w:name="_Toc478655141"/>
      <w:bookmarkStart w:id="229" w:name="_Toc478656395"/>
      <w:bookmarkStart w:id="230" w:name="_Toc478657646"/>
      <w:bookmarkStart w:id="231" w:name="_Toc478718242"/>
      <w:bookmarkStart w:id="232" w:name="_Toc478718452"/>
      <w:bookmarkStart w:id="233" w:name="_Toc478738401"/>
      <w:bookmarkStart w:id="234" w:name="_Toc478740687"/>
      <w:bookmarkStart w:id="235" w:name="_Toc478485978"/>
      <w:bookmarkStart w:id="236" w:name="_Toc478501988"/>
      <w:r>
        <w:t>Other proposals not supported by the Working Group</w:t>
      </w:r>
      <w:bookmarkEnd w:id="226"/>
      <w:bookmarkEnd w:id="227"/>
      <w:bookmarkEnd w:id="228"/>
      <w:bookmarkEnd w:id="229"/>
      <w:bookmarkEnd w:id="230"/>
      <w:bookmarkEnd w:id="231"/>
      <w:bookmarkEnd w:id="232"/>
      <w:bookmarkEnd w:id="233"/>
      <w:bookmarkEnd w:id="234"/>
    </w:p>
    <w:bookmarkEnd w:id="235"/>
    <w:bookmarkEnd w:id="236"/>
    <w:p w14:paraId="4CADDBBB" w14:textId="3823FC46" w:rsidR="005E229D" w:rsidRDefault="00700416" w:rsidP="005E229D">
      <w:pPr>
        <w:pStyle w:val="ListParagraph"/>
        <w:numPr>
          <w:ilvl w:val="1"/>
          <w:numId w:val="33"/>
        </w:numPr>
        <w:spacing w:line="360" w:lineRule="auto"/>
        <w:contextualSpacing w:val="0"/>
      </w:pPr>
      <w:r>
        <w:t>T</w:t>
      </w:r>
      <w:r w:rsidR="005E229D">
        <w:t xml:space="preserve">hree </w:t>
      </w:r>
      <w:r w:rsidR="0095646F" w:rsidRPr="002768E2">
        <w:t xml:space="preserve">other </w:t>
      </w:r>
      <w:r w:rsidR="0061323A">
        <w:t xml:space="preserve">proposals </w:t>
      </w:r>
      <w:r>
        <w:t>have been raised</w:t>
      </w:r>
      <w:r w:rsidR="0061323A">
        <w:t xml:space="preserve"> </w:t>
      </w:r>
      <w:r w:rsidR="0095646F">
        <w:t>in submissions to the Senate</w:t>
      </w:r>
      <w:r w:rsidR="0095345D">
        <w:t xml:space="preserve"> </w:t>
      </w:r>
      <w:r w:rsidR="0095646F">
        <w:t>Committee that are</w:t>
      </w:r>
      <w:r w:rsidR="0095646F" w:rsidRPr="002768E2">
        <w:t xml:space="preserve"> relevant to collection </w:t>
      </w:r>
      <w:r w:rsidR="0061323A">
        <w:t>and debt recovery</w:t>
      </w:r>
      <w:r w:rsidR="0095646F" w:rsidRPr="002768E2">
        <w:t>.</w:t>
      </w:r>
      <w:r>
        <w:t xml:space="preserve"> Namely:</w:t>
      </w:r>
    </w:p>
    <w:p w14:paraId="44D3851A" w14:textId="77777777" w:rsidR="005E229D" w:rsidRDefault="00700416" w:rsidP="00131B30">
      <w:pPr>
        <w:pStyle w:val="ListParagraph"/>
        <w:numPr>
          <w:ilvl w:val="0"/>
          <w:numId w:val="55"/>
        </w:numPr>
        <w:spacing w:line="360" w:lineRule="auto"/>
        <w:ind w:left="850" w:hanging="357"/>
        <w:contextualSpacing w:val="0"/>
      </w:pPr>
      <w:r>
        <w:t>m</w:t>
      </w:r>
      <w:r w:rsidR="005E229D">
        <w:t>ore superannuation fund involvement</w:t>
      </w:r>
      <w:r w:rsidR="00602B9D">
        <w:t xml:space="preserve"> in</w:t>
      </w:r>
      <w:r w:rsidR="005E229D">
        <w:t xml:space="preserve"> the recovery of unpaid </w:t>
      </w:r>
      <w:r w:rsidR="00D81D9B">
        <w:t>superannuation guarantee</w:t>
      </w:r>
      <w:r w:rsidR="005E229D">
        <w:t>;</w:t>
      </w:r>
    </w:p>
    <w:p w14:paraId="01A60D11" w14:textId="77777777" w:rsidR="005E229D" w:rsidRDefault="00700416">
      <w:pPr>
        <w:pStyle w:val="ListParagraph"/>
        <w:numPr>
          <w:ilvl w:val="0"/>
          <w:numId w:val="55"/>
        </w:numPr>
        <w:spacing w:line="360" w:lineRule="auto"/>
        <w:ind w:left="850" w:hanging="357"/>
        <w:contextualSpacing w:val="0"/>
      </w:pPr>
      <w:r>
        <w:t>e</w:t>
      </w:r>
      <w:r w:rsidR="005E229D">
        <w:t xml:space="preserve">mpowering the </w:t>
      </w:r>
      <w:r w:rsidR="005E229D" w:rsidRPr="00353C48">
        <w:t>FWO</w:t>
      </w:r>
      <w:r w:rsidR="005E229D">
        <w:t xml:space="preserve"> to recover unpaid </w:t>
      </w:r>
      <w:r w:rsidR="00D81D9B">
        <w:t>superannuation guarantee</w:t>
      </w:r>
      <w:r w:rsidR="005E229D">
        <w:t>; and</w:t>
      </w:r>
    </w:p>
    <w:p w14:paraId="5A4FF7C0" w14:textId="77777777" w:rsidR="005E229D" w:rsidRDefault="00700416">
      <w:pPr>
        <w:pStyle w:val="ListParagraph"/>
        <w:numPr>
          <w:ilvl w:val="0"/>
          <w:numId w:val="55"/>
        </w:numPr>
        <w:spacing w:line="360" w:lineRule="auto"/>
        <w:ind w:left="850" w:hanging="357"/>
        <w:contextualSpacing w:val="0"/>
      </w:pPr>
      <w:r>
        <w:t>e</w:t>
      </w:r>
      <w:r w:rsidR="005E229D">
        <w:t>xpanding the Fair Entitlements Guarantee.</w:t>
      </w:r>
    </w:p>
    <w:p w14:paraId="48E071E5" w14:textId="77777777" w:rsidR="0095646F" w:rsidRPr="002768E2" w:rsidRDefault="0095646F" w:rsidP="0095646F">
      <w:pPr>
        <w:pStyle w:val="ListParagraph"/>
        <w:numPr>
          <w:ilvl w:val="1"/>
          <w:numId w:val="33"/>
        </w:numPr>
        <w:spacing w:line="360" w:lineRule="auto"/>
        <w:contextualSpacing w:val="0"/>
      </w:pPr>
      <w:r w:rsidRPr="002768E2">
        <w:t xml:space="preserve">The Working Group </w:t>
      </w:r>
      <w:r>
        <w:t xml:space="preserve">does not support these proposals but </w:t>
      </w:r>
      <w:r w:rsidR="006F5A73">
        <w:t xml:space="preserve">for completeness </w:t>
      </w:r>
      <w:r>
        <w:t>has addressed them below.</w:t>
      </w:r>
    </w:p>
    <w:p w14:paraId="657E27C5" w14:textId="77777777" w:rsidR="0095646F" w:rsidRPr="0095646F" w:rsidRDefault="002F1D27" w:rsidP="0095646F">
      <w:pPr>
        <w:pStyle w:val="Heading3"/>
      </w:pPr>
      <w:r>
        <w:t xml:space="preserve">Collection of the superannuation guarantee charge by funds </w:t>
      </w:r>
    </w:p>
    <w:p w14:paraId="33C898A5" w14:textId="0855549F" w:rsidR="0095646F" w:rsidRPr="0097164E" w:rsidRDefault="0095646F" w:rsidP="0095646F">
      <w:pPr>
        <w:pStyle w:val="ListParagraph"/>
        <w:numPr>
          <w:ilvl w:val="1"/>
          <w:numId w:val="33"/>
        </w:numPr>
        <w:spacing w:line="360" w:lineRule="auto"/>
        <w:contextualSpacing w:val="0"/>
      </w:pPr>
      <w:r w:rsidRPr="002768E2">
        <w:t>Some</w:t>
      </w:r>
      <w:r w:rsidRPr="0097164E">
        <w:t xml:space="preserve"> stakeholders have suggested that superannuation funds should </w:t>
      </w:r>
      <w:r w:rsidR="00F15606">
        <w:t>have</w:t>
      </w:r>
      <w:r w:rsidR="00F15606" w:rsidRPr="0097164E">
        <w:t xml:space="preserve"> </w:t>
      </w:r>
      <w:r w:rsidRPr="0097164E">
        <w:t xml:space="preserve">more </w:t>
      </w:r>
      <w:r w:rsidRPr="002768E2">
        <w:t>involvement in t</w:t>
      </w:r>
      <w:r w:rsidRPr="0097164E">
        <w:t xml:space="preserve">he </w:t>
      </w:r>
      <w:r w:rsidR="005E229D">
        <w:t>recovery</w:t>
      </w:r>
      <w:r w:rsidRPr="002768E2">
        <w:t xml:space="preserve"> </w:t>
      </w:r>
      <w:r w:rsidRPr="0097164E">
        <w:t>of unpaid superannuation guarantee.</w:t>
      </w:r>
      <w:r w:rsidR="009F0048" w:rsidRPr="009F0048">
        <w:rPr>
          <w:rStyle w:val="FootnoteReference"/>
          <w:sz w:val="16"/>
        </w:rPr>
        <w:t xml:space="preserve"> </w:t>
      </w:r>
      <w:r w:rsidR="009F0048" w:rsidRPr="00840039">
        <w:rPr>
          <w:rStyle w:val="FootnoteReference"/>
          <w:sz w:val="16"/>
        </w:rPr>
        <w:footnoteReference w:id="26"/>
      </w:r>
    </w:p>
    <w:p w14:paraId="3194B0E2" w14:textId="77777777" w:rsidR="00700416" w:rsidRDefault="00624F7A" w:rsidP="0095646F">
      <w:pPr>
        <w:pStyle w:val="ListParagraph"/>
        <w:numPr>
          <w:ilvl w:val="1"/>
          <w:numId w:val="33"/>
        </w:numPr>
        <w:spacing w:line="360" w:lineRule="auto"/>
        <w:contextualSpacing w:val="0"/>
      </w:pPr>
      <w:r>
        <w:t>The Working Group considers it would be problematic to m</w:t>
      </w:r>
      <w:r w:rsidR="0095646F" w:rsidRPr="00556E37">
        <w:t>andat</w:t>
      </w:r>
      <w:r>
        <w:t>e</w:t>
      </w:r>
      <w:r w:rsidR="0095646F" w:rsidRPr="00556E37">
        <w:t xml:space="preserve"> superannuation guarantee enforcement by superannuation funds</w:t>
      </w:r>
      <w:r>
        <w:t xml:space="preserve">. </w:t>
      </w:r>
    </w:p>
    <w:p w14:paraId="305297C2" w14:textId="5571515A" w:rsidR="00700416" w:rsidRDefault="00624F7A" w:rsidP="0095646F">
      <w:pPr>
        <w:pStyle w:val="ListParagraph"/>
        <w:numPr>
          <w:ilvl w:val="1"/>
          <w:numId w:val="33"/>
        </w:numPr>
        <w:spacing w:line="360" w:lineRule="auto"/>
        <w:contextualSpacing w:val="0"/>
      </w:pPr>
      <w:r>
        <w:t>S</w:t>
      </w:r>
      <w:r w:rsidR="002B6FE5" w:rsidRPr="00556E37">
        <w:t>uperannuation funds do not know their member</w:t>
      </w:r>
      <w:r>
        <w:t>s’</w:t>
      </w:r>
      <w:r w:rsidR="002B6FE5" w:rsidRPr="00556E37">
        <w:t xml:space="preserve"> ordinary time earnings</w:t>
      </w:r>
      <w:r>
        <w:t xml:space="preserve"> and</w:t>
      </w:r>
      <w:r w:rsidR="002B6FE5" w:rsidRPr="00556E37">
        <w:t xml:space="preserve"> they do not know whether or how much superannuation guarantee an employer should contribute. Without this information, </w:t>
      </w:r>
      <w:r w:rsidR="009F0048">
        <w:t xml:space="preserve">superannuation </w:t>
      </w:r>
      <w:r w:rsidR="002B6FE5" w:rsidRPr="00556E37">
        <w:t xml:space="preserve">funds’ attempts at collection of unpaid superannuation guarantee would be inefficient and </w:t>
      </w:r>
      <w:r>
        <w:t>prone</w:t>
      </w:r>
      <w:r w:rsidRPr="00556E37">
        <w:t xml:space="preserve"> </w:t>
      </w:r>
      <w:r>
        <w:t>to</w:t>
      </w:r>
      <w:r w:rsidRPr="00556E37">
        <w:t xml:space="preserve"> </w:t>
      </w:r>
      <w:r w:rsidR="002B6FE5" w:rsidRPr="00556E37">
        <w:t xml:space="preserve">error. </w:t>
      </w:r>
    </w:p>
    <w:p w14:paraId="6B94B628" w14:textId="77777777" w:rsidR="002B6FE5" w:rsidRDefault="00624F7A" w:rsidP="0095646F">
      <w:pPr>
        <w:pStyle w:val="ListParagraph"/>
        <w:numPr>
          <w:ilvl w:val="1"/>
          <w:numId w:val="33"/>
        </w:numPr>
        <w:spacing w:line="360" w:lineRule="auto"/>
        <w:contextualSpacing w:val="0"/>
      </w:pPr>
      <w:r>
        <w:t>R</w:t>
      </w:r>
      <w:r w:rsidR="002B6FE5" w:rsidRPr="00556E37">
        <w:t xml:space="preserve">equiring employers to provide this information </w:t>
      </w:r>
      <w:r>
        <w:t xml:space="preserve">to funds </w:t>
      </w:r>
      <w:r w:rsidR="002B6FE5" w:rsidRPr="00556E37">
        <w:t>would raise serious privacy concerns and increase the regulatory burden on employers.</w:t>
      </w:r>
    </w:p>
    <w:p w14:paraId="431CFDB7" w14:textId="77777777" w:rsidR="0095646F" w:rsidRDefault="00667203" w:rsidP="0095646F">
      <w:pPr>
        <w:pStyle w:val="ListParagraph"/>
        <w:numPr>
          <w:ilvl w:val="1"/>
          <w:numId w:val="33"/>
        </w:numPr>
        <w:spacing w:line="360" w:lineRule="auto"/>
        <w:contextualSpacing w:val="0"/>
      </w:pPr>
      <w:r>
        <w:t>Because</w:t>
      </w:r>
      <w:r w:rsidR="0095646F" w:rsidRPr="00556E37">
        <w:t xml:space="preserve"> the superannuation guarantee charge is a tax debt to the Commonwealth</w:t>
      </w:r>
      <w:r>
        <w:t>,</w:t>
      </w:r>
      <w:r w:rsidR="002B6FE5">
        <w:t xml:space="preserve"> it </w:t>
      </w:r>
      <w:r>
        <w:t>would be</w:t>
      </w:r>
      <w:r w:rsidR="002B6FE5">
        <w:t xml:space="preserve"> impractical for superannuation fund</w:t>
      </w:r>
      <w:r w:rsidR="004132A0">
        <w:t>s</w:t>
      </w:r>
      <w:r w:rsidR="002B6FE5">
        <w:t xml:space="preserve"> to pursue it</w:t>
      </w:r>
      <w:r w:rsidR="0095646F" w:rsidRPr="00556E37">
        <w:t>. This debt can only be pursued by the Commonwealth. Even if it were possible to change this architecture, it would represent a duplication of the ATO’s existing compliance activities.</w:t>
      </w:r>
    </w:p>
    <w:p w14:paraId="4A3E1F96" w14:textId="1A848808" w:rsidR="00700416" w:rsidRDefault="00667203" w:rsidP="00667203">
      <w:pPr>
        <w:pStyle w:val="ListParagraph"/>
        <w:numPr>
          <w:ilvl w:val="1"/>
          <w:numId w:val="33"/>
        </w:numPr>
        <w:spacing w:line="360" w:lineRule="auto"/>
        <w:contextualSpacing w:val="0"/>
      </w:pPr>
      <w:r>
        <w:t>S</w:t>
      </w:r>
      <w:r w:rsidR="0095646F">
        <w:t xml:space="preserve">uperannuation funds would face the ‘uneconomical-to-pursue’ dilemma even more frequently than the ATO, given that they do not enjoy the benefit of the Commissioner’s recovery tools, such as the </w:t>
      </w:r>
      <w:r w:rsidR="009F0048">
        <w:t>D</w:t>
      </w:r>
      <w:r w:rsidR="0095646F">
        <w:t xml:space="preserve">irector </w:t>
      </w:r>
      <w:r w:rsidR="009F0048">
        <w:t>P</w:t>
      </w:r>
      <w:r w:rsidR="0095646F">
        <w:t>enalty regime, statutory garnishees and compulsory information-gathering powers.</w:t>
      </w:r>
      <w:r>
        <w:t xml:space="preserve"> </w:t>
      </w:r>
    </w:p>
    <w:p w14:paraId="4C4E899E" w14:textId="08DF4EA7" w:rsidR="002B6FE5" w:rsidRPr="00556E37" w:rsidRDefault="002B6FE5" w:rsidP="00667203">
      <w:pPr>
        <w:pStyle w:val="ListParagraph"/>
        <w:numPr>
          <w:ilvl w:val="1"/>
          <w:numId w:val="33"/>
        </w:numPr>
        <w:spacing w:line="360" w:lineRule="auto"/>
        <w:contextualSpacing w:val="0"/>
      </w:pPr>
      <w:r w:rsidRPr="00556E37">
        <w:t>Furthermore, costs associated with</w:t>
      </w:r>
      <w:r w:rsidR="009F0048">
        <w:t xml:space="preserve"> superannuation</w:t>
      </w:r>
      <w:r w:rsidRPr="00556E37">
        <w:t xml:space="preserve"> funds undertaking compliance work would ultimately be distributed to all members in the form of increased fees.</w:t>
      </w:r>
    </w:p>
    <w:p w14:paraId="7C026137" w14:textId="77777777" w:rsidR="0095646F" w:rsidRPr="00556E37" w:rsidRDefault="0095646F" w:rsidP="0095646F">
      <w:pPr>
        <w:pStyle w:val="ListParagraph"/>
        <w:numPr>
          <w:ilvl w:val="1"/>
          <w:numId w:val="33"/>
        </w:numPr>
        <w:spacing w:line="360" w:lineRule="auto"/>
        <w:contextualSpacing w:val="0"/>
      </w:pPr>
      <w:r w:rsidRPr="00556E37">
        <w:t>Rather than enforcement, superannuation funds could use their observations of employer and employee behaviour (payments and engagement levels respectively) to build enhanced relationship management models, adopt ‘nudge’ strategies or make referrals to the ATO.</w:t>
      </w:r>
    </w:p>
    <w:p w14:paraId="02586DA0" w14:textId="77777777" w:rsidR="0095646F" w:rsidRPr="0095646F" w:rsidRDefault="0095646F" w:rsidP="0095646F">
      <w:pPr>
        <w:pStyle w:val="Heading3"/>
      </w:pPr>
      <w:r w:rsidRPr="0095646F">
        <w:t xml:space="preserve">Empowering the </w:t>
      </w:r>
      <w:r w:rsidR="00165EB7">
        <w:t>FWO</w:t>
      </w:r>
      <w:r w:rsidRPr="0095646F">
        <w:t xml:space="preserve"> to recover unpaid superannuation guarantee </w:t>
      </w:r>
    </w:p>
    <w:p w14:paraId="15724328" w14:textId="77777777" w:rsidR="0095646F" w:rsidRPr="00556E37" w:rsidRDefault="0095646F" w:rsidP="0095646F">
      <w:pPr>
        <w:pStyle w:val="ListParagraph"/>
        <w:numPr>
          <w:ilvl w:val="1"/>
          <w:numId w:val="33"/>
        </w:numPr>
        <w:spacing w:line="360" w:lineRule="auto"/>
        <w:contextualSpacing w:val="0"/>
      </w:pPr>
      <w:r w:rsidRPr="00556E37">
        <w:t xml:space="preserve">Some stakeholders have recommended empowering the </w:t>
      </w:r>
      <w:r w:rsidRPr="00353C48">
        <w:t>FWO</w:t>
      </w:r>
      <w:r w:rsidRPr="00556E37">
        <w:t xml:space="preserve"> to recover unpaid superannuation guarantee</w:t>
      </w:r>
      <w:r w:rsidR="005C240F">
        <w:t>.</w:t>
      </w:r>
      <w:r w:rsidRPr="00840039">
        <w:rPr>
          <w:rStyle w:val="FootnoteReference"/>
          <w:sz w:val="16"/>
        </w:rPr>
        <w:footnoteReference w:id="27"/>
      </w:r>
    </w:p>
    <w:p w14:paraId="5B871991" w14:textId="77777777" w:rsidR="0095646F" w:rsidRPr="00556E37" w:rsidRDefault="0095646F" w:rsidP="0095646F">
      <w:pPr>
        <w:pStyle w:val="ListParagraph"/>
        <w:numPr>
          <w:ilvl w:val="1"/>
          <w:numId w:val="33"/>
        </w:numPr>
        <w:spacing w:line="360" w:lineRule="auto"/>
        <w:contextualSpacing w:val="0"/>
      </w:pPr>
      <w:r w:rsidRPr="00556E37">
        <w:t>Currently, the FWO enforces superannuation related obligations in industrial instruments, such as modern awards and enterprise agreements. In practice, this means that the ATO enforces compliance by employers to contribute the 9.5</w:t>
      </w:r>
      <w:r w:rsidR="0062006E">
        <w:t> </w:t>
      </w:r>
      <w:r w:rsidRPr="00556E37">
        <w:t>per</w:t>
      </w:r>
      <w:r w:rsidR="0062006E">
        <w:t> </w:t>
      </w:r>
      <w:r w:rsidRPr="00556E37">
        <w:t>cent superannuation guarantee contribution under the superannuation laws, whereas the</w:t>
      </w:r>
      <w:r w:rsidRPr="002768E2">
        <w:t xml:space="preserve"> </w:t>
      </w:r>
      <w:r w:rsidRPr="00556E37">
        <w:t>FWO is responsible for making sure employers meet any higher superannuation guarantee contributions in an industrial instrument made under workplace laws.</w:t>
      </w:r>
    </w:p>
    <w:p w14:paraId="68ECBDD1" w14:textId="69635BF1" w:rsidR="0095646F" w:rsidRPr="00556E37" w:rsidRDefault="0095646F" w:rsidP="0095646F">
      <w:pPr>
        <w:pStyle w:val="ListParagraph"/>
        <w:numPr>
          <w:ilvl w:val="1"/>
          <w:numId w:val="33"/>
        </w:numPr>
        <w:spacing w:line="360" w:lineRule="auto"/>
        <w:contextualSpacing w:val="0"/>
      </w:pPr>
      <w:r w:rsidRPr="00556E37">
        <w:t xml:space="preserve">Complaints about superannuation payable under a modern award and enterprise agreement are </w:t>
      </w:r>
      <w:r w:rsidR="00700416">
        <w:t>less than one per cent</w:t>
      </w:r>
      <w:r w:rsidR="00700416">
        <w:rPr>
          <w:rStyle w:val="FootnoteReference"/>
        </w:rPr>
        <w:footnoteReference w:id="28"/>
      </w:r>
      <w:r w:rsidRPr="00556E37">
        <w:t xml:space="preserve"> of total superannuation complaints received by the Government</w:t>
      </w:r>
      <w:r w:rsidR="00685FCC">
        <w:t>.</w:t>
      </w:r>
      <w:r w:rsidR="00700416">
        <w:t xml:space="preserve"> </w:t>
      </w:r>
      <w:r w:rsidRPr="00556E37">
        <w:t>In most cases, employees who contact the FWO with concerns about superannuation payments are referred to the ATO for assistance.</w:t>
      </w:r>
    </w:p>
    <w:p w14:paraId="5D3AFB94" w14:textId="23CB1FDE" w:rsidR="0095646F" w:rsidRPr="00556E37" w:rsidRDefault="0095646F" w:rsidP="0095646F">
      <w:pPr>
        <w:pStyle w:val="ListParagraph"/>
        <w:numPr>
          <w:ilvl w:val="1"/>
          <w:numId w:val="33"/>
        </w:numPr>
        <w:spacing w:line="360" w:lineRule="auto"/>
        <w:contextualSpacing w:val="0"/>
      </w:pPr>
      <w:r w:rsidRPr="00556E37">
        <w:t xml:space="preserve">By empowering the FWO to recover unpaid superannuation guarantee, employees would be able to raise concerns </w:t>
      </w:r>
      <w:r w:rsidR="009F0048">
        <w:t>about</w:t>
      </w:r>
      <w:r w:rsidR="009F0048" w:rsidRPr="00556E37">
        <w:t xml:space="preserve"> </w:t>
      </w:r>
      <w:r w:rsidRPr="00556E37">
        <w:t>all unpaid work related entitlements via the same agency.</w:t>
      </w:r>
    </w:p>
    <w:p w14:paraId="3AD231E3" w14:textId="77777777" w:rsidR="0095646F" w:rsidRPr="00556E37" w:rsidRDefault="00700416" w:rsidP="0095646F">
      <w:pPr>
        <w:pStyle w:val="ListParagraph"/>
        <w:numPr>
          <w:ilvl w:val="1"/>
          <w:numId w:val="33"/>
        </w:numPr>
        <w:spacing w:line="360" w:lineRule="auto"/>
        <w:contextualSpacing w:val="0"/>
      </w:pPr>
      <w:r>
        <w:t>However, t</w:t>
      </w:r>
      <w:r w:rsidR="0095646F" w:rsidRPr="00556E37">
        <w:t>he FWO is not in receipt of sufficient information to be an effective enforcement agency for unpaid superannuation guarantee. The FWO does not have its own information on payments to an employee and therefore has limited ability to proactively monitor superannuation guarantee compliance.</w:t>
      </w:r>
      <w:r w:rsidR="00685FCC">
        <w:rPr>
          <w:rStyle w:val="FootnoteReference"/>
        </w:rPr>
        <w:footnoteReference w:id="29"/>
      </w:r>
    </w:p>
    <w:p w14:paraId="2CD09221" w14:textId="77777777" w:rsidR="0095646F" w:rsidRPr="00556E37" w:rsidRDefault="0095646F" w:rsidP="0095646F">
      <w:pPr>
        <w:pStyle w:val="ListParagraph"/>
        <w:numPr>
          <w:ilvl w:val="1"/>
          <w:numId w:val="33"/>
        </w:numPr>
        <w:spacing w:line="360" w:lineRule="auto"/>
        <w:contextualSpacing w:val="0"/>
      </w:pPr>
      <w:r w:rsidRPr="00556E37">
        <w:t>The FWO would require additional funding and access to information for any expanded superannuation compliance role.</w:t>
      </w:r>
    </w:p>
    <w:p w14:paraId="5882CC76" w14:textId="77777777" w:rsidR="0095646F" w:rsidRPr="00556E37" w:rsidRDefault="0095646F" w:rsidP="0095646F">
      <w:pPr>
        <w:pStyle w:val="ListParagraph"/>
        <w:numPr>
          <w:ilvl w:val="1"/>
          <w:numId w:val="33"/>
        </w:numPr>
        <w:spacing w:line="360" w:lineRule="auto"/>
        <w:contextualSpacing w:val="0"/>
      </w:pPr>
      <w:r w:rsidRPr="00882F60">
        <w:t>The Working Group considers that</w:t>
      </w:r>
      <w:r>
        <w:t xml:space="preserve"> it would be inefficient and counter</w:t>
      </w:r>
      <w:r w:rsidR="00292C12">
        <w:noBreakHyphen/>
      </w:r>
      <w:r>
        <w:t xml:space="preserve">productive if the </w:t>
      </w:r>
      <w:r w:rsidRPr="00556E37">
        <w:t xml:space="preserve">current roles and responsibilities of the ATO and FWO </w:t>
      </w:r>
      <w:r>
        <w:t xml:space="preserve">were disturbed </w:t>
      </w:r>
      <w:r w:rsidRPr="00556E37">
        <w:t>in respect of unpaid superannuation.</w:t>
      </w:r>
    </w:p>
    <w:p w14:paraId="2CEAA7DB" w14:textId="77777777" w:rsidR="0095646F" w:rsidRPr="0095646F" w:rsidRDefault="0095646F" w:rsidP="0095646F">
      <w:pPr>
        <w:pStyle w:val="Heading3"/>
      </w:pPr>
      <w:r w:rsidRPr="0095646F">
        <w:t>Expanding the Fair Entitlements Guarantee</w:t>
      </w:r>
    </w:p>
    <w:p w14:paraId="41363FFF" w14:textId="77777777" w:rsidR="0095646F" w:rsidRPr="00556E37" w:rsidRDefault="0095646F" w:rsidP="0095646F">
      <w:pPr>
        <w:pStyle w:val="ListParagraph"/>
        <w:numPr>
          <w:ilvl w:val="1"/>
          <w:numId w:val="33"/>
        </w:numPr>
        <w:spacing w:line="360" w:lineRule="auto"/>
        <w:contextualSpacing w:val="0"/>
      </w:pPr>
      <w:r w:rsidRPr="00556E37">
        <w:t>The Fair Entitlements Guarantee (FEG) is a safety net scheme providing assistance for certain categories of unpaid employment entitlements when employees lose their job through liquidation or bankruptcy of their employer. The intention of FEG is to protect accrued employment entitlements payable on redundancy that would otherwise be lost due to employer insolvency.</w:t>
      </w:r>
    </w:p>
    <w:p w14:paraId="5941DF65" w14:textId="77777777" w:rsidR="0095646F" w:rsidRPr="00556E37" w:rsidRDefault="0095646F" w:rsidP="0095646F">
      <w:pPr>
        <w:pStyle w:val="ListParagraph"/>
        <w:numPr>
          <w:ilvl w:val="1"/>
          <w:numId w:val="33"/>
        </w:numPr>
        <w:spacing w:line="360" w:lineRule="auto"/>
        <w:contextualSpacing w:val="0"/>
      </w:pPr>
      <w:r w:rsidRPr="00556E37">
        <w:t>The FEG could be extended to include superannuation contributions owing by the employer.</w:t>
      </w:r>
      <w:r w:rsidR="00CA180A" w:rsidRPr="002768E2">
        <w:rPr>
          <w:rStyle w:val="FootnoteReference"/>
          <w:sz w:val="16"/>
        </w:rPr>
        <w:footnoteReference w:id="30"/>
      </w:r>
    </w:p>
    <w:p w14:paraId="4F2403A7" w14:textId="77777777" w:rsidR="00700416" w:rsidRDefault="0095646F" w:rsidP="0095646F">
      <w:pPr>
        <w:pStyle w:val="ListParagraph"/>
        <w:numPr>
          <w:ilvl w:val="1"/>
          <w:numId w:val="33"/>
        </w:numPr>
        <w:spacing w:line="360" w:lineRule="auto"/>
        <w:contextualSpacing w:val="0"/>
      </w:pPr>
      <w:r w:rsidRPr="00556E37">
        <w:t xml:space="preserve">Unpaid employer superannuation guarantee contribution amounts owed by an insolvent employer to employees are not currently covered under FEG, nor have they been covered under any of the predecessor schemes to FEG </w:t>
      </w:r>
      <w:r w:rsidR="00382289">
        <w:t>in existence</w:t>
      </w:r>
      <w:r w:rsidRPr="00556E37">
        <w:t xml:space="preserve"> since 2000</w:t>
      </w:r>
      <w:r w:rsidR="00CA180A">
        <w:t>.</w:t>
      </w:r>
      <w:r w:rsidRPr="002768E2">
        <w:rPr>
          <w:rStyle w:val="FootnoteReference"/>
          <w:sz w:val="16"/>
        </w:rPr>
        <w:footnoteReference w:id="31"/>
      </w:r>
      <w:r w:rsidRPr="00556E37">
        <w:t xml:space="preserve"> </w:t>
      </w:r>
    </w:p>
    <w:p w14:paraId="33ACEEF7" w14:textId="77777777" w:rsidR="0095646F" w:rsidRPr="00556E37" w:rsidRDefault="0095646F" w:rsidP="0095646F">
      <w:pPr>
        <w:pStyle w:val="ListParagraph"/>
        <w:numPr>
          <w:ilvl w:val="1"/>
          <w:numId w:val="33"/>
        </w:numPr>
        <w:spacing w:line="360" w:lineRule="auto"/>
        <w:contextualSpacing w:val="0"/>
      </w:pPr>
      <w:r w:rsidRPr="00556E37">
        <w:t>Unpaid employer superannuation guarantee contributions differ from the other categories of entitlements covered under FEG because they are intended to provide for retirement. As such, employer superannuation guarantee contributions are not immediately payable to the employee upon the loss of a job due to the insolvency of an employer.</w:t>
      </w:r>
    </w:p>
    <w:p w14:paraId="0C5856A5" w14:textId="77777777" w:rsidR="00902B29" w:rsidRDefault="0095646F" w:rsidP="00902B29">
      <w:pPr>
        <w:pStyle w:val="ListParagraph"/>
        <w:numPr>
          <w:ilvl w:val="1"/>
          <w:numId w:val="33"/>
        </w:numPr>
        <w:spacing w:line="360" w:lineRule="auto"/>
        <w:contextualSpacing w:val="0"/>
      </w:pPr>
      <w:r w:rsidRPr="00556E37">
        <w:t>Expanding FEG to include superannuation guarantee contributions would ensure employees’ retirement savings are not improperly diminished in circumstances when their employer goes into liquidation without having met its obligations</w:t>
      </w:r>
      <w:r w:rsidR="004A21EF">
        <w:t xml:space="preserve"> (as the unpaid entitlement would be met by Government in the event of the employer’s insolvency)</w:t>
      </w:r>
      <w:r w:rsidR="004A21EF" w:rsidRPr="00556E37">
        <w:t>. It may also increase the risk of businesses trading while insolvent.</w:t>
      </w:r>
    </w:p>
    <w:p w14:paraId="3400B469" w14:textId="77777777" w:rsidR="0095646F" w:rsidRPr="00556E37" w:rsidRDefault="00D07814" w:rsidP="005530E9">
      <w:pPr>
        <w:pStyle w:val="ListParagraph"/>
        <w:keepNext/>
        <w:numPr>
          <w:ilvl w:val="1"/>
          <w:numId w:val="33"/>
        </w:numPr>
        <w:spacing w:line="360" w:lineRule="auto"/>
        <w:contextualSpacing w:val="0"/>
      </w:pPr>
      <w:r>
        <w:t>E</w:t>
      </w:r>
      <w:r w:rsidR="0095646F" w:rsidRPr="00556E37">
        <w:t>xpanding the FEG would come at significant cost</w:t>
      </w:r>
      <w:r w:rsidR="0095646F">
        <w:t xml:space="preserve"> to government</w:t>
      </w:r>
      <w:r w:rsidR="0095646F" w:rsidRPr="00556E37">
        <w:t xml:space="preserve">. </w:t>
      </w:r>
    </w:p>
    <w:p w14:paraId="1A15EA07" w14:textId="22E604FB" w:rsidR="0095646F" w:rsidRPr="00D07814" w:rsidRDefault="00A16A2F" w:rsidP="00D07814">
      <w:pPr>
        <w:pStyle w:val="ListParagraph"/>
        <w:numPr>
          <w:ilvl w:val="0"/>
          <w:numId w:val="27"/>
        </w:numPr>
        <w:spacing w:line="360" w:lineRule="auto"/>
        <w:ind w:left="851" w:hanging="284"/>
        <w:contextualSpacing w:val="0"/>
        <w:rPr>
          <w:color w:val="auto"/>
        </w:rPr>
      </w:pPr>
      <w:r>
        <w:rPr>
          <w:color w:val="auto"/>
        </w:rPr>
        <w:t>m</w:t>
      </w:r>
      <w:r w:rsidR="0095646F" w:rsidRPr="00D07814">
        <w:rPr>
          <w:color w:val="auto"/>
        </w:rPr>
        <w:t>odelling by the Department of Employment in collaboration with Treasury and the ATO shows that the cost of the scheme would increase by up to $801.2</w:t>
      </w:r>
      <w:r w:rsidR="00D07814" w:rsidRPr="00D07814">
        <w:rPr>
          <w:color w:val="auto"/>
        </w:rPr>
        <w:t> </w:t>
      </w:r>
      <w:r w:rsidR="0095646F" w:rsidRPr="00D07814">
        <w:rPr>
          <w:color w:val="auto"/>
        </w:rPr>
        <w:t xml:space="preserve">million over the forward estimates </w:t>
      </w:r>
      <w:r w:rsidR="00D07814" w:rsidRPr="00D07814">
        <w:rPr>
          <w:color w:val="auto"/>
        </w:rPr>
        <w:t>depending on parameters</w:t>
      </w:r>
      <w:r w:rsidR="0095646F" w:rsidRPr="00D07814">
        <w:rPr>
          <w:color w:val="auto"/>
        </w:rPr>
        <w:t xml:space="preserve">. </w:t>
      </w:r>
      <w:r w:rsidR="00D07814" w:rsidRPr="00D07814">
        <w:rPr>
          <w:color w:val="auto"/>
        </w:rPr>
        <w:t xml:space="preserve">However, </w:t>
      </w:r>
      <w:r w:rsidR="00D07814">
        <w:rPr>
          <w:color w:val="auto"/>
        </w:rPr>
        <w:t>any reforms that</w:t>
      </w:r>
      <w:r w:rsidR="0095646F" w:rsidRPr="00D07814">
        <w:rPr>
          <w:color w:val="auto"/>
        </w:rPr>
        <w:t xml:space="preserve"> enabl</w:t>
      </w:r>
      <w:r w:rsidR="00D07814">
        <w:rPr>
          <w:color w:val="auto"/>
        </w:rPr>
        <w:t>ed the ATO</w:t>
      </w:r>
      <w:r w:rsidR="0095646F" w:rsidRPr="00D07814">
        <w:rPr>
          <w:color w:val="auto"/>
        </w:rPr>
        <w:t xml:space="preserve"> to intervene early with any superannuation guarantee underpayments </w:t>
      </w:r>
      <w:r w:rsidR="00D07814">
        <w:rPr>
          <w:color w:val="auto"/>
        </w:rPr>
        <w:t xml:space="preserve">would </w:t>
      </w:r>
      <w:r w:rsidR="0095646F" w:rsidRPr="00D07814">
        <w:rPr>
          <w:color w:val="auto"/>
        </w:rPr>
        <w:t>reduc</w:t>
      </w:r>
      <w:r w:rsidR="00D07814">
        <w:rPr>
          <w:color w:val="auto"/>
        </w:rPr>
        <w:t>e</w:t>
      </w:r>
      <w:r w:rsidR="0095646F" w:rsidRPr="00D07814">
        <w:rPr>
          <w:color w:val="auto"/>
        </w:rPr>
        <w:t xml:space="preserve"> the need for FEG claims</w:t>
      </w:r>
      <w:r w:rsidR="00D07814">
        <w:rPr>
          <w:color w:val="auto"/>
        </w:rPr>
        <w:t xml:space="preserve"> and therefore the cost</w:t>
      </w:r>
      <w:r w:rsidR="0095646F" w:rsidRPr="00D07814">
        <w:rPr>
          <w:color w:val="auto"/>
        </w:rPr>
        <w:t xml:space="preserve">. </w:t>
      </w:r>
    </w:p>
    <w:p w14:paraId="55BFC5C4" w14:textId="77777777" w:rsidR="0095646F" w:rsidRDefault="0095646F" w:rsidP="0095646F">
      <w:pPr>
        <w:pStyle w:val="ListParagraph"/>
        <w:numPr>
          <w:ilvl w:val="1"/>
          <w:numId w:val="33"/>
        </w:numPr>
        <w:spacing w:line="360" w:lineRule="auto"/>
        <w:contextualSpacing w:val="0"/>
      </w:pPr>
      <w:r w:rsidRPr="00556E37">
        <w:t>Extending FEG to include superannuation guarantee may also increase the complexity of administration</w:t>
      </w:r>
      <w:r w:rsidR="00CA180A">
        <w:t>.</w:t>
      </w:r>
      <w:r>
        <w:rPr>
          <w:rStyle w:val="FootnoteReference"/>
        </w:rPr>
        <w:footnoteReference w:id="32"/>
      </w:r>
    </w:p>
    <w:p w14:paraId="3912C506" w14:textId="77777777" w:rsidR="0095646F" w:rsidRPr="00556E37" w:rsidRDefault="0095646F" w:rsidP="0095646F">
      <w:pPr>
        <w:pStyle w:val="ListParagraph"/>
        <w:numPr>
          <w:ilvl w:val="1"/>
          <w:numId w:val="33"/>
        </w:numPr>
        <w:spacing w:line="360" w:lineRule="auto"/>
        <w:contextualSpacing w:val="0"/>
      </w:pPr>
      <w:r>
        <w:t xml:space="preserve">For these reasons the Working Group consider that extending the FEG would not be advisable, and that proposals to improve employer compliance with, and collection of, their superannuation guarantee obligations would be preferable. </w:t>
      </w:r>
    </w:p>
    <w:p w14:paraId="201D4256" w14:textId="77777777" w:rsidR="0043164F" w:rsidRPr="00556E37" w:rsidRDefault="0043164F" w:rsidP="0043164F">
      <w:pPr>
        <w:spacing w:line="360" w:lineRule="auto"/>
      </w:pPr>
      <w:bookmarkStart w:id="237" w:name="_Toc478485979"/>
      <w:bookmarkStart w:id="238" w:name="_Toc478501989"/>
      <w:bookmarkStart w:id="239" w:name="_Toc478651967"/>
      <w:bookmarkStart w:id="240" w:name="_Toc478654428"/>
      <w:bookmarkStart w:id="241" w:name="_Toc478655142"/>
      <w:bookmarkStart w:id="242" w:name="_Toc478656396"/>
      <w:bookmarkStart w:id="243" w:name="_Toc478657647"/>
      <w:bookmarkStart w:id="244" w:name="_Toc478718243"/>
      <w:bookmarkStart w:id="245" w:name="_Toc478718453"/>
      <w:bookmarkStart w:id="246" w:name="_Toc478485986"/>
      <w:bookmarkStart w:id="247" w:name="_Toc478501996"/>
    </w:p>
    <w:p w14:paraId="129F83FC" w14:textId="77777777" w:rsidR="009F0048" w:rsidRDefault="009F0048">
      <w:r>
        <w:rPr>
          <w:bCs/>
        </w:rPr>
        <w:br w:type="page"/>
      </w:r>
    </w:p>
    <w:p w14:paraId="1D8697D7" w14:textId="29D6058C" w:rsidR="0021281C" w:rsidRDefault="004E41A0" w:rsidP="00224B95">
      <w:pPr>
        <w:pStyle w:val="Heading1"/>
        <w:framePr w:wrap="notBeside"/>
        <w:spacing w:before="0"/>
      </w:pPr>
      <w:bookmarkStart w:id="248" w:name="_Toc478738402"/>
      <w:bookmarkStart w:id="249" w:name="_Toc478740688"/>
      <w:r>
        <w:t xml:space="preserve">5. </w:t>
      </w:r>
      <w:r w:rsidR="0021281C">
        <w:t xml:space="preserve">Ensuring the system is fit for purpose and </w:t>
      </w:r>
      <w:r w:rsidR="00920C7C">
        <w:t xml:space="preserve">builds </w:t>
      </w:r>
      <w:r w:rsidR="0021281C">
        <w:t>community confidence</w:t>
      </w:r>
      <w:bookmarkEnd w:id="237"/>
      <w:bookmarkEnd w:id="238"/>
      <w:bookmarkEnd w:id="239"/>
      <w:bookmarkEnd w:id="240"/>
      <w:bookmarkEnd w:id="241"/>
      <w:bookmarkEnd w:id="242"/>
      <w:bookmarkEnd w:id="243"/>
      <w:bookmarkEnd w:id="244"/>
      <w:bookmarkEnd w:id="245"/>
      <w:bookmarkEnd w:id="248"/>
      <w:bookmarkEnd w:id="249"/>
    </w:p>
    <w:p w14:paraId="4F7BC83B" w14:textId="77777777" w:rsidR="0021281C" w:rsidRDefault="0021281C" w:rsidP="0021281C">
      <w:pPr>
        <w:pStyle w:val="Heading2"/>
      </w:pPr>
      <w:bookmarkStart w:id="250" w:name="_Toc478485980"/>
      <w:bookmarkStart w:id="251" w:name="_Toc478501990"/>
      <w:bookmarkStart w:id="252" w:name="_Toc478651968"/>
      <w:bookmarkStart w:id="253" w:name="_Toc478654429"/>
      <w:bookmarkStart w:id="254" w:name="_Toc478655143"/>
      <w:bookmarkStart w:id="255" w:name="_Toc478656397"/>
      <w:bookmarkStart w:id="256" w:name="_Toc478657648"/>
      <w:bookmarkStart w:id="257" w:name="_Toc478718244"/>
      <w:bookmarkStart w:id="258" w:name="_Toc478718454"/>
      <w:bookmarkStart w:id="259" w:name="_Toc478738403"/>
      <w:bookmarkStart w:id="260" w:name="_Toc478740689"/>
      <w:r>
        <w:t>Introduction</w:t>
      </w:r>
      <w:bookmarkEnd w:id="250"/>
      <w:bookmarkEnd w:id="251"/>
      <w:bookmarkEnd w:id="252"/>
      <w:bookmarkEnd w:id="253"/>
      <w:bookmarkEnd w:id="254"/>
      <w:bookmarkEnd w:id="255"/>
      <w:bookmarkEnd w:id="256"/>
      <w:bookmarkEnd w:id="257"/>
      <w:bookmarkEnd w:id="258"/>
      <w:bookmarkEnd w:id="259"/>
      <w:bookmarkEnd w:id="260"/>
    </w:p>
    <w:p w14:paraId="5ABD50F4" w14:textId="02150838" w:rsidR="00C10E96" w:rsidRDefault="0021281C" w:rsidP="00F71EF8">
      <w:pPr>
        <w:pStyle w:val="ListParagraph"/>
        <w:numPr>
          <w:ilvl w:val="1"/>
          <w:numId w:val="34"/>
        </w:numPr>
        <w:spacing w:line="360" w:lineRule="auto"/>
        <w:contextualSpacing w:val="0"/>
      </w:pPr>
      <w:bookmarkStart w:id="261" w:name="_Toc477866817"/>
      <w:r w:rsidRPr="00F71EF8">
        <w:rPr>
          <w:b/>
        </w:rPr>
        <w:t>Chapter 4</w:t>
      </w:r>
      <w:r w:rsidRPr="00BF1390">
        <w:t xml:space="preserve"> </w:t>
      </w:r>
      <w:r w:rsidR="00C10E96" w:rsidRPr="00BF1390">
        <w:t>outlined</w:t>
      </w:r>
      <w:r w:rsidR="00C10E96">
        <w:t xml:space="preserve"> key </w:t>
      </w:r>
      <w:r w:rsidR="00BF1390">
        <w:t xml:space="preserve">changes </w:t>
      </w:r>
      <w:r w:rsidR="00C10E96">
        <w:t xml:space="preserve">that will boost </w:t>
      </w:r>
      <w:r w:rsidR="00C978BC">
        <w:t xml:space="preserve">compliance </w:t>
      </w:r>
      <w:r w:rsidR="00C10E96">
        <w:t>with superannuation guarantee obligations.</w:t>
      </w:r>
      <w:r w:rsidR="00951B8F">
        <w:t xml:space="preserve"> These compliance measures will </w:t>
      </w:r>
      <w:r w:rsidR="00C10E96" w:rsidRPr="006B6F44">
        <w:t xml:space="preserve">be supported </w:t>
      </w:r>
      <w:r w:rsidR="00951B8F">
        <w:t xml:space="preserve">where the superannuation </w:t>
      </w:r>
      <w:r w:rsidR="00C10E96" w:rsidRPr="006B6F44">
        <w:t>system</w:t>
      </w:r>
      <w:r w:rsidR="00951B8F">
        <w:t xml:space="preserve"> </w:t>
      </w:r>
      <w:r w:rsidR="00951B8F" w:rsidRPr="006B6F44">
        <w:t>is</w:t>
      </w:r>
      <w:r w:rsidR="00C10E96" w:rsidRPr="006B6F44">
        <w:t xml:space="preserve"> perceived to be fair </w:t>
      </w:r>
      <w:r w:rsidR="00BF1390">
        <w:t>by</w:t>
      </w:r>
      <w:r w:rsidR="00BF1390" w:rsidRPr="006B6F44">
        <w:t xml:space="preserve"> </w:t>
      </w:r>
      <w:r w:rsidR="00C10E96" w:rsidRPr="006B6F44">
        <w:t xml:space="preserve">the community </w:t>
      </w:r>
      <w:r w:rsidR="00C10E96">
        <w:t>and is easier to engage with for employers and employees.</w:t>
      </w:r>
    </w:p>
    <w:p w14:paraId="2BD79275" w14:textId="7BE9007E" w:rsidR="008232F4" w:rsidRDefault="00C10E96" w:rsidP="00F71EF8">
      <w:pPr>
        <w:pStyle w:val="ListParagraph"/>
        <w:numPr>
          <w:ilvl w:val="1"/>
          <w:numId w:val="34"/>
        </w:numPr>
        <w:spacing w:line="360" w:lineRule="auto"/>
        <w:contextualSpacing w:val="0"/>
        <w:rPr>
          <w:color w:val="auto"/>
        </w:rPr>
      </w:pPr>
      <w:r>
        <w:t xml:space="preserve">The </w:t>
      </w:r>
      <w:r w:rsidR="00864116">
        <w:t xml:space="preserve">existing </w:t>
      </w:r>
      <w:r>
        <w:t xml:space="preserve">penalty regime </w:t>
      </w:r>
      <w:r w:rsidR="00864116">
        <w:t xml:space="preserve">is inflexible. A </w:t>
      </w:r>
      <w:r w:rsidR="00BF1390">
        <w:t>better</w:t>
      </w:r>
      <w:r w:rsidR="00BF1390">
        <w:noBreakHyphen/>
      </w:r>
      <w:r w:rsidR="00864116">
        <w:t xml:space="preserve">targeted approach would support compliance and build confidence in the system. Key changes involve </w:t>
      </w:r>
      <w:r w:rsidR="001621AB">
        <w:t xml:space="preserve">making sanctions </w:t>
      </w:r>
      <w:r w:rsidR="00864116">
        <w:t>better align</w:t>
      </w:r>
      <w:r w:rsidR="001621AB">
        <w:t xml:space="preserve">ed </w:t>
      </w:r>
      <w:r w:rsidR="00864116">
        <w:t>with</w:t>
      </w:r>
      <w:r w:rsidR="001621AB">
        <w:t xml:space="preserve"> the degree of employer </w:t>
      </w:r>
      <w:r w:rsidR="00587CD0">
        <w:rPr>
          <w:color w:val="auto"/>
        </w:rPr>
        <w:t>culpability</w:t>
      </w:r>
      <w:r w:rsidR="00864116">
        <w:rPr>
          <w:color w:val="auto"/>
        </w:rPr>
        <w:t xml:space="preserve"> </w:t>
      </w:r>
      <w:r w:rsidR="001621AB">
        <w:rPr>
          <w:color w:val="auto"/>
        </w:rPr>
        <w:t xml:space="preserve">and preventing </w:t>
      </w:r>
      <w:r w:rsidR="001621AB">
        <w:t>arbitrary outcomes that can arise through the calculation of interest amounts</w:t>
      </w:r>
      <w:r w:rsidR="006B6F44">
        <w:rPr>
          <w:color w:val="auto"/>
        </w:rPr>
        <w:t>.</w:t>
      </w:r>
    </w:p>
    <w:p w14:paraId="081A68FA" w14:textId="77777777" w:rsidR="003E4B0D" w:rsidRDefault="001621AB" w:rsidP="00F71EF8">
      <w:pPr>
        <w:pStyle w:val="ListParagraph"/>
        <w:numPr>
          <w:ilvl w:val="1"/>
          <w:numId w:val="34"/>
        </w:numPr>
        <w:spacing w:line="360" w:lineRule="auto"/>
        <w:contextualSpacing w:val="0"/>
      </w:pPr>
      <w:r>
        <w:t>The existing superannuati</w:t>
      </w:r>
      <w:r w:rsidR="00E1778C">
        <w:t>on law means employees who make voluntary contributions through</w:t>
      </w:r>
      <w:r>
        <w:t xml:space="preserve"> </w:t>
      </w:r>
      <w:r w:rsidR="0021281C" w:rsidRPr="0002435B">
        <w:t>salary sacrifice arrangements</w:t>
      </w:r>
      <w:r w:rsidR="0021281C" w:rsidRPr="0002435B" w:rsidDel="00E1778C">
        <w:t xml:space="preserve"> </w:t>
      </w:r>
      <w:r w:rsidR="00E1778C">
        <w:t xml:space="preserve">inadvertently </w:t>
      </w:r>
      <w:r w:rsidR="0043164F">
        <w:t xml:space="preserve">reduce </w:t>
      </w:r>
      <w:r w:rsidR="00E1778C">
        <w:t>their entitlements to the superannuation guarantee. Amendments to prevent this anomalous outcome would improve confidence in the system</w:t>
      </w:r>
      <w:r w:rsidR="00587CD0">
        <w:t>.</w:t>
      </w:r>
    </w:p>
    <w:p w14:paraId="7839E375" w14:textId="77777777" w:rsidR="0021281C" w:rsidRDefault="003E4B0D" w:rsidP="00F71EF8">
      <w:pPr>
        <w:pStyle w:val="ListParagraph"/>
        <w:numPr>
          <w:ilvl w:val="1"/>
          <w:numId w:val="34"/>
        </w:numPr>
        <w:spacing w:line="360" w:lineRule="auto"/>
        <w:contextualSpacing w:val="0"/>
      </w:pPr>
      <w:r>
        <w:t xml:space="preserve">Finally, </w:t>
      </w:r>
      <w:r w:rsidR="00E1778C">
        <w:t xml:space="preserve">the ATO will increase the visibility of its </w:t>
      </w:r>
      <w:r w:rsidR="00391AC4">
        <w:t xml:space="preserve">guidance and support to </w:t>
      </w:r>
      <w:r>
        <w:t xml:space="preserve">employees and employers </w:t>
      </w:r>
      <w:r w:rsidR="00391AC4">
        <w:t xml:space="preserve">to build better awareness of their respective </w:t>
      </w:r>
      <w:r>
        <w:t>entitlements and obligations.</w:t>
      </w:r>
    </w:p>
    <w:p w14:paraId="5FD7F8E3" w14:textId="77777777" w:rsidR="0021281C" w:rsidRDefault="0021281C" w:rsidP="0021281C">
      <w:pPr>
        <w:pStyle w:val="Heading2"/>
      </w:pPr>
      <w:bookmarkStart w:id="262" w:name="_Toc478651969"/>
      <w:bookmarkStart w:id="263" w:name="_Toc478654430"/>
      <w:bookmarkStart w:id="264" w:name="_Toc478655144"/>
      <w:bookmarkStart w:id="265" w:name="_Toc478656398"/>
      <w:bookmarkStart w:id="266" w:name="_Toc478657649"/>
      <w:bookmarkStart w:id="267" w:name="_Toc478718245"/>
      <w:bookmarkStart w:id="268" w:name="_Toc478718455"/>
      <w:bookmarkStart w:id="269" w:name="_Toc478738404"/>
      <w:bookmarkStart w:id="270" w:name="_Toc478740690"/>
      <w:r>
        <w:t>Optimising</w:t>
      </w:r>
      <w:r w:rsidRPr="00E61B62">
        <w:t xml:space="preserve"> compliance </w:t>
      </w:r>
      <w:r>
        <w:t>through an effective penalty framework</w:t>
      </w:r>
      <w:bookmarkEnd w:id="262"/>
      <w:bookmarkEnd w:id="263"/>
      <w:bookmarkEnd w:id="264"/>
      <w:bookmarkEnd w:id="265"/>
      <w:bookmarkEnd w:id="266"/>
      <w:bookmarkEnd w:id="267"/>
      <w:bookmarkEnd w:id="268"/>
      <w:bookmarkEnd w:id="269"/>
      <w:bookmarkEnd w:id="270"/>
    </w:p>
    <w:p w14:paraId="7B740031" w14:textId="77777777" w:rsidR="007E47A0" w:rsidRDefault="007E47A0" w:rsidP="00224B95"/>
    <w:p w14:paraId="2C384EF0" w14:textId="34C4CBCD" w:rsidR="00740238" w:rsidRPr="00284D0F" w:rsidRDefault="00740238" w:rsidP="00740238">
      <w:pPr>
        <w:pStyle w:val="Boxtext"/>
        <w:keepNext/>
        <w:pBdr>
          <w:top w:val="none" w:sz="0" w:space="0" w:color="auto"/>
          <w:left w:val="none" w:sz="0" w:space="0" w:color="auto"/>
          <w:right w:val="none" w:sz="0" w:space="0" w:color="auto"/>
        </w:pBdr>
        <w:shd w:val="clear" w:color="auto" w:fill="D9D9D9" w:themeFill="background1" w:themeFillShade="D9"/>
        <w:spacing w:line="276" w:lineRule="auto"/>
        <w:rPr>
          <w:b/>
          <w:caps/>
          <w:color w:val="auto"/>
        </w:rPr>
      </w:pPr>
      <w:r w:rsidRPr="00284D0F">
        <w:rPr>
          <w:b/>
          <w:caps/>
          <w:color w:val="auto"/>
        </w:rPr>
        <w:t>Recommendation </w:t>
      </w:r>
      <w:r w:rsidR="00DE72B0">
        <w:rPr>
          <w:b/>
          <w:caps/>
          <w:color w:val="auto"/>
        </w:rPr>
        <w:t>6</w:t>
      </w:r>
    </w:p>
    <w:p w14:paraId="4821CFCE" w14:textId="77777777" w:rsidR="00DE72B0" w:rsidRPr="00284D0F" w:rsidRDefault="00DE72B0" w:rsidP="00DE72B0">
      <w:pPr>
        <w:pStyle w:val="Boxtext"/>
        <w:keepNext/>
        <w:pBdr>
          <w:top w:val="none" w:sz="0" w:space="0" w:color="auto"/>
          <w:left w:val="none" w:sz="0" w:space="0" w:color="auto"/>
          <w:bottom w:val="none" w:sz="0" w:space="0" w:color="auto"/>
          <w:right w:val="none" w:sz="0" w:space="0" w:color="auto"/>
        </w:pBdr>
        <w:shd w:val="clear" w:color="auto" w:fill="D9D9D9" w:themeFill="background1" w:themeFillShade="D9"/>
        <w:spacing w:line="276" w:lineRule="auto"/>
        <w:rPr>
          <w:color w:val="auto"/>
        </w:rPr>
      </w:pPr>
      <w:r>
        <w:t>Ensure the penalty framework surrounding superannuation guarantee is sufficiently flexible to appropriately deal with the spectrum of employer culpability in non</w:t>
      </w:r>
      <w:r>
        <w:noBreakHyphen/>
        <w:t>compliance.</w:t>
      </w:r>
    </w:p>
    <w:p w14:paraId="358155E4" w14:textId="77777777" w:rsidR="00740238" w:rsidRPr="00284D0F" w:rsidRDefault="00740238" w:rsidP="00740238">
      <w:pPr>
        <w:spacing w:line="276" w:lineRule="auto"/>
        <w:rPr>
          <w:color w:val="auto"/>
          <w:sz w:val="6"/>
        </w:rPr>
      </w:pPr>
    </w:p>
    <w:p w14:paraId="3DC8D316" w14:textId="1CCD94D3" w:rsidR="00740238" w:rsidRPr="00284D0F" w:rsidRDefault="00740238" w:rsidP="00740238">
      <w:pPr>
        <w:pStyle w:val="Boxtext"/>
        <w:keepNext/>
        <w:pBdr>
          <w:top w:val="none" w:sz="0" w:space="0" w:color="auto"/>
          <w:left w:val="none" w:sz="0" w:space="0" w:color="auto"/>
          <w:right w:val="none" w:sz="0" w:space="0" w:color="auto"/>
        </w:pBdr>
        <w:shd w:val="clear" w:color="auto" w:fill="D9D9D9" w:themeFill="background1" w:themeFillShade="D9"/>
        <w:spacing w:line="276" w:lineRule="auto"/>
        <w:rPr>
          <w:b/>
          <w:caps/>
          <w:color w:val="auto"/>
        </w:rPr>
      </w:pPr>
      <w:r w:rsidRPr="00284D0F">
        <w:rPr>
          <w:b/>
          <w:caps/>
          <w:color w:val="auto"/>
        </w:rPr>
        <w:t>Recommendation </w:t>
      </w:r>
      <w:r w:rsidR="00DE72B0">
        <w:rPr>
          <w:b/>
          <w:caps/>
          <w:color w:val="auto"/>
        </w:rPr>
        <w:t>7</w:t>
      </w:r>
    </w:p>
    <w:p w14:paraId="44F43731" w14:textId="77777777" w:rsidR="00DE72B0" w:rsidRPr="00284D0F" w:rsidRDefault="00DE72B0" w:rsidP="00DE72B0">
      <w:pPr>
        <w:pStyle w:val="Boxtext"/>
        <w:keepNext/>
        <w:pBdr>
          <w:top w:val="none" w:sz="0" w:space="0" w:color="auto"/>
          <w:left w:val="none" w:sz="0" w:space="0" w:color="auto"/>
          <w:bottom w:val="none" w:sz="0" w:space="0" w:color="auto"/>
          <w:right w:val="none" w:sz="0" w:space="0" w:color="auto"/>
        </w:pBdr>
        <w:shd w:val="clear" w:color="auto" w:fill="D9D9D9" w:themeFill="background1" w:themeFillShade="D9"/>
        <w:spacing w:line="276" w:lineRule="auto"/>
        <w:rPr>
          <w:color w:val="auto"/>
        </w:rPr>
      </w:pPr>
      <w:r>
        <w:t xml:space="preserve">Amend the calculation of the nominal interest component in the </w:t>
      </w:r>
      <w:r w:rsidRPr="002762C8">
        <w:rPr>
          <w:i/>
        </w:rPr>
        <w:t>Superannuation Guarantee (Administration) Act 1992</w:t>
      </w:r>
      <w:r>
        <w:t xml:space="preserve"> so that interest is only payable for the period contributions are outstanding.</w:t>
      </w:r>
    </w:p>
    <w:p w14:paraId="077E8A41" w14:textId="77777777" w:rsidR="00740238" w:rsidRDefault="00740238" w:rsidP="00224B95"/>
    <w:p w14:paraId="1C8A9DA8" w14:textId="77777777" w:rsidR="00740238" w:rsidRPr="00284D0F" w:rsidRDefault="00740238" w:rsidP="00740238">
      <w:pPr>
        <w:pStyle w:val="Boxtext"/>
        <w:keepNext/>
        <w:pBdr>
          <w:top w:val="none" w:sz="0" w:space="0" w:color="auto"/>
          <w:left w:val="none" w:sz="0" w:space="0" w:color="auto"/>
          <w:right w:val="none" w:sz="0" w:space="0" w:color="auto"/>
        </w:pBdr>
        <w:shd w:val="clear" w:color="auto" w:fill="B8CCE4" w:themeFill="accent1" w:themeFillTint="66"/>
        <w:spacing w:line="276" w:lineRule="auto"/>
        <w:rPr>
          <w:b/>
          <w:caps/>
          <w:color w:val="auto"/>
        </w:rPr>
      </w:pPr>
      <w:r>
        <w:rPr>
          <w:b/>
          <w:caps/>
          <w:color w:val="auto"/>
        </w:rPr>
        <w:t>agency action</w:t>
      </w:r>
      <w:r w:rsidRPr="00284D0F">
        <w:rPr>
          <w:b/>
          <w:caps/>
          <w:color w:val="auto"/>
        </w:rPr>
        <w:t> </w:t>
      </w:r>
      <w:r>
        <w:rPr>
          <w:b/>
          <w:caps/>
          <w:color w:val="auto"/>
        </w:rPr>
        <w:t>5</w:t>
      </w:r>
    </w:p>
    <w:p w14:paraId="02B6AEF3" w14:textId="77777777" w:rsidR="00DE72B0" w:rsidRPr="00284D0F" w:rsidRDefault="00DE72B0" w:rsidP="00DE72B0">
      <w:pPr>
        <w:pStyle w:val="Boxtext"/>
        <w:keepNext/>
        <w:pBdr>
          <w:top w:val="none" w:sz="0" w:space="0" w:color="auto"/>
          <w:left w:val="none" w:sz="0" w:space="0" w:color="auto"/>
          <w:bottom w:val="none" w:sz="0" w:space="0" w:color="auto"/>
          <w:right w:val="none" w:sz="0" w:space="0" w:color="auto"/>
        </w:pBdr>
        <w:shd w:val="clear" w:color="auto" w:fill="B8CCE4" w:themeFill="accent1" w:themeFillTint="66"/>
        <w:spacing w:line="276" w:lineRule="auto"/>
        <w:rPr>
          <w:color w:val="auto"/>
        </w:rPr>
      </w:pPr>
      <w:r w:rsidRPr="0092707C">
        <w:t>To increase the visibility of the actions the ATO takes to address non</w:t>
      </w:r>
      <w:r>
        <w:noBreakHyphen/>
      </w:r>
      <w:r w:rsidRPr="0092707C">
        <w:t xml:space="preserve">compliance and to highlight its enforcement responses, the ATO </w:t>
      </w:r>
      <w:r>
        <w:t>will</w:t>
      </w:r>
      <w:r w:rsidRPr="0092707C">
        <w:t xml:space="preserve"> better promote its compliance program and the ‘tool kit’ to assist employees and improve compliance amongst employers</w:t>
      </w:r>
      <w:r>
        <w:t>.</w:t>
      </w:r>
    </w:p>
    <w:p w14:paraId="7B2B5783" w14:textId="77777777" w:rsidR="007E47A0" w:rsidRDefault="007E47A0" w:rsidP="007E47A0"/>
    <w:p w14:paraId="48C93FA4" w14:textId="7B2D1B99" w:rsidR="002E5A2D" w:rsidRDefault="002E5A2D" w:rsidP="002E5A2D">
      <w:pPr>
        <w:pStyle w:val="ListParagraph"/>
        <w:numPr>
          <w:ilvl w:val="1"/>
          <w:numId w:val="34"/>
        </w:numPr>
        <w:spacing w:line="360" w:lineRule="auto"/>
        <w:rPr>
          <w:color w:val="auto"/>
        </w:rPr>
      </w:pPr>
      <w:r>
        <w:rPr>
          <w:color w:val="auto"/>
        </w:rPr>
        <w:t>S</w:t>
      </w:r>
      <w:r w:rsidRPr="00C81F12">
        <w:rPr>
          <w:color w:val="auto"/>
        </w:rPr>
        <w:t xml:space="preserve">trong penalties </w:t>
      </w:r>
      <w:r>
        <w:rPr>
          <w:color w:val="auto"/>
        </w:rPr>
        <w:t>are</w:t>
      </w:r>
      <w:r w:rsidRPr="00C81F12">
        <w:rPr>
          <w:color w:val="auto"/>
        </w:rPr>
        <w:t xml:space="preserve"> an important </w:t>
      </w:r>
      <w:r>
        <w:rPr>
          <w:color w:val="auto"/>
        </w:rPr>
        <w:t>deterrent against non</w:t>
      </w:r>
      <w:r>
        <w:rPr>
          <w:color w:val="auto"/>
        </w:rPr>
        <w:noBreakHyphen/>
        <w:t xml:space="preserve">compliance. However, the penalty regime must also be sufficiently flexible to accommodate different degrees of employer </w:t>
      </w:r>
      <w:r w:rsidR="00D15F2F">
        <w:rPr>
          <w:color w:val="auto"/>
        </w:rPr>
        <w:t xml:space="preserve">behaviour and </w:t>
      </w:r>
      <w:r>
        <w:rPr>
          <w:color w:val="auto"/>
        </w:rPr>
        <w:t xml:space="preserve">culpability. It is also important that the penalty regime does not act as a disincentive </w:t>
      </w:r>
      <w:r w:rsidR="00D15F2F">
        <w:rPr>
          <w:color w:val="auto"/>
        </w:rPr>
        <w:t xml:space="preserve">to </w:t>
      </w:r>
      <w:r>
        <w:rPr>
          <w:color w:val="auto"/>
        </w:rPr>
        <w:t>rectifying non</w:t>
      </w:r>
      <w:r>
        <w:rPr>
          <w:color w:val="auto"/>
        </w:rPr>
        <w:noBreakHyphen/>
        <w:t xml:space="preserve">compliance by </w:t>
      </w:r>
      <w:r w:rsidRPr="00C81F12">
        <w:rPr>
          <w:color w:val="auto"/>
        </w:rPr>
        <w:t xml:space="preserve">voluntarily disclosing errors and undertaking </w:t>
      </w:r>
      <w:r>
        <w:rPr>
          <w:color w:val="auto"/>
        </w:rPr>
        <w:t xml:space="preserve">corrective action. </w:t>
      </w:r>
    </w:p>
    <w:p w14:paraId="6B9B4493" w14:textId="5A4A27A7" w:rsidR="00D11F22" w:rsidRDefault="00D11F22" w:rsidP="00F71EF8">
      <w:pPr>
        <w:pStyle w:val="ListParagraph"/>
        <w:numPr>
          <w:ilvl w:val="1"/>
          <w:numId w:val="34"/>
        </w:numPr>
        <w:spacing w:line="360" w:lineRule="auto"/>
        <w:contextualSpacing w:val="0"/>
        <w:rPr>
          <w:color w:val="auto"/>
        </w:rPr>
      </w:pPr>
      <w:r>
        <w:rPr>
          <w:color w:val="auto"/>
        </w:rPr>
        <w:t>Th</w:t>
      </w:r>
      <w:r w:rsidR="002E5A2D">
        <w:rPr>
          <w:color w:val="auto"/>
        </w:rPr>
        <w:t>ere are</w:t>
      </w:r>
      <w:r>
        <w:rPr>
          <w:color w:val="auto"/>
        </w:rPr>
        <w:t xml:space="preserve"> consequences </w:t>
      </w:r>
      <w:r w:rsidR="002E5A2D">
        <w:rPr>
          <w:color w:val="auto"/>
        </w:rPr>
        <w:t>that</w:t>
      </w:r>
      <w:r>
        <w:rPr>
          <w:color w:val="auto"/>
        </w:rPr>
        <w:t xml:space="preserve"> apply </w:t>
      </w:r>
      <w:r w:rsidRPr="00C81F12">
        <w:rPr>
          <w:color w:val="auto"/>
        </w:rPr>
        <w:t xml:space="preserve">where an employer </w:t>
      </w:r>
      <w:r>
        <w:rPr>
          <w:color w:val="auto"/>
        </w:rPr>
        <w:t>fails to</w:t>
      </w:r>
      <w:r w:rsidRPr="00C81F12">
        <w:rPr>
          <w:color w:val="auto"/>
        </w:rPr>
        <w:t xml:space="preserve"> compl</w:t>
      </w:r>
      <w:r>
        <w:rPr>
          <w:color w:val="auto"/>
        </w:rPr>
        <w:t>y</w:t>
      </w:r>
      <w:r w:rsidRPr="00C81F12">
        <w:rPr>
          <w:color w:val="auto"/>
        </w:rPr>
        <w:t xml:space="preserve"> with </w:t>
      </w:r>
      <w:r>
        <w:rPr>
          <w:color w:val="auto"/>
        </w:rPr>
        <w:t>its</w:t>
      </w:r>
      <w:r w:rsidRPr="00C81F12">
        <w:rPr>
          <w:color w:val="auto"/>
        </w:rPr>
        <w:t xml:space="preserve"> </w:t>
      </w:r>
      <w:r>
        <w:rPr>
          <w:color w:val="auto"/>
        </w:rPr>
        <w:t>superannuation guarantee</w:t>
      </w:r>
      <w:r w:rsidRPr="00C81F12">
        <w:rPr>
          <w:color w:val="auto"/>
        </w:rPr>
        <w:t xml:space="preserve"> obligations</w:t>
      </w:r>
      <w:r w:rsidR="00DD0891">
        <w:rPr>
          <w:color w:val="auto"/>
        </w:rPr>
        <w:t>:</w:t>
      </w:r>
      <w:r>
        <w:rPr>
          <w:color w:val="auto"/>
        </w:rPr>
        <w:t xml:space="preserve"> </w:t>
      </w:r>
    </w:p>
    <w:p w14:paraId="3EA2BEFA" w14:textId="6BF97DDB" w:rsidR="0021281C" w:rsidRPr="00EB3F0D" w:rsidRDefault="00D15F2F" w:rsidP="0021281C">
      <w:pPr>
        <w:pStyle w:val="ListParagraph"/>
        <w:numPr>
          <w:ilvl w:val="0"/>
          <w:numId w:val="35"/>
        </w:numPr>
        <w:spacing w:line="360" w:lineRule="auto"/>
        <w:ind w:left="851" w:hanging="284"/>
        <w:contextualSpacing w:val="0"/>
        <w:rPr>
          <w:color w:val="auto"/>
        </w:rPr>
      </w:pPr>
      <w:r>
        <w:rPr>
          <w:color w:val="auto"/>
        </w:rPr>
        <w:t>t</w:t>
      </w:r>
      <w:r w:rsidR="0021281C">
        <w:rPr>
          <w:color w:val="auto"/>
        </w:rPr>
        <w:t>he employer</w:t>
      </w:r>
      <w:r w:rsidR="0021281C" w:rsidRPr="00EB3F0D">
        <w:rPr>
          <w:color w:val="auto"/>
        </w:rPr>
        <w:t xml:space="preserve"> </w:t>
      </w:r>
      <w:r w:rsidR="0021281C">
        <w:rPr>
          <w:color w:val="auto"/>
        </w:rPr>
        <w:t>is</w:t>
      </w:r>
      <w:r w:rsidR="0021281C" w:rsidRPr="00EB3F0D">
        <w:rPr>
          <w:color w:val="auto"/>
        </w:rPr>
        <w:t xml:space="preserve"> subject to the </w:t>
      </w:r>
      <w:r w:rsidR="0021281C">
        <w:rPr>
          <w:color w:val="auto"/>
        </w:rPr>
        <w:t>s</w:t>
      </w:r>
      <w:r w:rsidR="0021281C" w:rsidRPr="00EB3F0D">
        <w:rPr>
          <w:color w:val="auto"/>
        </w:rPr>
        <w:t xml:space="preserve">uperannuation </w:t>
      </w:r>
      <w:r w:rsidR="0021281C">
        <w:rPr>
          <w:color w:val="auto"/>
        </w:rPr>
        <w:t>g</w:t>
      </w:r>
      <w:r w:rsidR="0021281C" w:rsidRPr="00EB3F0D">
        <w:rPr>
          <w:color w:val="auto"/>
        </w:rPr>
        <w:t xml:space="preserve">uarantee </w:t>
      </w:r>
      <w:r w:rsidR="0021281C">
        <w:rPr>
          <w:color w:val="auto"/>
        </w:rPr>
        <w:t>c</w:t>
      </w:r>
      <w:r w:rsidR="0021281C" w:rsidRPr="00EB3F0D">
        <w:rPr>
          <w:color w:val="auto"/>
        </w:rPr>
        <w:t>harge</w:t>
      </w:r>
      <w:r w:rsidR="0021281C">
        <w:rPr>
          <w:color w:val="auto"/>
        </w:rPr>
        <w:t>. This consists of three components: the</w:t>
      </w:r>
      <w:r w:rsidR="0021281C" w:rsidRPr="00EB3F0D">
        <w:rPr>
          <w:color w:val="auto"/>
        </w:rPr>
        <w:t xml:space="preserve"> shortfall </w:t>
      </w:r>
      <w:r w:rsidR="0021281C">
        <w:rPr>
          <w:color w:val="auto"/>
        </w:rPr>
        <w:t>amount, which is based on total</w:t>
      </w:r>
      <w:r w:rsidR="0021281C" w:rsidRPr="00EB3F0D">
        <w:rPr>
          <w:color w:val="auto"/>
        </w:rPr>
        <w:t xml:space="preserve"> salary </w:t>
      </w:r>
      <w:r w:rsidR="0021281C">
        <w:rPr>
          <w:color w:val="auto"/>
        </w:rPr>
        <w:t>and</w:t>
      </w:r>
      <w:r w:rsidR="0021281C" w:rsidRPr="00EB3F0D">
        <w:rPr>
          <w:color w:val="auto"/>
        </w:rPr>
        <w:t xml:space="preserve"> wages rather than ordinary time earnings</w:t>
      </w:r>
      <w:r w:rsidR="0021281C">
        <w:rPr>
          <w:color w:val="auto"/>
        </w:rPr>
        <w:t xml:space="preserve">; the nominal interest component, which acts as a proxy for earnings the employee would </w:t>
      </w:r>
      <w:r>
        <w:rPr>
          <w:color w:val="auto"/>
        </w:rPr>
        <w:t xml:space="preserve">have </w:t>
      </w:r>
      <w:r w:rsidR="0021281C">
        <w:rPr>
          <w:color w:val="auto"/>
        </w:rPr>
        <w:t>received had the contribution been made on time; and the administrative component, which is $20</w:t>
      </w:r>
      <w:r w:rsidR="001D6979">
        <w:rPr>
          <w:color w:val="auto"/>
        </w:rPr>
        <w:t> </w:t>
      </w:r>
      <w:r w:rsidR="0021281C">
        <w:rPr>
          <w:color w:val="auto"/>
        </w:rPr>
        <w:t>per</w:t>
      </w:r>
      <w:r w:rsidR="001D6979">
        <w:rPr>
          <w:color w:val="auto"/>
        </w:rPr>
        <w:t> </w:t>
      </w:r>
      <w:r w:rsidR="0021281C">
        <w:rPr>
          <w:color w:val="auto"/>
        </w:rPr>
        <w:t>employee per quarter</w:t>
      </w:r>
      <w:r>
        <w:rPr>
          <w:color w:val="auto"/>
        </w:rPr>
        <w:t>;</w:t>
      </w:r>
      <w:r w:rsidR="0021281C">
        <w:rPr>
          <w:color w:val="auto"/>
        </w:rPr>
        <w:t xml:space="preserve"> </w:t>
      </w:r>
    </w:p>
    <w:p w14:paraId="0485552A" w14:textId="02BEFF7E" w:rsidR="0030693D" w:rsidRDefault="00D15F2F" w:rsidP="0030693D">
      <w:pPr>
        <w:pStyle w:val="ListParagraph"/>
        <w:numPr>
          <w:ilvl w:val="0"/>
          <w:numId w:val="35"/>
        </w:numPr>
        <w:spacing w:line="360" w:lineRule="auto"/>
        <w:ind w:left="851" w:hanging="284"/>
        <w:contextualSpacing w:val="0"/>
      </w:pPr>
      <w:r>
        <w:rPr>
          <w:color w:val="auto"/>
        </w:rPr>
        <w:t>t</w:t>
      </w:r>
      <w:r w:rsidR="0030693D" w:rsidRPr="00EB3F0D">
        <w:rPr>
          <w:color w:val="auto"/>
        </w:rPr>
        <w:t>he employer may</w:t>
      </w:r>
      <w:r w:rsidR="0030693D" w:rsidRPr="00C81F12">
        <w:t xml:space="preserve"> be subject to a</w:t>
      </w:r>
      <w:r w:rsidR="0030693D">
        <w:t>n administrative</w:t>
      </w:r>
      <w:r w:rsidR="0030693D" w:rsidRPr="00C81F12">
        <w:t xml:space="preserve"> penalty of up to 200</w:t>
      </w:r>
      <w:r w:rsidR="0030693D">
        <w:t> </w:t>
      </w:r>
      <w:r w:rsidR="0030693D" w:rsidRPr="00C81F12">
        <w:t>per</w:t>
      </w:r>
      <w:r w:rsidR="0030693D">
        <w:t> </w:t>
      </w:r>
      <w:r w:rsidR="0030693D" w:rsidRPr="00C81F12">
        <w:t>cent of the superannuation guarantee charge</w:t>
      </w:r>
      <w:r>
        <w:t>; and</w:t>
      </w:r>
    </w:p>
    <w:p w14:paraId="0A20E5A8" w14:textId="745C237E" w:rsidR="0021281C" w:rsidRPr="00EB3F0D" w:rsidRDefault="00D15F2F" w:rsidP="0021281C">
      <w:pPr>
        <w:pStyle w:val="ListParagraph"/>
        <w:numPr>
          <w:ilvl w:val="0"/>
          <w:numId w:val="35"/>
        </w:numPr>
        <w:spacing w:line="360" w:lineRule="auto"/>
        <w:ind w:left="851" w:hanging="284"/>
        <w:contextualSpacing w:val="0"/>
        <w:rPr>
          <w:color w:val="auto"/>
        </w:rPr>
      </w:pPr>
      <w:r>
        <w:rPr>
          <w:color w:val="auto"/>
        </w:rPr>
        <w:t>t</w:t>
      </w:r>
      <w:r w:rsidR="0021281C">
        <w:rPr>
          <w:color w:val="auto"/>
        </w:rPr>
        <w:t>he employer is</w:t>
      </w:r>
      <w:r w:rsidR="0021281C" w:rsidRPr="00EB3F0D">
        <w:rPr>
          <w:color w:val="auto"/>
        </w:rPr>
        <w:t xml:space="preserve"> no longer eligible to claim a tax deduction in respect of certain amounts</w:t>
      </w:r>
      <w:r w:rsidR="0021281C">
        <w:rPr>
          <w:color w:val="auto"/>
        </w:rPr>
        <w:t xml:space="preserve">. In contrast to </w:t>
      </w:r>
      <w:r w:rsidR="00202EB9">
        <w:rPr>
          <w:color w:val="auto"/>
        </w:rPr>
        <w:t xml:space="preserve">superannuation guarantee </w:t>
      </w:r>
      <w:r w:rsidR="0021281C">
        <w:rPr>
          <w:color w:val="auto"/>
        </w:rPr>
        <w:t>payments that are made on time, l</w:t>
      </w:r>
      <w:r w:rsidR="0021281C" w:rsidRPr="00EB3F0D">
        <w:rPr>
          <w:color w:val="auto"/>
        </w:rPr>
        <w:t xml:space="preserve">ate </w:t>
      </w:r>
      <w:r w:rsidR="00202EB9">
        <w:rPr>
          <w:color w:val="auto"/>
        </w:rPr>
        <w:t xml:space="preserve">superannuation guarantee </w:t>
      </w:r>
      <w:r w:rsidR="0021281C" w:rsidRPr="00EB3F0D">
        <w:rPr>
          <w:color w:val="auto"/>
        </w:rPr>
        <w:t xml:space="preserve">payments </w:t>
      </w:r>
      <w:r w:rsidR="00202EB9">
        <w:rPr>
          <w:color w:val="auto"/>
        </w:rPr>
        <w:t>used as an offset</w:t>
      </w:r>
      <w:r w:rsidR="0021281C" w:rsidRPr="00EB3F0D">
        <w:rPr>
          <w:color w:val="auto"/>
        </w:rPr>
        <w:t xml:space="preserve"> and superannuation guarantee charge </w:t>
      </w:r>
      <w:r w:rsidR="0021281C">
        <w:rPr>
          <w:color w:val="auto"/>
        </w:rPr>
        <w:t xml:space="preserve">payments </w:t>
      </w:r>
      <w:r w:rsidR="0021281C" w:rsidRPr="00EB3F0D">
        <w:rPr>
          <w:color w:val="auto"/>
        </w:rPr>
        <w:t>are non</w:t>
      </w:r>
      <w:r w:rsidR="0021281C" w:rsidRPr="00EB3F0D">
        <w:rPr>
          <w:color w:val="auto"/>
        </w:rPr>
        <w:noBreakHyphen/>
        <w:t>deductible</w:t>
      </w:r>
      <w:r w:rsidR="0021281C">
        <w:rPr>
          <w:color w:val="auto"/>
        </w:rPr>
        <w:t>.</w:t>
      </w:r>
    </w:p>
    <w:p w14:paraId="2B1716C1" w14:textId="063B5030" w:rsidR="0021281C" w:rsidRPr="00C65AEF" w:rsidRDefault="0021281C" w:rsidP="00F71EF8">
      <w:pPr>
        <w:pStyle w:val="ListParagraph"/>
        <w:numPr>
          <w:ilvl w:val="1"/>
          <w:numId w:val="34"/>
        </w:numPr>
        <w:spacing w:line="360" w:lineRule="auto"/>
        <w:contextualSpacing w:val="0"/>
        <w:rPr>
          <w:color w:val="auto"/>
        </w:rPr>
      </w:pPr>
      <w:r w:rsidRPr="00C81F12">
        <w:rPr>
          <w:color w:val="auto"/>
        </w:rPr>
        <w:t xml:space="preserve">Based on anecdotal evidence, the current superannuation guarantee charge and penalty system may discourage some employers from </w:t>
      </w:r>
      <w:r w:rsidR="00953B6E">
        <w:rPr>
          <w:color w:val="auto"/>
        </w:rPr>
        <w:t>voluntarily disclosing errors and undertaking self</w:t>
      </w:r>
      <w:r w:rsidR="00953B6E">
        <w:rPr>
          <w:color w:val="auto"/>
        </w:rPr>
        <w:noBreakHyphen/>
        <w:t>correction. S</w:t>
      </w:r>
      <w:r>
        <w:rPr>
          <w:color w:val="auto"/>
        </w:rPr>
        <w:t xml:space="preserve">everal </w:t>
      </w:r>
      <w:r w:rsidR="00FB4EE4">
        <w:rPr>
          <w:color w:val="auto"/>
        </w:rPr>
        <w:t>submissions to the Senate Committee</w:t>
      </w:r>
      <w:r w:rsidRPr="00C81F12">
        <w:rPr>
          <w:color w:val="auto"/>
        </w:rPr>
        <w:t xml:space="preserve">, including </w:t>
      </w:r>
      <w:r w:rsidR="00911DE4">
        <w:rPr>
          <w:color w:val="auto"/>
        </w:rPr>
        <w:t xml:space="preserve">by </w:t>
      </w:r>
      <w:r w:rsidRPr="00C81F12">
        <w:rPr>
          <w:color w:val="auto"/>
        </w:rPr>
        <w:t xml:space="preserve">the Inspector-General of </w:t>
      </w:r>
      <w:r w:rsidRPr="00911DE4">
        <w:rPr>
          <w:color w:val="auto"/>
        </w:rPr>
        <w:t xml:space="preserve">Taxation, </w:t>
      </w:r>
      <w:r w:rsidRPr="00F71EF8">
        <w:rPr>
          <w:color w:val="auto"/>
        </w:rPr>
        <w:t>Institute of Public Accountants, Financial Services Council, the Tax Institute and the Australian Chamber of Commerce and Industry</w:t>
      </w:r>
      <w:r>
        <w:rPr>
          <w:color w:val="auto"/>
        </w:rPr>
        <w:t xml:space="preserve"> </w:t>
      </w:r>
      <w:r w:rsidRPr="00C81F12">
        <w:rPr>
          <w:color w:val="auto"/>
        </w:rPr>
        <w:t>have recognised the need to balance the deterrence role and consideration of an employer’s circumstances and compliance position.</w:t>
      </w:r>
      <w:r w:rsidRPr="00165D6A">
        <w:rPr>
          <w:rStyle w:val="FootnoteReference"/>
          <w:sz w:val="16"/>
        </w:rPr>
        <w:t xml:space="preserve"> </w:t>
      </w:r>
      <w:r w:rsidRPr="003343A6">
        <w:rPr>
          <w:rStyle w:val="FootnoteReference"/>
          <w:sz w:val="16"/>
        </w:rPr>
        <w:footnoteReference w:id="33"/>
      </w:r>
    </w:p>
    <w:p w14:paraId="2FD0B0D9" w14:textId="77777777" w:rsidR="0021281C" w:rsidRDefault="0021281C" w:rsidP="00F71EF8">
      <w:pPr>
        <w:pStyle w:val="ListParagraph"/>
        <w:numPr>
          <w:ilvl w:val="1"/>
          <w:numId w:val="34"/>
        </w:numPr>
        <w:spacing w:line="360" w:lineRule="auto"/>
        <w:contextualSpacing w:val="0"/>
        <w:rPr>
          <w:color w:val="auto"/>
        </w:rPr>
      </w:pPr>
      <w:r>
        <w:rPr>
          <w:color w:val="auto"/>
        </w:rPr>
        <w:t xml:space="preserve">A defining characteristic of the current penalty framework is the lack of discretion it affords the ATO. </w:t>
      </w:r>
      <w:r w:rsidRPr="00C65AEF">
        <w:rPr>
          <w:color w:val="auto"/>
        </w:rPr>
        <w:t>The ATO do</w:t>
      </w:r>
      <w:r>
        <w:rPr>
          <w:color w:val="auto"/>
        </w:rPr>
        <w:t>es</w:t>
      </w:r>
      <w:r w:rsidRPr="00C65AEF">
        <w:rPr>
          <w:color w:val="auto"/>
        </w:rPr>
        <w:t xml:space="preserve"> not have discretion to remit any part of the superannuation guarantee charge.</w:t>
      </w:r>
      <w:r w:rsidRPr="00E61B62">
        <w:rPr>
          <w:vertAlign w:val="superscript"/>
        </w:rPr>
        <w:footnoteReference w:id="34"/>
      </w:r>
      <w:r w:rsidRPr="00C65AEF">
        <w:rPr>
          <w:color w:val="auto"/>
        </w:rPr>
        <w:t xml:space="preserve"> </w:t>
      </w:r>
      <w:r>
        <w:rPr>
          <w:color w:val="auto"/>
        </w:rPr>
        <w:t>It</w:t>
      </w:r>
      <w:r w:rsidRPr="00C65AEF">
        <w:rPr>
          <w:color w:val="auto"/>
        </w:rPr>
        <w:t xml:space="preserve"> only ha</w:t>
      </w:r>
      <w:r>
        <w:rPr>
          <w:color w:val="auto"/>
        </w:rPr>
        <w:t>s</w:t>
      </w:r>
      <w:r w:rsidRPr="00C65AEF">
        <w:rPr>
          <w:color w:val="auto"/>
        </w:rPr>
        <w:t xml:space="preserve"> discretion in respect of the administrative penalty.</w:t>
      </w:r>
      <w:r>
        <w:rPr>
          <w:color w:val="auto"/>
        </w:rPr>
        <w:t xml:space="preserve"> This means non</w:t>
      </w:r>
      <w:r w:rsidR="003173A6">
        <w:rPr>
          <w:color w:val="auto"/>
        </w:rPr>
        <w:noBreakHyphen/>
      </w:r>
      <w:r>
        <w:rPr>
          <w:color w:val="auto"/>
        </w:rPr>
        <w:t>compliant employers are subject to broadly the</w:t>
      </w:r>
      <w:r w:rsidRPr="00C81F12">
        <w:rPr>
          <w:color w:val="auto"/>
        </w:rPr>
        <w:t xml:space="preserve"> same </w:t>
      </w:r>
      <w:r>
        <w:rPr>
          <w:color w:val="auto"/>
        </w:rPr>
        <w:t>consequences regardless of the circumstances of the breach</w:t>
      </w:r>
      <w:r w:rsidRPr="00C81F12">
        <w:rPr>
          <w:color w:val="auto"/>
        </w:rPr>
        <w:t>.</w:t>
      </w:r>
      <w:r>
        <w:rPr>
          <w:color w:val="auto"/>
        </w:rPr>
        <w:t xml:space="preserve"> </w:t>
      </w:r>
    </w:p>
    <w:p w14:paraId="741D3A4A" w14:textId="2D537A6A" w:rsidR="0021281C" w:rsidRPr="008E2C85" w:rsidRDefault="0021281C" w:rsidP="00F71EF8">
      <w:pPr>
        <w:pStyle w:val="ListParagraph"/>
        <w:numPr>
          <w:ilvl w:val="1"/>
          <w:numId w:val="34"/>
        </w:numPr>
        <w:spacing w:line="360" w:lineRule="auto"/>
        <w:contextualSpacing w:val="0"/>
      </w:pPr>
      <w:r>
        <w:rPr>
          <w:color w:val="auto"/>
        </w:rPr>
        <w:t>The Working Group considers that strong sanctions are necessary to deter deliberate non</w:t>
      </w:r>
      <w:r w:rsidR="00953B6E">
        <w:rPr>
          <w:color w:val="auto"/>
        </w:rPr>
        <w:noBreakHyphen/>
      </w:r>
      <w:r>
        <w:rPr>
          <w:color w:val="auto"/>
        </w:rPr>
        <w:t xml:space="preserve">compliance. However, there would be benefits in giving the ATO more flexibility. This would facilitate a differentiated approach that would </w:t>
      </w:r>
      <w:r w:rsidRPr="00C81F12">
        <w:rPr>
          <w:color w:val="auto"/>
        </w:rPr>
        <w:t xml:space="preserve">treat recalcitrant employers more harshly than those employers who accidentally </w:t>
      </w:r>
      <w:r>
        <w:rPr>
          <w:color w:val="auto"/>
        </w:rPr>
        <w:t>do</w:t>
      </w:r>
      <w:r w:rsidRPr="00C81F12">
        <w:rPr>
          <w:color w:val="auto"/>
        </w:rPr>
        <w:t xml:space="preserve"> the wrong thing and </w:t>
      </w:r>
      <w:r w:rsidR="00911DE4">
        <w:rPr>
          <w:color w:val="auto"/>
        </w:rPr>
        <w:t>come</w:t>
      </w:r>
      <w:r w:rsidR="00911DE4" w:rsidRPr="00C81F12">
        <w:rPr>
          <w:color w:val="auto"/>
        </w:rPr>
        <w:t xml:space="preserve"> </w:t>
      </w:r>
      <w:r w:rsidRPr="00C81F12">
        <w:rPr>
          <w:color w:val="auto"/>
        </w:rPr>
        <w:t>forward</w:t>
      </w:r>
      <w:r>
        <w:rPr>
          <w:color w:val="auto"/>
        </w:rPr>
        <w:t xml:space="preserve"> to rectify their error. </w:t>
      </w:r>
    </w:p>
    <w:p w14:paraId="20521156" w14:textId="77777777" w:rsidR="0021281C" w:rsidRPr="00C65AEF" w:rsidRDefault="0021281C" w:rsidP="00F71EF8">
      <w:pPr>
        <w:pStyle w:val="ListParagraph"/>
        <w:numPr>
          <w:ilvl w:val="1"/>
          <w:numId w:val="34"/>
        </w:numPr>
        <w:spacing w:line="360" w:lineRule="auto"/>
        <w:contextualSpacing w:val="0"/>
      </w:pPr>
      <w:r>
        <w:rPr>
          <w:color w:val="auto"/>
        </w:rPr>
        <w:t>Irrespective of its effect on compliance, a more differentiated approach would be both fairer and more consistent with the penalty frameworks that apply in relation to non</w:t>
      </w:r>
      <w:r w:rsidR="00707A6C">
        <w:rPr>
          <w:color w:val="auto"/>
        </w:rPr>
        <w:noBreakHyphen/>
      </w:r>
      <w:r>
        <w:rPr>
          <w:color w:val="auto"/>
        </w:rPr>
        <w:t>payment of other taxation related liabilities.</w:t>
      </w:r>
      <w:r w:rsidRPr="007B749C">
        <w:rPr>
          <w:rStyle w:val="FootnoteReference"/>
        </w:rPr>
        <w:footnoteReference w:id="35"/>
      </w:r>
    </w:p>
    <w:p w14:paraId="076FCBAA" w14:textId="77777777" w:rsidR="0021281C" w:rsidRDefault="0021281C" w:rsidP="00F71EF8">
      <w:pPr>
        <w:pStyle w:val="ListParagraph"/>
        <w:numPr>
          <w:ilvl w:val="1"/>
          <w:numId w:val="34"/>
        </w:numPr>
        <w:spacing w:line="360" w:lineRule="auto"/>
        <w:contextualSpacing w:val="0"/>
      </w:pPr>
      <w:r>
        <w:t xml:space="preserve">The Working Group has developed two options for Government consideration. These relate to the administrative component of the </w:t>
      </w:r>
      <w:r w:rsidR="001629D8">
        <w:t xml:space="preserve">superannuation guarantee </w:t>
      </w:r>
      <w:r>
        <w:t xml:space="preserve">charge and the tax deductibility of late payments. </w:t>
      </w:r>
    </w:p>
    <w:p w14:paraId="66E4EDCE" w14:textId="77777777" w:rsidR="0021281C" w:rsidRDefault="0021281C" w:rsidP="0021281C">
      <w:pPr>
        <w:pStyle w:val="Heading4"/>
      </w:pPr>
      <w:r>
        <w:t xml:space="preserve">The administrative component of the </w:t>
      </w:r>
      <w:r w:rsidR="00D4429B">
        <w:t xml:space="preserve">superannuation guarantee </w:t>
      </w:r>
      <w:r>
        <w:t>charge</w:t>
      </w:r>
    </w:p>
    <w:p w14:paraId="7783E8C0" w14:textId="77777777" w:rsidR="0021281C" w:rsidRDefault="0021281C" w:rsidP="00F71EF8">
      <w:pPr>
        <w:pStyle w:val="ListParagraph"/>
        <w:numPr>
          <w:ilvl w:val="1"/>
          <w:numId w:val="34"/>
        </w:numPr>
        <w:spacing w:line="360" w:lineRule="auto"/>
        <w:contextualSpacing w:val="0"/>
        <w:rPr>
          <w:color w:val="auto"/>
        </w:rPr>
      </w:pPr>
      <w:r w:rsidRPr="00C81F12">
        <w:rPr>
          <w:color w:val="auto"/>
        </w:rPr>
        <w:t>Currently, there is no discretion to remit the</w:t>
      </w:r>
      <w:r>
        <w:rPr>
          <w:color w:val="auto"/>
        </w:rPr>
        <w:t xml:space="preserve"> $20 per quarter per employee</w:t>
      </w:r>
      <w:r w:rsidRPr="00C81F12">
        <w:rPr>
          <w:color w:val="auto"/>
        </w:rPr>
        <w:t xml:space="preserve"> administration component, as it is part of the superannuation guarantee charge. </w:t>
      </w:r>
    </w:p>
    <w:p w14:paraId="1A8503B1" w14:textId="74A7EE2B" w:rsidR="0021281C" w:rsidRDefault="0021281C" w:rsidP="00F71EF8">
      <w:pPr>
        <w:pStyle w:val="ListParagraph"/>
        <w:numPr>
          <w:ilvl w:val="1"/>
          <w:numId w:val="34"/>
        </w:numPr>
        <w:spacing w:line="360" w:lineRule="auto"/>
        <w:contextualSpacing w:val="0"/>
        <w:rPr>
          <w:color w:val="auto"/>
        </w:rPr>
      </w:pPr>
      <w:r>
        <w:rPr>
          <w:color w:val="auto"/>
        </w:rPr>
        <w:t xml:space="preserve">Given the quantum of the </w:t>
      </w:r>
      <w:r w:rsidR="00911DE4">
        <w:rPr>
          <w:color w:val="auto"/>
        </w:rPr>
        <w:t>administrative component</w:t>
      </w:r>
      <w:r>
        <w:rPr>
          <w:color w:val="auto"/>
        </w:rPr>
        <w:t xml:space="preserve">, this is usually not an issue, but can seem unreasonable in cases where, for example, due to a system error an employer has underpaid a tiny amount of superannuation guarantee for a large number of employers for an extended period. </w:t>
      </w:r>
    </w:p>
    <w:p w14:paraId="7BEB4D07" w14:textId="5C311333" w:rsidR="0021281C" w:rsidRDefault="0021281C" w:rsidP="00F71EF8">
      <w:pPr>
        <w:pStyle w:val="ListParagraph"/>
        <w:numPr>
          <w:ilvl w:val="1"/>
          <w:numId w:val="34"/>
        </w:numPr>
        <w:spacing w:line="360" w:lineRule="auto"/>
        <w:contextualSpacing w:val="0"/>
      </w:pPr>
      <w:r>
        <w:rPr>
          <w:color w:val="auto"/>
        </w:rPr>
        <w:t xml:space="preserve">To ensure sufficient flexibility, </w:t>
      </w:r>
      <w:r w:rsidR="00911DE4">
        <w:rPr>
          <w:color w:val="auto"/>
        </w:rPr>
        <w:t>the Working Group suggests</w:t>
      </w:r>
      <w:r>
        <w:rPr>
          <w:color w:val="auto"/>
        </w:rPr>
        <w:t xml:space="preserve"> that consideration be given to removing the administration component from the superannuation guarantee charge</w:t>
      </w:r>
      <w:r w:rsidR="00911DE4">
        <w:rPr>
          <w:color w:val="auto"/>
        </w:rPr>
        <w:t>. I</w:t>
      </w:r>
      <w:r>
        <w:rPr>
          <w:color w:val="auto"/>
        </w:rPr>
        <w:t>nstead administrative penalties</w:t>
      </w:r>
      <w:r w:rsidR="00911DE4">
        <w:rPr>
          <w:color w:val="auto"/>
        </w:rPr>
        <w:t xml:space="preserve"> should</w:t>
      </w:r>
      <w:r>
        <w:rPr>
          <w:color w:val="auto"/>
        </w:rPr>
        <w:t xml:space="preserve"> be applied in such a way as to achieve a broadly commensurate and more appropriate outcome for employers. </w:t>
      </w:r>
    </w:p>
    <w:p w14:paraId="0CF6FA6F" w14:textId="77777777" w:rsidR="0021281C" w:rsidRDefault="0021281C" w:rsidP="0021281C">
      <w:pPr>
        <w:pStyle w:val="Heading4"/>
      </w:pPr>
      <w:r>
        <w:t>Tax deductibility of late payments</w:t>
      </w:r>
    </w:p>
    <w:p w14:paraId="79F23595" w14:textId="4A4AB0BB" w:rsidR="0021281C" w:rsidRPr="00E05A00" w:rsidRDefault="0021281C" w:rsidP="0021281C">
      <w:pPr>
        <w:pStyle w:val="ListParagraph"/>
        <w:numPr>
          <w:ilvl w:val="1"/>
          <w:numId w:val="34"/>
        </w:numPr>
        <w:spacing w:line="360" w:lineRule="auto"/>
        <w:contextualSpacing w:val="0"/>
        <w:rPr>
          <w:color w:val="auto"/>
        </w:rPr>
      </w:pPr>
      <w:r>
        <w:t xml:space="preserve">The </w:t>
      </w:r>
      <w:r w:rsidR="001629D8">
        <w:t>second</w:t>
      </w:r>
      <w:r>
        <w:t xml:space="preserve"> </w:t>
      </w:r>
      <w:r w:rsidR="002E5A2D">
        <w:t>option</w:t>
      </w:r>
      <w:r>
        <w:t xml:space="preserve"> is to allow </w:t>
      </w:r>
      <w:r w:rsidRPr="00E05A00">
        <w:rPr>
          <w:color w:val="auto"/>
        </w:rPr>
        <w:t xml:space="preserve">deductibility of contributions that </w:t>
      </w:r>
      <w:r>
        <w:rPr>
          <w:color w:val="auto"/>
        </w:rPr>
        <w:t>an</w:t>
      </w:r>
      <w:r w:rsidRPr="00E05A00">
        <w:rPr>
          <w:color w:val="auto"/>
        </w:rPr>
        <w:t xml:space="preserve"> employer </w:t>
      </w:r>
      <w:r w:rsidRPr="00C032C0">
        <w:rPr>
          <w:color w:val="auto"/>
        </w:rPr>
        <w:t xml:space="preserve">has made </w:t>
      </w:r>
      <w:r>
        <w:rPr>
          <w:color w:val="auto"/>
        </w:rPr>
        <w:t>and claimed</w:t>
      </w:r>
      <w:r w:rsidRPr="00C032C0">
        <w:rPr>
          <w:color w:val="auto"/>
        </w:rPr>
        <w:t xml:space="preserve"> </w:t>
      </w:r>
      <w:r w:rsidRPr="00E05A00">
        <w:rPr>
          <w:color w:val="auto"/>
        </w:rPr>
        <w:t>as a late payment offset</w:t>
      </w:r>
      <w:r w:rsidRPr="00C032C0">
        <w:rPr>
          <w:color w:val="auto"/>
        </w:rPr>
        <w:t>.</w:t>
      </w:r>
      <w:r>
        <w:rPr>
          <w:rStyle w:val="FootnoteReference"/>
          <w:color w:val="auto"/>
        </w:rPr>
        <w:footnoteReference w:id="36"/>
      </w:r>
      <w:r w:rsidRPr="00C032C0">
        <w:rPr>
          <w:color w:val="auto"/>
        </w:rPr>
        <w:t xml:space="preserve"> </w:t>
      </w:r>
      <w:r w:rsidRPr="00E05A00">
        <w:rPr>
          <w:color w:val="auto"/>
        </w:rPr>
        <w:t xml:space="preserve">Such a change would mean that if an employer accidentally paid one day late and </w:t>
      </w:r>
      <w:r>
        <w:rPr>
          <w:color w:val="auto"/>
        </w:rPr>
        <w:t>was</w:t>
      </w:r>
      <w:r w:rsidRPr="00E05A00">
        <w:rPr>
          <w:color w:val="auto"/>
        </w:rPr>
        <w:t xml:space="preserve"> subject to the superannuation guarantee charge, </w:t>
      </w:r>
      <w:r w:rsidR="00911DE4">
        <w:rPr>
          <w:color w:val="auto"/>
        </w:rPr>
        <w:t>they</w:t>
      </w:r>
      <w:r w:rsidR="00911DE4" w:rsidRPr="00E05A00">
        <w:rPr>
          <w:color w:val="auto"/>
        </w:rPr>
        <w:t xml:space="preserve"> </w:t>
      </w:r>
      <w:r w:rsidRPr="00E05A00">
        <w:rPr>
          <w:color w:val="auto"/>
        </w:rPr>
        <w:t xml:space="preserve">could still claim the amount they paid late as a tax deduction. </w:t>
      </w:r>
      <w:r w:rsidRPr="00C032C0">
        <w:rPr>
          <w:color w:val="auto"/>
        </w:rPr>
        <w:t>This</w:t>
      </w:r>
      <w:r w:rsidRPr="00E05A00">
        <w:rPr>
          <w:color w:val="auto"/>
        </w:rPr>
        <w:t xml:space="preserve"> may </w:t>
      </w:r>
      <w:r w:rsidRPr="00C032C0">
        <w:rPr>
          <w:color w:val="auto"/>
        </w:rPr>
        <w:t>remove a disincentive for some employers to come forward.</w:t>
      </w:r>
    </w:p>
    <w:p w14:paraId="5BFE9D59" w14:textId="2E6AC3C9" w:rsidR="0021281C" w:rsidRDefault="0021281C" w:rsidP="0021281C">
      <w:pPr>
        <w:pStyle w:val="ListParagraph"/>
        <w:numPr>
          <w:ilvl w:val="1"/>
          <w:numId w:val="34"/>
        </w:numPr>
        <w:spacing w:line="360" w:lineRule="auto"/>
        <w:contextualSpacing w:val="0"/>
        <w:rPr>
          <w:color w:val="auto"/>
        </w:rPr>
      </w:pPr>
      <w:r>
        <w:rPr>
          <w:color w:val="auto"/>
        </w:rPr>
        <w:t xml:space="preserve">If </w:t>
      </w:r>
      <w:r w:rsidRPr="00E05A00">
        <w:rPr>
          <w:color w:val="auto"/>
        </w:rPr>
        <w:t>the ATO advises a</w:t>
      </w:r>
      <w:r>
        <w:rPr>
          <w:color w:val="auto"/>
        </w:rPr>
        <w:t xml:space="preserve"> </w:t>
      </w:r>
      <w:r w:rsidRPr="00E05A00">
        <w:rPr>
          <w:color w:val="auto"/>
        </w:rPr>
        <w:t>n</w:t>
      </w:r>
      <w:r>
        <w:rPr>
          <w:color w:val="auto"/>
        </w:rPr>
        <w:t>on</w:t>
      </w:r>
      <w:r w:rsidR="001629D8">
        <w:rPr>
          <w:color w:val="auto"/>
        </w:rPr>
        <w:noBreakHyphen/>
      </w:r>
      <w:r>
        <w:rPr>
          <w:color w:val="auto"/>
        </w:rPr>
        <w:t>compliant</w:t>
      </w:r>
      <w:r w:rsidRPr="00E05A00">
        <w:rPr>
          <w:color w:val="auto"/>
        </w:rPr>
        <w:t xml:space="preserve"> employer </w:t>
      </w:r>
      <w:r>
        <w:rPr>
          <w:color w:val="auto"/>
        </w:rPr>
        <w:t>that</w:t>
      </w:r>
      <w:r w:rsidRPr="00E05A00">
        <w:rPr>
          <w:color w:val="auto"/>
        </w:rPr>
        <w:t xml:space="preserve"> audit action is about to commence, the employer </w:t>
      </w:r>
      <w:r w:rsidR="00911DE4">
        <w:rPr>
          <w:color w:val="auto"/>
        </w:rPr>
        <w:t>would be able to</w:t>
      </w:r>
      <w:r w:rsidR="00911DE4" w:rsidRPr="00E05A00">
        <w:rPr>
          <w:color w:val="auto"/>
        </w:rPr>
        <w:t xml:space="preserve"> </w:t>
      </w:r>
      <w:r w:rsidRPr="00E05A00">
        <w:rPr>
          <w:color w:val="auto"/>
        </w:rPr>
        <w:t xml:space="preserve">contribute late payment amounts to their employees’ superannuation funds to ensure they benefit from the deductibility. </w:t>
      </w:r>
    </w:p>
    <w:p w14:paraId="51E741B6" w14:textId="50E5C54B" w:rsidR="0021281C" w:rsidRDefault="0021281C" w:rsidP="0021281C">
      <w:pPr>
        <w:pStyle w:val="ListParagraph"/>
        <w:numPr>
          <w:ilvl w:val="1"/>
          <w:numId w:val="34"/>
        </w:numPr>
        <w:spacing w:line="360" w:lineRule="auto"/>
        <w:contextualSpacing w:val="0"/>
        <w:rPr>
          <w:color w:val="auto"/>
        </w:rPr>
      </w:pPr>
      <w:r>
        <w:rPr>
          <w:color w:val="auto"/>
        </w:rPr>
        <w:t xml:space="preserve">In these circumstances the ATO could impose additional administrative penalties necessary to ensure a proportionate punishment. </w:t>
      </w:r>
    </w:p>
    <w:p w14:paraId="2FD0CFEA" w14:textId="45751A5A" w:rsidR="0021281C" w:rsidRDefault="0021281C" w:rsidP="0021281C">
      <w:pPr>
        <w:pStyle w:val="ListParagraph"/>
        <w:numPr>
          <w:ilvl w:val="1"/>
          <w:numId w:val="34"/>
        </w:numPr>
        <w:spacing w:line="360" w:lineRule="auto"/>
        <w:contextualSpacing w:val="0"/>
        <w:rPr>
          <w:color w:val="auto"/>
        </w:rPr>
      </w:pPr>
      <w:r>
        <w:rPr>
          <w:color w:val="auto"/>
        </w:rPr>
        <w:t>Treasury and</w:t>
      </w:r>
      <w:r w:rsidR="00911DE4">
        <w:rPr>
          <w:color w:val="auto"/>
        </w:rPr>
        <w:t xml:space="preserve"> the</w:t>
      </w:r>
      <w:r>
        <w:rPr>
          <w:color w:val="auto"/>
        </w:rPr>
        <w:t xml:space="preserve"> ATO will provide further advice to Government on the administrative and revenue implications of these options. </w:t>
      </w:r>
    </w:p>
    <w:p w14:paraId="78C513F4" w14:textId="77777777" w:rsidR="0021281C" w:rsidRPr="00E61B62" w:rsidRDefault="0021281C" w:rsidP="0021281C">
      <w:pPr>
        <w:pStyle w:val="Heading3"/>
      </w:pPr>
      <w:r w:rsidRPr="00E61B62">
        <w:t xml:space="preserve">Amending the nominal interest component </w:t>
      </w:r>
      <w:r>
        <w:t xml:space="preserve">of the </w:t>
      </w:r>
      <w:r w:rsidR="00622349">
        <w:t>superannuation guarantee c</w:t>
      </w:r>
      <w:r>
        <w:t>harge</w:t>
      </w:r>
    </w:p>
    <w:p w14:paraId="3B9B7093" w14:textId="19CEAED5" w:rsidR="0021281C" w:rsidRDefault="0021281C" w:rsidP="00F71EF8">
      <w:pPr>
        <w:pStyle w:val="ListParagraph"/>
        <w:numPr>
          <w:ilvl w:val="1"/>
          <w:numId w:val="34"/>
        </w:numPr>
        <w:spacing w:line="360" w:lineRule="auto"/>
        <w:contextualSpacing w:val="0"/>
        <w:rPr>
          <w:color w:val="auto"/>
        </w:rPr>
      </w:pPr>
      <w:r>
        <w:rPr>
          <w:color w:val="auto"/>
        </w:rPr>
        <w:t xml:space="preserve">In addition to making the penalty framework more flexible, the Working Group recommends that the Government amend the methodology for calculating the nominal interest component of the </w:t>
      </w:r>
      <w:r w:rsidR="00636366">
        <w:rPr>
          <w:color w:val="auto"/>
        </w:rPr>
        <w:t>superannuation guarantee c</w:t>
      </w:r>
      <w:r>
        <w:rPr>
          <w:color w:val="auto"/>
        </w:rPr>
        <w:t xml:space="preserve">harge. This is because the existing methodology produces anomalous and inequitable results. </w:t>
      </w:r>
    </w:p>
    <w:p w14:paraId="553A97AF" w14:textId="77777777" w:rsidR="0021281C" w:rsidRPr="00063278" w:rsidRDefault="0021281C" w:rsidP="00F71EF8">
      <w:pPr>
        <w:pStyle w:val="ListParagraph"/>
        <w:keepNext/>
        <w:numPr>
          <w:ilvl w:val="1"/>
          <w:numId w:val="34"/>
        </w:numPr>
        <w:spacing w:line="360" w:lineRule="auto"/>
        <w:contextualSpacing w:val="0"/>
        <w:rPr>
          <w:color w:val="auto"/>
        </w:rPr>
      </w:pPr>
      <w:r>
        <w:rPr>
          <w:color w:val="auto"/>
        </w:rPr>
        <w:t>N</w:t>
      </w:r>
      <w:r w:rsidRPr="00063278">
        <w:rPr>
          <w:color w:val="auto"/>
        </w:rPr>
        <w:t xml:space="preserve">ominal interest </w:t>
      </w:r>
      <w:r>
        <w:rPr>
          <w:color w:val="auto"/>
        </w:rPr>
        <w:t xml:space="preserve">on </w:t>
      </w:r>
      <w:r w:rsidR="00636366">
        <w:rPr>
          <w:color w:val="auto"/>
        </w:rPr>
        <w:t xml:space="preserve">superannuation guarantee </w:t>
      </w:r>
      <w:r>
        <w:rPr>
          <w:color w:val="auto"/>
        </w:rPr>
        <w:t xml:space="preserve">shortfall amounts </w:t>
      </w:r>
      <w:r w:rsidRPr="00063278">
        <w:rPr>
          <w:color w:val="auto"/>
        </w:rPr>
        <w:t xml:space="preserve">is </w:t>
      </w:r>
      <w:r>
        <w:rPr>
          <w:color w:val="auto"/>
        </w:rPr>
        <w:t xml:space="preserve">currently </w:t>
      </w:r>
      <w:r w:rsidRPr="00063278">
        <w:rPr>
          <w:color w:val="auto"/>
        </w:rPr>
        <w:t xml:space="preserve">calculated from the beginning of the relevant quarter until the employer lodges a superannuation guarantee </w:t>
      </w:r>
      <w:r w:rsidR="00636366">
        <w:rPr>
          <w:color w:val="auto"/>
        </w:rPr>
        <w:t xml:space="preserve">charge </w:t>
      </w:r>
      <w:r w:rsidRPr="00063278">
        <w:rPr>
          <w:color w:val="auto"/>
        </w:rPr>
        <w:t>statement or the Commissioner makes a default assessment. This is despite the fact that:</w:t>
      </w:r>
    </w:p>
    <w:p w14:paraId="43D9FE13" w14:textId="2915DA07" w:rsidR="0021281C" w:rsidRPr="000C3A59" w:rsidRDefault="0021281C" w:rsidP="0021281C">
      <w:pPr>
        <w:pStyle w:val="ListParagraph"/>
        <w:numPr>
          <w:ilvl w:val="0"/>
          <w:numId w:val="35"/>
        </w:numPr>
        <w:spacing w:line="360" w:lineRule="auto"/>
        <w:ind w:left="851" w:hanging="284"/>
        <w:contextualSpacing w:val="0"/>
        <w:rPr>
          <w:color w:val="auto"/>
        </w:rPr>
      </w:pPr>
      <w:r>
        <w:rPr>
          <w:color w:val="auto"/>
        </w:rPr>
        <w:t>c</w:t>
      </w:r>
      <w:r w:rsidRPr="000C3A59">
        <w:rPr>
          <w:color w:val="auto"/>
        </w:rPr>
        <w:t>ontributions are not due until 28 days after the end of the quarter</w:t>
      </w:r>
      <w:r w:rsidR="00911DE4">
        <w:rPr>
          <w:color w:val="auto"/>
        </w:rPr>
        <w:t>;</w:t>
      </w:r>
      <w:r w:rsidRPr="000C3A59">
        <w:rPr>
          <w:color w:val="auto"/>
        </w:rPr>
        <w:t xml:space="preserve"> and </w:t>
      </w:r>
    </w:p>
    <w:p w14:paraId="1CF4EF27" w14:textId="77777777" w:rsidR="0021281C" w:rsidRPr="000C3A59" w:rsidRDefault="0021281C" w:rsidP="0021281C">
      <w:pPr>
        <w:pStyle w:val="ListParagraph"/>
        <w:numPr>
          <w:ilvl w:val="0"/>
          <w:numId w:val="35"/>
        </w:numPr>
        <w:spacing w:line="360" w:lineRule="auto"/>
        <w:ind w:left="851" w:hanging="284"/>
        <w:contextualSpacing w:val="0"/>
        <w:rPr>
          <w:color w:val="auto"/>
        </w:rPr>
      </w:pPr>
      <w:r>
        <w:rPr>
          <w:color w:val="auto"/>
        </w:rPr>
        <w:t>c</w:t>
      </w:r>
      <w:r w:rsidRPr="000C3A59">
        <w:rPr>
          <w:color w:val="auto"/>
        </w:rPr>
        <w:t>ontributions, albeit paid late, may be paid well before lodg</w:t>
      </w:r>
      <w:r>
        <w:rPr>
          <w:color w:val="auto"/>
        </w:rPr>
        <w:t>ement</w:t>
      </w:r>
      <w:r w:rsidRPr="000C3A59">
        <w:rPr>
          <w:color w:val="auto"/>
        </w:rPr>
        <w:t xml:space="preserve"> of the statement or the making of the default assessment. </w:t>
      </w:r>
    </w:p>
    <w:p w14:paraId="7B87733F" w14:textId="77777777" w:rsidR="0021281C" w:rsidRPr="00063278" w:rsidRDefault="0021281C" w:rsidP="00F71EF8">
      <w:pPr>
        <w:pStyle w:val="ListParagraph"/>
        <w:numPr>
          <w:ilvl w:val="1"/>
          <w:numId w:val="34"/>
        </w:numPr>
        <w:spacing w:line="360" w:lineRule="auto"/>
        <w:contextualSpacing w:val="0"/>
        <w:rPr>
          <w:color w:val="auto"/>
        </w:rPr>
      </w:pPr>
      <w:r w:rsidRPr="00063278">
        <w:rPr>
          <w:color w:val="auto"/>
        </w:rPr>
        <w:t>This means that employe</w:t>
      </w:r>
      <w:r>
        <w:rPr>
          <w:color w:val="auto"/>
        </w:rPr>
        <w:t>rs pay</w:t>
      </w:r>
      <w:r w:rsidRPr="00063278">
        <w:rPr>
          <w:color w:val="auto"/>
        </w:rPr>
        <w:t xml:space="preserve"> interest </w:t>
      </w:r>
      <w:r>
        <w:rPr>
          <w:color w:val="auto"/>
        </w:rPr>
        <w:t>in respect of the</w:t>
      </w:r>
      <w:r w:rsidRPr="00063278">
        <w:rPr>
          <w:color w:val="auto"/>
        </w:rPr>
        <w:t xml:space="preserve"> period before the contribution was even due. </w:t>
      </w:r>
      <w:r>
        <w:rPr>
          <w:color w:val="auto"/>
        </w:rPr>
        <w:t>If</w:t>
      </w:r>
      <w:r w:rsidRPr="00063278">
        <w:rPr>
          <w:color w:val="auto"/>
        </w:rPr>
        <w:t xml:space="preserve"> an employer pays superannuation guarantee contributions late but does not lodge a superannuation guarantee statement, </w:t>
      </w:r>
      <w:r>
        <w:rPr>
          <w:color w:val="auto"/>
        </w:rPr>
        <w:t>it also means that</w:t>
      </w:r>
      <w:r w:rsidRPr="00063278">
        <w:rPr>
          <w:color w:val="auto"/>
        </w:rPr>
        <w:t xml:space="preserve"> nominal interest accrues indefinitely until an assessment is made. </w:t>
      </w:r>
    </w:p>
    <w:p w14:paraId="165D2E0D" w14:textId="4659FE4F" w:rsidR="0021281C" w:rsidRPr="00C65AEF" w:rsidRDefault="0021281C" w:rsidP="00F71EF8">
      <w:pPr>
        <w:pStyle w:val="ListParagraph"/>
        <w:keepNext/>
        <w:numPr>
          <w:ilvl w:val="1"/>
          <w:numId w:val="34"/>
        </w:numPr>
        <w:spacing w:line="360" w:lineRule="auto"/>
        <w:contextualSpacing w:val="0"/>
        <w:rPr>
          <w:color w:val="auto"/>
        </w:rPr>
      </w:pPr>
      <w:r w:rsidRPr="00063278">
        <w:rPr>
          <w:color w:val="auto"/>
        </w:rPr>
        <w:t xml:space="preserve">This results in anomalous and inequitable outcomes for employers. </w:t>
      </w:r>
      <w:r w:rsidR="002E5A2D">
        <w:rPr>
          <w:color w:val="auto"/>
        </w:rPr>
        <w:t>An</w:t>
      </w:r>
      <w:r w:rsidRPr="00C65AEF">
        <w:rPr>
          <w:color w:val="auto"/>
        </w:rPr>
        <w:t xml:space="preserve"> example of where this </w:t>
      </w:r>
      <w:r>
        <w:rPr>
          <w:color w:val="auto"/>
        </w:rPr>
        <w:t>arrangement</w:t>
      </w:r>
      <w:r w:rsidRPr="00C65AEF">
        <w:rPr>
          <w:color w:val="auto"/>
        </w:rPr>
        <w:t xml:space="preserve"> is particularly punitive is where an employer thought </w:t>
      </w:r>
      <w:r>
        <w:rPr>
          <w:color w:val="auto"/>
        </w:rPr>
        <w:t>it</w:t>
      </w:r>
      <w:r w:rsidRPr="00C65AEF">
        <w:rPr>
          <w:color w:val="auto"/>
        </w:rPr>
        <w:t xml:space="preserve"> had paid in full and on time but finds out some years later that a payroll system error meant </w:t>
      </w:r>
      <w:r>
        <w:rPr>
          <w:color w:val="auto"/>
        </w:rPr>
        <w:t>it</w:t>
      </w:r>
      <w:r w:rsidRPr="00C65AEF">
        <w:rPr>
          <w:color w:val="auto"/>
        </w:rPr>
        <w:t xml:space="preserve"> had inadvertently paid a few days late. </w:t>
      </w:r>
      <w:r>
        <w:rPr>
          <w:color w:val="auto"/>
        </w:rPr>
        <w:t>In these circumstances, the</w:t>
      </w:r>
      <w:r w:rsidRPr="00C65AEF">
        <w:rPr>
          <w:color w:val="auto"/>
        </w:rPr>
        <w:t xml:space="preserve"> employer must pay interest on the whole amount for the whole period until the statement is lodged. </w:t>
      </w:r>
    </w:p>
    <w:p w14:paraId="0FBC6D6F" w14:textId="108036F8" w:rsidR="0021281C" w:rsidRDefault="0021281C" w:rsidP="00F71EF8">
      <w:pPr>
        <w:pStyle w:val="ListParagraph"/>
        <w:numPr>
          <w:ilvl w:val="1"/>
          <w:numId w:val="34"/>
        </w:numPr>
        <w:spacing w:line="360" w:lineRule="auto"/>
        <w:contextualSpacing w:val="0"/>
        <w:rPr>
          <w:color w:val="auto"/>
        </w:rPr>
      </w:pPr>
      <w:r>
        <w:rPr>
          <w:color w:val="auto"/>
        </w:rPr>
        <w:t xml:space="preserve">The </w:t>
      </w:r>
      <w:r w:rsidRPr="00063278">
        <w:rPr>
          <w:color w:val="auto"/>
        </w:rPr>
        <w:t>Working Group consider</w:t>
      </w:r>
      <w:r>
        <w:rPr>
          <w:color w:val="auto"/>
        </w:rPr>
        <w:t>s</w:t>
      </w:r>
      <w:r w:rsidRPr="00063278">
        <w:rPr>
          <w:color w:val="auto"/>
        </w:rPr>
        <w:t xml:space="preserve"> that amend</w:t>
      </w:r>
      <w:r>
        <w:rPr>
          <w:color w:val="auto"/>
        </w:rPr>
        <w:t xml:space="preserve">ing the </w:t>
      </w:r>
      <w:r w:rsidRPr="00063278">
        <w:rPr>
          <w:color w:val="auto"/>
        </w:rPr>
        <w:t xml:space="preserve">interest calculation </w:t>
      </w:r>
      <w:r>
        <w:rPr>
          <w:color w:val="auto"/>
        </w:rPr>
        <w:t xml:space="preserve">would </w:t>
      </w:r>
      <w:r w:rsidR="00911DE4">
        <w:rPr>
          <w:color w:val="auto"/>
        </w:rPr>
        <w:t xml:space="preserve">still </w:t>
      </w:r>
      <w:r>
        <w:rPr>
          <w:color w:val="auto"/>
        </w:rPr>
        <w:t xml:space="preserve">be consistent with the policy objective of </w:t>
      </w:r>
      <w:r w:rsidRPr="00063278">
        <w:rPr>
          <w:color w:val="auto"/>
        </w:rPr>
        <w:t xml:space="preserve">ensuring </w:t>
      </w:r>
      <w:r>
        <w:rPr>
          <w:color w:val="auto"/>
        </w:rPr>
        <w:t>employees are adequately</w:t>
      </w:r>
      <w:r w:rsidRPr="00063278">
        <w:rPr>
          <w:color w:val="auto"/>
        </w:rPr>
        <w:t xml:space="preserve"> </w:t>
      </w:r>
      <w:r>
        <w:rPr>
          <w:color w:val="auto"/>
        </w:rPr>
        <w:t>compensated for loss of</w:t>
      </w:r>
      <w:r w:rsidRPr="00063278">
        <w:rPr>
          <w:color w:val="auto"/>
        </w:rPr>
        <w:t xml:space="preserve"> investment earnings </w:t>
      </w:r>
      <w:r>
        <w:rPr>
          <w:color w:val="auto"/>
        </w:rPr>
        <w:t xml:space="preserve">due to </w:t>
      </w:r>
      <w:r w:rsidR="00636366">
        <w:rPr>
          <w:color w:val="auto"/>
        </w:rPr>
        <w:t xml:space="preserve">superannuation guarantee </w:t>
      </w:r>
      <w:r>
        <w:rPr>
          <w:color w:val="auto"/>
        </w:rPr>
        <w:t>non</w:t>
      </w:r>
      <w:r w:rsidR="00636366">
        <w:rPr>
          <w:color w:val="auto"/>
        </w:rPr>
        <w:noBreakHyphen/>
      </w:r>
      <w:r>
        <w:rPr>
          <w:color w:val="auto"/>
        </w:rPr>
        <w:t>compliance</w:t>
      </w:r>
      <w:r w:rsidRPr="00063278">
        <w:rPr>
          <w:color w:val="auto"/>
        </w:rPr>
        <w:t xml:space="preserve">. </w:t>
      </w:r>
    </w:p>
    <w:p w14:paraId="4ABF0474" w14:textId="7D8FA02F" w:rsidR="0021281C" w:rsidRDefault="0021281C" w:rsidP="0021281C">
      <w:pPr>
        <w:pStyle w:val="Heading2"/>
      </w:pPr>
      <w:bookmarkStart w:id="271" w:name="_Toc478651970"/>
      <w:bookmarkStart w:id="272" w:name="_Toc478654431"/>
      <w:bookmarkStart w:id="273" w:name="_Toc478655145"/>
      <w:bookmarkStart w:id="274" w:name="_Toc478656399"/>
      <w:bookmarkStart w:id="275" w:name="_Toc478657650"/>
      <w:bookmarkStart w:id="276" w:name="_Toc478718246"/>
      <w:bookmarkStart w:id="277" w:name="_Toc478718456"/>
      <w:bookmarkStart w:id="278" w:name="_Toc478738405"/>
      <w:bookmarkStart w:id="279" w:name="_Toc478740691"/>
      <w:r>
        <w:t>Clarify</w:t>
      </w:r>
      <w:r w:rsidR="00911DE4">
        <w:t>ing</w:t>
      </w:r>
      <w:r>
        <w:t xml:space="preserve"> the law regarding salary sacrifice agreements</w:t>
      </w:r>
      <w:bookmarkEnd w:id="271"/>
      <w:bookmarkEnd w:id="272"/>
      <w:bookmarkEnd w:id="273"/>
      <w:bookmarkEnd w:id="274"/>
      <w:bookmarkEnd w:id="275"/>
      <w:bookmarkEnd w:id="276"/>
      <w:bookmarkEnd w:id="277"/>
      <w:bookmarkEnd w:id="278"/>
      <w:bookmarkEnd w:id="279"/>
    </w:p>
    <w:p w14:paraId="1D1ABAC6" w14:textId="77777777" w:rsidR="00333837" w:rsidRDefault="00333837" w:rsidP="00224B95"/>
    <w:p w14:paraId="257BEF3C" w14:textId="057DE648" w:rsidR="00240D28" w:rsidRPr="00284D0F" w:rsidRDefault="00240D28" w:rsidP="00240D28">
      <w:pPr>
        <w:pStyle w:val="Boxtext"/>
        <w:keepNext/>
        <w:pBdr>
          <w:top w:val="none" w:sz="0" w:space="0" w:color="auto"/>
          <w:left w:val="none" w:sz="0" w:space="0" w:color="auto"/>
          <w:right w:val="none" w:sz="0" w:space="0" w:color="auto"/>
        </w:pBdr>
        <w:shd w:val="clear" w:color="auto" w:fill="D9D9D9" w:themeFill="background1" w:themeFillShade="D9"/>
        <w:spacing w:line="276" w:lineRule="auto"/>
        <w:rPr>
          <w:b/>
          <w:caps/>
          <w:color w:val="auto"/>
        </w:rPr>
      </w:pPr>
      <w:r w:rsidRPr="00284D0F">
        <w:rPr>
          <w:b/>
          <w:caps/>
          <w:color w:val="auto"/>
        </w:rPr>
        <w:t>Recommendation </w:t>
      </w:r>
      <w:r w:rsidR="00DE72B0">
        <w:rPr>
          <w:b/>
          <w:caps/>
          <w:color w:val="auto"/>
        </w:rPr>
        <w:t>8</w:t>
      </w:r>
    </w:p>
    <w:p w14:paraId="7A16FB8A" w14:textId="77777777" w:rsidR="00DE72B0" w:rsidRDefault="00DE72B0" w:rsidP="00DE72B0">
      <w:pPr>
        <w:pStyle w:val="Boxtext"/>
        <w:keepNext/>
        <w:pBdr>
          <w:top w:val="none" w:sz="0" w:space="0" w:color="auto"/>
          <w:left w:val="none" w:sz="0" w:space="0" w:color="auto"/>
          <w:bottom w:val="none" w:sz="0" w:space="0" w:color="auto"/>
          <w:right w:val="none" w:sz="0" w:space="0" w:color="auto"/>
        </w:pBdr>
        <w:shd w:val="clear" w:color="auto" w:fill="D9D9D9" w:themeFill="background1" w:themeFillShade="D9"/>
        <w:spacing w:line="276" w:lineRule="auto"/>
      </w:pPr>
      <w:r>
        <w:t xml:space="preserve">To prevent contributions made under salary sacrifice arrangements from satisfying an employer’s superannuation guarantee obligations the </w:t>
      </w:r>
      <w:r w:rsidRPr="000F201E">
        <w:rPr>
          <w:i/>
        </w:rPr>
        <w:t>Superannuation Guarantee (Administration) Act 1992</w:t>
      </w:r>
      <w:r>
        <w:t xml:space="preserve"> should be amended.</w:t>
      </w:r>
    </w:p>
    <w:p w14:paraId="0B66EA18" w14:textId="77777777" w:rsidR="00076511" w:rsidRPr="00284D0F" w:rsidRDefault="00076511" w:rsidP="006259A4">
      <w:pPr>
        <w:pStyle w:val="Boxtext"/>
        <w:keepNext/>
        <w:pBdr>
          <w:top w:val="none" w:sz="0" w:space="0" w:color="auto"/>
          <w:left w:val="none" w:sz="0" w:space="0" w:color="auto"/>
          <w:bottom w:val="none" w:sz="0" w:space="0" w:color="auto"/>
          <w:right w:val="none" w:sz="0" w:space="0" w:color="auto"/>
        </w:pBdr>
        <w:shd w:val="clear" w:color="auto" w:fill="D9D9D9" w:themeFill="background1" w:themeFillShade="D9"/>
        <w:spacing w:before="0" w:line="240" w:lineRule="auto"/>
        <w:rPr>
          <w:color w:val="auto"/>
        </w:rPr>
      </w:pPr>
    </w:p>
    <w:p w14:paraId="6BFCE0B3" w14:textId="2EBEDAB9" w:rsidR="00240D28" w:rsidRPr="00284D0F" w:rsidRDefault="00240D28" w:rsidP="00240D28">
      <w:pPr>
        <w:spacing w:line="276" w:lineRule="auto"/>
        <w:rPr>
          <w:color w:val="auto"/>
          <w:sz w:val="6"/>
        </w:rPr>
      </w:pPr>
    </w:p>
    <w:p w14:paraId="5F451CC0" w14:textId="32458C4A" w:rsidR="00240D28" w:rsidRPr="00284D0F" w:rsidRDefault="00240D28" w:rsidP="00240D28">
      <w:pPr>
        <w:pStyle w:val="Boxtext"/>
        <w:keepNext/>
        <w:pBdr>
          <w:top w:val="none" w:sz="0" w:space="0" w:color="auto"/>
          <w:left w:val="none" w:sz="0" w:space="0" w:color="auto"/>
          <w:right w:val="none" w:sz="0" w:space="0" w:color="auto"/>
        </w:pBdr>
        <w:shd w:val="clear" w:color="auto" w:fill="D9D9D9" w:themeFill="background1" w:themeFillShade="D9"/>
        <w:spacing w:line="276" w:lineRule="auto"/>
        <w:rPr>
          <w:b/>
          <w:caps/>
          <w:color w:val="auto"/>
        </w:rPr>
      </w:pPr>
      <w:r w:rsidRPr="00284D0F">
        <w:rPr>
          <w:b/>
          <w:caps/>
          <w:color w:val="auto"/>
        </w:rPr>
        <w:t>Recommendation </w:t>
      </w:r>
      <w:r w:rsidR="00DE72B0">
        <w:rPr>
          <w:b/>
          <w:caps/>
          <w:color w:val="auto"/>
        </w:rPr>
        <w:t>9</w:t>
      </w:r>
    </w:p>
    <w:p w14:paraId="7A8476CB" w14:textId="77777777" w:rsidR="00DE72B0" w:rsidRPr="00284D0F" w:rsidRDefault="00DE72B0" w:rsidP="00DE72B0">
      <w:pPr>
        <w:pStyle w:val="Boxtext"/>
        <w:keepNext/>
        <w:pBdr>
          <w:top w:val="none" w:sz="0" w:space="0" w:color="auto"/>
          <w:left w:val="none" w:sz="0" w:space="0" w:color="auto"/>
          <w:bottom w:val="none" w:sz="0" w:space="0" w:color="auto"/>
          <w:right w:val="none" w:sz="0" w:space="0" w:color="auto"/>
        </w:pBdr>
        <w:shd w:val="clear" w:color="auto" w:fill="D9D9D9" w:themeFill="background1" w:themeFillShade="D9"/>
        <w:spacing w:line="276" w:lineRule="auto"/>
        <w:rPr>
          <w:color w:val="auto"/>
        </w:rPr>
      </w:pPr>
      <w:r>
        <w:t xml:space="preserve">Amend the </w:t>
      </w:r>
      <w:r w:rsidRPr="002762C8">
        <w:rPr>
          <w:i/>
        </w:rPr>
        <w:t>Superannuation Guarantee (Administration) Act 1992</w:t>
      </w:r>
      <w:r>
        <w:t xml:space="preserve"> to specifically include in the base for calculating an employer’s superannuation guarantee obligations those salary or wages sacrificed to superannuation as part of salary sacrifice arrangements.</w:t>
      </w:r>
    </w:p>
    <w:bookmarkEnd w:id="261"/>
    <w:p w14:paraId="5F801DDE" w14:textId="77777777" w:rsidR="0021281C" w:rsidRPr="00B61BFD" w:rsidRDefault="0021281C" w:rsidP="0021281C">
      <w:pPr>
        <w:pStyle w:val="Heading3"/>
      </w:pPr>
      <w:r w:rsidRPr="00B61BFD">
        <w:t>Using salary sacrificed superannuation contributions to satisfy superannuation guarantee obligations</w:t>
      </w:r>
    </w:p>
    <w:p w14:paraId="5106C0D0" w14:textId="77777777" w:rsidR="0021281C" w:rsidRPr="00C65AEF" w:rsidRDefault="0021281C" w:rsidP="00F71EF8">
      <w:pPr>
        <w:pStyle w:val="ListParagraph"/>
        <w:keepNext/>
        <w:numPr>
          <w:ilvl w:val="1"/>
          <w:numId w:val="34"/>
        </w:numPr>
        <w:spacing w:line="360" w:lineRule="auto"/>
        <w:contextualSpacing w:val="0"/>
        <w:rPr>
          <w:color w:val="auto"/>
        </w:rPr>
      </w:pPr>
      <w:r>
        <w:t>At present, all</w:t>
      </w:r>
      <w:r w:rsidRPr="00B61BFD">
        <w:t xml:space="preserve"> employer </w:t>
      </w:r>
      <w:r>
        <w:t xml:space="preserve">superannuation </w:t>
      </w:r>
      <w:r w:rsidRPr="00B61BFD">
        <w:t>contributions</w:t>
      </w:r>
      <w:r>
        <w:t xml:space="preserve">, </w:t>
      </w:r>
      <w:r w:rsidRPr="00B61BFD">
        <w:t>including those made under salary sacrifice arrangements</w:t>
      </w:r>
      <w:r>
        <w:t xml:space="preserve">, </w:t>
      </w:r>
      <w:r w:rsidRPr="00B61BFD">
        <w:t xml:space="preserve">serve to satisfy </w:t>
      </w:r>
      <w:r>
        <w:t>the</w:t>
      </w:r>
      <w:r w:rsidRPr="00B61BFD">
        <w:t xml:space="preserve"> employer’s</w:t>
      </w:r>
      <w:r w:rsidRPr="00063278">
        <w:rPr>
          <w:color w:val="auto"/>
        </w:rPr>
        <w:t xml:space="preserve"> </w:t>
      </w:r>
      <w:r w:rsidR="003B2A13">
        <w:rPr>
          <w:color w:val="auto"/>
        </w:rPr>
        <w:t xml:space="preserve">superannuation guarantee </w:t>
      </w:r>
      <w:r>
        <w:rPr>
          <w:color w:val="auto"/>
        </w:rPr>
        <w:t>obligations</w:t>
      </w:r>
      <w:r w:rsidRPr="00063278">
        <w:rPr>
          <w:color w:val="auto"/>
        </w:rPr>
        <w:t xml:space="preserve">. </w:t>
      </w:r>
      <w:r w:rsidRPr="00B61BFD">
        <w:t>For</w:t>
      </w:r>
      <w:r w:rsidRPr="00C65AEF">
        <w:rPr>
          <w:color w:val="auto"/>
        </w:rPr>
        <w:t xml:space="preserve"> example, an employer’s obligation to contribute $9,500 in superannuation for a person earning $100,000 could be met in full (and without further employer contributions) if the employe</w:t>
      </w:r>
      <w:r>
        <w:rPr>
          <w:color w:val="auto"/>
        </w:rPr>
        <w:t>r</w:t>
      </w:r>
      <w:r w:rsidRPr="00C65AEF">
        <w:rPr>
          <w:color w:val="auto"/>
        </w:rPr>
        <w:t xml:space="preserve"> </w:t>
      </w:r>
      <w:r>
        <w:rPr>
          <w:color w:val="auto"/>
        </w:rPr>
        <w:t>contributed</w:t>
      </w:r>
      <w:r w:rsidRPr="00C65AEF">
        <w:rPr>
          <w:color w:val="auto"/>
        </w:rPr>
        <w:t xml:space="preserve"> $9,500 or more into superannuation</w:t>
      </w:r>
      <w:r>
        <w:rPr>
          <w:color w:val="auto"/>
        </w:rPr>
        <w:t xml:space="preserve"> under a salary sacrifice arrangement with that person</w:t>
      </w:r>
      <w:r w:rsidRPr="00C65AEF">
        <w:rPr>
          <w:color w:val="auto"/>
        </w:rPr>
        <w:t>.</w:t>
      </w:r>
    </w:p>
    <w:p w14:paraId="0B1FCC60" w14:textId="77777777" w:rsidR="0021281C" w:rsidRDefault="0021281C" w:rsidP="00F71EF8">
      <w:pPr>
        <w:pStyle w:val="ListParagraph"/>
        <w:numPr>
          <w:ilvl w:val="1"/>
          <w:numId w:val="34"/>
        </w:numPr>
        <w:spacing w:line="360" w:lineRule="auto"/>
        <w:contextualSpacing w:val="0"/>
        <w:rPr>
          <w:color w:val="auto"/>
        </w:rPr>
      </w:pPr>
      <w:r w:rsidRPr="008A0F2F">
        <w:t>There</w:t>
      </w:r>
      <w:r w:rsidRPr="00063278">
        <w:rPr>
          <w:color w:val="auto"/>
        </w:rPr>
        <w:t xml:space="preserve"> is no clear rationale for this</w:t>
      </w:r>
      <w:r>
        <w:rPr>
          <w:color w:val="auto"/>
        </w:rPr>
        <w:t xml:space="preserve"> situation, which</w:t>
      </w:r>
      <w:r w:rsidRPr="00063278">
        <w:rPr>
          <w:color w:val="auto"/>
        </w:rPr>
        <w:t xml:space="preserve"> </w:t>
      </w:r>
      <w:r>
        <w:rPr>
          <w:color w:val="auto"/>
        </w:rPr>
        <w:t>may reflect</w:t>
      </w:r>
      <w:r w:rsidRPr="00063278">
        <w:rPr>
          <w:color w:val="auto"/>
        </w:rPr>
        <w:t xml:space="preserve"> the fact that salary sacrifice was not in widespread use </w:t>
      </w:r>
      <w:r>
        <w:rPr>
          <w:color w:val="auto"/>
        </w:rPr>
        <w:t>when the current legislation was drafted in the early 1990s</w:t>
      </w:r>
      <w:r w:rsidRPr="00063278">
        <w:rPr>
          <w:color w:val="auto"/>
        </w:rPr>
        <w:t>.</w:t>
      </w:r>
    </w:p>
    <w:p w14:paraId="5DF02610" w14:textId="77777777" w:rsidR="0021281C" w:rsidRPr="00063278" w:rsidRDefault="0021281C" w:rsidP="00F71EF8">
      <w:pPr>
        <w:pStyle w:val="ListParagraph"/>
        <w:numPr>
          <w:ilvl w:val="1"/>
          <w:numId w:val="34"/>
        </w:numPr>
        <w:spacing w:line="360" w:lineRule="auto"/>
        <w:contextualSpacing w:val="0"/>
        <w:rPr>
          <w:color w:val="auto"/>
        </w:rPr>
      </w:pPr>
      <w:r w:rsidRPr="00063278">
        <w:rPr>
          <w:color w:val="auto"/>
        </w:rPr>
        <w:t>The Australian Government Solicitor has p</w:t>
      </w:r>
      <w:r>
        <w:rPr>
          <w:color w:val="auto"/>
        </w:rPr>
        <w:t>reviously p</w:t>
      </w:r>
      <w:r w:rsidRPr="00063278">
        <w:rPr>
          <w:color w:val="auto"/>
        </w:rPr>
        <w:t xml:space="preserve">rovided advice that </w:t>
      </w:r>
      <w:r>
        <w:rPr>
          <w:color w:val="auto"/>
        </w:rPr>
        <w:t xml:space="preserve">use of salary sacrifice money </w:t>
      </w:r>
      <w:r w:rsidRPr="00063278">
        <w:rPr>
          <w:color w:val="auto"/>
        </w:rPr>
        <w:t xml:space="preserve">to satisfy </w:t>
      </w:r>
      <w:r>
        <w:rPr>
          <w:color w:val="auto"/>
        </w:rPr>
        <w:t>an employer’s</w:t>
      </w:r>
      <w:r w:rsidRPr="00063278">
        <w:rPr>
          <w:color w:val="auto"/>
        </w:rPr>
        <w:t xml:space="preserve"> superannuation guarantee obligation</w:t>
      </w:r>
      <w:r>
        <w:rPr>
          <w:color w:val="auto"/>
        </w:rPr>
        <w:t>s</w:t>
      </w:r>
      <w:r w:rsidRPr="00063278">
        <w:rPr>
          <w:color w:val="auto"/>
        </w:rPr>
        <w:t xml:space="preserve"> </w:t>
      </w:r>
      <w:r>
        <w:rPr>
          <w:color w:val="auto"/>
        </w:rPr>
        <w:t xml:space="preserve">would likely breach </w:t>
      </w:r>
      <w:r w:rsidRPr="00063278">
        <w:rPr>
          <w:color w:val="auto"/>
        </w:rPr>
        <w:t xml:space="preserve">the </w:t>
      </w:r>
      <w:r w:rsidRPr="00063278">
        <w:rPr>
          <w:i/>
          <w:color w:val="auto"/>
        </w:rPr>
        <w:t>Fair Work Act 2009</w:t>
      </w:r>
      <w:r w:rsidRPr="00063278">
        <w:rPr>
          <w:color w:val="auto"/>
        </w:rPr>
        <w:t xml:space="preserve">. The </w:t>
      </w:r>
      <w:r w:rsidRPr="00063278">
        <w:rPr>
          <w:i/>
          <w:color w:val="auto"/>
        </w:rPr>
        <w:t>Fair Work Act 2009</w:t>
      </w:r>
      <w:r w:rsidRPr="00063278">
        <w:rPr>
          <w:color w:val="auto"/>
        </w:rPr>
        <w:t xml:space="preserve"> does not permit deductions from wages if they are not ‘principally for the employee’s benefit’ or, if made pursuant to a term of a modern award, enterprise agreement or employment contract, they directly or indirectly benefit the employer and are unreasonable in the circumstances. An employer in breach of the </w:t>
      </w:r>
      <w:r w:rsidRPr="00063278">
        <w:rPr>
          <w:i/>
          <w:color w:val="auto"/>
        </w:rPr>
        <w:t>Fair Work Act 2009</w:t>
      </w:r>
      <w:r w:rsidRPr="00063278">
        <w:rPr>
          <w:color w:val="auto"/>
        </w:rPr>
        <w:t xml:space="preserve"> is exposed to civil penalties. However, relying solely on enforcement of this interpretation by the </w:t>
      </w:r>
      <w:r w:rsidR="00C61335">
        <w:rPr>
          <w:color w:val="auto"/>
        </w:rPr>
        <w:t>FWO</w:t>
      </w:r>
      <w:r w:rsidRPr="00063278">
        <w:rPr>
          <w:color w:val="auto"/>
        </w:rPr>
        <w:t xml:space="preserve"> is </w:t>
      </w:r>
      <w:r>
        <w:rPr>
          <w:color w:val="auto"/>
        </w:rPr>
        <w:t>not likely</w:t>
      </w:r>
      <w:r w:rsidRPr="00063278">
        <w:rPr>
          <w:color w:val="auto"/>
        </w:rPr>
        <w:t xml:space="preserve"> to be effective </w:t>
      </w:r>
      <w:r>
        <w:rPr>
          <w:color w:val="auto"/>
        </w:rPr>
        <w:t>as the FWO</w:t>
      </w:r>
      <w:r w:rsidRPr="00063278">
        <w:rPr>
          <w:color w:val="auto"/>
        </w:rPr>
        <w:t xml:space="preserve"> does not have the specialist expertise to deal with complex superannuation matters.</w:t>
      </w:r>
    </w:p>
    <w:p w14:paraId="60F10D93" w14:textId="77777777" w:rsidR="0021281C" w:rsidRPr="001A4DE5" w:rsidRDefault="0021281C" w:rsidP="00F71EF8">
      <w:pPr>
        <w:pStyle w:val="ListParagraph"/>
        <w:numPr>
          <w:ilvl w:val="1"/>
          <w:numId w:val="34"/>
        </w:numPr>
        <w:spacing w:line="360" w:lineRule="auto"/>
        <w:contextualSpacing w:val="0"/>
        <w:rPr>
          <w:color w:val="auto"/>
        </w:rPr>
      </w:pPr>
      <w:r w:rsidRPr="001A4DE5">
        <w:rPr>
          <w:color w:val="auto"/>
        </w:rPr>
        <w:t xml:space="preserve">It is difficult to quantify the </w:t>
      </w:r>
      <w:r>
        <w:rPr>
          <w:color w:val="auto"/>
        </w:rPr>
        <w:t>prevalence of</w:t>
      </w:r>
      <w:r w:rsidRPr="001A4DE5">
        <w:rPr>
          <w:color w:val="auto"/>
        </w:rPr>
        <w:t xml:space="preserve"> this practice</w:t>
      </w:r>
      <w:r>
        <w:rPr>
          <w:color w:val="auto"/>
        </w:rPr>
        <w:t>. The Working Group does not have evidence that it is widespread</w:t>
      </w:r>
      <w:r w:rsidRPr="001A4DE5">
        <w:rPr>
          <w:color w:val="auto"/>
        </w:rPr>
        <w:t>.</w:t>
      </w:r>
      <w:r>
        <w:rPr>
          <w:rStyle w:val="FootnoteReference"/>
          <w:color w:val="auto"/>
        </w:rPr>
        <w:footnoteReference w:id="37"/>
      </w:r>
      <w:r w:rsidRPr="001A4DE5">
        <w:rPr>
          <w:color w:val="auto"/>
        </w:rPr>
        <w:t xml:space="preserve"> </w:t>
      </w:r>
    </w:p>
    <w:p w14:paraId="1AA2B179" w14:textId="77777777" w:rsidR="0021281C" w:rsidRDefault="0021281C" w:rsidP="00F71EF8">
      <w:pPr>
        <w:pStyle w:val="ListParagraph"/>
        <w:numPr>
          <w:ilvl w:val="1"/>
          <w:numId w:val="34"/>
        </w:numPr>
        <w:spacing w:line="360" w:lineRule="auto"/>
        <w:contextualSpacing w:val="0"/>
        <w:rPr>
          <w:color w:val="auto"/>
        </w:rPr>
      </w:pPr>
      <w:r>
        <w:rPr>
          <w:color w:val="auto"/>
        </w:rPr>
        <w:t xml:space="preserve">The Working Group considers that this anomaly should be addressed. </w:t>
      </w:r>
    </w:p>
    <w:p w14:paraId="6E7F261A" w14:textId="77777777" w:rsidR="0021281C" w:rsidRPr="00063278" w:rsidRDefault="0021281C" w:rsidP="00F71EF8">
      <w:pPr>
        <w:pStyle w:val="ListParagraph"/>
        <w:numPr>
          <w:ilvl w:val="1"/>
          <w:numId w:val="34"/>
        </w:numPr>
        <w:spacing w:line="360" w:lineRule="auto"/>
        <w:contextualSpacing w:val="0"/>
        <w:rPr>
          <w:color w:val="auto"/>
        </w:rPr>
      </w:pPr>
      <w:r w:rsidRPr="00063278">
        <w:rPr>
          <w:color w:val="auto"/>
        </w:rPr>
        <w:t xml:space="preserve">This </w:t>
      </w:r>
      <w:r>
        <w:rPr>
          <w:color w:val="auto"/>
        </w:rPr>
        <w:t>can be done</w:t>
      </w:r>
      <w:r w:rsidRPr="00063278">
        <w:rPr>
          <w:color w:val="auto"/>
        </w:rPr>
        <w:t xml:space="preserve"> by amending the </w:t>
      </w:r>
      <w:r w:rsidRPr="002638C0">
        <w:rPr>
          <w:i/>
          <w:color w:val="auto"/>
        </w:rPr>
        <w:t>Superannuation Guarantee (Administration) Act 1992</w:t>
      </w:r>
      <w:r w:rsidRPr="00063278">
        <w:rPr>
          <w:color w:val="auto"/>
        </w:rPr>
        <w:t xml:space="preserve"> to preclude the use of contributions made under salary sacrifice arrangements to satisfy </w:t>
      </w:r>
      <w:r>
        <w:rPr>
          <w:color w:val="auto"/>
        </w:rPr>
        <w:t>an</w:t>
      </w:r>
      <w:r w:rsidRPr="00063278">
        <w:rPr>
          <w:color w:val="auto"/>
        </w:rPr>
        <w:t xml:space="preserve"> employer’s </w:t>
      </w:r>
      <w:r w:rsidR="00636366">
        <w:rPr>
          <w:color w:val="auto"/>
        </w:rPr>
        <w:t>superannuation guarantee</w:t>
      </w:r>
      <w:r w:rsidR="00636366" w:rsidRPr="00063278">
        <w:rPr>
          <w:color w:val="auto"/>
        </w:rPr>
        <w:t xml:space="preserve"> </w:t>
      </w:r>
      <w:r w:rsidRPr="00063278">
        <w:rPr>
          <w:color w:val="auto"/>
        </w:rPr>
        <w:t>obligation</w:t>
      </w:r>
      <w:r>
        <w:rPr>
          <w:color w:val="auto"/>
        </w:rPr>
        <w:t>s</w:t>
      </w:r>
      <w:r w:rsidRPr="00063278">
        <w:rPr>
          <w:color w:val="auto"/>
        </w:rPr>
        <w:t>.</w:t>
      </w:r>
    </w:p>
    <w:p w14:paraId="1EE5A7A9" w14:textId="77777777" w:rsidR="0021281C" w:rsidRPr="00B61BFD" w:rsidRDefault="0021281C" w:rsidP="0021281C">
      <w:pPr>
        <w:pStyle w:val="Heading3"/>
      </w:pPr>
      <w:r>
        <w:rPr>
          <w:color w:val="auto"/>
        </w:rPr>
        <w:t>Salary sacrifice and</w:t>
      </w:r>
      <w:r w:rsidRPr="00B61BFD">
        <w:t xml:space="preserve"> the superannuation guarantee base </w:t>
      </w:r>
    </w:p>
    <w:p w14:paraId="6B5DCDBE" w14:textId="77777777" w:rsidR="0021281C" w:rsidRDefault="0021281C" w:rsidP="00F71EF8">
      <w:pPr>
        <w:pStyle w:val="ListParagraph"/>
        <w:keepNext/>
        <w:numPr>
          <w:ilvl w:val="1"/>
          <w:numId w:val="34"/>
        </w:numPr>
        <w:spacing w:line="360" w:lineRule="auto"/>
        <w:contextualSpacing w:val="0"/>
        <w:rPr>
          <w:color w:val="auto"/>
        </w:rPr>
      </w:pPr>
      <w:r>
        <w:rPr>
          <w:color w:val="auto"/>
        </w:rPr>
        <w:t xml:space="preserve">In addition to receiving </w:t>
      </w:r>
      <w:r w:rsidR="00636366">
        <w:rPr>
          <w:color w:val="auto"/>
        </w:rPr>
        <w:t xml:space="preserve">superannuation guarantee </w:t>
      </w:r>
      <w:r>
        <w:rPr>
          <w:color w:val="auto"/>
        </w:rPr>
        <w:t>contributions, some employees are able to make additional salary sacrifice contributions to superannuation. From 1</w:t>
      </w:r>
      <w:r w:rsidR="00636366">
        <w:rPr>
          <w:color w:val="auto"/>
        </w:rPr>
        <w:t> </w:t>
      </w:r>
      <w:r>
        <w:rPr>
          <w:color w:val="auto"/>
        </w:rPr>
        <w:t>July 2017, employees will also be able to make personal deductible contributions to superannuation. This will benefit employees whose employers do not offer salary sacrifice arrangements.</w:t>
      </w:r>
    </w:p>
    <w:p w14:paraId="08AAD994" w14:textId="77777777" w:rsidR="0021281C" w:rsidRDefault="0021281C" w:rsidP="00F71EF8">
      <w:pPr>
        <w:pStyle w:val="ListParagraph"/>
        <w:keepNext/>
        <w:numPr>
          <w:ilvl w:val="1"/>
          <w:numId w:val="34"/>
        </w:numPr>
        <w:spacing w:line="360" w:lineRule="auto"/>
        <w:contextualSpacing w:val="0"/>
        <w:rPr>
          <w:color w:val="auto"/>
        </w:rPr>
      </w:pPr>
      <w:r>
        <w:rPr>
          <w:color w:val="auto"/>
        </w:rPr>
        <w:t>An individual who makes personal deductible contributions to superannuation from their post</w:t>
      </w:r>
      <w:r w:rsidR="00636366">
        <w:rPr>
          <w:color w:val="auto"/>
        </w:rPr>
        <w:noBreakHyphen/>
      </w:r>
      <w:r>
        <w:rPr>
          <w:color w:val="auto"/>
        </w:rPr>
        <w:t xml:space="preserve">tax income will receive their ‘full’ </w:t>
      </w:r>
      <w:r w:rsidR="00636366">
        <w:rPr>
          <w:color w:val="auto"/>
        </w:rPr>
        <w:t xml:space="preserve">superannuation guarantee </w:t>
      </w:r>
      <w:r>
        <w:rPr>
          <w:color w:val="auto"/>
        </w:rPr>
        <w:t xml:space="preserve">entitlement. However, an individual who makes salary sacrifice contributions may receive a reduced </w:t>
      </w:r>
      <w:r w:rsidR="00636366">
        <w:rPr>
          <w:color w:val="auto"/>
        </w:rPr>
        <w:t xml:space="preserve">superannuation guarantee </w:t>
      </w:r>
      <w:r>
        <w:rPr>
          <w:color w:val="auto"/>
        </w:rPr>
        <w:t xml:space="preserve">contribution from their employer. </w:t>
      </w:r>
    </w:p>
    <w:p w14:paraId="1D69B74B" w14:textId="77777777" w:rsidR="0021281C" w:rsidRDefault="0021281C" w:rsidP="00F71EF8">
      <w:pPr>
        <w:pStyle w:val="ListParagraph"/>
        <w:keepNext/>
        <w:numPr>
          <w:ilvl w:val="1"/>
          <w:numId w:val="34"/>
        </w:numPr>
        <w:spacing w:line="360" w:lineRule="auto"/>
        <w:contextualSpacing w:val="0"/>
        <w:rPr>
          <w:color w:val="auto"/>
        </w:rPr>
      </w:pPr>
      <w:r>
        <w:rPr>
          <w:color w:val="auto"/>
        </w:rPr>
        <w:t xml:space="preserve">This is because salary sacrifice reduces the base against which an employer’s </w:t>
      </w:r>
      <w:r w:rsidR="00636366">
        <w:rPr>
          <w:color w:val="auto"/>
        </w:rPr>
        <w:t xml:space="preserve">superannuation guarantee </w:t>
      </w:r>
      <w:r>
        <w:rPr>
          <w:color w:val="auto"/>
        </w:rPr>
        <w:t xml:space="preserve">obligations are calculated. </w:t>
      </w:r>
    </w:p>
    <w:p w14:paraId="7BA97862" w14:textId="7B1F52E4" w:rsidR="0021281C" w:rsidRPr="00C65AEF" w:rsidRDefault="0021281C" w:rsidP="00F71EF8">
      <w:pPr>
        <w:pStyle w:val="ListParagraph"/>
        <w:keepNext/>
        <w:numPr>
          <w:ilvl w:val="1"/>
          <w:numId w:val="34"/>
        </w:numPr>
        <w:spacing w:line="360" w:lineRule="auto"/>
        <w:contextualSpacing w:val="0"/>
        <w:rPr>
          <w:color w:val="auto"/>
        </w:rPr>
      </w:pPr>
      <w:r w:rsidRPr="00063278">
        <w:rPr>
          <w:color w:val="auto"/>
        </w:rPr>
        <w:t xml:space="preserve">In </w:t>
      </w:r>
      <w:r w:rsidRPr="00B61BFD">
        <w:t xml:space="preserve">the example above in </w:t>
      </w:r>
      <w:r w:rsidRPr="00F71EF8">
        <w:t>paragraph 5.2</w:t>
      </w:r>
      <w:r w:rsidR="003675B5" w:rsidRPr="00F71EF8">
        <w:t>4</w:t>
      </w:r>
      <w:r w:rsidRPr="00F71EF8">
        <w:t>,</w:t>
      </w:r>
      <w:r>
        <w:t xml:space="preserve"> the </w:t>
      </w:r>
      <w:r w:rsidRPr="00B61BFD">
        <w:t xml:space="preserve">sacrifice </w:t>
      </w:r>
      <w:r>
        <w:t>of $9,500 would reduce the</w:t>
      </w:r>
      <w:r w:rsidRPr="00B61BFD">
        <w:t xml:space="preserve"> employee’s salary </w:t>
      </w:r>
      <w:r>
        <w:t xml:space="preserve">from $100,000 to $90,500. This in turn would reduce the minimum required </w:t>
      </w:r>
      <w:r w:rsidR="00636366">
        <w:t>superannuation guarantee</w:t>
      </w:r>
      <w:r w:rsidR="00636366" w:rsidRPr="00B61BFD">
        <w:t xml:space="preserve"> </w:t>
      </w:r>
      <w:r w:rsidRPr="00B61BFD">
        <w:t xml:space="preserve">contribution to </w:t>
      </w:r>
      <w:r>
        <w:t xml:space="preserve">from $9,500 to </w:t>
      </w:r>
      <w:r w:rsidRPr="00B61BFD">
        <w:t>$8,598.</w:t>
      </w:r>
      <w:r>
        <w:t xml:space="preserve"> </w:t>
      </w:r>
    </w:p>
    <w:p w14:paraId="2F7C3406" w14:textId="45923726" w:rsidR="0021281C" w:rsidRPr="00063278" w:rsidRDefault="002E5A2D" w:rsidP="00F71EF8">
      <w:pPr>
        <w:pStyle w:val="ListParagraph"/>
        <w:numPr>
          <w:ilvl w:val="1"/>
          <w:numId w:val="34"/>
        </w:numPr>
        <w:spacing w:line="360" w:lineRule="auto"/>
        <w:contextualSpacing w:val="0"/>
        <w:rPr>
          <w:color w:val="auto"/>
        </w:rPr>
      </w:pPr>
      <w:r>
        <w:rPr>
          <w:color w:val="auto"/>
        </w:rPr>
        <w:t>T</w:t>
      </w:r>
      <w:r w:rsidR="0021281C" w:rsidRPr="00063278">
        <w:rPr>
          <w:color w:val="auto"/>
        </w:rPr>
        <w:t>he Australian Government Solicitor</w:t>
      </w:r>
      <w:r w:rsidR="00911DE4">
        <w:rPr>
          <w:color w:val="auto"/>
        </w:rPr>
        <w:t xml:space="preserve"> has</w:t>
      </w:r>
      <w:r w:rsidR="0021281C" w:rsidRPr="00063278">
        <w:rPr>
          <w:color w:val="auto"/>
        </w:rPr>
        <w:t xml:space="preserve"> advised that the practice of employers reducing their employees’ superannuation guarantee base by amount</w:t>
      </w:r>
      <w:r w:rsidR="0021281C">
        <w:rPr>
          <w:color w:val="auto"/>
        </w:rPr>
        <w:t>s</w:t>
      </w:r>
      <w:r w:rsidR="0021281C" w:rsidRPr="00063278">
        <w:rPr>
          <w:color w:val="auto"/>
        </w:rPr>
        <w:t xml:space="preserve"> that </w:t>
      </w:r>
      <w:r w:rsidR="0021281C">
        <w:rPr>
          <w:color w:val="auto"/>
        </w:rPr>
        <w:t>are</w:t>
      </w:r>
      <w:r w:rsidR="0021281C" w:rsidRPr="00063278">
        <w:rPr>
          <w:color w:val="auto"/>
        </w:rPr>
        <w:t xml:space="preserve"> salary sacrificed </w:t>
      </w:r>
      <w:r w:rsidR="0021281C">
        <w:rPr>
          <w:color w:val="auto"/>
        </w:rPr>
        <w:t>is unlikely to</w:t>
      </w:r>
      <w:r w:rsidR="0021281C" w:rsidRPr="00063278">
        <w:rPr>
          <w:color w:val="auto"/>
        </w:rPr>
        <w:t xml:space="preserve"> </w:t>
      </w:r>
      <w:r w:rsidR="0021281C">
        <w:rPr>
          <w:color w:val="auto"/>
        </w:rPr>
        <w:t>constitute a breach of</w:t>
      </w:r>
      <w:r w:rsidR="0021281C" w:rsidRPr="00063278">
        <w:rPr>
          <w:color w:val="auto"/>
        </w:rPr>
        <w:t xml:space="preserve"> the</w:t>
      </w:r>
      <w:r w:rsidR="0021281C" w:rsidRPr="00063278">
        <w:rPr>
          <w:i/>
          <w:color w:val="auto"/>
        </w:rPr>
        <w:t xml:space="preserve"> Fair Work Act 2009</w:t>
      </w:r>
      <w:r w:rsidR="0021281C" w:rsidRPr="00063278">
        <w:rPr>
          <w:color w:val="auto"/>
        </w:rPr>
        <w:t>.</w:t>
      </w:r>
    </w:p>
    <w:p w14:paraId="4AE49DB9" w14:textId="77777777" w:rsidR="0021281C" w:rsidRDefault="0021281C" w:rsidP="00F71EF8">
      <w:pPr>
        <w:pStyle w:val="ListParagraph"/>
        <w:keepNext/>
        <w:numPr>
          <w:ilvl w:val="1"/>
          <w:numId w:val="34"/>
        </w:numPr>
        <w:spacing w:line="360" w:lineRule="auto"/>
        <w:contextualSpacing w:val="0"/>
        <w:rPr>
          <w:color w:val="auto"/>
        </w:rPr>
      </w:pPr>
      <w:r>
        <w:rPr>
          <w:color w:val="auto"/>
        </w:rPr>
        <w:t xml:space="preserve">It is not clear how many employers reduce </w:t>
      </w:r>
      <w:r w:rsidR="00636366">
        <w:rPr>
          <w:color w:val="auto"/>
        </w:rPr>
        <w:t xml:space="preserve">superannuation guarantee </w:t>
      </w:r>
      <w:r>
        <w:rPr>
          <w:color w:val="auto"/>
        </w:rPr>
        <w:t xml:space="preserve">contributions where employees elect to salary sacrifice into superannuation. </w:t>
      </w:r>
      <w:r w:rsidR="002E5A2D">
        <w:rPr>
          <w:color w:val="auto"/>
        </w:rPr>
        <w:t>T</w:t>
      </w:r>
      <w:r>
        <w:rPr>
          <w:color w:val="auto"/>
        </w:rPr>
        <w:t>he volume of c</w:t>
      </w:r>
      <w:r w:rsidRPr="00063278">
        <w:rPr>
          <w:color w:val="auto"/>
        </w:rPr>
        <w:t xml:space="preserve">omplaints to the ATO and Treasury </w:t>
      </w:r>
      <w:r>
        <w:rPr>
          <w:color w:val="auto"/>
        </w:rPr>
        <w:t>do not indicate that</w:t>
      </w:r>
      <w:r w:rsidRPr="00063278">
        <w:rPr>
          <w:color w:val="auto"/>
        </w:rPr>
        <w:t xml:space="preserve"> </w:t>
      </w:r>
      <w:r>
        <w:rPr>
          <w:color w:val="auto"/>
        </w:rPr>
        <w:t>the practice is widespread</w:t>
      </w:r>
      <w:r w:rsidRPr="00063278">
        <w:rPr>
          <w:color w:val="auto"/>
        </w:rPr>
        <w:t>.</w:t>
      </w:r>
      <w:r>
        <w:rPr>
          <w:color w:val="auto"/>
        </w:rPr>
        <w:t xml:space="preserve"> </w:t>
      </w:r>
    </w:p>
    <w:p w14:paraId="3F83B05A" w14:textId="77777777" w:rsidR="0021281C" w:rsidRDefault="0021281C" w:rsidP="00F71EF8">
      <w:pPr>
        <w:pStyle w:val="ListParagraph"/>
        <w:numPr>
          <w:ilvl w:val="1"/>
          <w:numId w:val="34"/>
        </w:numPr>
        <w:spacing w:line="360" w:lineRule="auto"/>
        <w:contextualSpacing w:val="0"/>
        <w:rPr>
          <w:color w:val="auto"/>
        </w:rPr>
      </w:pPr>
      <w:r>
        <w:rPr>
          <w:color w:val="auto"/>
        </w:rPr>
        <w:t>The</w:t>
      </w:r>
      <w:r w:rsidRPr="00BC72A9">
        <w:rPr>
          <w:color w:val="auto"/>
        </w:rPr>
        <w:t xml:space="preserve"> Working Group consider</w:t>
      </w:r>
      <w:r>
        <w:rPr>
          <w:color w:val="auto"/>
        </w:rPr>
        <w:t>s</w:t>
      </w:r>
      <w:r w:rsidRPr="00BC72A9">
        <w:rPr>
          <w:color w:val="auto"/>
        </w:rPr>
        <w:t xml:space="preserve"> </w:t>
      </w:r>
      <w:r>
        <w:rPr>
          <w:color w:val="auto"/>
        </w:rPr>
        <w:t>that the Government should amend</w:t>
      </w:r>
      <w:r w:rsidRPr="00BC72A9">
        <w:rPr>
          <w:color w:val="auto"/>
        </w:rPr>
        <w:t xml:space="preserve"> </w:t>
      </w:r>
      <w:r>
        <w:rPr>
          <w:color w:val="auto"/>
        </w:rPr>
        <w:t xml:space="preserve">the law to </w:t>
      </w:r>
      <w:r w:rsidRPr="00BC72A9">
        <w:rPr>
          <w:color w:val="auto"/>
        </w:rPr>
        <w:t>include amounts salary sacrificed into superannuation in the base for calculating superannuation guarantee.</w:t>
      </w:r>
      <w:r>
        <w:rPr>
          <w:color w:val="auto"/>
        </w:rPr>
        <w:t xml:space="preserve"> This will ensure consistency between </w:t>
      </w:r>
      <w:r w:rsidR="00636366">
        <w:rPr>
          <w:color w:val="auto"/>
        </w:rPr>
        <w:t>employees who utilise salary sacrifice to make additional superannuation contributions and those who make personal contributions and claim an income tax deduction.</w:t>
      </w:r>
    </w:p>
    <w:p w14:paraId="11558ECA" w14:textId="77777777" w:rsidR="0021281C" w:rsidRDefault="0021281C" w:rsidP="00911DE4">
      <w:pPr>
        <w:pStyle w:val="Heading2"/>
      </w:pPr>
      <w:bookmarkStart w:id="280" w:name="_Toc478036028"/>
      <w:bookmarkStart w:id="281" w:name="_Toc478034696"/>
      <w:bookmarkStart w:id="282" w:name="_Toc478036060"/>
      <w:bookmarkStart w:id="283" w:name="_Toc478403058"/>
      <w:bookmarkStart w:id="284" w:name="_Toc478485983"/>
      <w:bookmarkStart w:id="285" w:name="_Toc478501993"/>
      <w:bookmarkStart w:id="286" w:name="_Toc478651971"/>
      <w:bookmarkStart w:id="287" w:name="_Toc478654432"/>
      <w:bookmarkStart w:id="288" w:name="_Toc478655146"/>
      <w:bookmarkStart w:id="289" w:name="_Toc478656400"/>
      <w:bookmarkStart w:id="290" w:name="_Toc478657651"/>
      <w:bookmarkStart w:id="291" w:name="_Toc478718247"/>
      <w:bookmarkStart w:id="292" w:name="_Toc478718457"/>
      <w:bookmarkStart w:id="293" w:name="_Toc478738406"/>
      <w:bookmarkStart w:id="294" w:name="_Toc478740692"/>
      <w:r>
        <w:t>Helping</w:t>
      </w:r>
      <w:r w:rsidRPr="00EB3F0D">
        <w:t xml:space="preserve"> employers</w:t>
      </w:r>
      <w:bookmarkEnd w:id="280"/>
      <w:bookmarkEnd w:id="281"/>
      <w:bookmarkEnd w:id="282"/>
      <w:bookmarkEnd w:id="283"/>
      <w:bookmarkEnd w:id="284"/>
      <w:bookmarkEnd w:id="285"/>
      <w:r>
        <w:t xml:space="preserve"> understand their obligations</w:t>
      </w:r>
      <w:bookmarkEnd w:id="286"/>
      <w:bookmarkEnd w:id="287"/>
      <w:bookmarkEnd w:id="288"/>
      <w:bookmarkEnd w:id="289"/>
      <w:bookmarkEnd w:id="290"/>
      <w:bookmarkEnd w:id="291"/>
      <w:bookmarkEnd w:id="292"/>
      <w:bookmarkEnd w:id="293"/>
      <w:bookmarkEnd w:id="294"/>
    </w:p>
    <w:p w14:paraId="11350FC3" w14:textId="77777777" w:rsidR="007669E6" w:rsidRPr="00284D0F" w:rsidRDefault="007669E6" w:rsidP="007669E6">
      <w:pPr>
        <w:pStyle w:val="Boxtext"/>
        <w:keepNext/>
        <w:pBdr>
          <w:top w:val="none" w:sz="0" w:space="0" w:color="auto"/>
          <w:left w:val="none" w:sz="0" w:space="0" w:color="auto"/>
          <w:right w:val="none" w:sz="0" w:space="0" w:color="auto"/>
        </w:pBdr>
        <w:shd w:val="clear" w:color="auto" w:fill="B8CCE4" w:themeFill="accent1" w:themeFillTint="66"/>
        <w:spacing w:line="276" w:lineRule="auto"/>
        <w:rPr>
          <w:b/>
          <w:caps/>
          <w:color w:val="auto"/>
        </w:rPr>
      </w:pPr>
      <w:r>
        <w:rPr>
          <w:b/>
          <w:caps/>
          <w:color w:val="auto"/>
        </w:rPr>
        <w:t>agency action</w:t>
      </w:r>
      <w:r w:rsidRPr="00284D0F">
        <w:rPr>
          <w:b/>
          <w:caps/>
          <w:color w:val="auto"/>
        </w:rPr>
        <w:t> </w:t>
      </w:r>
      <w:r>
        <w:rPr>
          <w:b/>
          <w:caps/>
          <w:color w:val="auto"/>
        </w:rPr>
        <w:t>6</w:t>
      </w:r>
    </w:p>
    <w:p w14:paraId="424AB5C8" w14:textId="77777777" w:rsidR="00DE72B0" w:rsidRPr="00284D0F" w:rsidRDefault="00DE72B0" w:rsidP="00DE72B0">
      <w:pPr>
        <w:pStyle w:val="Boxtext"/>
        <w:keepNext/>
        <w:pBdr>
          <w:top w:val="none" w:sz="0" w:space="0" w:color="auto"/>
          <w:left w:val="none" w:sz="0" w:space="0" w:color="auto"/>
          <w:bottom w:val="none" w:sz="0" w:space="0" w:color="auto"/>
          <w:right w:val="none" w:sz="0" w:space="0" w:color="auto"/>
        </w:pBdr>
        <w:shd w:val="clear" w:color="auto" w:fill="B8CCE4" w:themeFill="accent1" w:themeFillTint="66"/>
        <w:spacing w:line="276" w:lineRule="auto"/>
        <w:rPr>
          <w:color w:val="auto"/>
        </w:rPr>
      </w:pPr>
      <w:r w:rsidRPr="00580825">
        <w:t>T</w:t>
      </w:r>
      <w:r>
        <w:t>o assist employers t</w:t>
      </w:r>
      <w:r w:rsidRPr="00580825">
        <w:t>he ATO will actively promote and make more visible its education and assistance services, tools and calculators, including the recently updated Employee Contractor Decision Tool.</w:t>
      </w:r>
    </w:p>
    <w:p w14:paraId="147BBC8E" w14:textId="77777777" w:rsidR="007669E6" w:rsidRPr="00284D0F" w:rsidRDefault="007669E6" w:rsidP="007669E6">
      <w:pPr>
        <w:spacing w:line="276" w:lineRule="auto"/>
        <w:rPr>
          <w:color w:val="auto"/>
          <w:sz w:val="6"/>
        </w:rPr>
      </w:pPr>
    </w:p>
    <w:p w14:paraId="69FD4B2E" w14:textId="77777777" w:rsidR="007669E6" w:rsidRPr="00284D0F" w:rsidRDefault="007669E6" w:rsidP="007669E6">
      <w:pPr>
        <w:pStyle w:val="Boxtext"/>
        <w:keepNext/>
        <w:pBdr>
          <w:top w:val="none" w:sz="0" w:space="0" w:color="auto"/>
          <w:left w:val="none" w:sz="0" w:space="0" w:color="auto"/>
          <w:right w:val="none" w:sz="0" w:space="0" w:color="auto"/>
        </w:pBdr>
        <w:shd w:val="clear" w:color="auto" w:fill="B8CCE4" w:themeFill="accent1" w:themeFillTint="66"/>
        <w:spacing w:line="276" w:lineRule="auto"/>
        <w:rPr>
          <w:b/>
          <w:caps/>
          <w:color w:val="auto"/>
        </w:rPr>
      </w:pPr>
      <w:r>
        <w:rPr>
          <w:b/>
          <w:caps/>
          <w:color w:val="auto"/>
        </w:rPr>
        <w:t>agency action</w:t>
      </w:r>
      <w:r w:rsidRPr="00284D0F">
        <w:rPr>
          <w:b/>
          <w:caps/>
          <w:color w:val="auto"/>
        </w:rPr>
        <w:t> </w:t>
      </w:r>
      <w:r>
        <w:rPr>
          <w:b/>
          <w:caps/>
          <w:color w:val="auto"/>
        </w:rPr>
        <w:t>7</w:t>
      </w:r>
    </w:p>
    <w:p w14:paraId="0C76D4B0" w14:textId="77777777" w:rsidR="00DE72B0" w:rsidRPr="00284D0F" w:rsidRDefault="00DE72B0" w:rsidP="00DE72B0">
      <w:pPr>
        <w:pStyle w:val="Boxtext"/>
        <w:keepNext/>
        <w:pBdr>
          <w:top w:val="none" w:sz="0" w:space="0" w:color="auto"/>
          <w:left w:val="none" w:sz="0" w:space="0" w:color="auto"/>
          <w:bottom w:val="none" w:sz="0" w:space="0" w:color="auto"/>
          <w:right w:val="none" w:sz="0" w:space="0" w:color="auto"/>
        </w:pBdr>
        <w:shd w:val="clear" w:color="auto" w:fill="B8CCE4" w:themeFill="accent1" w:themeFillTint="66"/>
        <w:spacing w:line="276" w:lineRule="auto"/>
        <w:rPr>
          <w:color w:val="auto"/>
        </w:rPr>
      </w:pPr>
      <w:r w:rsidRPr="00C11280">
        <w:t>T</w:t>
      </w:r>
      <w:r>
        <w:t>o provide more clarity and administrative ease for employers t</w:t>
      </w:r>
      <w:r w:rsidRPr="00C11280">
        <w:t>he ATO will review the useability of the superannuation guarantee charge form, instruction</w:t>
      </w:r>
      <w:r>
        <w:t>s</w:t>
      </w:r>
      <w:r w:rsidRPr="00C11280">
        <w:t xml:space="preserve"> and lodgement processes</w:t>
      </w:r>
      <w:r w:rsidRPr="00580825">
        <w:t>.</w:t>
      </w:r>
    </w:p>
    <w:p w14:paraId="1138E86D" w14:textId="77777777" w:rsidR="007669E6" w:rsidRDefault="007669E6" w:rsidP="00224B95"/>
    <w:p w14:paraId="4F395A10" w14:textId="77777777" w:rsidR="0021281C" w:rsidRDefault="0021281C" w:rsidP="0021281C">
      <w:pPr>
        <w:pStyle w:val="ListParagraph"/>
        <w:numPr>
          <w:ilvl w:val="1"/>
          <w:numId w:val="34"/>
        </w:numPr>
        <w:spacing w:line="360" w:lineRule="auto"/>
        <w:contextualSpacing w:val="0"/>
        <w:rPr>
          <w:color w:val="auto"/>
        </w:rPr>
      </w:pPr>
      <w:r>
        <w:rPr>
          <w:color w:val="auto"/>
        </w:rPr>
        <w:t>Education and assistance is particularly important for small business employers to help them understand their obligations.</w:t>
      </w:r>
    </w:p>
    <w:p w14:paraId="6641080E" w14:textId="6A3E9804" w:rsidR="0021281C" w:rsidRPr="00032487" w:rsidRDefault="001C5D44" w:rsidP="0021281C">
      <w:pPr>
        <w:pStyle w:val="ListParagraph"/>
        <w:numPr>
          <w:ilvl w:val="1"/>
          <w:numId w:val="34"/>
        </w:numPr>
        <w:spacing w:line="360" w:lineRule="auto"/>
        <w:contextualSpacing w:val="0"/>
        <w:rPr>
          <w:color w:val="auto"/>
        </w:rPr>
      </w:pPr>
      <w:r>
        <w:rPr>
          <w:color w:val="auto"/>
        </w:rPr>
        <w:t>Non-compliance is more likely to occur amongst s</w:t>
      </w:r>
      <w:r w:rsidR="0021281C" w:rsidRPr="00032487">
        <w:rPr>
          <w:color w:val="auto"/>
        </w:rPr>
        <w:t>mall business</w:t>
      </w:r>
      <w:r>
        <w:rPr>
          <w:color w:val="auto"/>
        </w:rPr>
        <w:t xml:space="preserve"> employers</w:t>
      </w:r>
      <w:r w:rsidR="00911DE4">
        <w:rPr>
          <w:color w:val="auto"/>
        </w:rPr>
        <w:t>,</w:t>
      </w:r>
      <w:r w:rsidR="0021281C" w:rsidRPr="00032487">
        <w:rPr>
          <w:color w:val="auto"/>
        </w:rPr>
        <w:t xml:space="preserve"> as</w:t>
      </w:r>
      <w:r w:rsidR="0021281C">
        <w:rPr>
          <w:color w:val="auto"/>
        </w:rPr>
        <w:t xml:space="preserve"> superannuation guarantee</w:t>
      </w:r>
      <w:r w:rsidR="0021281C" w:rsidRPr="00032487">
        <w:rPr>
          <w:color w:val="auto"/>
        </w:rPr>
        <w:t xml:space="preserve"> obligations are </w:t>
      </w:r>
      <w:r w:rsidR="0021281C">
        <w:rPr>
          <w:color w:val="auto"/>
        </w:rPr>
        <w:t xml:space="preserve">likely to be </w:t>
      </w:r>
      <w:r w:rsidR="0021281C" w:rsidRPr="00032487">
        <w:rPr>
          <w:color w:val="auto"/>
        </w:rPr>
        <w:t xml:space="preserve">outside </w:t>
      </w:r>
      <w:r w:rsidR="0021281C">
        <w:rPr>
          <w:color w:val="auto"/>
        </w:rPr>
        <w:t xml:space="preserve">their </w:t>
      </w:r>
      <w:r w:rsidR="0021281C" w:rsidRPr="00032487">
        <w:rPr>
          <w:color w:val="auto"/>
        </w:rPr>
        <w:t xml:space="preserve">area of business expertise. </w:t>
      </w:r>
      <w:r>
        <w:rPr>
          <w:color w:val="auto"/>
        </w:rPr>
        <w:t xml:space="preserve">The </w:t>
      </w:r>
      <w:r w:rsidR="0021281C">
        <w:rPr>
          <w:color w:val="auto"/>
        </w:rPr>
        <w:t xml:space="preserve">rules </w:t>
      </w:r>
      <w:r w:rsidR="0021281C" w:rsidRPr="00032487">
        <w:rPr>
          <w:color w:val="auto"/>
        </w:rPr>
        <w:t xml:space="preserve">can </w:t>
      </w:r>
      <w:r>
        <w:rPr>
          <w:color w:val="auto"/>
        </w:rPr>
        <w:t xml:space="preserve">sometimes </w:t>
      </w:r>
      <w:r w:rsidR="0021281C" w:rsidRPr="00032487">
        <w:rPr>
          <w:color w:val="auto"/>
        </w:rPr>
        <w:t>be perceived as being costly and time consuming.</w:t>
      </w:r>
    </w:p>
    <w:p w14:paraId="67DEDEAB" w14:textId="319A1F63" w:rsidR="0021281C" w:rsidRPr="001651FD" w:rsidRDefault="0021281C" w:rsidP="0021281C">
      <w:pPr>
        <w:pStyle w:val="ListParagraph"/>
        <w:numPr>
          <w:ilvl w:val="1"/>
          <w:numId w:val="34"/>
        </w:numPr>
        <w:spacing w:line="360" w:lineRule="auto"/>
        <w:contextualSpacing w:val="0"/>
        <w:rPr>
          <w:color w:val="auto"/>
        </w:rPr>
      </w:pPr>
      <w:r>
        <w:rPr>
          <w:color w:val="auto"/>
        </w:rPr>
        <w:t xml:space="preserve">The ATO already provides a range of education and support services </w:t>
      </w:r>
      <w:r w:rsidR="001C5D44">
        <w:rPr>
          <w:color w:val="auto"/>
        </w:rPr>
        <w:t xml:space="preserve">on its website </w:t>
      </w:r>
      <w:r>
        <w:rPr>
          <w:color w:val="auto"/>
        </w:rPr>
        <w:t>that</w:t>
      </w:r>
      <w:r w:rsidRPr="001651FD">
        <w:rPr>
          <w:color w:val="auto"/>
        </w:rPr>
        <w:t xml:space="preserve"> assist </w:t>
      </w:r>
      <w:r>
        <w:rPr>
          <w:color w:val="auto"/>
        </w:rPr>
        <w:t>employers</w:t>
      </w:r>
      <w:r w:rsidRPr="001651FD">
        <w:rPr>
          <w:color w:val="auto"/>
        </w:rPr>
        <w:t xml:space="preserve"> to understand </w:t>
      </w:r>
      <w:r w:rsidR="00911DE4">
        <w:rPr>
          <w:color w:val="auto"/>
        </w:rPr>
        <w:t xml:space="preserve">and satisfy </w:t>
      </w:r>
      <w:r w:rsidRPr="001651FD">
        <w:rPr>
          <w:color w:val="auto"/>
        </w:rPr>
        <w:t>their obligations</w:t>
      </w:r>
      <w:r w:rsidR="00911DE4">
        <w:rPr>
          <w:color w:val="auto"/>
        </w:rPr>
        <w:t xml:space="preserve"> on its website</w:t>
      </w:r>
      <w:r w:rsidR="001C5D44">
        <w:rPr>
          <w:color w:val="auto"/>
        </w:rPr>
        <w:t>.</w:t>
      </w:r>
      <w:r w:rsidR="00EB4C58" w:rsidRPr="00EB4C58">
        <w:rPr>
          <w:color w:val="auto"/>
        </w:rPr>
        <w:t xml:space="preserve"> </w:t>
      </w:r>
      <w:r w:rsidR="00EB4C58">
        <w:rPr>
          <w:color w:val="auto"/>
        </w:rPr>
        <w:t xml:space="preserve">The ATO has developed and improved online tools such as the Employee Contractor Decision Tool and the Superannuation Guarantee Eligibility Tool that are accessible through the ATO website </w:t>
      </w:r>
      <w:r w:rsidR="00911DE4">
        <w:rPr>
          <w:color w:val="auto"/>
        </w:rPr>
        <w:t xml:space="preserve">as well as </w:t>
      </w:r>
      <w:r w:rsidR="00EB4C58">
        <w:rPr>
          <w:color w:val="auto"/>
        </w:rPr>
        <w:t>the ATO app to assist employer</w:t>
      </w:r>
      <w:r w:rsidR="003C25F0">
        <w:rPr>
          <w:color w:val="auto"/>
        </w:rPr>
        <w:t>s</w:t>
      </w:r>
      <w:r w:rsidR="00EB4C58">
        <w:rPr>
          <w:color w:val="auto"/>
        </w:rPr>
        <w:t xml:space="preserve"> to determine if superannuation guarantee is payable.</w:t>
      </w:r>
    </w:p>
    <w:p w14:paraId="6C11414D" w14:textId="1DEE9D94" w:rsidR="0021281C" w:rsidRPr="00032487" w:rsidRDefault="00C62F3B" w:rsidP="0021281C">
      <w:pPr>
        <w:pStyle w:val="ListParagraph"/>
        <w:numPr>
          <w:ilvl w:val="1"/>
          <w:numId w:val="34"/>
        </w:numPr>
        <w:spacing w:line="360" w:lineRule="auto"/>
        <w:contextualSpacing w:val="0"/>
        <w:rPr>
          <w:color w:val="auto"/>
        </w:rPr>
      </w:pPr>
      <w:r>
        <w:t>As part of continual review</w:t>
      </w:r>
      <w:r w:rsidR="00911DE4">
        <w:t>,</w:t>
      </w:r>
      <w:r>
        <w:t xml:space="preserve"> the </w:t>
      </w:r>
      <w:r w:rsidR="0021281C" w:rsidRPr="00032487">
        <w:rPr>
          <w:color w:val="auto"/>
        </w:rPr>
        <w:t xml:space="preserve">ATO </w:t>
      </w:r>
      <w:r w:rsidR="00EB4C58">
        <w:rPr>
          <w:color w:val="auto"/>
        </w:rPr>
        <w:t>will refine</w:t>
      </w:r>
      <w:r w:rsidR="0021281C" w:rsidRPr="00032487">
        <w:rPr>
          <w:color w:val="auto"/>
        </w:rPr>
        <w:t xml:space="preserve"> </w:t>
      </w:r>
      <w:r w:rsidR="00EB4C58">
        <w:rPr>
          <w:color w:val="auto"/>
        </w:rPr>
        <w:t xml:space="preserve">and promote </w:t>
      </w:r>
      <w:r w:rsidR="001C5D44">
        <w:rPr>
          <w:color w:val="auto"/>
        </w:rPr>
        <w:t xml:space="preserve">the </w:t>
      </w:r>
      <w:r w:rsidR="0021281C" w:rsidRPr="00032487">
        <w:rPr>
          <w:color w:val="auto"/>
        </w:rPr>
        <w:t xml:space="preserve">information </w:t>
      </w:r>
      <w:r>
        <w:rPr>
          <w:color w:val="auto"/>
        </w:rPr>
        <w:t xml:space="preserve">available </w:t>
      </w:r>
      <w:r w:rsidR="0021281C" w:rsidRPr="00032487">
        <w:rPr>
          <w:color w:val="auto"/>
        </w:rPr>
        <w:t xml:space="preserve">for employers </w:t>
      </w:r>
      <w:r>
        <w:rPr>
          <w:color w:val="auto"/>
        </w:rPr>
        <w:t xml:space="preserve">on their </w:t>
      </w:r>
      <w:r w:rsidR="0021281C" w:rsidRPr="00032487">
        <w:rPr>
          <w:color w:val="auto"/>
        </w:rPr>
        <w:t>obligations in relation to superannuation guarantee.</w:t>
      </w:r>
    </w:p>
    <w:p w14:paraId="6D03187D" w14:textId="77777777" w:rsidR="0021281C" w:rsidRDefault="0021281C" w:rsidP="0021281C">
      <w:pPr>
        <w:pStyle w:val="ListParagraph"/>
        <w:numPr>
          <w:ilvl w:val="1"/>
          <w:numId w:val="34"/>
        </w:numPr>
        <w:spacing w:line="360" w:lineRule="auto"/>
        <w:contextualSpacing w:val="0"/>
        <w:rPr>
          <w:color w:val="auto"/>
        </w:rPr>
      </w:pPr>
      <w:r w:rsidRPr="00032487">
        <w:rPr>
          <w:color w:val="auto"/>
        </w:rPr>
        <w:t xml:space="preserve">The ATO will </w:t>
      </w:r>
      <w:r w:rsidRPr="00C65AEF">
        <w:rPr>
          <w:color w:val="auto"/>
        </w:rPr>
        <w:t xml:space="preserve">also consider how to improve </w:t>
      </w:r>
      <w:r w:rsidR="00EB4C58">
        <w:rPr>
          <w:color w:val="auto"/>
        </w:rPr>
        <w:t xml:space="preserve">the instructional material that accompanies the </w:t>
      </w:r>
      <w:r w:rsidR="002E5A2D">
        <w:rPr>
          <w:color w:val="auto"/>
        </w:rPr>
        <w:t>S</w:t>
      </w:r>
      <w:r w:rsidRPr="00C65AEF">
        <w:rPr>
          <w:color w:val="auto"/>
        </w:rPr>
        <w:t xml:space="preserve">uperannuation </w:t>
      </w:r>
      <w:r w:rsidR="002E5A2D">
        <w:rPr>
          <w:color w:val="auto"/>
        </w:rPr>
        <w:t>G</w:t>
      </w:r>
      <w:r w:rsidRPr="00C65AEF">
        <w:rPr>
          <w:color w:val="auto"/>
        </w:rPr>
        <w:t xml:space="preserve">uarantee </w:t>
      </w:r>
      <w:r w:rsidR="002E5A2D">
        <w:rPr>
          <w:color w:val="auto"/>
        </w:rPr>
        <w:t>C</w:t>
      </w:r>
      <w:r w:rsidRPr="00C65AEF">
        <w:rPr>
          <w:color w:val="auto"/>
        </w:rPr>
        <w:t xml:space="preserve">harge </w:t>
      </w:r>
      <w:r w:rsidR="002E5A2D">
        <w:rPr>
          <w:color w:val="auto"/>
        </w:rPr>
        <w:t>F</w:t>
      </w:r>
      <w:r w:rsidR="00EB4C58">
        <w:rPr>
          <w:color w:val="auto"/>
        </w:rPr>
        <w:t>orm</w:t>
      </w:r>
      <w:r w:rsidR="00EB4C58" w:rsidRPr="00C65AEF">
        <w:rPr>
          <w:color w:val="auto"/>
        </w:rPr>
        <w:t xml:space="preserve"> </w:t>
      </w:r>
      <w:r w:rsidR="00EB4C58">
        <w:rPr>
          <w:color w:val="auto"/>
        </w:rPr>
        <w:t xml:space="preserve">to assist employers.  It </w:t>
      </w:r>
      <w:r w:rsidRPr="00C65AEF">
        <w:rPr>
          <w:color w:val="auto"/>
        </w:rPr>
        <w:t xml:space="preserve">will </w:t>
      </w:r>
      <w:r w:rsidR="00EB4C58">
        <w:rPr>
          <w:color w:val="auto"/>
        </w:rPr>
        <w:t>also examine how the lodgement process can be streamlined</w:t>
      </w:r>
      <w:r w:rsidRPr="00C65AEF">
        <w:rPr>
          <w:color w:val="auto"/>
        </w:rPr>
        <w:t xml:space="preserve">. </w:t>
      </w:r>
    </w:p>
    <w:p w14:paraId="2ACF5472" w14:textId="334F70AF" w:rsidR="0021281C" w:rsidRPr="00032487" w:rsidRDefault="0021281C" w:rsidP="0021281C">
      <w:pPr>
        <w:pStyle w:val="ListParagraph"/>
        <w:numPr>
          <w:ilvl w:val="1"/>
          <w:numId w:val="34"/>
        </w:numPr>
        <w:spacing w:line="360" w:lineRule="auto"/>
        <w:contextualSpacing w:val="0"/>
        <w:rPr>
          <w:color w:val="auto"/>
        </w:rPr>
      </w:pPr>
      <w:r w:rsidRPr="00032487">
        <w:t xml:space="preserve">The ATO is </w:t>
      </w:r>
      <w:r w:rsidR="002E5A2D">
        <w:t>also</w:t>
      </w:r>
      <w:r w:rsidRPr="00032487">
        <w:t xml:space="preserve"> currently piloting a Cash Flow Management Education Program to assist small businesses to better understand and identify practical actions they can take to improve cash flow and meet financial obligations including superannuation guarantee. The program has been designed for accountants, bookkeepers and business advisors to deliver to their small business clients. Feedback has been very positive and </w:t>
      </w:r>
      <w:r w:rsidR="00911DE4">
        <w:t xml:space="preserve">the program has been </w:t>
      </w:r>
      <w:r w:rsidRPr="00032487">
        <w:t>recognised to be different to current offerings in the market place.</w:t>
      </w:r>
    </w:p>
    <w:p w14:paraId="6EE75594" w14:textId="00B2D4D6" w:rsidR="0021281C" w:rsidRPr="00780548" w:rsidRDefault="0021281C" w:rsidP="0021281C">
      <w:pPr>
        <w:pStyle w:val="ListParagraph"/>
        <w:numPr>
          <w:ilvl w:val="1"/>
          <w:numId w:val="34"/>
        </w:numPr>
        <w:spacing w:line="360" w:lineRule="auto"/>
        <w:contextualSpacing w:val="0"/>
        <w:rPr>
          <w:color w:val="auto"/>
        </w:rPr>
      </w:pPr>
      <w:r>
        <w:rPr>
          <w:color w:val="auto"/>
        </w:rPr>
        <w:t>Educating employers (and those that assist them) can assist in preventing non</w:t>
      </w:r>
      <w:r w:rsidR="00911DE4">
        <w:rPr>
          <w:color w:val="auto"/>
        </w:rPr>
        <w:noBreakHyphen/>
      </w:r>
      <w:r>
        <w:rPr>
          <w:color w:val="auto"/>
        </w:rPr>
        <w:t xml:space="preserve">compliance and supporting positive behavioural changes. There are roles for the ATO, agents/professionals and the superannuation industry in providing education, and employers themselves need to seek out those services that best meet their needs. </w:t>
      </w:r>
    </w:p>
    <w:p w14:paraId="77383B34" w14:textId="77777777" w:rsidR="0021281C" w:rsidRDefault="0021281C" w:rsidP="0021281C">
      <w:pPr>
        <w:pStyle w:val="Heading2"/>
      </w:pPr>
      <w:bookmarkStart w:id="295" w:name="_Toc478036029"/>
      <w:bookmarkStart w:id="296" w:name="_Toc478034697"/>
      <w:bookmarkStart w:id="297" w:name="_Toc478036061"/>
      <w:bookmarkStart w:id="298" w:name="_Toc478403059"/>
      <w:bookmarkStart w:id="299" w:name="_Toc478485984"/>
      <w:bookmarkStart w:id="300" w:name="_Toc478501994"/>
      <w:bookmarkStart w:id="301" w:name="_Toc478651972"/>
      <w:bookmarkStart w:id="302" w:name="_Toc478654433"/>
      <w:bookmarkStart w:id="303" w:name="_Toc478655147"/>
      <w:bookmarkStart w:id="304" w:name="_Toc478656401"/>
      <w:bookmarkStart w:id="305" w:name="_Toc478657652"/>
      <w:bookmarkStart w:id="306" w:name="_Toc478718248"/>
      <w:bookmarkStart w:id="307" w:name="_Toc478718458"/>
      <w:bookmarkStart w:id="308" w:name="_Toc478738407"/>
      <w:bookmarkStart w:id="309" w:name="_Toc478740693"/>
      <w:r>
        <w:t>Helping</w:t>
      </w:r>
      <w:r w:rsidRPr="006C54CC">
        <w:t xml:space="preserve"> employees </w:t>
      </w:r>
      <w:r>
        <w:t>understand</w:t>
      </w:r>
      <w:r w:rsidRPr="006C54CC">
        <w:t xml:space="preserve"> their entitlements</w:t>
      </w:r>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p>
    <w:p w14:paraId="2A7B67A5" w14:textId="77777777" w:rsidR="00B64F01" w:rsidRPr="00284D0F" w:rsidRDefault="00B64F01" w:rsidP="00B64F01">
      <w:pPr>
        <w:pStyle w:val="Boxtext"/>
        <w:keepNext/>
        <w:pBdr>
          <w:top w:val="none" w:sz="0" w:space="0" w:color="auto"/>
          <w:left w:val="none" w:sz="0" w:space="0" w:color="auto"/>
          <w:right w:val="none" w:sz="0" w:space="0" w:color="auto"/>
        </w:pBdr>
        <w:shd w:val="clear" w:color="auto" w:fill="B8CCE4" w:themeFill="accent1" w:themeFillTint="66"/>
        <w:spacing w:line="276" w:lineRule="auto"/>
        <w:rPr>
          <w:b/>
          <w:caps/>
          <w:color w:val="auto"/>
        </w:rPr>
      </w:pPr>
      <w:r>
        <w:rPr>
          <w:b/>
          <w:caps/>
          <w:color w:val="auto"/>
        </w:rPr>
        <w:t>agency action</w:t>
      </w:r>
      <w:r w:rsidRPr="00284D0F">
        <w:rPr>
          <w:b/>
          <w:caps/>
          <w:color w:val="auto"/>
        </w:rPr>
        <w:t> </w:t>
      </w:r>
      <w:r>
        <w:rPr>
          <w:b/>
          <w:caps/>
          <w:color w:val="auto"/>
        </w:rPr>
        <w:t>8</w:t>
      </w:r>
    </w:p>
    <w:p w14:paraId="13EC03C4" w14:textId="77777777" w:rsidR="00DE72B0" w:rsidRPr="00284D0F" w:rsidRDefault="00DE72B0" w:rsidP="00DE72B0">
      <w:pPr>
        <w:pStyle w:val="Boxtext"/>
        <w:keepNext/>
        <w:pBdr>
          <w:top w:val="none" w:sz="0" w:space="0" w:color="auto"/>
          <w:left w:val="none" w:sz="0" w:space="0" w:color="auto"/>
          <w:bottom w:val="none" w:sz="0" w:space="0" w:color="auto"/>
          <w:right w:val="none" w:sz="0" w:space="0" w:color="auto"/>
        </w:pBdr>
        <w:shd w:val="clear" w:color="auto" w:fill="B8CCE4" w:themeFill="accent1" w:themeFillTint="66"/>
        <w:spacing w:line="276" w:lineRule="auto"/>
        <w:rPr>
          <w:color w:val="auto"/>
        </w:rPr>
      </w:pPr>
      <w:r>
        <w:t>To assist employees, t</w:t>
      </w:r>
      <w:r w:rsidRPr="00580825">
        <w:t>he ATO will actively promote and make more visible its education and assistance services, tools and calculators, to provid</w:t>
      </w:r>
      <w:r>
        <w:t>e</w:t>
      </w:r>
      <w:r w:rsidRPr="00580825">
        <w:t xml:space="preserve"> more certainty to people about their status as a worker (employee or contractor)</w:t>
      </w:r>
      <w:r>
        <w:t xml:space="preserve"> and work with the FWO and Department of Employment to provide more certainty on their respective websites to employees about their entitlements under salary sacrifice arrangements. </w:t>
      </w:r>
    </w:p>
    <w:p w14:paraId="56BDDC6D" w14:textId="77777777" w:rsidR="001A374F" w:rsidRDefault="001A374F" w:rsidP="00224B95"/>
    <w:p w14:paraId="4CBE3330" w14:textId="0AF5B22F" w:rsidR="0021281C" w:rsidRDefault="00EB4C58" w:rsidP="0021281C">
      <w:pPr>
        <w:pStyle w:val="ListParagraph"/>
        <w:numPr>
          <w:ilvl w:val="1"/>
          <w:numId w:val="34"/>
        </w:numPr>
        <w:spacing w:line="360" w:lineRule="auto"/>
        <w:contextualSpacing w:val="0"/>
      </w:pPr>
      <w:r>
        <w:t xml:space="preserve">The ATO is making it easier </w:t>
      </w:r>
      <w:r w:rsidR="0021281C">
        <w:t xml:space="preserve">for employees to understand their </w:t>
      </w:r>
      <w:r w:rsidR="00AB5002">
        <w:t xml:space="preserve">superannuation guarantee </w:t>
      </w:r>
      <w:r w:rsidR="0021281C">
        <w:t xml:space="preserve">entitlements and how </w:t>
      </w:r>
      <w:r w:rsidR="00911DE4">
        <w:t xml:space="preserve">they can </w:t>
      </w:r>
      <w:r w:rsidR="0021281C">
        <w:t xml:space="preserve">seek assistance </w:t>
      </w:r>
      <w:r w:rsidR="00B32269">
        <w:t xml:space="preserve">if </w:t>
      </w:r>
      <w:r w:rsidR="0021281C">
        <w:t>they suspect non</w:t>
      </w:r>
      <w:r w:rsidR="00911DE4">
        <w:noBreakHyphen/>
      </w:r>
      <w:r w:rsidR="0021281C">
        <w:t xml:space="preserve">compliance. </w:t>
      </w:r>
    </w:p>
    <w:p w14:paraId="37BEA05D" w14:textId="77777777" w:rsidR="00EB4C58" w:rsidRDefault="001C5D44" w:rsidP="0021281C">
      <w:pPr>
        <w:pStyle w:val="ListParagraph"/>
        <w:numPr>
          <w:ilvl w:val="1"/>
          <w:numId w:val="34"/>
        </w:numPr>
        <w:spacing w:line="360" w:lineRule="auto"/>
        <w:contextualSpacing w:val="0"/>
        <w:rPr>
          <w:color w:val="auto"/>
        </w:rPr>
      </w:pPr>
      <w:r>
        <w:rPr>
          <w:color w:val="auto"/>
        </w:rPr>
        <w:t xml:space="preserve">The ATO </w:t>
      </w:r>
      <w:r w:rsidR="0021281C" w:rsidRPr="00C776BE">
        <w:rPr>
          <w:color w:val="auto"/>
        </w:rPr>
        <w:t xml:space="preserve">will develop contemporary marketing </w:t>
      </w:r>
      <w:r w:rsidR="0021281C">
        <w:rPr>
          <w:color w:val="auto"/>
        </w:rPr>
        <w:t xml:space="preserve">messages </w:t>
      </w:r>
      <w:r w:rsidR="0021281C" w:rsidRPr="00C776BE">
        <w:rPr>
          <w:color w:val="auto"/>
        </w:rPr>
        <w:t>t</w:t>
      </w:r>
      <w:r w:rsidR="0021281C">
        <w:rPr>
          <w:color w:val="auto"/>
        </w:rPr>
        <w:t xml:space="preserve">o </w:t>
      </w:r>
      <w:r w:rsidR="00EB4C58">
        <w:rPr>
          <w:color w:val="auto"/>
        </w:rPr>
        <w:t>engage</w:t>
      </w:r>
      <w:r w:rsidR="00EB4C58" w:rsidRPr="00C776BE">
        <w:rPr>
          <w:color w:val="auto"/>
        </w:rPr>
        <w:t xml:space="preserve"> </w:t>
      </w:r>
      <w:r w:rsidR="0021281C" w:rsidRPr="00C776BE">
        <w:rPr>
          <w:color w:val="auto"/>
        </w:rPr>
        <w:t xml:space="preserve">employees </w:t>
      </w:r>
      <w:r w:rsidR="00EB4C58">
        <w:rPr>
          <w:color w:val="auto"/>
        </w:rPr>
        <w:t xml:space="preserve">on the importance of </w:t>
      </w:r>
      <w:r w:rsidR="0021281C" w:rsidRPr="00C776BE">
        <w:rPr>
          <w:color w:val="auto"/>
        </w:rPr>
        <w:t>their superannuation guarantee entitlements</w:t>
      </w:r>
      <w:r w:rsidR="00EB4C58">
        <w:rPr>
          <w:color w:val="auto"/>
        </w:rPr>
        <w:t xml:space="preserve">. It will also </w:t>
      </w:r>
      <w:r w:rsidR="0021281C" w:rsidRPr="00C776BE">
        <w:rPr>
          <w:color w:val="auto"/>
        </w:rPr>
        <w:t xml:space="preserve">highlight the advantages of early detection </w:t>
      </w:r>
      <w:r w:rsidR="00EB4C58">
        <w:rPr>
          <w:color w:val="auto"/>
        </w:rPr>
        <w:t>of potential non-payment</w:t>
      </w:r>
      <w:r>
        <w:rPr>
          <w:color w:val="auto"/>
        </w:rPr>
        <w:t xml:space="preserve"> </w:t>
      </w:r>
      <w:r w:rsidR="00EB4C58">
        <w:rPr>
          <w:color w:val="auto"/>
        </w:rPr>
        <w:t>and how to take subsequent steps</w:t>
      </w:r>
      <w:r w:rsidR="0021281C" w:rsidRPr="00C776BE">
        <w:rPr>
          <w:color w:val="auto"/>
        </w:rPr>
        <w:t>.</w:t>
      </w:r>
    </w:p>
    <w:p w14:paraId="271AE727" w14:textId="0EC17D29" w:rsidR="00EB4C58" w:rsidRPr="001720F2" w:rsidRDefault="00EB4C58" w:rsidP="00EB4C58">
      <w:pPr>
        <w:pStyle w:val="ListParagraph"/>
        <w:numPr>
          <w:ilvl w:val="1"/>
          <w:numId w:val="34"/>
        </w:numPr>
        <w:spacing w:line="360" w:lineRule="auto"/>
        <w:contextualSpacing w:val="0"/>
        <w:rPr>
          <w:color w:val="auto"/>
        </w:rPr>
      </w:pPr>
      <w:r w:rsidRPr="001C5D44">
        <w:rPr>
          <w:color w:val="auto"/>
        </w:rPr>
        <w:t xml:space="preserve">The ATO will review and improve its publicly available guidance and tools to better assist workers to determine their employment status. </w:t>
      </w:r>
      <w:r w:rsidRPr="001720F2">
        <w:rPr>
          <w:color w:val="auto"/>
        </w:rPr>
        <w:t xml:space="preserve">Options are being considered to </w:t>
      </w:r>
      <w:r>
        <w:rPr>
          <w:color w:val="auto"/>
        </w:rPr>
        <w:t xml:space="preserve">provide certainty to </w:t>
      </w:r>
      <w:r w:rsidRPr="001720F2">
        <w:rPr>
          <w:color w:val="auto"/>
        </w:rPr>
        <w:t xml:space="preserve">workers </w:t>
      </w:r>
      <w:r>
        <w:rPr>
          <w:color w:val="auto"/>
        </w:rPr>
        <w:t xml:space="preserve">about their status as ‘employee’ or ‘contractor’ in their </w:t>
      </w:r>
      <w:r w:rsidRPr="001720F2">
        <w:rPr>
          <w:color w:val="auto"/>
        </w:rPr>
        <w:t>employment relationship</w:t>
      </w:r>
      <w:r>
        <w:rPr>
          <w:color w:val="auto"/>
        </w:rPr>
        <w:t xml:space="preserve">. This has important flow-on impacts for their superannuation guarantee </w:t>
      </w:r>
      <w:r w:rsidRPr="001720F2">
        <w:rPr>
          <w:color w:val="auto"/>
        </w:rPr>
        <w:t xml:space="preserve">entitlements. </w:t>
      </w:r>
      <w:r w:rsidRPr="001C5D44">
        <w:rPr>
          <w:color w:val="auto"/>
        </w:rPr>
        <w:t xml:space="preserve">It will work with other agencies, particularly the FWO to </w:t>
      </w:r>
      <w:r w:rsidRPr="00032487">
        <w:rPr>
          <w:color w:val="auto"/>
        </w:rPr>
        <w:t xml:space="preserve">strengthen their marketing and education messages to employees in </w:t>
      </w:r>
      <w:r>
        <w:rPr>
          <w:color w:val="auto"/>
        </w:rPr>
        <w:t xml:space="preserve">certain </w:t>
      </w:r>
      <w:r w:rsidRPr="00032487">
        <w:rPr>
          <w:color w:val="auto"/>
        </w:rPr>
        <w:t>industries</w:t>
      </w:r>
      <w:r>
        <w:rPr>
          <w:color w:val="auto"/>
        </w:rPr>
        <w:t xml:space="preserve"> where non-compliance is traditionally high.</w:t>
      </w:r>
    </w:p>
    <w:p w14:paraId="4E229510" w14:textId="77777777" w:rsidR="0021281C" w:rsidRPr="00623026" w:rsidRDefault="001C5D44" w:rsidP="00224B95">
      <w:pPr>
        <w:pStyle w:val="ListParagraph"/>
        <w:keepNext/>
        <w:numPr>
          <w:ilvl w:val="1"/>
          <w:numId w:val="34"/>
        </w:numPr>
        <w:spacing w:line="360" w:lineRule="auto"/>
        <w:contextualSpacing w:val="0"/>
      </w:pPr>
      <w:r w:rsidRPr="00EB4C58">
        <w:rPr>
          <w:color w:val="auto"/>
        </w:rPr>
        <w:t xml:space="preserve">The ATO will also work with the FWO and Department of Employment to clarify the implications of salary sacrifice arrangements on employers’ superannuation guarantee obligations. The ATO, FWO and ASIC </w:t>
      </w:r>
      <w:r w:rsidR="0021281C" w:rsidRPr="00EB4C58">
        <w:rPr>
          <w:color w:val="auto"/>
        </w:rPr>
        <w:t xml:space="preserve">will collaborate to </w:t>
      </w:r>
      <w:r w:rsidRPr="00EB4C58">
        <w:rPr>
          <w:color w:val="auto"/>
        </w:rPr>
        <w:t xml:space="preserve">improve </w:t>
      </w:r>
      <w:r w:rsidR="0021281C" w:rsidRPr="00EB4C58">
        <w:rPr>
          <w:color w:val="auto"/>
        </w:rPr>
        <w:t>web based information on</w:t>
      </w:r>
      <w:r w:rsidRPr="00EB4C58">
        <w:rPr>
          <w:color w:val="auto"/>
        </w:rPr>
        <w:t xml:space="preserve"> their websites, including ASIC’s </w:t>
      </w:r>
      <w:r w:rsidRPr="00EB4C58">
        <w:rPr>
          <w:i/>
          <w:color w:val="auto"/>
        </w:rPr>
        <w:t>MoneySmart</w:t>
      </w:r>
      <w:r w:rsidRPr="00EB4C58">
        <w:rPr>
          <w:color w:val="auto"/>
        </w:rPr>
        <w:t xml:space="preserve"> website.</w:t>
      </w:r>
    </w:p>
    <w:p w14:paraId="1FBD751C" w14:textId="301668A7" w:rsidR="0021281C" w:rsidRPr="00032487" w:rsidRDefault="0021281C" w:rsidP="0021281C">
      <w:pPr>
        <w:pStyle w:val="ListParagraph"/>
        <w:numPr>
          <w:ilvl w:val="1"/>
          <w:numId w:val="34"/>
        </w:numPr>
        <w:spacing w:line="360" w:lineRule="auto"/>
        <w:contextualSpacing w:val="0"/>
        <w:rPr>
          <w:color w:val="auto"/>
        </w:rPr>
      </w:pPr>
      <w:r w:rsidRPr="00032487">
        <w:rPr>
          <w:color w:val="auto"/>
        </w:rPr>
        <w:t xml:space="preserve">The ATO will </w:t>
      </w:r>
      <w:r w:rsidR="001C5D44">
        <w:rPr>
          <w:color w:val="auto"/>
        </w:rPr>
        <w:t xml:space="preserve">leverage the work of the Migrant Workers Taskforce </w:t>
      </w:r>
      <w:r w:rsidRPr="00032487">
        <w:rPr>
          <w:color w:val="auto"/>
        </w:rPr>
        <w:t>to assist vulnerable workers detect and seek assistance for unpaid superannuation guarantee</w:t>
      </w:r>
      <w:r w:rsidR="00911DE4">
        <w:rPr>
          <w:color w:val="auto"/>
        </w:rPr>
        <w:t>,</w:t>
      </w:r>
      <w:r w:rsidRPr="00032487">
        <w:rPr>
          <w:color w:val="auto"/>
        </w:rPr>
        <w:t xml:space="preserve"> including improving their understanding of employees’ rights, entitlements and avenues for reporting underpayment.</w:t>
      </w:r>
    </w:p>
    <w:p w14:paraId="42427509" w14:textId="77777777" w:rsidR="0021281C" w:rsidRDefault="0021281C" w:rsidP="0021281C">
      <w:pPr>
        <w:pStyle w:val="Heading3"/>
      </w:pPr>
      <w:r>
        <w:t xml:space="preserve">Exempting high income employees from superannuation guarantee </w:t>
      </w:r>
    </w:p>
    <w:p w14:paraId="0A90A726" w14:textId="77777777" w:rsidR="0021281C" w:rsidRPr="001B6E97" w:rsidRDefault="0021281C" w:rsidP="0021281C">
      <w:pPr>
        <w:pStyle w:val="ListParagraph"/>
        <w:numPr>
          <w:ilvl w:val="1"/>
          <w:numId w:val="34"/>
        </w:numPr>
        <w:spacing w:line="360" w:lineRule="auto"/>
        <w:contextualSpacing w:val="0"/>
        <w:rPr>
          <w:color w:val="auto"/>
        </w:rPr>
      </w:pPr>
      <w:r>
        <w:rPr>
          <w:color w:val="auto"/>
        </w:rPr>
        <w:t>The Working Group was asked to consider whether</w:t>
      </w:r>
      <w:r w:rsidRPr="001B6E97">
        <w:rPr>
          <w:color w:val="auto"/>
        </w:rPr>
        <w:t xml:space="preserve"> high income earners with multiple employers </w:t>
      </w:r>
      <w:r>
        <w:rPr>
          <w:color w:val="auto"/>
        </w:rPr>
        <w:t>should be able</w:t>
      </w:r>
      <w:r w:rsidRPr="001B6E97">
        <w:rPr>
          <w:color w:val="auto"/>
        </w:rPr>
        <w:t xml:space="preserve"> to ‘opt-out’ of superannuation guarantee so that they avoid exceeding the</w:t>
      </w:r>
      <w:r>
        <w:rPr>
          <w:color w:val="auto"/>
        </w:rPr>
        <w:t>ir annual</w:t>
      </w:r>
      <w:r w:rsidRPr="001B6E97">
        <w:rPr>
          <w:color w:val="auto"/>
        </w:rPr>
        <w:t xml:space="preserve"> concessional contribution</w:t>
      </w:r>
      <w:r>
        <w:rPr>
          <w:color w:val="auto"/>
        </w:rPr>
        <w:t>s</w:t>
      </w:r>
      <w:r w:rsidRPr="001B6E97">
        <w:rPr>
          <w:color w:val="auto"/>
        </w:rPr>
        <w:t xml:space="preserve"> cap. </w:t>
      </w:r>
      <w:r>
        <w:rPr>
          <w:color w:val="auto"/>
        </w:rPr>
        <w:t>This</w:t>
      </w:r>
      <w:r w:rsidRPr="001B6E97">
        <w:rPr>
          <w:color w:val="auto"/>
        </w:rPr>
        <w:t xml:space="preserve"> issue is apparently most acute in relation to people with multiple directorships (as director’s fees count as ordinary time earnings).</w:t>
      </w:r>
    </w:p>
    <w:p w14:paraId="6A691E37" w14:textId="77777777" w:rsidR="0021281C" w:rsidRPr="001B6E97" w:rsidRDefault="0021281C" w:rsidP="0021281C">
      <w:pPr>
        <w:pStyle w:val="ListParagraph"/>
        <w:keepNext/>
        <w:numPr>
          <w:ilvl w:val="1"/>
          <w:numId w:val="34"/>
        </w:numPr>
        <w:spacing w:line="360" w:lineRule="auto"/>
        <w:contextualSpacing w:val="0"/>
        <w:rPr>
          <w:color w:val="auto"/>
        </w:rPr>
      </w:pPr>
      <w:r w:rsidRPr="001B6E97">
        <w:rPr>
          <w:color w:val="auto"/>
        </w:rPr>
        <w:t xml:space="preserve">Under the </w:t>
      </w:r>
      <w:r w:rsidRPr="00C65AEF">
        <w:rPr>
          <w:i/>
          <w:color w:val="auto"/>
        </w:rPr>
        <w:t>Superannuation Guarantee (Administration) Act 1992</w:t>
      </w:r>
      <w:r w:rsidRPr="001B6E97">
        <w:rPr>
          <w:color w:val="auto"/>
        </w:rPr>
        <w:t xml:space="preserve">, an employer’s </w:t>
      </w:r>
      <w:r w:rsidR="00AB5002">
        <w:rPr>
          <w:color w:val="auto"/>
        </w:rPr>
        <w:t>superannuation guarantee</w:t>
      </w:r>
      <w:r w:rsidR="00AB5002" w:rsidRPr="001B6E97">
        <w:rPr>
          <w:color w:val="auto"/>
        </w:rPr>
        <w:t xml:space="preserve"> </w:t>
      </w:r>
      <w:r w:rsidRPr="001B6E97">
        <w:rPr>
          <w:color w:val="auto"/>
        </w:rPr>
        <w:t xml:space="preserve">obligation in respect of </w:t>
      </w:r>
      <w:r>
        <w:rPr>
          <w:color w:val="auto"/>
        </w:rPr>
        <w:t>each</w:t>
      </w:r>
      <w:r w:rsidRPr="001B6E97">
        <w:rPr>
          <w:color w:val="auto"/>
        </w:rPr>
        <w:t xml:space="preserve"> employee is capped at an amount </w:t>
      </w:r>
      <w:r>
        <w:rPr>
          <w:color w:val="auto"/>
        </w:rPr>
        <w:t>below</w:t>
      </w:r>
      <w:r w:rsidRPr="001B6E97">
        <w:rPr>
          <w:color w:val="auto"/>
        </w:rPr>
        <w:t xml:space="preserve"> the concessional contribution cap (currently $4,896.95 per quarter). However, </w:t>
      </w:r>
      <w:r>
        <w:rPr>
          <w:color w:val="auto"/>
        </w:rPr>
        <w:t>this</w:t>
      </w:r>
      <w:r w:rsidRPr="001B6E97">
        <w:rPr>
          <w:color w:val="auto"/>
        </w:rPr>
        <w:t xml:space="preserve"> cap applies on an employer-by-employer basis. Therefore a person with multiple employers can receive compulsory </w:t>
      </w:r>
      <w:r w:rsidR="00AB5002">
        <w:rPr>
          <w:color w:val="auto"/>
        </w:rPr>
        <w:t>superannuation guarantee</w:t>
      </w:r>
      <w:r w:rsidR="00AB5002" w:rsidRPr="001B6E97">
        <w:rPr>
          <w:color w:val="auto"/>
        </w:rPr>
        <w:t xml:space="preserve"> </w:t>
      </w:r>
      <w:r w:rsidRPr="001B6E97">
        <w:rPr>
          <w:color w:val="auto"/>
        </w:rPr>
        <w:t>payments that exceed the concessional contribution</w:t>
      </w:r>
      <w:r>
        <w:rPr>
          <w:color w:val="auto"/>
        </w:rPr>
        <w:t>s</w:t>
      </w:r>
      <w:r w:rsidRPr="001B6E97">
        <w:rPr>
          <w:color w:val="auto"/>
        </w:rPr>
        <w:t xml:space="preserve"> cap (even if they don’t receive excess contributions from a single employer). </w:t>
      </w:r>
    </w:p>
    <w:p w14:paraId="5DB913C6" w14:textId="37D06650" w:rsidR="0021281C" w:rsidRPr="001B6E97" w:rsidRDefault="002827E1" w:rsidP="0021281C">
      <w:pPr>
        <w:pStyle w:val="ListParagraph"/>
        <w:numPr>
          <w:ilvl w:val="0"/>
          <w:numId w:val="35"/>
        </w:numPr>
        <w:spacing w:line="360" w:lineRule="auto"/>
        <w:ind w:left="851" w:hanging="284"/>
        <w:contextualSpacing w:val="0"/>
      </w:pPr>
      <w:r>
        <w:t>e</w:t>
      </w:r>
      <w:r w:rsidR="0021281C" w:rsidRPr="001B6E97">
        <w:t>xcess concessional contributions and proxy earnings are taxed at the person’s marginal tax rate less a 15</w:t>
      </w:r>
      <w:r w:rsidR="00AB5002">
        <w:t> </w:t>
      </w:r>
      <w:r w:rsidR="0021281C" w:rsidRPr="001B6E97">
        <w:t>per</w:t>
      </w:r>
      <w:r w:rsidR="00AB5002">
        <w:t> </w:t>
      </w:r>
      <w:r w:rsidR="0021281C" w:rsidRPr="001B6E97">
        <w:t xml:space="preserve">cent offset representing the tax paid by the superannuation fund. They can be released from superannuation or </w:t>
      </w:r>
      <w:r w:rsidR="0021281C">
        <w:t>retained</w:t>
      </w:r>
      <w:r w:rsidR="0021281C" w:rsidRPr="001B6E97">
        <w:t xml:space="preserve"> as a non</w:t>
      </w:r>
      <w:r w:rsidR="0021281C" w:rsidRPr="001B6E97">
        <w:noBreakHyphen/>
        <w:t xml:space="preserve">concessional contribution. </w:t>
      </w:r>
    </w:p>
    <w:p w14:paraId="20386D12" w14:textId="4F64364F" w:rsidR="0021281C" w:rsidRDefault="0021281C" w:rsidP="0021281C">
      <w:pPr>
        <w:pStyle w:val="ListParagraph"/>
        <w:numPr>
          <w:ilvl w:val="1"/>
          <w:numId w:val="34"/>
        </w:numPr>
        <w:spacing w:line="360" w:lineRule="auto"/>
        <w:contextualSpacing w:val="0"/>
        <w:rPr>
          <w:color w:val="auto"/>
        </w:rPr>
      </w:pPr>
      <w:r w:rsidRPr="001B6E97">
        <w:rPr>
          <w:color w:val="auto"/>
        </w:rPr>
        <w:t xml:space="preserve">It has been suggested that the law might be amended so high income earners with multiple employers can ‘opt-out’ of receiving superannuation guarantee </w:t>
      </w:r>
      <w:r w:rsidR="00911DE4">
        <w:rPr>
          <w:color w:val="auto"/>
        </w:rPr>
        <w:t xml:space="preserve">payments </w:t>
      </w:r>
      <w:r w:rsidRPr="001B6E97">
        <w:rPr>
          <w:color w:val="auto"/>
        </w:rPr>
        <w:t xml:space="preserve">in excess of their concessional contribution cap. These high income earners would presumably negotiate higher take-home pay in lieu of reduced contributions. </w:t>
      </w:r>
    </w:p>
    <w:p w14:paraId="2FBD12B9" w14:textId="52844FE3" w:rsidR="0021281C" w:rsidRDefault="0021281C" w:rsidP="0021281C">
      <w:pPr>
        <w:pStyle w:val="ListParagraph"/>
        <w:numPr>
          <w:ilvl w:val="1"/>
          <w:numId w:val="34"/>
        </w:numPr>
        <w:spacing w:line="360" w:lineRule="auto"/>
        <w:contextualSpacing w:val="0"/>
      </w:pPr>
      <w:r>
        <w:t xml:space="preserve">The </w:t>
      </w:r>
      <w:r w:rsidR="00AB5002" w:rsidRPr="00C65AEF">
        <w:rPr>
          <w:i/>
          <w:color w:val="auto"/>
        </w:rPr>
        <w:t>Superannuation Guarantee (Administration) Act 1992</w:t>
      </w:r>
      <w:r>
        <w:rPr>
          <w:i/>
          <w:color w:val="auto"/>
        </w:rPr>
        <w:t xml:space="preserve"> </w:t>
      </w:r>
      <w:r>
        <w:t xml:space="preserve">already contains some exemptions from the obligation for an employer to pay </w:t>
      </w:r>
      <w:r w:rsidR="00AB5002">
        <w:t xml:space="preserve">superannuation guarantee </w:t>
      </w:r>
      <w:r>
        <w:t>on behalf of their employees. However</w:t>
      </w:r>
      <w:r w:rsidR="00911DE4">
        <w:t>,</w:t>
      </w:r>
      <w:r>
        <w:t xml:space="preserve"> they generally apply on an all or nothing basis. There is no mechanism that would allow exceptions in relation to some employers but not others or a proportionate exception across employers. </w:t>
      </w:r>
    </w:p>
    <w:p w14:paraId="03840C1E" w14:textId="2FEB3755" w:rsidR="0021281C" w:rsidRPr="001B6E97" w:rsidRDefault="0021281C" w:rsidP="0021281C">
      <w:pPr>
        <w:pStyle w:val="ListParagraph"/>
        <w:numPr>
          <w:ilvl w:val="1"/>
          <w:numId w:val="34"/>
        </w:numPr>
        <w:spacing w:line="360" w:lineRule="auto"/>
        <w:contextualSpacing w:val="0"/>
        <w:rPr>
          <w:color w:val="auto"/>
        </w:rPr>
      </w:pPr>
      <w:r w:rsidRPr="001B6E97">
        <w:rPr>
          <w:color w:val="auto"/>
        </w:rPr>
        <w:t>Furthermore, it might not prevent excess amounts being paid where employers</w:t>
      </w:r>
      <w:r w:rsidR="00911DE4">
        <w:rPr>
          <w:color w:val="auto"/>
        </w:rPr>
        <w:t>’</w:t>
      </w:r>
      <w:r w:rsidRPr="001B6E97">
        <w:rPr>
          <w:color w:val="auto"/>
        </w:rPr>
        <w:t xml:space="preserve"> superannuation guarantee obligations are also set out in awards, enterprise agreements and individual contracts. </w:t>
      </w:r>
    </w:p>
    <w:p w14:paraId="7BD18441" w14:textId="77777777" w:rsidR="0021281C" w:rsidRPr="001B6E97" w:rsidRDefault="0021281C" w:rsidP="0021281C">
      <w:pPr>
        <w:pStyle w:val="ListParagraph"/>
        <w:numPr>
          <w:ilvl w:val="1"/>
          <w:numId w:val="34"/>
        </w:numPr>
        <w:spacing w:line="360" w:lineRule="auto"/>
        <w:contextualSpacing w:val="0"/>
        <w:rPr>
          <w:color w:val="auto"/>
        </w:rPr>
      </w:pPr>
      <w:r>
        <w:t xml:space="preserve">For this reason, the Working Group does not support introducing a mechanism to facilitate opt-out by high income employees with multiple employers. It considers that the benefits to a small number of employees would be outweighed by the complexity involved. </w:t>
      </w:r>
    </w:p>
    <w:p w14:paraId="2FCBBC02" w14:textId="6DB67C83" w:rsidR="0021281C" w:rsidRPr="00950C8B" w:rsidRDefault="0021281C" w:rsidP="0021281C">
      <w:pPr>
        <w:pStyle w:val="ListParagraph"/>
        <w:numPr>
          <w:ilvl w:val="1"/>
          <w:numId w:val="34"/>
        </w:numPr>
        <w:spacing w:line="360" w:lineRule="auto"/>
        <w:contextualSpacing w:val="0"/>
      </w:pPr>
      <w:r>
        <w:rPr>
          <w:color w:val="auto"/>
        </w:rPr>
        <w:t xml:space="preserve">If the Government wants to address this issue, </w:t>
      </w:r>
      <w:r w:rsidR="002E5A2D">
        <w:rPr>
          <w:color w:val="auto"/>
        </w:rPr>
        <w:t>an</w:t>
      </w:r>
      <w:r w:rsidRPr="009D0B91">
        <w:rPr>
          <w:color w:val="auto"/>
        </w:rPr>
        <w:t xml:space="preserve"> approach would be to consult on a narrow exemption for particular types of remuneration (for example, fees paid to a non-executive director of a public company).</w:t>
      </w:r>
    </w:p>
    <w:p w14:paraId="35F85F16" w14:textId="77777777" w:rsidR="0021281C" w:rsidRDefault="0021281C" w:rsidP="0021281C">
      <w:r>
        <w:br w:type="page"/>
      </w:r>
    </w:p>
    <w:p w14:paraId="146497FA" w14:textId="77777777" w:rsidR="00637CC6" w:rsidRDefault="005C0E93" w:rsidP="0021281C">
      <w:pPr>
        <w:pStyle w:val="Heading1"/>
        <w:framePr w:wrap="notBeside"/>
      </w:pPr>
      <w:bookmarkStart w:id="310" w:name="_Toc478651973"/>
      <w:bookmarkStart w:id="311" w:name="_Toc478654434"/>
      <w:bookmarkStart w:id="312" w:name="_Toc478655148"/>
      <w:bookmarkStart w:id="313" w:name="_Toc478656402"/>
      <w:bookmarkStart w:id="314" w:name="_Toc478657653"/>
      <w:bookmarkStart w:id="315" w:name="_Toc478718249"/>
      <w:bookmarkStart w:id="316" w:name="_Toc478718459"/>
      <w:bookmarkStart w:id="317" w:name="_Toc478738408"/>
      <w:bookmarkStart w:id="318" w:name="_Toc478740694"/>
      <w:r>
        <w:t>Appendix A</w:t>
      </w:r>
      <w:bookmarkEnd w:id="246"/>
      <w:bookmarkEnd w:id="247"/>
      <w:bookmarkEnd w:id="310"/>
      <w:bookmarkEnd w:id="311"/>
      <w:bookmarkEnd w:id="312"/>
      <w:bookmarkEnd w:id="313"/>
      <w:bookmarkEnd w:id="314"/>
      <w:bookmarkEnd w:id="315"/>
      <w:bookmarkEnd w:id="316"/>
      <w:bookmarkEnd w:id="317"/>
      <w:bookmarkEnd w:id="318"/>
    </w:p>
    <w:p w14:paraId="72270225" w14:textId="77777777" w:rsidR="009D0B91" w:rsidRPr="009D0B91" w:rsidRDefault="009D0B91" w:rsidP="009D0B91">
      <w:pPr>
        <w:pStyle w:val="Heading2"/>
      </w:pPr>
      <w:bookmarkStart w:id="319" w:name="_Toc477866825"/>
      <w:bookmarkStart w:id="320" w:name="_Toc478036035"/>
      <w:bookmarkStart w:id="321" w:name="_Toc478034703"/>
      <w:bookmarkStart w:id="322" w:name="_Toc478036067"/>
      <w:bookmarkStart w:id="323" w:name="_Toc478403064"/>
      <w:bookmarkStart w:id="324" w:name="_Toc478485987"/>
      <w:bookmarkStart w:id="325" w:name="_Toc478501997"/>
      <w:bookmarkStart w:id="326" w:name="_Toc478651974"/>
      <w:bookmarkStart w:id="327" w:name="_Toc478654435"/>
      <w:bookmarkStart w:id="328" w:name="_Toc478655149"/>
      <w:bookmarkStart w:id="329" w:name="_Toc478656403"/>
      <w:bookmarkStart w:id="330" w:name="_Toc478657654"/>
      <w:bookmarkStart w:id="331" w:name="_Toc478718250"/>
      <w:bookmarkStart w:id="332" w:name="_Toc478718460"/>
      <w:bookmarkStart w:id="333" w:name="_Toc478738409"/>
      <w:bookmarkStart w:id="334" w:name="_Toc478740695"/>
      <w:r w:rsidRPr="009D0B91">
        <w:t>Terms of Reference</w:t>
      </w:r>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p>
    <w:p w14:paraId="5D8A4BB6" w14:textId="77777777" w:rsidR="009D0B91" w:rsidRPr="000075E2" w:rsidRDefault="009D0B91" w:rsidP="007A5C76">
      <w:pPr>
        <w:pStyle w:val="Heading3"/>
      </w:pPr>
      <w:r w:rsidRPr="000075E2">
        <w:t>Term of Reference 1</w:t>
      </w:r>
    </w:p>
    <w:p w14:paraId="1D877224" w14:textId="77777777" w:rsidR="009D0B91" w:rsidRPr="000075E2" w:rsidRDefault="009D0B91" w:rsidP="009D0B91">
      <w:pPr>
        <w:spacing w:line="360" w:lineRule="auto"/>
        <w:rPr>
          <w:rFonts w:cstheme="minorHAnsi"/>
          <w:szCs w:val="22"/>
          <w:lang w:eastAsia="en-AU"/>
        </w:rPr>
      </w:pPr>
      <w:r w:rsidRPr="000075E2">
        <w:rPr>
          <w:rFonts w:cstheme="minorHAnsi"/>
          <w:szCs w:val="22"/>
          <w:lang w:eastAsia="en-AU"/>
        </w:rPr>
        <w:t>Analyse the information and data available in order to establish ‘fact base’ and to identify characteristics and detect drivers of superannuation guarantee non-compliance. Also have reference to:</w:t>
      </w:r>
    </w:p>
    <w:p w14:paraId="70328D91" w14:textId="1C54E2DF" w:rsidR="009D0B91" w:rsidRPr="000075E2" w:rsidRDefault="009D0B91" w:rsidP="007A5C76">
      <w:pPr>
        <w:pStyle w:val="ListParagraph"/>
        <w:numPr>
          <w:ilvl w:val="0"/>
          <w:numId w:val="35"/>
        </w:numPr>
        <w:spacing w:line="360" w:lineRule="auto"/>
        <w:ind w:left="851" w:hanging="284"/>
        <w:contextualSpacing w:val="0"/>
      </w:pPr>
      <w:r w:rsidRPr="000075E2">
        <w:t>The extent of non-compliance amongst insolvent employers</w:t>
      </w:r>
    </w:p>
    <w:p w14:paraId="5E6DE03F" w14:textId="43DFE20F" w:rsidR="009D0B91" w:rsidRPr="000075E2" w:rsidRDefault="009D0B91" w:rsidP="007A5C76">
      <w:pPr>
        <w:pStyle w:val="ListParagraph"/>
        <w:numPr>
          <w:ilvl w:val="0"/>
          <w:numId w:val="35"/>
        </w:numPr>
        <w:spacing w:line="360" w:lineRule="auto"/>
        <w:ind w:left="851" w:hanging="284"/>
        <w:contextualSpacing w:val="0"/>
      </w:pPr>
      <w:r w:rsidRPr="000075E2">
        <w:t>The extent to which salary sacrifice is used to meet superannuation guarantee obligations</w:t>
      </w:r>
    </w:p>
    <w:p w14:paraId="3840B25F" w14:textId="77777777" w:rsidR="009D0B91" w:rsidRPr="000075E2" w:rsidRDefault="009D0B91" w:rsidP="007A5C76">
      <w:pPr>
        <w:pStyle w:val="Heading3"/>
      </w:pPr>
      <w:r w:rsidRPr="000075E2">
        <w:t>Term of Reference 2</w:t>
      </w:r>
    </w:p>
    <w:p w14:paraId="2507A60E" w14:textId="77777777" w:rsidR="009D0B91" w:rsidRPr="000075E2" w:rsidRDefault="009D0B91" w:rsidP="009D0B91">
      <w:pPr>
        <w:spacing w:line="360" w:lineRule="auto"/>
        <w:rPr>
          <w:rFonts w:cstheme="minorHAnsi"/>
          <w:szCs w:val="22"/>
          <w:lang w:eastAsia="en-AU"/>
        </w:rPr>
      </w:pPr>
      <w:r w:rsidRPr="000075E2">
        <w:rPr>
          <w:rFonts w:cstheme="minorHAnsi"/>
          <w:szCs w:val="22"/>
          <w:lang w:eastAsia="en-AU"/>
        </w:rPr>
        <w:t>Develop and consider administrative options to improve compliance and foster participation in the superannuation guarantee system by employers. Have reference to:</w:t>
      </w:r>
    </w:p>
    <w:p w14:paraId="317A1BC3" w14:textId="77777777" w:rsidR="009D0B91" w:rsidRPr="000075E2" w:rsidRDefault="009D0B91" w:rsidP="007A5C76">
      <w:pPr>
        <w:pStyle w:val="ListParagraph"/>
        <w:numPr>
          <w:ilvl w:val="0"/>
          <w:numId w:val="35"/>
        </w:numPr>
        <w:spacing w:line="360" w:lineRule="auto"/>
        <w:ind w:left="851" w:hanging="284"/>
        <w:contextualSpacing w:val="0"/>
      </w:pPr>
      <w:r w:rsidRPr="000075E2">
        <w:t>Information about superannuation guarantee payments coming to the ATO</w:t>
      </w:r>
    </w:p>
    <w:p w14:paraId="3487D5EB" w14:textId="77777777" w:rsidR="009D0B91" w:rsidRPr="000075E2" w:rsidRDefault="009D0B91" w:rsidP="007A5C76">
      <w:pPr>
        <w:pStyle w:val="ListParagraph"/>
        <w:numPr>
          <w:ilvl w:val="0"/>
          <w:numId w:val="35"/>
        </w:numPr>
        <w:spacing w:line="360" w:lineRule="auto"/>
        <w:ind w:left="851" w:hanging="284"/>
        <w:contextualSpacing w:val="0"/>
      </w:pPr>
      <w:r w:rsidRPr="000075E2">
        <w:t>The use of deterrents, such as prosecutions and audits</w:t>
      </w:r>
    </w:p>
    <w:p w14:paraId="5A265630" w14:textId="77777777" w:rsidR="009D0B91" w:rsidRPr="000075E2" w:rsidRDefault="009D0B91" w:rsidP="007A5C76">
      <w:pPr>
        <w:pStyle w:val="ListParagraph"/>
        <w:numPr>
          <w:ilvl w:val="0"/>
          <w:numId w:val="35"/>
        </w:numPr>
        <w:spacing w:line="360" w:lineRule="auto"/>
        <w:ind w:left="851" w:hanging="284"/>
        <w:contextualSpacing w:val="0"/>
      </w:pPr>
      <w:r w:rsidRPr="000075E2">
        <w:t>Review service offerings to support employers (including understanding the employee/ contractor distinction), such as online forms and tools for employers</w:t>
      </w:r>
    </w:p>
    <w:p w14:paraId="0BC543A9" w14:textId="77777777" w:rsidR="009D0B91" w:rsidRPr="000075E2" w:rsidRDefault="009D0B91" w:rsidP="007A5C76">
      <w:pPr>
        <w:pStyle w:val="ListParagraph"/>
        <w:numPr>
          <w:ilvl w:val="0"/>
          <w:numId w:val="35"/>
        </w:numPr>
        <w:spacing w:line="360" w:lineRule="auto"/>
        <w:ind w:left="851" w:hanging="284"/>
        <w:contextualSpacing w:val="0"/>
      </w:pPr>
      <w:r w:rsidRPr="000075E2">
        <w:t>The role of superannuation funds to assist employer compliance</w:t>
      </w:r>
      <w:r>
        <w:t>.</w:t>
      </w:r>
    </w:p>
    <w:p w14:paraId="29C1642A" w14:textId="77777777" w:rsidR="009D0B91" w:rsidRPr="000075E2" w:rsidRDefault="009D0B91" w:rsidP="007A5C76">
      <w:pPr>
        <w:pStyle w:val="Heading3"/>
      </w:pPr>
      <w:r w:rsidRPr="000075E2">
        <w:t>Term of Reference 3</w:t>
      </w:r>
    </w:p>
    <w:p w14:paraId="7B2C7AD1" w14:textId="77777777" w:rsidR="009D0B91" w:rsidRPr="000075E2" w:rsidRDefault="009D0B91" w:rsidP="009D0B91">
      <w:pPr>
        <w:spacing w:line="360" w:lineRule="auto"/>
        <w:rPr>
          <w:rFonts w:cstheme="minorHAnsi"/>
          <w:szCs w:val="22"/>
          <w:lang w:eastAsia="en-AU"/>
        </w:rPr>
      </w:pPr>
      <w:r w:rsidRPr="000075E2">
        <w:rPr>
          <w:rFonts w:cstheme="minorHAnsi"/>
          <w:szCs w:val="22"/>
          <w:lang w:eastAsia="en-AU"/>
        </w:rPr>
        <w:t>Develop and consider policy options to address superannuation guarantee non-compliance, including potential legislative change. Have reference to:</w:t>
      </w:r>
    </w:p>
    <w:p w14:paraId="7470A2C7" w14:textId="77777777" w:rsidR="009D0B91" w:rsidRPr="000075E2" w:rsidRDefault="009D0B91" w:rsidP="007A5C76">
      <w:pPr>
        <w:pStyle w:val="ListParagraph"/>
        <w:numPr>
          <w:ilvl w:val="0"/>
          <w:numId w:val="35"/>
        </w:numPr>
        <w:spacing w:line="360" w:lineRule="auto"/>
        <w:ind w:left="851" w:hanging="284"/>
        <w:contextualSpacing w:val="0"/>
      </w:pPr>
      <w:r w:rsidRPr="000075E2">
        <w:t>Potential to improve compliance through collection of more timely and accurate data</w:t>
      </w:r>
    </w:p>
    <w:p w14:paraId="20219A11" w14:textId="77777777" w:rsidR="009D0B91" w:rsidRPr="000075E2" w:rsidRDefault="009D0B91" w:rsidP="007A5C76">
      <w:pPr>
        <w:pStyle w:val="ListParagraph"/>
        <w:numPr>
          <w:ilvl w:val="0"/>
          <w:numId w:val="35"/>
        </w:numPr>
        <w:spacing w:line="360" w:lineRule="auto"/>
        <w:ind w:left="851" w:hanging="284"/>
        <w:contextualSpacing w:val="0"/>
      </w:pPr>
      <w:r w:rsidRPr="000075E2">
        <w:t>The frequency of employers paying</w:t>
      </w:r>
      <w:r>
        <w:t xml:space="preserve"> superannuation guarantee</w:t>
      </w:r>
    </w:p>
    <w:p w14:paraId="442035B3" w14:textId="77777777" w:rsidR="009D0B91" w:rsidRPr="000075E2" w:rsidRDefault="009D0B91" w:rsidP="007A5C76">
      <w:pPr>
        <w:pStyle w:val="ListParagraph"/>
        <w:numPr>
          <w:ilvl w:val="0"/>
          <w:numId w:val="35"/>
        </w:numPr>
        <w:spacing w:line="360" w:lineRule="auto"/>
        <w:ind w:left="851" w:hanging="284"/>
        <w:contextualSpacing w:val="0"/>
      </w:pPr>
      <w:r w:rsidRPr="000075E2">
        <w:t>The appropriateness of penalties and interest rates for non-compliance</w:t>
      </w:r>
      <w:r>
        <w:t>.</w:t>
      </w:r>
    </w:p>
    <w:p w14:paraId="22B8DE5C" w14:textId="77777777" w:rsidR="00637CC6" w:rsidRDefault="00637CC6" w:rsidP="00AF343B">
      <w:pPr>
        <w:spacing w:before="0" w:line="240" w:lineRule="auto"/>
      </w:pPr>
      <w:r>
        <w:br w:type="page"/>
      </w:r>
    </w:p>
    <w:p w14:paraId="29372A18" w14:textId="77777777" w:rsidR="00637CC6" w:rsidRDefault="00856BC4" w:rsidP="00856BC4">
      <w:pPr>
        <w:pStyle w:val="Heading1"/>
        <w:framePr w:wrap="notBeside"/>
      </w:pPr>
      <w:bookmarkStart w:id="335" w:name="_Toc478485988"/>
      <w:bookmarkStart w:id="336" w:name="_Toc478501998"/>
      <w:bookmarkStart w:id="337" w:name="_Toc478651975"/>
      <w:bookmarkStart w:id="338" w:name="_Toc478654436"/>
      <w:bookmarkStart w:id="339" w:name="_Toc478655150"/>
      <w:bookmarkStart w:id="340" w:name="_Toc478656404"/>
      <w:bookmarkStart w:id="341" w:name="_Toc478657655"/>
      <w:bookmarkStart w:id="342" w:name="_Toc478718251"/>
      <w:bookmarkStart w:id="343" w:name="_Toc478718461"/>
      <w:bookmarkStart w:id="344" w:name="_Toc478738410"/>
      <w:bookmarkStart w:id="345" w:name="_Toc478740696"/>
      <w:r>
        <w:t>Appendix B</w:t>
      </w:r>
      <w:bookmarkEnd w:id="335"/>
      <w:bookmarkEnd w:id="336"/>
      <w:bookmarkEnd w:id="337"/>
      <w:bookmarkEnd w:id="338"/>
      <w:bookmarkEnd w:id="339"/>
      <w:bookmarkEnd w:id="340"/>
      <w:bookmarkEnd w:id="341"/>
      <w:bookmarkEnd w:id="342"/>
      <w:bookmarkEnd w:id="343"/>
      <w:bookmarkEnd w:id="344"/>
      <w:bookmarkEnd w:id="345"/>
      <w:r>
        <w:t xml:space="preserve"> </w:t>
      </w:r>
    </w:p>
    <w:p w14:paraId="445696D0" w14:textId="77777777" w:rsidR="00856BC4" w:rsidRDefault="00856BC4" w:rsidP="00856BC4">
      <w:pPr>
        <w:pStyle w:val="Heading2"/>
      </w:pPr>
      <w:bookmarkStart w:id="346" w:name="_Toc477866823"/>
      <w:bookmarkStart w:id="347" w:name="_Toc478036033"/>
      <w:bookmarkStart w:id="348" w:name="_Toc478034701"/>
      <w:bookmarkStart w:id="349" w:name="_Toc478036065"/>
      <w:bookmarkStart w:id="350" w:name="_Toc478403066"/>
      <w:bookmarkStart w:id="351" w:name="_Toc478485989"/>
      <w:bookmarkStart w:id="352" w:name="_Toc478501999"/>
      <w:bookmarkStart w:id="353" w:name="_Toc478651976"/>
      <w:bookmarkStart w:id="354" w:name="_Toc478654437"/>
      <w:bookmarkStart w:id="355" w:name="_Toc478655151"/>
      <w:bookmarkStart w:id="356" w:name="_Toc478656405"/>
      <w:bookmarkStart w:id="357" w:name="_Toc478657656"/>
      <w:bookmarkStart w:id="358" w:name="_Toc478718252"/>
      <w:bookmarkStart w:id="359" w:name="_Toc478718462"/>
      <w:bookmarkStart w:id="360" w:name="_Toc478738411"/>
      <w:bookmarkStart w:id="361" w:name="_Toc478740697"/>
      <w:r>
        <w:t>Working group agencies</w:t>
      </w:r>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p>
    <w:p w14:paraId="48E476F7" w14:textId="77777777" w:rsidR="00856BC4" w:rsidRPr="006615FA" w:rsidRDefault="00856BC4" w:rsidP="00856BC4">
      <w:pPr>
        <w:pStyle w:val="Heading3"/>
      </w:pPr>
      <w:r w:rsidRPr="006615FA">
        <w:t xml:space="preserve">Australian </w:t>
      </w:r>
      <w:r w:rsidRPr="00856BC4">
        <w:t>Taxation</w:t>
      </w:r>
      <w:r w:rsidRPr="006615FA">
        <w:t xml:space="preserve"> Office</w:t>
      </w:r>
    </w:p>
    <w:p w14:paraId="7FB4AD8E" w14:textId="77777777" w:rsidR="00856BC4" w:rsidRPr="006615FA" w:rsidRDefault="00856BC4" w:rsidP="00856BC4">
      <w:pPr>
        <w:spacing w:line="360" w:lineRule="auto"/>
        <w:rPr>
          <w:rFonts w:cstheme="minorHAnsi"/>
          <w:szCs w:val="22"/>
          <w:lang w:eastAsia="en-AU"/>
        </w:rPr>
      </w:pPr>
      <w:r w:rsidRPr="006615FA">
        <w:rPr>
          <w:rFonts w:cstheme="minorHAnsi"/>
          <w:szCs w:val="22"/>
          <w:lang w:eastAsia="en-AU"/>
        </w:rPr>
        <w:t>The ATO’s role is to effectively manage and shape the superannuation system.</w:t>
      </w:r>
    </w:p>
    <w:p w14:paraId="517319E5" w14:textId="77777777" w:rsidR="007E0C82" w:rsidRPr="006615FA" w:rsidRDefault="00856BC4" w:rsidP="007E0C82">
      <w:pPr>
        <w:spacing w:line="360" w:lineRule="auto"/>
        <w:rPr>
          <w:rFonts w:cstheme="minorHAnsi"/>
          <w:szCs w:val="22"/>
          <w:lang w:eastAsia="en-AU"/>
        </w:rPr>
      </w:pPr>
      <w:r w:rsidRPr="006615FA">
        <w:rPr>
          <w:rFonts w:cstheme="minorHAnsi"/>
          <w:szCs w:val="22"/>
          <w:lang w:eastAsia="en-AU"/>
        </w:rPr>
        <w:t xml:space="preserve">The </w:t>
      </w:r>
      <w:r w:rsidRPr="006615FA">
        <w:rPr>
          <w:rFonts w:cstheme="minorHAnsi"/>
          <w:i/>
          <w:szCs w:val="22"/>
          <w:lang w:eastAsia="en-AU"/>
        </w:rPr>
        <w:t>Superannuation Guarantee (Administration) Act 1992</w:t>
      </w:r>
      <w:r w:rsidRPr="006615FA">
        <w:rPr>
          <w:rFonts w:cstheme="minorHAnsi"/>
          <w:szCs w:val="22"/>
          <w:lang w:eastAsia="en-AU"/>
        </w:rPr>
        <w:t xml:space="preserve"> sets out employer obligations for paying compulsory superannuation for employees. It also sets out the rules under which the ATO administers this legislation.</w:t>
      </w:r>
      <w:r w:rsidR="007E0C82">
        <w:rPr>
          <w:rFonts w:cstheme="minorHAnsi"/>
          <w:szCs w:val="22"/>
          <w:lang w:eastAsia="en-AU"/>
        </w:rPr>
        <w:t xml:space="preserve"> In the main, e</w:t>
      </w:r>
      <w:r w:rsidR="007E0C82" w:rsidRPr="006615FA">
        <w:rPr>
          <w:rFonts w:cstheme="minorHAnsi"/>
          <w:szCs w:val="22"/>
          <w:lang w:eastAsia="en-AU"/>
        </w:rPr>
        <w:t>mployers pay the superannuation guarantee entitlements for their employee</w:t>
      </w:r>
      <w:r w:rsidR="005254CB">
        <w:rPr>
          <w:rFonts w:cstheme="minorHAnsi"/>
          <w:szCs w:val="22"/>
          <w:lang w:eastAsia="en-AU"/>
        </w:rPr>
        <w:t>s</w:t>
      </w:r>
      <w:r w:rsidR="007E0C82" w:rsidRPr="006615FA">
        <w:rPr>
          <w:rFonts w:cstheme="minorHAnsi"/>
          <w:szCs w:val="22"/>
          <w:lang w:eastAsia="en-AU"/>
        </w:rPr>
        <w:t xml:space="preserve"> largely without the intervention of the ATO.</w:t>
      </w:r>
    </w:p>
    <w:p w14:paraId="47B54307" w14:textId="77777777" w:rsidR="00856BC4" w:rsidRPr="006615FA" w:rsidRDefault="00856BC4" w:rsidP="001F0E78">
      <w:pPr>
        <w:keepNext/>
        <w:spacing w:line="360" w:lineRule="auto"/>
        <w:rPr>
          <w:rFonts w:cstheme="minorHAnsi"/>
          <w:szCs w:val="22"/>
          <w:lang w:eastAsia="en-AU"/>
        </w:rPr>
      </w:pPr>
      <w:r w:rsidRPr="006615FA">
        <w:rPr>
          <w:rFonts w:cstheme="minorHAnsi"/>
          <w:szCs w:val="22"/>
          <w:lang w:eastAsia="en-AU"/>
        </w:rPr>
        <w:t>The ATO has a range of responsibilities under the</w:t>
      </w:r>
      <w:r>
        <w:rPr>
          <w:rFonts w:cstheme="minorHAnsi"/>
          <w:szCs w:val="22"/>
          <w:lang w:eastAsia="en-AU"/>
        </w:rPr>
        <w:t xml:space="preserve"> superannuation guarantee legislation</w:t>
      </w:r>
      <w:r w:rsidRPr="006615FA">
        <w:rPr>
          <w:rFonts w:cstheme="minorHAnsi"/>
          <w:szCs w:val="22"/>
          <w:lang w:eastAsia="en-AU"/>
        </w:rPr>
        <w:t xml:space="preserve"> including:</w:t>
      </w:r>
    </w:p>
    <w:p w14:paraId="0FD93F69" w14:textId="77777777" w:rsidR="00856BC4" w:rsidRPr="008300C0" w:rsidRDefault="00856BC4" w:rsidP="00856BC4">
      <w:pPr>
        <w:pStyle w:val="ListParagraph"/>
        <w:numPr>
          <w:ilvl w:val="0"/>
          <w:numId w:val="39"/>
        </w:numPr>
        <w:spacing w:line="360" w:lineRule="auto"/>
        <w:ind w:left="851" w:hanging="284"/>
        <w:contextualSpacing w:val="0"/>
      </w:pPr>
      <w:r w:rsidRPr="008300C0">
        <w:t>educating employers and employees about their responsibilities for</w:t>
      </w:r>
      <w:r>
        <w:t xml:space="preserve"> superannuation guarantee</w:t>
      </w:r>
    </w:p>
    <w:p w14:paraId="1C6246C9" w14:textId="77777777" w:rsidR="00856BC4" w:rsidRPr="008300C0" w:rsidRDefault="00856BC4" w:rsidP="00856BC4">
      <w:pPr>
        <w:pStyle w:val="ListParagraph"/>
        <w:numPr>
          <w:ilvl w:val="0"/>
          <w:numId w:val="39"/>
        </w:numPr>
        <w:spacing w:line="360" w:lineRule="auto"/>
        <w:ind w:left="851" w:hanging="284"/>
        <w:contextualSpacing w:val="0"/>
      </w:pPr>
      <w:r w:rsidRPr="008300C0">
        <w:t xml:space="preserve">monitoring employer compliance with their superannuation guarantee obligations  </w:t>
      </w:r>
    </w:p>
    <w:p w14:paraId="014243DF" w14:textId="77777777" w:rsidR="00856BC4" w:rsidRPr="008300C0" w:rsidRDefault="00856BC4" w:rsidP="00856BC4">
      <w:pPr>
        <w:pStyle w:val="ListParagraph"/>
        <w:numPr>
          <w:ilvl w:val="0"/>
          <w:numId w:val="39"/>
        </w:numPr>
        <w:spacing w:line="360" w:lineRule="auto"/>
        <w:ind w:left="851" w:hanging="284"/>
        <w:contextualSpacing w:val="0"/>
      </w:pPr>
      <w:r w:rsidRPr="008300C0">
        <w:t xml:space="preserve">raising the superannuation guarantee </w:t>
      </w:r>
      <w:r>
        <w:t>charge</w:t>
      </w:r>
      <w:r w:rsidRPr="008300C0">
        <w:t xml:space="preserve"> where employers do not pay the required minimum (quarterly) payments.</w:t>
      </w:r>
    </w:p>
    <w:p w14:paraId="663273FD" w14:textId="77777777" w:rsidR="00856BC4" w:rsidRPr="006615FA" w:rsidRDefault="00856BC4" w:rsidP="00856BC4">
      <w:pPr>
        <w:pStyle w:val="Heading3"/>
      </w:pPr>
      <w:r w:rsidRPr="006615FA">
        <w:t>Treasury</w:t>
      </w:r>
    </w:p>
    <w:p w14:paraId="389890AC" w14:textId="77777777" w:rsidR="00856BC4" w:rsidRPr="008300C0" w:rsidRDefault="00856BC4" w:rsidP="00856BC4">
      <w:pPr>
        <w:spacing w:line="360" w:lineRule="auto"/>
      </w:pPr>
      <w:r w:rsidRPr="008300C0">
        <w:t xml:space="preserve">The Treasury has responsibility for superannuation and retirement income policy. This includes </w:t>
      </w:r>
      <w:r>
        <w:t>superannuation guarantee</w:t>
      </w:r>
      <w:r w:rsidRPr="008300C0">
        <w:t>.</w:t>
      </w:r>
    </w:p>
    <w:p w14:paraId="4FF2DAAB" w14:textId="77777777" w:rsidR="00856BC4" w:rsidRPr="006615FA" w:rsidRDefault="00856BC4" w:rsidP="00856BC4">
      <w:pPr>
        <w:pStyle w:val="Heading3"/>
      </w:pPr>
      <w:r w:rsidRPr="006615FA">
        <w:t>Department of Employment</w:t>
      </w:r>
    </w:p>
    <w:p w14:paraId="32BBB733" w14:textId="77777777" w:rsidR="00856BC4" w:rsidRPr="006615FA" w:rsidRDefault="006F5134" w:rsidP="00856BC4">
      <w:pPr>
        <w:spacing w:line="360" w:lineRule="auto"/>
        <w:rPr>
          <w:rFonts w:cstheme="minorHAnsi"/>
          <w:szCs w:val="22"/>
          <w:lang w:eastAsia="en-AU"/>
        </w:rPr>
      </w:pPr>
      <w:r>
        <w:rPr>
          <w:rFonts w:cstheme="minorHAnsi"/>
          <w:szCs w:val="22"/>
          <w:lang w:eastAsia="en-AU"/>
        </w:rPr>
        <w:t>The Department of Employment</w:t>
      </w:r>
      <w:r w:rsidR="007E0C82">
        <w:rPr>
          <w:rFonts w:cstheme="minorHAnsi"/>
          <w:szCs w:val="22"/>
          <w:lang w:eastAsia="en-AU"/>
        </w:rPr>
        <w:t xml:space="preserve"> </w:t>
      </w:r>
      <w:r>
        <w:rPr>
          <w:rFonts w:cstheme="minorHAnsi"/>
          <w:szCs w:val="22"/>
          <w:lang w:eastAsia="en-AU"/>
        </w:rPr>
        <w:t xml:space="preserve">has responsibility for workplace relations and employment policy, including compliance and enforcement of workplace relations laws by the </w:t>
      </w:r>
      <w:r w:rsidR="00836E1B">
        <w:rPr>
          <w:rFonts w:cstheme="minorHAnsi"/>
          <w:szCs w:val="22"/>
          <w:lang w:eastAsia="en-AU"/>
        </w:rPr>
        <w:t>FWO.</w:t>
      </w:r>
    </w:p>
    <w:p w14:paraId="666FFAA3" w14:textId="77777777" w:rsidR="00856BC4" w:rsidRPr="006615FA" w:rsidRDefault="00856BC4" w:rsidP="001F0E78">
      <w:pPr>
        <w:keepNext/>
        <w:spacing w:line="360" w:lineRule="auto"/>
        <w:rPr>
          <w:rFonts w:cstheme="minorHAnsi"/>
          <w:szCs w:val="22"/>
          <w:lang w:eastAsia="en-AU"/>
        </w:rPr>
      </w:pPr>
      <w:r w:rsidRPr="006615FA">
        <w:rPr>
          <w:rFonts w:cstheme="minorHAnsi"/>
          <w:szCs w:val="22"/>
          <w:lang w:eastAsia="en-AU"/>
        </w:rPr>
        <w:t xml:space="preserve">The FWO has a limited jurisdiction under the </w:t>
      </w:r>
      <w:r w:rsidRPr="00224B95">
        <w:rPr>
          <w:i/>
          <w:lang w:eastAsia="en-AU"/>
        </w:rPr>
        <w:t>Fair Work Act 2009</w:t>
      </w:r>
      <w:r w:rsidRPr="006615FA">
        <w:rPr>
          <w:rFonts w:cstheme="minorHAnsi"/>
          <w:szCs w:val="22"/>
          <w:lang w:eastAsia="en-AU"/>
        </w:rPr>
        <w:t xml:space="preserve"> </w:t>
      </w:r>
      <w:r w:rsidR="007E0C82">
        <w:rPr>
          <w:rFonts w:cstheme="minorHAnsi"/>
          <w:szCs w:val="22"/>
          <w:lang w:eastAsia="en-AU"/>
        </w:rPr>
        <w:t xml:space="preserve">in relation </w:t>
      </w:r>
      <w:r w:rsidRPr="006615FA">
        <w:rPr>
          <w:rFonts w:cstheme="minorHAnsi"/>
          <w:szCs w:val="22"/>
          <w:lang w:eastAsia="en-AU"/>
        </w:rPr>
        <w:t>to superannuation. The FWO</w:t>
      </w:r>
      <w:r w:rsidR="007E0C82">
        <w:rPr>
          <w:rFonts w:cstheme="minorHAnsi"/>
          <w:szCs w:val="22"/>
          <w:lang w:eastAsia="en-AU"/>
        </w:rPr>
        <w:t xml:space="preserve"> enforces </w:t>
      </w:r>
      <w:r w:rsidRPr="006615FA">
        <w:rPr>
          <w:rFonts w:cstheme="minorHAnsi"/>
          <w:szCs w:val="22"/>
          <w:lang w:eastAsia="en-AU"/>
        </w:rPr>
        <w:t>compliance with:</w:t>
      </w:r>
    </w:p>
    <w:p w14:paraId="70EF3A9E" w14:textId="77777777" w:rsidR="00856BC4" w:rsidRPr="008300C0" w:rsidRDefault="00856BC4" w:rsidP="00856BC4">
      <w:pPr>
        <w:pStyle w:val="ListParagraph"/>
        <w:numPr>
          <w:ilvl w:val="0"/>
          <w:numId w:val="39"/>
        </w:numPr>
        <w:spacing w:line="360" w:lineRule="auto"/>
        <w:ind w:left="851" w:hanging="284"/>
        <w:contextualSpacing w:val="0"/>
      </w:pPr>
      <w:r w:rsidRPr="008300C0">
        <w:t>terms of modern awards and enterprise agreements which require employers to make superannuation contributions by reference to or in</w:t>
      </w:r>
      <w:r w:rsidR="004B13FC">
        <w:t xml:space="preserve"> a</w:t>
      </w:r>
      <w:r w:rsidRPr="008300C0">
        <w:t xml:space="preserve"> way that is consistent with the </w:t>
      </w:r>
      <w:r w:rsidRPr="00856BC4">
        <w:rPr>
          <w:i/>
        </w:rPr>
        <w:t>Superannuation Guarantee (Administration) Act 1992</w:t>
      </w:r>
      <w:r w:rsidRPr="008300C0">
        <w:t>; and</w:t>
      </w:r>
    </w:p>
    <w:p w14:paraId="24A8C5D2" w14:textId="77777777" w:rsidR="00856BC4" w:rsidRPr="008300C0" w:rsidRDefault="00856BC4" w:rsidP="00856BC4">
      <w:pPr>
        <w:pStyle w:val="ListParagraph"/>
        <w:numPr>
          <w:ilvl w:val="0"/>
          <w:numId w:val="39"/>
        </w:numPr>
        <w:spacing w:line="360" w:lineRule="auto"/>
        <w:ind w:left="851" w:hanging="284"/>
        <w:contextualSpacing w:val="0"/>
      </w:pPr>
      <w:r w:rsidRPr="008300C0">
        <w:t xml:space="preserve">record keeping and payslip requirements relating to superannuation contributions and funds as prescribed by the </w:t>
      </w:r>
      <w:r w:rsidRPr="00F71EF8">
        <w:rPr>
          <w:i/>
        </w:rPr>
        <w:t>Fair Work Regulations 2009</w:t>
      </w:r>
      <w:r w:rsidRPr="008300C0">
        <w:t>.</w:t>
      </w:r>
    </w:p>
    <w:p w14:paraId="79B9DDE1" w14:textId="77777777" w:rsidR="00856BC4" w:rsidRPr="006615FA" w:rsidRDefault="00856BC4" w:rsidP="00856BC4">
      <w:pPr>
        <w:pStyle w:val="Heading3"/>
      </w:pPr>
      <w:r w:rsidRPr="006615FA">
        <w:t xml:space="preserve">Australian Securities and Investment Commission </w:t>
      </w:r>
    </w:p>
    <w:p w14:paraId="6A8203B6" w14:textId="77777777" w:rsidR="00717AAB" w:rsidRDefault="00717AAB" w:rsidP="00856BC4">
      <w:pPr>
        <w:spacing w:line="360" w:lineRule="auto"/>
      </w:pPr>
      <w:r>
        <w:rPr>
          <w:rFonts w:cstheme="minorHAnsi"/>
          <w:szCs w:val="22"/>
          <w:lang w:eastAsia="en-AU"/>
        </w:rPr>
        <w:t xml:space="preserve">The Australian Securities and Investment Commission (ASIC) is </w:t>
      </w:r>
      <w:r>
        <w:t>Australia's corporate, markets and financial services regulator.</w:t>
      </w:r>
    </w:p>
    <w:p w14:paraId="18D54A71" w14:textId="77777777" w:rsidR="00717AAB" w:rsidRDefault="00717AAB" w:rsidP="00856BC4">
      <w:pPr>
        <w:spacing w:line="360" w:lineRule="auto"/>
      </w:pPr>
      <w:r>
        <w:t>As the financial services regulator, ASIC licence and monitor financial services businesses including trustees who operate superannuation funds to ensure they operate efficiently, honestly and fairly. ASIC also regulates disclosure and some aspects of conduct relating to superannuation funds.</w:t>
      </w:r>
    </w:p>
    <w:p w14:paraId="4995850D" w14:textId="77777777" w:rsidR="00717AAB" w:rsidRDefault="00717AAB" w:rsidP="00856BC4">
      <w:pPr>
        <w:spacing w:line="360" w:lineRule="auto"/>
      </w:pPr>
      <w:r>
        <w:t>ASIC is also responsible for the regulation of registered liquidators. Where applicable a registered liquidator is responsible for dealing with unpaid superannuation entitlements in the context of an external administration of a company to which they are appointed. Registered liquidators lodge reports with ASIC on companies that have gone into liquidation, voluntary administration or have had a receiver or receiver manager appointed. These reports contain information about the assets and liabilities of the company including where applicable amounts owed in unpaid superannuation entitlements. ASIC uses these reports to inform decisions about actions against directors of companies that have gone into administration and broader regulatory activities such as its work on Phoenix activities.</w:t>
      </w:r>
    </w:p>
    <w:p w14:paraId="081E1FD0" w14:textId="77777777" w:rsidR="00856BC4" w:rsidRPr="006615FA" w:rsidRDefault="00717AAB" w:rsidP="00856BC4">
      <w:pPr>
        <w:spacing w:line="360" w:lineRule="auto"/>
        <w:rPr>
          <w:rFonts w:cstheme="minorHAnsi"/>
          <w:szCs w:val="22"/>
          <w:lang w:eastAsia="en-AU"/>
        </w:rPr>
      </w:pPr>
      <w:r>
        <w:t xml:space="preserve">ASIC also plays a role more broadly to promote financial capability through the provision of educational tools and information for consumers on its </w:t>
      </w:r>
      <w:r w:rsidRPr="00F71EF8">
        <w:rPr>
          <w:i/>
        </w:rPr>
        <w:t>MoneySmart</w:t>
      </w:r>
      <w:r>
        <w:t xml:space="preserve"> website</w:t>
      </w:r>
      <w:r w:rsidR="000505CC">
        <w:t>.</w:t>
      </w:r>
    </w:p>
    <w:p w14:paraId="06B72B1C" w14:textId="77777777" w:rsidR="00856BC4" w:rsidRPr="006615FA" w:rsidRDefault="00856BC4" w:rsidP="00856BC4">
      <w:pPr>
        <w:pStyle w:val="Heading3"/>
      </w:pPr>
      <w:r w:rsidRPr="006615FA">
        <w:t>Australian Prudential Regulation Authority</w:t>
      </w:r>
    </w:p>
    <w:p w14:paraId="3BFD7BA8" w14:textId="77777777" w:rsidR="00E70A62" w:rsidRPr="00224B95" w:rsidRDefault="00E70A62" w:rsidP="00224B95">
      <w:pPr>
        <w:spacing w:line="360" w:lineRule="auto"/>
        <w:rPr>
          <w:rFonts w:cs="Arial"/>
        </w:rPr>
      </w:pPr>
      <w:r>
        <w:rPr>
          <w:lang w:eastAsia="en-AU"/>
        </w:rPr>
        <w:t>The Australian Prudential Regulation Authority (</w:t>
      </w:r>
      <w:r w:rsidRPr="006615FA">
        <w:rPr>
          <w:lang w:eastAsia="en-AU"/>
        </w:rPr>
        <w:t>APRA</w:t>
      </w:r>
      <w:r>
        <w:rPr>
          <w:lang w:eastAsia="en-AU"/>
        </w:rPr>
        <w:t>)</w:t>
      </w:r>
      <w:r w:rsidRPr="006615FA">
        <w:rPr>
          <w:lang w:eastAsia="en-AU"/>
        </w:rPr>
        <w:t xml:space="preserve"> </w:t>
      </w:r>
      <w:r w:rsidRPr="00224B95">
        <w:rPr>
          <w:rFonts w:cs="Arial"/>
        </w:rPr>
        <w:t>is the prudential regulator of the financial services industry, including banks, insurers and the superannuation industry (except self-managed superannuation funds).</w:t>
      </w:r>
    </w:p>
    <w:p w14:paraId="067DB580" w14:textId="77777777" w:rsidR="00E70A62" w:rsidRPr="00224B95" w:rsidRDefault="00E70A62" w:rsidP="00224B95">
      <w:pPr>
        <w:spacing w:line="360" w:lineRule="auto"/>
        <w:rPr>
          <w:rFonts w:cs="Arial"/>
        </w:rPr>
      </w:pPr>
      <w:r w:rsidRPr="00224B95">
        <w:rPr>
          <w:rFonts w:cs="Arial"/>
        </w:rPr>
        <w:t>APRA wrote the Superannuation Prudential Standards and Superannuation Practice Guides which detail prudential obligations and standards of best practice for superannuation trustees.</w:t>
      </w:r>
    </w:p>
    <w:p w14:paraId="1FA89E55" w14:textId="77777777" w:rsidR="00E70A62" w:rsidRPr="00224B95" w:rsidRDefault="00E70A62" w:rsidP="00224B95">
      <w:pPr>
        <w:spacing w:line="360" w:lineRule="auto"/>
        <w:rPr>
          <w:rFonts w:cs="Arial"/>
        </w:rPr>
      </w:pPr>
      <w:r w:rsidRPr="00224B95">
        <w:rPr>
          <w:rFonts w:cs="Arial"/>
        </w:rPr>
        <w:t xml:space="preserve">APRA collects data from regulated entities including superannuation funds.  It publishes a range of data at industry and fund level, including superannuation guarantee contributions made by employers.  </w:t>
      </w:r>
    </w:p>
    <w:p w14:paraId="5AB4B8D8" w14:textId="37284061" w:rsidR="000220A4" w:rsidRDefault="000220A4" w:rsidP="000220A4">
      <w:pPr>
        <w:pStyle w:val="Heading3"/>
      </w:pPr>
      <w:bookmarkStart w:id="362" w:name="_Toc473625463"/>
      <w:bookmarkStart w:id="363" w:name="_Toc473629894"/>
      <w:bookmarkStart w:id="364" w:name="_Toc473631186"/>
      <w:bookmarkStart w:id="365" w:name="_Toc473631480"/>
      <w:bookmarkStart w:id="366" w:name="_Toc473636604"/>
      <w:bookmarkStart w:id="367" w:name="_Toc473635322"/>
      <w:bookmarkStart w:id="368" w:name="_Toc473625464"/>
      <w:bookmarkStart w:id="369" w:name="_Toc473629895"/>
      <w:bookmarkStart w:id="370" w:name="_Toc473631187"/>
      <w:bookmarkStart w:id="371" w:name="_Toc473631481"/>
      <w:bookmarkStart w:id="372" w:name="_Toc473636605"/>
      <w:bookmarkStart w:id="373" w:name="_Toc473635323"/>
      <w:bookmarkEnd w:id="362"/>
      <w:bookmarkEnd w:id="363"/>
      <w:bookmarkEnd w:id="364"/>
      <w:bookmarkEnd w:id="365"/>
      <w:bookmarkEnd w:id="366"/>
      <w:bookmarkEnd w:id="367"/>
      <w:r>
        <w:t>Cross Agency Working Group Members</w:t>
      </w:r>
      <w:bookmarkEnd w:id="368"/>
      <w:bookmarkEnd w:id="369"/>
      <w:bookmarkEnd w:id="370"/>
      <w:bookmarkEnd w:id="371"/>
      <w:bookmarkEnd w:id="372"/>
      <w:bookmarkEnd w:id="373"/>
    </w:p>
    <w:tbl>
      <w:tblPr>
        <w:tblStyle w:val="TableGrid"/>
        <w:tblW w:w="0" w:type="auto"/>
        <w:tblLook w:val="04A0" w:firstRow="1" w:lastRow="0" w:firstColumn="1" w:lastColumn="0" w:noHBand="0" w:noVBand="1"/>
      </w:tblPr>
      <w:tblGrid>
        <w:gridCol w:w="4536"/>
        <w:gridCol w:w="4534"/>
      </w:tblGrid>
      <w:tr w:rsidR="000220A4" w14:paraId="61428524" w14:textId="77777777" w:rsidTr="000220A4">
        <w:tc>
          <w:tcPr>
            <w:tcW w:w="4643" w:type="dxa"/>
          </w:tcPr>
          <w:p w14:paraId="62241A6C" w14:textId="77777777" w:rsidR="000220A4" w:rsidRPr="00CD678D" w:rsidRDefault="000220A4" w:rsidP="000220A4">
            <w:pPr>
              <w:spacing w:beforeLines="140" w:before="336" w:line="360" w:lineRule="auto"/>
              <w:rPr>
                <w:b/>
              </w:rPr>
            </w:pPr>
            <w:r>
              <w:rPr>
                <w:b/>
              </w:rPr>
              <w:t>Agency</w:t>
            </w:r>
          </w:p>
        </w:tc>
        <w:tc>
          <w:tcPr>
            <w:tcW w:w="4643" w:type="dxa"/>
          </w:tcPr>
          <w:p w14:paraId="1E1686EA" w14:textId="77777777" w:rsidR="000220A4" w:rsidRPr="00CD678D" w:rsidRDefault="000220A4" w:rsidP="000220A4">
            <w:pPr>
              <w:spacing w:beforeLines="140" w:before="336" w:line="360" w:lineRule="auto"/>
              <w:rPr>
                <w:b/>
              </w:rPr>
            </w:pPr>
            <w:r w:rsidRPr="00CD678D">
              <w:rPr>
                <w:b/>
              </w:rPr>
              <w:t>Members</w:t>
            </w:r>
          </w:p>
        </w:tc>
      </w:tr>
      <w:tr w:rsidR="000220A4" w14:paraId="07585A84" w14:textId="77777777" w:rsidTr="000220A4">
        <w:tc>
          <w:tcPr>
            <w:tcW w:w="4643" w:type="dxa"/>
          </w:tcPr>
          <w:p w14:paraId="4FFA9084" w14:textId="77777777" w:rsidR="000220A4" w:rsidRDefault="000220A4" w:rsidP="000220A4">
            <w:pPr>
              <w:spacing w:beforeLines="140" w:before="336" w:line="360" w:lineRule="auto"/>
            </w:pPr>
            <w:r>
              <w:t>Australian Taxation Office</w:t>
            </w:r>
          </w:p>
        </w:tc>
        <w:tc>
          <w:tcPr>
            <w:tcW w:w="4643" w:type="dxa"/>
          </w:tcPr>
          <w:p w14:paraId="5A86FB02" w14:textId="77777777" w:rsidR="000220A4" w:rsidRDefault="000220A4" w:rsidP="000220A4">
            <w:pPr>
              <w:spacing w:beforeLines="150" w:before="360" w:line="360" w:lineRule="auto"/>
            </w:pPr>
            <w:r>
              <w:t>James O’Halloran, Chair</w:t>
            </w:r>
            <w:r>
              <w:br/>
            </w:r>
            <w:r w:rsidRPr="00CD678D">
              <w:rPr>
                <w:sz w:val="16"/>
              </w:rPr>
              <w:t>Deputy Commissioner, Superannuation</w:t>
            </w:r>
            <w:r>
              <w:br/>
              <w:t>Debbie Rawlings</w:t>
            </w:r>
            <w:r>
              <w:br/>
            </w:r>
            <w:r w:rsidRPr="00CD678D">
              <w:rPr>
                <w:sz w:val="16"/>
              </w:rPr>
              <w:t>Assistant Commissioner, Superannuation</w:t>
            </w:r>
          </w:p>
        </w:tc>
      </w:tr>
      <w:tr w:rsidR="000220A4" w14:paraId="29EFDCD1" w14:textId="77777777" w:rsidTr="000220A4">
        <w:tc>
          <w:tcPr>
            <w:tcW w:w="4643" w:type="dxa"/>
          </w:tcPr>
          <w:p w14:paraId="639524CF" w14:textId="77777777" w:rsidR="000220A4" w:rsidRDefault="000220A4" w:rsidP="000220A4">
            <w:pPr>
              <w:spacing w:beforeLines="140" w:before="336" w:line="360" w:lineRule="auto"/>
            </w:pPr>
            <w:r>
              <w:t>Department of the Treasury</w:t>
            </w:r>
          </w:p>
        </w:tc>
        <w:tc>
          <w:tcPr>
            <w:tcW w:w="4643" w:type="dxa"/>
          </w:tcPr>
          <w:p w14:paraId="6BB21581" w14:textId="77777777" w:rsidR="000220A4" w:rsidRDefault="000220A4" w:rsidP="000220A4">
            <w:pPr>
              <w:spacing w:beforeLines="140" w:before="336" w:line="360" w:lineRule="auto"/>
            </w:pPr>
            <w:r>
              <w:t>Jenny Wilkinson</w:t>
            </w:r>
            <w:r>
              <w:br/>
            </w:r>
            <w:r w:rsidRPr="00CD678D">
              <w:rPr>
                <w:sz w:val="16"/>
              </w:rPr>
              <w:t>Division Head, Retirement Income Policy Division</w:t>
            </w:r>
            <w:r>
              <w:br/>
              <w:t>Robb Preston</w:t>
            </w:r>
            <w:r>
              <w:br/>
            </w:r>
            <w:r w:rsidRPr="00CD678D">
              <w:rPr>
                <w:sz w:val="16"/>
              </w:rPr>
              <w:t>Manager, Retirement Income Policy Division</w:t>
            </w:r>
          </w:p>
        </w:tc>
      </w:tr>
      <w:tr w:rsidR="000220A4" w14:paraId="64A7BD99" w14:textId="77777777" w:rsidTr="000220A4">
        <w:tc>
          <w:tcPr>
            <w:tcW w:w="4643" w:type="dxa"/>
          </w:tcPr>
          <w:p w14:paraId="71F7076D" w14:textId="77777777" w:rsidR="000220A4" w:rsidRDefault="000220A4" w:rsidP="000220A4">
            <w:pPr>
              <w:spacing w:beforeLines="140" w:before="336" w:line="360" w:lineRule="auto"/>
            </w:pPr>
            <w:r>
              <w:t>Department of Employment</w:t>
            </w:r>
          </w:p>
        </w:tc>
        <w:tc>
          <w:tcPr>
            <w:tcW w:w="4643" w:type="dxa"/>
          </w:tcPr>
          <w:p w14:paraId="2CE4E812" w14:textId="77777777" w:rsidR="000220A4" w:rsidRDefault="000220A4" w:rsidP="000220A4">
            <w:pPr>
              <w:spacing w:beforeLines="140" w:before="336" w:line="360" w:lineRule="auto"/>
            </w:pPr>
            <w:r>
              <w:t>David Denney</w:t>
            </w:r>
            <w:r>
              <w:br/>
            </w:r>
            <w:r w:rsidRPr="00CD678D">
              <w:rPr>
                <w:sz w:val="16"/>
              </w:rPr>
              <w:t>Branch Manager, Workplace Relations Economic Strategy</w:t>
            </w:r>
          </w:p>
        </w:tc>
      </w:tr>
      <w:tr w:rsidR="000220A4" w14:paraId="18B3EBDB" w14:textId="77777777" w:rsidTr="000220A4">
        <w:tc>
          <w:tcPr>
            <w:tcW w:w="4643" w:type="dxa"/>
          </w:tcPr>
          <w:p w14:paraId="1221863A" w14:textId="77777777" w:rsidR="000220A4" w:rsidRDefault="000220A4" w:rsidP="000220A4">
            <w:pPr>
              <w:spacing w:beforeLines="140" w:before="336" w:line="360" w:lineRule="auto"/>
            </w:pPr>
            <w:r>
              <w:t>Australian Prudential Regulation Authority</w:t>
            </w:r>
          </w:p>
        </w:tc>
        <w:tc>
          <w:tcPr>
            <w:tcW w:w="4643" w:type="dxa"/>
          </w:tcPr>
          <w:p w14:paraId="2B272B46" w14:textId="77777777" w:rsidR="000220A4" w:rsidRDefault="000220A4" w:rsidP="000220A4">
            <w:pPr>
              <w:spacing w:beforeLines="140" w:before="336" w:line="360" w:lineRule="auto"/>
            </w:pPr>
            <w:r>
              <w:t>Sacha Vidler</w:t>
            </w:r>
            <w:r>
              <w:br/>
            </w:r>
            <w:r w:rsidRPr="00CD678D">
              <w:rPr>
                <w:sz w:val="16"/>
              </w:rPr>
              <w:t>Head (acting), Industry Team</w:t>
            </w:r>
          </w:p>
        </w:tc>
      </w:tr>
      <w:tr w:rsidR="000220A4" w14:paraId="568666C3" w14:textId="77777777" w:rsidTr="000220A4">
        <w:tc>
          <w:tcPr>
            <w:tcW w:w="4643" w:type="dxa"/>
          </w:tcPr>
          <w:p w14:paraId="496BF8B7" w14:textId="77777777" w:rsidR="000220A4" w:rsidRDefault="000220A4" w:rsidP="000220A4">
            <w:pPr>
              <w:spacing w:beforeLines="140" w:before="336" w:line="360" w:lineRule="auto"/>
            </w:pPr>
            <w:r>
              <w:t>Australian Securities and Investment Commission</w:t>
            </w:r>
          </w:p>
        </w:tc>
        <w:tc>
          <w:tcPr>
            <w:tcW w:w="4643" w:type="dxa"/>
          </w:tcPr>
          <w:p w14:paraId="4E315B3F" w14:textId="77777777" w:rsidR="000220A4" w:rsidRDefault="000220A4" w:rsidP="000220A4">
            <w:pPr>
              <w:spacing w:beforeLines="140" w:before="336" w:line="360" w:lineRule="auto"/>
            </w:pPr>
            <w:r>
              <w:t>Gerard Fitzpatrick</w:t>
            </w:r>
            <w:r>
              <w:br/>
            </w:r>
            <w:r>
              <w:rPr>
                <w:sz w:val="16"/>
              </w:rPr>
              <w:t xml:space="preserve">Senior Executive Leader, Investment Managers and Superannuation </w:t>
            </w:r>
          </w:p>
        </w:tc>
      </w:tr>
    </w:tbl>
    <w:p w14:paraId="7D212FBC" w14:textId="77777777" w:rsidR="000220A4" w:rsidRDefault="000220A4" w:rsidP="000220A4">
      <w:pPr>
        <w:spacing w:beforeLines="140" w:before="336" w:line="360" w:lineRule="auto"/>
      </w:pPr>
    </w:p>
    <w:p w14:paraId="22CEEA83" w14:textId="77777777" w:rsidR="00E70A62" w:rsidRDefault="00E70A62" w:rsidP="00856BC4">
      <w:pPr>
        <w:spacing w:line="360" w:lineRule="auto"/>
        <w:rPr>
          <w:rFonts w:cstheme="minorHAnsi"/>
          <w:szCs w:val="22"/>
          <w:lang w:eastAsia="en-AU"/>
        </w:rPr>
      </w:pPr>
    </w:p>
    <w:p w14:paraId="77076FF0" w14:textId="77777777" w:rsidR="00637CC6" w:rsidRDefault="00637CC6" w:rsidP="00AF343B">
      <w:pPr>
        <w:spacing w:before="0" w:line="240" w:lineRule="auto"/>
      </w:pPr>
      <w:r>
        <w:br w:type="page"/>
      </w:r>
    </w:p>
    <w:p w14:paraId="735E4DE9" w14:textId="77777777" w:rsidR="00637CC6" w:rsidRDefault="00A009AC" w:rsidP="00FD44C3">
      <w:pPr>
        <w:pStyle w:val="Heading1"/>
        <w:framePr w:wrap="notBeside"/>
      </w:pPr>
      <w:bookmarkStart w:id="374" w:name="_Toc478485990"/>
      <w:bookmarkStart w:id="375" w:name="_Toc478502000"/>
      <w:bookmarkStart w:id="376" w:name="_Toc478651977"/>
      <w:bookmarkStart w:id="377" w:name="_Toc478654438"/>
      <w:bookmarkStart w:id="378" w:name="_Toc478655152"/>
      <w:bookmarkStart w:id="379" w:name="_Toc478656406"/>
      <w:bookmarkStart w:id="380" w:name="_Toc478657657"/>
      <w:bookmarkStart w:id="381" w:name="_Toc478718253"/>
      <w:bookmarkStart w:id="382" w:name="_Toc478718463"/>
      <w:bookmarkStart w:id="383" w:name="_Toc478738412"/>
      <w:bookmarkStart w:id="384" w:name="_Toc478740698"/>
      <w:r>
        <w:t>Appendix C</w:t>
      </w:r>
      <w:bookmarkEnd w:id="374"/>
      <w:bookmarkEnd w:id="375"/>
      <w:bookmarkEnd w:id="376"/>
      <w:bookmarkEnd w:id="377"/>
      <w:bookmarkEnd w:id="378"/>
      <w:bookmarkEnd w:id="379"/>
      <w:bookmarkEnd w:id="380"/>
      <w:bookmarkEnd w:id="381"/>
      <w:bookmarkEnd w:id="382"/>
      <w:bookmarkEnd w:id="383"/>
      <w:bookmarkEnd w:id="384"/>
      <w:r w:rsidDel="00A009AC">
        <w:t xml:space="preserve"> </w:t>
      </w:r>
    </w:p>
    <w:p w14:paraId="03DFC9ED" w14:textId="77777777" w:rsidR="00637CC6" w:rsidRDefault="00F37432" w:rsidP="00AF343B">
      <w:pPr>
        <w:pStyle w:val="Heading2"/>
      </w:pPr>
      <w:bookmarkStart w:id="385" w:name="_Toc478485991"/>
      <w:bookmarkStart w:id="386" w:name="_Toc478502001"/>
      <w:bookmarkStart w:id="387" w:name="_Toc478651978"/>
      <w:bookmarkStart w:id="388" w:name="_Toc478654439"/>
      <w:bookmarkStart w:id="389" w:name="_Toc478655153"/>
      <w:bookmarkStart w:id="390" w:name="_Toc478656407"/>
      <w:bookmarkStart w:id="391" w:name="_Toc478657658"/>
      <w:bookmarkStart w:id="392" w:name="_Toc478718254"/>
      <w:bookmarkStart w:id="393" w:name="_Toc478718464"/>
      <w:bookmarkStart w:id="394" w:name="_Toc478738413"/>
      <w:bookmarkStart w:id="395" w:name="_Toc478740699"/>
      <w:r>
        <w:t>Superannuation g</w:t>
      </w:r>
      <w:r w:rsidR="00A009AC">
        <w:t>uarantee framework</w:t>
      </w:r>
      <w:bookmarkEnd w:id="385"/>
      <w:r w:rsidR="00A009AC">
        <w:t xml:space="preserve"> </w:t>
      </w:r>
      <w:r w:rsidR="005A104A">
        <w:t>and operation</w:t>
      </w:r>
      <w:bookmarkEnd w:id="386"/>
      <w:bookmarkEnd w:id="387"/>
      <w:bookmarkEnd w:id="388"/>
      <w:bookmarkEnd w:id="389"/>
      <w:bookmarkEnd w:id="390"/>
      <w:bookmarkEnd w:id="391"/>
      <w:bookmarkEnd w:id="392"/>
      <w:bookmarkEnd w:id="393"/>
      <w:bookmarkEnd w:id="394"/>
      <w:bookmarkEnd w:id="395"/>
      <w:r w:rsidR="005A104A">
        <w:t xml:space="preserve"> </w:t>
      </w:r>
    </w:p>
    <w:p w14:paraId="3B523A53" w14:textId="77777777" w:rsidR="005A104A" w:rsidRPr="005A104A" w:rsidRDefault="005A104A" w:rsidP="005A104A">
      <w:pPr>
        <w:pStyle w:val="Heading3"/>
      </w:pPr>
      <w:r>
        <w:t xml:space="preserve">Legislative framework </w:t>
      </w:r>
    </w:p>
    <w:p w14:paraId="5C9468F4" w14:textId="77777777" w:rsidR="00F37432" w:rsidRDefault="00F37432" w:rsidP="00745BA0">
      <w:pPr>
        <w:spacing w:line="360" w:lineRule="auto"/>
      </w:pPr>
      <w:r w:rsidDel="00B64E68">
        <w:t xml:space="preserve">Australia’s superannuation guarantee system commenced on 1 July 1992 with the enactment of the </w:t>
      </w:r>
      <w:r w:rsidRPr="00745BA0" w:rsidDel="00B64E68">
        <w:rPr>
          <w:i/>
        </w:rPr>
        <w:t xml:space="preserve">Superannuation Guarantee (Administration) Act 1992 </w:t>
      </w:r>
      <w:r w:rsidRPr="00CE0726" w:rsidDel="00B64E68">
        <w:t>(SGAA).</w:t>
      </w:r>
      <w:r w:rsidDel="00B64E68">
        <w:t xml:space="preserve"> </w:t>
      </w:r>
    </w:p>
    <w:p w14:paraId="448B3A92" w14:textId="77777777" w:rsidR="005F03D6" w:rsidRDefault="00F37432" w:rsidP="005019ED">
      <w:pPr>
        <w:spacing w:line="360" w:lineRule="auto"/>
      </w:pPr>
      <w:r>
        <w:t xml:space="preserve">Employers have an obligation to contribute 9.5 per cent of the </w:t>
      </w:r>
      <w:r w:rsidRPr="006A729E">
        <w:t xml:space="preserve">‘ordinary time earnings’ of </w:t>
      </w:r>
      <w:r>
        <w:t>their eligible employees as a superannuation contribution</w:t>
      </w:r>
      <w:r w:rsidRPr="006A729E">
        <w:t xml:space="preserve">. In general, </w:t>
      </w:r>
      <w:r w:rsidR="00B35F56">
        <w:t xml:space="preserve">ordinary time earnings </w:t>
      </w:r>
      <w:r w:rsidRPr="006A729E">
        <w:t>is salary and wages paid less bonuses, overtime and termination payments related to unused annual leave</w:t>
      </w:r>
      <w:r>
        <w:t xml:space="preserve">. </w:t>
      </w:r>
    </w:p>
    <w:p w14:paraId="2C52DC64" w14:textId="77777777" w:rsidR="00676867" w:rsidRDefault="00676867" w:rsidP="00224B95">
      <w:pPr>
        <w:pStyle w:val="Heading4"/>
      </w:pPr>
      <w:r>
        <w:t>Superannuation guarantee charge</w:t>
      </w:r>
    </w:p>
    <w:p w14:paraId="01DDAAA5" w14:textId="77777777" w:rsidR="00F37432" w:rsidRDefault="00F37432" w:rsidP="005019ED">
      <w:pPr>
        <w:spacing w:line="360" w:lineRule="auto"/>
      </w:pPr>
      <w:r>
        <w:t xml:space="preserve">Employers </w:t>
      </w:r>
      <w:r w:rsidRPr="000B438E">
        <w:t>who do not pay</w:t>
      </w:r>
      <w:r>
        <w:t xml:space="preserve"> the minimum level of superannuation guarantee contributions to a superannuation fund (in the relevant quarter by the due dates) have a ‘</w:t>
      </w:r>
      <w:r w:rsidR="005F03D6">
        <w:t xml:space="preserve">superannuation guarantee </w:t>
      </w:r>
      <w:r>
        <w:t xml:space="preserve">shortfall’ for that quarter and are liable to pay the superannuation guarantee charge. These employers are required to lodge a superannuation guarantee charge statement </w:t>
      </w:r>
      <w:r w:rsidR="00676867">
        <w:t>to the ATO</w:t>
      </w:r>
      <w:r>
        <w:t xml:space="preserve"> </w:t>
      </w:r>
      <w:r w:rsidRPr="006A729E">
        <w:t>which informs the ATO that the employer has not met their obligations</w:t>
      </w:r>
      <w:r>
        <w:t>.</w:t>
      </w:r>
      <w:r w:rsidR="00676867">
        <w:rPr>
          <w:rStyle w:val="FootnoteReference"/>
        </w:rPr>
        <w:footnoteReference w:id="38"/>
      </w:r>
      <w:r>
        <w:t xml:space="preserve"> </w:t>
      </w:r>
    </w:p>
    <w:p w14:paraId="2FE825E7" w14:textId="77777777" w:rsidR="00F37432" w:rsidRDefault="00F37432" w:rsidP="001F0E78">
      <w:pPr>
        <w:keepNext/>
        <w:spacing w:line="360" w:lineRule="auto"/>
      </w:pPr>
      <w:r>
        <w:t>The superannuation guarantee charge is a debt that is due and payable to the ATO. It is made up of three components added together:</w:t>
      </w:r>
    </w:p>
    <w:p w14:paraId="7802DDF7" w14:textId="77777777" w:rsidR="00F37432" w:rsidRDefault="0025789A" w:rsidP="00B455FE">
      <w:pPr>
        <w:pStyle w:val="ListParagraph"/>
        <w:numPr>
          <w:ilvl w:val="0"/>
          <w:numId w:val="39"/>
        </w:numPr>
        <w:spacing w:line="360" w:lineRule="auto"/>
        <w:ind w:left="851" w:hanging="284"/>
        <w:contextualSpacing w:val="0"/>
      </w:pPr>
      <w:r>
        <w:t xml:space="preserve">superannuation guarantee </w:t>
      </w:r>
      <w:r w:rsidR="00F37432">
        <w:t>shortfall (including any choice shortfall)</w:t>
      </w:r>
    </w:p>
    <w:p w14:paraId="210A55C7" w14:textId="77777777" w:rsidR="00F37432" w:rsidRDefault="00F37432" w:rsidP="00B455FE">
      <w:pPr>
        <w:pStyle w:val="ListParagraph"/>
        <w:numPr>
          <w:ilvl w:val="0"/>
          <w:numId w:val="39"/>
        </w:numPr>
        <w:spacing w:line="360" w:lineRule="auto"/>
        <w:ind w:left="851" w:hanging="284"/>
        <w:contextualSpacing w:val="0"/>
      </w:pPr>
      <w:r>
        <w:t>nominal interest</w:t>
      </w:r>
      <w:r>
        <w:rPr>
          <w:rStyle w:val="FootnoteReference"/>
        </w:rPr>
        <w:footnoteReference w:id="39"/>
      </w:r>
      <w:r>
        <w:t xml:space="preserve"> (currently 10</w:t>
      </w:r>
      <w:r w:rsidR="001F0E78">
        <w:t xml:space="preserve"> per cent</w:t>
      </w:r>
      <w:r>
        <w:t xml:space="preserve"> from the beginning of the period)</w:t>
      </w:r>
    </w:p>
    <w:p w14:paraId="24896F50" w14:textId="77777777" w:rsidR="00F37432" w:rsidRDefault="00F37432" w:rsidP="00B455FE">
      <w:pPr>
        <w:pStyle w:val="ListParagraph"/>
        <w:numPr>
          <w:ilvl w:val="0"/>
          <w:numId w:val="39"/>
        </w:numPr>
        <w:spacing w:line="360" w:lineRule="auto"/>
        <w:ind w:left="851" w:hanging="284"/>
        <w:contextualSpacing w:val="0"/>
      </w:pPr>
      <w:r>
        <w:t>administration component</w:t>
      </w:r>
      <w:r>
        <w:rPr>
          <w:rStyle w:val="FootnoteReference"/>
        </w:rPr>
        <w:footnoteReference w:id="40"/>
      </w:r>
      <w:r>
        <w:t xml:space="preserve"> ($20 per employee, per quarter).</w:t>
      </w:r>
    </w:p>
    <w:p w14:paraId="4780167F" w14:textId="77777777" w:rsidR="00C73704" w:rsidRDefault="00324DFE" w:rsidP="005019ED">
      <w:pPr>
        <w:spacing w:line="360" w:lineRule="auto"/>
      </w:pPr>
      <w:r>
        <w:t>Employers</w:t>
      </w:r>
      <w:r w:rsidR="00C73704">
        <w:t xml:space="preserve"> become ineligible to claim a tax deduction for the superannuation guarantee charge or any contributions paid late which </w:t>
      </w:r>
      <w:r>
        <w:t xml:space="preserve">can </w:t>
      </w:r>
      <w:r w:rsidR="00C73704">
        <w:t xml:space="preserve">offset against the charge (that is, late payment offsets). </w:t>
      </w:r>
    </w:p>
    <w:p w14:paraId="17EBD617" w14:textId="77777777" w:rsidR="00C73704" w:rsidRDefault="00324DFE" w:rsidP="005019ED">
      <w:pPr>
        <w:spacing w:line="360" w:lineRule="auto"/>
      </w:pPr>
      <w:r>
        <w:t>Employers</w:t>
      </w:r>
      <w:r w:rsidR="00C73704">
        <w:t xml:space="preserve"> may also be subject to an administrative penalty of up to 200 per cent of the superannuation guarantee charge. This penalty can be remitted by the ATO.</w:t>
      </w:r>
    </w:p>
    <w:p w14:paraId="4D80DC90" w14:textId="77777777" w:rsidR="00F37432" w:rsidRDefault="00F37432" w:rsidP="005019ED">
      <w:pPr>
        <w:spacing w:line="360" w:lineRule="auto"/>
      </w:pPr>
      <w:r>
        <w:t xml:space="preserve">The superannuation guarantee shortfall and interest, when collected by the ATO, are distributed to employees’ superannuation funds by the ATO. </w:t>
      </w:r>
    </w:p>
    <w:p w14:paraId="639A6098" w14:textId="77777777" w:rsidR="00F37432" w:rsidRPr="006A729E" w:rsidRDefault="00F37432" w:rsidP="005019ED">
      <w:pPr>
        <w:spacing w:line="360" w:lineRule="auto"/>
      </w:pPr>
      <w:r>
        <w:t>The ATO is not able to remit any part of the superannuation guarantee charge. S</w:t>
      </w:r>
      <w:r w:rsidR="00324DFE">
        <w:t xml:space="preserve">ubmissions to the Senate Committee considered whether </w:t>
      </w:r>
      <w:r>
        <w:t>the superannuation guarantee charge and associated penalties are disproportionately applied, especially because they are not tax deductible, and act to discourage employers from voluntarily disclosing non-compliance to the ATO.</w:t>
      </w:r>
    </w:p>
    <w:p w14:paraId="347890B8" w14:textId="77777777" w:rsidR="00F37432" w:rsidRDefault="00F37432" w:rsidP="005019ED">
      <w:pPr>
        <w:spacing w:line="360" w:lineRule="auto"/>
      </w:pPr>
      <w:r>
        <w:t xml:space="preserve">If employers do not pay the superannuation guarantee </w:t>
      </w:r>
      <w:r w:rsidR="0023385F">
        <w:t>c</w:t>
      </w:r>
      <w:r>
        <w:t xml:space="preserve">harge, only the ATO can take action to recover it. </w:t>
      </w:r>
    </w:p>
    <w:p w14:paraId="1054B318" w14:textId="77777777" w:rsidR="00F37432" w:rsidRDefault="00F37432" w:rsidP="005019ED">
      <w:pPr>
        <w:spacing w:line="360" w:lineRule="auto"/>
      </w:pPr>
      <w:r>
        <w:t>If an employer becomes insolvent</w:t>
      </w:r>
      <w:r w:rsidR="00324DFE">
        <w:t>,</w:t>
      </w:r>
      <w:r>
        <w:t xml:space="preserve"> priority rules apply to the superannuation guarantee </w:t>
      </w:r>
      <w:r w:rsidR="0023385F">
        <w:t>c</w:t>
      </w:r>
      <w:r>
        <w:t xml:space="preserve">harge. It has the same priority as other employee entitlements.  It ranks ahead of unsecured creditors, but behind priority creditors and liquidators’ fees (subsection 556(1) </w:t>
      </w:r>
      <w:r w:rsidR="00324DFE">
        <w:t>of the</w:t>
      </w:r>
      <w:r>
        <w:t xml:space="preserve"> </w:t>
      </w:r>
      <w:r w:rsidRPr="00864C37">
        <w:rPr>
          <w:i/>
        </w:rPr>
        <w:t>Corporations Act 2001</w:t>
      </w:r>
      <w:r>
        <w:t>).</w:t>
      </w:r>
    </w:p>
    <w:p w14:paraId="1C6767CD" w14:textId="77777777" w:rsidR="00F37432" w:rsidRDefault="00F37432" w:rsidP="005019ED">
      <w:pPr>
        <w:spacing w:line="360" w:lineRule="auto"/>
      </w:pPr>
      <w:r>
        <w:t>The Fair Entitlements Guarantee does not cover superannuation guarantee contributions.</w:t>
      </w:r>
    </w:p>
    <w:p w14:paraId="4605F345" w14:textId="77777777" w:rsidR="002E7A8C" w:rsidRDefault="00F37432" w:rsidP="00664019">
      <w:pPr>
        <w:spacing w:line="360" w:lineRule="auto"/>
      </w:pPr>
      <w:r>
        <w:t xml:space="preserve">In June 2012 changes were made to the </w:t>
      </w:r>
      <w:r w:rsidR="00324DFE">
        <w:t>D</w:t>
      </w:r>
      <w:r>
        <w:t xml:space="preserve">irector Penalty Notice regime to enable the ATO to cover unpaid superannuation guarantee </w:t>
      </w:r>
      <w:r w:rsidR="0023385F">
        <w:t>c</w:t>
      </w:r>
      <w:r>
        <w:t xml:space="preserve">harge against a director of a </w:t>
      </w:r>
      <w:r w:rsidRPr="00AA5F81">
        <w:t>company personally</w:t>
      </w:r>
      <w:r>
        <w:t>.</w:t>
      </w:r>
      <w:r w:rsidRPr="00AA5F81">
        <w:t xml:space="preserve">  </w:t>
      </w:r>
      <w:r>
        <w:t xml:space="preserve">In 2015-16, the ATO issued 877 </w:t>
      </w:r>
      <w:r w:rsidR="00C73704">
        <w:t>D</w:t>
      </w:r>
      <w:r w:rsidRPr="00AA5F81">
        <w:t xml:space="preserve">irector </w:t>
      </w:r>
      <w:r w:rsidR="00C73704">
        <w:t>P</w:t>
      </w:r>
      <w:r w:rsidRPr="00AA5F81">
        <w:t xml:space="preserve">enalty </w:t>
      </w:r>
      <w:r w:rsidR="00C73704">
        <w:t>N</w:t>
      </w:r>
      <w:r w:rsidRPr="00AA5F81">
        <w:t>otices</w:t>
      </w:r>
      <w:r>
        <w:t xml:space="preserve"> in respect of superannuation guarantee charge debt.</w:t>
      </w:r>
    </w:p>
    <w:p w14:paraId="6D528910" w14:textId="77777777" w:rsidR="005A104A" w:rsidRDefault="005A104A" w:rsidP="005A104A">
      <w:pPr>
        <w:pStyle w:val="Heading3"/>
      </w:pPr>
      <w:r w:rsidRPr="005A104A">
        <w:t>Identification</w:t>
      </w:r>
      <w:r>
        <w:t xml:space="preserve"> of non-compliance</w:t>
      </w:r>
    </w:p>
    <w:p w14:paraId="12611357" w14:textId="77777777" w:rsidR="00324DFE" w:rsidRDefault="00324DFE" w:rsidP="005B022D">
      <w:pPr>
        <w:spacing w:line="360" w:lineRule="auto"/>
      </w:pPr>
      <w:r>
        <w:t xml:space="preserve">The non-payment of superannuation guarantee, however big or small, is taken seriously by the ATO. </w:t>
      </w:r>
    </w:p>
    <w:p w14:paraId="312FB311" w14:textId="77777777" w:rsidR="005A104A" w:rsidRDefault="005A104A" w:rsidP="005B022D">
      <w:pPr>
        <w:spacing w:line="360" w:lineRule="auto"/>
      </w:pPr>
      <w:r>
        <w:t xml:space="preserve">The ATO does not have visibility </w:t>
      </w:r>
      <w:r w:rsidR="00AE39AC">
        <w:t xml:space="preserve">or </w:t>
      </w:r>
      <w:r>
        <w:t xml:space="preserve">a timely mechanism by which to monitor employer payment of superannuation guarantee.  </w:t>
      </w:r>
      <w:r w:rsidR="00AE39AC">
        <w:t>This is because e</w:t>
      </w:r>
      <w:r>
        <w:t xml:space="preserve">mployers </w:t>
      </w:r>
      <w:r w:rsidR="00AE39AC">
        <w:t xml:space="preserve">do not have </w:t>
      </w:r>
      <w:r>
        <w:t>to report payments made to employees’ superannuation funds</w:t>
      </w:r>
      <w:r w:rsidR="00AE39AC">
        <w:t xml:space="preserve"> to the ATO</w:t>
      </w:r>
      <w:r>
        <w:t>.</w:t>
      </w:r>
    </w:p>
    <w:p w14:paraId="0DF57170" w14:textId="77777777" w:rsidR="005A104A" w:rsidRDefault="00AE39AC" w:rsidP="001177AB">
      <w:pPr>
        <w:keepNext/>
        <w:spacing w:line="360" w:lineRule="auto"/>
      </w:pPr>
      <w:r>
        <w:t>W</w:t>
      </w:r>
      <w:r w:rsidR="005A104A">
        <w:t xml:space="preserve">ithin the current system design, the ATO generally identifies </w:t>
      </w:r>
      <w:r w:rsidR="005A104A" w:rsidRPr="005B022D">
        <w:t xml:space="preserve">potential </w:t>
      </w:r>
      <w:r w:rsidR="005A104A">
        <w:t>non-compliance through:</w:t>
      </w:r>
    </w:p>
    <w:p w14:paraId="1C0D9C7F" w14:textId="77777777" w:rsidR="005A104A" w:rsidRDefault="005A104A" w:rsidP="001177AB">
      <w:pPr>
        <w:pStyle w:val="ListParagraph"/>
        <w:numPr>
          <w:ilvl w:val="0"/>
          <w:numId w:val="39"/>
        </w:numPr>
        <w:spacing w:line="360" w:lineRule="auto"/>
        <w:ind w:left="851" w:hanging="284"/>
        <w:contextualSpacing w:val="0"/>
      </w:pPr>
      <w:r>
        <w:t>‘employee notifications’ which are complaints made to the ATO by employees or former employees about the non-payment or under-payment of superannuation guarantee</w:t>
      </w:r>
    </w:p>
    <w:p w14:paraId="51398090" w14:textId="0CD3961E" w:rsidR="005A104A" w:rsidRDefault="005A104A" w:rsidP="001177AB">
      <w:pPr>
        <w:pStyle w:val="ListParagraph"/>
        <w:numPr>
          <w:ilvl w:val="0"/>
          <w:numId w:val="39"/>
        </w:numPr>
        <w:spacing w:line="360" w:lineRule="auto"/>
        <w:ind w:left="851" w:hanging="284"/>
        <w:contextualSpacing w:val="0"/>
      </w:pPr>
      <w:r>
        <w:t>referrals of information from third parties and examination of ATO</w:t>
      </w:r>
      <w:r w:rsidR="00E364B5">
        <w:noBreakHyphen/>
      </w:r>
      <w:r>
        <w:t>held data which direct the ATO</w:t>
      </w:r>
      <w:r w:rsidR="00E364B5">
        <w:noBreakHyphen/>
      </w:r>
      <w:r>
        <w:t xml:space="preserve">initiated reviews and audits on higher risk </w:t>
      </w:r>
      <w:r w:rsidR="003817CB">
        <w:t>employers</w:t>
      </w:r>
      <w:r>
        <w:t>.</w:t>
      </w:r>
    </w:p>
    <w:p w14:paraId="2605F8A5" w14:textId="2C32BF5D" w:rsidR="005A104A" w:rsidRDefault="005A104A" w:rsidP="005B022D">
      <w:pPr>
        <w:spacing w:line="360" w:lineRule="auto"/>
      </w:pPr>
      <w:r>
        <w:t>Employee notifications are the primary source of ATO reviews and au</w:t>
      </w:r>
      <w:r w:rsidR="005B022D">
        <w:t xml:space="preserve">dits. </w:t>
      </w:r>
      <w:r w:rsidRPr="00224B95">
        <w:t>In 2015</w:t>
      </w:r>
      <w:r w:rsidR="006317BB">
        <w:noBreakHyphen/>
      </w:r>
      <w:r w:rsidRPr="00224B95">
        <w:t>16</w:t>
      </w:r>
      <w:r w:rsidR="006317BB">
        <w:t>,</w:t>
      </w:r>
      <w:r w:rsidRPr="00224B95">
        <w:t xml:space="preserve"> </w:t>
      </w:r>
      <w:r w:rsidR="00AE39AC" w:rsidRPr="00224B95">
        <w:t xml:space="preserve">around </w:t>
      </w:r>
      <w:r w:rsidR="00AE39AC">
        <w:t xml:space="preserve">20,000 complaints were received </w:t>
      </w:r>
      <w:r w:rsidRPr="00224B95">
        <w:t>and the</w:t>
      </w:r>
      <w:r w:rsidR="00AE39AC">
        <w:t xml:space="preserve"> subsequent reviews and audits </w:t>
      </w:r>
      <w:r w:rsidRPr="00224B95">
        <w:t>accounted for around 70 per cent of ATO compliance activities.</w:t>
      </w:r>
      <w:r>
        <w:t xml:space="preserve"> Typically these complaints are made post-employment and there are lengthy periods of time between when the superannuation guarantee contribution was due and when the no</w:t>
      </w:r>
      <w:r w:rsidR="005B022D">
        <w:t xml:space="preserve">tification is made to the ATO. </w:t>
      </w:r>
    </w:p>
    <w:p w14:paraId="4E208DBC" w14:textId="77777777" w:rsidR="00AE39AC" w:rsidRDefault="00AE39AC" w:rsidP="008E2C85">
      <w:pPr>
        <w:spacing w:line="360" w:lineRule="auto"/>
      </w:pPr>
      <w:r>
        <w:t>ATO</w:t>
      </w:r>
      <w:r w:rsidR="00E364B5">
        <w:noBreakHyphen/>
      </w:r>
      <w:r>
        <w:t>initiated reviews and audits account for the balance of the ATO’s superannuation guarantee compliance program and in 2015</w:t>
      </w:r>
      <w:r>
        <w:noBreakHyphen/>
        <w:t xml:space="preserve">16 the ATO undertook around 21,000 cases that addressed SG compliance. </w:t>
      </w:r>
    </w:p>
    <w:p w14:paraId="51EA3D30" w14:textId="77777777" w:rsidR="00AE39AC" w:rsidRPr="00224B95" w:rsidRDefault="00AE39AC" w:rsidP="008E2C85">
      <w:pPr>
        <w:spacing w:line="360" w:lineRule="auto"/>
        <w:rPr>
          <w:b/>
        </w:rPr>
      </w:pPr>
      <w:r>
        <w:rPr>
          <w:b/>
        </w:rPr>
        <w:t>Table: ATO superannuation guarantee compliance cases</w:t>
      </w:r>
    </w:p>
    <w:p w14:paraId="223A36C0" w14:textId="7BE4DF1D" w:rsidR="00AE39AC" w:rsidRDefault="00A30737" w:rsidP="00224B95">
      <w:pPr>
        <w:spacing w:line="360" w:lineRule="auto"/>
        <w:jc w:val="center"/>
      </w:pPr>
      <w:r w:rsidRPr="00A30737">
        <w:rPr>
          <w:noProof/>
          <w:lang w:eastAsia="en-AU"/>
        </w:rPr>
        <w:drawing>
          <wp:inline distT="0" distB="0" distL="0" distR="0" wp14:anchorId="48060BA0" wp14:editId="738C3136">
            <wp:extent cx="5270400" cy="3164400"/>
            <wp:effectExtent l="0" t="0" r="6985" b="0"/>
            <wp:docPr id="10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270400" cy="3164400"/>
                    </a:xfrm>
                    <a:prstGeom prst="rect">
                      <a:avLst/>
                    </a:prstGeom>
                    <a:noFill/>
                    <a:ln>
                      <a:noFill/>
                    </a:ln>
                    <a:effectLst/>
                    <a:extLst/>
                  </pic:spPr>
                </pic:pic>
              </a:graphicData>
            </a:graphic>
          </wp:inline>
        </w:drawing>
      </w:r>
    </w:p>
    <w:p w14:paraId="2E533533" w14:textId="3E86DB57" w:rsidR="00AE39AC" w:rsidRDefault="00AE39AC" w:rsidP="008E2C85">
      <w:pPr>
        <w:spacing w:line="360" w:lineRule="auto"/>
      </w:pPr>
    </w:p>
    <w:p w14:paraId="69478D8F" w14:textId="77777777" w:rsidR="00413E5E" w:rsidRDefault="00413E5E" w:rsidP="008E2C85">
      <w:pPr>
        <w:spacing w:line="360" w:lineRule="auto"/>
      </w:pPr>
    </w:p>
    <w:p w14:paraId="79098A92" w14:textId="77777777" w:rsidR="00A30737" w:rsidRDefault="00A30737" w:rsidP="008E2C85">
      <w:pPr>
        <w:spacing w:line="360" w:lineRule="auto"/>
      </w:pPr>
    </w:p>
    <w:p w14:paraId="492CAA03" w14:textId="77777777" w:rsidR="005A104A" w:rsidRDefault="00C72E30" w:rsidP="008E2C85">
      <w:pPr>
        <w:spacing w:line="360" w:lineRule="auto"/>
      </w:pPr>
      <w:r>
        <w:t>ATO</w:t>
      </w:r>
      <w:r w:rsidR="00E364B5">
        <w:noBreakHyphen/>
      </w:r>
      <w:r>
        <w:t xml:space="preserve">initiated cases are informed by risk models that </w:t>
      </w:r>
      <w:r w:rsidR="005A104A">
        <w:t xml:space="preserve">identify employers with </w:t>
      </w:r>
      <w:r w:rsidR="005A104A" w:rsidRPr="008E2C85">
        <w:t>potential</w:t>
      </w:r>
      <w:r w:rsidR="005A104A">
        <w:t xml:space="preserve"> non-compliance; categories of risky employers; and provide a differentiated framework for treating risk</w:t>
      </w:r>
      <w:r w:rsidR="005A104A" w:rsidRPr="006317BB">
        <w:t xml:space="preserve">. </w:t>
      </w:r>
      <w:r w:rsidRPr="00F71EF8">
        <w:t xml:space="preserve">Submissions to </w:t>
      </w:r>
      <w:r w:rsidR="005A104A" w:rsidRPr="00F71EF8">
        <w:t xml:space="preserve">the </w:t>
      </w:r>
      <w:r w:rsidRPr="00F71EF8">
        <w:t>Senate</w:t>
      </w:r>
      <w:r w:rsidR="005A104A" w:rsidRPr="00F71EF8">
        <w:t xml:space="preserve"> Committee recommended that the ATO’s ability to proactively identify high risk cases and take compliance action be improved.</w:t>
      </w:r>
      <w:r w:rsidR="005A104A">
        <w:t xml:space="preserve"> </w:t>
      </w:r>
    </w:p>
    <w:p w14:paraId="51830FAD" w14:textId="77777777" w:rsidR="00C72E30" w:rsidRDefault="00C72E30" w:rsidP="008E2C85">
      <w:pPr>
        <w:spacing w:line="360" w:lineRule="auto"/>
      </w:pPr>
      <w:r>
        <w:t xml:space="preserve">The key inputs are information from: </w:t>
      </w:r>
    </w:p>
    <w:p w14:paraId="2BFD50D7" w14:textId="147AA262" w:rsidR="00C72E30" w:rsidRDefault="00C72E30" w:rsidP="00C72E30">
      <w:pPr>
        <w:pStyle w:val="ListParagraph"/>
        <w:numPr>
          <w:ilvl w:val="0"/>
          <w:numId w:val="39"/>
        </w:numPr>
        <w:spacing w:line="360" w:lineRule="auto"/>
        <w:ind w:left="851" w:hanging="284"/>
        <w:contextualSpacing w:val="0"/>
      </w:pPr>
      <w:r>
        <w:t>ATO</w:t>
      </w:r>
      <w:r w:rsidR="00E364B5">
        <w:noBreakHyphen/>
      </w:r>
      <w:r>
        <w:t xml:space="preserve">held data, notably annual reporting from superannuation funds and </w:t>
      </w:r>
      <w:r w:rsidR="00AE09EE">
        <w:t>PAYG</w:t>
      </w:r>
      <w:r w:rsidR="005A2807">
        <w:t xml:space="preserve"> </w:t>
      </w:r>
      <w:r w:rsidR="00732D06">
        <w:t>w</w:t>
      </w:r>
      <w:r w:rsidR="00AE09EE">
        <w:t xml:space="preserve">ithholding </w:t>
      </w:r>
      <w:r>
        <w:t xml:space="preserve">data from employers. </w:t>
      </w:r>
    </w:p>
    <w:p w14:paraId="30131EA6" w14:textId="6720DD6A" w:rsidR="005A104A" w:rsidRDefault="00F046A6" w:rsidP="001177AB">
      <w:pPr>
        <w:pStyle w:val="ListParagraph"/>
        <w:numPr>
          <w:ilvl w:val="0"/>
          <w:numId w:val="39"/>
        </w:numPr>
        <w:spacing w:line="360" w:lineRule="auto"/>
        <w:ind w:left="851" w:hanging="284"/>
        <w:contextualSpacing w:val="0"/>
      </w:pPr>
      <w:r>
        <w:t>r</w:t>
      </w:r>
      <w:r w:rsidR="005A104A">
        <w:t>eferrals of information from third parties, including the</w:t>
      </w:r>
      <w:r w:rsidR="00AE09EE">
        <w:t xml:space="preserve"> FWO</w:t>
      </w:r>
      <w:r w:rsidR="005A104A">
        <w:t xml:space="preserve"> and ASIC. </w:t>
      </w:r>
    </w:p>
    <w:p w14:paraId="688B9846" w14:textId="77777777" w:rsidR="005A104A" w:rsidRDefault="005A104A" w:rsidP="008E2C85">
      <w:pPr>
        <w:spacing w:line="360" w:lineRule="auto"/>
      </w:pPr>
      <w:r>
        <w:t xml:space="preserve">Currently, superannuation funds must give </w:t>
      </w:r>
      <w:r w:rsidR="00C72E30">
        <w:t>M</w:t>
      </w:r>
      <w:r>
        <w:t xml:space="preserve">ember </w:t>
      </w:r>
      <w:r w:rsidR="00C72E30">
        <w:t>C</w:t>
      </w:r>
      <w:r>
        <w:t xml:space="preserve">ontribution </w:t>
      </w:r>
      <w:r w:rsidR="00C72E30">
        <w:t>S</w:t>
      </w:r>
      <w:r>
        <w:t>tatement</w:t>
      </w:r>
      <w:r w:rsidR="00C72E30">
        <w:t>s</w:t>
      </w:r>
      <w:r>
        <w:t xml:space="preserve"> to the ATO providing details of the contributions made to members’ (employee) accounts each year. The M</w:t>
      </w:r>
      <w:r w:rsidR="00C72E30">
        <w:t xml:space="preserve">ember </w:t>
      </w:r>
      <w:r>
        <w:t>C</w:t>
      </w:r>
      <w:r w:rsidR="00C72E30">
        <w:t xml:space="preserve">ontribution </w:t>
      </w:r>
      <w:r>
        <w:t>S</w:t>
      </w:r>
      <w:r w:rsidR="00C72E30">
        <w:t>tatement</w:t>
      </w:r>
      <w:r>
        <w:t xml:space="preserve"> is provided to the ATO annually whereas employers are required to pay superannuation guarantee contributions quarterly (and some employers pay more frequently, generally monthly). </w:t>
      </w:r>
    </w:p>
    <w:p w14:paraId="4E5DAAB1" w14:textId="77777777" w:rsidR="005A104A" w:rsidRDefault="005A104A" w:rsidP="008E2C85">
      <w:pPr>
        <w:spacing w:line="360" w:lineRule="auto"/>
      </w:pPr>
      <w:r>
        <w:t>The ATO received over 33 million M</w:t>
      </w:r>
      <w:r w:rsidR="00CA2C39">
        <w:t xml:space="preserve">ember </w:t>
      </w:r>
      <w:r>
        <w:t>C</w:t>
      </w:r>
      <w:r w:rsidR="00CA2C39">
        <w:t xml:space="preserve">ontribution </w:t>
      </w:r>
      <w:r>
        <w:t>S</w:t>
      </w:r>
      <w:r w:rsidR="00CA2C39">
        <w:t>tatement</w:t>
      </w:r>
      <w:r>
        <w:t>s in 2015</w:t>
      </w:r>
      <w:r w:rsidR="00C73704">
        <w:noBreakHyphen/>
      </w:r>
      <w:r>
        <w:t>16. The data is sometimes incomplete and/or inaccurate and does not consistently identify employer</w:t>
      </w:r>
      <w:r w:rsidR="00C72E30">
        <w:t>s</w:t>
      </w:r>
      <w:r>
        <w:t xml:space="preserve"> who ha</w:t>
      </w:r>
      <w:r w:rsidR="00C72E30">
        <w:t>ve</w:t>
      </w:r>
      <w:r>
        <w:t xml:space="preserve"> made the contribution for the member. For example, where an employee has two or more employers during the year and there is a superannuation guarantee shortfall, the ATO cannot identify the no</w:t>
      </w:r>
      <w:r w:rsidR="00C72E30">
        <w:t>n</w:t>
      </w:r>
      <w:r>
        <w:t xml:space="preserve">-compliant employer. </w:t>
      </w:r>
    </w:p>
    <w:p w14:paraId="7A6A2C67" w14:textId="3FB45607" w:rsidR="005A104A" w:rsidRDefault="005A104A" w:rsidP="008E2C85">
      <w:pPr>
        <w:spacing w:line="360" w:lineRule="auto"/>
      </w:pPr>
      <w:r>
        <w:t xml:space="preserve">The ATO also receives information from employers on </w:t>
      </w:r>
      <w:r w:rsidR="00AD0400">
        <w:t xml:space="preserve">PAYG </w:t>
      </w:r>
      <w:r w:rsidR="006317BB">
        <w:t>w</w:t>
      </w:r>
      <w:r w:rsidR="00AD0400">
        <w:t>ith</w:t>
      </w:r>
      <w:r w:rsidR="00732D06">
        <w:t>h</w:t>
      </w:r>
      <w:r w:rsidR="00AD0400">
        <w:t>olding</w:t>
      </w:r>
      <w:r>
        <w:t xml:space="preserve"> summaries annually. Payment summaries do not include superannuation guarantee payment information and do not show ‘ordinary time earnings’. </w:t>
      </w:r>
    </w:p>
    <w:p w14:paraId="56365F08" w14:textId="77777777" w:rsidR="005A104A" w:rsidRDefault="00B17977" w:rsidP="008E2C85">
      <w:pPr>
        <w:spacing w:line="360" w:lineRule="auto"/>
      </w:pPr>
      <w:r>
        <w:t>The ATO’s v</w:t>
      </w:r>
      <w:r w:rsidR="005A104A">
        <w:t xml:space="preserve">isibility of superannuation guarantee </w:t>
      </w:r>
      <w:r w:rsidR="005A104A" w:rsidRPr="006317BB">
        <w:t xml:space="preserve">payments </w:t>
      </w:r>
      <w:r w:rsidR="005A104A" w:rsidRPr="00F71EF8">
        <w:t xml:space="preserve">is discussed further in </w:t>
      </w:r>
      <w:r w:rsidR="005A104A" w:rsidRPr="00F71EF8">
        <w:rPr>
          <w:b/>
        </w:rPr>
        <w:t>Chapter </w:t>
      </w:r>
      <w:r w:rsidRPr="00F71EF8">
        <w:rPr>
          <w:b/>
        </w:rPr>
        <w:t>3</w:t>
      </w:r>
      <w:r w:rsidR="005A104A" w:rsidRPr="00F71EF8">
        <w:t>.</w:t>
      </w:r>
      <w:r w:rsidR="005A104A">
        <w:t xml:space="preserve"> </w:t>
      </w:r>
    </w:p>
    <w:p w14:paraId="7EE89A3B" w14:textId="77777777" w:rsidR="005A104A" w:rsidRDefault="005A104A" w:rsidP="008E2C85">
      <w:pPr>
        <w:pStyle w:val="Heading3"/>
      </w:pPr>
      <w:bookmarkStart w:id="396" w:name="_Toc478403083"/>
      <w:r>
        <w:t>Dealing with non-compliance</w:t>
      </w:r>
      <w:bookmarkEnd w:id="396"/>
    </w:p>
    <w:p w14:paraId="3C71D1F4" w14:textId="52F4032B" w:rsidR="005A104A" w:rsidRDefault="005A104A" w:rsidP="008E2C85">
      <w:pPr>
        <w:spacing w:line="360" w:lineRule="auto"/>
      </w:pPr>
      <w:r>
        <w:t xml:space="preserve">The </w:t>
      </w:r>
      <w:r w:rsidR="00B17977">
        <w:t>ATO’s</w:t>
      </w:r>
      <w:r>
        <w:t xml:space="preserve"> administration of the superannuation guarantee system needs to be supported by concerted and sustained whole-of-government and whole-of industry efforts. Going forward, multi-agency strategies and activities </w:t>
      </w:r>
      <w:r w:rsidR="006317BB">
        <w:t>need</w:t>
      </w:r>
      <w:r>
        <w:t xml:space="preserve"> </w:t>
      </w:r>
      <w:r w:rsidR="00B17977">
        <w:t xml:space="preserve">to </w:t>
      </w:r>
      <w:r>
        <w:t xml:space="preserve">move beyond </w:t>
      </w:r>
      <w:r w:rsidR="00B17977">
        <w:t>current</w:t>
      </w:r>
      <w:r>
        <w:t xml:space="preserve"> approaches.</w:t>
      </w:r>
    </w:p>
    <w:p w14:paraId="75905587" w14:textId="762A6082" w:rsidR="005A104A" w:rsidRDefault="005A104A" w:rsidP="008E2C85">
      <w:pPr>
        <w:spacing w:line="360" w:lineRule="auto"/>
      </w:pPr>
      <w:r>
        <w:t xml:space="preserve">The ATO does not have a timely mechanism by which to monitor employer payment of superannuation guarantee. Employers are not obligated under the </w:t>
      </w:r>
      <w:r w:rsidR="0004774D">
        <w:t>SG</w:t>
      </w:r>
      <w:r>
        <w:t>AA to report to the ATO payments made to employees’ superannuation funds.</w:t>
      </w:r>
    </w:p>
    <w:p w14:paraId="3D2E1EB8" w14:textId="77777777" w:rsidR="005A104A" w:rsidRDefault="005A104A" w:rsidP="0004774D">
      <w:pPr>
        <w:spacing w:line="360" w:lineRule="auto"/>
      </w:pPr>
      <w:r>
        <w:t xml:space="preserve">Thus, the key challenge for the ATO as a regulator is lack of visibility of the superannuation guarantee contributions that employers make to their employees’ superannuation funds.  There are also lags in time in relation to the reporting it receives from superannuation funds and that reporting does not provide visibility on what an employee is owed. The </w:t>
      </w:r>
      <w:r w:rsidR="00B35F56">
        <w:t>ordinary time earnings</w:t>
      </w:r>
      <w:r w:rsidR="00967574">
        <w:t xml:space="preserve"> </w:t>
      </w:r>
      <w:r>
        <w:t xml:space="preserve">superannuation guarantee is based on is not reported by employers at all. In addition, the ‘salary and wage’ income information the ATO does have is different and also only available with a significant lag. </w:t>
      </w:r>
    </w:p>
    <w:p w14:paraId="095C9A13" w14:textId="52C55DE7" w:rsidR="006317BB" w:rsidRDefault="005A104A" w:rsidP="00224B95">
      <w:pPr>
        <w:spacing w:line="360" w:lineRule="auto"/>
      </w:pPr>
      <w:r>
        <w:t xml:space="preserve">Technology and two recommendations outlined by Working Group have the potential to have significant impacts </w:t>
      </w:r>
      <w:r w:rsidR="006317BB">
        <w:t>on</w:t>
      </w:r>
      <w:r>
        <w:t xml:space="preserve"> the ATO’s visibility and targeting of its compliance program</w:t>
      </w:r>
      <w:r w:rsidR="00451FC2">
        <w:t xml:space="preserve"> (see </w:t>
      </w:r>
      <w:r w:rsidR="00451FC2" w:rsidRPr="00F71EF8">
        <w:rPr>
          <w:b/>
        </w:rPr>
        <w:t>Chapter</w:t>
      </w:r>
      <w:r w:rsidR="006317BB">
        <w:rPr>
          <w:b/>
        </w:rPr>
        <w:t>s</w:t>
      </w:r>
      <w:r w:rsidR="00451FC2" w:rsidRPr="00F71EF8">
        <w:rPr>
          <w:b/>
        </w:rPr>
        <w:t> 3</w:t>
      </w:r>
      <w:r w:rsidR="006317BB">
        <w:rPr>
          <w:b/>
        </w:rPr>
        <w:t xml:space="preserve"> and 4</w:t>
      </w:r>
      <w:r w:rsidR="00451FC2">
        <w:t>).</w:t>
      </w:r>
    </w:p>
    <w:p w14:paraId="2D5D4A4B" w14:textId="408F7563" w:rsidR="00637CC6" w:rsidRDefault="00637CC6" w:rsidP="00224B95">
      <w:pPr>
        <w:spacing w:line="360" w:lineRule="auto"/>
      </w:pPr>
      <w:r>
        <w:br w:type="page"/>
      </w:r>
    </w:p>
    <w:p w14:paraId="6EF7E3BA" w14:textId="77777777" w:rsidR="00637CC6" w:rsidRDefault="00637CC6" w:rsidP="00AF343B">
      <w:pPr>
        <w:spacing w:before="0" w:line="240" w:lineRule="auto"/>
      </w:pPr>
    </w:p>
    <w:p w14:paraId="36E85786" w14:textId="77777777" w:rsidR="00637CC6" w:rsidRDefault="00D06EC5" w:rsidP="00D06EC5">
      <w:pPr>
        <w:pStyle w:val="Heading1"/>
        <w:framePr w:wrap="notBeside"/>
        <w:spacing w:before="0"/>
      </w:pPr>
      <w:bookmarkStart w:id="397" w:name="_Toc478485992"/>
      <w:bookmarkStart w:id="398" w:name="_Toc478502002"/>
      <w:bookmarkStart w:id="399" w:name="_Toc478651979"/>
      <w:bookmarkStart w:id="400" w:name="_Toc478654440"/>
      <w:bookmarkStart w:id="401" w:name="_Toc478655154"/>
      <w:bookmarkStart w:id="402" w:name="_Toc478656408"/>
      <w:bookmarkStart w:id="403" w:name="_Toc478657659"/>
      <w:bookmarkStart w:id="404" w:name="_Toc478718255"/>
      <w:bookmarkStart w:id="405" w:name="_Toc478718465"/>
      <w:bookmarkStart w:id="406" w:name="_Toc478738414"/>
      <w:bookmarkStart w:id="407" w:name="_Toc478740700"/>
      <w:r>
        <w:t>Appendix D</w:t>
      </w:r>
      <w:bookmarkEnd w:id="397"/>
      <w:bookmarkEnd w:id="398"/>
      <w:bookmarkEnd w:id="399"/>
      <w:bookmarkEnd w:id="400"/>
      <w:bookmarkEnd w:id="401"/>
      <w:bookmarkEnd w:id="402"/>
      <w:bookmarkEnd w:id="403"/>
      <w:bookmarkEnd w:id="404"/>
      <w:bookmarkEnd w:id="405"/>
      <w:bookmarkEnd w:id="406"/>
      <w:bookmarkEnd w:id="407"/>
    </w:p>
    <w:p w14:paraId="0A727A63" w14:textId="77777777" w:rsidR="00637CC6" w:rsidRDefault="00AB75CA" w:rsidP="00AF343B">
      <w:pPr>
        <w:pStyle w:val="Heading2"/>
      </w:pPr>
      <w:bookmarkStart w:id="408" w:name="_Toc478485993"/>
      <w:bookmarkStart w:id="409" w:name="_Toc478502003"/>
      <w:bookmarkStart w:id="410" w:name="_Toc478651980"/>
      <w:bookmarkStart w:id="411" w:name="_Toc478654441"/>
      <w:bookmarkStart w:id="412" w:name="_Toc478655155"/>
      <w:bookmarkStart w:id="413" w:name="_Toc478656409"/>
      <w:bookmarkStart w:id="414" w:name="_Toc478657660"/>
      <w:bookmarkStart w:id="415" w:name="_Toc478718256"/>
      <w:bookmarkStart w:id="416" w:name="_Toc478718466"/>
      <w:bookmarkStart w:id="417" w:name="_Toc478738415"/>
      <w:bookmarkStart w:id="418" w:name="_Toc478740701"/>
      <w:r>
        <w:t>ISA</w:t>
      </w:r>
      <w:r w:rsidR="00D06EC5">
        <w:t xml:space="preserve"> estimates of superannuation guarantee compliance</w:t>
      </w:r>
      <w:bookmarkEnd w:id="408"/>
      <w:bookmarkEnd w:id="409"/>
      <w:bookmarkEnd w:id="410"/>
      <w:bookmarkEnd w:id="411"/>
      <w:bookmarkEnd w:id="412"/>
      <w:bookmarkEnd w:id="413"/>
      <w:bookmarkEnd w:id="414"/>
      <w:bookmarkEnd w:id="415"/>
      <w:bookmarkEnd w:id="416"/>
      <w:bookmarkEnd w:id="417"/>
      <w:bookmarkEnd w:id="418"/>
      <w:r w:rsidR="00D06EC5">
        <w:t xml:space="preserve"> </w:t>
      </w:r>
    </w:p>
    <w:p w14:paraId="64CDDF1C" w14:textId="77777777" w:rsidR="00D06EC5" w:rsidRDefault="00D06EC5" w:rsidP="00D06EC5">
      <w:pPr>
        <w:spacing w:line="360" w:lineRule="auto"/>
      </w:pPr>
      <w:bookmarkStart w:id="419" w:name="_Toc472892799"/>
      <w:r>
        <w:t xml:space="preserve">In December 2016, ISA released a report </w:t>
      </w:r>
      <w:r w:rsidRPr="00224B95">
        <w:rPr>
          <w:i/>
        </w:rPr>
        <w:t>Overdue: Time for action on unpaid super</w:t>
      </w:r>
      <w:r>
        <w:t>, which included quantitative estimates of superannuation guarantee compliance.</w:t>
      </w:r>
      <w:r w:rsidR="00595C39">
        <w:t xml:space="preserve"> The Working Group addressed ISA’s report in January 2017 and the commentary below considers ISA’s March 2017 estimates provided in its supplementary submission to the Senate Committee. </w:t>
      </w:r>
    </w:p>
    <w:p w14:paraId="48F52963" w14:textId="77777777" w:rsidR="00D06EC5" w:rsidRDefault="00D06EC5" w:rsidP="00AC3E4C">
      <w:pPr>
        <w:keepNext/>
        <w:spacing w:line="360" w:lineRule="auto"/>
      </w:pPr>
      <w:r w:rsidRPr="00702E2E">
        <w:t>The</w:t>
      </w:r>
      <w:r>
        <w:t xml:space="preserve"> </w:t>
      </w:r>
      <w:r w:rsidRPr="00702E2E">
        <w:t xml:space="preserve">ISA </w:t>
      </w:r>
      <w:r>
        <w:t>estimated that total superannuation guarantee non-compliance was $3.6 billion in 2013-14.</w:t>
      </w:r>
      <w:r w:rsidRPr="00702E2E">
        <w:t xml:space="preserve"> </w:t>
      </w:r>
      <w:r>
        <w:t>This consisted of:</w:t>
      </w:r>
    </w:p>
    <w:p w14:paraId="00418A3E" w14:textId="77777777" w:rsidR="00D06EC5" w:rsidRDefault="00D06EC5" w:rsidP="00D06EC5">
      <w:pPr>
        <w:pStyle w:val="ListParagraph"/>
        <w:numPr>
          <w:ilvl w:val="0"/>
          <w:numId w:val="43"/>
        </w:numPr>
        <w:spacing w:line="360" w:lineRule="auto"/>
        <w:ind w:left="851" w:hanging="284"/>
        <w:contextualSpacing w:val="0"/>
      </w:pPr>
      <w:r>
        <w:t>$2.8 billion in underpayment of 2.15 million employees who received some superannuation guarantee from their employer; and,</w:t>
      </w:r>
    </w:p>
    <w:p w14:paraId="6D6126BE" w14:textId="77777777" w:rsidR="00D06EC5" w:rsidRDefault="00D06EC5" w:rsidP="00D06EC5">
      <w:pPr>
        <w:pStyle w:val="ListParagraph"/>
        <w:numPr>
          <w:ilvl w:val="0"/>
          <w:numId w:val="43"/>
        </w:numPr>
        <w:spacing w:line="360" w:lineRule="auto"/>
        <w:ind w:left="851" w:hanging="284"/>
        <w:contextualSpacing w:val="0"/>
      </w:pPr>
      <w:r w:rsidRPr="00702E2E">
        <w:t>$800 million</w:t>
      </w:r>
      <w:r>
        <w:t xml:space="preserve"> in superannuation guarantee not paid to 300,000 employees in the cash economy (based on a</w:t>
      </w:r>
      <w:r w:rsidRPr="00702E2E">
        <w:t xml:space="preserve"> report by Tria Investment Partners</w:t>
      </w:r>
      <w:r>
        <w:t xml:space="preserve"> for CBus.)</w:t>
      </w:r>
    </w:p>
    <w:p w14:paraId="43182609" w14:textId="77777777" w:rsidR="00D06EC5" w:rsidRDefault="00D06EC5" w:rsidP="00D06EC5">
      <w:pPr>
        <w:spacing w:line="360" w:lineRule="auto"/>
      </w:pPr>
      <w:r w:rsidRPr="00702E2E">
        <w:t xml:space="preserve">Further, the </w:t>
      </w:r>
      <w:r>
        <w:t>r</w:t>
      </w:r>
      <w:r w:rsidRPr="00702E2E">
        <w:t>eport suggest</w:t>
      </w:r>
      <w:r w:rsidR="005247B4">
        <w:t>ed</w:t>
      </w:r>
      <w:r w:rsidRPr="00702E2E">
        <w:t xml:space="preserve"> up to $1 billion in superannuation guarantee </w:t>
      </w:r>
      <w:r w:rsidR="00770E04">
        <w:t xml:space="preserve">liabilities </w:t>
      </w:r>
      <w:r w:rsidRPr="00702E2E">
        <w:t>for 360,000 employees is met by employers using employee salary sacrifice contributions.</w:t>
      </w:r>
    </w:p>
    <w:p w14:paraId="1077F56C" w14:textId="77777777" w:rsidR="00D06EC5" w:rsidRDefault="00D06EC5" w:rsidP="00D06EC5">
      <w:pPr>
        <w:spacing w:line="360" w:lineRule="auto"/>
      </w:pPr>
      <w:r>
        <w:t>The ISA</w:t>
      </w:r>
      <w:r w:rsidR="00770E04">
        <w:t>’s</w:t>
      </w:r>
      <w:r>
        <w:t xml:space="preserve"> </w:t>
      </w:r>
      <w:r w:rsidR="00770E04">
        <w:t>initial estimate</w:t>
      </w:r>
      <w:r>
        <w:t xml:space="preserve"> of underpayment used </w:t>
      </w:r>
      <w:r w:rsidRPr="00702E2E">
        <w:t>a publically available ‘two per cent sample file’ of ATO data from personal income tax returns and superannuation funds for 2013</w:t>
      </w:r>
      <w:r w:rsidRPr="00702E2E">
        <w:noBreakHyphen/>
        <w:t xml:space="preserve">14. </w:t>
      </w:r>
      <w:r w:rsidR="00770E04">
        <w:t>It used</w:t>
      </w:r>
      <w:r w:rsidRPr="00702E2E">
        <w:t xml:space="preserve"> wage information from individuals’ tax returns and employer contributions data report by superannuation funds to estimate unpaid superannuation guarantee.</w:t>
      </w:r>
      <w:r w:rsidR="00770E04">
        <w:t xml:space="preserve"> It</w:t>
      </w:r>
      <w:r>
        <w:t xml:space="preserve"> excluded individuals who did not receive any superannuation contributions </w:t>
      </w:r>
      <w:r w:rsidR="00770E04">
        <w:t xml:space="preserve">from its calculations </w:t>
      </w:r>
      <w:r>
        <w:t xml:space="preserve">to </w:t>
      </w:r>
      <w:r w:rsidR="00770E04">
        <w:t xml:space="preserve">avoid </w:t>
      </w:r>
      <w:r>
        <w:t xml:space="preserve">double counting when adding </w:t>
      </w:r>
      <w:r w:rsidR="00770E04">
        <w:t>its</w:t>
      </w:r>
      <w:r>
        <w:t xml:space="preserve"> estimates to the Tria cash economy estimate.</w:t>
      </w:r>
      <w:r w:rsidR="00770E04">
        <w:t xml:space="preserve"> </w:t>
      </w:r>
    </w:p>
    <w:p w14:paraId="650EF504" w14:textId="77777777" w:rsidR="00D06EC5" w:rsidRDefault="00596FC2" w:rsidP="00D06EC5">
      <w:pPr>
        <w:spacing w:line="360" w:lineRule="auto"/>
      </w:pPr>
      <w:r>
        <w:t>In</w:t>
      </w:r>
      <w:r w:rsidR="00D06EC5">
        <w:t xml:space="preserve"> March 2017, in a supplementary submission to the </w:t>
      </w:r>
      <w:r>
        <w:t>S</w:t>
      </w:r>
      <w:r w:rsidR="00D06EC5">
        <w:t xml:space="preserve">enate </w:t>
      </w:r>
      <w:r>
        <w:t>Committee</w:t>
      </w:r>
      <w:r w:rsidR="00D06EC5">
        <w:t xml:space="preserve"> inquiry into superannuation guarantee non-payment, ISA published a</w:t>
      </w:r>
      <w:r>
        <w:t xml:space="preserve"> revised</w:t>
      </w:r>
      <w:r w:rsidR="00D06EC5">
        <w:t xml:space="preserve"> estimate </w:t>
      </w:r>
      <w:r>
        <w:t>of non-compliance</w:t>
      </w:r>
      <w:r w:rsidR="00D06EC5">
        <w:t xml:space="preserve"> based on all employees in the ATO sample file, including those who did not have any employer contributions</w:t>
      </w:r>
      <w:r>
        <w:t xml:space="preserve"> reported</w:t>
      </w:r>
      <w:r w:rsidR="00D06EC5">
        <w:t xml:space="preserve">. </w:t>
      </w:r>
      <w:r>
        <w:t xml:space="preserve">The revised estimate of the dollar value of underpayment </w:t>
      </w:r>
      <w:r w:rsidR="005247B4">
        <w:t>was</w:t>
      </w:r>
      <w:r>
        <w:t xml:space="preserve"> $5.6</w:t>
      </w:r>
      <w:r w:rsidR="00D06EC5">
        <w:t xml:space="preserve"> </w:t>
      </w:r>
      <w:r>
        <w:t xml:space="preserve">billion. </w:t>
      </w:r>
      <w:r w:rsidR="005247B4">
        <w:t>The</w:t>
      </w:r>
      <w:r>
        <w:t xml:space="preserve"> revised estimate of the</w:t>
      </w:r>
      <w:r w:rsidR="00D06EC5">
        <w:t xml:space="preserve"> number of employees </w:t>
      </w:r>
      <w:r>
        <w:t xml:space="preserve">affected </w:t>
      </w:r>
      <w:r w:rsidR="005247B4">
        <w:t>was</w:t>
      </w:r>
      <w:r w:rsidR="00D06EC5">
        <w:t xml:space="preserve"> 2.76 million.</w:t>
      </w:r>
      <w:r w:rsidR="005247B4">
        <w:t xml:space="preserve"> </w:t>
      </w:r>
    </w:p>
    <w:p w14:paraId="09DA90EB" w14:textId="77777777" w:rsidR="00AC3E4C" w:rsidRDefault="00D06EC5" w:rsidP="00D06EC5">
      <w:pPr>
        <w:spacing w:line="360" w:lineRule="auto"/>
      </w:pPr>
      <w:r w:rsidRPr="00702E2E">
        <w:t xml:space="preserve">While the methodology </w:t>
      </w:r>
      <w:r w:rsidR="00596FC2">
        <w:t xml:space="preserve">used by the </w:t>
      </w:r>
      <w:r w:rsidRPr="00702E2E">
        <w:t>ISA is broadly appropriate</w:t>
      </w:r>
      <w:r>
        <w:t xml:space="preserve"> given the limitations in the available data</w:t>
      </w:r>
      <w:r w:rsidRPr="00702E2E">
        <w:t xml:space="preserve">, the </w:t>
      </w:r>
      <w:r w:rsidR="00596FC2">
        <w:t>W</w:t>
      </w:r>
      <w:r>
        <w:t xml:space="preserve">orking </w:t>
      </w:r>
      <w:r w:rsidR="00596FC2">
        <w:t>G</w:t>
      </w:r>
      <w:r>
        <w:t xml:space="preserve">roup believes </w:t>
      </w:r>
      <w:r w:rsidRPr="00702E2E">
        <w:t>ISA’s estimates</w:t>
      </w:r>
      <w:r>
        <w:t xml:space="preserve">, particularly the </w:t>
      </w:r>
      <w:r w:rsidR="00596FC2">
        <w:t xml:space="preserve">revised </w:t>
      </w:r>
      <w:r>
        <w:t xml:space="preserve">estimates </w:t>
      </w:r>
      <w:r w:rsidR="00596FC2">
        <w:t>from March 2017</w:t>
      </w:r>
      <w:r>
        <w:t>,</w:t>
      </w:r>
      <w:r w:rsidRPr="00702E2E">
        <w:t xml:space="preserve"> </w:t>
      </w:r>
      <w:r>
        <w:t xml:space="preserve">are likely to </w:t>
      </w:r>
      <w:r w:rsidRPr="00702E2E">
        <w:t>significantly overstate the number of people affected by superannuation guarantee</w:t>
      </w:r>
      <w:r>
        <w:t xml:space="preserve"> non-compliance, and the dollar value of the underpayment</w:t>
      </w:r>
      <w:r w:rsidRPr="00702E2E">
        <w:t xml:space="preserve">. </w:t>
      </w:r>
    </w:p>
    <w:p w14:paraId="20F64185" w14:textId="77777777" w:rsidR="00D06EC5" w:rsidRPr="00224B95" w:rsidRDefault="00596FC2" w:rsidP="00224B95">
      <w:pPr>
        <w:spacing w:line="360" w:lineRule="auto"/>
        <w:rPr>
          <w:i/>
        </w:rPr>
      </w:pPr>
      <w:r>
        <w:t>This is because t</w:t>
      </w:r>
      <w:r w:rsidR="00D06EC5" w:rsidRPr="00702E2E">
        <w:t>he ISA</w:t>
      </w:r>
      <w:r>
        <w:t>’s</w:t>
      </w:r>
      <w:r w:rsidR="00D06EC5" w:rsidRPr="00702E2E">
        <w:t xml:space="preserve"> estimates</w:t>
      </w:r>
      <w:r>
        <w:t xml:space="preserve"> </w:t>
      </w:r>
      <w:r w:rsidRPr="00702E2E">
        <w:t>do not fully account for data limitations which would lead to overestimates of unpaid superannuation guarantee</w:t>
      </w:r>
      <w:r>
        <w:t xml:space="preserve">. The estimates are also </w:t>
      </w:r>
      <w:r w:rsidRPr="00702E2E">
        <w:t xml:space="preserve">inconsistent with </w:t>
      </w:r>
      <w:r>
        <w:t>observations</w:t>
      </w:r>
      <w:r w:rsidR="005247B4">
        <w:t xml:space="preserve"> concerning known non-compliance</w:t>
      </w:r>
      <w:r>
        <w:t xml:space="preserve"> from the ATO’s </w:t>
      </w:r>
      <w:r w:rsidRPr="00702E2E">
        <w:t xml:space="preserve">compliance </w:t>
      </w:r>
      <w:r>
        <w:t>program</w:t>
      </w:r>
      <w:r w:rsidRPr="00702E2E">
        <w:t>.</w:t>
      </w:r>
      <w:r>
        <w:t xml:space="preserve"> </w:t>
      </w:r>
    </w:p>
    <w:p w14:paraId="223C3CFF" w14:textId="77777777" w:rsidR="00D06EC5" w:rsidRPr="00702E2E" w:rsidRDefault="00D06EC5" w:rsidP="008E2C85">
      <w:pPr>
        <w:pStyle w:val="Heading3"/>
      </w:pPr>
      <w:bookmarkStart w:id="420" w:name="_Toc478403070"/>
      <w:bookmarkStart w:id="421" w:name="_Toc478485994"/>
      <w:bookmarkStart w:id="422" w:name="_Toc478502004"/>
      <w:r w:rsidRPr="00702E2E">
        <w:t>ISA methodology</w:t>
      </w:r>
      <w:bookmarkEnd w:id="419"/>
      <w:bookmarkEnd w:id="420"/>
      <w:bookmarkEnd w:id="421"/>
      <w:bookmarkEnd w:id="422"/>
    </w:p>
    <w:p w14:paraId="7BFCC685" w14:textId="77777777" w:rsidR="00D06EC5" w:rsidRPr="00702E2E" w:rsidRDefault="00D06EC5" w:rsidP="00AC3E4C">
      <w:pPr>
        <w:keepNext/>
        <w:spacing w:line="360" w:lineRule="auto"/>
      </w:pPr>
      <w:r w:rsidRPr="00702E2E">
        <w:t>ISA estimate</w:t>
      </w:r>
      <w:r w:rsidR="00C77675">
        <w:t>d</w:t>
      </w:r>
      <w:r w:rsidRPr="00702E2E">
        <w:t xml:space="preserve"> unpaid superannuation guarantee using the following methodology:</w:t>
      </w:r>
    </w:p>
    <w:p w14:paraId="2B58CBE3" w14:textId="1B6F32A3" w:rsidR="00D06EC5" w:rsidRPr="00702E2E" w:rsidRDefault="00D06EC5" w:rsidP="00D06EC5">
      <w:pPr>
        <w:pStyle w:val="ListParagraph"/>
        <w:numPr>
          <w:ilvl w:val="0"/>
          <w:numId w:val="43"/>
        </w:numPr>
        <w:spacing w:line="360" w:lineRule="auto"/>
        <w:ind w:left="851" w:hanging="284"/>
        <w:contextualSpacing w:val="0"/>
      </w:pPr>
      <w:r w:rsidRPr="00702E2E">
        <w:t>e</w:t>
      </w:r>
      <w:r>
        <w:t>xamines individuals aged</w:t>
      </w:r>
      <w:r w:rsidRPr="00702E2E">
        <w:t xml:space="preserve"> 20 and over</w:t>
      </w:r>
      <w:r>
        <w:t>,</w:t>
      </w:r>
      <w:r w:rsidRPr="00702E2E">
        <w:t xml:space="preserve"> with </w:t>
      </w:r>
      <w:r>
        <w:t>more than 10</w:t>
      </w:r>
      <w:r w:rsidR="006317BB">
        <w:t> </w:t>
      </w:r>
      <w:r>
        <w:t>per</w:t>
      </w:r>
      <w:r w:rsidR="006317BB">
        <w:t> </w:t>
      </w:r>
      <w:r>
        <w:t xml:space="preserve">cent of their income from </w:t>
      </w:r>
      <w:r w:rsidRPr="00702E2E">
        <w:t>salary and wage</w:t>
      </w:r>
      <w:r>
        <w:t>s</w:t>
      </w:r>
      <w:r w:rsidRPr="00702E2E">
        <w:t xml:space="preserve">; and, no </w:t>
      </w:r>
      <w:r>
        <w:t xml:space="preserve">income from partnerships and trusts (as a proxy for </w:t>
      </w:r>
      <w:r w:rsidRPr="00702E2E">
        <w:t>self</w:t>
      </w:r>
      <w:r w:rsidRPr="00702E2E">
        <w:noBreakHyphen/>
        <w:t>employment</w:t>
      </w:r>
      <w:r>
        <w:t>);</w:t>
      </w:r>
    </w:p>
    <w:p w14:paraId="089288C7" w14:textId="77777777" w:rsidR="00D06EC5" w:rsidRPr="00702E2E" w:rsidRDefault="00D06EC5" w:rsidP="00D06EC5">
      <w:pPr>
        <w:pStyle w:val="ListParagraph"/>
        <w:numPr>
          <w:ilvl w:val="0"/>
          <w:numId w:val="43"/>
        </w:numPr>
        <w:spacing w:line="360" w:lineRule="auto"/>
        <w:ind w:left="851" w:hanging="284"/>
        <w:contextualSpacing w:val="0"/>
      </w:pPr>
      <w:r w:rsidRPr="00702E2E">
        <w:t>factors in rules affecting superannuation guarantee payments including: the superannuation guarantee minimum wage ($450 per month); the maximum superannuation guarantee contributions base ($48,040 per quarter in 2013</w:t>
      </w:r>
      <w:r w:rsidRPr="00702E2E">
        <w:noBreakHyphen/>
        <w:t>14); and accounts for salary sacrifice contributions</w:t>
      </w:r>
      <w:r>
        <w:t>;</w:t>
      </w:r>
    </w:p>
    <w:p w14:paraId="7895EE71" w14:textId="77777777" w:rsidR="00D06EC5" w:rsidRPr="00702E2E" w:rsidRDefault="00D06EC5" w:rsidP="00D06EC5">
      <w:pPr>
        <w:pStyle w:val="ListParagraph"/>
        <w:numPr>
          <w:ilvl w:val="0"/>
          <w:numId w:val="43"/>
        </w:numPr>
        <w:spacing w:line="360" w:lineRule="auto"/>
        <w:ind w:left="851" w:hanging="284"/>
        <w:contextualSpacing w:val="0"/>
      </w:pPr>
      <w:r w:rsidRPr="00702E2E">
        <w:t xml:space="preserve">adjusts the salary reported on the tax return using a gender-based average to remove some remuneration which is not </w:t>
      </w:r>
      <w:r w:rsidR="00C77675">
        <w:t>included in ordinary time earnings</w:t>
      </w:r>
      <w:r w:rsidRPr="00702E2E">
        <w:t>, such as overtime</w:t>
      </w:r>
      <w:r>
        <w:t>;</w:t>
      </w:r>
      <w:r w:rsidR="00C77675">
        <w:t xml:space="preserve"> and</w:t>
      </w:r>
    </w:p>
    <w:p w14:paraId="2AE94F13" w14:textId="77777777" w:rsidR="00D06EC5" w:rsidRPr="00702E2E" w:rsidRDefault="00D06EC5" w:rsidP="00D06EC5">
      <w:pPr>
        <w:pStyle w:val="ListParagraph"/>
        <w:numPr>
          <w:ilvl w:val="0"/>
          <w:numId w:val="43"/>
        </w:numPr>
        <w:spacing w:line="360" w:lineRule="auto"/>
        <w:ind w:left="851" w:hanging="284"/>
        <w:contextualSpacing w:val="0"/>
      </w:pPr>
      <w:r w:rsidRPr="00702E2E">
        <w:t>assumes that unpaid superannuation guarantee is equal to the difference between: 8.5 per cent of the adjusted salary; and the actual superannuation guarantee payment</w:t>
      </w:r>
      <w:r w:rsidR="00C77675">
        <w:t xml:space="preserve"> reported by funds</w:t>
      </w:r>
      <w:r>
        <w:t>.</w:t>
      </w:r>
    </w:p>
    <w:p w14:paraId="538B66A4" w14:textId="21351B16" w:rsidR="00D06EC5" w:rsidRPr="00702E2E" w:rsidRDefault="00D06EC5" w:rsidP="00D06EC5">
      <w:pPr>
        <w:numPr>
          <w:ilvl w:val="1"/>
          <w:numId w:val="51"/>
        </w:numPr>
        <w:spacing w:before="0" w:after="200" w:line="276" w:lineRule="auto"/>
      </w:pPr>
      <w:r>
        <w:t>While t</w:t>
      </w:r>
      <w:r w:rsidRPr="00702E2E">
        <w:t>he statutory superannuation guarantee rate in 2013</w:t>
      </w:r>
      <w:r w:rsidRPr="00702E2E">
        <w:noBreakHyphen/>
        <w:t xml:space="preserve">14 </w:t>
      </w:r>
      <w:r w:rsidR="00C77675">
        <w:t>wa</w:t>
      </w:r>
      <w:r w:rsidRPr="00702E2E">
        <w:t>s 9.25</w:t>
      </w:r>
      <w:r w:rsidR="006317BB">
        <w:t> </w:t>
      </w:r>
      <w:r w:rsidRPr="00702E2E">
        <w:t>per</w:t>
      </w:r>
      <w:r w:rsidR="006317BB">
        <w:t> </w:t>
      </w:r>
      <w:r w:rsidRPr="00702E2E">
        <w:t>cent, ISA uses the 8.5</w:t>
      </w:r>
      <w:r w:rsidR="006317BB">
        <w:t> </w:t>
      </w:r>
      <w:r w:rsidRPr="00702E2E">
        <w:t>per</w:t>
      </w:r>
      <w:r w:rsidR="006317BB">
        <w:t> </w:t>
      </w:r>
      <w:r w:rsidRPr="00702E2E">
        <w:t xml:space="preserve">cent figure to account for data reliability issues and remuneration </w:t>
      </w:r>
      <w:r w:rsidR="00C77675">
        <w:t>that</w:t>
      </w:r>
      <w:r w:rsidR="00C77675" w:rsidRPr="00702E2E">
        <w:t xml:space="preserve"> </w:t>
      </w:r>
      <w:r w:rsidRPr="00702E2E">
        <w:t xml:space="preserve">is not </w:t>
      </w:r>
      <w:r w:rsidR="00C77675">
        <w:t>part of the SG base</w:t>
      </w:r>
      <w:r w:rsidRPr="00702E2E">
        <w:t>.</w:t>
      </w:r>
    </w:p>
    <w:p w14:paraId="25ED7A25" w14:textId="77777777" w:rsidR="00D06EC5" w:rsidRPr="00702E2E" w:rsidRDefault="00D06EC5" w:rsidP="00D06EC5">
      <w:pPr>
        <w:spacing w:line="360" w:lineRule="auto"/>
      </w:pPr>
      <w:r w:rsidRPr="00702E2E">
        <w:t xml:space="preserve">The ISA </w:t>
      </w:r>
      <w:r w:rsidR="00C77675">
        <w:t>used a similar methodology</w:t>
      </w:r>
      <w:r w:rsidR="00C77675" w:rsidRPr="00702E2E">
        <w:t xml:space="preserve"> </w:t>
      </w:r>
      <w:r w:rsidR="00C77675">
        <w:t>to</w:t>
      </w:r>
      <w:r w:rsidRPr="00702E2E">
        <w:t xml:space="preserve"> estimate the extent to which employers satisfy their superannuation guarantee obligations </w:t>
      </w:r>
      <w:r w:rsidR="00C77675">
        <w:t>by</w:t>
      </w:r>
      <w:r w:rsidR="00C77675" w:rsidRPr="00702E2E">
        <w:t xml:space="preserve"> </w:t>
      </w:r>
      <w:r w:rsidR="00C77675">
        <w:t>including</w:t>
      </w:r>
      <w:r w:rsidR="00C77675" w:rsidRPr="00702E2E">
        <w:t xml:space="preserve"> </w:t>
      </w:r>
      <w:r w:rsidRPr="00702E2E">
        <w:t xml:space="preserve">their employees’ salary sacrifice contributions. </w:t>
      </w:r>
      <w:bookmarkStart w:id="423" w:name="_Toc472892801"/>
    </w:p>
    <w:p w14:paraId="2273ABBE" w14:textId="77777777" w:rsidR="00D06EC5" w:rsidRPr="00702E2E" w:rsidRDefault="00D06EC5" w:rsidP="008E2C85">
      <w:pPr>
        <w:pStyle w:val="Heading3"/>
      </w:pPr>
      <w:bookmarkStart w:id="424" w:name="_Toc473540250"/>
      <w:bookmarkStart w:id="425" w:name="_Toc473554633"/>
      <w:bookmarkStart w:id="426" w:name="_Toc473625451"/>
      <w:bookmarkStart w:id="427" w:name="_Toc473629882"/>
      <w:bookmarkStart w:id="428" w:name="_Toc473631174"/>
      <w:bookmarkStart w:id="429" w:name="_Toc473631468"/>
      <w:bookmarkStart w:id="430" w:name="_Toc473636592"/>
      <w:bookmarkStart w:id="431" w:name="_Toc473635310"/>
      <w:bookmarkStart w:id="432" w:name="_Toc478403071"/>
      <w:bookmarkStart w:id="433" w:name="_Toc478485995"/>
      <w:bookmarkStart w:id="434" w:name="_Toc478502005"/>
      <w:r w:rsidRPr="00702E2E">
        <w:t>ISA estimates do not fully account for data limitations</w:t>
      </w:r>
      <w:bookmarkEnd w:id="423"/>
      <w:bookmarkEnd w:id="424"/>
      <w:bookmarkEnd w:id="425"/>
      <w:bookmarkEnd w:id="426"/>
      <w:bookmarkEnd w:id="427"/>
      <w:bookmarkEnd w:id="428"/>
      <w:bookmarkEnd w:id="429"/>
      <w:bookmarkEnd w:id="430"/>
      <w:bookmarkEnd w:id="431"/>
      <w:bookmarkEnd w:id="432"/>
      <w:bookmarkEnd w:id="433"/>
      <w:bookmarkEnd w:id="434"/>
      <w:r w:rsidRPr="00702E2E">
        <w:t xml:space="preserve"> </w:t>
      </w:r>
    </w:p>
    <w:p w14:paraId="4A906ABE" w14:textId="3E66987B" w:rsidR="00D06EC5" w:rsidRPr="00702E2E" w:rsidRDefault="00D06EC5" w:rsidP="00D06EC5">
      <w:pPr>
        <w:spacing w:line="360" w:lineRule="auto"/>
      </w:pPr>
      <w:r>
        <w:t xml:space="preserve">The administrative </w:t>
      </w:r>
      <w:r w:rsidRPr="00702E2E">
        <w:t xml:space="preserve">data </w:t>
      </w:r>
      <w:r>
        <w:t xml:space="preserve">collected by the ATO </w:t>
      </w:r>
      <w:r w:rsidRPr="00702E2E">
        <w:t>do</w:t>
      </w:r>
      <w:r w:rsidR="006317BB">
        <w:t>es</w:t>
      </w:r>
      <w:r w:rsidRPr="00702E2E">
        <w:t xml:space="preserve"> not </w:t>
      </w:r>
      <w:r>
        <w:t xml:space="preserve">currently </w:t>
      </w:r>
      <w:r w:rsidRPr="00702E2E">
        <w:t>allow accurate calculation either of people’s superannuation guarantee entitlements or the amounts they actually receive.</w:t>
      </w:r>
      <w:r w:rsidRPr="00A2148E">
        <w:t xml:space="preserve"> </w:t>
      </w:r>
      <w:r>
        <w:t xml:space="preserve">Any </w:t>
      </w:r>
      <w:r w:rsidR="009F4EE1">
        <w:t>estimate</w:t>
      </w:r>
      <w:r>
        <w:t xml:space="preserve"> of superannuation guarantee </w:t>
      </w:r>
      <w:r w:rsidR="009F4EE1">
        <w:t>non-</w:t>
      </w:r>
      <w:r>
        <w:t>compliance based on incomplete data will necessarily be dependent on assumptions. Because of this, there are reasons to be wary of the point</w:t>
      </w:r>
      <w:r w:rsidRPr="00702E2E">
        <w:t xml:space="preserve"> estimate</w:t>
      </w:r>
      <w:r>
        <w:t>s</w:t>
      </w:r>
      <w:r w:rsidRPr="00702E2E">
        <w:t xml:space="preserve"> of unpaid superannuation guarantee</w:t>
      </w:r>
      <w:r>
        <w:t xml:space="preserve"> produced by ISA</w:t>
      </w:r>
      <w:r w:rsidRPr="00702E2E">
        <w:t>.</w:t>
      </w:r>
      <w:r w:rsidR="009F4EE1">
        <w:t xml:space="preserve"> </w:t>
      </w:r>
    </w:p>
    <w:p w14:paraId="215BE93F" w14:textId="77777777" w:rsidR="00D06EC5" w:rsidRPr="00702E2E" w:rsidRDefault="00D06EC5" w:rsidP="00D06EC5">
      <w:pPr>
        <w:spacing w:line="360" w:lineRule="auto"/>
      </w:pPr>
      <w:r w:rsidRPr="00702E2E">
        <w:t xml:space="preserve">Any unpaid superannuation guarantee estimate using the imperfect data available at an individual level will </w:t>
      </w:r>
      <w:r>
        <w:t xml:space="preserve">likely </w:t>
      </w:r>
      <w:r w:rsidRPr="00702E2E">
        <w:t>falsely show some people as being underpaid and some people being overpaid. A balanced approach would make allowance for overpayments of superannuation guarantee. However, the ISA methodology simply sums up the number of individuals flagged as underpaid and their total apparent shortfall without an offsetting reduction for overpayments. This is likely to mean there is an upward bias</w:t>
      </w:r>
      <w:r w:rsidR="00F30346">
        <w:t xml:space="preserve"> with</w:t>
      </w:r>
      <w:r w:rsidRPr="00702E2E">
        <w:t xml:space="preserve"> the estimate of the number of people underpaid, and the dollar value of the shortfall.</w:t>
      </w:r>
    </w:p>
    <w:p w14:paraId="5E0FD0C7" w14:textId="77777777" w:rsidR="00D06EC5" w:rsidRDefault="00D06EC5" w:rsidP="00D06EC5">
      <w:pPr>
        <w:spacing w:line="360" w:lineRule="auto"/>
      </w:pPr>
      <w:r w:rsidRPr="00702E2E">
        <w:t>While ISA make</w:t>
      </w:r>
      <w:r w:rsidR="009F4EE1">
        <w:t>s</w:t>
      </w:r>
      <w:r w:rsidRPr="00702E2E">
        <w:t xml:space="preserve"> allowances for some of the underlying data issues, these allowances are likely to be too small. </w:t>
      </w:r>
      <w:r w:rsidR="009F4EE1">
        <w:t xml:space="preserve">The following shortcomings are </w:t>
      </w:r>
      <w:r w:rsidRPr="00702E2E">
        <w:t xml:space="preserve">likely to </w:t>
      </w:r>
      <w:r w:rsidR="009F4EE1">
        <w:t xml:space="preserve">have </w:t>
      </w:r>
      <w:r w:rsidRPr="00702E2E">
        <w:t>result</w:t>
      </w:r>
      <w:r w:rsidR="009F4EE1">
        <w:t>ed</w:t>
      </w:r>
      <w:r w:rsidRPr="00702E2E">
        <w:t xml:space="preserve"> in ISA substantially overestimating unpaid superannuation guarantee: </w:t>
      </w:r>
      <w:r>
        <w:t xml:space="preserve">failure to account for individuals in defined benefit schemes, </w:t>
      </w:r>
      <w:r w:rsidRPr="00702E2E">
        <w:t>the adjustment of wages to account for overtime, data limitations that prevent reliable splitting of employer contributions into superannuation guarantee and salary sacrifice, and</w:t>
      </w:r>
      <w:r>
        <w:t xml:space="preserve"> timing mismatches in the data.</w:t>
      </w:r>
      <w:r w:rsidR="009F4EE1">
        <w:t xml:space="preserve"> </w:t>
      </w:r>
    </w:p>
    <w:p w14:paraId="1FC959A8" w14:textId="77777777" w:rsidR="00D06EC5" w:rsidRPr="009C3447" w:rsidRDefault="00D06EC5" w:rsidP="008E2C85">
      <w:pPr>
        <w:pStyle w:val="Heading4"/>
      </w:pPr>
      <w:r w:rsidRPr="009C3447">
        <w:t>Defined benefit pensions</w:t>
      </w:r>
    </w:p>
    <w:p w14:paraId="0A814313" w14:textId="77777777" w:rsidR="00D06EC5" w:rsidRPr="00FA5BFF" w:rsidRDefault="00D06EC5" w:rsidP="00D06EC5">
      <w:pPr>
        <w:spacing w:line="360" w:lineRule="auto"/>
      </w:pPr>
      <w:r w:rsidRPr="00FA5BFF">
        <w:t xml:space="preserve">Some employers offer employees the option </w:t>
      </w:r>
      <w:r w:rsidR="004A6275">
        <w:t>of membership</w:t>
      </w:r>
      <w:r w:rsidRPr="00FA5BFF">
        <w:t xml:space="preserve"> in a defined benefit superannuation scheme. Rather than contributing to and accumulating a balance of superannuation for use in retirement, defined benefit schemes pay specified income stream in retirement based on a number of factors, including years of service and final salary. </w:t>
      </w:r>
    </w:p>
    <w:p w14:paraId="1BF6D67E" w14:textId="77777777" w:rsidR="00D06EC5" w:rsidRPr="00FA5BFF" w:rsidRDefault="00286652" w:rsidP="00D06EC5">
      <w:pPr>
        <w:spacing w:line="360" w:lineRule="auto"/>
      </w:pPr>
      <w:r>
        <w:t>In</w:t>
      </w:r>
      <w:r w:rsidR="00D06EC5" w:rsidRPr="00FA5BFF">
        <w:t xml:space="preserve"> these schemes, employers do not make contributions direct to members’ accounts. However, an actuarial certificate is required to specify</w:t>
      </w:r>
      <w:r w:rsidR="00D06EC5" w:rsidRPr="00D06EC5">
        <w:t xml:space="preserve"> </w:t>
      </w:r>
      <w:r w:rsidR="00347036">
        <w:t xml:space="preserve">a member’s annual ‘notional contribution’. </w:t>
      </w:r>
      <w:r w:rsidR="00D06EC5" w:rsidRPr="00FA5BFF">
        <w:t xml:space="preserve">For the purposes of meeting an employer’s superannuation guarantee </w:t>
      </w:r>
      <w:r w:rsidR="00347036">
        <w:t>obligations</w:t>
      </w:r>
      <w:r w:rsidR="00D06EC5" w:rsidRPr="00FA5BFF">
        <w:t>, the notional contribution must be at least the employee’s minimum</w:t>
      </w:r>
      <w:r w:rsidR="00D06EC5">
        <w:t xml:space="preserve"> superannuation guarantee</w:t>
      </w:r>
      <w:r w:rsidR="00D06EC5" w:rsidRPr="00FA5BFF">
        <w:t xml:space="preserve"> contribution level. </w:t>
      </w:r>
    </w:p>
    <w:p w14:paraId="678F6827" w14:textId="77777777" w:rsidR="00D06EC5" w:rsidRPr="00FA5BFF" w:rsidRDefault="00D06EC5" w:rsidP="00D06EC5">
      <w:pPr>
        <w:spacing w:line="360" w:lineRule="auto"/>
      </w:pPr>
      <w:r w:rsidRPr="00FA5BFF">
        <w:t xml:space="preserve">The value of notional contributions is reported to the ATO by superannuation funds in annual </w:t>
      </w:r>
      <w:r w:rsidR="008708E7">
        <w:t>M</w:t>
      </w:r>
      <w:r w:rsidRPr="00FA5BFF">
        <w:t xml:space="preserve">ember </w:t>
      </w:r>
      <w:r w:rsidR="008708E7">
        <w:t>C</w:t>
      </w:r>
      <w:r w:rsidRPr="00FA5BFF">
        <w:t xml:space="preserve">ontribution </w:t>
      </w:r>
      <w:r w:rsidR="008708E7">
        <w:t>S</w:t>
      </w:r>
      <w:r w:rsidRPr="00FA5BFF">
        <w:t xml:space="preserve">tatements. This information is reported separately </w:t>
      </w:r>
      <w:r w:rsidR="00347036">
        <w:t>from</w:t>
      </w:r>
      <w:r w:rsidR="00347036" w:rsidRPr="00FA5BFF">
        <w:t xml:space="preserve"> </w:t>
      </w:r>
      <w:r w:rsidRPr="00FA5BFF">
        <w:t>the employer contributions to regular accumulation accounts.</w:t>
      </w:r>
      <w:r>
        <w:rPr>
          <w:rStyle w:val="FootnoteReference"/>
        </w:rPr>
        <w:footnoteReference w:id="41"/>
      </w:r>
      <w:r w:rsidRPr="00FA5BFF">
        <w:t xml:space="preserve"> Employer contributions to accumulation schemes are included in the publically available ATO sample file, and this is the value ISA has used to calculate its</w:t>
      </w:r>
      <w:r>
        <w:t xml:space="preserve"> superannuation guarantee</w:t>
      </w:r>
      <w:r w:rsidRPr="00FA5BFF">
        <w:t xml:space="preserve"> gap estimates. However, notional defined benefit contributions are not included in this value. </w:t>
      </w:r>
    </w:p>
    <w:p w14:paraId="039B8BD8" w14:textId="77777777" w:rsidR="00D06EC5" w:rsidRPr="00FA5BFF" w:rsidRDefault="00D06EC5" w:rsidP="00D06EC5">
      <w:pPr>
        <w:spacing w:line="360" w:lineRule="auto"/>
      </w:pPr>
      <w:r w:rsidRPr="00FA5BFF">
        <w:t xml:space="preserve">The sample file </w:t>
      </w:r>
      <w:r w:rsidR="00B440DD">
        <w:t>does not</w:t>
      </w:r>
      <w:r w:rsidRPr="00FA5BFF">
        <w:t xml:space="preserve"> identify individuals who are members of defined benefit schemes, and ISA do</w:t>
      </w:r>
      <w:r w:rsidR="00B440DD">
        <w:t>es</w:t>
      </w:r>
      <w:r w:rsidRPr="00FA5BFF">
        <w:t xml:space="preserve"> not include any control for these individuals in </w:t>
      </w:r>
      <w:r w:rsidR="00B440DD">
        <w:t>its</w:t>
      </w:r>
      <w:r w:rsidR="00B440DD" w:rsidRPr="00FA5BFF">
        <w:t xml:space="preserve"> </w:t>
      </w:r>
      <w:r w:rsidRPr="00FA5BFF">
        <w:t>analysis. As such</w:t>
      </w:r>
      <w:r w:rsidR="000B31E6">
        <w:t>, its</w:t>
      </w:r>
      <w:r w:rsidRPr="00FA5BFF">
        <w:t xml:space="preserve"> approach will likely identify a shortfall for employees who are participating in defined benefit schemes.</w:t>
      </w:r>
    </w:p>
    <w:p w14:paraId="0150919F" w14:textId="0D5CE9E5" w:rsidR="00D06EC5" w:rsidRPr="00FA5BFF" w:rsidRDefault="00D06EC5" w:rsidP="00D06EC5">
      <w:pPr>
        <w:spacing w:line="360" w:lineRule="auto"/>
      </w:pPr>
      <w:r w:rsidRPr="00FA5BFF">
        <w:t xml:space="preserve">Using the complete ATO data from 2013-14 </w:t>
      </w:r>
      <w:r w:rsidR="008708E7">
        <w:t>M</w:t>
      </w:r>
      <w:r w:rsidRPr="00FA5BFF">
        <w:t xml:space="preserve">ember </w:t>
      </w:r>
      <w:r w:rsidR="008708E7">
        <w:t>C</w:t>
      </w:r>
      <w:r w:rsidRPr="00FA5BFF">
        <w:t xml:space="preserve">ontribution </w:t>
      </w:r>
      <w:r w:rsidR="008708E7">
        <w:t>S</w:t>
      </w:r>
      <w:r w:rsidRPr="00FA5BFF">
        <w:t>tatements, Treasury has been able to replicate the ISA’s</w:t>
      </w:r>
      <w:r>
        <w:t xml:space="preserve"> superannuation guarantee</w:t>
      </w:r>
      <w:r w:rsidRPr="00FA5BFF">
        <w:t xml:space="preserve"> methodology and results, and examine t</w:t>
      </w:r>
      <w:r w:rsidR="00C9469F">
        <w:t xml:space="preserve">he extent to which </w:t>
      </w:r>
      <w:r w:rsidRPr="00FA5BFF">
        <w:t xml:space="preserve">members of </w:t>
      </w:r>
      <w:r w:rsidR="00956BFC">
        <w:t>defined benefit</w:t>
      </w:r>
      <w:r w:rsidR="00956BFC" w:rsidRPr="00FA5BFF">
        <w:t xml:space="preserve"> </w:t>
      </w:r>
      <w:r w:rsidRPr="00FA5BFF">
        <w:t xml:space="preserve">schemes affect </w:t>
      </w:r>
      <w:r w:rsidR="00C9469F">
        <w:t>its</w:t>
      </w:r>
      <w:r w:rsidR="00C9469F" w:rsidRPr="00FA5BFF">
        <w:t xml:space="preserve"> </w:t>
      </w:r>
      <w:r w:rsidRPr="00FA5BFF">
        <w:t xml:space="preserve">estimates. </w:t>
      </w:r>
    </w:p>
    <w:p w14:paraId="0AEF446D" w14:textId="4085B3EF" w:rsidR="00D06EC5" w:rsidRPr="00FA5BFF" w:rsidRDefault="00D06EC5" w:rsidP="00D06EC5">
      <w:pPr>
        <w:spacing w:line="360" w:lineRule="auto"/>
      </w:pPr>
      <w:r w:rsidRPr="00FA5BFF">
        <w:t xml:space="preserve">Under the methodology used </w:t>
      </w:r>
      <w:r w:rsidR="00C9469F" w:rsidRPr="00C9469F">
        <w:t xml:space="preserve">for </w:t>
      </w:r>
      <w:r w:rsidR="00C9469F">
        <w:t>ISA’s</w:t>
      </w:r>
      <w:r w:rsidR="00C9469F" w:rsidRPr="00C9469F">
        <w:t xml:space="preserve"> </w:t>
      </w:r>
      <w:r w:rsidR="00C9469F">
        <w:t>initial</w:t>
      </w:r>
      <w:r w:rsidRPr="00FA5BFF">
        <w:t xml:space="preserve"> </w:t>
      </w:r>
      <w:r w:rsidR="00C9469F" w:rsidRPr="00224B95">
        <w:rPr>
          <w:iCs/>
        </w:rPr>
        <w:t>December estimate</w:t>
      </w:r>
      <w:r w:rsidRPr="00FA5BFF">
        <w:t xml:space="preserve">, there were around 260,000 members of </w:t>
      </w:r>
      <w:r w:rsidR="00956BFC">
        <w:t>defined benefit</w:t>
      </w:r>
      <w:r w:rsidRPr="00FA5BFF">
        <w:t xml:space="preserve"> schemes that also had employer contributions to an accumulation scheme flagged as having a shortfall.</w:t>
      </w:r>
      <w:r>
        <w:rPr>
          <w:rStyle w:val="FootnoteReference"/>
        </w:rPr>
        <w:footnoteReference w:id="42"/>
      </w:r>
      <w:r w:rsidRPr="00FA5BFF">
        <w:t xml:space="preserve"> These individuals contributed around $900 million </w:t>
      </w:r>
      <w:r w:rsidR="00C9469F">
        <w:t>of</w:t>
      </w:r>
      <w:r w:rsidR="00C9469F" w:rsidRPr="00FA5BFF">
        <w:t xml:space="preserve"> </w:t>
      </w:r>
      <w:r w:rsidRPr="00FA5BFF">
        <w:t xml:space="preserve">the total $2.8 billion shortfall </w:t>
      </w:r>
      <w:r w:rsidR="00C9469F">
        <w:t xml:space="preserve">identified </w:t>
      </w:r>
      <w:r w:rsidRPr="00FA5BFF">
        <w:t>in the report. The total notional employer contributions recorded for these employees were around $1.6 billion; well above the apparent shortfall for these employees in ISA’s approach.</w:t>
      </w:r>
      <w:r w:rsidR="00C9469F">
        <w:t xml:space="preserve"> </w:t>
      </w:r>
    </w:p>
    <w:p w14:paraId="1820BDE7" w14:textId="6454A513" w:rsidR="00D06EC5" w:rsidRPr="00FA5BFF" w:rsidRDefault="00D06EC5" w:rsidP="00D06EC5">
      <w:pPr>
        <w:spacing w:line="360" w:lineRule="auto"/>
      </w:pPr>
      <w:r w:rsidRPr="00FA5BFF">
        <w:t xml:space="preserve">Including all individuals with salary and wages regardless of whether they received any employer contributions, as ISA did in its </w:t>
      </w:r>
      <w:r w:rsidR="009A7C00">
        <w:t>revised March estimate</w:t>
      </w:r>
      <w:r w:rsidRPr="00FA5BFF">
        <w:t xml:space="preserve">; there are around 520,000 members of </w:t>
      </w:r>
      <w:r w:rsidR="00571E05">
        <w:t>defined benefit</w:t>
      </w:r>
      <w:r w:rsidR="00571E05" w:rsidRPr="00FA5BFF">
        <w:t xml:space="preserve"> </w:t>
      </w:r>
      <w:r w:rsidRPr="00FA5BFF">
        <w:t>schemes flagged as having a shortfall. These individuals contributed around $2.5 billion </w:t>
      </w:r>
      <w:r w:rsidR="009A7C00">
        <w:t>of</w:t>
      </w:r>
      <w:r w:rsidR="009A7C00" w:rsidRPr="00FA5BFF">
        <w:t xml:space="preserve"> </w:t>
      </w:r>
      <w:r w:rsidRPr="00FA5BFF">
        <w:t xml:space="preserve">the total $5.6 billion shortfall </w:t>
      </w:r>
      <w:r w:rsidR="009A7C00">
        <w:t>identified</w:t>
      </w:r>
      <w:r w:rsidRPr="00FA5BFF">
        <w:t xml:space="preserve">. Total notional employer contributions recorded for these employees </w:t>
      </w:r>
      <w:r w:rsidR="009A7C00">
        <w:t>were</w:t>
      </w:r>
      <w:r w:rsidR="009A7C00" w:rsidRPr="00FA5BFF">
        <w:t xml:space="preserve"> </w:t>
      </w:r>
      <w:r w:rsidRPr="00FA5BFF">
        <w:t xml:space="preserve">$3.7 billion; again exceeding the shortfall identified for these employees </w:t>
      </w:r>
      <w:r w:rsidR="009A7C00">
        <w:t>by</w:t>
      </w:r>
      <w:r w:rsidR="009A7C00" w:rsidRPr="00FA5BFF">
        <w:t xml:space="preserve"> </w:t>
      </w:r>
      <w:r w:rsidRPr="00FA5BFF">
        <w:t>ISA.</w:t>
      </w:r>
      <w:r w:rsidR="009A7C00">
        <w:t xml:space="preserve"> </w:t>
      </w:r>
    </w:p>
    <w:p w14:paraId="3B21FDA7" w14:textId="77777777" w:rsidR="00D06EC5" w:rsidRPr="00702E2E" w:rsidRDefault="00D06EC5" w:rsidP="008E2C85">
      <w:pPr>
        <w:pStyle w:val="Heading4"/>
      </w:pPr>
      <w:r w:rsidRPr="00702E2E">
        <w:t xml:space="preserve">Insufficient data on </w:t>
      </w:r>
      <w:r w:rsidR="00B35F56">
        <w:t>ordinary time earnings</w:t>
      </w:r>
    </w:p>
    <w:p w14:paraId="220CD0BD" w14:textId="77777777" w:rsidR="00D06EC5" w:rsidRPr="00702E2E" w:rsidRDefault="00D06EC5" w:rsidP="00D06EC5">
      <w:pPr>
        <w:spacing w:line="360" w:lineRule="auto"/>
      </w:pPr>
      <w:r w:rsidRPr="00702E2E">
        <w:t xml:space="preserve">Employees receive superannuation guarantee based on their ordinary time </w:t>
      </w:r>
      <w:r w:rsidR="00B35F56" w:rsidRPr="00702E2E">
        <w:t>earnings</w:t>
      </w:r>
      <w:r w:rsidRPr="00702E2E">
        <w:t xml:space="preserve">. </w:t>
      </w:r>
      <w:r w:rsidR="002E5EFE">
        <w:t>O</w:t>
      </w:r>
      <w:r w:rsidR="00B35F56">
        <w:t>rdinary time earnings</w:t>
      </w:r>
      <w:r w:rsidR="00B35F56" w:rsidRPr="00702E2E">
        <w:t xml:space="preserve"> </w:t>
      </w:r>
      <w:r w:rsidR="00C468FE">
        <w:t xml:space="preserve">are not </w:t>
      </w:r>
      <w:r w:rsidR="002E5EFE">
        <w:t xml:space="preserve">presently </w:t>
      </w:r>
      <w:r w:rsidR="00C468FE">
        <w:t xml:space="preserve">reported </w:t>
      </w:r>
      <w:r w:rsidRPr="00702E2E">
        <w:t>to the ATO</w:t>
      </w:r>
      <w:r w:rsidR="00C468FE">
        <w:t>. I</w:t>
      </w:r>
      <w:r w:rsidRPr="00702E2E">
        <w:t xml:space="preserve">ndividuals and employers </w:t>
      </w:r>
      <w:r w:rsidR="00C468FE">
        <w:t xml:space="preserve">simply </w:t>
      </w:r>
      <w:r w:rsidRPr="00702E2E">
        <w:t xml:space="preserve">report total wages. As outlined above, </w:t>
      </w:r>
      <w:r w:rsidR="00B35F56">
        <w:t>ordinary time earnings</w:t>
      </w:r>
      <w:r w:rsidR="00B35F56" w:rsidRPr="00702E2E">
        <w:t xml:space="preserve"> </w:t>
      </w:r>
      <w:r w:rsidR="00C468FE">
        <w:t>are</w:t>
      </w:r>
      <w:r w:rsidR="00C468FE" w:rsidRPr="00702E2E">
        <w:t xml:space="preserve"> </w:t>
      </w:r>
      <w:r w:rsidRPr="00702E2E">
        <w:t xml:space="preserve">lower than total wages </w:t>
      </w:r>
      <w:r w:rsidR="00C468FE">
        <w:t>as they</w:t>
      </w:r>
      <w:r w:rsidRPr="00702E2E">
        <w:t xml:space="preserve"> exclude certain types of remuneration such as bonuses</w:t>
      </w:r>
      <w:r w:rsidRPr="00702E2E" w:rsidDel="008B53C9">
        <w:t>, overtime</w:t>
      </w:r>
      <w:r w:rsidRPr="00702E2E">
        <w:t xml:space="preserve"> and termination payments related to unused annual leave.</w:t>
      </w:r>
      <w:r w:rsidR="00C468FE">
        <w:t xml:space="preserve"> </w:t>
      </w:r>
    </w:p>
    <w:p w14:paraId="60B0B574" w14:textId="77777777" w:rsidR="00D06EC5" w:rsidRPr="00702E2E" w:rsidRDefault="00D06EC5" w:rsidP="00D06EC5">
      <w:pPr>
        <w:spacing w:line="360" w:lineRule="auto"/>
      </w:pPr>
      <w:r w:rsidRPr="00702E2E">
        <w:t>To estimate</w:t>
      </w:r>
      <w:r w:rsidR="00B35F56">
        <w:t xml:space="preserve"> ordinary time earnings</w:t>
      </w:r>
      <w:r w:rsidRPr="00702E2E">
        <w:t>, the ISA Report makes an average reduction to total wages (for example, about five per cent for men). This adjustment is not big enough. This is especially the case for workers who receive a large share of their income in overtime (for example, men whose overtime exceeds five per cent of their total wage).</w:t>
      </w:r>
      <w:r w:rsidRPr="00702E2E" w:rsidDel="000E735C">
        <w:t xml:space="preserve"> </w:t>
      </w:r>
    </w:p>
    <w:p w14:paraId="762E1853" w14:textId="77777777" w:rsidR="00D06EC5" w:rsidRPr="00702E2E" w:rsidRDefault="00D06EC5" w:rsidP="00D06EC5">
      <w:pPr>
        <w:spacing w:line="360" w:lineRule="auto"/>
      </w:pPr>
      <w:r w:rsidRPr="00702E2E">
        <w:t xml:space="preserve">The Australian Bureau of Statistics (ABS) Survey of Income and Housing separately identifies </w:t>
      </w:r>
      <w:r w:rsidR="00B35F56">
        <w:t>ordinary time earnings</w:t>
      </w:r>
      <w:r w:rsidR="00B35F56" w:rsidRPr="00702E2E">
        <w:t xml:space="preserve"> </w:t>
      </w:r>
      <w:r w:rsidRPr="00702E2E">
        <w:t>and total wages</w:t>
      </w:r>
      <w:r w:rsidR="008F3258">
        <w:t>. This can be used to guide estimates of</w:t>
      </w:r>
      <w:r w:rsidRPr="00702E2E">
        <w:t xml:space="preserve"> the level of superannuation guarantee that people should receive given their wages.</w:t>
      </w:r>
      <w:r w:rsidRPr="00702E2E">
        <w:rPr>
          <w:vertAlign w:val="superscript"/>
        </w:rPr>
        <w:footnoteReference w:id="43"/>
      </w:r>
    </w:p>
    <w:p w14:paraId="61682BA6" w14:textId="77777777" w:rsidR="00D06EC5" w:rsidRPr="00702E2E" w:rsidRDefault="008F3258" w:rsidP="00D06EC5">
      <w:pPr>
        <w:spacing w:line="360" w:lineRule="auto"/>
      </w:pPr>
      <w:r>
        <w:t xml:space="preserve">Treasury has used ABS data </w:t>
      </w:r>
      <w:r w:rsidR="00D06EC5" w:rsidRPr="00702E2E">
        <w:t xml:space="preserve">on total wages and </w:t>
      </w:r>
      <w:r w:rsidR="00B35F56">
        <w:t>ordinary time earnings</w:t>
      </w:r>
      <w:r w:rsidR="00D06EC5" w:rsidRPr="00702E2E">
        <w:t xml:space="preserve"> </w:t>
      </w:r>
      <w:r>
        <w:t>to construct</w:t>
      </w:r>
      <w:r w:rsidR="00D06EC5" w:rsidRPr="00702E2E">
        <w:t xml:space="preserve"> estimates of the distribution of superannuation guarantee as a proportion of total wages assuming full compliance. This is shown as the solid line in Figure 1 below. It shows that overtime and other payments are only significant for around 20 per cent of the population, but can make up a large share of these people’s incomes. So if an aggregate adjustment is made to the observed data (the 8.5 per cent dashed line represents the ISA methodology) around 10 per cent of the workforce (about one million workers) would be incorrectly flagged as underpaid. These are those for whom the solid line is below the dashed line in the chart. </w:t>
      </w:r>
    </w:p>
    <w:p w14:paraId="745F771D" w14:textId="77777777" w:rsidR="00D06EC5" w:rsidRPr="00FA5BFF" w:rsidRDefault="00D06EC5" w:rsidP="00D06EC5">
      <w:pPr>
        <w:rPr>
          <w:b/>
        </w:rPr>
      </w:pPr>
      <w:r w:rsidRPr="00702E2E">
        <w:rPr>
          <w:b/>
        </w:rPr>
        <w:t>Figure 1: Correct Superannuation Guarantee versus ISA methodology</w:t>
      </w:r>
      <w:r w:rsidRPr="00702E2E">
        <w:rPr>
          <w:noProof/>
          <w:lang w:eastAsia="en-AU"/>
        </w:rPr>
        <w:drawing>
          <wp:inline distT="0" distB="0" distL="0" distR="0" wp14:anchorId="45E2BB26" wp14:editId="246C6A0E">
            <wp:extent cx="5324475" cy="318135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0D697E63" w14:textId="77777777" w:rsidR="00D06EC5" w:rsidRDefault="00D06EC5" w:rsidP="00D06EC5">
      <w:pPr>
        <w:spacing w:line="360" w:lineRule="auto"/>
      </w:pPr>
      <w:r w:rsidRPr="00702E2E">
        <w:t xml:space="preserve">This misidentification also overstates the total value of unpaid superannuation guarantee, though </w:t>
      </w:r>
      <w:r w:rsidRPr="00702E2E" w:rsidDel="008B53C9">
        <w:t>to</w:t>
      </w:r>
      <w:r w:rsidRPr="00702E2E">
        <w:t xml:space="preserve"> a smaller magnitude. This reflects the fact that the estimated underpayment of superannuation guarantee (the distance between the dashed line and the solid line in the chart) will be small for many of the apparently ‘underpaid’ </w:t>
      </w:r>
      <w:r w:rsidRPr="00702E2E" w:rsidDel="008B53C9">
        <w:t>workers</w:t>
      </w:r>
      <w:r w:rsidRPr="00702E2E">
        <w:t xml:space="preserve">.  </w:t>
      </w:r>
    </w:p>
    <w:p w14:paraId="23225031" w14:textId="77777777" w:rsidR="00D06EC5" w:rsidRPr="00702E2E" w:rsidRDefault="00D06EC5" w:rsidP="008E2C85">
      <w:pPr>
        <w:pStyle w:val="Heading4"/>
      </w:pPr>
      <w:r w:rsidRPr="00702E2E">
        <w:t>Timing of data collections</w:t>
      </w:r>
    </w:p>
    <w:p w14:paraId="766B326D" w14:textId="77777777" w:rsidR="00D06EC5" w:rsidRPr="00702E2E" w:rsidRDefault="00D06EC5" w:rsidP="00D06EC5">
      <w:pPr>
        <w:spacing w:line="360" w:lineRule="auto"/>
      </w:pPr>
      <w:r w:rsidRPr="00702E2E">
        <w:t>A further issue with the ISA methodology is that there is a mismatch in the timing of payment of wages and superannuation contributions. The ISA Report does not account well for the timing mismatch</w:t>
      </w:r>
      <w:r w:rsidR="00826BCF">
        <w:t>. As a result, it</w:t>
      </w:r>
      <w:r w:rsidRPr="00702E2E">
        <w:t xml:space="preserve"> overestimates the number of people with unpaid superannuation guarantee. </w:t>
      </w:r>
    </w:p>
    <w:p w14:paraId="097A7C82" w14:textId="77777777" w:rsidR="00D06EC5" w:rsidRPr="00702E2E" w:rsidRDefault="00D06EC5" w:rsidP="00D06EC5">
      <w:pPr>
        <w:spacing w:line="360" w:lineRule="auto"/>
      </w:pPr>
      <w:r w:rsidRPr="00702E2E">
        <w:t xml:space="preserve">A mismatch in timing of payments occurs as employers are legally allowed to pay their employees’ superannuation contributions with a one quarter lag to wages. In the ATO data files for a given year, wages data reflect actual wages paid that year and superannuation contributions reflect actual contributions paid that year. This means that the superannuation contributions in the data do not </w:t>
      </w:r>
      <w:r>
        <w:t xml:space="preserve">necessarily </w:t>
      </w:r>
      <w:r w:rsidRPr="00702E2E">
        <w:t xml:space="preserve">relate to the same wage bill. </w:t>
      </w:r>
    </w:p>
    <w:p w14:paraId="3B0732E9" w14:textId="77777777" w:rsidR="00D06EC5" w:rsidRPr="00702E2E" w:rsidRDefault="00D06EC5" w:rsidP="00D06EC5">
      <w:pPr>
        <w:spacing w:line="360" w:lineRule="auto"/>
      </w:pPr>
      <w:r w:rsidRPr="00702E2E">
        <w:t>Figure 2 demonstrates this issue in more detail. For example, an individual was unemployed in 2012</w:t>
      </w:r>
      <w:r w:rsidRPr="00702E2E">
        <w:noBreakHyphen/>
        <w:t>13 but starts a job earning $40,000 a year (or $10,000 a quarter) in 2013</w:t>
      </w:r>
      <w:r w:rsidRPr="00702E2E">
        <w:noBreakHyphen/>
        <w:t>14. Their employer pays the correct superannuation guarantee contributions of $925 a quarter into the employee</w:t>
      </w:r>
      <w:r w:rsidR="0057249B">
        <w:t>’</w:t>
      </w:r>
      <w:r w:rsidRPr="00702E2E">
        <w:t>s account in the following month. ATO data for 2013</w:t>
      </w:r>
      <w:r w:rsidRPr="00702E2E">
        <w:noBreakHyphen/>
        <w:t xml:space="preserve">14 will show wages of $40,000 and superannuation guarantee payments of only $2,775 in 2013-14. Using </w:t>
      </w:r>
      <w:r w:rsidR="0057249B">
        <w:t>the</w:t>
      </w:r>
      <w:r w:rsidRPr="00702E2E">
        <w:t xml:space="preserve"> ISA methodology, the apparent superannuation guarantee rate is 6.9 per cent and the individual would appear to have been un</w:t>
      </w:r>
      <w:r>
        <w:t>der</w:t>
      </w:r>
      <w:r w:rsidRPr="00702E2E">
        <w:t>paid superannuation guarantee. Yet in this example the employer is legally making superannuation guarantee contributions in the following quarter and the employee was actually paid $3,700 at the statutory superannuation guarantee rate of 9.25 per cent.</w:t>
      </w:r>
      <w:r w:rsidRPr="00702E2E">
        <w:rPr>
          <w:vertAlign w:val="superscript"/>
        </w:rPr>
        <w:footnoteReference w:id="44"/>
      </w:r>
    </w:p>
    <w:p w14:paraId="1E38EA84" w14:textId="77777777" w:rsidR="00D06EC5" w:rsidRPr="00702E2E" w:rsidRDefault="00D06EC5" w:rsidP="00D06EC5">
      <w:pPr>
        <w:keepNext/>
        <w:rPr>
          <w:b/>
        </w:rPr>
      </w:pPr>
      <w:r w:rsidRPr="00702E2E">
        <w:rPr>
          <w:b/>
        </w:rPr>
        <w:t>Figure 2: Timing of actual superannuation guarantee payments</w:t>
      </w:r>
    </w:p>
    <w:p w14:paraId="08898394" w14:textId="77777777" w:rsidR="00D06EC5" w:rsidRPr="00702E2E" w:rsidRDefault="00D06EC5" w:rsidP="00D06EC5">
      <w:r w:rsidRPr="00702E2E">
        <w:rPr>
          <w:noProof/>
          <w:lang w:eastAsia="en-AU"/>
        </w:rPr>
        <w:drawing>
          <wp:inline distT="0" distB="0" distL="0" distR="0" wp14:anchorId="79ABFCB4" wp14:editId="560A8EA9">
            <wp:extent cx="5746553" cy="213995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5"/>
                    <a:srcRect t="3687"/>
                    <a:stretch/>
                  </pic:blipFill>
                  <pic:spPr bwMode="auto">
                    <a:xfrm>
                      <a:off x="0" y="0"/>
                      <a:ext cx="5752468" cy="2142153"/>
                    </a:xfrm>
                    <a:prstGeom prst="rect">
                      <a:avLst/>
                    </a:prstGeom>
                    <a:ln>
                      <a:noFill/>
                    </a:ln>
                    <a:extLst>
                      <a:ext uri="{53640926-AAD7-44D8-BBD7-CCE9431645EC}">
                        <a14:shadowObscured xmlns:a14="http://schemas.microsoft.com/office/drawing/2010/main"/>
                      </a:ext>
                    </a:extLst>
                  </pic:spPr>
                </pic:pic>
              </a:graphicData>
            </a:graphic>
          </wp:inline>
        </w:drawing>
      </w:r>
    </w:p>
    <w:p w14:paraId="1E896C08" w14:textId="77777777" w:rsidR="00D06EC5" w:rsidRDefault="00D06EC5" w:rsidP="00D06EC5"/>
    <w:p w14:paraId="19022947" w14:textId="1E4DAE29" w:rsidR="00D06EC5" w:rsidRPr="00702E2E" w:rsidRDefault="00093A23" w:rsidP="00D06EC5">
      <w:pPr>
        <w:spacing w:line="360" w:lineRule="auto"/>
      </w:pPr>
      <w:r>
        <w:t>Timing mismatches are</w:t>
      </w:r>
      <w:r w:rsidR="00D06EC5">
        <w:t xml:space="preserve"> likely</w:t>
      </w:r>
      <w:r w:rsidR="006317BB">
        <w:t xml:space="preserve"> to</w:t>
      </w:r>
      <w:r w:rsidR="00D06EC5">
        <w:t xml:space="preserve"> result in </w:t>
      </w:r>
      <w:r>
        <w:t>an overstatement of</w:t>
      </w:r>
      <w:r w:rsidR="00D06EC5">
        <w:t xml:space="preserve"> </w:t>
      </w:r>
      <w:r w:rsidR="00D06EC5" w:rsidRPr="00702E2E">
        <w:t>non</w:t>
      </w:r>
      <w:r w:rsidR="00D06EC5" w:rsidRPr="00702E2E">
        <w:noBreakHyphen/>
        <w:t xml:space="preserve">compliance for </w:t>
      </w:r>
      <w:r w:rsidR="00D06EC5">
        <w:t>a large proportion of</w:t>
      </w:r>
      <w:r w:rsidR="00D06EC5" w:rsidRPr="00702E2E">
        <w:t xml:space="preserve"> new entrants to the workforce and all people returning to work after a break. </w:t>
      </w:r>
      <w:r>
        <w:t>As with</w:t>
      </w:r>
      <w:r w:rsidR="00D06EC5" w:rsidRPr="00702E2E">
        <w:t xml:space="preserve"> the</w:t>
      </w:r>
      <w:r w:rsidR="00B35F56">
        <w:t xml:space="preserve"> ordinary time earnings</w:t>
      </w:r>
      <w:r w:rsidR="00D06EC5" w:rsidRPr="00702E2E">
        <w:t xml:space="preserve"> issue, </w:t>
      </w:r>
      <w:r>
        <w:t>this</w:t>
      </w:r>
      <w:r w:rsidRPr="00702E2E">
        <w:t xml:space="preserve"> </w:t>
      </w:r>
      <w:r w:rsidR="00D06EC5" w:rsidRPr="00702E2E">
        <w:t>issue has a much smaller impact on the aggregate estimate of unpaid superannuation guarantee</w:t>
      </w:r>
      <w:r w:rsidR="0054760D">
        <w:t xml:space="preserve"> </w:t>
      </w:r>
      <w:r w:rsidR="006317BB">
        <w:t xml:space="preserve">than </w:t>
      </w:r>
      <w:r w:rsidR="0054760D">
        <w:t>the defined benefits issue</w:t>
      </w:r>
      <w:r w:rsidR="00D06EC5" w:rsidRPr="00702E2E">
        <w:t>.</w:t>
      </w:r>
      <w:r>
        <w:t xml:space="preserve"> </w:t>
      </w:r>
    </w:p>
    <w:p w14:paraId="02F64F61" w14:textId="77777777" w:rsidR="00D06EC5" w:rsidRPr="00702E2E" w:rsidRDefault="00D06EC5" w:rsidP="008E2C85">
      <w:pPr>
        <w:pStyle w:val="Heading4"/>
      </w:pPr>
      <w:r w:rsidRPr="00702E2E">
        <w:t>Errors in self</w:t>
      </w:r>
      <w:r w:rsidRPr="00702E2E">
        <w:noBreakHyphen/>
        <w:t>reported data</w:t>
      </w:r>
    </w:p>
    <w:p w14:paraId="3E4FF3C3" w14:textId="77777777" w:rsidR="00D06EC5" w:rsidRPr="00702E2E" w:rsidRDefault="00D06EC5" w:rsidP="00D06EC5">
      <w:pPr>
        <w:spacing w:line="360" w:lineRule="auto"/>
      </w:pPr>
      <w:r w:rsidRPr="00702E2E">
        <w:t>The ISA analysis of unpaid superannuation guarantee relies on self</w:t>
      </w:r>
      <w:r w:rsidRPr="00702E2E">
        <w:noBreakHyphen/>
        <w:t xml:space="preserve">reported data in individuals’ tax returns which can have data entry errors. </w:t>
      </w:r>
    </w:p>
    <w:p w14:paraId="1C474A2C" w14:textId="251F0FB9" w:rsidR="00D06EC5" w:rsidRDefault="00D06EC5" w:rsidP="00D06EC5">
      <w:pPr>
        <w:spacing w:line="360" w:lineRule="auto"/>
      </w:pPr>
      <w:r w:rsidRPr="00702E2E">
        <w:t xml:space="preserve">An examination of the unit record tax return, PAYG </w:t>
      </w:r>
      <w:r w:rsidR="00732D06">
        <w:t>w</w:t>
      </w:r>
      <w:r w:rsidR="00870B91">
        <w:t xml:space="preserve">ithholding </w:t>
      </w:r>
      <w:r w:rsidRPr="00702E2E">
        <w:t>and member contributions statement data suggests some individuals mistakenly enter all employer contributions – superannuation guarantee plus salary sacrifice contributions – instead of just their salary sacrifice contributions at the ‘</w:t>
      </w:r>
      <w:r w:rsidRPr="00702E2E">
        <w:rPr>
          <w:i/>
          <w:iCs/>
        </w:rPr>
        <w:t>Reportable employer superannuation contributions</w:t>
      </w:r>
      <w:r w:rsidRPr="00702E2E">
        <w:t>’ label in the tax return. This error does not affect taxable income and can have limited impact on tax liabilities for the lodger. However, using the ISA’s methodology it could lead to an underestimate of the true amount of superannuation guarantee paid to the employee</w:t>
      </w:r>
      <w:r>
        <w:t>, and biases upwards ISA’s estimate of the extent to which employers are using salary sacrifice to cover their superannuation guarantee obligations</w:t>
      </w:r>
      <w:r w:rsidRPr="00702E2E">
        <w:t xml:space="preserve">. </w:t>
      </w:r>
    </w:p>
    <w:p w14:paraId="75F54BA7" w14:textId="33AAE1DB" w:rsidR="00D06EC5" w:rsidRPr="00702E2E" w:rsidRDefault="00D06EC5" w:rsidP="00D06EC5">
      <w:pPr>
        <w:spacing w:line="360" w:lineRule="auto"/>
      </w:pPr>
      <w:r>
        <w:t>R</w:t>
      </w:r>
      <w:r w:rsidRPr="00702E2E">
        <w:t xml:space="preserve">eported salary sacrifice contributions in tax returns are about $300 million larger than in PAYG </w:t>
      </w:r>
      <w:r w:rsidR="00732D06">
        <w:t>w</w:t>
      </w:r>
      <w:r w:rsidR="005D1A1F">
        <w:t xml:space="preserve">ithholding </w:t>
      </w:r>
      <w:r w:rsidRPr="00702E2E">
        <w:t>statements in 2013</w:t>
      </w:r>
      <w:r w:rsidRPr="00702E2E">
        <w:noBreakHyphen/>
        <w:t>14.</w:t>
      </w:r>
      <w:r>
        <w:t xml:space="preserve"> Further, around 250,000 individuals reported salary sacrifice amounts in their tax return that exceeded the total employer superannuation received for the 2013-14 tax year.</w:t>
      </w:r>
    </w:p>
    <w:p w14:paraId="5E64456B" w14:textId="77777777" w:rsidR="00D06EC5" w:rsidRDefault="00D06EC5" w:rsidP="00D06EC5">
      <w:pPr>
        <w:spacing w:line="360" w:lineRule="auto"/>
      </w:pPr>
      <w:r w:rsidRPr="00702E2E">
        <w:t xml:space="preserve">Assuming the $300 million </w:t>
      </w:r>
      <w:r>
        <w:t xml:space="preserve">in salary sacrificed contributions reported </w:t>
      </w:r>
      <w:r w:rsidRPr="00702E2E">
        <w:t xml:space="preserve">in tax returns </w:t>
      </w:r>
      <w:r>
        <w:t xml:space="preserve">but not in employer payment summaries </w:t>
      </w:r>
      <w:r w:rsidRPr="00702E2E">
        <w:t xml:space="preserve">is entirely due to data entry errors of this type, ISA would overestimate the </w:t>
      </w:r>
      <w:r>
        <w:t xml:space="preserve">extent to which employers are using salary sacrifice to meet their superannuation guarantee obligations </w:t>
      </w:r>
      <w:r w:rsidRPr="00702E2E">
        <w:t xml:space="preserve">by the same amount.  </w:t>
      </w:r>
    </w:p>
    <w:p w14:paraId="47C80E89" w14:textId="77777777" w:rsidR="00D06EC5" w:rsidRPr="00702E2E" w:rsidRDefault="00D06EC5" w:rsidP="00D06EC5">
      <w:pPr>
        <w:spacing w:line="360" w:lineRule="auto"/>
      </w:pPr>
      <w:r w:rsidRPr="00702E2E">
        <w:t xml:space="preserve">For example, in the hypothetical case presented in </w:t>
      </w:r>
      <w:r w:rsidR="00E52E32">
        <w:t>the table</w:t>
      </w:r>
      <w:r w:rsidRPr="00702E2E">
        <w:t xml:space="preserve"> below, the data leads to the amount of superannuation guarantee paid being underestimated by $9,500. This would also lead to ISA overestimating the extent to which employers are using salary sacrifice to cover their superannuation guarantee obligations.</w:t>
      </w:r>
      <w:r w:rsidRPr="00643524">
        <w:t xml:space="preserve"> </w:t>
      </w:r>
    </w:p>
    <w:p w14:paraId="60E2707D" w14:textId="77777777" w:rsidR="00D06EC5" w:rsidRPr="00702E2E" w:rsidRDefault="00D06EC5" w:rsidP="00D06EC5">
      <w:pPr>
        <w:keepNext/>
        <w:rPr>
          <w:b/>
        </w:rPr>
      </w:pPr>
      <w:r w:rsidRPr="00702E2E">
        <w:rPr>
          <w:b/>
        </w:rPr>
        <w:t>Table</w:t>
      </w:r>
      <w:r w:rsidR="00E52E32">
        <w:rPr>
          <w:b/>
        </w:rPr>
        <w:t xml:space="preserve"> </w:t>
      </w:r>
      <w:r w:rsidRPr="00702E2E">
        <w:rPr>
          <w:b/>
        </w:rPr>
        <w:t>: Example of errors in self</w:t>
      </w:r>
      <w:r w:rsidRPr="00702E2E">
        <w:rPr>
          <w:b/>
        </w:rPr>
        <w:noBreakHyphen/>
        <w:t>reported data affecting unpaid superannuation guarantee estimates</w:t>
      </w: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bottom w:w="113" w:type="dxa"/>
        </w:tblCellMar>
        <w:tblLook w:val="04A0" w:firstRow="1" w:lastRow="0" w:firstColumn="1" w:lastColumn="0" w:noHBand="0" w:noVBand="1"/>
      </w:tblPr>
      <w:tblGrid>
        <w:gridCol w:w="585"/>
        <w:gridCol w:w="4825"/>
        <w:gridCol w:w="1939"/>
        <w:gridCol w:w="1937"/>
      </w:tblGrid>
      <w:tr w:rsidR="00D06EC5" w:rsidRPr="00702E2E" w14:paraId="58BE91B2" w14:textId="77777777" w:rsidTr="00D06EC5">
        <w:tc>
          <w:tcPr>
            <w:tcW w:w="2913" w:type="pct"/>
            <w:gridSpan w:val="2"/>
            <w:vAlign w:val="center"/>
          </w:tcPr>
          <w:p w14:paraId="6A0259A1" w14:textId="77777777" w:rsidR="00D06EC5" w:rsidRPr="00702E2E" w:rsidRDefault="00D06EC5" w:rsidP="00D06EC5">
            <w:pPr>
              <w:keepNext/>
            </w:pPr>
          </w:p>
        </w:tc>
        <w:tc>
          <w:tcPr>
            <w:tcW w:w="1044" w:type="pct"/>
            <w:vAlign w:val="center"/>
          </w:tcPr>
          <w:p w14:paraId="773556BE" w14:textId="77777777" w:rsidR="00D06EC5" w:rsidRPr="00702E2E" w:rsidRDefault="00D06EC5" w:rsidP="00D06EC5">
            <w:pPr>
              <w:keepNext/>
              <w:jc w:val="right"/>
              <w:rPr>
                <w:b/>
              </w:rPr>
            </w:pPr>
            <w:r w:rsidRPr="00702E2E">
              <w:rPr>
                <w:b/>
              </w:rPr>
              <w:t xml:space="preserve">Error in </w:t>
            </w:r>
          </w:p>
          <w:p w14:paraId="544DAE62" w14:textId="77777777" w:rsidR="00D06EC5" w:rsidRPr="00702E2E" w:rsidRDefault="00D06EC5" w:rsidP="00D06EC5">
            <w:pPr>
              <w:keepNext/>
              <w:jc w:val="right"/>
              <w:rPr>
                <w:b/>
              </w:rPr>
            </w:pPr>
            <w:r w:rsidRPr="00702E2E">
              <w:rPr>
                <w:b/>
              </w:rPr>
              <w:t>reporting</w:t>
            </w:r>
          </w:p>
        </w:tc>
        <w:tc>
          <w:tcPr>
            <w:tcW w:w="1043" w:type="pct"/>
            <w:vAlign w:val="center"/>
          </w:tcPr>
          <w:p w14:paraId="4327CD14" w14:textId="77777777" w:rsidR="00D06EC5" w:rsidRPr="00702E2E" w:rsidRDefault="00D06EC5" w:rsidP="00D06EC5">
            <w:pPr>
              <w:keepNext/>
              <w:jc w:val="right"/>
              <w:rPr>
                <w:b/>
              </w:rPr>
            </w:pPr>
            <w:r w:rsidRPr="00702E2E">
              <w:rPr>
                <w:b/>
              </w:rPr>
              <w:t xml:space="preserve">Correct </w:t>
            </w:r>
          </w:p>
          <w:p w14:paraId="68F34C2F" w14:textId="77777777" w:rsidR="00D06EC5" w:rsidRPr="00702E2E" w:rsidRDefault="00D06EC5" w:rsidP="00D06EC5">
            <w:pPr>
              <w:keepNext/>
              <w:jc w:val="right"/>
              <w:rPr>
                <w:b/>
              </w:rPr>
            </w:pPr>
            <w:r w:rsidRPr="00702E2E">
              <w:rPr>
                <w:b/>
              </w:rPr>
              <w:t>reporting</w:t>
            </w:r>
          </w:p>
        </w:tc>
      </w:tr>
      <w:tr w:rsidR="00D06EC5" w:rsidRPr="00702E2E" w14:paraId="66C72E1B" w14:textId="77777777" w:rsidTr="00D06EC5">
        <w:tc>
          <w:tcPr>
            <w:tcW w:w="5000" w:type="pct"/>
            <w:gridSpan w:val="4"/>
            <w:vAlign w:val="center"/>
          </w:tcPr>
          <w:p w14:paraId="21E845B6" w14:textId="77777777" w:rsidR="00D06EC5" w:rsidRPr="00702E2E" w:rsidRDefault="00D06EC5" w:rsidP="00D06EC5">
            <w:pPr>
              <w:keepNext/>
              <w:rPr>
                <w:b/>
              </w:rPr>
            </w:pPr>
            <w:r w:rsidRPr="00702E2E">
              <w:rPr>
                <w:b/>
              </w:rPr>
              <w:t>Actual wages and contributions</w:t>
            </w:r>
          </w:p>
        </w:tc>
      </w:tr>
      <w:tr w:rsidR="00D06EC5" w:rsidRPr="00702E2E" w14:paraId="42E5F8B0" w14:textId="77777777" w:rsidTr="00D06EC5">
        <w:trPr>
          <w:trHeight w:val="70"/>
        </w:trPr>
        <w:tc>
          <w:tcPr>
            <w:tcW w:w="315" w:type="pct"/>
            <w:vAlign w:val="center"/>
          </w:tcPr>
          <w:p w14:paraId="0240BD98" w14:textId="77777777" w:rsidR="00D06EC5" w:rsidRPr="00702E2E" w:rsidRDefault="00D06EC5" w:rsidP="00D06EC5">
            <w:pPr>
              <w:keepNext/>
            </w:pPr>
            <w:r w:rsidRPr="00702E2E">
              <w:t>(1)</w:t>
            </w:r>
          </w:p>
        </w:tc>
        <w:tc>
          <w:tcPr>
            <w:tcW w:w="2598" w:type="pct"/>
            <w:vAlign w:val="center"/>
          </w:tcPr>
          <w:p w14:paraId="08B62665" w14:textId="77777777" w:rsidR="00D06EC5" w:rsidRPr="00702E2E" w:rsidRDefault="00D06EC5" w:rsidP="00D06EC5">
            <w:pPr>
              <w:keepNext/>
            </w:pPr>
            <w:r w:rsidRPr="00702E2E">
              <w:t>Wage income – actual</w:t>
            </w:r>
          </w:p>
        </w:tc>
        <w:tc>
          <w:tcPr>
            <w:tcW w:w="2087" w:type="pct"/>
            <w:gridSpan w:val="2"/>
            <w:vAlign w:val="center"/>
          </w:tcPr>
          <w:p w14:paraId="4EEBB0AF" w14:textId="77777777" w:rsidR="00D06EC5" w:rsidRPr="00702E2E" w:rsidRDefault="00D06EC5" w:rsidP="00D06EC5">
            <w:pPr>
              <w:keepNext/>
              <w:jc w:val="center"/>
            </w:pPr>
            <w:r w:rsidRPr="00702E2E">
              <w:t>$90,000</w:t>
            </w:r>
          </w:p>
        </w:tc>
      </w:tr>
      <w:tr w:rsidR="00D06EC5" w:rsidRPr="00702E2E" w14:paraId="55D3B779" w14:textId="77777777" w:rsidTr="00D06EC5">
        <w:tc>
          <w:tcPr>
            <w:tcW w:w="315" w:type="pct"/>
            <w:vAlign w:val="center"/>
          </w:tcPr>
          <w:p w14:paraId="0B8261AA" w14:textId="77777777" w:rsidR="00D06EC5" w:rsidRPr="00702E2E" w:rsidRDefault="00D06EC5" w:rsidP="00D06EC5">
            <w:pPr>
              <w:keepNext/>
            </w:pPr>
            <w:r w:rsidRPr="00702E2E">
              <w:t>(2)</w:t>
            </w:r>
          </w:p>
        </w:tc>
        <w:tc>
          <w:tcPr>
            <w:tcW w:w="2598" w:type="pct"/>
            <w:vAlign w:val="center"/>
          </w:tcPr>
          <w:p w14:paraId="23E9758D" w14:textId="77777777" w:rsidR="00D06EC5" w:rsidRPr="00702E2E" w:rsidRDefault="00D06EC5" w:rsidP="00D06EC5">
            <w:pPr>
              <w:keepNext/>
            </w:pPr>
            <w:r w:rsidRPr="00702E2E">
              <w:t>Superannuation Guarantee – actual</w:t>
            </w:r>
          </w:p>
        </w:tc>
        <w:tc>
          <w:tcPr>
            <w:tcW w:w="2087" w:type="pct"/>
            <w:gridSpan w:val="2"/>
            <w:vAlign w:val="center"/>
          </w:tcPr>
          <w:p w14:paraId="4E4F5DF1" w14:textId="77777777" w:rsidR="00D06EC5" w:rsidRPr="00702E2E" w:rsidRDefault="00D06EC5" w:rsidP="00D06EC5">
            <w:pPr>
              <w:keepNext/>
              <w:jc w:val="center"/>
            </w:pPr>
            <w:r w:rsidRPr="00702E2E">
              <w:t>$9,500</w:t>
            </w:r>
          </w:p>
        </w:tc>
      </w:tr>
      <w:tr w:rsidR="00D06EC5" w:rsidRPr="00702E2E" w14:paraId="6E587F6D" w14:textId="77777777" w:rsidTr="00D06EC5">
        <w:tc>
          <w:tcPr>
            <w:tcW w:w="315" w:type="pct"/>
            <w:vAlign w:val="center"/>
          </w:tcPr>
          <w:p w14:paraId="36327D64" w14:textId="77777777" w:rsidR="00D06EC5" w:rsidRPr="00702E2E" w:rsidRDefault="00D06EC5" w:rsidP="00D06EC5">
            <w:pPr>
              <w:keepNext/>
            </w:pPr>
            <w:r w:rsidRPr="00702E2E">
              <w:t>(3)</w:t>
            </w:r>
          </w:p>
        </w:tc>
        <w:tc>
          <w:tcPr>
            <w:tcW w:w="2598" w:type="pct"/>
            <w:vAlign w:val="center"/>
          </w:tcPr>
          <w:p w14:paraId="4A013666" w14:textId="77777777" w:rsidR="00D06EC5" w:rsidRPr="00702E2E" w:rsidRDefault="00D06EC5" w:rsidP="00D06EC5">
            <w:pPr>
              <w:keepNext/>
            </w:pPr>
            <w:r w:rsidRPr="00702E2E">
              <w:t xml:space="preserve">Salary sacrifice contributions – actual </w:t>
            </w:r>
          </w:p>
        </w:tc>
        <w:tc>
          <w:tcPr>
            <w:tcW w:w="2087" w:type="pct"/>
            <w:gridSpan w:val="2"/>
            <w:vAlign w:val="center"/>
          </w:tcPr>
          <w:p w14:paraId="2B90D56D" w14:textId="77777777" w:rsidR="00D06EC5" w:rsidRPr="00702E2E" w:rsidRDefault="00D06EC5" w:rsidP="00D06EC5">
            <w:pPr>
              <w:keepNext/>
              <w:jc w:val="center"/>
            </w:pPr>
            <w:r w:rsidRPr="00702E2E">
              <w:t>$10,000</w:t>
            </w:r>
          </w:p>
        </w:tc>
      </w:tr>
      <w:tr w:rsidR="00D06EC5" w:rsidRPr="00702E2E" w14:paraId="2C66BB44" w14:textId="77777777" w:rsidTr="00D06EC5">
        <w:tc>
          <w:tcPr>
            <w:tcW w:w="315" w:type="pct"/>
            <w:vAlign w:val="center"/>
          </w:tcPr>
          <w:p w14:paraId="541D67B7" w14:textId="77777777" w:rsidR="00D06EC5" w:rsidRPr="00702E2E" w:rsidRDefault="00D06EC5" w:rsidP="00D06EC5">
            <w:pPr>
              <w:keepNext/>
            </w:pPr>
            <w:r w:rsidRPr="00702E2E">
              <w:t>(4)</w:t>
            </w:r>
          </w:p>
        </w:tc>
        <w:tc>
          <w:tcPr>
            <w:tcW w:w="2598" w:type="pct"/>
            <w:vAlign w:val="center"/>
          </w:tcPr>
          <w:p w14:paraId="0720BFB6" w14:textId="77777777" w:rsidR="00D06EC5" w:rsidRPr="00702E2E" w:rsidRDefault="00D06EC5" w:rsidP="00D06EC5">
            <w:pPr>
              <w:keepNext/>
            </w:pPr>
            <w:r w:rsidRPr="00702E2E">
              <w:t>Total employer contributions – actual</w:t>
            </w:r>
          </w:p>
        </w:tc>
        <w:tc>
          <w:tcPr>
            <w:tcW w:w="2087" w:type="pct"/>
            <w:gridSpan w:val="2"/>
            <w:vAlign w:val="center"/>
          </w:tcPr>
          <w:p w14:paraId="0E674FA2" w14:textId="77777777" w:rsidR="00D06EC5" w:rsidRPr="00702E2E" w:rsidRDefault="00D06EC5" w:rsidP="00D06EC5">
            <w:pPr>
              <w:keepNext/>
              <w:jc w:val="center"/>
            </w:pPr>
            <w:r w:rsidRPr="00702E2E">
              <w:t>$19,500</w:t>
            </w:r>
          </w:p>
        </w:tc>
      </w:tr>
      <w:tr w:rsidR="00D06EC5" w:rsidRPr="00702E2E" w14:paraId="153E977E" w14:textId="77777777" w:rsidTr="00D06EC5">
        <w:trPr>
          <w:trHeight w:val="242"/>
        </w:trPr>
        <w:tc>
          <w:tcPr>
            <w:tcW w:w="5000" w:type="pct"/>
            <w:gridSpan w:val="4"/>
            <w:vAlign w:val="center"/>
          </w:tcPr>
          <w:p w14:paraId="7C2AE921" w14:textId="77777777" w:rsidR="00D06EC5" w:rsidRPr="00702E2E" w:rsidRDefault="00D06EC5" w:rsidP="00D06EC5">
            <w:pPr>
              <w:keepNext/>
              <w:rPr>
                <w:b/>
              </w:rPr>
            </w:pPr>
            <w:r w:rsidRPr="00702E2E">
              <w:rPr>
                <w:b/>
              </w:rPr>
              <w:t>Self</w:t>
            </w:r>
            <w:r w:rsidRPr="00702E2E">
              <w:rPr>
                <w:b/>
              </w:rPr>
              <w:noBreakHyphen/>
              <w:t>reported wages and contributions</w:t>
            </w:r>
          </w:p>
        </w:tc>
      </w:tr>
      <w:tr w:rsidR="00D06EC5" w:rsidRPr="00702E2E" w14:paraId="5BDDCC5C" w14:textId="77777777" w:rsidTr="00D06EC5">
        <w:tc>
          <w:tcPr>
            <w:tcW w:w="315" w:type="pct"/>
            <w:vAlign w:val="center"/>
          </w:tcPr>
          <w:p w14:paraId="1D468408" w14:textId="77777777" w:rsidR="00D06EC5" w:rsidRPr="00702E2E" w:rsidRDefault="00D06EC5" w:rsidP="00D06EC5">
            <w:pPr>
              <w:keepNext/>
            </w:pPr>
            <w:r w:rsidRPr="00702E2E">
              <w:t>(5)</w:t>
            </w:r>
          </w:p>
        </w:tc>
        <w:tc>
          <w:tcPr>
            <w:tcW w:w="2598" w:type="pct"/>
            <w:vAlign w:val="center"/>
          </w:tcPr>
          <w:p w14:paraId="3543F6C8" w14:textId="77777777" w:rsidR="00D06EC5" w:rsidRPr="00702E2E" w:rsidRDefault="00D06EC5" w:rsidP="00D06EC5">
            <w:pPr>
              <w:keepNext/>
            </w:pPr>
            <w:r w:rsidRPr="00702E2E">
              <w:t>Wage income – reported on tax return</w:t>
            </w:r>
          </w:p>
        </w:tc>
        <w:tc>
          <w:tcPr>
            <w:tcW w:w="1044" w:type="pct"/>
            <w:vAlign w:val="center"/>
          </w:tcPr>
          <w:p w14:paraId="0B5F2243" w14:textId="77777777" w:rsidR="00D06EC5" w:rsidRPr="00702E2E" w:rsidRDefault="00D06EC5" w:rsidP="00D06EC5">
            <w:pPr>
              <w:keepNext/>
              <w:jc w:val="right"/>
            </w:pPr>
            <w:r w:rsidRPr="00702E2E">
              <w:t>$90,000</w:t>
            </w:r>
          </w:p>
        </w:tc>
        <w:tc>
          <w:tcPr>
            <w:tcW w:w="1043" w:type="pct"/>
            <w:vAlign w:val="center"/>
          </w:tcPr>
          <w:p w14:paraId="5BB22261" w14:textId="77777777" w:rsidR="00D06EC5" w:rsidRPr="00702E2E" w:rsidRDefault="00D06EC5" w:rsidP="00D06EC5">
            <w:pPr>
              <w:keepNext/>
              <w:jc w:val="right"/>
            </w:pPr>
            <w:r w:rsidRPr="00702E2E">
              <w:t>$90,000</w:t>
            </w:r>
          </w:p>
        </w:tc>
      </w:tr>
      <w:tr w:rsidR="00D06EC5" w:rsidRPr="00702E2E" w14:paraId="09940CE7" w14:textId="77777777" w:rsidTr="00D06EC5">
        <w:tc>
          <w:tcPr>
            <w:tcW w:w="315" w:type="pct"/>
            <w:vAlign w:val="center"/>
          </w:tcPr>
          <w:p w14:paraId="66F5DF8E" w14:textId="77777777" w:rsidR="00D06EC5" w:rsidRPr="00702E2E" w:rsidRDefault="00D06EC5" w:rsidP="00D06EC5">
            <w:pPr>
              <w:keepNext/>
              <w:rPr>
                <w:b/>
              </w:rPr>
            </w:pPr>
            <w:r w:rsidRPr="00702E2E">
              <w:rPr>
                <w:b/>
              </w:rPr>
              <w:t>(6)</w:t>
            </w:r>
          </w:p>
        </w:tc>
        <w:tc>
          <w:tcPr>
            <w:tcW w:w="2598" w:type="pct"/>
            <w:vAlign w:val="center"/>
          </w:tcPr>
          <w:p w14:paraId="018E2747" w14:textId="77777777" w:rsidR="00D06EC5" w:rsidRPr="00702E2E" w:rsidRDefault="00D06EC5" w:rsidP="00D06EC5">
            <w:pPr>
              <w:keepNext/>
              <w:rPr>
                <w:b/>
              </w:rPr>
            </w:pPr>
            <w:r w:rsidRPr="00702E2E">
              <w:rPr>
                <w:b/>
              </w:rPr>
              <w:t>Salary sacrifice – reported on tax return</w:t>
            </w:r>
          </w:p>
        </w:tc>
        <w:tc>
          <w:tcPr>
            <w:tcW w:w="1044" w:type="pct"/>
            <w:vAlign w:val="center"/>
          </w:tcPr>
          <w:p w14:paraId="4585765B" w14:textId="77777777" w:rsidR="00D06EC5" w:rsidRPr="00702E2E" w:rsidRDefault="00D06EC5" w:rsidP="00D06EC5">
            <w:pPr>
              <w:keepNext/>
              <w:jc w:val="right"/>
              <w:rPr>
                <w:b/>
              </w:rPr>
            </w:pPr>
            <w:r w:rsidRPr="00702E2E">
              <w:rPr>
                <w:b/>
              </w:rPr>
              <w:t>$19,500</w:t>
            </w:r>
          </w:p>
        </w:tc>
        <w:tc>
          <w:tcPr>
            <w:tcW w:w="1043" w:type="pct"/>
            <w:vAlign w:val="center"/>
          </w:tcPr>
          <w:p w14:paraId="2C1A574E" w14:textId="77777777" w:rsidR="00D06EC5" w:rsidRPr="00702E2E" w:rsidRDefault="00D06EC5" w:rsidP="00D06EC5">
            <w:pPr>
              <w:keepNext/>
              <w:jc w:val="right"/>
              <w:rPr>
                <w:b/>
              </w:rPr>
            </w:pPr>
            <w:r w:rsidRPr="00702E2E">
              <w:rPr>
                <w:b/>
              </w:rPr>
              <w:t>$10,000</w:t>
            </w:r>
          </w:p>
        </w:tc>
      </w:tr>
      <w:tr w:rsidR="00D06EC5" w:rsidRPr="00702E2E" w14:paraId="16F8BDFB" w14:textId="77777777" w:rsidTr="00D06EC5">
        <w:tc>
          <w:tcPr>
            <w:tcW w:w="315" w:type="pct"/>
            <w:vAlign w:val="center"/>
          </w:tcPr>
          <w:p w14:paraId="0FBFAAED" w14:textId="77777777" w:rsidR="00D06EC5" w:rsidRPr="00702E2E" w:rsidRDefault="00D06EC5" w:rsidP="00D06EC5">
            <w:pPr>
              <w:keepNext/>
            </w:pPr>
            <w:r w:rsidRPr="00702E2E">
              <w:t>(7)</w:t>
            </w:r>
          </w:p>
        </w:tc>
        <w:tc>
          <w:tcPr>
            <w:tcW w:w="2598" w:type="pct"/>
            <w:vAlign w:val="center"/>
          </w:tcPr>
          <w:p w14:paraId="470CF1A2" w14:textId="77777777" w:rsidR="00D06EC5" w:rsidRPr="00702E2E" w:rsidRDefault="00D06EC5" w:rsidP="00D06EC5">
            <w:pPr>
              <w:keepNext/>
            </w:pPr>
            <w:r w:rsidRPr="00702E2E">
              <w:t xml:space="preserve">Employer contributions – MCS </w:t>
            </w:r>
          </w:p>
        </w:tc>
        <w:tc>
          <w:tcPr>
            <w:tcW w:w="1044" w:type="pct"/>
            <w:vAlign w:val="center"/>
          </w:tcPr>
          <w:p w14:paraId="569E9BC8" w14:textId="77777777" w:rsidR="00D06EC5" w:rsidRPr="00702E2E" w:rsidRDefault="00D06EC5" w:rsidP="00D06EC5">
            <w:pPr>
              <w:keepNext/>
              <w:jc w:val="right"/>
            </w:pPr>
            <w:r w:rsidRPr="00702E2E">
              <w:t>$19,500</w:t>
            </w:r>
          </w:p>
        </w:tc>
        <w:tc>
          <w:tcPr>
            <w:tcW w:w="1043" w:type="pct"/>
            <w:vAlign w:val="center"/>
          </w:tcPr>
          <w:p w14:paraId="1DCB2FE2" w14:textId="77777777" w:rsidR="00D06EC5" w:rsidRPr="00702E2E" w:rsidRDefault="00D06EC5" w:rsidP="00D06EC5">
            <w:pPr>
              <w:keepNext/>
              <w:jc w:val="right"/>
            </w:pPr>
            <w:r w:rsidRPr="00702E2E">
              <w:t>$19,500</w:t>
            </w:r>
          </w:p>
        </w:tc>
      </w:tr>
      <w:tr w:rsidR="00D06EC5" w:rsidRPr="00702E2E" w14:paraId="26394203" w14:textId="77777777" w:rsidTr="00D06EC5">
        <w:tc>
          <w:tcPr>
            <w:tcW w:w="5000" w:type="pct"/>
            <w:gridSpan w:val="4"/>
            <w:vAlign w:val="center"/>
          </w:tcPr>
          <w:p w14:paraId="5F9D0798" w14:textId="77777777" w:rsidR="00D06EC5" w:rsidRPr="00702E2E" w:rsidRDefault="00D06EC5" w:rsidP="00D06EC5">
            <w:pPr>
              <w:keepNext/>
              <w:rPr>
                <w:b/>
              </w:rPr>
            </w:pPr>
            <w:r w:rsidRPr="00702E2E">
              <w:rPr>
                <w:b/>
              </w:rPr>
              <w:t>ISA estimates of unpaid</w:t>
            </w:r>
            <w:r>
              <w:rPr>
                <w:b/>
              </w:rPr>
              <w:t xml:space="preserve"> superannuation guarantee</w:t>
            </w:r>
          </w:p>
        </w:tc>
      </w:tr>
      <w:tr w:rsidR="00D06EC5" w:rsidRPr="00702E2E" w14:paraId="5AE43659" w14:textId="77777777" w:rsidTr="00D06EC5">
        <w:tc>
          <w:tcPr>
            <w:tcW w:w="315" w:type="pct"/>
            <w:vAlign w:val="center"/>
          </w:tcPr>
          <w:p w14:paraId="7DA6473A" w14:textId="77777777" w:rsidR="00D06EC5" w:rsidRPr="00702E2E" w:rsidRDefault="00D06EC5" w:rsidP="00D06EC5">
            <w:pPr>
              <w:keepNext/>
            </w:pPr>
            <w:r w:rsidRPr="00702E2E">
              <w:t>(8)</w:t>
            </w:r>
          </w:p>
        </w:tc>
        <w:tc>
          <w:tcPr>
            <w:tcW w:w="2598" w:type="pct"/>
            <w:vAlign w:val="center"/>
          </w:tcPr>
          <w:p w14:paraId="6F07699D" w14:textId="77777777" w:rsidR="00D06EC5" w:rsidRPr="00702E2E" w:rsidRDefault="00D06EC5" w:rsidP="00D06EC5">
            <w:pPr>
              <w:keepNext/>
            </w:pPr>
            <w:r w:rsidRPr="00702E2E">
              <w:t>ISA – estimate of</w:t>
            </w:r>
            <w:r>
              <w:t xml:space="preserve"> superannuation guarantee</w:t>
            </w:r>
            <w:r w:rsidRPr="00702E2E">
              <w:t xml:space="preserve"> = (7) – (6)</w:t>
            </w:r>
          </w:p>
        </w:tc>
        <w:tc>
          <w:tcPr>
            <w:tcW w:w="1044" w:type="pct"/>
            <w:vAlign w:val="center"/>
          </w:tcPr>
          <w:p w14:paraId="0A6B9B4F" w14:textId="77777777" w:rsidR="00D06EC5" w:rsidRPr="00702E2E" w:rsidRDefault="00D06EC5" w:rsidP="00D06EC5">
            <w:pPr>
              <w:keepNext/>
              <w:jc w:val="right"/>
            </w:pPr>
            <w:r w:rsidRPr="00702E2E">
              <w:t>$0</w:t>
            </w:r>
          </w:p>
        </w:tc>
        <w:tc>
          <w:tcPr>
            <w:tcW w:w="1043" w:type="pct"/>
            <w:vAlign w:val="center"/>
          </w:tcPr>
          <w:p w14:paraId="5D31CF22" w14:textId="77777777" w:rsidR="00D06EC5" w:rsidRPr="00702E2E" w:rsidRDefault="00D06EC5" w:rsidP="00D06EC5">
            <w:pPr>
              <w:keepNext/>
              <w:jc w:val="right"/>
            </w:pPr>
            <w:r w:rsidRPr="00702E2E">
              <w:t>$9,500</w:t>
            </w:r>
          </w:p>
        </w:tc>
      </w:tr>
      <w:tr w:rsidR="00D06EC5" w:rsidRPr="00702E2E" w14:paraId="0BBE0105" w14:textId="77777777" w:rsidTr="00D06EC5">
        <w:tc>
          <w:tcPr>
            <w:tcW w:w="315" w:type="pct"/>
            <w:vAlign w:val="center"/>
          </w:tcPr>
          <w:p w14:paraId="0005DCDC" w14:textId="77777777" w:rsidR="00D06EC5" w:rsidRPr="00702E2E" w:rsidRDefault="00D06EC5" w:rsidP="00D06EC5">
            <w:pPr>
              <w:keepNext/>
            </w:pPr>
            <w:r w:rsidRPr="00702E2E">
              <w:t>(9)</w:t>
            </w:r>
          </w:p>
        </w:tc>
        <w:tc>
          <w:tcPr>
            <w:tcW w:w="2598" w:type="pct"/>
            <w:vAlign w:val="center"/>
          </w:tcPr>
          <w:p w14:paraId="7BF6A64E" w14:textId="77777777" w:rsidR="00D06EC5" w:rsidRPr="00702E2E" w:rsidRDefault="00D06EC5" w:rsidP="00D06EC5">
            <w:pPr>
              <w:keepNext/>
            </w:pPr>
            <w:r w:rsidRPr="00702E2E">
              <w:t>ISA – unpaid</w:t>
            </w:r>
            <w:r>
              <w:t xml:space="preserve"> superannuation guarantee</w:t>
            </w:r>
            <w:r w:rsidRPr="00702E2E">
              <w:t xml:space="preserve"> = 9.5 per cent x (1) – (8)</w:t>
            </w:r>
          </w:p>
        </w:tc>
        <w:tc>
          <w:tcPr>
            <w:tcW w:w="1044" w:type="pct"/>
            <w:vAlign w:val="center"/>
          </w:tcPr>
          <w:p w14:paraId="4056FBFE" w14:textId="77777777" w:rsidR="00D06EC5" w:rsidRPr="00702E2E" w:rsidRDefault="00D06EC5" w:rsidP="00D06EC5">
            <w:pPr>
              <w:keepNext/>
              <w:jc w:val="right"/>
            </w:pPr>
            <w:r w:rsidRPr="00702E2E">
              <w:t>$9,500</w:t>
            </w:r>
          </w:p>
        </w:tc>
        <w:tc>
          <w:tcPr>
            <w:tcW w:w="1043" w:type="pct"/>
            <w:vAlign w:val="center"/>
          </w:tcPr>
          <w:p w14:paraId="640E1810" w14:textId="77777777" w:rsidR="00D06EC5" w:rsidRPr="00702E2E" w:rsidRDefault="00D06EC5" w:rsidP="00D06EC5">
            <w:pPr>
              <w:keepNext/>
              <w:jc w:val="right"/>
            </w:pPr>
            <w:r w:rsidRPr="00702E2E">
              <w:t>$0</w:t>
            </w:r>
          </w:p>
        </w:tc>
      </w:tr>
    </w:tbl>
    <w:p w14:paraId="1339E32D" w14:textId="77777777" w:rsidR="00D06EC5" w:rsidRDefault="00D06EC5" w:rsidP="00D06EC5">
      <w:pPr>
        <w:ind w:left="567"/>
      </w:pPr>
      <w:bookmarkStart w:id="435" w:name="_Toc473540251"/>
      <w:bookmarkStart w:id="436" w:name="_Toc473554634"/>
      <w:bookmarkStart w:id="437" w:name="_Toc473625452"/>
      <w:bookmarkStart w:id="438" w:name="_Toc473629883"/>
      <w:bookmarkStart w:id="439" w:name="_Toc473631175"/>
      <w:bookmarkStart w:id="440" w:name="_Toc473631469"/>
      <w:bookmarkStart w:id="441" w:name="_Toc473636593"/>
      <w:bookmarkStart w:id="442" w:name="_Toc473635311"/>
      <w:bookmarkStart w:id="443" w:name="_Toc472892802"/>
    </w:p>
    <w:p w14:paraId="2ECCFE54" w14:textId="77777777" w:rsidR="00D06EC5" w:rsidRPr="00702E2E" w:rsidRDefault="00D06EC5" w:rsidP="008E2C85">
      <w:pPr>
        <w:pStyle w:val="Heading3"/>
      </w:pPr>
      <w:bookmarkStart w:id="444" w:name="_Toc478403072"/>
      <w:bookmarkStart w:id="445" w:name="_Toc478485996"/>
      <w:bookmarkStart w:id="446" w:name="_Toc478502006"/>
      <w:r>
        <w:t xml:space="preserve">The </w:t>
      </w:r>
      <w:r w:rsidRPr="00702E2E">
        <w:t xml:space="preserve">ISA estimates </w:t>
      </w:r>
      <w:r>
        <w:t>are</w:t>
      </w:r>
      <w:r w:rsidRPr="00702E2E">
        <w:t xml:space="preserve"> inconsistent with </w:t>
      </w:r>
      <w:bookmarkEnd w:id="435"/>
      <w:bookmarkEnd w:id="436"/>
      <w:bookmarkEnd w:id="437"/>
      <w:bookmarkEnd w:id="438"/>
      <w:bookmarkEnd w:id="439"/>
      <w:bookmarkEnd w:id="440"/>
      <w:bookmarkEnd w:id="441"/>
      <w:bookmarkEnd w:id="442"/>
      <w:r>
        <w:t>observations from the ATO’s compliance program</w:t>
      </w:r>
      <w:bookmarkEnd w:id="443"/>
      <w:bookmarkEnd w:id="444"/>
      <w:bookmarkEnd w:id="445"/>
      <w:bookmarkEnd w:id="446"/>
    </w:p>
    <w:p w14:paraId="0945B336" w14:textId="77777777" w:rsidR="00D06EC5" w:rsidRPr="00702E2E" w:rsidRDefault="00D06EC5" w:rsidP="00D06EC5">
      <w:pPr>
        <w:spacing w:line="360" w:lineRule="auto"/>
      </w:pPr>
      <w:r w:rsidRPr="00702E2E">
        <w:t>The problems above will affect both aggregate and distributional estimates. Inconsistencies between these estimates and the facts observed from ATO compliance highlight the error margins in the ISA approach.</w:t>
      </w:r>
    </w:p>
    <w:p w14:paraId="51F8D829" w14:textId="77777777" w:rsidR="00D06EC5" w:rsidRPr="00702E2E" w:rsidRDefault="00D06EC5" w:rsidP="00AC3E4C">
      <w:pPr>
        <w:keepNext/>
        <w:spacing w:line="360" w:lineRule="auto"/>
      </w:pPr>
      <w:r w:rsidRPr="00702E2E">
        <w:t xml:space="preserve">There are three particular </w:t>
      </w:r>
      <w:r w:rsidR="00742713">
        <w:t>areas</w:t>
      </w:r>
      <w:r w:rsidR="00742713" w:rsidRPr="00702E2E">
        <w:t xml:space="preserve"> </w:t>
      </w:r>
      <w:r w:rsidRPr="00702E2E">
        <w:t>where the ISA estimates do not accord with external sources:</w:t>
      </w:r>
    </w:p>
    <w:p w14:paraId="528989EA" w14:textId="2D7F1218" w:rsidR="00D06EC5" w:rsidRPr="00702E2E" w:rsidRDefault="00B52E73" w:rsidP="00D06EC5">
      <w:pPr>
        <w:pStyle w:val="ListParagraph"/>
        <w:numPr>
          <w:ilvl w:val="0"/>
          <w:numId w:val="43"/>
        </w:numPr>
        <w:spacing w:line="360" w:lineRule="auto"/>
        <w:ind w:left="851" w:hanging="284"/>
        <w:contextualSpacing w:val="0"/>
      </w:pPr>
      <w:r>
        <w:t>t</w:t>
      </w:r>
      <w:r w:rsidR="00742713">
        <w:t>hey</w:t>
      </w:r>
      <w:r w:rsidR="00D06EC5" w:rsidRPr="00702E2E">
        <w:t xml:space="preserve"> are inconsistent with the number of employee notification cases raised </w:t>
      </w:r>
    </w:p>
    <w:p w14:paraId="017CBADE" w14:textId="305797DA" w:rsidR="00D06EC5" w:rsidRPr="00702E2E" w:rsidRDefault="00B52E73" w:rsidP="00D06EC5">
      <w:pPr>
        <w:pStyle w:val="ListParagraph"/>
        <w:numPr>
          <w:ilvl w:val="0"/>
          <w:numId w:val="43"/>
        </w:numPr>
        <w:spacing w:line="360" w:lineRule="auto"/>
        <w:ind w:left="851" w:hanging="284"/>
        <w:contextualSpacing w:val="0"/>
      </w:pPr>
      <w:r>
        <w:t>c</w:t>
      </w:r>
      <w:r w:rsidR="00D06EC5" w:rsidRPr="00702E2E">
        <w:t>ase data shows non</w:t>
      </w:r>
      <w:r w:rsidR="00D06EC5" w:rsidRPr="00702E2E">
        <w:noBreakHyphen/>
        <w:t>payment is more likely than underpayment</w:t>
      </w:r>
    </w:p>
    <w:p w14:paraId="2919767F" w14:textId="77777777" w:rsidR="00D06EC5" w:rsidRPr="00702E2E" w:rsidRDefault="00D06EC5" w:rsidP="00D06EC5">
      <w:pPr>
        <w:pStyle w:val="ListParagraph"/>
        <w:numPr>
          <w:ilvl w:val="0"/>
          <w:numId w:val="43"/>
        </w:numPr>
        <w:spacing w:line="360" w:lineRule="auto"/>
        <w:ind w:left="851" w:hanging="284"/>
        <w:contextualSpacing w:val="0"/>
      </w:pPr>
      <w:r w:rsidRPr="00702E2E">
        <w:t>ISA estimates do not match the compliance data on actual groups most significantly affected.</w:t>
      </w:r>
    </w:p>
    <w:p w14:paraId="50E3A12E" w14:textId="77777777" w:rsidR="00D06EC5" w:rsidRPr="00702E2E" w:rsidRDefault="00D06EC5" w:rsidP="008E2C85">
      <w:pPr>
        <w:pStyle w:val="Heading4"/>
      </w:pPr>
      <w:bookmarkStart w:id="447" w:name="_Toc472892803"/>
      <w:r w:rsidRPr="00702E2E">
        <w:t>ISA estimates are inconsistent with the number of employee notification cases raised</w:t>
      </w:r>
      <w:bookmarkEnd w:id="447"/>
      <w:r w:rsidRPr="00702E2E">
        <w:t xml:space="preserve"> </w:t>
      </w:r>
    </w:p>
    <w:p w14:paraId="47AB4C25" w14:textId="77777777" w:rsidR="00D06EC5" w:rsidRPr="00702E2E" w:rsidRDefault="00D06EC5" w:rsidP="00D06EC5">
      <w:pPr>
        <w:spacing w:line="360" w:lineRule="auto"/>
      </w:pPr>
      <w:r w:rsidRPr="00702E2E">
        <w:t>First, ISA estimates of the number of individuals with unpaid superannuation guarantee are substantially higher than the number of cases reported to the ATO each year. Reports of non-payment of superannuation guarantee from employees made to the ATO involve two per cent of total employers, while employers that are investigated by the ATO for non-compliance represent one per cent of the estimated 880,000 employers.</w:t>
      </w:r>
    </w:p>
    <w:p w14:paraId="1195154A" w14:textId="77777777" w:rsidR="00D06EC5" w:rsidRPr="00702E2E" w:rsidRDefault="00D06EC5" w:rsidP="00D06EC5">
      <w:pPr>
        <w:spacing w:line="360" w:lineRule="auto"/>
      </w:pPr>
      <w:r w:rsidRPr="00702E2E">
        <w:t xml:space="preserve">The ISA </w:t>
      </w:r>
      <w:r>
        <w:t>supplementary submission to the senate inquiry estimates that around 2.7</w:t>
      </w:r>
      <w:r w:rsidRPr="00702E2E">
        <w:t>5 million employees have unpaid superannuation guarantee for the 2013</w:t>
      </w:r>
      <w:r w:rsidRPr="00702E2E">
        <w:noBreakHyphen/>
        <w:t>14 year compared to the around 20,000</w:t>
      </w:r>
      <w:r>
        <w:t xml:space="preserve"> </w:t>
      </w:r>
      <w:r w:rsidRPr="00702E2E">
        <w:t xml:space="preserve">reports of unpaid superannuation guarantee made to the ATO. </w:t>
      </w:r>
      <w:r>
        <w:t xml:space="preserve">While the </w:t>
      </w:r>
      <w:r w:rsidR="001A53A7">
        <w:t>W</w:t>
      </w:r>
      <w:r>
        <w:t xml:space="preserve">orking </w:t>
      </w:r>
      <w:r w:rsidR="001A53A7">
        <w:t>G</w:t>
      </w:r>
      <w:r>
        <w:t xml:space="preserve">roup accepts that some employees </w:t>
      </w:r>
      <w:r w:rsidR="001A53A7">
        <w:t xml:space="preserve">may </w:t>
      </w:r>
      <w:r>
        <w:t>have poor visibility of superannuation guarantee payment</w:t>
      </w:r>
      <w:r w:rsidR="001A53A7">
        <w:t>s</w:t>
      </w:r>
      <w:r>
        <w:t>, i</w:t>
      </w:r>
      <w:r w:rsidRPr="00702E2E">
        <w:t xml:space="preserve">f the ISA analysis is correct </w:t>
      </w:r>
      <w:r w:rsidR="001A53A7">
        <w:t xml:space="preserve">it </w:t>
      </w:r>
      <w:r w:rsidRPr="00702E2E">
        <w:t xml:space="preserve">would mean </w:t>
      </w:r>
      <w:r>
        <w:t xml:space="preserve">well under </w:t>
      </w:r>
      <w:r w:rsidRPr="00702E2E">
        <w:t>one in a hundred cases of unpaid superannuation guarantee is reported to the ATO</w:t>
      </w:r>
      <w:r>
        <w:t>.</w:t>
      </w:r>
      <w:r w:rsidRPr="00702E2E">
        <w:t xml:space="preserve"> </w:t>
      </w:r>
      <w:r>
        <w:t>This</w:t>
      </w:r>
      <w:r w:rsidRPr="00702E2E">
        <w:t xml:space="preserve"> would appear unlikely.</w:t>
      </w:r>
    </w:p>
    <w:p w14:paraId="1F5E764D" w14:textId="77777777" w:rsidR="00D06EC5" w:rsidRPr="00702E2E" w:rsidRDefault="00D06EC5" w:rsidP="008E2C85">
      <w:pPr>
        <w:pStyle w:val="Heading4"/>
      </w:pPr>
      <w:bookmarkStart w:id="448" w:name="_Toc472892804"/>
      <w:r w:rsidRPr="00702E2E">
        <w:t>Case data shows non-payment is more likely than underpayment</w:t>
      </w:r>
      <w:bookmarkEnd w:id="448"/>
    </w:p>
    <w:p w14:paraId="05ED2737" w14:textId="77777777" w:rsidR="00D06EC5" w:rsidRPr="00702E2E" w:rsidRDefault="00D06EC5" w:rsidP="00D06EC5">
      <w:pPr>
        <w:spacing w:line="360" w:lineRule="auto"/>
      </w:pPr>
      <w:r w:rsidRPr="00702E2E">
        <w:t>Second, ISA estimates of unpaid superannuation guarantee per employee are highly inconsistent with actual unpaid superannuation guarantee per employee raised through compliance activities.</w:t>
      </w:r>
    </w:p>
    <w:p w14:paraId="76062824" w14:textId="77777777" w:rsidR="00D06EC5" w:rsidRPr="00702E2E" w:rsidRDefault="00D06EC5" w:rsidP="00D06EC5">
      <w:pPr>
        <w:spacing w:line="360" w:lineRule="auto"/>
      </w:pPr>
      <w:r w:rsidRPr="00702E2E">
        <w:t xml:space="preserve">ISA estimates </w:t>
      </w:r>
      <w:r>
        <w:t>suggest that the majority of instances of unpaid superannuation</w:t>
      </w:r>
      <w:r w:rsidRPr="00702E2E">
        <w:t xml:space="preserve"> relat</w:t>
      </w:r>
      <w:r>
        <w:t>e</w:t>
      </w:r>
      <w:r w:rsidRPr="00702E2E">
        <w:t xml:space="preserve"> to underpayment</w:t>
      </w:r>
      <w:r>
        <w:t>, rather than non-payment. This is the opposite of the evidence from the ATO’s compliance program. U</w:t>
      </w:r>
      <w:r w:rsidRPr="00702E2E">
        <w:t xml:space="preserve">sing employee notification compliance data, the ATO found that employers were twice </w:t>
      </w:r>
      <w:r>
        <w:t>as</w:t>
      </w:r>
      <w:r w:rsidRPr="00702E2E">
        <w:t xml:space="preserve"> likely</w:t>
      </w:r>
      <w:r>
        <w:t xml:space="preserve"> to</w:t>
      </w:r>
      <w:r w:rsidRPr="00702E2E">
        <w:t xml:space="preserve"> not to pay any superannuation guarantee than </w:t>
      </w:r>
      <w:r>
        <w:t xml:space="preserve">to </w:t>
      </w:r>
      <w:r w:rsidRPr="00702E2E">
        <w:t>not pay enough.</w:t>
      </w:r>
      <w:r w:rsidRPr="00702E2E" w:rsidDel="001A5BB6">
        <w:t xml:space="preserve"> </w:t>
      </w:r>
    </w:p>
    <w:p w14:paraId="653EF200" w14:textId="77777777" w:rsidR="00D06EC5" w:rsidRPr="00702E2E" w:rsidRDefault="00D06EC5" w:rsidP="008E2C85">
      <w:pPr>
        <w:pStyle w:val="Heading4"/>
      </w:pPr>
      <w:bookmarkStart w:id="449" w:name="_Toc472892805"/>
      <w:r w:rsidRPr="00702E2E">
        <w:t>ISA estimates do not match actual groups affected</w:t>
      </w:r>
      <w:bookmarkEnd w:id="449"/>
    </w:p>
    <w:p w14:paraId="3AD6CCAE" w14:textId="3DA76A7F" w:rsidR="00D06EC5" w:rsidRPr="00702E2E" w:rsidRDefault="00D06EC5" w:rsidP="00D06EC5">
      <w:pPr>
        <w:spacing w:line="360" w:lineRule="auto"/>
      </w:pPr>
      <w:r w:rsidRPr="00702E2E">
        <w:t>Third, ISA</w:t>
      </w:r>
      <w:r w:rsidR="00373442">
        <w:t>’s</w:t>
      </w:r>
      <w:r w:rsidRPr="00702E2E">
        <w:t xml:space="preserve"> results do not match the groups predominantly affected by superannuation guarantee underpayment according to ATO compliance data</w:t>
      </w:r>
      <w:r w:rsidR="00373442">
        <w:t xml:space="preserve">. </w:t>
      </w:r>
      <w:r w:rsidR="006317BB">
        <w:t xml:space="preserve">This </w:t>
      </w:r>
      <w:r w:rsidR="00373442">
        <w:t>data suggest</w:t>
      </w:r>
      <w:r w:rsidR="002B4C37">
        <w:t>s</w:t>
      </w:r>
      <w:r w:rsidR="00373442">
        <w:t xml:space="preserve"> that</w:t>
      </w:r>
      <w:r w:rsidRPr="00702E2E">
        <w:t xml:space="preserve"> superannuation guarantee non-compliance is generally more prevalent amongst employers who are in the accommodation and food services, construction, manufacturing and retail trade industries. </w:t>
      </w:r>
    </w:p>
    <w:p w14:paraId="5D771184" w14:textId="77777777" w:rsidR="00D06EC5" w:rsidRPr="00702E2E" w:rsidRDefault="00D06EC5" w:rsidP="00D06EC5">
      <w:pPr>
        <w:spacing w:line="360" w:lineRule="auto"/>
      </w:pPr>
      <w:r w:rsidRPr="00702E2E">
        <w:t xml:space="preserve">While the ISA analysis </w:t>
      </w:r>
      <w:r>
        <w:t>in</w:t>
      </w:r>
      <w:r w:rsidRPr="00702E2E">
        <w:t xml:space="preserve"> </w:t>
      </w:r>
      <w:r w:rsidRPr="00FA5BFF">
        <w:rPr>
          <w:i/>
          <w:iCs/>
        </w:rPr>
        <w:t xml:space="preserve">Overdue: Time for action on unpaid super </w:t>
      </w:r>
      <w:r w:rsidRPr="00702E2E">
        <w:t>identif</w:t>
      </w:r>
      <w:r w:rsidR="00D978B5">
        <w:t>ies</w:t>
      </w:r>
      <w:r w:rsidRPr="00702E2E">
        <w:t xml:space="preserve"> labourers and machinery operators </w:t>
      </w:r>
      <w:r w:rsidR="00D978B5">
        <w:t>as</w:t>
      </w:r>
      <w:r w:rsidRPr="00702E2E">
        <w:t xml:space="preserve"> most likely to have unpaid superannuation guarantee, </w:t>
      </w:r>
      <w:r w:rsidR="00D978B5">
        <w:t>its</w:t>
      </w:r>
      <w:r w:rsidR="00D978B5" w:rsidRPr="00702E2E">
        <w:t xml:space="preserve"> </w:t>
      </w:r>
      <w:r w:rsidRPr="00702E2E">
        <w:t>estimates also find very high levels of unpaid superannuation guarantee among other occupations such as professionals and managers. The ISA analysis states that 20 per cent of both professionals and managers have unpaid superannuation guarantee. There is little anecdotal evidence or evidence from ATO casework of systematic unpaid superannuation guarantee among these occupations.</w:t>
      </w:r>
    </w:p>
    <w:p w14:paraId="3BE7DAC8" w14:textId="77777777" w:rsidR="00D06EC5" w:rsidRPr="00702E2E" w:rsidRDefault="00D06EC5" w:rsidP="00D06EC5">
      <w:pPr>
        <w:spacing w:line="360" w:lineRule="auto"/>
      </w:pPr>
      <w:r w:rsidRPr="00702E2E">
        <w:t xml:space="preserve">In addition, </w:t>
      </w:r>
      <w:r>
        <w:t>ISA’s analysis also indicated</w:t>
      </w:r>
      <w:r w:rsidRPr="00702E2E">
        <w:t xml:space="preserve"> that a quarter of employees earning above $80,000 have unpaid superannuation guarantee. Yet there is no evidence of systemic underpayment of superannuation guarantee among a group with higher incomes. High</w:t>
      </w:r>
      <w:r w:rsidRPr="00702E2E">
        <w:noBreakHyphen/>
        <w:t>income groups tend to have fewer issues with unpaid superannuation guarantee given relatively high levels of financial literacy and stronger wage bargaining power.</w:t>
      </w:r>
    </w:p>
    <w:p w14:paraId="48C0FEBA" w14:textId="77777777" w:rsidR="00637CC6" w:rsidRDefault="00637CC6" w:rsidP="00AF343B">
      <w:pPr>
        <w:spacing w:before="0" w:line="240" w:lineRule="auto"/>
      </w:pPr>
      <w:r>
        <w:br w:type="page"/>
      </w:r>
    </w:p>
    <w:p w14:paraId="2EF8F7C5" w14:textId="77777777" w:rsidR="00637CC6" w:rsidRDefault="00637CC6" w:rsidP="00AF343B">
      <w:pPr>
        <w:spacing w:before="0" w:line="240" w:lineRule="auto"/>
      </w:pPr>
    </w:p>
    <w:p w14:paraId="2045FE03" w14:textId="77777777" w:rsidR="00637CC6" w:rsidRDefault="00683108" w:rsidP="00683108">
      <w:pPr>
        <w:pStyle w:val="Heading1"/>
        <w:framePr w:wrap="notBeside"/>
        <w:spacing w:before="0"/>
      </w:pPr>
      <w:bookmarkStart w:id="450" w:name="_Toc478485997"/>
      <w:bookmarkStart w:id="451" w:name="_Toc478502007"/>
      <w:bookmarkStart w:id="452" w:name="_Toc478651981"/>
      <w:bookmarkStart w:id="453" w:name="_Toc478654442"/>
      <w:bookmarkStart w:id="454" w:name="_Toc478655156"/>
      <w:bookmarkStart w:id="455" w:name="_Toc478656410"/>
      <w:bookmarkStart w:id="456" w:name="_Toc478657661"/>
      <w:bookmarkStart w:id="457" w:name="_Toc478718257"/>
      <w:bookmarkStart w:id="458" w:name="_Toc478718467"/>
      <w:bookmarkStart w:id="459" w:name="_Toc478738416"/>
      <w:bookmarkStart w:id="460" w:name="_Toc478740702"/>
      <w:r>
        <w:t>Appendix E</w:t>
      </w:r>
      <w:bookmarkEnd w:id="450"/>
      <w:bookmarkEnd w:id="451"/>
      <w:bookmarkEnd w:id="452"/>
      <w:bookmarkEnd w:id="453"/>
      <w:bookmarkEnd w:id="454"/>
      <w:bookmarkEnd w:id="455"/>
      <w:bookmarkEnd w:id="456"/>
      <w:bookmarkEnd w:id="457"/>
      <w:bookmarkEnd w:id="458"/>
      <w:bookmarkEnd w:id="459"/>
      <w:bookmarkEnd w:id="460"/>
    </w:p>
    <w:p w14:paraId="382E6A78" w14:textId="77777777" w:rsidR="00683108" w:rsidRDefault="00683108" w:rsidP="00683108">
      <w:pPr>
        <w:pStyle w:val="Heading2"/>
      </w:pPr>
      <w:bookmarkStart w:id="461" w:name="_Toc478403074"/>
      <w:bookmarkStart w:id="462" w:name="_Toc478485998"/>
      <w:bookmarkStart w:id="463" w:name="_Toc478502008"/>
      <w:bookmarkStart w:id="464" w:name="_Toc478651982"/>
      <w:bookmarkStart w:id="465" w:name="_Toc478654443"/>
      <w:bookmarkStart w:id="466" w:name="_Toc478655157"/>
      <w:bookmarkStart w:id="467" w:name="_Toc478656411"/>
      <w:bookmarkStart w:id="468" w:name="_Toc478657662"/>
      <w:bookmarkStart w:id="469" w:name="_Toc478718258"/>
      <w:bookmarkStart w:id="470" w:name="_Toc478718468"/>
      <w:bookmarkStart w:id="471" w:name="_Toc478738417"/>
      <w:bookmarkStart w:id="472" w:name="_Toc478740703"/>
      <w:r>
        <w:t>SuperStream</w:t>
      </w:r>
      <w:bookmarkEnd w:id="461"/>
      <w:bookmarkEnd w:id="462"/>
      <w:bookmarkEnd w:id="463"/>
      <w:bookmarkEnd w:id="464"/>
      <w:bookmarkEnd w:id="465"/>
      <w:bookmarkEnd w:id="466"/>
      <w:bookmarkEnd w:id="467"/>
      <w:bookmarkEnd w:id="468"/>
      <w:bookmarkEnd w:id="469"/>
      <w:bookmarkEnd w:id="470"/>
      <w:bookmarkEnd w:id="471"/>
      <w:bookmarkEnd w:id="472"/>
    </w:p>
    <w:p w14:paraId="67B74BF7" w14:textId="77777777" w:rsidR="00683108" w:rsidRDefault="00683108" w:rsidP="00683108">
      <w:pPr>
        <w:spacing w:line="360" w:lineRule="auto"/>
      </w:pPr>
      <w:r>
        <w:t>The Cooper Review in 2010 examined the performance of the superannuation system and proposed a number of recommendations for improvement. The Review examined the government, efficiency, structure and operation of the superannuation system. That review clearly laid out the case for change for streamlining the ‘back office’ of superannuation. It concluded that members’ interests were not being served by widespread inefficiencies in the processing of employer contributions, amongst other things.</w:t>
      </w:r>
    </w:p>
    <w:p w14:paraId="7DEA42C8" w14:textId="77777777" w:rsidR="00947CD1" w:rsidRDefault="00683108">
      <w:pPr>
        <w:spacing w:line="360" w:lineRule="auto"/>
      </w:pPr>
      <w:r>
        <w:t xml:space="preserve">The Cooper recommendations were strongly embraced by government and industry and led to the SuperStream program in 2012. SuperStream has been one of the more significant reforms in the superannuation industry. </w:t>
      </w:r>
      <w:r w:rsidRPr="00CF1EF9">
        <w:t xml:space="preserve">The </w:t>
      </w:r>
      <w:r w:rsidR="007E1841" w:rsidRPr="00CF1EF9">
        <w:t>implementation</w:t>
      </w:r>
      <w:r w:rsidRPr="00CF1EF9">
        <w:t xml:space="preserve"> cost of SuperStream has been significant</w:t>
      </w:r>
      <w:r w:rsidR="00947CD1" w:rsidRPr="00CF1EF9">
        <w:t xml:space="preserve"> and its pipeline of benefits is estimated at $2.4 billion per year in members’ savings. Total employer and superannuation fund benefits from SuperStream are estimated to soon reach over $800 million per year. One of the most tangible indicators is the</w:t>
      </w:r>
      <w:r w:rsidR="00947CD1">
        <w:t xml:space="preserve"> sharp rise in the volume of contributions being sent electronically.</w:t>
      </w:r>
    </w:p>
    <w:p w14:paraId="1F10DCC2" w14:textId="77777777" w:rsidR="00947CD1" w:rsidRDefault="00947CD1">
      <w:pPr>
        <w:spacing w:line="360" w:lineRule="auto"/>
      </w:pPr>
      <w:r>
        <w:t>In summary, the most significant changes for the member (that is, the employee) are:</w:t>
      </w:r>
    </w:p>
    <w:p w14:paraId="64F1B9BE" w14:textId="77777777" w:rsidR="00947CD1" w:rsidRDefault="00947CD1" w:rsidP="00947CD1">
      <w:pPr>
        <w:pStyle w:val="ListParagraph"/>
        <w:numPr>
          <w:ilvl w:val="0"/>
          <w:numId w:val="45"/>
        </w:numPr>
        <w:spacing w:line="360" w:lineRule="auto"/>
        <w:ind w:left="851" w:hanging="284"/>
        <w:contextualSpacing w:val="0"/>
      </w:pPr>
      <w:r>
        <w:t>time savings and greater ease in rolling over and consolidating superannuation accounts</w:t>
      </w:r>
    </w:p>
    <w:p w14:paraId="286FA1DD" w14:textId="77777777" w:rsidR="00947CD1" w:rsidRDefault="00947CD1" w:rsidP="00947CD1">
      <w:pPr>
        <w:pStyle w:val="ListParagraph"/>
        <w:numPr>
          <w:ilvl w:val="0"/>
          <w:numId w:val="45"/>
        </w:numPr>
        <w:spacing w:line="360" w:lineRule="auto"/>
        <w:ind w:left="851" w:hanging="284"/>
        <w:contextualSpacing w:val="0"/>
      </w:pPr>
      <w:r>
        <w:t>stronger protection of retirement savings.</w:t>
      </w:r>
    </w:p>
    <w:p w14:paraId="5DA16E14" w14:textId="77777777" w:rsidR="00947CD1" w:rsidRDefault="00947CD1">
      <w:pPr>
        <w:spacing w:line="360" w:lineRule="auto"/>
      </w:pPr>
      <w:r>
        <w:t>The most significant changes in the employer experience include:</w:t>
      </w:r>
    </w:p>
    <w:p w14:paraId="1508EA75" w14:textId="77777777" w:rsidR="00947CD1" w:rsidRDefault="00947CD1" w:rsidP="00947CD1">
      <w:pPr>
        <w:pStyle w:val="ListParagraph"/>
        <w:numPr>
          <w:ilvl w:val="0"/>
          <w:numId w:val="45"/>
        </w:numPr>
        <w:spacing w:line="360" w:lineRule="auto"/>
        <w:ind w:left="851" w:hanging="284"/>
        <w:contextualSpacing w:val="0"/>
      </w:pPr>
      <w:r>
        <w:t>less processing time for completing contributions – an average of 70 per cent time saving and $400 million in ongoing efficiencies to employers</w:t>
      </w:r>
    </w:p>
    <w:p w14:paraId="12174148" w14:textId="77777777" w:rsidR="00947CD1" w:rsidRDefault="00947CD1" w:rsidP="00947CD1">
      <w:pPr>
        <w:pStyle w:val="ListParagraph"/>
        <w:numPr>
          <w:ilvl w:val="0"/>
          <w:numId w:val="45"/>
        </w:numPr>
        <w:spacing w:line="360" w:lineRule="auto"/>
        <w:ind w:left="851" w:hanging="284"/>
        <w:contextualSpacing w:val="0"/>
      </w:pPr>
      <w:r>
        <w:t>simplification for employers in sending contributions through a single channel – for example, in the case of a typical business with 60 employees eliminating previous interactions with up to 40 funds</w:t>
      </w:r>
    </w:p>
    <w:p w14:paraId="2130122B" w14:textId="77777777" w:rsidR="00947CD1" w:rsidRDefault="00947CD1" w:rsidP="00947CD1">
      <w:pPr>
        <w:pStyle w:val="ListParagraph"/>
        <w:numPr>
          <w:ilvl w:val="0"/>
          <w:numId w:val="45"/>
        </w:numPr>
        <w:spacing w:line="360" w:lineRule="auto"/>
        <w:ind w:left="851" w:hanging="284"/>
        <w:contextualSpacing w:val="0"/>
      </w:pPr>
      <w:r>
        <w:t>a reduction in re-work – with help in getting data right at source for employers.</w:t>
      </w:r>
    </w:p>
    <w:p w14:paraId="4C35B923" w14:textId="09291967" w:rsidR="00947CD1" w:rsidRDefault="00947CD1">
      <w:pPr>
        <w:spacing w:line="360" w:lineRule="auto"/>
      </w:pPr>
      <w:r>
        <w:t>While for super</w:t>
      </w:r>
      <w:r w:rsidR="00C833C8">
        <w:t>annuation</w:t>
      </w:r>
      <w:r>
        <w:t xml:space="preserve"> funds the most significant change</w:t>
      </w:r>
      <w:r w:rsidR="002B4C37">
        <w:t>s</w:t>
      </w:r>
      <w:r>
        <w:t xml:space="preserve"> have been:</w:t>
      </w:r>
    </w:p>
    <w:p w14:paraId="440C526D" w14:textId="77777777" w:rsidR="00947CD1" w:rsidRDefault="00947CD1" w:rsidP="00947CD1">
      <w:pPr>
        <w:pStyle w:val="ListParagraph"/>
        <w:numPr>
          <w:ilvl w:val="0"/>
          <w:numId w:val="45"/>
        </w:numPr>
        <w:spacing w:line="360" w:lineRule="auto"/>
        <w:ind w:left="851" w:hanging="284"/>
        <w:contextualSpacing w:val="0"/>
      </w:pPr>
      <w:r>
        <w:t>the transition to digital rather than manual transactions</w:t>
      </w:r>
    </w:p>
    <w:p w14:paraId="27C2E9DA" w14:textId="5AAD5F1B" w:rsidR="00947CD1" w:rsidRDefault="00947CD1" w:rsidP="00947CD1">
      <w:pPr>
        <w:pStyle w:val="ListParagraph"/>
        <w:numPr>
          <w:ilvl w:val="0"/>
          <w:numId w:val="45"/>
        </w:numPr>
        <w:spacing w:line="360" w:lineRule="auto"/>
        <w:ind w:left="851" w:hanging="284"/>
        <w:contextualSpacing w:val="0"/>
      </w:pPr>
      <w:r>
        <w:t xml:space="preserve">widespread </w:t>
      </w:r>
      <w:r w:rsidR="00723B6C">
        <w:t>automation</w:t>
      </w:r>
      <w:r>
        <w:t xml:space="preserve"> of transitions with use of straight-through processing</w:t>
      </w:r>
    </w:p>
    <w:p w14:paraId="7B922A41" w14:textId="77777777" w:rsidR="00947CD1" w:rsidRDefault="00947CD1" w:rsidP="00947CD1">
      <w:pPr>
        <w:pStyle w:val="ListParagraph"/>
        <w:numPr>
          <w:ilvl w:val="0"/>
          <w:numId w:val="45"/>
        </w:numPr>
        <w:spacing w:line="360" w:lineRule="auto"/>
        <w:ind w:left="851" w:hanging="284"/>
        <w:contextualSpacing w:val="0"/>
      </w:pPr>
      <w:r>
        <w:t xml:space="preserve">improved quality of key data holdings </w:t>
      </w:r>
    </w:p>
    <w:p w14:paraId="316C0C8E" w14:textId="77777777" w:rsidR="00947CD1" w:rsidRDefault="00CF1EF9">
      <w:pPr>
        <w:spacing w:line="360" w:lineRule="auto"/>
      </w:pPr>
      <w:r>
        <w:t xml:space="preserve">SuperStream has been the catalyst for the development of new information and payments ‘eco-system’ supported by shared data and performance standards. </w:t>
      </w:r>
    </w:p>
    <w:p w14:paraId="192A70B1" w14:textId="77777777" w:rsidR="00CF1EF9" w:rsidRDefault="00CF1EF9" w:rsidP="00683108">
      <w:pPr>
        <w:spacing w:line="360" w:lineRule="auto"/>
        <w:rPr>
          <w:highlight w:val="yellow"/>
        </w:rPr>
      </w:pPr>
      <w:r>
        <w:t>While it has produced many benefits for employers and funds, and gives the ATO increased visibility on payment flows, SuperStream was not designed to improve SG compliance.</w:t>
      </w:r>
    </w:p>
    <w:p w14:paraId="0C31E642" w14:textId="6C082C30" w:rsidR="00683108" w:rsidRDefault="00CF1EF9" w:rsidP="00683108">
      <w:pPr>
        <w:spacing w:line="360" w:lineRule="auto"/>
      </w:pPr>
      <w:r w:rsidDel="00CF1EF9">
        <w:t xml:space="preserve"> </w:t>
      </w:r>
      <w:r w:rsidR="00683108">
        <w:t>For superannuation guarantee, SuperStream has simplified the way contributions are managed and made, reducing costs and time for funds and employers, and resulting in a more efficient superannuation system (which ultimately means benefits for member</w:t>
      </w:r>
      <w:r w:rsidR="002B4C37">
        <w:t>s</w:t>
      </w:r>
      <w:r w:rsidR="00683108">
        <w:t>).</w:t>
      </w:r>
      <w:r w:rsidR="00683108" w:rsidRPr="00AF5057">
        <w:t xml:space="preserve"> </w:t>
      </w:r>
    </w:p>
    <w:p w14:paraId="715B2F0A" w14:textId="77777777" w:rsidR="00625BB1" w:rsidRDefault="00625BB1">
      <w:pPr>
        <w:spacing w:before="0" w:line="240" w:lineRule="auto"/>
      </w:pPr>
      <w:r>
        <w:br w:type="page"/>
      </w:r>
    </w:p>
    <w:p w14:paraId="52289442" w14:textId="77777777" w:rsidR="00625BB1" w:rsidRDefault="00625BB1" w:rsidP="00625BB1">
      <w:pPr>
        <w:spacing w:before="0" w:line="240" w:lineRule="auto"/>
      </w:pPr>
    </w:p>
    <w:p w14:paraId="79CC8AF4" w14:textId="77777777" w:rsidR="00625BB1" w:rsidRDefault="00625BB1" w:rsidP="00625BB1">
      <w:pPr>
        <w:pStyle w:val="Heading1"/>
        <w:framePr w:wrap="notBeside"/>
        <w:spacing w:before="0"/>
      </w:pPr>
      <w:bookmarkStart w:id="473" w:name="_Toc478485999"/>
      <w:bookmarkStart w:id="474" w:name="_Toc478502009"/>
      <w:bookmarkStart w:id="475" w:name="_Toc478651983"/>
      <w:bookmarkStart w:id="476" w:name="_Toc478654444"/>
      <w:bookmarkStart w:id="477" w:name="_Toc478655158"/>
      <w:bookmarkStart w:id="478" w:name="_Toc478656412"/>
      <w:bookmarkStart w:id="479" w:name="_Toc478657663"/>
      <w:bookmarkStart w:id="480" w:name="_Toc478718259"/>
      <w:bookmarkStart w:id="481" w:name="_Toc478718469"/>
      <w:bookmarkStart w:id="482" w:name="_Toc478738418"/>
      <w:bookmarkStart w:id="483" w:name="_Toc478740704"/>
      <w:r>
        <w:t>Appendix F</w:t>
      </w:r>
      <w:bookmarkEnd w:id="473"/>
      <w:bookmarkEnd w:id="474"/>
      <w:bookmarkEnd w:id="475"/>
      <w:bookmarkEnd w:id="476"/>
      <w:bookmarkEnd w:id="477"/>
      <w:bookmarkEnd w:id="478"/>
      <w:bookmarkEnd w:id="479"/>
      <w:bookmarkEnd w:id="480"/>
      <w:bookmarkEnd w:id="481"/>
      <w:bookmarkEnd w:id="482"/>
      <w:bookmarkEnd w:id="483"/>
    </w:p>
    <w:p w14:paraId="36FBB0D2" w14:textId="77777777" w:rsidR="00625BB1" w:rsidRDefault="00625BB1" w:rsidP="00625BB1">
      <w:pPr>
        <w:pStyle w:val="Heading2"/>
      </w:pPr>
      <w:bookmarkStart w:id="484" w:name="_Toc478486000"/>
      <w:bookmarkStart w:id="485" w:name="_Toc478502010"/>
      <w:bookmarkStart w:id="486" w:name="_Toc478651984"/>
      <w:bookmarkStart w:id="487" w:name="_Toc478654445"/>
      <w:bookmarkStart w:id="488" w:name="_Toc478655159"/>
      <w:bookmarkStart w:id="489" w:name="_Toc478656413"/>
      <w:bookmarkStart w:id="490" w:name="_Toc478657664"/>
      <w:bookmarkStart w:id="491" w:name="_Toc478718260"/>
      <w:bookmarkStart w:id="492" w:name="_Toc478718470"/>
      <w:bookmarkStart w:id="493" w:name="_Toc478738419"/>
      <w:bookmarkStart w:id="494" w:name="_Toc478740705"/>
      <w:r>
        <w:t>Single Touch Payroll</w:t>
      </w:r>
      <w:bookmarkEnd w:id="484"/>
      <w:bookmarkEnd w:id="485"/>
      <w:bookmarkEnd w:id="486"/>
      <w:bookmarkEnd w:id="487"/>
      <w:bookmarkEnd w:id="488"/>
      <w:bookmarkEnd w:id="489"/>
      <w:bookmarkEnd w:id="490"/>
      <w:bookmarkEnd w:id="491"/>
      <w:bookmarkEnd w:id="492"/>
      <w:bookmarkEnd w:id="493"/>
      <w:bookmarkEnd w:id="494"/>
      <w:r>
        <w:t xml:space="preserve"> </w:t>
      </w:r>
    </w:p>
    <w:p w14:paraId="70BB3DA1" w14:textId="482667E6" w:rsidR="00625BB1" w:rsidRDefault="00625BB1" w:rsidP="00625BB1">
      <w:pPr>
        <w:spacing w:line="360" w:lineRule="auto"/>
      </w:pPr>
      <w:r>
        <w:t xml:space="preserve">Single Touch Payroll, announced in December 2014, will </w:t>
      </w:r>
      <w:r w:rsidRPr="005C7C45">
        <w:t xml:space="preserve">simplify taxation and superannuation interactions for employers by aligning the reporting of PAYG </w:t>
      </w:r>
      <w:r w:rsidR="00732D06">
        <w:t>w</w:t>
      </w:r>
      <w:r w:rsidRPr="005C7C45">
        <w:t xml:space="preserve">ithholding and </w:t>
      </w:r>
      <w:r w:rsidRPr="00635AF6">
        <w:t>superannuation guarantee</w:t>
      </w:r>
      <w:r w:rsidRPr="005C7C45">
        <w:t xml:space="preserve"> with a business’s natural process of paying their employees. </w:t>
      </w:r>
      <w:r w:rsidR="005A2807">
        <w:t>One of the benefits of Single Touch Payroll will be greater visibility and timeliness of superannuation guarantee obligation information.</w:t>
      </w:r>
    </w:p>
    <w:p w14:paraId="62A3536B" w14:textId="046CBB46" w:rsidR="00C01D37" w:rsidRDefault="00625BB1" w:rsidP="005A2807">
      <w:pPr>
        <w:spacing w:line="300" w:lineRule="auto"/>
      </w:pPr>
      <w:r>
        <w:t>Under Single Touch Payroll, the ATO will receive superannuation information from employers through payroll event reporting of the superannuation guarantee liability and notification of the actual superannuation guarantee payment by the employer when it is made to the employee’s fund. This will enable progressive monitoring and timely follow up by the ATO of an employee’s superannuation guarantee entitlement and contribution made by their employer.</w:t>
      </w:r>
      <w:r w:rsidR="005A2807" w:rsidRPr="005A2807">
        <w:t xml:space="preserve"> </w:t>
      </w:r>
    </w:p>
    <w:p w14:paraId="5A38456B" w14:textId="2EC42E47" w:rsidR="005A2807" w:rsidRDefault="005A2807" w:rsidP="005A2807">
      <w:pPr>
        <w:spacing w:line="300" w:lineRule="auto"/>
      </w:pPr>
      <w:r>
        <w:t>The reporting design is a three step process:</w:t>
      </w:r>
    </w:p>
    <w:p w14:paraId="3BCC0458" w14:textId="77777777" w:rsidR="005A2807" w:rsidRDefault="005A2807" w:rsidP="005A2807">
      <w:pPr>
        <w:spacing w:line="300" w:lineRule="auto"/>
      </w:pPr>
      <w:r>
        <w:t>Step 1: As a part of an employer’s STP ‘payday’ report superannuation information will be provided to the ATO to calculate the employer’s SG obligation for each employee.</w:t>
      </w:r>
    </w:p>
    <w:p w14:paraId="1CCF8215" w14:textId="77777777" w:rsidR="005A2807" w:rsidRDefault="005A2807" w:rsidP="005A2807">
      <w:pPr>
        <w:spacing w:line="300" w:lineRule="auto"/>
      </w:pPr>
      <w:r>
        <w:t>Step 2: When an employer pays their employees superannuation, this is reported to the ATO. The design is to intercept the SuperStream file at the most appropriate place in the chain e.g. where the file is created by a clearing house or a gateway.</w:t>
      </w:r>
    </w:p>
    <w:p w14:paraId="5FBE187F" w14:textId="77777777" w:rsidR="005A2807" w:rsidRDefault="005A2807" w:rsidP="005A2807">
      <w:pPr>
        <w:spacing w:line="300" w:lineRule="auto"/>
      </w:pPr>
      <w:r>
        <w:t>Step 3: The two reports are matched utilising data analytics capability. Potential intervention identified where it appears that an employer has not met their SG obligations.</w:t>
      </w:r>
    </w:p>
    <w:p w14:paraId="1ABEBB2C" w14:textId="77777777" w:rsidR="005A2807" w:rsidRDefault="005A2807" w:rsidP="005A2807">
      <w:pPr>
        <w:spacing w:line="300" w:lineRule="auto"/>
      </w:pPr>
      <w:r>
        <w:rPr>
          <w:noProof/>
          <w:lang w:eastAsia="en-AU"/>
        </w:rPr>
        <w:drawing>
          <wp:inline distT="0" distB="0" distL="0" distR="0" wp14:anchorId="6E0FBA3D" wp14:editId="1AE55D19">
            <wp:extent cx="5321300" cy="305710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5321247" cy="3057074"/>
                    </a:xfrm>
                    <a:prstGeom prst="rect">
                      <a:avLst/>
                    </a:prstGeom>
                  </pic:spPr>
                </pic:pic>
              </a:graphicData>
            </a:graphic>
          </wp:inline>
        </w:drawing>
      </w:r>
    </w:p>
    <w:p w14:paraId="4A784A44" w14:textId="77777777" w:rsidR="00625BB1" w:rsidRDefault="00625BB1" w:rsidP="00625BB1">
      <w:pPr>
        <w:spacing w:line="360" w:lineRule="auto"/>
      </w:pPr>
      <w:r w:rsidRPr="005C7C45">
        <w:t xml:space="preserve">Use of </w:t>
      </w:r>
      <w:r>
        <w:t>Single Touch Payroll</w:t>
      </w:r>
      <w:r w:rsidRPr="005C7C45">
        <w:t xml:space="preserve"> is mandated for businesses with 20 or more employees from 1</w:t>
      </w:r>
      <w:r w:rsidR="001D79A3">
        <w:t> </w:t>
      </w:r>
      <w:r w:rsidRPr="005C7C45">
        <w:t>July 2018.</w:t>
      </w:r>
      <w:r>
        <w:t xml:space="preserve"> </w:t>
      </w:r>
    </w:p>
    <w:p w14:paraId="03C5E102" w14:textId="77777777" w:rsidR="00625BB1" w:rsidRDefault="00625BB1" w:rsidP="00625BB1">
      <w:pPr>
        <w:spacing w:line="360" w:lineRule="auto"/>
      </w:pPr>
      <w:r>
        <w:t xml:space="preserve">Single Touch Payroll is not mandatory for small </w:t>
      </w:r>
      <w:r w:rsidRPr="00B02C5C">
        <w:t xml:space="preserve">businesses (19 employees or less). A pilot on the potential to extend </w:t>
      </w:r>
      <w:r>
        <w:t xml:space="preserve">it </w:t>
      </w:r>
      <w:r w:rsidRPr="00B02C5C">
        <w:t xml:space="preserve">to small business is expected to </w:t>
      </w:r>
      <w:r>
        <w:t xml:space="preserve">be in a position to </w:t>
      </w:r>
      <w:r w:rsidRPr="00B02C5C">
        <w:t xml:space="preserve">report </w:t>
      </w:r>
      <w:r>
        <w:t xml:space="preserve">interim </w:t>
      </w:r>
      <w:r w:rsidRPr="00B02C5C">
        <w:t xml:space="preserve">findings to government </w:t>
      </w:r>
      <w:r>
        <w:t>in</w:t>
      </w:r>
      <w:r w:rsidRPr="00B02C5C">
        <w:t xml:space="preserve"> </w:t>
      </w:r>
      <w:r w:rsidRPr="00CD678D">
        <w:t>April 2017</w:t>
      </w:r>
      <w:r w:rsidRPr="00EE4845">
        <w:t>.</w:t>
      </w:r>
      <w:r>
        <w:t xml:space="preserve"> </w:t>
      </w:r>
      <w:r w:rsidRPr="00D1598E">
        <w:t xml:space="preserve">Government will subsequently consider how and when small businesses will participate in </w:t>
      </w:r>
      <w:r>
        <w:t>Single Touch Payroll</w:t>
      </w:r>
      <w:r w:rsidRPr="00D1598E">
        <w:t>.</w:t>
      </w:r>
    </w:p>
    <w:p w14:paraId="5955B615" w14:textId="7B8020B5" w:rsidR="00625BB1" w:rsidRDefault="00625BB1" w:rsidP="00625BB1">
      <w:pPr>
        <w:spacing w:line="360" w:lineRule="auto"/>
      </w:pPr>
      <w:r>
        <w:t>Under the current design, Single Touch Payroll will provide the transactional visibility that is current</w:t>
      </w:r>
      <w:r w:rsidR="00C01D37">
        <w:t>ly</w:t>
      </w:r>
      <w:r>
        <w:t xml:space="preserve"> missing, thereby enabling the regulator to assess compliance risks and undertake remedial action in a timely manner. In short, it will provide near to real time visibility of superannuation guarantee liabilities and payments at the employer and employee level without government involvement in the transaction.</w:t>
      </w:r>
    </w:p>
    <w:p w14:paraId="08803318" w14:textId="77777777" w:rsidR="00002642" w:rsidRDefault="00002642" w:rsidP="00885E8A"/>
    <w:p w14:paraId="3934CA5B" w14:textId="77777777" w:rsidR="00002642" w:rsidRDefault="00002642">
      <w:pPr>
        <w:spacing w:before="0" w:line="240" w:lineRule="auto"/>
      </w:pPr>
      <w:r>
        <w:br w:type="page"/>
      </w:r>
    </w:p>
    <w:p w14:paraId="3943C619" w14:textId="77777777" w:rsidR="00B13DC6" w:rsidRDefault="00B13DC6" w:rsidP="00B13DC6">
      <w:pPr>
        <w:spacing w:before="0" w:line="240" w:lineRule="auto"/>
      </w:pPr>
    </w:p>
    <w:p w14:paraId="78137A08" w14:textId="77777777" w:rsidR="00B13DC6" w:rsidRDefault="00B13DC6" w:rsidP="00B13DC6">
      <w:pPr>
        <w:pStyle w:val="Heading1"/>
        <w:framePr w:wrap="notBeside"/>
        <w:spacing w:before="0"/>
      </w:pPr>
      <w:bookmarkStart w:id="495" w:name="_Toc478486001"/>
      <w:bookmarkStart w:id="496" w:name="_Toc478502011"/>
      <w:bookmarkStart w:id="497" w:name="_Toc478651985"/>
      <w:bookmarkStart w:id="498" w:name="_Toc478654446"/>
      <w:bookmarkStart w:id="499" w:name="_Toc478655160"/>
      <w:bookmarkStart w:id="500" w:name="_Toc478656414"/>
      <w:bookmarkStart w:id="501" w:name="_Toc478657665"/>
      <w:bookmarkStart w:id="502" w:name="_Toc478718261"/>
      <w:bookmarkStart w:id="503" w:name="_Toc478718471"/>
      <w:bookmarkStart w:id="504" w:name="_Toc478738420"/>
      <w:bookmarkStart w:id="505" w:name="_Toc478740706"/>
      <w:r>
        <w:t>Appendix G</w:t>
      </w:r>
      <w:bookmarkEnd w:id="495"/>
      <w:bookmarkEnd w:id="496"/>
      <w:bookmarkEnd w:id="497"/>
      <w:bookmarkEnd w:id="498"/>
      <w:bookmarkEnd w:id="499"/>
      <w:bookmarkEnd w:id="500"/>
      <w:bookmarkEnd w:id="501"/>
      <w:bookmarkEnd w:id="502"/>
      <w:bookmarkEnd w:id="503"/>
      <w:bookmarkEnd w:id="504"/>
      <w:bookmarkEnd w:id="505"/>
    </w:p>
    <w:p w14:paraId="1E3D73A7" w14:textId="77777777" w:rsidR="00B13DC6" w:rsidRDefault="00B13DC6" w:rsidP="00B13DC6">
      <w:pPr>
        <w:pStyle w:val="Heading2"/>
      </w:pPr>
      <w:bookmarkStart w:id="506" w:name="_Toc478486002"/>
      <w:bookmarkStart w:id="507" w:name="_Toc478502012"/>
      <w:bookmarkStart w:id="508" w:name="_Toc478651986"/>
      <w:bookmarkStart w:id="509" w:name="_Toc478654447"/>
      <w:bookmarkStart w:id="510" w:name="_Toc478655161"/>
      <w:bookmarkStart w:id="511" w:name="_Toc478656415"/>
      <w:bookmarkStart w:id="512" w:name="_Toc478657666"/>
      <w:bookmarkStart w:id="513" w:name="_Toc478718262"/>
      <w:bookmarkStart w:id="514" w:name="_Toc478718472"/>
      <w:bookmarkStart w:id="515" w:name="_Toc478738421"/>
      <w:bookmarkStart w:id="516" w:name="_Toc478740707"/>
      <w:r>
        <w:t>Key related initiatives across government</w:t>
      </w:r>
      <w:bookmarkEnd w:id="506"/>
      <w:bookmarkEnd w:id="507"/>
      <w:bookmarkEnd w:id="508"/>
      <w:bookmarkEnd w:id="509"/>
      <w:bookmarkEnd w:id="510"/>
      <w:bookmarkEnd w:id="511"/>
      <w:bookmarkEnd w:id="512"/>
      <w:bookmarkEnd w:id="513"/>
      <w:bookmarkEnd w:id="514"/>
      <w:bookmarkEnd w:id="515"/>
      <w:bookmarkEnd w:id="516"/>
      <w:r>
        <w:t xml:space="preserve"> </w:t>
      </w:r>
    </w:p>
    <w:p w14:paraId="368A92FA" w14:textId="77777777" w:rsidR="00B13DC6" w:rsidRDefault="00B13DC6" w:rsidP="00B13DC6">
      <w:pPr>
        <w:spacing w:line="360" w:lineRule="auto"/>
      </w:pPr>
      <w:r>
        <w:t xml:space="preserve">The Commonwealth Government has established a number of multi-agency reviews and taskforces that focus on a broad range of topics, of which superannuation guarantee is one.  </w:t>
      </w:r>
    </w:p>
    <w:p w14:paraId="7D355B55" w14:textId="77777777" w:rsidR="00B13DC6" w:rsidRDefault="001D79A3" w:rsidP="00B13DC6">
      <w:pPr>
        <w:spacing w:line="360" w:lineRule="auto"/>
      </w:pPr>
      <w:r>
        <w:t>This</w:t>
      </w:r>
      <w:r w:rsidR="00B13DC6">
        <w:t xml:space="preserve"> Working Group has consulted with two current taskforces in particular that are examining behaviour identified as a risk to the superannuation guarantee system – the black (cash) economy and phoenix activity. </w:t>
      </w:r>
    </w:p>
    <w:p w14:paraId="02FDB5E8" w14:textId="19C53BCB" w:rsidR="00B13DC6" w:rsidRDefault="00B13DC6" w:rsidP="00B13DC6">
      <w:pPr>
        <w:spacing w:line="360" w:lineRule="auto"/>
      </w:pPr>
      <w:r>
        <w:t>The behaviours that manifest in other areas impact compliance with superannuation guarantee obligations. For this reason, any overlap in recommendations from the Working Group is deliberate and seeks to reinforce the importance of particular actions or solutions to combat</w:t>
      </w:r>
      <w:r w:rsidR="003C6077">
        <w:t xml:space="preserve">. </w:t>
      </w:r>
    </w:p>
    <w:p w14:paraId="5A3839A8" w14:textId="77777777" w:rsidR="00B13DC6" w:rsidRDefault="00B13DC6" w:rsidP="00B13DC6">
      <w:pPr>
        <w:spacing w:line="360" w:lineRule="auto"/>
      </w:pPr>
      <w:r>
        <w:t xml:space="preserve">In examining the common characteristics and reasons for non-compliance it is important to have complementary approaches which focus on causes, behavioural change, early identification of risk and leverage existing and emerging technology. </w:t>
      </w:r>
    </w:p>
    <w:p w14:paraId="3A08BA99" w14:textId="77777777" w:rsidR="00B13DC6" w:rsidRDefault="00B13DC6" w:rsidP="00B13DC6">
      <w:pPr>
        <w:pStyle w:val="ListParagraph"/>
        <w:spacing w:line="360" w:lineRule="auto"/>
        <w:ind w:left="567"/>
        <w:contextualSpacing w:val="0"/>
      </w:pPr>
    </w:p>
    <w:tbl>
      <w:tblPr>
        <w:tblStyle w:val="LightShading-Accent1"/>
        <w:tblW w:w="0" w:type="auto"/>
        <w:tblLook w:val="04A0" w:firstRow="1" w:lastRow="0" w:firstColumn="1" w:lastColumn="0" w:noHBand="0" w:noVBand="1"/>
      </w:tblPr>
      <w:tblGrid>
        <w:gridCol w:w="1809"/>
        <w:gridCol w:w="7477"/>
      </w:tblGrid>
      <w:tr w:rsidR="00B13DC6" w14:paraId="1E4BC805" w14:textId="77777777" w:rsidTr="005A10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7BEB64E2" w14:textId="77777777" w:rsidR="00B13DC6" w:rsidRDefault="00B13DC6" w:rsidP="005A104A">
            <w:r>
              <w:t>Name</w:t>
            </w:r>
          </w:p>
        </w:tc>
        <w:tc>
          <w:tcPr>
            <w:tcW w:w="7477" w:type="dxa"/>
          </w:tcPr>
          <w:p w14:paraId="108A221F" w14:textId="77777777" w:rsidR="00B13DC6" w:rsidRDefault="00B13DC6" w:rsidP="005A104A">
            <w:pPr>
              <w:cnfStyle w:val="100000000000" w:firstRow="1" w:lastRow="0" w:firstColumn="0" w:lastColumn="0" w:oddVBand="0" w:evenVBand="0" w:oddHBand="0" w:evenHBand="0" w:firstRowFirstColumn="0" w:firstRowLastColumn="0" w:lastRowFirstColumn="0" w:lastRowLastColumn="0"/>
            </w:pPr>
            <w:r>
              <w:t>Purpose</w:t>
            </w:r>
          </w:p>
        </w:tc>
      </w:tr>
      <w:tr w:rsidR="00B13DC6" w:rsidRPr="00C43331" w14:paraId="1B320013" w14:textId="77777777" w:rsidTr="005A10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5C45299A" w14:textId="77777777" w:rsidR="00B13DC6" w:rsidRPr="00611132" w:rsidRDefault="00B13DC6" w:rsidP="005A104A">
            <w:pPr>
              <w:spacing w:line="276" w:lineRule="auto"/>
              <w:rPr>
                <w:b w:val="0"/>
              </w:rPr>
            </w:pPr>
            <w:r>
              <w:rPr>
                <w:b w:val="0"/>
              </w:rPr>
              <w:t>Black Economy Taskforce</w:t>
            </w:r>
          </w:p>
        </w:tc>
        <w:tc>
          <w:tcPr>
            <w:tcW w:w="7477" w:type="dxa"/>
          </w:tcPr>
          <w:p w14:paraId="6459E537" w14:textId="77777777" w:rsidR="00B13DC6" w:rsidRDefault="00B13DC6" w:rsidP="005A104A">
            <w:pPr>
              <w:spacing w:line="276" w:lineRule="auto"/>
              <w:cnfStyle w:val="000000100000" w:firstRow="0" w:lastRow="0" w:firstColumn="0" w:lastColumn="0" w:oddVBand="0" w:evenVBand="0" w:oddHBand="1" w:evenHBand="0" w:firstRowFirstColumn="0" w:firstRowLastColumn="0" w:lastRowFirstColumn="0" w:lastRowLastColumn="0"/>
            </w:pPr>
            <w:r>
              <w:t xml:space="preserve">The Taskforce will provide an overarching whole of government policy framework and detailed proposals for action to counter the black economy </w:t>
            </w:r>
          </w:p>
          <w:p w14:paraId="67BB5AE0" w14:textId="77777777" w:rsidR="00B13DC6" w:rsidRDefault="00B13DC6" w:rsidP="005A104A">
            <w:pPr>
              <w:spacing w:line="276" w:lineRule="auto"/>
              <w:cnfStyle w:val="000000100000" w:firstRow="0" w:lastRow="0" w:firstColumn="0" w:lastColumn="0" w:oddVBand="0" w:evenVBand="0" w:oddHBand="1" w:evenHBand="0" w:firstRowFirstColumn="0" w:firstRowLastColumn="0" w:lastRowFirstColumn="0" w:lastRowLastColumn="0"/>
            </w:pPr>
            <w:r>
              <w:t>It will release a public consultation paper in April 2017 and submit a final report in October 2017.</w:t>
            </w:r>
          </w:p>
          <w:p w14:paraId="199A32CC" w14:textId="77777777" w:rsidR="00B13DC6" w:rsidRDefault="00B13DC6" w:rsidP="005A104A">
            <w:pPr>
              <w:spacing w:line="276" w:lineRule="auto"/>
              <w:cnfStyle w:val="000000100000" w:firstRow="0" w:lastRow="0" w:firstColumn="0" w:lastColumn="0" w:oddVBand="0" w:evenVBand="0" w:oddHBand="1" w:evenHBand="0" w:firstRowFirstColumn="0" w:firstRowLastColumn="0" w:lastRowFirstColumn="0" w:lastRowLastColumn="0"/>
            </w:pPr>
            <w:r w:rsidRPr="009A435F">
              <w:t>Black economy activities undermine the community’s trust in the tax system</w:t>
            </w:r>
            <w:r>
              <w:t xml:space="preserve"> by </w:t>
            </w:r>
            <w:r w:rsidRPr="009A435F">
              <w:t>creat</w:t>
            </w:r>
            <w:r>
              <w:t>ing</w:t>
            </w:r>
            <w:r w:rsidRPr="009A435F">
              <w:t xml:space="preserve"> an unfair commercial environment which penalizes </w:t>
            </w:r>
            <w:r>
              <w:t xml:space="preserve">those </w:t>
            </w:r>
            <w:r w:rsidRPr="009A435F">
              <w:t>businesses and individuals doing the right thing</w:t>
            </w:r>
            <w:r>
              <w:t xml:space="preserve">, facilitating </w:t>
            </w:r>
            <w:r w:rsidRPr="009A435F">
              <w:t>the exploitation of foreign workers</w:t>
            </w:r>
            <w:r>
              <w:t>,</w:t>
            </w:r>
            <w:r w:rsidRPr="009A435F">
              <w:t xml:space="preserve"> undermin</w:t>
            </w:r>
            <w:r>
              <w:t>ing</w:t>
            </w:r>
            <w:r w:rsidRPr="009A435F">
              <w:t xml:space="preserve"> tax revenue and </w:t>
            </w:r>
            <w:r>
              <w:t xml:space="preserve">in the long term </w:t>
            </w:r>
            <w:r w:rsidRPr="009A435F">
              <w:t>inflat</w:t>
            </w:r>
            <w:r>
              <w:t xml:space="preserve">ing </w:t>
            </w:r>
            <w:r w:rsidRPr="009A435F">
              <w:t>welfare costs</w:t>
            </w:r>
            <w:r>
              <w:t>.</w:t>
            </w:r>
          </w:p>
          <w:p w14:paraId="4B9B7368" w14:textId="77777777" w:rsidR="00B13DC6" w:rsidRDefault="00B13DC6" w:rsidP="005A104A">
            <w:pPr>
              <w:spacing w:line="276" w:lineRule="auto"/>
              <w:cnfStyle w:val="000000100000" w:firstRow="0" w:lastRow="0" w:firstColumn="0" w:lastColumn="0" w:oddVBand="0" w:evenVBand="0" w:oddHBand="1" w:evenHBand="0" w:firstRowFirstColumn="0" w:firstRowLastColumn="0" w:lastRowFirstColumn="0" w:lastRowLastColumn="0"/>
            </w:pPr>
            <w:r>
              <w:t>The Working Group observed that the Taskforce is facing similar challenges, particularly because the</w:t>
            </w:r>
            <w:r w:rsidRPr="002638C0">
              <w:rPr>
                <w:lang w:val="en-GB"/>
              </w:rPr>
              <w:t xml:space="preserve"> behaviours</w:t>
            </w:r>
            <w:r>
              <w:t xml:space="preserve"> of businesses that manifest in the black economy are similar to those in the superannuation guarantee system.  For example the use of cash offers anonymity to people and whole-of-government strategies, including use of technology and data analytics, offers the ability to counter the risk.</w:t>
            </w:r>
          </w:p>
          <w:p w14:paraId="25A73892" w14:textId="77777777" w:rsidR="00B13DC6" w:rsidRPr="00C43331" w:rsidRDefault="00B13DC6" w:rsidP="005A104A">
            <w:pPr>
              <w:spacing w:line="276" w:lineRule="auto"/>
              <w:cnfStyle w:val="000000100000" w:firstRow="0" w:lastRow="0" w:firstColumn="0" w:lastColumn="0" w:oddVBand="0" w:evenVBand="0" w:oddHBand="1" w:evenHBand="0" w:firstRowFirstColumn="0" w:firstRowLastColumn="0" w:lastRowFirstColumn="0" w:lastRowLastColumn="0"/>
            </w:pPr>
            <w:r>
              <w:t>The superannuation guarantee Cross Agency Working Group acknowledges the risk the cash economy poses to the superannuation guarantee system and broadly supports the mitigation initiatives being developed by the Black Economy Taskforce</w:t>
            </w:r>
            <w:r w:rsidRPr="00807D8D">
              <w:t xml:space="preserve">. </w:t>
            </w:r>
            <w:r>
              <w:t>The cash economy risk has not otherwise been considered and the superannuation guarantee Cross Agency Working Group proposes to leave specific cash economy mitigation strategies for the Taskforce to develop.</w:t>
            </w:r>
          </w:p>
        </w:tc>
      </w:tr>
      <w:tr w:rsidR="00B13DC6" w:rsidRPr="00C43331" w14:paraId="5EBB15C5" w14:textId="77777777" w:rsidTr="005A104A">
        <w:tc>
          <w:tcPr>
            <w:cnfStyle w:val="001000000000" w:firstRow="0" w:lastRow="0" w:firstColumn="1" w:lastColumn="0" w:oddVBand="0" w:evenVBand="0" w:oddHBand="0" w:evenHBand="0" w:firstRowFirstColumn="0" w:firstRowLastColumn="0" w:lastRowFirstColumn="0" w:lastRowLastColumn="0"/>
            <w:tcW w:w="1809" w:type="dxa"/>
          </w:tcPr>
          <w:p w14:paraId="683993DE" w14:textId="77777777" w:rsidR="00B13DC6" w:rsidRPr="00611132" w:rsidRDefault="00B13DC6" w:rsidP="005A104A">
            <w:pPr>
              <w:spacing w:line="276" w:lineRule="auto"/>
              <w:rPr>
                <w:b w:val="0"/>
              </w:rPr>
            </w:pPr>
            <w:r>
              <w:rPr>
                <w:b w:val="0"/>
              </w:rPr>
              <w:t>Phoenix Taskforce</w:t>
            </w:r>
          </w:p>
        </w:tc>
        <w:tc>
          <w:tcPr>
            <w:tcW w:w="7477" w:type="dxa"/>
          </w:tcPr>
          <w:p w14:paraId="03EAA9FB" w14:textId="77777777" w:rsidR="00B13DC6" w:rsidRPr="004876C0" w:rsidRDefault="00B13DC6" w:rsidP="005A104A">
            <w:pPr>
              <w:spacing w:line="276" w:lineRule="auto"/>
              <w:cnfStyle w:val="000000000000" w:firstRow="0" w:lastRow="0" w:firstColumn="0" w:lastColumn="0" w:oddVBand="0" w:evenVBand="0" w:oddHBand="0" w:evenHBand="0" w:firstRowFirstColumn="0" w:firstRowLastColumn="0" w:lastRowFirstColumn="0" w:lastRowLastColumn="0"/>
            </w:pPr>
            <w:r w:rsidRPr="004876C0">
              <w:t>The Phoenix Taskforce is a key component of the Australian Government’s commitment to addressing phoenix activity.  It was established to bring together government agencies to share intelligence, and identify, design and implement cross-agency strategies to reduce and deter phoenix activity.</w:t>
            </w:r>
          </w:p>
          <w:p w14:paraId="5C87BF19" w14:textId="77777777" w:rsidR="00B13DC6" w:rsidRPr="00C43331" w:rsidRDefault="00B13DC6" w:rsidP="005A104A">
            <w:pPr>
              <w:spacing w:line="276" w:lineRule="auto"/>
              <w:cnfStyle w:val="000000000000" w:firstRow="0" w:lastRow="0" w:firstColumn="0" w:lastColumn="0" w:oddVBand="0" w:evenVBand="0" w:oddHBand="0" w:evenHBand="0" w:firstRowFirstColumn="0" w:firstRowLastColumn="0" w:lastRowFirstColumn="0" w:lastRowLastColumn="0"/>
            </w:pPr>
            <w:r w:rsidRPr="005F2FE2">
              <w:t xml:space="preserve">A number of </w:t>
            </w:r>
            <w:r>
              <w:t>p</w:t>
            </w:r>
            <w:r w:rsidRPr="005F2FE2">
              <w:t xml:space="preserve">hoenix related </w:t>
            </w:r>
            <w:r>
              <w:t>initiatives, although not strictly superannuation specific, have been discussed as a broad suite of potential legislative amendments that would, if legislated, directly or indirectly influence compliance in the superannuation guarantee system.</w:t>
            </w:r>
          </w:p>
        </w:tc>
      </w:tr>
      <w:tr w:rsidR="00B13DC6" w:rsidRPr="00C43331" w14:paraId="6A009D29" w14:textId="77777777" w:rsidTr="005A10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4A3F11CA" w14:textId="77777777" w:rsidR="00B13DC6" w:rsidRPr="00611132" w:rsidRDefault="00B13DC6" w:rsidP="005A104A">
            <w:pPr>
              <w:spacing w:line="276" w:lineRule="auto"/>
              <w:rPr>
                <w:b w:val="0"/>
              </w:rPr>
            </w:pPr>
            <w:r>
              <w:rPr>
                <w:b w:val="0"/>
              </w:rPr>
              <w:t>Migrant Worker Taskforce</w:t>
            </w:r>
          </w:p>
        </w:tc>
        <w:tc>
          <w:tcPr>
            <w:tcW w:w="7477" w:type="dxa"/>
          </w:tcPr>
          <w:p w14:paraId="709A4972" w14:textId="77777777" w:rsidR="00B13DC6" w:rsidRPr="004876C0" w:rsidRDefault="00B13DC6" w:rsidP="005A104A">
            <w:pPr>
              <w:spacing w:line="276" w:lineRule="auto"/>
              <w:cnfStyle w:val="000000100000" w:firstRow="0" w:lastRow="0" w:firstColumn="0" w:lastColumn="0" w:oddVBand="0" w:evenVBand="0" w:oddHBand="1" w:evenHBand="0" w:firstRowFirstColumn="0" w:firstRowLastColumn="0" w:lastRowFirstColumn="0" w:lastRowLastColumn="0"/>
            </w:pPr>
            <w:r>
              <w:t xml:space="preserve">The cross-agency Taskforce will identify further proposals for improvements in law, law enforcement and investigation, and other practical measures to more quickly identify and rectify cases of migrant worker exploitation. </w:t>
            </w:r>
          </w:p>
        </w:tc>
      </w:tr>
      <w:tr w:rsidR="00B13DC6" w:rsidRPr="00C43331" w14:paraId="40710670" w14:textId="77777777" w:rsidTr="005A104A">
        <w:tc>
          <w:tcPr>
            <w:cnfStyle w:val="001000000000" w:firstRow="0" w:lastRow="0" w:firstColumn="1" w:lastColumn="0" w:oddVBand="0" w:evenVBand="0" w:oddHBand="0" w:evenHBand="0" w:firstRowFirstColumn="0" w:firstRowLastColumn="0" w:lastRowFirstColumn="0" w:lastRowLastColumn="0"/>
            <w:tcW w:w="1809" w:type="dxa"/>
          </w:tcPr>
          <w:p w14:paraId="349A2CC0" w14:textId="77777777" w:rsidR="00B13DC6" w:rsidRPr="002638C0" w:rsidRDefault="00B13DC6" w:rsidP="005A104A">
            <w:pPr>
              <w:spacing w:line="276" w:lineRule="auto"/>
              <w:rPr>
                <w:b w:val="0"/>
              </w:rPr>
            </w:pPr>
            <w:r>
              <w:rPr>
                <w:b w:val="0"/>
              </w:rPr>
              <w:t xml:space="preserve">Transparency of tax debt </w:t>
            </w:r>
          </w:p>
        </w:tc>
        <w:tc>
          <w:tcPr>
            <w:tcW w:w="7477" w:type="dxa"/>
          </w:tcPr>
          <w:p w14:paraId="19B38916" w14:textId="420E00FA" w:rsidR="00B13DC6" w:rsidRPr="002638C0" w:rsidRDefault="00B13DC6" w:rsidP="005A104A">
            <w:pPr>
              <w:spacing w:line="276" w:lineRule="auto"/>
              <w:cnfStyle w:val="000000000000" w:firstRow="0" w:lastRow="0" w:firstColumn="0" w:lastColumn="0" w:oddVBand="0" w:evenVBand="0" w:oddHBand="0" w:evenHBand="0" w:firstRowFirstColumn="0" w:firstRowLastColumn="0" w:lastRowFirstColumn="0" w:lastRowLastColumn="0"/>
              <w:rPr>
                <w:rFonts w:ascii="MS Shell Dlg 2" w:hAnsi="MS Shell Dlg 2" w:cs="MS Shell Dlg 2"/>
                <w:i/>
              </w:rPr>
            </w:pPr>
            <w:r>
              <w:t xml:space="preserve">Under this proposal the </w:t>
            </w:r>
            <w:r w:rsidRPr="00C53190">
              <w:t xml:space="preserve">ATO will disclose to Credit Reporting Bureaus (CRBs) </w:t>
            </w:r>
            <w:r>
              <w:t>tax debt</w:t>
            </w:r>
            <w:r w:rsidRPr="00C53190">
              <w:t xml:space="preserve"> information of businesses that have not effectively engaged with the ATO to manage the</w:t>
            </w:r>
            <w:r>
              <w:t xml:space="preserve">se debts. </w:t>
            </w:r>
            <w:r w:rsidRPr="00C53190">
              <w:t>The purpose of this measure is to improve taxpayer compliance i</w:t>
            </w:r>
            <w:r>
              <w:t xml:space="preserve">n meeting payment obligations. </w:t>
            </w:r>
            <w:r w:rsidRPr="00C53190">
              <w:t>It will also better inform the credit decisions businesses make when dealing with their suppliers and customers</w:t>
            </w:r>
            <w:r>
              <w:t xml:space="preserve">. </w:t>
            </w:r>
          </w:p>
          <w:p w14:paraId="179EC179" w14:textId="77777777" w:rsidR="00B13DC6" w:rsidRPr="00C43331" w:rsidRDefault="00B13DC6" w:rsidP="005A104A">
            <w:pPr>
              <w:spacing w:line="276" w:lineRule="auto"/>
              <w:cnfStyle w:val="000000000000" w:firstRow="0" w:lastRow="0" w:firstColumn="0" w:lastColumn="0" w:oddVBand="0" w:evenVBand="0" w:oddHBand="0" w:evenHBand="0" w:firstRowFirstColumn="0" w:firstRowLastColumn="0" w:lastRowFirstColumn="0" w:lastRowLastColumn="0"/>
            </w:pPr>
          </w:p>
        </w:tc>
      </w:tr>
    </w:tbl>
    <w:p w14:paraId="4B10DB77" w14:textId="77777777" w:rsidR="00B13DC6" w:rsidRDefault="00B13DC6">
      <w:pPr>
        <w:spacing w:before="0" w:line="240" w:lineRule="auto"/>
      </w:pPr>
    </w:p>
    <w:p w14:paraId="60C049D5" w14:textId="77777777" w:rsidR="00B47205" w:rsidRDefault="00B47205">
      <w:pPr>
        <w:spacing w:before="0" w:line="240" w:lineRule="auto"/>
        <w:sectPr w:rsidR="00B47205" w:rsidSect="00885E8A">
          <w:headerReference w:type="default" r:id="rId27"/>
          <w:footerReference w:type="default" r:id="rId28"/>
          <w:type w:val="evenPage"/>
          <w:pgSz w:w="11906" w:h="16838" w:code="9"/>
          <w:pgMar w:top="1418" w:right="1418" w:bottom="1418" w:left="1418" w:header="397" w:footer="454" w:gutter="0"/>
          <w:cols w:space="720"/>
          <w:docGrid w:linePitch="360"/>
        </w:sectPr>
      </w:pPr>
    </w:p>
    <w:p w14:paraId="4BDD55E8" w14:textId="77777777" w:rsidR="00815A72" w:rsidRDefault="00FB4EE4" w:rsidP="00224B95">
      <w:pPr>
        <w:pStyle w:val="Heading1"/>
        <w:framePr w:wrap="notBeside"/>
      </w:pPr>
      <w:bookmarkStart w:id="517" w:name="_Toc478651987"/>
      <w:bookmarkStart w:id="518" w:name="_Toc478654448"/>
      <w:bookmarkStart w:id="519" w:name="_Toc478656416"/>
      <w:bookmarkStart w:id="520" w:name="_Toc478657667"/>
      <w:bookmarkStart w:id="521" w:name="_Toc478718263"/>
      <w:bookmarkStart w:id="522" w:name="_Toc478718473"/>
      <w:bookmarkStart w:id="523" w:name="_Toc478738422"/>
      <w:bookmarkStart w:id="524" w:name="_Toc478740708"/>
      <w:r>
        <w:t>Appendix H</w:t>
      </w:r>
      <w:bookmarkEnd w:id="517"/>
      <w:bookmarkEnd w:id="518"/>
      <w:bookmarkEnd w:id="519"/>
      <w:bookmarkEnd w:id="520"/>
      <w:bookmarkEnd w:id="521"/>
      <w:bookmarkEnd w:id="522"/>
      <w:bookmarkEnd w:id="523"/>
      <w:bookmarkEnd w:id="524"/>
    </w:p>
    <w:p w14:paraId="053583D8" w14:textId="77777777" w:rsidR="00E52E32" w:rsidRDefault="00815A72" w:rsidP="00E52E32">
      <w:pPr>
        <w:pStyle w:val="Heading2"/>
      </w:pPr>
      <w:bookmarkStart w:id="525" w:name="_Toc478651988"/>
      <w:bookmarkStart w:id="526" w:name="_Toc478654449"/>
      <w:bookmarkStart w:id="527" w:name="_Toc478655162"/>
      <w:bookmarkStart w:id="528" w:name="_Toc478656417"/>
      <w:bookmarkStart w:id="529" w:name="_Toc478657668"/>
      <w:bookmarkStart w:id="530" w:name="_Toc478718264"/>
      <w:bookmarkStart w:id="531" w:name="_Toc478718474"/>
      <w:bookmarkStart w:id="532" w:name="_Toc478738423"/>
      <w:bookmarkStart w:id="533" w:name="_Toc478740709"/>
      <w:r>
        <w:t>Previous independent r</w:t>
      </w:r>
      <w:r w:rsidR="005E1900">
        <w:t>eviews</w:t>
      </w:r>
      <w:bookmarkEnd w:id="525"/>
      <w:bookmarkEnd w:id="526"/>
      <w:bookmarkEnd w:id="527"/>
      <w:bookmarkEnd w:id="528"/>
      <w:bookmarkEnd w:id="529"/>
      <w:bookmarkEnd w:id="530"/>
      <w:bookmarkEnd w:id="531"/>
      <w:bookmarkEnd w:id="532"/>
      <w:bookmarkEnd w:id="533"/>
    </w:p>
    <w:p w14:paraId="710FB1C9" w14:textId="77777777" w:rsidR="00E52E32" w:rsidRDefault="00E52E32" w:rsidP="00E52E32">
      <w:pPr>
        <w:spacing w:line="300" w:lineRule="auto"/>
      </w:pPr>
      <w:r>
        <w:t xml:space="preserve">The Australian National Audit Office </w:t>
      </w:r>
      <w:r w:rsidR="005E1900">
        <w:t>(in 2015)</w:t>
      </w:r>
      <w:r>
        <w:t xml:space="preserve"> and the Inspector General of Taxation </w:t>
      </w:r>
      <w:r w:rsidR="005E1900">
        <w:t xml:space="preserve">(in 2010) </w:t>
      </w:r>
      <w:r>
        <w:t xml:space="preserve">have reviewed aspects of the superannuation guarantee system and the ATO’s administration, including its ability to identify non-compliance, its response to employee complaints and its deterrence and enforcement approaches. </w:t>
      </w:r>
    </w:p>
    <w:p w14:paraId="02244E54" w14:textId="77777777" w:rsidR="00E52E32" w:rsidRDefault="00E52E32" w:rsidP="00E52E32">
      <w:pPr>
        <w:spacing w:line="300" w:lineRule="auto"/>
      </w:pPr>
      <w:r>
        <w:t>The ANAO’s performance audit and the Inspector General of Taxation’s reviews made a series of recommendations and ultimately found that the superannuation guarantee system is working well and the ATO’s administration is sound</w:t>
      </w:r>
    </w:p>
    <w:p w14:paraId="45DDABFB" w14:textId="77777777" w:rsidR="00E52E32" w:rsidRPr="00A632B5" w:rsidRDefault="00E52E32" w:rsidP="00E52E32">
      <w:pPr>
        <w:pStyle w:val="Heading3"/>
      </w:pPr>
      <w:r w:rsidRPr="00A632B5">
        <w:t>A</w:t>
      </w:r>
      <w:r>
        <w:t xml:space="preserve">ustralian National Audit Office </w:t>
      </w:r>
    </w:p>
    <w:p w14:paraId="641B9041" w14:textId="77777777" w:rsidR="005E1900" w:rsidRDefault="00E52E32" w:rsidP="00E52E32">
      <w:pPr>
        <w:spacing w:line="300" w:lineRule="auto"/>
      </w:pPr>
      <w:r>
        <w:t>In</w:t>
      </w:r>
      <w:r w:rsidRPr="0000734B">
        <w:t xml:space="preserve"> </w:t>
      </w:r>
      <w:r>
        <w:t>20</w:t>
      </w:r>
      <w:r w:rsidR="005E1900">
        <w:t>15</w:t>
      </w:r>
      <w:r w:rsidRPr="0000734B">
        <w:t xml:space="preserve">, the </w:t>
      </w:r>
      <w:r w:rsidRPr="002A7922">
        <w:t xml:space="preserve">Australian National Audit Office </w:t>
      </w:r>
      <w:r>
        <w:t>conducted a performance</w:t>
      </w:r>
      <w:r w:rsidRPr="0000734B">
        <w:t xml:space="preserve"> audit into the ATO’s promotion of compliance with </w:t>
      </w:r>
      <w:r>
        <w:t xml:space="preserve">superannuation guarantee </w:t>
      </w:r>
      <w:r w:rsidRPr="0000734B">
        <w:t>obligations</w:t>
      </w:r>
      <w:r>
        <w:t>.  The following four recommendations were accepted by the ATO:</w:t>
      </w:r>
    </w:p>
    <w:p w14:paraId="1079F6D1" w14:textId="77777777" w:rsidR="00E52E32" w:rsidRPr="005A447D" w:rsidRDefault="00E52E32" w:rsidP="00224B95">
      <w:pPr>
        <w:pStyle w:val="ListParagraph"/>
        <w:numPr>
          <w:ilvl w:val="0"/>
          <w:numId w:val="45"/>
        </w:numPr>
        <w:spacing w:line="360" w:lineRule="auto"/>
        <w:ind w:left="851" w:hanging="284"/>
        <w:contextualSpacing w:val="0"/>
      </w:pPr>
      <w:r w:rsidRPr="005A447D">
        <w:t>providing greater assurance of the level and nature of non-compliance</w:t>
      </w:r>
    </w:p>
    <w:p w14:paraId="31FE644D" w14:textId="77777777" w:rsidR="00E52E32" w:rsidRPr="005A447D" w:rsidRDefault="00E52E32" w:rsidP="00224B95">
      <w:pPr>
        <w:pStyle w:val="ListParagraph"/>
        <w:numPr>
          <w:ilvl w:val="0"/>
          <w:numId w:val="45"/>
        </w:numPr>
        <w:spacing w:line="360" w:lineRule="auto"/>
        <w:ind w:left="851" w:hanging="284"/>
        <w:contextualSpacing w:val="0"/>
      </w:pPr>
      <w:r w:rsidRPr="005A447D">
        <w:t>encouraging compliance by increasing the emphasis in marketing activities on the ATO’s role in enforcing superannuation guarantee obligations</w:t>
      </w:r>
    </w:p>
    <w:p w14:paraId="075AB68B" w14:textId="77777777" w:rsidR="00E52E32" w:rsidRPr="005A447D" w:rsidRDefault="00E52E32" w:rsidP="00224B95">
      <w:pPr>
        <w:pStyle w:val="ListParagraph"/>
        <w:numPr>
          <w:ilvl w:val="0"/>
          <w:numId w:val="45"/>
        </w:numPr>
        <w:spacing w:line="360" w:lineRule="auto"/>
        <w:ind w:left="851" w:hanging="284"/>
        <w:contextualSpacing w:val="0"/>
      </w:pPr>
      <w:r w:rsidRPr="005A447D">
        <w:t>better aligning the compliance strategy with compliance activities of other areas in the ATO</w:t>
      </w:r>
    </w:p>
    <w:p w14:paraId="3E199A6F" w14:textId="77777777" w:rsidR="00E52E32" w:rsidRPr="00224B95" w:rsidRDefault="00E52E32" w:rsidP="00224B95">
      <w:pPr>
        <w:pStyle w:val="ListParagraph"/>
        <w:numPr>
          <w:ilvl w:val="0"/>
          <w:numId w:val="45"/>
        </w:numPr>
        <w:spacing w:line="360" w:lineRule="auto"/>
        <w:ind w:left="851" w:hanging="284"/>
        <w:contextualSpacing w:val="0"/>
        <w:rPr>
          <w:color w:val="auto"/>
        </w:rPr>
      </w:pPr>
      <w:r w:rsidRPr="005A447D">
        <w:t>improving</w:t>
      </w:r>
      <w:r w:rsidRPr="00224B95">
        <w:rPr>
          <w:color w:val="auto"/>
        </w:rPr>
        <w:t xml:space="preserve"> the ATO’s evaluation of compliance effectiveness measures.</w:t>
      </w:r>
    </w:p>
    <w:p w14:paraId="7746670B" w14:textId="77777777" w:rsidR="00E52E32" w:rsidRDefault="00E52E32" w:rsidP="00E52E32">
      <w:pPr>
        <w:spacing w:line="300" w:lineRule="auto"/>
      </w:pPr>
      <w:r>
        <w:t>The</w:t>
      </w:r>
      <w:r w:rsidRPr="00A9562D">
        <w:t xml:space="preserve"> </w:t>
      </w:r>
      <w:r w:rsidRPr="002A7922">
        <w:t>Australian National Audit Office</w:t>
      </w:r>
      <w:r>
        <w:t xml:space="preserve"> </w:t>
      </w:r>
      <w:r w:rsidRPr="00A9562D">
        <w:t xml:space="preserve">found that </w:t>
      </w:r>
      <w:r>
        <w:t>the w</w:t>
      </w:r>
      <w:r w:rsidRPr="00A9562D">
        <w:t xml:space="preserve">ork </w:t>
      </w:r>
      <w:r>
        <w:t>being undertaking to</w:t>
      </w:r>
      <w:r w:rsidRPr="00A9562D">
        <w:t xml:space="preserve"> improve</w:t>
      </w:r>
      <w:r>
        <w:t xml:space="preserve"> superannuation guarantee </w:t>
      </w:r>
      <w:r w:rsidRPr="00A9562D">
        <w:t>compliance complement</w:t>
      </w:r>
      <w:r>
        <w:t>ed</w:t>
      </w:r>
      <w:r w:rsidRPr="00A9562D">
        <w:t xml:space="preserve"> the</w:t>
      </w:r>
      <w:r>
        <w:t>ir</w:t>
      </w:r>
      <w:r w:rsidRPr="00A9562D">
        <w:t xml:space="preserve"> recommendations.</w:t>
      </w:r>
      <w:r>
        <w:t xml:space="preserve">  This included:</w:t>
      </w:r>
    </w:p>
    <w:p w14:paraId="62EBFF37" w14:textId="77777777" w:rsidR="00E52E32" w:rsidRDefault="00E52E32" w:rsidP="00224B95">
      <w:pPr>
        <w:pStyle w:val="ListParagraph"/>
        <w:numPr>
          <w:ilvl w:val="0"/>
          <w:numId w:val="45"/>
        </w:numPr>
        <w:spacing w:line="360" w:lineRule="auto"/>
        <w:ind w:left="851" w:hanging="284"/>
        <w:contextualSpacing w:val="0"/>
      </w:pPr>
      <w:r>
        <w:t>applying differentiated treatments to employers based upon their compliance history so that those with a good compliance history or where genuine errors or oversights had been made received a ‘light touch’ approach</w:t>
      </w:r>
    </w:p>
    <w:p w14:paraId="12AAC251" w14:textId="77777777" w:rsidR="00E52E32" w:rsidRDefault="00E52E32" w:rsidP="00224B95">
      <w:pPr>
        <w:pStyle w:val="ListParagraph"/>
        <w:numPr>
          <w:ilvl w:val="0"/>
          <w:numId w:val="45"/>
        </w:numPr>
        <w:spacing w:line="360" w:lineRule="auto"/>
        <w:ind w:left="851" w:hanging="284"/>
        <w:contextualSpacing w:val="0"/>
      </w:pPr>
      <w:r>
        <w:t>defining the superannuation guarantee gap to better understand non-compliance and use this information to develop targeted strategies</w:t>
      </w:r>
    </w:p>
    <w:p w14:paraId="3BED4F07" w14:textId="2E484EDD" w:rsidR="00E52E32" w:rsidRDefault="00E52E32" w:rsidP="00224B95">
      <w:pPr>
        <w:pStyle w:val="ListParagraph"/>
        <w:numPr>
          <w:ilvl w:val="0"/>
          <w:numId w:val="45"/>
        </w:numPr>
        <w:spacing w:line="360" w:lineRule="auto"/>
        <w:ind w:left="851" w:hanging="284"/>
        <w:contextualSpacing w:val="0"/>
      </w:pPr>
      <w:r>
        <w:t>utilising data collected from a number of sources to inform a high risk industry strategy to target non-compliance more effectively amongst the repeat high risk employers/industries.</w:t>
      </w:r>
    </w:p>
    <w:p w14:paraId="19FDA2D3" w14:textId="77777777" w:rsidR="00E52E32" w:rsidRDefault="00E52E32" w:rsidP="00E52E32">
      <w:pPr>
        <w:pStyle w:val="Heading3"/>
      </w:pPr>
      <w:r>
        <w:t xml:space="preserve">Inspector General of Taxation </w:t>
      </w:r>
    </w:p>
    <w:p w14:paraId="325C45FB" w14:textId="77777777" w:rsidR="00E52E32" w:rsidRPr="002A7922" w:rsidRDefault="00E52E32" w:rsidP="00E52E32">
      <w:pPr>
        <w:spacing w:line="300" w:lineRule="auto"/>
      </w:pPr>
      <w:r w:rsidRPr="002A7922">
        <w:t>In 2010, the I</w:t>
      </w:r>
      <w:r>
        <w:t xml:space="preserve">nspector General of Taxation </w:t>
      </w:r>
      <w:r w:rsidRPr="002A7922">
        <w:t xml:space="preserve">reviewed the ATO’s administration of the </w:t>
      </w:r>
      <w:r>
        <w:t>s</w:t>
      </w:r>
      <w:r w:rsidRPr="002A7922">
        <w:t xml:space="preserve">uperannuation </w:t>
      </w:r>
      <w:r>
        <w:t>g</w:t>
      </w:r>
      <w:r w:rsidRPr="002A7922">
        <w:t xml:space="preserve">uarantee </w:t>
      </w:r>
      <w:r>
        <w:t>c</w:t>
      </w:r>
      <w:r w:rsidRPr="002A7922">
        <w:t>harge.  The I</w:t>
      </w:r>
      <w:r>
        <w:t xml:space="preserve">nspector General’s </w:t>
      </w:r>
      <w:r w:rsidRPr="002A7922">
        <w:t xml:space="preserve">recommendations covered the early identification of </w:t>
      </w:r>
      <w:r>
        <w:t xml:space="preserve">superannuation guarantee </w:t>
      </w:r>
      <w:r w:rsidRPr="002A7922">
        <w:t xml:space="preserve">shortfall, the timely handling of employee complaints and the prompt collection of outstanding </w:t>
      </w:r>
      <w:r>
        <w:t>superannuation guarantee charge</w:t>
      </w:r>
      <w:r w:rsidRPr="002A7922">
        <w:t>.  The recommendations were directed to the ATO and to the Government.</w:t>
      </w:r>
    </w:p>
    <w:p w14:paraId="18F5730C" w14:textId="77777777" w:rsidR="00E52E32" w:rsidRPr="002A7922" w:rsidRDefault="00E52E32" w:rsidP="00E52E32">
      <w:r w:rsidRPr="002A7922">
        <w:t>In brief</w:t>
      </w:r>
      <w:r>
        <w:t xml:space="preserve">, the recommendations directed toward </w:t>
      </w:r>
      <w:r w:rsidRPr="002A7922">
        <w:t>the ATO included:</w:t>
      </w:r>
    </w:p>
    <w:p w14:paraId="1B4B4411" w14:textId="77777777" w:rsidR="00E52E32" w:rsidRPr="002A7922" w:rsidRDefault="00E52E32" w:rsidP="00224B95">
      <w:pPr>
        <w:pStyle w:val="ListParagraph"/>
        <w:numPr>
          <w:ilvl w:val="0"/>
          <w:numId w:val="45"/>
        </w:numPr>
        <w:spacing w:line="360" w:lineRule="auto"/>
        <w:ind w:left="851" w:hanging="284"/>
        <w:contextualSpacing w:val="0"/>
      </w:pPr>
      <w:r>
        <w:t xml:space="preserve">undertaking greater </w:t>
      </w:r>
      <w:r w:rsidRPr="002A7922">
        <w:t xml:space="preserve">analysis to ascertain a more complete picture of non-compliance </w:t>
      </w:r>
    </w:p>
    <w:p w14:paraId="317EF633" w14:textId="77777777" w:rsidR="00E52E32" w:rsidRPr="002A7922" w:rsidRDefault="00E52E32" w:rsidP="00224B95">
      <w:pPr>
        <w:pStyle w:val="ListParagraph"/>
        <w:numPr>
          <w:ilvl w:val="0"/>
          <w:numId w:val="45"/>
        </w:numPr>
        <w:spacing w:line="360" w:lineRule="auto"/>
        <w:ind w:left="851" w:hanging="284"/>
        <w:contextualSpacing w:val="0"/>
      </w:pPr>
      <w:r w:rsidRPr="002A7922">
        <w:t>use of third party data sharing to allow real-time monitoring of high-risk employers</w:t>
      </w:r>
    </w:p>
    <w:p w14:paraId="6EB7DAF1" w14:textId="77777777" w:rsidR="00E52E32" w:rsidRPr="002A7922" w:rsidRDefault="00E52E32" w:rsidP="00224B95">
      <w:pPr>
        <w:pStyle w:val="ListParagraph"/>
        <w:numPr>
          <w:ilvl w:val="0"/>
          <w:numId w:val="45"/>
        </w:numPr>
        <w:spacing w:line="360" w:lineRule="auto"/>
        <w:ind w:left="851" w:hanging="284"/>
        <w:contextualSpacing w:val="0"/>
      </w:pPr>
      <w:r w:rsidRPr="002A7922">
        <w:t xml:space="preserve">improvement of employee communications in relation to </w:t>
      </w:r>
      <w:r>
        <w:t>employee complaints</w:t>
      </w:r>
    </w:p>
    <w:p w14:paraId="1E573648" w14:textId="77777777" w:rsidR="00E52E32" w:rsidRPr="002A7922" w:rsidRDefault="00E52E32" w:rsidP="00224B95">
      <w:pPr>
        <w:pStyle w:val="ListParagraph"/>
        <w:numPr>
          <w:ilvl w:val="0"/>
          <w:numId w:val="45"/>
        </w:numPr>
        <w:spacing w:line="360" w:lineRule="auto"/>
        <w:ind w:left="851" w:hanging="284"/>
        <w:contextualSpacing w:val="0"/>
      </w:pPr>
      <w:r>
        <w:t>m</w:t>
      </w:r>
      <w:r w:rsidRPr="002A7922">
        <w:t xml:space="preserve">easuring the time it takes for an employee to receive their </w:t>
      </w:r>
      <w:r>
        <w:t xml:space="preserve">superannuation guarantee </w:t>
      </w:r>
      <w:r w:rsidRPr="002A7922">
        <w:t>entitlement</w:t>
      </w:r>
    </w:p>
    <w:p w14:paraId="12CA1CD5" w14:textId="77777777" w:rsidR="00E52E32" w:rsidRPr="002A7922" w:rsidRDefault="00E52E32" w:rsidP="00224B95">
      <w:pPr>
        <w:pStyle w:val="ListParagraph"/>
        <w:numPr>
          <w:ilvl w:val="0"/>
          <w:numId w:val="45"/>
        </w:numPr>
        <w:spacing w:line="360" w:lineRule="auto"/>
        <w:ind w:left="851" w:hanging="284"/>
        <w:contextualSpacing w:val="0"/>
      </w:pPr>
      <w:r>
        <w:t>i</w:t>
      </w:r>
      <w:r w:rsidRPr="002A7922">
        <w:t xml:space="preserve">mproving </w:t>
      </w:r>
      <w:r>
        <w:t xml:space="preserve">superannuation guarantee </w:t>
      </w:r>
      <w:r w:rsidRPr="002A7922">
        <w:t>administration and performance reporting</w:t>
      </w:r>
    </w:p>
    <w:p w14:paraId="6EC0E574" w14:textId="77777777" w:rsidR="00E52E32" w:rsidRPr="002A7922" w:rsidRDefault="00E52E32" w:rsidP="00224B95">
      <w:pPr>
        <w:pStyle w:val="ListParagraph"/>
        <w:numPr>
          <w:ilvl w:val="0"/>
          <w:numId w:val="45"/>
        </w:numPr>
        <w:spacing w:line="360" w:lineRule="auto"/>
        <w:ind w:left="851" w:hanging="284"/>
        <w:contextualSpacing w:val="0"/>
      </w:pPr>
      <w:r>
        <w:t>i</w:t>
      </w:r>
      <w:r w:rsidRPr="002A7922">
        <w:t>mposition of  penalties at a more meaningful level</w:t>
      </w:r>
    </w:p>
    <w:p w14:paraId="792F7751" w14:textId="77777777" w:rsidR="00E52E32" w:rsidRPr="002A7922" w:rsidRDefault="00E52E32" w:rsidP="00224B95">
      <w:pPr>
        <w:pStyle w:val="ListParagraph"/>
        <w:numPr>
          <w:ilvl w:val="0"/>
          <w:numId w:val="45"/>
        </w:numPr>
        <w:spacing w:line="360" w:lineRule="auto"/>
        <w:ind w:left="851" w:hanging="284"/>
        <w:contextualSpacing w:val="0"/>
      </w:pPr>
      <w:r w:rsidRPr="002A7922">
        <w:t>improving risk identification to better target high risk employers.</w:t>
      </w:r>
    </w:p>
    <w:p w14:paraId="2D015916" w14:textId="77777777" w:rsidR="00E52E32" w:rsidRPr="002A7922" w:rsidRDefault="00E52E32" w:rsidP="00E52E32">
      <w:pPr>
        <w:spacing w:line="300" w:lineRule="auto"/>
      </w:pPr>
      <w:r>
        <w:t xml:space="preserve">A further </w:t>
      </w:r>
      <w:r w:rsidRPr="002A7922">
        <w:t xml:space="preserve">recommendation to expand proactive </w:t>
      </w:r>
      <w:r>
        <w:t xml:space="preserve">superannuation guarantee </w:t>
      </w:r>
      <w:r w:rsidRPr="002A7922">
        <w:t xml:space="preserve">audit work was not agreed to as the </w:t>
      </w:r>
      <w:r>
        <w:t xml:space="preserve">ATO </w:t>
      </w:r>
      <w:r w:rsidRPr="002A7922">
        <w:t>had public</w:t>
      </w:r>
      <w:r>
        <w:t xml:space="preserve">ly </w:t>
      </w:r>
      <w:r w:rsidRPr="002A7922">
        <w:t>commit</w:t>
      </w:r>
      <w:r>
        <w:t xml:space="preserve">ted </w:t>
      </w:r>
      <w:r w:rsidRPr="002A7922">
        <w:t>to follow</w:t>
      </w:r>
      <w:r>
        <w:t>-</w:t>
      </w:r>
      <w:r w:rsidRPr="002A7922">
        <w:t>up e</w:t>
      </w:r>
      <w:r>
        <w:t xml:space="preserve">very </w:t>
      </w:r>
      <w:r w:rsidRPr="002A7922">
        <w:t xml:space="preserve">employee complaint </w:t>
      </w:r>
      <w:r>
        <w:t xml:space="preserve">and had </w:t>
      </w:r>
      <w:r w:rsidRPr="002A7922">
        <w:t>already allocated a high percentage of resources to proactive activities</w:t>
      </w:r>
      <w:r>
        <w:t>.</w:t>
      </w:r>
    </w:p>
    <w:p w14:paraId="27C361CF" w14:textId="77777777" w:rsidR="00E52E32" w:rsidRDefault="00E52E32" w:rsidP="00E52E32"/>
    <w:p w14:paraId="0D8BFA40" w14:textId="77777777" w:rsidR="00885E8A" w:rsidRDefault="00885E8A" w:rsidP="00885E8A"/>
    <w:sectPr w:rsidR="00885E8A" w:rsidSect="00B47205">
      <w:pgSz w:w="11906" w:h="16838" w:code="9"/>
      <w:pgMar w:top="1418" w:right="1418" w:bottom="1418" w:left="1418" w:header="397" w:footer="45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D0CD26" w14:textId="77777777" w:rsidR="00A16A2F" w:rsidRDefault="00A16A2F" w:rsidP="00885E8A">
      <w:r>
        <w:separator/>
      </w:r>
    </w:p>
  </w:endnote>
  <w:endnote w:type="continuationSeparator" w:id="0">
    <w:p w14:paraId="1E082B12" w14:textId="77777777" w:rsidR="00A16A2F" w:rsidRDefault="00A16A2F" w:rsidP="00885E8A">
      <w:r>
        <w:continuationSeparator/>
      </w:r>
    </w:p>
  </w:endnote>
  <w:endnote w:type="continuationNotice" w:id="1">
    <w:p w14:paraId="6A6AF6B1" w14:textId="77777777" w:rsidR="00A16A2F" w:rsidRDefault="00A16A2F">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FUIText">
    <w:altName w:val="Times New Roman"/>
    <w:panose1 w:val="00000000000000000000"/>
    <w:charset w:val="00"/>
    <w:family w:val="roman"/>
    <w:notTrueType/>
    <w:pitch w:val="default"/>
  </w:font>
  <w:font w:name="Times">
    <w:panose1 w:val="02020603050405020304"/>
    <w:charset w:val="00"/>
    <w:family w:val="roman"/>
    <w:pitch w:val="variable"/>
    <w:sig w:usb0="E0002AFF" w:usb1="C0007841" w:usb2="00000009" w:usb3="00000000" w:csb0="000001FF" w:csb1="00000000"/>
  </w:font>
  <w:font w:name="MS Shell Dlg 2">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7B6DB4" w14:textId="78F99045" w:rsidR="00A16A2F" w:rsidRPr="00A73D97" w:rsidRDefault="00A16A2F" w:rsidP="00885E8A">
    <w:pPr>
      <w:pStyle w:val="Footer"/>
      <w:tabs>
        <w:tab w:val="clear" w:pos="4513"/>
        <w:tab w:val="clear" w:pos="9026"/>
        <w:tab w:val="right" w:pos="9923"/>
      </w:tabs>
      <w:rPr>
        <w:lang w:val="en-US"/>
      </w:rPr>
    </w:pPr>
    <w:r>
      <w:rPr>
        <w:lang w:val="en-US"/>
      </w:rPr>
      <w:tab/>
    </w:r>
    <w:r w:rsidRPr="00F67130">
      <w:rPr>
        <w:noProof/>
        <w:sz w:val="20"/>
        <w:lang w:val="en-US"/>
      </w:rPr>
      <w:fldChar w:fldCharType="begin"/>
    </w:r>
    <w:r w:rsidRPr="00F67130">
      <w:rPr>
        <w:noProof/>
        <w:sz w:val="20"/>
        <w:lang w:val="en-US"/>
      </w:rPr>
      <w:instrText xml:space="preserve"> </w:instrText>
    </w:r>
    <w:r>
      <w:rPr>
        <w:noProof/>
        <w:sz w:val="20"/>
        <w:lang w:val="en-US"/>
      </w:rPr>
      <w:instrText>PAGE</w:instrText>
    </w:r>
    <w:r w:rsidRPr="00F67130">
      <w:rPr>
        <w:noProof/>
        <w:sz w:val="20"/>
        <w:lang w:val="en-US"/>
      </w:rPr>
      <w:instrText xml:space="preserve">   \* MERGEFORMAT </w:instrText>
    </w:r>
    <w:r w:rsidRPr="00F67130">
      <w:rPr>
        <w:noProof/>
        <w:sz w:val="20"/>
        <w:lang w:val="en-US"/>
      </w:rPr>
      <w:fldChar w:fldCharType="separate"/>
    </w:r>
    <w:r w:rsidR="008A29EE" w:rsidRPr="008A29EE">
      <w:rPr>
        <w:caps w:val="0"/>
        <w:noProof/>
        <w:sz w:val="20"/>
        <w:lang w:val="en-US"/>
      </w:rPr>
      <w:t>3</w:t>
    </w:r>
    <w:r w:rsidRPr="00F67130">
      <w:rPr>
        <w:noProof/>
        <w:sz w:val="20"/>
        <w:lang w:val="en-U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D181CD" w14:textId="5EE1013E" w:rsidR="00A16A2F" w:rsidRPr="00A73D97" w:rsidRDefault="00A16A2F" w:rsidP="00885E8A">
    <w:pPr>
      <w:pStyle w:val="Footer"/>
      <w:tabs>
        <w:tab w:val="clear" w:pos="4513"/>
        <w:tab w:val="clear" w:pos="9026"/>
        <w:tab w:val="right" w:pos="9923"/>
      </w:tabs>
      <w:rPr>
        <w:lang w:val="en-US"/>
      </w:rPr>
    </w:pPr>
    <w:r>
      <w:rPr>
        <w:lang w:val="en-US"/>
      </w:rPr>
      <w:tab/>
    </w:r>
    <w:r w:rsidRPr="00F67130">
      <w:rPr>
        <w:noProof/>
        <w:sz w:val="20"/>
        <w:lang w:val="en-US"/>
      </w:rPr>
      <w:fldChar w:fldCharType="begin"/>
    </w:r>
    <w:r w:rsidRPr="00F67130">
      <w:rPr>
        <w:noProof/>
        <w:sz w:val="20"/>
        <w:lang w:val="en-US"/>
      </w:rPr>
      <w:instrText xml:space="preserve"> </w:instrText>
    </w:r>
    <w:r>
      <w:rPr>
        <w:noProof/>
        <w:sz w:val="20"/>
        <w:lang w:val="en-US"/>
      </w:rPr>
      <w:instrText>PAGE</w:instrText>
    </w:r>
    <w:r w:rsidRPr="00F67130">
      <w:rPr>
        <w:noProof/>
        <w:sz w:val="20"/>
        <w:lang w:val="en-US"/>
      </w:rPr>
      <w:instrText xml:space="preserve">   \* MERGEFORMAT </w:instrText>
    </w:r>
    <w:r w:rsidRPr="00F67130">
      <w:rPr>
        <w:noProof/>
        <w:sz w:val="20"/>
        <w:lang w:val="en-US"/>
      </w:rPr>
      <w:fldChar w:fldCharType="separate"/>
    </w:r>
    <w:r w:rsidR="008A29EE" w:rsidRPr="008A29EE">
      <w:rPr>
        <w:caps w:val="0"/>
        <w:noProof/>
        <w:sz w:val="20"/>
        <w:lang w:val="en-US"/>
      </w:rPr>
      <w:t>2</w:t>
    </w:r>
    <w:r w:rsidRPr="00F67130">
      <w:rPr>
        <w:noProof/>
        <w:sz w:val="20"/>
        <w:lang w:val="en-U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0957799"/>
      <w:docPartObj>
        <w:docPartGallery w:val="Page Numbers (Bottom of Page)"/>
        <w:docPartUnique/>
      </w:docPartObj>
    </w:sdtPr>
    <w:sdtEndPr>
      <w:rPr>
        <w:noProof/>
      </w:rPr>
    </w:sdtEndPr>
    <w:sdtContent>
      <w:p w14:paraId="4B7674B7" w14:textId="2FBED9B5" w:rsidR="00A16A2F" w:rsidRDefault="00A16A2F">
        <w:pPr>
          <w:pStyle w:val="Footer"/>
          <w:jc w:val="right"/>
        </w:pPr>
        <w:r>
          <w:rPr>
            <w:b/>
            <w:sz w:val="20"/>
          </w:rPr>
          <w:tab/>
        </w:r>
        <w:r>
          <w:rPr>
            <w:b/>
            <w:sz w:val="20"/>
          </w:rPr>
          <w:tab/>
        </w:r>
        <w:r>
          <w:fldChar w:fldCharType="begin"/>
        </w:r>
        <w:r>
          <w:instrText xml:space="preserve"> PAGE   \* MERGEFORMAT </w:instrText>
        </w:r>
        <w:r>
          <w:fldChar w:fldCharType="separate"/>
        </w:r>
        <w:r w:rsidR="008A29EE">
          <w:rPr>
            <w:noProof/>
          </w:rPr>
          <w:t>6</w:t>
        </w:r>
        <w:r>
          <w:rPr>
            <w:noProof/>
          </w:rPr>
          <w:fldChar w:fldCharType="end"/>
        </w:r>
      </w:p>
    </w:sdtContent>
  </w:sdt>
  <w:p w14:paraId="1A6866E0" w14:textId="77777777" w:rsidR="00A16A2F" w:rsidRDefault="00A16A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EED0CA" w14:textId="77777777" w:rsidR="00A16A2F" w:rsidRDefault="00A16A2F" w:rsidP="00885E8A">
      <w:r>
        <w:separator/>
      </w:r>
    </w:p>
  </w:footnote>
  <w:footnote w:type="continuationSeparator" w:id="0">
    <w:p w14:paraId="33FF8F1B" w14:textId="77777777" w:rsidR="00A16A2F" w:rsidRDefault="00A16A2F" w:rsidP="00885E8A">
      <w:r>
        <w:continuationSeparator/>
      </w:r>
    </w:p>
  </w:footnote>
  <w:footnote w:type="continuationNotice" w:id="1">
    <w:p w14:paraId="2133E47E" w14:textId="77777777" w:rsidR="00A16A2F" w:rsidRDefault="00A16A2F">
      <w:pPr>
        <w:spacing w:before="0" w:line="240" w:lineRule="auto"/>
      </w:pPr>
    </w:p>
  </w:footnote>
  <w:footnote w:id="2">
    <w:p w14:paraId="73050A9B" w14:textId="48424623" w:rsidR="00A16A2F" w:rsidRDefault="00A16A2F">
      <w:pPr>
        <w:pStyle w:val="FootnoteText"/>
      </w:pPr>
      <w:r>
        <w:rPr>
          <w:rStyle w:val="FootnoteReference"/>
        </w:rPr>
        <w:footnoteRef/>
      </w:r>
      <w:r>
        <w:t xml:space="preserve"> ISA, </w:t>
      </w:r>
      <w:r w:rsidRPr="00F02514">
        <w:rPr>
          <w:i/>
        </w:rPr>
        <w:t>Overdue: Time for Action on Unpaid Super</w:t>
      </w:r>
      <w:r>
        <w:t xml:space="preserve"> (December 2016). </w:t>
      </w:r>
    </w:p>
  </w:footnote>
  <w:footnote w:id="3">
    <w:p w14:paraId="29A39217" w14:textId="61D640D3" w:rsidR="00A16A2F" w:rsidRDefault="00A16A2F" w:rsidP="00023213">
      <w:pPr>
        <w:pStyle w:val="FootnoteText"/>
      </w:pPr>
      <w:r>
        <w:rPr>
          <w:rStyle w:val="FootnoteReference"/>
        </w:rPr>
        <w:footnoteRef/>
      </w:r>
      <w:r>
        <w:t xml:space="preserve"> ISA Supplementary Submission (March 2017).</w:t>
      </w:r>
    </w:p>
  </w:footnote>
  <w:footnote w:id="4">
    <w:p w14:paraId="530ECF5A" w14:textId="318990E5" w:rsidR="00A16A2F" w:rsidRDefault="00A16A2F">
      <w:pPr>
        <w:pStyle w:val="FootnoteText"/>
      </w:pPr>
      <w:r>
        <w:rPr>
          <w:rStyle w:val="FootnoteReference"/>
        </w:rPr>
        <w:footnoteRef/>
      </w:r>
      <w:r>
        <w:t xml:space="preserve"> APRA, </w:t>
      </w:r>
      <w:r>
        <w:rPr>
          <w:i/>
        </w:rPr>
        <w:t>Annual Superannuation Bulletin,</w:t>
      </w:r>
      <w:r>
        <w:t xml:space="preserve"> Table 4a: Financial performance by fund type (as at 1 February 2017). </w:t>
      </w:r>
    </w:p>
  </w:footnote>
  <w:footnote w:id="5">
    <w:p w14:paraId="7A35A03C" w14:textId="77777777" w:rsidR="00A16A2F" w:rsidRDefault="00A16A2F" w:rsidP="00F02514">
      <w:pPr>
        <w:pStyle w:val="FootnoteText"/>
      </w:pPr>
      <w:r>
        <w:rPr>
          <w:rStyle w:val="FootnoteReference"/>
        </w:rPr>
        <w:footnoteRef/>
      </w:r>
      <w:r>
        <w:t xml:space="preserve"> See supplementary submission 7: </w:t>
      </w:r>
      <w:hyperlink r:id="rId1" w:history="1">
        <w:r w:rsidRPr="00E65F1B">
          <w:rPr>
            <w:rStyle w:val="Hyperlink"/>
          </w:rPr>
          <w:t>http://www.aph.gov.au/Parliamentary_Business/Committees/Senate/Economics/SuperannuationGuarantee/Submissions</w:t>
        </w:r>
      </w:hyperlink>
      <w:r>
        <w:t xml:space="preserve"> </w:t>
      </w:r>
    </w:p>
  </w:footnote>
  <w:footnote w:id="6">
    <w:p w14:paraId="1FF60363" w14:textId="77777777" w:rsidR="00A16A2F" w:rsidRDefault="00A16A2F" w:rsidP="00686553">
      <w:pPr>
        <w:pStyle w:val="FootnoteText"/>
      </w:pPr>
      <w:r>
        <w:rPr>
          <w:rStyle w:val="FootnoteReference"/>
        </w:rPr>
        <w:footnoteRef/>
      </w:r>
      <w:r>
        <w:t xml:space="preserve"> ‘Ordinary time earnings’</w:t>
      </w:r>
      <w:r w:rsidRPr="0074765D">
        <w:t xml:space="preserve"> is lower than total </w:t>
      </w:r>
      <w:r>
        <w:t xml:space="preserve">salary or </w:t>
      </w:r>
      <w:r w:rsidRPr="0074765D">
        <w:t>wages as it excludes certain types of remuneration such as bonuses, overtime and termination payments related to unused annual leave</w:t>
      </w:r>
      <w:r>
        <w:t>.</w:t>
      </w:r>
    </w:p>
  </w:footnote>
  <w:footnote w:id="7">
    <w:p w14:paraId="3BECC0A9" w14:textId="2F9FAF01" w:rsidR="00A16A2F" w:rsidRDefault="00A16A2F">
      <w:pPr>
        <w:pStyle w:val="FootnoteText"/>
      </w:pPr>
      <w:r>
        <w:rPr>
          <w:rStyle w:val="FootnoteReference"/>
        </w:rPr>
        <w:footnoteRef/>
      </w:r>
      <w:r>
        <w:t xml:space="preserve"> The rate of superannuation guarantee is set to start increasing by half a per cent each year from 1 July 2021 until it reaches 12 per cent by 1 July 2025.</w:t>
      </w:r>
    </w:p>
  </w:footnote>
  <w:footnote w:id="8">
    <w:p w14:paraId="04A7E91E" w14:textId="77777777" w:rsidR="00A16A2F" w:rsidRDefault="00A16A2F">
      <w:pPr>
        <w:pStyle w:val="FootnoteText"/>
      </w:pPr>
      <w:r>
        <w:rPr>
          <w:rStyle w:val="FootnoteReference"/>
        </w:rPr>
        <w:footnoteRef/>
      </w:r>
      <w:r>
        <w:t xml:space="preserve"> Review into the </w:t>
      </w:r>
      <w:r w:rsidRPr="00F71EF8">
        <w:rPr>
          <w:i/>
        </w:rPr>
        <w:t>Governance, Efficiency, Structure and Operation of Australia’s Superannuation System</w:t>
      </w:r>
      <w:r>
        <w:t xml:space="preserve"> chaired by Jeremy Cooper. </w:t>
      </w:r>
    </w:p>
  </w:footnote>
  <w:footnote w:id="9">
    <w:p w14:paraId="38A6CF95" w14:textId="77777777" w:rsidR="00A16A2F" w:rsidRDefault="00A16A2F" w:rsidP="00E37FE4">
      <w:pPr>
        <w:pStyle w:val="FootnoteText"/>
      </w:pPr>
      <w:r>
        <w:rPr>
          <w:rStyle w:val="FootnoteReference"/>
        </w:rPr>
        <w:footnoteRef/>
      </w:r>
      <w:r>
        <w:t xml:space="preserve"> </w:t>
      </w:r>
      <w:r w:rsidRPr="00EA05B0">
        <w:t>The Cooper Review identified that there was a need to legislate to standardise the way in which superannuation funds received and processed superannuation contributions from employers on behalf of employees.</w:t>
      </w:r>
    </w:p>
  </w:footnote>
  <w:footnote w:id="10">
    <w:p w14:paraId="72765CFE" w14:textId="77777777" w:rsidR="00A16A2F" w:rsidRDefault="00A16A2F">
      <w:pPr>
        <w:pStyle w:val="FootnoteText"/>
      </w:pPr>
      <w:r>
        <w:rPr>
          <w:rStyle w:val="FootnoteReference"/>
        </w:rPr>
        <w:footnoteRef/>
      </w:r>
      <w:r>
        <w:t xml:space="preserve"> APRA, </w:t>
      </w:r>
      <w:r>
        <w:rPr>
          <w:i/>
        </w:rPr>
        <w:t>Annual Superannuation Bulletin</w:t>
      </w:r>
      <w:r>
        <w:t xml:space="preserve"> (as at 1 February 2017), Table 4a: Financial performance by fund type</w:t>
      </w:r>
    </w:p>
  </w:footnote>
  <w:footnote w:id="11">
    <w:p w14:paraId="5F1E5A51" w14:textId="77777777" w:rsidR="00A16A2F" w:rsidRDefault="00A16A2F" w:rsidP="003F4770">
      <w:pPr>
        <w:pStyle w:val="FootnoteText"/>
      </w:pPr>
      <w:r>
        <w:rPr>
          <w:rStyle w:val="FootnoteReference"/>
        </w:rPr>
        <w:footnoteRef/>
      </w:r>
      <w:r>
        <w:t xml:space="preserve"> Employers with fewer than 20 employees or that have less than $2 million in annual aggregated turnover are eligible to use the Small Business Superannuation Clearing House.</w:t>
      </w:r>
    </w:p>
  </w:footnote>
  <w:footnote w:id="12">
    <w:p w14:paraId="76D1DB76" w14:textId="4339077D" w:rsidR="00A16A2F" w:rsidRDefault="00A16A2F">
      <w:pPr>
        <w:pStyle w:val="FootnoteText"/>
      </w:pPr>
      <w:r>
        <w:rPr>
          <w:rStyle w:val="FootnoteReference"/>
        </w:rPr>
        <w:footnoteRef/>
      </w:r>
      <w:r>
        <w:t xml:space="preserve"> Figures provided by the ATO as at February 2017. This figure should be seen as a proportion of the approximately 700,000 employers eligible to use the service. </w:t>
      </w:r>
    </w:p>
  </w:footnote>
  <w:footnote w:id="13">
    <w:p w14:paraId="6BDD2591" w14:textId="77777777" w:rsidR="00A16A2F" w:rsidRDefault="00A16A2F" w:rsidP="00E77FEF">
      <w:pPr>
        <w:pStyle w:val="FootnoteText"/>
      </w:pPr>
      <w:r>
        <w:rPr>
          <w:rStyle w:val="FootnoteReference"/>
        </w:rPr>
        <w:footnoteRef/>
      </w:r>
      <w:r>
        <w:t xml:space="preserve"> </w:t>
      </w:r>
      <w:r w:rsidRPr="00F54DA2">
        <w:t>An employer’s obligations include many things other than superannuation guarantee.  They have a range of tax and other non-tax obligations. Employers are generally required to pay income tax, GST, pay-as-you-go withholding, FBT and state payroll tax. Non-tax related employment obligations include superannuation guarantee, choice of super</w:t>
      </w:r>
      <w:r>
        <w:t>annuation</w:t>
      </w:r>
      <w:r w:rsidRPr="00F54DA2">
        <w:t xml:space="preserve"> fund, workplace relations legislation, occupational health and safety, leave entitlements and award entitlements.</w:t>
      </w:r>
    </w:p>
  </w:footnote>
  <w:footnote w:id="14">
    <w:p w14:paraId="770594A1" w14:textId="77777777" w:rsidR="00A16A2F" w:rsidRDefault="00A16A2F" w:rsidP="00AE199F">
      <w:pPr>
        <w:pStyle w:val="FootnoteText"/>
      </w:pPr>
      <w:r>
        <w:rPr>
          <w:rStyle w:val="FootnoteReference"/>
        </w:rPr>
        <w:footnoteRef/>
      </w:r>
      <w:r>
        <w:t xml:space="preserve"> Analysis based on ATO data including the pattern of employee complaints made to the ATO. </w:t>
      </w:r>
    </w:p>
  </w:footnote>
  <w:footnote w:id="15">
    <w:p w14:paraId="2ADA50D6" w14:textId="5F0D1D47" w:rsidR="00A16A2F" w:rsidRDefault="00A16A2F" w:rsidP="00444714">
      <w:pPr>
        <w:pStyle w:val="FootnoteText"/>
      </w:pPr>
      <w:r>
        <w:rPr>
          <w:rStyle w:val="FootnoteReference"/>
        </w:rPr>
        <w:footnoteRef/>
      </w:r>
      <w:r>
        <w:t xml:space="preserve"> This model or similar models have garnered some support from other stakeholders such as the Chartered Accountants of Australia and New Zealand and the Australian Small Business and Family Enterprise Ombudsman in their submissions to the Senate Committee.</w:t>
      </w:r>
    </w:p>
  </w:footnote>
  <w:footnote w:id="16">
    <w:p w14:paraId="145BEF85" w14:textId="6232638C" w:rsidR="00A16A2F" w:rsidRDefault="00A16A2F" w:rsidP="00444714">
      <w:pPr>
        <w:pStyle w:val="FootnoteText"/>
      </w:pPr>
      <w:r>
        <w:rPr>
          <w:rStyle w:val="FootnoteReference"/>
        </w:rPr>
        <w:footnoteRef/>
      </w:r>
      <w:r>
        <w:t xml:space="preserve"> Productivity Commission, Superannuation: Alternative Default Models, Draft Report (March 2017). </w:t>
      </w:r>
    </w:p>
  </w:footnote>
  <w:footnote w:id="17">
    <w:p w14:paraId="260089A0" w14:textId="4221DF8E" w:rsidR="00A16A2F" w:rsidRPr="00F71EF8" w:rsidRDefault="00A16A2F" w:rsidP="008B0DA7">
      <w:pPr>
        <w:pStyle w:val="FootnoteText"/>
      </w:pPr>
      <w:r>
        <w:rPr>
          <w:rStyle w:val="FootnoteReference"/>
        </w:rPr>
        <w:footnoteRef/>
      </w:r>
      <w:r>
        <w:t xml:space="preserve"> ISA, Australian Super, Australian Institute for Superannuation Trustees, Mine Wealth and Wellbeing, Council of the Ageing, Australian Financial Advisors and United Voice in their </w:t>
      </w:r>
      <w:r w:rsidRPr="004A2866">
        <w:t>submissions to the Senate Committee</w:t>
      </w:r>
      <w:r>
        <w:t xml:space="preserve">, and the Inspector General of Taxation report </w:t>
      </w:r>
      <w:r w:rsidRPr="004A2866">
        <w:rPr>
          <w:i/>
        </w:rPr>
        <w:t>Review into the ATO’s administration of the Superannuation Guarantee Charge</w:t>
      </w:r>
      <w:r>
        <w:rPr>
          <w:i/>
        </w:rPr>
        <w:t xml:space="preserve"> </w:t>
      </w:r>
      <w:r>
        <w:t>(2010).</w:t>
      </w:r>
    </w:p>
  </w:footnote>
  <w:footnote w:id="18">
    <w:p w14:paraId="7DAC7D76" w14:textId="2B3F919F" w:rsidR="00A16A2F" w:rsidRDefault="00A16A2F" w:rsidP="00F716AB">
      <w:pPr>
        <w:pStyle w:val="FootnoteText"/>
      </w:pPr>
      <w:r w:rsidRPr="00226E1D">
        <w:rPr>
          <w:rStyle w:val="FootnoteReference"/>
        </w:rPr>
        <w:footnoteRef/>
      </w:r>
      <w:r w:rsidRPr="00226E1D">
        <w:t xml:space="preserve"> </w:t>
      </w:r>
      <w:r w:rsidRPr="00F71EF8">
        <w:t xml:space="preserve">ISA, </w:t>
      </w:r>
      <w:r w:rsidRPr="00F71EF8">
        <w:rPr>
          <w:i/>
        </w:rPr>
        <w:t>Overdue: Time for action on unpaid super</w:t>
      </w:r>
      <w:r w:rsidRPr="00F71EF8">
        <w:t xml:space="preserve"> (2016) and ISA, Australian Super (in supporting ISA’s recommendations) and Professor Helen Anderson in their submissions to the Senate Committee. </w:t>
      </w:r>
    </w:p>
  </w:footnote>
  <w:footnote w:id="19">
    <w:p w14:paraId="7B99C0B6" w14:textId="77777777" w:rsidR="00A16A2F" w:rsidRDefault="00A16A2F" w:rsidP="00365529">
      <w:pPr>
        <w:pStyle w:val="FootnoteText"/>
      </w:pPr>
      <w:r>
        <w:rPr>
          <w:rStyle w:val="FootnoteReference"/>
        </w:rPr>
        <w:footnoteRef/>
      </w:r>
      <w:r>
        <w:t xml:space="preserve"> The Treasury Laws Amendment (2017 Measures No. 1) Bill 2017 passed both Houses on 27 March 2017. As at the time of writing it is awaiting Royal Assent. </w:t>
      </w:r>
    </w:p>
  </w:footnote>
  <w:footnote w:id="20">
    <w:p w14:paraId="4B9E3402" w14:textId="77777777" w:rsidR="00A16A2F" w:rsidRDefault="00A16A2F" w:rsidP="003B3F1A">
      <w:pPr>
        <w:pStyle w:val="FootnoteText"/>
      </w:pPr>
      <w:r>
        <w:rPr>
          <w:rStyle w:val="FootnoteReference"/>
        </w:rPr>
        <w:footnoteRef/>
      </w:r>
      <w:r>
        <w:t xml:space="preserve"> ISA</w:t>
      </w:r>
      <w:r w:rsidRPr="00224B95">
        <w:t>, Australian Chamber of Commerce and Industry, Chartered Accountants of Australia and New Zealand, Cbus, Australian Financial Advisors</w:t>
      </w:r>
      <w:r w:rsidRPr="00D740E7">
        <w:t>, ARITA, Professor Helen Anderson</w:t>
      </w:r>
      <w:r>
        <w:t xml:space="preserve"> and Australian Restructuring Insolvency and Turnaround Association in their </w:t>
      </w:r>
      <w:r w:rsidRPr="004A2866">
        <w:t>submissions to the Senate Committee</w:t>
      </w:r>
      <w:r>
        <w:t xml:space="preserve">. </w:t>
      </w:r>
    </w:p>
  </w:footnote>
  <w:footnote w:id="21">
    <w:p w14:paraId="0F3E15E2" w14:textId="771B45A7" w:rsidR="00A16A2F" w:rsidRDefault="00A16A2F" w:rsidP="003B3F1A">
      <w:pPr>
        <w:pStyle w:val="FootnoteText"/>
      </w:pPr>
      <w:r w:rsidRPr="00365529">
        <w:rPr>
          <w:rStyle w:val="FootnoteReference"/>
        </w:rPr>
        <w:footnoteRef/>
      </w:r>
      <w:r w:rsidRPr="00365529">
        <w:t xml:space="preserve"> </w:t>
      </w:r>
      <w:r>
        <w:t>Analysis based on</w:t>
      </w:r>
      <w:r w:rsidRPr="00F71EF8">
        <w:t xml:space="preserve"> ATO</w:t>
      </w:r>
      <w:r>
        <w:t xml:space="preserve"> data on</w:t>
      </w:r>
      <w:r w:rsidRPr="00F71EF8">
        <w:t xml:space="preserve"> audits </w:t>
      </w:r>
      <w:r>
        <w:t xml:space="preserve">and </w:t>
      </w:r>
      <w:r w:rsidRPr="00F71EF8">
        <w:t>employee notifications</w:t>
      </w:r>
      <w:r w:rsidRPr="00365529">
        <w:t>.</w:t>
      </w:r>
    </w:p>
  </w:footnote>
  <w:footnote w:id="22">
    <w:p w14:paraId="5BDA3AD1" w14:textId="6C4C20B6" w:rsidR="00A16A2F" w:rsidRDefault="00A16A2F" w:rsidP="00535188">
      <w:pPr>
        <w:pStyle w:val="FootnoteText"/>
      </w:pPr>
      <w:r>
        <w:rPr>
          <w:rStyle w:val="FootnoteReference"/>
        </w:rPr>
        <w:footnoteRef/>
      </w:r>
      <w:r>
        <w:t xml:space="preserve"> The ATO’s assessment of the benefits of SuperStream estimate that it reduces the administrative overhead of making contributions by up to 70 per cent. </w:t>
      </w:r>
    </w:p>
  </w:footnote>
  <w:footnote w:id="23">
    <w:p w14:paraId="5E0F5B36" w14:textId="3F8FC880" w:rsidR="00A16A2F" w:rsidRDefault="00A16A2F" w:rsidP="003B3F1A">
      <w:pPr>
        <w:pStyle w:val="FootnoteText"/>
      </w:pPr>
      <w:r w:rsidRPr="0002435B">
        <w:rPr>
          <w:rStyle w:val="FootnoteReference"/>
        </w:rPr>
        <w:footnoteRef/>
      </w:r>
      <w:r w:rsidRPr="0002435B">
        <w:t xml:space="preserve"> </w:t>
      </w:r>
      <w:r>
        <w:t>ISA</w:t>
      </w:r>
      <w:r w:rsidRPr="005A3ADD">
        <w:t xml:space="preserve"> and Australian Chamber of Commerce and Industry in their submissions to the Senate Committee assert that in practice contributions are often made more often than quarterly. </w:t>
      </w:r>
      <w:r>
        <w:t>The ATO’s report ‘</w:t>
      </w:r>
      <w:r>
        <w:rPr>
          <w:i/>
        </w:rPr>
        <w:t xml:space="preserve">Super reforms research: Employers quantitative findings’ </w:t>
      </w:r>
      <w:r>
        <w:t xml:space="preserve">shows that 63 per cent of </w:t>
      </w:r>
      <w:r w:rsidRPr="00224B95">
        <w:t>businesses using the ATO administered Small Business Superannuation Clearing House are already making superannuation contribution more frequently than quarterly</w:t>
      </w:r>
      <w:r>
        <w:t xml:space="preserve"> </w:t>
      </w:r>
    </w:p>
  </w:footnote>
  <w:footnote w:id="24">
    <w:p w14:paraId="0E2B070E" w14:textId="77777777" w:rsidR="00A16A2F" w:rsidRPr="00066695" w:rsidRDefault="00A16A2F" w:rsidP="00C36888">
      <w:pPr>
        <w:autoSpaceDE w:val="0"/>
        <w:autoSpaceDN w:val="0"/>
        <w:spacing w:before="0" w:line="360" w:lineRule="auto"/>
        <w:rPr>
          <w:color w:val="auto"/>
          <w:sz w:val="16"/>
        </w:rPr>
      </w:pPr>
      <w:r>
        <w:rPr>
          <w:rStyle w:val="FootnoteReference"/>
        </w:rPr>
        <w:footnoteRef/>
      </w:r>
      <w:r>
        <w:t xml:space="preserve"> </w:t>
      </w:r>
      <w:r w:rsidRPr="00A12D3F">
        <w:rPr>
          <w:rFonts w:cstheme="minorHAnsi"/>
          <w:color w:val="auto"/>
          <w:sz w:val="16"/>
          <w:szCs w:val="16"/>
        </w:rPr>
        <w:t xml:space="preserve">Source- ATO </w:t>
      </w:r>
    </w:p>
  </w:footnote>
  <w:footnote w:id="25">
    <w:p w14:paraId="23BA4ECC" w14:textId="77777777" w:rsidR="00A16A2F" w:rsidRPr="00A12D3F" w:rsidRDefault="00A16A2F" w:rsidP="00C36888">
      <w:pPr>
        <w:autoSpaceDE w:val="0"/>
        <w:autoSpaceDN w:val="0"/>
        <w:spacing w:before="0" w:line="360" w:lineRule="auto"/>
        <w:rPr>
          <w:rFonts w:cstheme="minorHAnsi"/>
          <w:color w:val="auto"/>
          <w:sz w:val="16"/>
          <w:szCs w:val="16"/>
        </w:rPr>
      </w:pPr>
      <w:r>
        <w:rPr>
          <w:rStyle w:val="FootnoteReference"/>
        </w:rPr>
        <w:footnoteRef/>
      </w:r>
      <w:r>
        <w:t xml:space="preserve"> </w:t>
      </w:r>
      <w:r w:rsidRPr="00A12D3F">
        <w:rPr>
          <w:rFonts w:cstheme="minorHAnsi"/>
          <w:color w:val="auto"/>
          <w:sz w:val="16"/>
          <w:szCs w:val="16"/>
        </w:rPr>
        <w:t xml:space="preserve">Source- ATO </w:t>
      </w:r>
    </w:p>
    <w:p w14:paraId="3D6DB01E" w14:textId="77777777" w:rsidR="00A16A2F" w:rsidRDefault="00A16A2F" w:rsidP="00C36888">
      <w:pPr>
        <w:pStyle w:val="FootnoteText"/>
        <w:spacing w:before="0"/>
      </w:pPr>
    </w:p>
  </w:footnote>
  <w:footnote w:id="26">
    <w:p w14:paraId="7C1695AC" w14:textId="77777777" w:rsidR="00A16A2F" w:rsidRDefault="00A16A2F" w:rsidP="009F0048">
      <w:pPr>
        <w:pStyle w:val="FootnoteText"/>
      </w:pPr>
      <w:r>
        <w:rPr>
          <w:rStyle w:val="FootnoteReference"/>
        </w:rPr>
        <w:footnoteRef/>
      </w:r>
      <w:r>
        <w:t xml:space="preserve"> Industry Super Australia and Australian Super in their </w:t>
      </w:r>
      <w:r w:rsidRPr="004A2866">
        <w:t>submissions to the Senate Committee</w:t>
      </w:r>
      <w:r>
        <w:t>.</w:t>
      </w:r>
    </w:p>
  </w:footnote>
  <w:footnote w:id="27">
    <w:p w14:paraId="0708C9B1" w14:textId="381C1978" w:rsidR="00A16A2F" w:rsidRDefault="00A16A2F" w:rsidP="0095646F">
      <w:pPr>
        <w:pStyle w:val="FootnoteText"/>
      </w:pPr>
      <w:r>
        <w:rPr>
          <w:rStyle w:val="FootnoteReference"/>
        </w:rPr>
        <w:footnoteRef/>
      </w:r>
      <w:r>
        <w:t xml:space="preserve"> ISA</w:t>
      </w:r>
      <w:r w:rsidRPr="00AE58A3">
        <w:t xml:space="preserve">, </w:t>
      </w:r>
      <w:r w:rsidRPr="00AE58A3">
        <w:rPr>
          <w:i/>
        </w:rPr>
        <w:t>Overdue: Time for action on unpaid super</w:t>
      </w:r>
      <w:r>
        <w:t xml:space="preserve"> (2016) and Professor Helen Anderson, Cbus and the Australian Council of Trade Unions in their submissions</w:t>
      </w:r>
      <w:r w:rsidRPr="004A2866">
        <w:t xml:space="preserve"> to the Senate Committee</w:t>
      </w:r>
      <w:r>
        <w:t>.</w:t>
      </w:r>
    </w:p>
  </w:footnote>
  <w:footnote w:id="28">
    <w:p w14:paraId="772E4D16" w14:textId="2909F573" w:rsidR="00A16A2F" w:rsidRDefault="00A16A2F" w:rsidP="00700416">
      <w:pPr>
        <w:pStyle w:val="FootnoteText"/>
      </w:pPr>
      <w:r>
        <w:rPr>
          <w:rStyle w:val="FootnoteReference"/>
        </w:rPr>
        <w:footnoteRef/>
      </w:r>
      <w:r>
        <w:t xml:space="preserve"> </w:t>
      </w:r>
      <w:r w:rsidRPr="00685FCC">
        <w:t>In 2015</w:t>
      </w:r>
      <w:r>
        <w:noBreakHyphen/>
      </w:r>
      <w:r w:rsidRPr="00685FCC">
        <w:t>16, the FWO directly assisted employees to resolve 103 workplace relations disputes t</w:t>
      </w:r>
      <w:r>
        <w:t>hat included allegations of non</w:t>
      </w:r>
      <w:r>
        <w:noBreakHyphen/>
      </w:r>
      <w:r w:rsidRPr="00685FCC">
        <w:t>payment or underpayment of superannuation.  In 2015 16, the ATO received approximately 19,000–20,000 employee notifications.</w:t>
      </w:r>
    </w:p>
  </w:footnote>
  <w:footnote w:id="29">
    <w:p w14:paraId="46503143" w14:textId="77777777" w:rsidR="00A16A2F" w:rsidRDefault="00A16A2F">
      <w:pPr>
        <w:pStyle w:val="FootnoteText"/>
      </w:pPr>
      <w:r>
        <w:rPr>
          <w:rStyle w:val="FootnoteReference"/>
        </w:rPr>
        <w:footnoteRef/>
      </w:r>
      <w:r>
        <w:t xml:space="preserve"> </w:t>
      </w:r>
      <w:r w:rsidRPr="00556E37">
        <w:t>The FWO responds to complaints made by employees by gathering payment information from both the employee and the employer.</w:t>
      </w:r>
    </w:p>
  </w:footnote>
  <w:footnote w:id="30">
    <w:p w14:paraId="0D7EC351" w14:textId="77777777" w:rsidR="00A16A2F" w:rsidRDefault="00A16A2F" w:rsidP="00CA180A">
      <w:pPr>
        <w:pStyle w:val="FootnoteText"/>
      </w:pPr>
      <w:r>
        <w:rPr>
          <w:rStyle w:val="FootnoteReference"/>
        </w:rPr>
        <w:footnoteRef/>
      </w:r>
      <w:r>
        <w:t xml:space="preserve"> As suggested by the Inspector General of Taxation and Industry Super Australia in their submissions</w:t>
      </w:r>
      <w:r w:rsidRPr="004A2866">
        <w:t xml:space="preserve"> to the Senate Committee</w:t>
      </w:r>
      <w:r>
        <w:t>.</w:t>
      </w:r>
    </w:p>
  </w:footnote>
  <w:footnote w:id="31">
    <w:p w14:paraId="5317A416" w14:textId="77777777" w:rsidR="00A16A2F" w:rsidRDefault="00A16A2F" w:rsidP="0095646F">
      <w:pPr>
        <w:pStyle w:val="FootnoteText"/>
      </w:pPr>
      <w:r>
        <w:rPr>
          <w:rStyle w:val="FootnoteReference"/>
        </w:rPr>
        <w:footnoteRef/>
      </w:r>
      <w:r>
        <w:t xml:space="preserve"> </w:t>
      </w:r>
      <w:r w:rsidRPr="00F35779">
        <w:t>FEG does provide very limited coverage for voluntary superannuation contributions that are made by employees in certain circumstances. When the voluntary contribution is deducted from wages under a formal salary sacrifice arrangement, but not passed on to the superannuation fund within 13 weeks of the end of employment, such payments are treated as unpaid wages and covered under FEG.</w:t>
      </w:r>
    </w:p>
  </w:footnote>
  <w:footnote w:id="32">
    <w:p w14:paraId="4CFEB988" w14:textId="137926E6" w:rsidR="00A16A2F" w:rsidRDefault="00A16A2F" w:rsidP="0095646F">
      <w:pPr>
        <w:pStyle w:val="FootnoteText"/>
      </w:pPr>
      <w:r>
        <w:rPr>
          <w:rStyle w:val="FootnoteReference"/>
        </w:rPr>
        <w:footnoteRef/>
      </w:r>
      <w:r>
        <w:t xml:space="preserve"> This could potentially slow down the approval process for employees (the current average processing time for a FEG claim is 10.5 weeks). Unpaid superannuation guarantee contributions are calculated differently to other entitlements provided for by FEG and are not generally paid directly to the employee. The overlap between the ATO’s ongoing role to enforce superannuation guarantee charge compliance and FEG’s role as a creditor in liquidation or bankruptcy once payments are made would also add complexity.</w:t>
      </w:r>
    </w:p>
  </w:footnote>
  <w:footnote w:id="33">
    <w:p w14:paraId="63207291" w14:textId="77777777" w:rsidR="00A16A2F" w:rsidRDefault="00A16A2F" w:rsidP="0021281C">
      <w:pPr>
        <w:pStyle w:val="FootnoteText"/>
      </w:pPr>
      <w:r>
        <w:rPr>
          <w:rStyle w:val="FootnoteReference"/>
        </w:rPr>
        <w:footnoteRef/>
      </w:r>
      <w:r>
        <w:t xml:space="preserve"> Based on observations by ATO compliance staff and noted in the Inspector General of Taxation’s </w:t>
      </w:r>
      <w:r w:rsidRPr="004A2866">
        <w:t>submission to the Senate Committee</w:t>
      </w:r>
      <w:r>
        <w:t>.</w:t>
      </w:r>
    </w:p>
  </w:footnote>
  <w:footnote w:id="34">
    <w:p w14:paraId="6ED80E8C" w14:textId="2E690D1A" w:rsidR="00A16A2F" w:rsidRDefault="00A16A2F" w:rsidP="0021281C">
      <w:pPr>
        <w:pStyle w:val="FootnoteText"/>
      </w:pPr>
      <w:r>
        <w:rPr>
          <w:rStyle w:val="FootnoteReference"/>
        </w:rPr>
        <w:footnoteRef/>
      </w:r>
      <w:r>
        <w:t xml:space="preserve"> This is because the superannuation guarantee charge is a tax. Taxes cannot be discretionary or they would be unconstitutional on the grounds of arbitrary taxation.</w:t>
      </w:r>
    </w:p>
  </w:footnote>
  <w:footnote w:id="35">
    <w:p w14:paraId="71B303F2" w14:textId="77777777" w:rsidR="00A16A2F" w:rsidRDefault="00A16A2F" w:rsidP="0021281C">
      <w:pPr>
        <w:pStyle w:val="FootnoteText"/>
      </w:pPr>
      <w:r w:rsidRPr="00353C48">
        <w:rPr>
          <w:rStyle w:val="FootnoteReference"/>
        </w:rPr>
        <w:footnoteRef/>
      </w:r>
      <w:r w:rsidRPr="00353C48">
        <w:t xml:space="preserve"> </w:t>
      </w:r>
      <w:r w:rsidRPr="0070040A">
        <w:t xml:space="preserve">For example, if an individual is subject to an administrative penalty under the </w:t>
      </w:r>
      <w:r w:rsidRPr="00353C48">
        <w:rPr>
          <w:i/>
        </w:rPr>
        <w:t>Taxation Administration Act 1953</w:t>
      </w:r>
      <w:r w:rsidRPr="0070040A">
        <w:t xml:space="preserve"> because they had a shortfall amount (being the difference between tax related liability that a taxpayer had, and the liability they should have had), the amount of the penalty is increased by 20 per cent if the taxpayer had taken steps to prevent or obstruct the Commissioner from finding out about a shortfall amount (see section 284-220 of Schedule 1 to the </w:t>
      </w:r>
      <w:r w:rsidRPr="00353C48">
        <w:rPr>
          <w:i/>
        </w:rPr>
        <w:t>Taxation Administration Act 1953</w:t>
      </w:r>
      <w:r w:rsidRPr="0070040A">
        <w:t xml:space="preserve">). Similarly, the penalty amount is decreased by 20 per cent in circumstances where the taxpayer voluntarily discloses that they had made a false or misleading statement that led to the shortfall (see section 284-225 of Schedule 1 to the </w:t>
      </w:r>
      <w:r w:rsidRPr="00353C48">
        <w:rPr>
          <w:i/>
        </w:rPr>
        <w:t>Taxation Administration Act 1953</w:t>
      </w:r>
      <w:r w:rsidRPr="0070040A">
        <w:t>).</w:t>
      </w:r>
    </w:p>
  </w:footnote>
  <w:footnote w:id="36">
    <w:p w14:paraId="7BAB5B1D" w14:textId="77777777" w:rsidR="00A16A2F" w:rsidRDefault="00A16A2F" w:rsidP="0021281C">
      <w:pPr>
        <w:pStyle w:val="FootnoteText"/>
      </w:pPr>
      <w:r>
        <w:rPr>
          <w:rStyle w:val="FootnoteReference"/>
        </w:rPr>
        <w:footnoteRef/>
      </w:r>
      <w:r>
        <w:t xml:space="preserve"> Late payment offsets are available to employers to reduce their superannuation guarantee charge liability where the employer has made late contributions to a superannuation fund (before the charge is raised).</w:t>
      </w:r>
    </w:p>
  </w:footnote>
  <w:footnote w:id="37">
    <w:p w14:paraId="77D35FA4" w14:textId="77777777" w:rsidR="00A16A2F" w:rsidRDefault="00A16A2F" w:rsidP="0021281C">
      <w:pPr>
        <w:pStyle w:val="FootnoteText"/>
      </w:pPr>
      <w:r>
        <w:rPr>
          <w:rStyle w:val="FootnoteReference"/>
        </w:rPr>
        <w:footnoteRef/>
      </w:r>
      <w:r>
        <w:t xml:space="preserve"> </w:t>
      </w:r>
      <w:r w:rsidRPr="00063278">
        <w:rPr>
          <w:color w:val="auto"/>
        </w:rPr>
        <w:t>Treasury receives only a very small number of letters from individuals on this matter and the issue is rarely raised with the ATO during community engagement events.</w:t>
      </w:r>
    </w:p>
  </w:footnote>
  <w:footnote w:id="38">
    <w:p w14:paraId="03091D61" w14:textId="77777777" w:rsidR="00A16A2F" w:rsidRDefault="00A16A2F">
      <w:pPr>
        <w:pStyle w:val="FootnoteText"/>
      </w:pPr>
      <w:r>
        <w:rPr>
          <w:rStyle w:val="FootnoteReference"/>
        </w:rPr>
        <w:footnoteRef/>
      </w:r>
      <w:r>
        <w:t xml:space="preserve"> Employers who pay the required amount of superannuation guarantee do not need to lodge the superannuation guarantee charge statement and do not need to deal with the ATO.</w:t>
      </w:r>
    </w:p>
  </w:footnote>
  <w:footnote w:id="39">
    <w:p w14:paraId="0FB8BD07" w14:textId="77777777" w:rsidR="00A16A2F" w:rsidRDefault="00A16A2F" w:rsidP="00F37432">
      <w:pPr>
        <w:pStyle w:val="FootnoteText"/>
      </w:pPr>
      <w:r>
        <w:rPr>
          <w:rStyle w:val="FootnoteReference"/>
        </w:rPr>
        <w:footnoteRef/>
      </w:r>
      <w:r>
        <w:t xml:space="preserve"> The ‘nominal interest component’ in relation to an employer for a quarter is the amount that would accrue by way of interest on the total of the employer’s superannuation guarantee shortfalls for the quarter (section 31 SGAA). The rate is prescribed by regulation 7A. </w:t>
      </w:r>
    </w:p>
  </w:footnote>
  <w:footnote w:id="40">
    <w:p w14:paraId="3D385E28" w14:textId="77777777" w:rsidR="00A16A2F" w:rsidRDefault="00A16A2F" w:rsidP="00F37432">
      <w:pPr>
        <w:pStyle w:val="FootnoteText"/>
      </w:pPr>
      <w:r>
        <w:rPr>
          <w:rStyle w:val="FootnoteReference"/>
        </w:rPr>
        <w:footnoteRef/>
      </w:r>
      <w:r>
        <w:t xml:space="preserve"> The ‘administration component’ in relation to an employer is made up of a base </w:t>
      </w:r>
      <w:r w:rsidRPr="006317BB">
        <w:t xml:space="preserve">amount </w:t>
      </w:r>
      <w:r w:rsidRPr="00F71EF8">
        <w:t>of $20 per relevant employee per</w:t>
      </w:r>
      <w:r>
        <w:t xml:space="preserve"> quarter (section 32 SGAA). </w:t>
      </w:r>
    </w:p>
  </w:footnote>
  <w:footnote w:id="41">
    <w:p w14:paraId="3681003F" w14:textId="77777777" w:rsidR="00A16A2F" w:rsidRDefault="00A16A2F" w:rsidP="00D06EC5">
      <w:pPr>
        <w:pStyle w:val="FootnoteText"/>
      </w:pPr>
      <w:r>
        <w:rPr>
          <w:rStyle w:val="FootnoteReference"/>
        </w:rPr>
        <w:footnoteRef/>
      </w:r>
      <w:r>
        <w:t xml:space="preserve"> Contributions to accumulation accounts are included in label 43: employer-contributed amount, while notional contributions to defined benefit schemes are included at label 45: defined benefit contributions.</w:t>
      </w:r>
    </w:p>
  </w:footnote>
  <w:footnote w:id="42">
    <w:p w14:paraId="0DF330F4" w14:textId="77777777" w:rsidR="00A16A2F" w:rsidRDefault="00A16A2F" w:rsidP="00D06EC5">
      <w:pPr>
        <w:pStyle w:val="FootnoteText"/>
      </w:pPr>
      <w:r>
        <w:rPr>
          <w:rStyle w:val="FootnoteReference"/>
        </w:rPr>
        <w:footnoteRef/>
      </w:r>
      <w:r>
        <w:t xml:space="preserve"> Individuals may have employer accumulation contributions in addition to their notional contributions if they are members of a hybrid scheme, or are separately choosing to salary sacrifice into an accumulation account. </w:t>
      </w:r>
    </w:p>
  </w:footnote>
  <w:footnote w:id="43">
    <w:p w14:paraId="45A9BFBB" w14:textId="77777777" w:rsidR="00A16A2F" w:rsidRDefault="00A16A2F" w:rsidP="00D06EC5">
      <w:pPr>
        <w:pStyle w:val="FootnoteText"/>
      </w:pPr>
      <w:r>
        <w:rPr>
          <w:rStyle w:val="FootnoteReference"/>
        </w:rPr>
        <w:footnoteRef/>
      </w:r>
      <w:r>
        <w:t xml:space="preserve"> The</w:t>
      </w:r>
      <w:r w:rsidRPr="00A016C5">
        <w:t xml:space="preserve"> ABS survey does not capture </w:t>
      </w:r>
      <w:r>
        <w:t>superannuation guarantee</w:t>
      </w:r>
      <w:r w:rsidRPr="00A016C5">
        <w:t xml:space="preserve"> contributions and therefore cannot be used to estimate </w:t>
      </w:r>
      <w:r>
        <w:t>superannuation guarantee</w:t>
      </w:r>
      <w:r w:rsidRPr="00A016C5">
        <w:t xml:space="preserve"> compliance.  Also as a confidential survey of around only 14,000 households, the Survey of Income and Housing cannot </w:t>
      </w:r>
      <w:r>
        <w:t>drive</w:t>
      </w:r>
      <w:r w:rsidRPr="00A016C5">
        <w:t xml:space="preserve"> </w:t>
      </w:r>
      <w:r>
        <w:t xml:space="preserve">the ATO’s </w:t>
      </w:r>
      <w:r w:rsidRPr="00A016C5">
        <w:t xml:space="preserve">compliance </w:t>
      </w:r>
      <w:r>
        <w:t>and enforcement program.</w:t>
      </w:r>
    </w:p>
  </w:footnote>
  <w:footnote w:id="44">
    <w:p w14:paraId="1C2D4087" w14:textId="77777777" w:rsidR="00A16A2F" w:rsidRDefault="00A16A2F" w:rsidP="00D06EC5">
      <w:pPr>
        <w:pStyle w:val="FootnoteText"/>
      </w:pPr>
      <w:r>
        <w:rPr>
          <w:rStyle w:val="FootnoteReference"/>
        </w:rPr>
        <w:footnoteRef/>
      </w:r>
      <w:r>
        <w:t xml:space="preserve"> Note the ISA’s report uses data for 2013-14 where the statutory rate of superannuation guarantee was 9.25 per cent (it has been 9.5 per cent from 1 July 2014).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D59070" w14:textId="77777777" w:rsidR="00A16A2F" w:rsidRDefault="00A16A2F">
    <w:pPr>
      <w:pStyle w:val="Header"/>
    </w:pPr>
    <w:r>
      <w:rPr>
        <w:noProof/>
        <w:lang w:eastAsia="en-AU"/>
      </w:rPr>
      <w:drawing>
        <wp:anchor distT="0" distB="0" distL="0" distR="0" simplePos="0" relativeHeight="251658243" behindDoc="0" locked="1" layoutInCell="1" allowOverlap="1" wp14:anchorId="4F26F5E0" wp14:editId="24B366AC">
          <wp:simplePos x="0" y="0"/>
          <wp:positionH relativeFrom="page">
            <wp:align>left</wp:align>
          </wp:positionH>
          <wp:positionV relativeFrom="page">
            <wp:align>bottom</wp:align>
          </wp:positionV>
          <wp:extent cx="7560310" cy="6426200"/>
          <wp:effectExtent l="0" t="0" r="2540" b="0"/>
          <wp:wrapNone/>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6426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556D12" w14:textId="77777777" w:rsidR="00A16A2F" w:rsidRDefault="00A16A2F">
    <w:pPr>
      <w:pStyle w:val="Header"/>
    </w:pPr>
    <w:r>
      <w:rPr>
        <w:noProof/>
        <w:lang w:eastAsia="en-AU"/>
      </w:rPr>
      <mc:AlternateContent>
        <mc:Choice Requires="wps">
          <w:drawing>
            <wp:anchor distT="0" distB="0" distL="114300" distR="114300" simplePos="0" relativeHeight="251658241" behindDoc="0" locked="1" layoutInCell="1" allowOverlap="1" wp14:anchorId="1176953A" wp14:editId="0D478327">
              <wp:simplePos x="0" y="0"/>
              <wp:positionH relativeFrom="page">
                <wp:posOffset>900430</wp:posOffset>
              </wp:positionH>
              <wp:positionV relativeFrom="page">
                <wp:posOffset>540385</wp:posOffset>
              </wp:positionV>
              <wp:extent cx="5760085" cy="9251950"/>
              <wp:effectExtent l="0" t="0" r="0"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085" cy="9251950"/>
                      </a:xfrm>
                      <a:prstGeom prst="rect">
                        <a:avLst/>
                      </a:prstGeom>
                      <a:solidFill>
                        <a:srgbClr val="F3FAF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6" style="position:absolute;margin-left:70.9pt;margin-top:42.55pt;width:453.55pt;height:728.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" fillcolor="#f3fafa" stroked="f" strokeweight="2pt">
              <v:path arrowok="t"/>
              <w10:wrap anchorx="page" anchory="page"/>
              <w10:anchorlock/>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157007" w14:textId="77777777" w:rsidR="00A16A2F" w:rsidRDefault="00A16A2F">
    <w:pPr>
      <w:pStyle w:val="Header"/>
    </w:pPr>
    <w:r>
      <w:rPr>
        <w:noProof/>
        <w:lang w:eastAsia="en-AU"/>
      </w:rPr>
      <mc:AlternateContent>
        <mc:Choice Requires="wps">
          <w:drawing>
            <wp:anchor distT="0" distB="0" distL="114300" distR="114300" simplePos="0" relativeHeight="251658240" behindDoc="0" locked="1" layoutInCell="1" allowOverlap="1" wp14:anchorId="0B7F21AC" wp14:editId="273B874C">
              <wp:simplePos x="0" y="0"/>
              <wp:positionH relativeFrom="page">
                <wp:posOffset>900430</wp:posOffset>
              </wp:positionH>
              <wp:positionV relativeFrom="page">
                <wp:posOffset>2160270</wp:posOffset>
              </wp:positionV>
              <wp:extent cx="5760085" cy="7632065"/>
              <wp:effectExtent l="0" t="0" r="0" b="698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085" cy="7632065"/>
                      </a:xfrm>
                      <a:prstGeom prst="rect">
                        <a:avLst/>
                      </a:prstGeom>
                      <a:solidFill>
                        <a:srgbClr val="F3FAF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margin-left:70.9pt;margin-top:170.1pt;width:453.55pt;height:600.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" fillcolor="#f3fafa" stroked="f" strokeweight="2pt">
              <v:path arrowok="t"/>
              <w10:wrap anchorx="page" anchory="page"/>
              <w10:anchorlock/>
            </v:rect>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2E1560" w14:textId="2C19A2A4" w:rsidR="00A16A2F" w:rsidRDefault="00A16A2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C5026"/>
    <w:multiLevelType w:val="multilevel"/>
    <w:tmpl w:val="AB80C104"/>
    <w:name w:val="StandardNumberedList"/>
    <w:lvl w:ilvl="0">
      <w:start w:val="1"/>
      <w:numFmt w:val="decimal"/>
      <w:pStyle w:val="OutlineNumbered1"/>
      <w:lvlText w:val="%1."/>
      <w:lvlJc w:val="left"/>
      <w:pPr>
        <w:tabs>
          <w:tab w:val="num" w:pos="520"/>
        </w:tabs>
        <w:ind w:left="520" w:hanging="520"/>
      </w:pPr>
    </w:lvl>
    <w:lvl w:ilvl="1">
      <w:start w:val="1"/>
      <w:numFmt w:val="decimal"/>
      <w:pStyle w:val="OutlineNumbered2"/>
      <w:lvlText w:val="%1.%2."/>
      <w:lvlJc w:val="left"/>
      <w:pPr>
        <w:tabs>
          <w:tab w:val="num" w:pos="1040"/>
        </w:tabs>
        <w:ind w:left="1040" w:hanging="520"/>
      </w:pPr>
    </w:lvl>
    <w:lvl w:ilvl="2">
      <w:start w:val="1"/>
      <w:numFmt w:val="decimal"/>
      <w:pStyle w:val="OutlineNumbered3"/>
      <w:lvlText w:val="%1.%2.%3."/>
      <w:lvlJc w:val="left"/>
      <w:pPr>
        <w:tabs>
          <w:tab w:val="num" w:pos="1560"/>
        </w:tabs>
        <w:ind w:left="1560" w:hanging="5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27913A2"/>
    <w:multiLevelType w:val="multilevel"/>
    <w:tmpl w:val="AE6289A6"/>
    <w:lvl w:ilvl="0">
      <w:start w:val="2"/>
      <w:numFmt w:val="none"/>
      <w:lvlText w:val="8."/>
      <w:lvlJc w:val="left"/>
      <w:pPr>
        <w:ind w:left="360" w:hanging="360"/>
      </w:pPr>
      <w:rPr>
        <w:rFonts w:hint="default"/>
      </w:rPr>
    </w:lvl>
    <w:lvl w:ilvl="1">
      <w:start w:val="1"/>
      <w:numFmt w:val="decimal"/>
      <w:lvlText w:val="8.%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AA22A2F"/>
    <w:multiLevelType w:val="hybridMultilevel"/>
    <w:tmpl w:val="1C622680"/>
    <w:lvl w:ilvl="0" w:tplc="0C090001">
      <w:start w:val="1"/>
      <w:numFmt w:val="bullet"/>
      <w:lvlText w:val=""/>
      <w:lvlJc w:val="left"/>
      <w:pPr>
        <w:ind w:left="1437" w:hanging="360"/>
      </w:pPr>
      <w:rPr>
        <w:rFonts w:ascii="Symbol" w:hAnsi="Symbol" w:hint="default"/>
      </w:rPr>
    </w:lvl>
    <w:lvl w:ilvl="1" w:tplc="0C090003">
      <w:start w:val="1"/>
      <w:numFmt w:val="bullet"/>
      <w:lvlText w:val="o"/>
      <w:lvlJc w:val="left"/>
      <w:pPr>
        <w:ind w:left="2157" w:hanging="360"/>
      </w:pPr>
      <w:rPr>
        <w:rFonts w:ascii="Courier New" w:hAnsi="Courier New" w:cs="Courier New" w:hint="default"/>
      </w:rPr>
    </w:lvl>
    <w:lvl w:ilvl="2" w:tplc="0C090005" w:tentative="1">
      <w:start w:val="1"/>
      <w:numFmt w:val="bullet"/>
      <w:lvlText w:val=""/>
      <w:lvlJc w:val="left"/>
      <w:pPr>
        <w:ind w:left="2877" w:hanging="360"/>
      </w:pPr>
      <w:rPr>
        <w:rFonts w:ascii="Wingdings" w:hAnsi="Wingdings" w:hint="default"/>
      </w:rPr>
    </w:lvl>
    <w:lvl w:ilvl="3" w:tplc="0C090001" w:tentative="1">
      <w:start w:val="1"/>
      <w:numFmt w:val="bullet"/>
      <w:lvlText w:val=""/>
      <w:lvlJc w:val="left"/>
      <w:pPr>
        <w:ind w:left="3597" w:hanging="360"/>
      </w:pPr>
      <w:rPr>
        <w:rFonts w:ascii="Symbol" w:hAnsi="Symbol" w:hint="default"/>
      </w:rPr>
    </w:lvl>
    <w:lvl w:ilvl="4" w:tplc="0C090003" w:tentative="1">
      <w:start w:val="1"/>
      <w:numFmt w:val="bullet"/>
      <w:lvlText w:val="o"/>
      <w:lvlJc w:val="left"/>
      <w:pPr>
        <w:ind w:left="4317" w:hanging="360"/>
      </w:pPr>
      <w:rPr>
        <w:rFonts w:ascii="Courier New" w:hAnsi="Courier New" w:cs="Courier New" w:hint="default"/>
      </w:rPr>
    </w:lvl>
    <w:lvl w:ilvl="5" w:tplc="0C090005" w:tentative="1">
      <w:start w:val="1"/>
      <w:numFmt w:val="bullet"/>
      <w:lvlText w:val=""/>
      <w:lvlJc w:val="left"/>
      <w:pPr>
        <w:ind w:left="5037" w:hanging="360"/>
      </w:pPr>
      <w:rPr>
        <w:rFonts w:ascii="Wingdings" w:hAnsi="Wingdings" w:hint="default"/>
      </w:rPr>
    </w:lvl>
    <w:lvl w:ilvl="6" w:tplc="0C090001" w:tentative="1">
      <w:start w:val="1"/>
      <w:numFmt w:val="bullet"/>
      <w:lvlText w:val=""/>
      <w:lvlJc w:val="left"/>
      <w:pPr>
        <w:ind w:left="5757" w:hanging="360"/>
      </w:pPr>
      <w:rPr>
        <w:rFonts w:ascii="Symbol" w:hAnsi="Symbol" w:hint="default"/>
      </w:rPr>
    </w:lvl>
    <w:lvl w:ilvl="7" w:tplc="0C090003" w:tentative="1">
      <w:start w:val="1"/>
      <w:numFmt w:val="bullet"/>
      <w:lvlText w:val="o"/>
      <w:lvlJc w:val="left"/>
      <w:pPr>
        <w:ind w:left="6477" w:hanging="360"/>
      </w:pPr>
      <w:rPr>
        <w:rFonts w:ascii="Courier New" w:hAnsi="Courier New" w:cs="Courier New" w:hint="default"/>
      </w:rPr>
    </w:lvl>
    <w:lvl w:ilvl="8" w:tplc="0C090005" w:tentative="1">
      <w:start w:val="1"/>
      <w:numFmt w:val="bullet"/>
      <w:lvlText w:val=""/>
      <w:lvlJc w:val="left"/>
      <w:pPr>
        <w:ind w:left="7197" w:hanging="360"/>
      </w:pPr>
      <w:rPr>
        <w:rFonts w:ascii="Wingdings" w:hAnsi="Wingdings" w:hint="default"/>
      </w:rPr>
    </w:lvl>
  </w:abstractNum>
  <w:abstractNum w:abstractNumId="3">
    <w:nsid w:val="0F473D48"/>
    <w:multiLevelType w:val="hybridMultilevel"/>
    <w:tmpl w:val="41AA64B0"/>
    <w:lvl w:ilvl="0" w:tplc="0C090001">
      <w:start w:val="1"/>
      <w:numFmt w:val="bullet"/>
      <w:lvlText w:val=""/>
      <w:lvlJc w:val="left"/>
      <w:pPr>
        <w:ind w:left="1437" w:hanging="360"/>
      </w:pPr>
      <w:rPr>
        <w:rFonts w:ascii="Symbol" w:hAnsi="Symbol" w:hint="default"/>
      </w:rPr>
    </w:lvl>
    <w:lvl w:ilvl="1" w:tplc="0C090003" w:tentative="1">
      <w:start w:val="1"/>
      <w:numFmt w:val="bullet"/>
      <w:lvlText w:val="o"/>
      <w:lvlJc w:val="left"/>
      <w:pPr>
        <w:ind w:left="2157" w:hanging="360"/>
      </w:pPr>
      <w:rPr>
        <w:rFonts w:ascii="Courier New" w:hAnsi="Courier New" w:cs="Courier New" w:hint="default"/>
      </w:rPr>
    </w:lvl>
    <w:lvl w:ilvl="2" w:tplc="0C090005" w:tentative="1">
      <w:start w:val="1"/>
      <w:numFmt w:val="bullet"/>
      <w:lvlText w:val=""/>
      <w:lvlJc w:val="left"/>
      <w:pPr>
        <w:ind w:left="2877" w:hanging="360"/>
      </w:pPr>
      <w:rPr>
        <w:rFonts w:ascii="Wingdings" w:hAnsi="Wingdings" w:hint="default"/>
      </w:rPr>
    </w:lvl>
    <w:lvl w:ilvl="3" w:tplc="0C090001" w:tentative="1">
      <w:start w:val="1"/>
      <w:numFmt w:val="bullet"/>
      <w:lvlText w:val=""/>
      <w:lvlJc w:val="left"/>
      <w:pPr>
        <w:ind w:left="3597" w:hanging="360"/>
      </w:pPr>
      <w:rPr>
        <w:rFonts w:ascii="Symbol" w:hAnsi="Symbol" w:hint="default"/>
      </w:rPr>
    </w:lvl>
    <w:lvl w:ilvl="4" w:tplc="0C090003" w:tentative="1">
      <w:start w:val="1"/>
      <w:numFmt w:val="bullet"/>
      <w:lvlText w:val="o"/>
      <w:lvlJc w:val="left"/>
      <w:pPr>
        <w:ind w:left="4317" w:hanging="360"/>
      </w:pPr>
      <w:rPr>
        <w:rFonts w:ascii="Courier New" w:hAnsi="Courier New" w:cs="Courier New" w:hint="default"/>
      </w:rPr>
    </w:lvl>
    <w:lvl w:ilvl="5" w:tplc="0C090005" w:tentative="1">
      <w:start w:val="1"/>
      <w:numFmt w:val="bullet"/>
      <w:lvlText w:val=""/>
      <w:lvlJc w:val="left"/>
      <w:pPr>
        <w:ind w:left="5037" w:hanging="360"/>
      </w:pPr>
      <w:rPr>
        <w:rFonts w:ascii="Wingdings" w:hAnsi="Wingdings" w:hint="default"/>
      </w:rPr>
    </w:lvl>
    <w:lvl w:ilvl="6" w:tplc="0C090001" w:tentative="1">
      <w:start w:val="1"/>
      <w:numFmt w:val="bullet"/>
      <w:lvlText w:val=""/>
      <w:lvlJc w:val="left"/>
      <w:pPr>
        <w:ind w:left="5757" w:hanging="360"/>
      </w:pPr>
      <w:rPr>
        <w:rFonts w:ascii="Symbol" w:hAnsi="Symbol" w:hint="default"/>
      </w:rPr>
    </w:lvl>
    <w:lvl w:ilvl="7" w:tplc="0C090003" w:tentative="1">
      <w:start w:val="1"/>
      <w:numFmt w:val="bullet"/>
      <w:lvlText w:val="o"/>
      <w:lvlJc w:val="left"/>
      <w:pPr>
        <w:ind w:left="6477" w:hanging="360"/>
      </w:pPr>
      <w:rPr>
        <w:rFonts w:ascii="Courier New" w:hAnsi="Courier New" w:cs="Courier New" w:hint="default"/>
      </w:rPr>
    </w:lvl>
    <w:lvl w:ilvl="8" w:tplc="0C090005" w:tentative="1">
      <w:start w:val="1"/>
      <w:numFmt w:val="bullet"/>
      <w:lvlText w:val=""/>
      <w:lvlJc w:val="left"/>
      <w:pPr>
        <w:ind w:left="7197" w:hanging="360"/>
      </w:pPr>
      <w:rPr>
        <w:rFonts w:ascii="Wingdings" w:hAnsi="Wingdings" w:hint="default"/>
      </w:rPr>
    </w:lvl>
  </w:abstractNum>
  <w:abstractNum w:abstractNumId="4">
    <w:nsid w:val="112912AB"/>
    <w:multiLevelType w:val="hybridMultilevel"/>
    <w:tmpl w:val="C58E75CC"/>
    <w:lvl w:ilvl="0" w:tplc="0C090001">
      <w:start w:val="1"/>
      <w:numFmt w:val="bullet"/>
      <w:lvlText w:val=""/>
      <w:lvlJc w:val="left"/>
      <w:pPr>
        <w:ind w:left="1437" w:hanging="360"/>
      </w:pPr>
      <w:rPr>
        <w:rFonts w:ascii="Symbol" w:hAnsi="Symbol" w:hint="default"/>
      </w:rPr>
    </w:lvl>
    <w:lvl w:ilvl="1" w:tplc="0C090003" w:tentative="1">
      <w:start w:val="1"/>
      <w:numFmt w:val="bullet"/>
      <w:lvlText w:val="o"/>
      <w:lvlJc w:val="left"/>
      <w:pPr>
        <w:ind w:left="2157" w:hanging="360"/>
      </w:pPr>
      <w:rPr>
        <w:rFonts w:ascii="Courier New" w:hAnsi="Courier New" w:cs="Courier New" w:hint="default"/>
      </w:rPr>
    </w:lvl>
    <w:lvl w:ilvl="2" w:tplc="0C090005" w:tentative="1">
      <w:start w:val="1"/>
      <w:numFmt w:val="bullet"/>
      <w:lvlText w:val=""/>
      <w:lvlJc w:val="left"/>
      <w:pPr>
        <w:ind w:left="2877" w:hanging="360"/>
      </w:pPr>
      <w:rPr>
        <w:rFonts w:ascii="Wingdings" w:hAnsi="Wingdings" w:hint="default"/>
      </w:rPr>
    </w:lvl>
    <w:lvl w:ilvl="3" w:tplc="0C090001" w:tentative="1">
      <w:start w:val="1"/>
      <w:numFmt w:val="bullet"/>
      <w:lvlText w:val=""/>
      <w:lvlJc w:val="left"/>
      <w:pPr>
        <w:ind w:left="3597" w:hanging="360"/>
      </w:pPr>
      <w:rPr>
        <w:rFonts w:ascii="Symbol" w:hAnsi="Symbol" w:hint="default"/>
      </w:rPr>
    </w:lvl>
    <w:lvl w:ilvl="4" w:tplc="0C090003" w:tentative="1">
      <w:start w:val="1"/>
      <w:numFmt w:val="bullet"/>
      <w:lvlText w:val="o"/>
      <w:lvlJc w:val="left"/>
      <w:pPr>
        <w:ind w:left="4317" w:hanging="360"/>
      </w:pPr>
      <w:rPr>
        <w:rFonts w:ascii="Courier New" w:hAnsi="Courier New" w:cs="Courier New" w:hint="default"/>
      </w:rPr>
    </w:lvl>
    <w:lvl w:ilvl="5" w:tplc="0C090005" w:tentative="1">
      <w:start w:val="1"/>
      <w:numFmt w:val="bullet"/>
      <w:lvlText w:val=""/>
      <w:lvlJc w:val="left"/>
      <w:pPr>
        <w:ind w:left="5037" w:hanging="360"/>
      </w:pPr>
      <w:rPr>
        <w:rFonts w:ascii="Wingdings" w:hAnsi="Wingdings" w:hint="default"/>
      </w:rPr>
    </w:lvl>
    <w:lvl w:ilvl="6" w:tplc="0C090001" w:tentative="1">
      <w:start w:val="1"/>
      <w:numFmt w:val="bullet"/>
      <w:lvlText w:val=""/>
      <w:lvlJc w:val="left"/>
      <w:pPr>
        <w:ind w:left="5757" w:hanging="360"/>
      </w:pPr>
      <w:rPr>
        <w:rFonts w:ascii="Symbol" w:hAnsi="Symbol" w:hint="default"/>
      </w:rPr>
    </w:lvl>
    <w:lvl w:ilvl="7" w:tplc="0C090003" w:tentative="1">
      <w:start w:val="1"/>
      <w:numFmt w:val="bullet"/>
      <w:lvlText w:val="o"/>
      <w:lvlJc w:val="left"/>
      <w:pPr>
        <w:ind w:left="6477" w:hanging="360"/>
      </w:pPr>
      <w:rPr>
        <w:rFonts w:ascii="Courier New" w:hAnsi="Courier New" w:cs="Courier New" w:hint="default"/>
      </w:rPr>
    </w:lvl>
    <w:lvl w:ilvl="8" w:tplc="0C090005" w:tentative="1">
      <w:start w:val="1"/>
      <w:numFmt w:val="bullet"/>
      <w:lvlText w:val=""/>
      <w:lvlJc w:val="left"/>
      <w:pPr>
        <w:ind w:left="7197" w:hanging="360"/>
      </w:pPr>
      <w:rPr>
        <w:rFonts w:ascii="Wingdings" w:hAnsi="Wingdings" w:hint="default"/>
      </w:rPr>
    </w:lvl>
  </w:abstractNum>
  <w:abstractNum w:abstractNumId="5">
    <w:nsid w:val="16032CE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8936936"/>
    <w:multiLevelType w:val="multilevel"/>
    <w:tmpl w:val="20CA5918"/>
    <w:lvl w:ilvl="0">
      <w:start w:val="2"/>
      <w:numFmt w:val="none"/>
      <w:lvlText w:val="4."/>
      <w:lvlJc w:val="left"/>
      <w:pPr>
        <w:ind w:left="360" w:hanging="360"/>
      </w:pPr>
      <w:rPr>
        <w:rFonts w:hint="default"/>
      </w:rPr>
    </w:lvl>
    <w:lvl w:ilvl="1">
      <w:start w:val="1"/>
      <w:numFmt w:val="decimal"/>
      <w:lvlText w:val="3.%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1E2C363A"/>
    <w:multiLevelType w:val="multilevel"/>
    <w:tmpl w:val="E2C4036A"/>
    <w:lvl w:ilvl="0">
      <w:start w:val="2"/>
      <w:numFmt w:val="none"/>
      <w:lvlText w:val="10."/>
      <w:lvlJc w:val="left"/>
      <w:pPr>
        <w:ind w:left="360" w:hanging="360"/>
      </w:pPr>
      <w:rPr>
        <w:rFonts w:hint="default"/>
      </w:rPr>
    </w:lvl>
    <w:lvl w:ilvl="1">
      <w:start w:val="1"/>
      <w:numFmt w:val="decimal"/>
      <w:lvlText w:val="10.%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20A17592"/>
    <w:multiLevelType w:val="multilevel"/>
    <w:tmpl w:val="6624CAC4"/>
    <w:name w:val="StandardBulletedList"/>
    <w:lvl w:ilvl="0">
      <w:start w:val="1"/>
      <w:numFmt w:val="bullet"/>
      <w:pStyle w:val="Bullet"/>
      <w:lvlText w:val="•"/>
      <w:lvlJc w:val="left"/>
      <w:pPr>
        <w:tabs>
          <w:tab w:val="num" w:pos="520"/>
        </w:tabs>
        <w:ind w:left="520" w:hanging="520"/>
      </w:pPr>
      <w:rPr>
        <w:rFonts w:ascii="Times New Roman" w:hAnsi="Times New Roman" w:cs="Times New Roman"/>
      </w:rPr>
    </w:lvl>
    <w:lvl w:ilvl="1">
      <w:start w:val="1"/>
      <w:numFmt w:val="bullet"/>
      <w:pStyle w:val="Dash"/>
      <w:lvlText w:val="–"/>
      <w:lvlJc w:val="left"/>
      <w:pPr>
        <w:tabs>
          <w:tab w:val="num" w:pos="1040"/>
        </w:tabs>
        <w:ind w:left="1040" w:hanging="520"/>
      </w:pPr>
      <w:rPr>
        <w:rFonts w:ascii="Times New Roman" w:hAnsi="Times New Roman" w:cs="Times New Roman"/>
      </w:rPr>
    </w:lvl>
    <w:lvl w:ilvl="2">
      <w:start w:val="1"/>
      <w:numFmt w:val="bullet"/>
      <w:pStyle w:val="DoubleDo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2008" w:hanging="360"/>
      </w:pPr>
    </w:lvl>
    <w:lvl w:ilvl="4">
      <w:start w:val="1"/>
      <w:numFmt w:val="lowerLetter"/>
      <w:lvlText w:val="(%5)"/>
      <w:lvlJc w:val="left"/>
      <w:pPr>
        <w:ind w:left="2368" w:hanging="360"/>
      </w:pPr>
    </w:lvl>
    <w:lvl w:ilvl="5">
      <w:start w:val="1"/>
      <w:numFmt w:val="lowerRoman"/>
      <w:lvlText w:val="(%6)"/>
      <w:lvlJc w:val="left"/>
      <w:pPr>
        <w:ind w:left="2728" w:hanging="360"/>
      </w:pPr>
    </w:lvl>
    <w:lvl w:ilvl="6">
      <w:start w:val="1"/>
      <w:numFmt w:val="decimal"/>
      <w:lvlText w:val="%7."/>
      <w:lvlJc w:val="left"/>
      <w:pPr>
        <w:ind w:left="3088" w:hanging="360"/>
      </w:pPr>
    </w:lvl>
    <w:lvl w:ilvl="7">
      <w:start w:val="1"/>
      <w:numFmt w:val="lowerLetter"/>
      <w:lvlText w:val="%8."/>
      <w:lvlJc w:val="left"/>
      <w:pPr>
        <w:ind w:left="3448" w:hanging="360"/>
      </w:pPr>
    </w:lvl>
    <w:lvl w:ilvl="8">
      <w:start w:val="1"/>
      <w:numFmt w:val="lowerRoman"/>
      <w:lvlText w:val="%9."/>
      <w:lvlJc w:val="left"/>
      <w:pPr>
        <w:ind w:left="3808" w:hanging="360"/>
      </w:pPr>
    </w:lvl>
  </w:abstractNum>
  <w:abstractNum w:abstractNumId="9">
    <w:nsid w:val="227F1CB3"/>
    <w:multiLevelType w:val="hybridMultilevel"/>
    <w:tmpl w:val="CDDC216C"/>
    <w:lvl w:ilvl="0" w:tplc="B94C2210">
      <w:start w:val="1"/>
      <w:numFmt w:val="decimal"/>
      <w:lvlText w:val="%1."/>
      <w:lvlJc w:val="left"/>
      <w:pPr>
        <w:ind w:left="567" w:hanging="567"/>
      </w:pPr>
      <w:rPr>
        <w:rFonts w:hint="default"/>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2C1856DE"/>
    <w:multiLevelType w:val="multilevel"/>
    <w:tmpl w:val="973082B8"/>
    <w:lvl w:ilvl="0">
      <w:start w:val="2"/>
      <w:numFmt w:val="none"/>
      <w:lvlText w:val="6."/>
      <w:lvlJc w:val="left"/>
      <w:pPr>
        <w:ind w:left="360" w:hanging="360"/>
      </w:pPr>
      <w:rPr>
        <w:rFonts w:hint="default"/>
      </w:rPr>
    </w:lvl>
    <w:lvl w:ilvl="1">
      <w:start w:val="1"/>
      <w:numFmt w:val="decimal"/>
      <w:lvlText w:val="6.%2."/>
      <w:lvlJc w:val="left"/>
      <w:pPr>
        <w:ind w:left="567" w:hanging="567"/>
      </w:pPr>
      <w:rPr>
        <w:rFonts w:hint="default"/>
        <w:b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36145156"/>
    <w:multiLevelType w:val="multilevel"/>
    <w:tmpl w:val="2BD04314"/>
    <w:lvl w:ilvl="0">
      <w:start w:val="1"/>
      <w:numFmt w:val="none"/>
      <w:lvlText w:val="2."/>
      <w:lvlJc w:val="left"/>
      <w:pPr>
        <w:ind w:left="360" w:hanging="360"/>
      </w:pPr>
      <w:rPr>
        <w:rFonts w:hint="default"/>
      </w:rPr>
    </w:lvl>
    <w:lvl w:ilvl="1">
      <w:start w:val="1"/>
      <w:numFmt w:val="decimal"/>
      <w:lvlText w:val="2%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367022BB"/>
    <w:multiLevelType w:val="multilevel"/>
    <w:tmpl w:val="C3DC7D1C"/>
    <w:lvl w:ilvl="0">
      <w:start w:val="2"/>
      <w:numFmt w:val="none"/>
      <w:lvlText w:val="4."/>
      <w:lvlJc w:val="left"/>
      <w:pPr>
        <w:ind w:left="360" w:hanging="360"/>
      </w:pPr>
      <w:rPr>
        <w:rFonts w:hint="default"/>
      </w:rPr>
    </w:lvl>
    <w:lvl w:ilvl="1">
      <w:start w:val="1"/>
      <w:numFmt w:val="decimal"/>
      <w:lvlText w:val="4.%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3727115B"/>
    <w:multiLevelType w:val="multilevel"/>
    <w:tmpl w:val="AB1A76AC"/>
    <w:styleLink w:val="Headings"/>
    <w:lvl w:ilvl="0">
      <w:start w:val="1"/>
      <w:numFmt w:val="decimal"/>
      <w:lvlText w:val="%1."/>
      <w:lvlJc w:val="left"/>
      <w:pPr>
        <w:ind w:left="680" w:hanging="68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680" w:hanging="680"/>
      </w:pPr>
      <w:rPr>
        <w:rFonts w:hint="default"/>
      </w:rPr>
    </w:lvl>
    <w:lvl w:ilvl="3">
      <w:start w:val="1"/>
      <w:numFmt w:val="decimal"/>
      <w:lvlText w:val="%1.%2.%3.%4"/>
      <w:lvlJc w:val="left"/>
      <w:pPr>
        <w:ind w:left="680" w:hanging="680"/>
      </w:pPr>
      <w:rPr>
        <w:rFonts w:hint="default"/>
      </w:rPr>
    </w:lvl>
    <w:lvl w:ilvl="4">
      <w:start w:val="1"/>
      <w:numFmt w:val="decimal"/>
      <w:lvlText w:val="%1.%2.%3.%4.%5"/>
      <w:lvlJc w:val="left"/>
      <w:pPr>
        <w:ind w:left="680" w:hanging="680"/>
      </w:pPr>
      <w:rPr>
        <w:rFonts w:hint="default"/>
      </w:rPr>
    </w:lvl>
    <w:lvl w:ilvl="5">
      <w:start w:val="1"/>
      <w:numFmt w:val="decimal"/>
      <w:lvlText w:val="%1.%2.%3.%4.%5.%6"/>
      <w:lvlJc w:val="left"/>
      <w:pPr>
        <w:ind w:left="680" w:hanging="680"/>
      </w:pPr>
      <w:rPr>
        <w:rFonts w:hint="default"/>
      </w:rPr>
    </w:lvl>
    <w:lvl w:ilvl="6">
      <w:start w:val="1"/>
      <w:numFmt w:val="decimal"/>
      <w:lvlText w:val="%1.%2.%3.%4.%5.%6.%7"/>
      <w:lvlJc w:val="left"/>
      <w:pPr>
        <w:ind w:left="680" w:hanging="680"/>
      </w:pPr>
      <w:rPr>
        <w:rFonts w:hint="default"/>
      </w:rPr>
    </w:lvl>
    <w:lvl w:ilvl="7">
      <w:start w:val="1"/>
      <w:numFmt w:val="decimal"/>
      <w:lvlText w:val="%1.%2.%3.%4.%5.%6.%7.%8"/>
      <w:lvlJc w:val="left"/>
      <w:pPr>
        <w:ind w:left="680" w:hanging="680"/>
      </w:pPr>
      <w:rPr>
        <w:rFonts w:hint="default"/>
      </w:rPr>
    </w:lvl>
    <w:lvl w:ilvl="8">
      <w:start w:val="1"/>
      <w:numFmt w:val="decimal"/>
      <w:lvlText w:val="%1.%2.%3.%4.%5.%6.%7.%8.%9"/>
      <w:lvlJc w:val="left"/>
      <w:pPr>
        <w:ind w:left="680" w:hanging="680"/>
      </w:pPr>
      <w:rPr>
        <w:rFonts w:hint="default"/>
      </w:rPr>
    </w:lvl>
  </w:abstractNum>
  <w:abstractNum w:abstractNumId="14">
    <w:nsid w:val="377261F8"/>
    <w:multiLevelType w:val="multilevel"/>
    <w:tmpl w:val="8BD62314"/>
    <w:lvl w:ilvl="0">
      <w:start w:val="2"/>
      <w:numFmt w:val="none"/>
      <w:lvlText w:val="6."/>
      <w:lvlJc w:val="left"/>
      <w:pPr>
        <w:ind w:left="360" w:hanging="360"/>
      </w:pPr>
      <w:rPr>
        <w:rFonts w:hint="default"/>
      </w:rPr>
    </w:lvl>
    <w:lvl w:ilvl="1">
      <w:start w:val="1"/>
      <w:numFmt w:val="decimal"/>
      <w:lvlText w:val="7.%2."/>
      <w:lvlJc w:val="left"/>
      <w:pPr>
        <w:ind w:left="567" w:hanging="567"/>
      </w:pPr>
      <w:rPr>
        <w:rFonts w:hint="default"/>
        <w:b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383220A6"/>
    <w:multiLevelType w:val="multilevel"/>
    <w:tmpl w:val="9252D026"/>
    <w:lvl w:ilvl="0">
      <w:start w:val="1"/>
      <w:numFmt w:val="bullet"/>
      <w:lvlText w:val=""/>
      <w:lvlJc w:val="left"/>
      <w:pPr>
        <w:ind w:left="568" w:hanging="284"/>
      </w:pPr>
      <w:rPr>
        <w:rFonts w:ascii="Symbol" w:hAnsi="Symbol" w:hint="default"/>
        <w:color w:val="6679BA"/>
      </w:rPr>
    </w:lvl>
    <w:lvl w:ilvl="1">
      <w:start w:val="1"/>
      <w:numFmt w:val="bullet"/>
      <w:lvlText w:val="–"/>
      <w:lvlJc w:val="left"/>
      <w:pPr>
        <w:ind w:left="823" w:hanging="255"/>
      </w:pPr>
      <w:rPr>
        <w:rFonts w:ascii="Arial" w:hAnsi="Arial" w:hint="default"/>
        <w:color w:val="6679BA"/>
      </w:rPr>
    </w:lvl>
    <w:lvl w:ilvl="2">
      <w:start w:val="1"/>
      <w:numFmt w:val="bullet"/>
      <w:lvlText w:val="-"/>
      <w:lvlJc w:val="left"/>
      <w:pPr>
        <w:ind w:left="1021" w:hanging="198"/>
      </w:pPr>
      <w:rPr>
        <w:rFonts w:hint="default"/>
        <w:color w:val="6679BA"/>
      </w:rPr>
    </w:lvl>
    <w:lvl w:ilvl="3">
      <w:start w:val="1"/>
      <w:numFmt w:val="bullet"/>
      <w:lvlText w:val="&gt;"/>
      <w:lvlJc w:val="left"/>
      <w:pPr>
        <w:ind w:left="908" w:hanging="284"/>
      </w:pPr>
      <w:rPr>
        <w:rFonts w:ascii="Arial" w:hAnsi="Arial" w:hint="default"/>
        <w:color w:val="6679BA"/>
      </w:rPr>
    </w:lvl>
    <w:lvl w:ilvl="4">
      <w:start w:val="1"/>
      <w:numFmt w:val="bullet"/>
      <w:lvlText w:val="–"/>
      <w:lvlJc w:val="left"/>
      <w:pPr>
        <w:ind w:left="1163" w:hanging="255"/>
      </w:pPr>
      <w:rPr>
        <w:rFonts w:ascii="Arial" w:hAnsi="Arial" w:hint="default"/>
        <w:color w:val="6679BA"/>
      </w:rPr>
    </w:lvl>
    <w:lvl w:ilvl="5">
      <w:start w:val="1"/>
      <w:numFmt w:val="bullet"/>
      <w:lvlText w:val="-"/>
      <w:lvlJc w:val="left"/>
      <w:pPr>
        <w:ind w:left="1361" w:hanging="198"/>
      </w:pPr>
      <w:rPr>
        <w:rFonts w:ascii="Arial" w:hAnsi="Arial" w:hint="default"/>
        <w:color w:val="6679BA"/>
      </w:rPr>
    </w:lvl>
    <w:lvl w:ilvl="6">
      <w:start w:val="1"/>
      <w:numFmt w:val="bullet"/>
      <w:lvlText w:val="&gt;"/>
      <w:lvlJc w:val="left"/>
      <w:pPr>
        <w:ind w:left="794" w:hanging="283"/>
      </w:pPr>
      <w:rPr>
        <w:rFonts w:ascii="Arial" w:hAnsi="Arial" w:hint="default"/>
        <w:color w:val="6679BA"/>
      </w:rPr>
    </w:lvl>
    <w:lvl w:ilvl="7">
      <w:start w:val="1"/>
      <w:numFmt w:val="bullet"/>
      <w:lvlText w:val="–"/>
      <w:lvlJc w:val="left"/>
      <w:pPr>
        <w:ind w:left="1049" w:hanging="255"/>
      </w:pPr>
      <w:rPr>
        <w:rFonts w:ascii="Arial" w:hAnsi="Arial" w:hint="default"/>
        <w:color w:val="6679BA"/>
      </w:rPr>
    </w:lvl>
    <w:lvl w:ilvl="8">
      <w:start w:val="1"/>
      <w:numFmt w:val="bullet"/>
      <w:lvlText w:val="-"/>
      <w:lvlJc w:val="left"/>
      <w:pPr>
        <w:ind w:left="1248" w:hanging="199"/>
      </w:pPr>
      <w:rPr>
        <w:rFonts w:ascii="Arial" w:hAnsi="Arial" w:hint="default"/>
        <w:color w:val="6679BA"/>
      </w:rPr>
    </w:lvl>
  </w:abstractNum>
  <w:abstractNum w:abstractNumId="16">
    <w:nsid w:val="441E043C"/>
    <w:multiLevelType w:val="hybridMultilevel"/>
    <w:tmpl w:val="4BF0BEC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46D34A58"/>
    <w:multiLevelType w:val="multilevel"/>
    <w:tmpl w:val="9FCA9A5C"/>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47AA1AB1"/>
    <w:multiLevelType w:val="multilevel"/>
    <w:tmpl w:val="DADE07AE"/>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49D70D50"/>
    <w:multiLevelType w:val="hybridMultilevel"/>
    <w:tmpl w:val="75AA7430"/>
    <w:lvl w:ilvl="0" w:tplc="395E23D8">
      <w:start w:val="1"/>
      <w:numFmt w:val="decimal"/>
      <w:lvlText w:val="%1."/>
      <w:lvlJc w:val="left"/>
      <w:pPr>
        <w:ind w:left="360" w:hanging="360"/>
      </w:pPr>
      <w:rPr>
        <w:rFonts w:ascii="Arial" w:hAnsi="Arial"/>
        <w:b w:val="0"/>
        <w:color w:val="auto"/>
        <w:sz w:val="22"/>
      </w:rPr>
    </w:lvl>
    <w:lvl w:ilvl="1" w:tplc="0C090001">
      <w:start w:val="1"/>
      <w:numFmt w:val="bullet"/>
      <w:lvlText w:val=""/>
      <w:lvlJc w:val="left"/>
      <w:pPr>
        <w:ind w:left="1440" w:hanging="360"/>
      </w:pPr>
      <w:rPr>
        <w:rFonts w:ascii="Symbol" w:hAnsi="Symbol" w:hint="default"/>
        <w:b w:val="0"/>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4AAE3CDC"/>
    <w:multiLevelType w:val="multilevel"/>
    <w:tmpl w:val="214839EC"/>
    <w:lvl w:ilvl="0">
      <w:start w:val="2"/>
      <w:numFmt w:val="none"/>
      <w:lvlText w:val="6."/>
      <w:lvlJc w:val="left"/>
      <w:pPr>
        <w:ind w:left="360" w:hanging="360"/>
      </w:pPr>
      <w:rPr>
        <w:rFonts w:hint="default"/>
      </w:rPr>
    </w:lvl>
    <w:lvl w:ilvl="1">
      <w:start w:val="1"/>
      <w:numFmt w:val="decimal"/>
      <w:lvlText w:val="6.%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4BBC2F71"/>
    <w:multiLevelType w:val="multilevel"/>
    <w:tmpl w:val="8E189F50"/>
    <w:lvl w:ilvl="0">
      <w:start w:val="2"/>
      <w:numFmt w:val="none"/>
      <w:lvlText w:val="9."/>
      <w:lvlJc w:val="left"/>
      <w:pPr>
        <w:ind w:left="360" w:hanging="360"/>
      </w:pPr>
      <w:rPr>
        <w:rFonts w:hint="default"/>
      </w:rPr>
    </w:lvl>
    <w:lvl w:ilvl="1">
      <w:start w:val="1"/>
      <w:numFmt w:val="decimal"/>
      <w:lvlText w:val="9.%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4D5466FE"/>
    <w:multiLevelType w:val="multilevel"/>
    <w:tmpl w:val="C21C578C"/>
    <w:lvl w:ilvl="0">
      <w:start w:val="1"/>
      <w:numFmt w:val="bullet"/>
      <w:lvlText w:val=""/>
      <w:lvlJc w:val="left"/>
      <w:pPr>
        <w:ind w:left="284" w:hanging="284"/>
      </w:pPr>
      <w:rPr>
        <w:rFonts w:ascii="Symbol" w:hAnsi="Symbol" w:hint="default"/>
        <w:color w:val="6679BA"/>
      </w:rPr>
    </w:lvl>
    <w:lvl w:ilvl="1">
      <w:start w:val="1"/>
      <w:numFmt w:val="bullet"/>
      <w:lvlText w:val="–"/>
      <w:lvlJc w:val="left"/>
      <w:pPr>
        <w:ind w:left="539" w:hanging="255"/>
      </w:pPr>
      <w:rPr>
        <w:rFonts w:ascii="Arial" w:hAnsi="Arial" w:hint="default"/>
        <w:color w:val="6679BA"/>
      </w:rPr>
    </w:lvl>
    <w:lvl w:ilvl="2">
      <w:start w:val="1"/>
      <w:numFmt w:val="bullet"/>
      <w:lvlText w:val="-"/>
      <w:lvlJc w:val="left"/>
      <w:pPr>
        <w:ind w:left="737" w:hanging="198"/>
      </w:pPr>
      <w:rPr>
        <w:rFonts w:hint="default"/>
        <w:color w:val="6679BA"/>
      </w:rPr>
    </w:lvl>
    <w:lvl w:ilvl="3">
      <w:start w:val="1"/>
      <w:numFmt w:val="bullet"/>
      <w:lvlText w:val="&gt;"/>
      <w:lvlJc w:val="left"/>
      <w:pPr>
        <w:ind w:left="624" w:hanging="284"/>
      </w:pPr>
      <w:rPr>
        <w:rFonts w:ascii="Arial" w:hAnsi="Arial" w:hint="default"/>
        <w:color w:val="6679BA"/>
      </w:rPr>
    </w:lvl>
    <w:lvl w:ilvl="4">
      <w:start w:val="1"/>
      <w:numFmt w:val="bullet"/>
      <w:lvlText w:val="–"/>
      <w:lvlJc w:val="left"/>
      <w:pPr>
        <w:ind w:left="879" w:hanging="255"/>
      </w:pPr>
      <w:rPr>
        <w:rFonts w:ascii="Arial" w:hAnsi="Arial" w:hint="default"/>
        <w:color w:val="6679BA"/>
      </w:rPr>
    </w:lvl>
    <w:lvl w:ilvl="5">
      <w:start w:val="1"/>
      <w:numFmt w:val="bullet"/>
      <w:lvlText w:val="-"/>
      <w:lvlJc w:val="left"/>
      <w:pPr>
        <w:ind w:left="1077" w:hanging="198"/>
      </w:pPr>
      <w:rPr>
        <w:rFonts w:ascii="Arial" w:hAnsi="Arial" w:hint="default"/>
        <w:color w:val="6679BA"/>
      </w:rPr>
    </w:lvl>
    <w:lvl w:ilvl="6">
      <w:start w:val="1"/>
      <w:numFmt w:val="bullet"/>
      <w:lvlText w:val="&gt;"/>
      <w:lvlJc w:val="left"/>
      <w:pPr>
        <w:ind w:left="510" w:hanging="283"/>
      </w:pPr>
      <w:rPr>
        <w:rFonts w:ascii="Arial" w:hAnsi="Arial" w:hint="default"/>
        <w:color w:val="6679BA"/>
      </w:rPr>
    </w:lvl>
    <w:lvl w:ilvl="7">
      <w:start w:val="1"/>
      <w:numFmt w:val="bullet"/>
      <w:lvlText w:val="–"/>
      <w:lvlJc w:val="left"/>
      <w:pPr>
        <w:ind w:left="765" w:hanging="255"/>
      </w:pPr>
      <w:rPr>
        <w:rFonts w:ascii="Arial" w:hAnsi="Arial" w:hint="default"/>
        <w:color w:val="6679BA"/>
      </w:rPr>
    </w:lvl>
    <w:lvl w:ilvl="8">
      <w:start w:val="1"/>
      <w:numFmt w:val="bullet"/>
      <w:lvlText w:val="-"/>
      <w:lvlJc w:val="left"/>
      <w:pPr>
        <w:ind w:left="964" w:hanging="199"/>
      </w:pPr>
      <w:rPr>
        <w:rFonts w:ascii="Arial" w:hAnsi="Arial" w:hint="default"/>
        <w:color w:val="6679BA"/>
      </w:rPr>
    </w:lvl>
  </w:abstractNum>
  <w:abstractNum w:abstractNumId="23">
    <w:nsid w:val="4DF73B66"/>
    <w:multiLevelType w:val="multilevel"/>
    <w:tmpl w:val="D66EE542"/>
    <w:lvl w:ilvl="0">
      <w:start w:val="1"/>
      <w:numFmt w:val="bullet"/>
      <w:lvlText w:val=""/>
      <w:lvlJc w:val="left"/>
      <w:pPr>
        <w:ind w:left="360" w:hanging="360"/>
      </w:pPr>
      <w:rPr>
        <w:rFonts w:ascii="Symbol" w:hAnsi="Symbol" w:hint="default"/>
      </w:rPr>
    </w:lvl>
    <w:lvl w:ilvl="1">
      <w:start w:val="1"/>
      <w:numFmt w:val="decimal"/>
      <w:lvlText w:val="6.%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5713402E"/>
    <w:multiLevelType w:val="hybridMultilevel"/>
    <w:tmpl w:val="C1E62AAE"/>
    <w:lvl w:ilvl="0" w:tplc="0C090001">
      <w:start w:val="1"/>
      <w:numFmt w:val="bullet"/>
      <w:lvlText w:val=""/>
      <w:lvlJc w:val="left"/>
      <w:pPr>
        <w:ind w:left="303" w:hanging="360"/>
      </w:pPr>
      <w:rPr>
        <w:rFonts w:ascii="Symbol" w:hAnsi="Symbol" w:hint="default"/>
      </w:rPr>
    </w:lvl>
    <w:lvl w:ilvl="1" w:tplc="0C090003" w:tentative="1">
      <w:start w:val="1"/>
      <w:numFmt w:val="bullet"/>
      <w:lvlText w:val="o"/>
      <w:lvlJc w:val="left"/>
      <w:pPr>
        <w:ind w:left="1023" w:hanging="360"/>
      </w:pPr>
      <w:rPr>
        <w:rFonts w:ascii="Courier New" w:hAnsi="Courier New" w:cs="Courier New" w:hint="default"/>
      </w:rPr>
    </w:lvl>
    <w:lvl w:ilvl="2" w:tplc="0C090005" w:tentative="1">
      <w:start w:val="1"/>
      <w:numFmt w:val="bullet"/>
      <w:lvlText w:val=""/>
      <w:lvlJc w:val="left"/>
      <w:pPr>
        <w:ind w:left="1743" w:hanging="360"/>
      </w:pPr>
      <w:rPr>
        <w:rFonts w:ascii="Wingdings" w:hAnsi="Wingdings" w:hint="default"/>
      </w:rPr>
    </w:lvl>
    <w:lvl w:ilvl="3" w:tplc="0C090001" w:tentative="1">
      <w:start w:val="1"/>
      <w:numFmt w:val="bullet"/>
      <w:lvlText w:val=""/>
      <w:lvlJc w:val="left"/>
      <w:pPr>
        <w:ind w:left="2463" w:hanging="360"/>
      </w:pPr>
      <w:rPr>
        <w:rFonts w:ascii="Symbol" w:hAnsi="Symbol" w:hint="default"/>
      </w:rPr>
    </w:lvl>
    <w:lvl w:ilvl="4" w:tplc="0C090003" w:tentative="1">
      <w:start w:val="1"/>
      <w:numFmt w:val="bullet"/>
      <w:lvlText w:val="o"/>
      <w:lvlJc w:val="left"/>
      <w:pPr>
        <w:ind w:left="3183" w:hanging="360"/>
      </w:pPr>
      <w:rPr>
        <w:rFonts w:ascii="Courier New" w:hAnsi="Courier New" w:cs="Courier New" w:hint="default"/>
      </w:rPr>
    </w:lvl>
    <w:lvl w:ilvl="5" w:tplc="0C090005" w:tentative="1">
      <w:start w:val="1"/>
      <w:numFmt w:val="bullet"/>
      <w:lvlText w:val=""/>
      <w:lvlJc w:val="left"/>
      <w:pPr>
        <w:ind w:left="3903" w:hanging="360"/>
      </w:pPr>
      <w:rPr>
        <w:rFonts w:ascii="Wingdings" w:hAnsi="Wingdings" w:hint="default"/>
      </w:rPr>
    </w:lvl>
    <w:lvl w:ilvl="6" w:tplc="0C090001" w:tentative="1">
      <w:start w:val="1"/>
      <w:numFmt w:val="bullet"/>
      <w:lvlText w:val=""/>
      <w:lvlJc w:val="left"/>
      <w:pPr>
        <w:ind w:left="4623" w:hanging="360"/>
      </w:pPr>
      <w:rPr>
        <w:rFonts w:ascii="Symbol" w:hAnsi="Symbol" w:hint="default"/>
      </w:rPr>
    </w:lvl>
    <w:lvl w:ilvl="7" w:tplc="0C090003" w:tentative="1">
      <w:start w:val="1"/>
      <w:numFmt w:val="bullet"/>
      <w:lvlText w:val="o"/>
      <w:lvlJc w:val="left"/>
      <w:pPr>
        <w:ind w:left="5343" w:hanging="360"/>
      </w:pPr>
      <w:rPr>
        <w:rFonts w:ascii="Courier New" w:hAnsi="Courier New" w:cs="Courier New" w:hint="default"/>
      </w:rPr>
    </w:lvl>
    <w:lvl w:ilvl="8" w:tplc="0C090005" w:tentative="1">
      <w:start w:val="1"/>
      <w:numFmt w:val="bullet"/>
      <w:lvlText w:val=""/>
      <w:lvlJc w:val="left"/>
      <w:pPr>
        <w:ind w:left="6063" w:hanging="360"/>
      </w:pPr>
      <w:rPr>
        <w:rFonts w:ascii="Wingdings" w:hAnsi="Wingdings" w:hint="default"/>
      </w:rPr>
    </w:lvl>
  </w:abstractNum>
  <w:abstractNum w:abstractNumId="25">
    <w:nsid w:val="58E33EED"/>
    <w:multiLevelType w:val="hybridMultilevel"/>
    <w:tmpl w:val="7DD278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5A9A126E"/>
    <w:multiLevelType w:val="multilevel"/>
    <w:tmpl w:val="A90CA550"/>
    <w:styleLink w:val="Bullets"/>
    <w:lvl w:ilvl="0">
      <w:start w:val="1"/>
      <w:numFmt w:val="bullet"/>
      <w:pStyle w:val="Bulletedlist1"/>
      <w:lvlText w:val="&gt;"/>
      <w:lvlJc w:val="left"/>
      <w:pPr>
        <w:ind w:left="284" w:hanging="284"/>
      </w:pPr>
      <w:rPr>
        <w:rFonts w:ascii="Calibri" w:hAnsi="Calibri" w:hint="default"/>
        <w:color w:val="6679BA"/>
      </w:rPr>
    </w:lvl>
    <w:lvl w:ilvl="1">
      <w:start w:val="1"/>
      <w:numFmt w:val="bullet"/>
      <w:pStyle w:val="Bulletedlist2"/>
      <w:lvlText w:val="–"/>
      <w:lvlJc w:val="left"/>
      <w:pPr>
        <w:ind w:left="539" w:hanging="255"/>
      </w:pPr>
      <w:rPr>
        <w:rFonts w:ascii="Arial" w:hAnsi="Arial" w:hint="default"/>
        <w:color w:val="6679BA"/>
      </w:rPr>
    </w:lvl>
    <w:lvl w:ilvl="2">
      <w:start w:val="1"/>
      <w:numFmt w:val="bullet"/>
      <w:pStyle w:val="Bulletedlist3"/>
      <w:lvlText w:val="-"/>
      <w:lvlJc w:val="left"/>
      <w:pPr>
        <w:ind w:left="737" w:hanging="198"/>
      </w:pPr>
      <w:rPr>
        <w:rFonts w:hint="default"/>
        <w:color w:val="6679BA"/>
      </w:rPr>
    </w:lvl>
    <w:lvl w:ilvl="3">
      <w:start w:val="1"/>
      <w:numFmt w:val="bullet"/>
      <w:pStyle w:val="Boxbulletedlist1"/>
      <w:lvlText w:val="&gt;"/>
      <w:lvlJc w:val="left"/>
      <w:pPr>
        <w:ind w:left="624" w:hanging="284"/>
      </w:pPr>
      <w:rPr>
        <w:rFonts w:ascii="Arial" w:hAnsi="Arial" w:hint="default"/>
        <w:color w:val="6679BA"/>
      </w:rPr>
    </w:lvl>
    <w:lvl w:ilvl="4">
      <w:start w:val="1"/>
      <w:numFmt w:val="bullet"/>
      <w:pStyle w:val="Boxbulletedlist2"/>
      <w:lvlText w:val="–"/>
      <w:lvlJc w:val="left"/>
      <w:pPr>
        <w:ind w:left="879" w:hanging="255"/>
      </w:pPr>
      <w:rPr>
        <w:rFonts w:ascii="Arial" w:hAnsi="Arial" w:hint="default"/>
        <w:color w:val="6679BA"/>
      </w:rPr>
    </w:lvl>
    <w:lvl w:ilvl="5">
      <w:start w:val="1"/>
      <w:numFmt w:val="bullet"/>
      <w:pStyle w:val="Boxbulletedlist3"/>
      <w:lvlText w:val="-"/>
      <w:lvlJc w:val="left"/>
      <w:pPr>
        <w:ind w:left="1077" w:hanging="198"/>
      </w:pPr>
      <w:rPr>
        <w:rFonts w:ascii="Arial" w:hAnsi="Arial" w:hint="default"/>
        <w:color w:val="6679BA"/>
      </w:rPr>
    </w:lvl>
    <w:lvl w:ilvl="6">
      <w:start w:val="1"/>
      <w:numFmt w:val="bullet"/>
      <w:pStyle w:val="Tablebulletedlist1"/>
      <w:lvlText w:val="&gt;"/>
      <w:lvlJc w:val="left"/>
      <w:pPr>
        <w:ind w:left="510" w:hanging="283"/>
      </w:pPr>
      <w:rPr>
        <w:rFonts w:ascii="Arial" w:hAnsi="Arial" w:hint="default"/>
        <w:color w:val="6679BA"/>
      </w:rPr>
    </w:lvl>
    <w:lvl w:ilvl="7">
      <w:start w:val="1"/>
      <w:numFmt w:val="bullet"/>
      <w:pStyle w:val="Tablebulletedlist2"/>
      <w:lvlText w:val="–"/>
      <w:lvlJc w:val="left"/>
      <w:pPr>
        <w:ind w:left="765" w:hanging="255"/>
      </w:pPr>
      <w:rPr>
        <w:rFonts w:ascii="Arial" w:hAnsi="Arial" w:hint="default"/>
        <w:color w:val="6679BA"/>
      </w:rPr>
    </w:lvl>
    <w:lvl w:ilvl="8">
      <w:start w:val="1"/>
      <w:numFmt w:val="bullet"/>
      <w:pStyle w:val="Tablebulletedlist3"/>
      <w:lvlText w:val="-"/>
      <w:lvlJc w:val="left"/>
      <w:pPr>
        <w:ind w:left="964" w:hanging="199"/>
      </w:pPr>
      <w:rPr>
        <w:rFonts w:ascii="Arial" w:hAnsi="Arial" w:hint="default"/>
        <w:color w:val="6679BA"/>
      </w:rPr>
    </w:lvl>
  </w:abstractNum>
  <w:abstractNum w:abstractNumId="27">
    <w:nsid w:val="5BAD41E0"/>
    <w:multiLevelType w:val="multilevel"/>
    <w:tmpl w:val="A1641EB6"/>
    <w:lvl w:ilvl="0">
      <w:start w:val="2"/>
      <w:numFmt w:val="none"/>
      <w:lvlText w:val="5."/>
      <w:lvlJc w:val="left"/>
      <w:pPr>
        <w:ind w:left="360" w:hanging="360"/>
      </w:pPr>
      <w:rPr>
        <w:rFonts w:hint="default"/>
      </w:rPr>
    </w:lvl>
    <w:lvl w:ilvl="1">
      <w:start w:val="1"/>
      <w:numFmt w:val="decimal"/>
      <w:lvlText w:val="5.%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5C4E6D5D"/>
    <w:multiLevelType w:val="hybridMultilevel"/>
    <w:tmpl w:val="72F6E51A"/>
    <w:lvl w:ilvl="0" w:tplc="0C090019">
      <w:start w:val="1"/>
      <w:numFmt w:val="lowerLetter"/>
      <w:lvlText w:val="%1."/>
      <w:lvlJc w:val="left"/>
      <w:pPr>
        <w:ind w:left="782" w:hanging="360"/>
      </w:pPr>
      <w:rPr>
        <w:rFonts w:hint="default"/>
      </w:rPr>
    </w:lvl>
    <w:lvl w:ilvl="1" w:tplc="0C090003">
      <w:start w:val="1"/>
      <w:numFmt w:val="bullet"/>
      <w:lvlText w:val="o"/>
      <w:lvlJc w:val="left"/>
      <w:pPr>
        <w:ind w:left="1502" w:hanging="360"/>
      </w:pPr>
      <w:rPr>
        <w:rFonts w:ascii="Courier New" w:hAnsi="Courier New" w:cs="Courier New" w:hint="default"/>
      </w:rPr>
    </w:lvl>
    <w:lvl w:ilvl="2" w:tplc="0C090005">
      <w:start w:val="1"/>
      <w:numFmt w:val="bullet"/>
      <w:lvlText w:val=""/>
      <w:lvlJc w:val="left"/>
      <w:pPr>
        <w:ind w:left="2222" w:hanging="360"/>
      </w:pPr>
      <w:rPr>
        <w:rFonts w:ascii="Wingdings" w:hAnsi="Wingdings" w:hint="default"/>
      </w:rPr>
    </w:lvl>
    <w:lvl w:ilvl="3" w:tplc="0C090001" w:tentative="1">
      <w:start w:val="1"/>
      <w:numFmt w:val="bullet"/>
      <w:lvlText w:val=""/>
      <w:lvlJc w:val="left"/>
      <w:pPr>
        <w:ind w:left="2942" w:hanging="360"/>
      </w:pPr>
      <w:rPr>
        <w:rFonts w:ascii="Symbol" w:hAnsi="Symbol" w:hint="default"/>
      </w:rPr>
    </w:lvl>
    <w:lvl w:ilvl="4" w:tplc="0C090003" w:tentative="1">
      <w:start w:val="1"/>
      <w:numFmt w:val="bullet"/>
      <w:lvlText w:val="o"/>
      <w:lvlJc w:val="left"/>
      <w:pPr>
        <w:ind w:left="3662" w:hanging="360"/>
      </w:pPr>
      <w:rPr>
        <w:rFonts w:ascii="Courier New" w:hAnsi="Courier New" w:cs="Courier New" w:hint="default"/>
      </w:rPr>
    </w:lvl>
    <w:lvl w:ilvl="5" w:tplc="0C090005" w:tentative="1">
      <w:start w:val="1"/>
      <w:numFmt w:val="bullet"/>
      <w:lvlText w:val=""/>
      <w:lvlJc w:val="left"/>
      <w:pPr>
        <w:ind w:left="4382" w:hanging="360"/>
      </w:pPr>
      <w:rPr>
        <w:rFonts w:ascii="Wingdings" w:hAnsi="Wingdings" w:hint="default"/>
      </w:rPr>
    </w:lvl>
    <w:lvl w:ilvl="6" w:tplc="0C090001" w:tentative="1">
      <w:start w:val="1"/>
      <w:numFmt w:val="bullet"/>
      <w:lvlText w:val=""/>
      <w:lvlJc w:val="left"/>
      <w:pPr>
        <w:ind w:left="5102" w:hanging="360"/>
      </w:pPr>
      <w:rPr>
        <w:rFonts w:ascii="Symbol" w:hAnsi="Symbol" w:hint="default"/>
      </w:rPr>
    </w:lvl>
    <w:lvl w:ilvl="7" w:tplc="0C090003" w:tentative="1">
      <w:start w:val="1"/>
      <w:numFmt w:val="bullet"/>
      <w:lvlText w:val="o"/>
      <w:lvlJc w:val="left"/>
      <w:pPr>
        <w:ind w:left="5822" w:hanging="360"/>
      </w:pPr>
      <w:rPr>
        <w:rFonts w:ascii="Courier New" w:hAnsi="Courier New" w:cs="Courier New" w:hint="default"/>
      </w:rPr>
    </w:lvl>
    <w:lvl w:ilvl="8" w:tplc="0C090005" w:tentative="1">
      <w:start w:val="1"/>
      <w:numFmt w:val="bullet"/>
      <w:lvlText w:val=""/>
      <w:lvlJc w:val="left"/>
      <w:pPr>
        <w:ind w:left="6542" w:hanging="360"/>
      </w:pPr>
      <w:rPr>
        <w:rFonts w:ascii="Wingdings" w:hAnsi="Wingdings" w:hint="default"/>
      </w:rPr>
    </w:lvl>
  </w:abstractNum>
  <w:abstractNum w:abstractNumId="29">
    <w:nsid w:val="5E3E44BB"/>
    <w:multiLevelType w:val="multilevel"/>
    <w:tmpl w:val="2B20D62A"/>
    <w:lvl w:ilvl="0">
      <w:start w:val="2"/>
      <w:numFmt w:val="none"/>
      <w:lvlText w:val="4."/>
      <w:lvlJc w:val="left"/>
      <w:pPr>
        <w:ind w:left="360" w:hanging="360"/>
      </w:pPr>
      <w:rPr>
        <w:rFonts w:hint="default"/>
      </w:rPr>
    </w:lvl>
    <w:lvl w:ilvl="1">
      <w:start w:val="1"/>
      <w:numFmt w:val="decimal"/>
      <w:lvlText w:val="4.%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61414F5D"/>
    <w:multiLevelType w:val="hybridMultilevel"/>
    <w:tmpl w:val="17C2F554"/>
    <w:lvl w:ilvl="0" w:tplc="0BFE6714">
      <w:start w:val="1"/>
      <w:numFmt w:val="decimal"/>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nsid w:val="63C8418F"/>
    <w:multiLevelType w:val="multilevel"/>
    <w:tmpl w:val="0C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6404351A"/>
    <w:multiLevelType w:val="hybridMultilevel"/>
    <w:tmpl w:val="D62C033C"/>
    <w:lvl w:ilvl="0" w:tplc="0C090001">
      <w:start w:val="1"/>
      <w:numFmt w:val="bullet"/>
      <w:lvlText w:val=""/>
      <w:lvlJc w:val="left"/>
      <w:pPr>
        <w:ind w:left="1437" w:hanging="360"/>
      </w:pPr>
      <w:rPr>
        <w:rFonts w:ascii="Symbol" w:hAnsi="Symbol" w:hint="default"/>
      </w:rPr>
    </w:lvl>
    <w:lvl w:ilvl="1" w:tplc="0C090003">
      <w:start w:val="1"/>
      <w:numFmt w:val="bullet"/>
      <w:lvlText w:val="o"/>
      <w:lvlJc w:val="left"/>
      <w:pPr>
        <w:ind w:left="2157" w:hanging="360"/>
      </w:pPr>
      <w:rPr>
        <w:rFonts w:ascii="Courier New" w:hAnsi="Courier New" w:cs="Courier New" w:hint="default"/>
      </w:rPr>
    </w:lvl>
    <w:lvl w:ilvl="2" w:tplc="0C090005" w:tentative="1">
      <w:start w:val="1"/>
      <w:numFmt w:val="bullet"/>
      <w:lvlText w:val=""/>
      <w:lvlJc w:val="left"/>
      <w:pPr>
        <w:ind w:left="2877" w:hanging="360"/>
      </w:pPr>
      <w:rPr>
        <w:rFonts w:ascii="Wingdings" w:hAnsi="Wingdings" w:hint="default"/>
      </w:rPr>
    </w:lvl>
    <w:lvl w:ilvl="3" w:tplc="0C090001" w:tentative="1">
      <w:start w:val="1"/>
      <w:numFmt w:val="bullet"/>
      <w:lvlText w:val=""/>
      <w:lvlJc w:val="left"/>
      <w:pPr>
        <w:ind w:left="3597" w:hanging="360"/>
      </w:pPr>
      <w:rPr>
        <w:rFonts w:ascii="Symbol" w:hAnsi="Symbol" w:hint="default"/>
      </w:rPr>
    </w:lvl>
    <w:lvl w:ilvl="4" w:tplc="0C090003" w:tentative="1">
      <w:start w:val="1"/>
      <w:numFmt w:val="bullet"/>
      <w:lvlText w:val="o"/>
      <w:lvlJc w:val="left"/>
      <w:pPr>
        <w:ind w:left="4317" w:hanging="360"/>
      </w:pPr>
      <w:rPr>
        <w:rFonts w:ascii="Courier New" w:hAnsi="Courier New" w:cs="Courier New" w:hint="default"/>
      </w:rPr>
    </w:lvl>
    <w:lvl w:ilvl="5" w:tplc="0C090005" w:tentative="1">
      <w:start w:val="1"/>
      <w:numFmt w:val="bullet"/>
      <w:lvlText w:val=""/>
      <w:lvlJc w:val="left"/>
      <w:pPr>
        <w:ind w:left="5037" w:hanging="360"/>
      </w:pPr>
      <w:rPr>
        <w:rFonts w:ascii="Wingdings" w:hAnsi="Wingdings" w:hint="default"/>
      </w:rPr>
    </w:lvl>
    <w:lvl w:ilvl="6" w:tplc="0C090001" w:tentative="1">
      <w:start w:val="1"/>
      <w:numFmt w:val="bullet"/>
      <w:lvlText w:val=""/>
      <w:lvlJc w:val="left"/>
      <w:pPr>
        <w:ind w:left="5757" w:hanging="360"/>
      </w:pPr>
      <w:rPr>
        <w:rFonts w:ascii="Symbol" w:hAnsi="Symbol" w:hint="default"/>
      </w:rPr>
    </w:lvl>
    <w:lvl w:ilvl="7" w:tplc="0C090003" w:tentative="1">
      <w:start w:val="1"/>
      <w:numFmt w:val="bullet"/>
      <w:lvlText w:val="o"/>
      <w:lvlJc w:val="left"/>
      <w:pPr>
        <w:ind w:left="6477" w:hanging="360"/>
      </w:pPr>
      <w:rPr>
        <w:rFonts w:ascii="Courier New" w:hAnsi="Courier New" w:cs="Courier New" w:hint="default"/>
      </w:rPr>
    </w:lvl>
    <w:lvl w:ilvl="8" w:tplc="0C090005" w:tentative="1">
      <w:start w:val="1"/>
      <w:numFmt w:val="bullet"/>
      <w:lvlText w:val=""/>
      <w:lvlJc w:val="left"/>
      <w:pPr>
        <w:ind w:left="7197" w:hanging="360"/>
      </w:pPr>
      <w:rPr>
        <w:rFonts w:ascii="Wingdings" w:hAnsi="Wingdings" w:hint="default"/>
      </w:rPr>
    </w:lvl>
  </w:abstractNum>
  <w:abstractNum w:abstractNumId="33">
    <w:nsid w:val="69CC132B"/>
    <w:multiLevelType w:val="multilevel"/>
    <w:tmpl w:val="28E8B23E"/>
    <w:lvl w:ilvl="0">
      <w:start w:val="1"/>
      <w:numFmt w:val="bullet"/>
      <w:lvlText w:val=""/>
      <w:lvlJc w:val="left"/>
      <w:pPr>
        <w:ind w:left="284" w:hanging="284"/>
      </w:pPr>
      <w:rPr>
        <w:rFonts w:ascii="Symbol" w:hAnsi="Symbol" w:hint="default"/>
        <w:color w:val="6679BA"/>
      </w:rPr>
    </w:lvl>
    <w:lvl w:ilvl="1">
      <w:start w:val="1"/>
      <w:numFmt w:val="bullet"/>
      <w:lvlText w:val="–"/>
      <w:lvlJc w:val="left"/>
      <w:pPr>
        <w:ind w:left="539" w:hanging="255"/>
      </w:pPr>
      <w:rPr>
        <w:rFonts w:ascii="Arial" w:hAnsi="Arial" w:hint="default"/>
        <w:color w:val="6679BA"/>
      </w:rPr>
    </w:lvl>
    <w:lvl w:ilvl="2">
      <w:start w:val="1"/>
      <w:numFmt w:val="bullet"/>
      <w:lvlText w:val="-"/>
      <w:lvlJc w:val="left"/>
      <w:pPr>
        <w:ind w:left="737" w:hanging="198"/>
      </w:pPr>
      <w:rPr>
        <w:rFonts w:hint="default"/>
        <w:color w:val="6679BA"/>
      </w:rPr>
    </w:lvl>
    <w:lvl w:ilvl="3">
      <w:start w:val="1"/>
      <w:numFmt w:val="bullet"/>
      <w:lvlText w:val="&gt;"/>
      <w:lvlJc w:val="left"/>
      <w:pPr>
        <w:ind w:left="624" w:hanging="284"/>
      </w:pPr>
      <w:rPr>
        <w:rFonts w:ascii="Arial" w:hAnsi="Arial" w:hint="default"/>
        <w:color w:val="6679BA"/>
      </w:rPr>
    </w:lvl>
    <w:lvl w:ilvl="4">
      <w:start w:val="1"/>
      <w:numFmt w:val="bullet"/>
      <w:lvlText w:val="–"/>
      <w:lvlJc w:val="left"/>
      <w:pPr>
        <w:ind w:left="879" w:hanging="255"/>
      </w:pPr>
      <w:rPr>
        <w:rFonts w:ascii="Arial" w:hAnsi="Arial" w:hint="default"/>
        <w:color w:val="6679BA"/>
      </w:rPr>
    </w:lvl>
    <w:lvl w:ilvl="5">
      <w:start w:val="1"/>
      <w:numFmt w:val="bullet"/>
      <w:lvlText w:val="-"/>
      <w:lvlJc w:val="left"/>
      <w:pPr>
        <w:ind w:left="1077" w:hanging="198"/>
      </w:pPr>
      <w:rPr>
        <w:rFonts w:ascii="Arial" w:hAnsi="Arial" w:hint="default"/>
        <w:color w:val="6679BA"/>
      </w:rPr>
    </w:lvl>
    <w:lvl w:ilvl="6">
      <w:start w:val="1"/>
      <w:numFmt w:val="bullet"/>
      <w:lvlText w:val="&gt;"/>
      <w:lvlJc w:val="left"/>
      <w:pPr>
        <w:ind w:left="510" w:hanging="283"/>
      </w:pPr>
      <w:rPr>
        <w:rFonts w:ascii="Arial" w:hAnsi="Arial" w:hint="default"/>
        <w:color w:val="6679BA"/>
      </w:rPr>
    </w:lvl>
    <w:lvl w:ilvl="7">
      <w:start w:val="1"/>
      <w:numFmt w:val="bullet"/>
      <w:lvlText w:val="–"/>
      <w:lvlJc w:val="left"/>
      <w:pPr>
        <w:ind w:left="765" w:hanging="255"/>
      </w:pPr>
      <w:rPr>
        <w:rFonts w:ascii="Arial" w:hAnsi="Arial" w:hint="default"/>
        <w:color w:val="6679BA"/>
      </w:rPr>
    </w:lvl>
    <w:lvl w:ilvl="8">
      <w:start w:val="1"/>
      <w:numFmt w:val="bullet"/>
      <w:lvlText w:val="-"/>
      <w:lvlJc w:val="left"/>
      <w:pPr>
        <w:ind w:left="964" w:hanging="199"/>
      </w:pPr>
      <w:rPr>
        <w:rFonts w:ascii="Arial" w:hAnsi="Arial" w:hint="default"/>
        <w:color w:val="6679BA"/>
      </w:rPr>
    </w:lvl>
  </w:abstractNum>
  <w:abstractNum w:abstractNumId="34">
    <w:nsid w:val="6C0B2183"/>
    <w:multiLevelType w:val="hybridMultilevel"/>
    <w:tmpl w:val="A6C69C70"/>
    <w:lvl w:ilvl="0" w:tplc="0C090001">
      <w:start w:val="1"/>
      <w:numFmt w:val="bullet"/>
      <w:lvlText w:val=""/>
      <w:lvlJc w:val="left"/>
      <w:pPr>
        <w:ind w:left="1437" w:hanging="360"/>
      </w:pPr>
      <w:rPr>
        <w:rFonts w:ascii="Symbol" w:hAnsi="Symbol" w:hint="default"/>
      </w:rPr>
    </w:lvl>
    <w:lvl w:ilvl="1" w:tplc="0C090003" w:tentative="1">
      <w:start w:val="1"/>
      <w:numFmt w:val="bullet"/>
      <w:lvlText w:val="o"/>
      <w:lvlJc w:val="left"/>
      <w:pPr>
        <w:ind w:left="2157" w:hanging="360"/>
      </w:pPr>
      <w:rPr>
        <w:rFonts w:ascii="Courier New" w:hAnsi="Courier New" w:cs="Courier New" w:hint="default"/>
      </w:rPr>
    </w:lvl>
    <w:lvl w:ilvl="2" w:tplc="0C090005" w:tentative="1">
      <w:start w:val="1"/>
      <w:numFmt w:val="bullet"/>
      <w:lvlText w:val=""/>
      <w:lvlJc w:val="left"/>
      <w:pPr>
        <w:ind w:left="2877" w:hanging="360"/>
      </w:pPr>
      <w:rPr>
        <w:rFonts w:ascii="Wingdings" w:hAnsi="Wingdings" w:hint="default"/>
      </w:rPr>
    </w:lvl>
    <w:lvl w:ilvl="3" w:tplc="0C090001" w:tentative="1">
      <w:start w:val="1"/>
      <w:numFmt w:val="bullet"/>
      <w:lvlText w:val=""/>
      <w:lvlJc w:val="left"/>
      <w:pPr>
        <w:ind w:left="3597" w:hanging="360"/>
      </w:pPr>
      <w:rPr>
        <w:rFonts w:ascii="Symbol" w:hAnsi="Symbol" w:hint="default"/>
      </w:rPr>
    </w:lvl>
    <w:lvl w:ilvl="4" w:tplc="0C090003" w:tentative="1">
      <w:start w:val="1"/>
      <w:numFmt w:val="bullet"/>
      <w:lvlText w:val="o"/>
      <w:lvlJc w:val="left"/>
      <w:pPr>
        <w:ind w:left="4317" w:hanging="360"/>
      </w:pPr>
      <w:rPr>
        <w:rFonts w:ascii="Courier New" w:hAnsi="Courier New" w:cs="Courier New" w:hint="default"/>
      </w:rPr>
    </w:lvl>
    <w:lvl w:ilvl="5" w:tplc="0C090005" w:tentative="1">
      <w:start w:val="1"/>
      <w:numFmt w:val="bullet"/>
      <w:lvlText w:val=""/>
      <w:lvlJc w:val="left"/>
      <w:pPr>
        <w:ind w:left="5037" w:hanging="360"/>
      </w:pPr>
      <w:rPr>
        <w:rFonts w:ascii="Wingdings" w:hAnsi="Wingdings" w:hint="default"/>
      </w:rPr>
    </w:lvl>
    <w:lvl w:ilvl="6" w:tplc="0C090001" w:tentative="1">
      <w:start w:val="1"/>
      <w:numFmt w:val="bullet"/>
      <w:lvlText w:val=""/>
      <w:lvlJc w:val="left"/>
      <w:pPr>
        <w:ind w:left="5757" w:hanging="360"/>
      </w:pPr>
      <w:rPr>
        <w:rFonts w:ascii="Symbol" w:hAnsi="Symbol" w:hint="default"/>
      </w:rPr>
    </w:lvl>
    <w:lvl w:ilvl="7" w:tplc="0C090003" w:tentative="1">
      <w:start w:val="1"/>
      <w:numFmt w:val="bullet"/>
      <w:lvlText w:val="o"/>
      <w:lvlJc w:val="left"/>
      <w:pPr>
        <w:ind w:left="6477" w:hanging="360"/>
      </w:pPr>
      <w:rPr>
        <w:rFonts w:ascii="Courier New" w:hAnsi="Courier New" w:cs="Courier New" w:hint="default"/>
      </w:rPr>
    </w:lvl>
    <w:lvl w:ilvl="8" w:tplc="0C090005" w:tentative="1">
      <w:start w:val="1"/>
      <w:numFmt w:val="bullet"/>
      <w:lvlText w:val=""/>
      <w:lvlJc w:val="left"/>
      <w:pPr>
        <w:ind w:left="7197" w:hanging="360"/>
      </w:pPr>
      <w:rPr>
        <w:rFonts w:ascii="Wingdings" w:hAnsi="Wingdings" w:hint="default"/>
      </w:rPr>
    </w:lvl>
  </w:abstractNum>
  <w:abstractNum w:abstractNumId="35">
    <w:nsid w:val="6F98662D"/>
    <w:multiLevelType w:val="multilevel"/>
    <w:tmpl w:val="673A7D56"/>
    <w:lvl w:ilvl="0">
      <w:start w:val="2"/>
      <w:numFmt w:val="none"/>
      <w:lvlText w:val="7."/>
      <w:lvlJc w:val="left"/>
      <w:pPr>
        <w:ind w:left="360" w:hanging="360"/>
      </w:pPr>
      <w:rPr>
        <w:rFonts w:hint="default"/>
      </w:rPr>
    </w:lvl>
    <w:lvl w:ilvl="1">
      <w:start w:val="1"/>
      <w:numFmt w:val="decimal"/>
      <w:lvlText w:val="7.%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nsid w:val="70890FDC"/>
    <w:multiLevelType w:val="hybridMultilevel"/>
    <w:tmpl w:val="1786B5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nsid w:val="75F92DBF"/>
    <w:multiLevelType w:val="multilevel"/>
    <w:tmpl w:val="D19AB13A"/>
    <w:lvl w:ilvl="0">
      <w:start w:val="1"/>
      <w:numFmt w:val="bullet"/>
      <w:lvlText w:val="•"/>
      <w:lvlJc w:val="left"/>
      <w:pPr>
        <w:tabs>
          <w:tab w:val="num" w:pos="425"/>
        </w:tabs>
        <w:ind w:left="425" w:hanging="425"/>
      </w:pPr>
      <w:rPr>
        <w:rFonts w:ascii="Times New Roman" w:hAnsi="Times New Roman" w:cs="Times New Roman"/>
      </w:rPr>
    </w:lvl>
    <w:lvl w:ilvl="1">
      <w:start w:val="1"/>
      <w:numFmt w:val="bullet"/>
      <w:lvlText w:val="–"/>
      <w:lvlJc w:val="left"/>
      <w:pPr>
        <w:tabs>
          <w:tab w:val="num" w:pos="850"/>
        </w:tabs>
        <w:ind w:left="850" w:hanging="425"/>
      </w:pPr>
      <w:rPr>
        <w:rFonts w:ascii="Times New Roman" w:hAnsi="Times New Roman" w:cs="Times New Roman"/>
      </w:rPr>
    </w:lvl>
    <w:lvl w:ilvl="2">
      <w:start w:val="1"/>
      <w:numFmt w:val="bullet"/>
      <w:lvlText w:val=":"/>
      <w:lvlJc w:val="left"/>
      <w:pPr>
        <w:tabs>
          <w:tab w:val="num" w:pos="1275"/>
        </w:tabs>
        <w:ind w:left="1275" w:hanging="425"/>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3"/>
  </w:num>
  <w:num w:numId="2">
    <w:abstractNumId w:val="26"/>
  </w:num>
  <w:num w:numId="3">
    <w:abstractNumId w:val="26"/>
  </w:num>
  <w:num w:numId="4">
    <w:abstractNumId w:val="26"/>
  </w:num>
  <w:num w:numId="5">
    <w:abstractNumId w:val="26"/>
  </w:num>
  <w:num w:numId="6">
    <w:abstractNumId w:val="26"/>
  </w:num>
  <w:num w:numId="7">
    <w:abstractNumId w:val="26"/>
  </w:num>
  <w:num w:numId="8">
    <w:abstractNumId w:val="26"/>
  </w:num>
  <w:num w:numId="9">
    <w:abstractNumId w:val="26"/>
  </w:num>
  <w:num w:numId="10">
    <w:abstractNumId w:val="13"/>
  </w:num>
  <w:num w:numId="11">
    <w:abstractNumId w:val="26"/>
  </w:num>
  <w:num w:numId="12">
    <w:abstractNumId w:val="26"/>
  </w:num>
  <w:num w:numId="13">
    <w:abstractNumId w:val="26"/>
  </w:num>
  <w:num w:numId="14">
    <w:abstractNumId w:val="26"/>
  </w:num>
  <w:num w:numId="15">
    <w:abstractNumId w:val="26"/>
  </w:num>
  <w:num w:numId="16">
    <w:abstractNumId w:val="26"/>
  </w:num>
  <w:num w:numId="17">
    <w:abstractNumId w:val="26"/>
  </w:num>
  <w:num w:numId="18">
    <w:abstractNumId w:val="26"/>
  </w:num>
  <w:num w:numId="19">
    <w:abstractNumId w:val="26"/>
  </w:num>
  <w:num w:numId="20">
    <w:abstractNumId w:val="26"/>
  </w:num>
  <w:num w:numId="21">
    <w:abstractNumId w:val="26"/>
  </w:num>
  <w:num w:numId="22">
    <w:abstractNumId w:val="26"/>
  </w:num>
  <w:num w:numId="23">
    <w:abstractNumId w:val="26"/>
  </w:num>
  <w:num w:numId="24">
    <w:abstractNumId w:val="9"/>
  </w:num>
  <w:num w:numId="25">
    <w:abstractNumId w:val="30"/>
  </w:num>
  <w:num w:numId="26">
    <w:abstractNumId w:val="31"/>
  </w:num>
  <w:num w:numId="27">
    <w:abstractNumId w:val="2"/>
  </w:num>
  <w:num w:numId="28">
    <w:abstractNumId w:val="17"/>
  </w:num>
  <w:num w:numId="29">
    <w:abstractNumId w:val="5"/>
  </w:num>
  <w:num w:numId="30">
    <w:abstractNumId w:val="18"/>
  </w:num>
  <w:num w:numId="31">
    <w:abstractNumId w:val="11"/>
  </w:num>
  <w:num w:numId="32">
    <w:abstractNumId w:val="6"/>
  </w:num>
  <w:num w:numId="33">
    <w:abstractNumId w:val="29"/>
  </w:num>
  <w:num w:numId="34">
    <w:abstractNumId w:val="27"/>
  </w:num>
  <w:num w:numId="35">
    <w:abstractNumId w:val="3"/>
  </w:num>
  <w:num w:numId="36">
    <w:abstractNumId w:val="20"/>
  </w:num>
  <w:num w:numId="37">
    <w:abstractNumId w:val="23"/>
  </w:num>
  <w:num w:numId="38">
    <w:abstractNumId w:val="35"/>
  </w:num>
  <w:num w:numId="39">
    <w:abstractNumId w:val="24"/>
  </w:num>
  <w:num w:numId="40">
    <w:abstractNumId w:val="1"/>
  </w:num>
  <w:num w:numId="41">
    <w:abstractNumId w:val="4"/>
  </w:num>
  <w:num w:numId="42">
    <w:abstractNumId w:val="21"/>
  </w:num>
  <w:num w:numId="43">
    <w:abstractNumId w:val="32"/>
  </w:num>
  <w:num w:numId="44">
    <w:abstractNumId w:val="7"/>
  </w:num>
  <w:num w:numId="45">
    <w:abstractNumId w:val="34"/>
  </w:num>
  <w:num w:numId="46">
    <w:abstractNumId w:val="12"/>
  </w:num>
  <w:num w:numId="47">
    <w:abstractNumId w:val="10"/>
  </w:num>
  <w:num w:numId="48">
    <w:abstractNumId w:val="14"/>
  </w:num>
  <w:num w:numId="49">
    <w:abstractNumId w:val="8"/>
  </w:num>
  <w:num w:numId="50">
    <w:abstractNumId w:val="16"/>
  </w:num>
  <w:num w:numId="51">
    <w:abstractNumId w:val="28"/>
  </w:num>
  <w:num w:numId="52">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0"/>
  </w:num>
  <w:num w:numId="54">
    <w:abstractNumId w:val="19"/>
  </w:num>
  <w:num w:numId="55">
    <w:abstractNumId w:val="25"/>
  </w:num>
  <w:num w:numId="56">
    <w:abstractNumId w:val="36"/>
  </w:num>
  <w:num w:numId="57">
    <w:abstractNumId w:val="15"/>
  </w:num>
  <w:num w:numId="58">
    <w:abstractNumId w:val="33"/>
  </w:num>
  <w:num w:numId="59">
    <w:abstractNumId w:val="22"/>
  </w:num>
  <w:num w:numId="60">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3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0395"/>
    <w:rsid w:val="000021B5"/>
    <w:rsid w:val="00002642"/>
    <w:rsid w:val="000057FF"/>
    <w:rsid w:val="000073EA"/>
    <w:rsid w:val="00010D86"/>
    <w:rsid w:val="00011A58"/>
    <w:rsid w:val="00011F3B"/>
    <w:rsid w:val="00011F98"/>
    <w:rsid w:val="00013E3F"/>
    <w:rsid w:val="00016541"/>
    <w:rsid w:val="00017395"/>
    <w:rsid w:val="00017E0F"/>
    <w:rsid w:val="0002030A"/>
    <w:rsid w:val="00021C85"/>
    <w:rsid w:val="000220A4"/>
    <w:rsid w:val="00022E96"/>
    <w:rsid w:val="00023213"/>
    <w:rsid w:val="0002348E"/>
    <w:rsid w:val="00023EC2"/>
    <w:rsid w:val="000272D5"/>
    <w:rsid w:val="0002760A"/>
    <w:rsid w:val="00027EA8"/>
    <w:rsid w:val="00030C1A"/>
    <w:rsid w:val="00031C53"/>
    <w:rsid w:val="00031EBE"/>
    <w:rsid w:val="000322E7"/>
    <w:rsid w:val="00034B7B"/>
    <w:rsid w:val="0003735C"/>
    <w:rsid w:val="00041412"/>
    <w:rsid w:val="00043827"/>
    <w:rsid w:val="00044239"/>
    <w:rsid w:val="00045420"/>
    <w:rsid w:val="000466D7"/>
    <w:rsid w:val="00046BE9"/>
    <w:rsid w:val="00046D78"/>
    <w:rsid w:val="0004774D"/>
    <w:rsid w:val="0004792B"/>
    <w:rsid w:val="000505CC"/>
    <w:rsid w:val="0005099B"/>
    <w:rsid w:val="00051ABC"/>
    <w:rsid w:val="00057B45"/>
    <w:rsid w:val="0006028B"/>
    <w:rsid w:val="000613E0"/>
    <w:rsid w:val="000615D5"/>
    <w:rsid w:val="00061903"/>
    <w:rsid w:val="00061A03"/>
    <w:rsid w:val="00062B7C"/>
    <w:rsid w:val="00062CF8"/>
    <w:rsid w:val="00062FCF"/>
    <w:rsid w:val="00064FCD"/>
    <w:rsid w:val="00066050"/>
    <w:rsid w:val="00066D91"/>
    <w:rsid w:val="00067443"/>
    <w:rsid w:val="00067489"/>
    <w:rsid w:val="00067730"/>
    <w:rsid w:val="00067F57"/>
    <w:rsid w:val="00071409"/>
    <w:rsid w:val="000716CF"/>
    <w:rsid w:val="00071B08"/>
    <w:rsid w:val="00071F87"/>
    <w:rsid w:val="000733C4"/>
    <w:rsid w:val="00073A01"/>
    <w:rsid w:val="00074961"/>
    <w:rsid w:val="00074CF6"/>
    <w:rsid w:val="00074EE6"/>
    <w:rsid w:val="00075322"/>
    <w:rsid w:val="00075971"/>
    <w:rsid w:val="00076511"/>
    <w:rsid w:val="00077F8C"/>
    <w:rsid w:val="000807A6"/>
    <w:rsid w:val="00080835"/>
    <w:rsid w:val="0008120F"/>
    <w:rsid w:val="0008185E"/>
    <w:rsid w:val="00082534"/>
    <w:rsid w:val="00082ABC"/>
    <w:rsid w:val="00085418"/>
    <w:rsid w:val="00086A6B"/>
    <w:rsid w:val="00090FD3"/>
    <w:rsid w:val="0009244D"/>
    <w:rsid w:val="000926D1"/>
    <w:rsid w:val="0009307B"/>
    <w:rsid w:val="000934A5"/>
    <w:rsid w:val="00093A23"/>
    <w:rsid w:val="00096E2F"/>
    <w:rsid w:val="000A038C"/>
    <w:rsid w:val="000A0D72"/>
    <w:rsid w:val="000A1BD8"/>
    <w:rsid w:val="000A1E8D"/>
    <w:rsid w:val="000A20E6"/>
    <w:rsid w:val="000A4309"/>
    <w:rsid w:val="000A46BC"/>
    <w:rsid w:val="000A55EA"/>
    <w:rsid w:val="000A63F2"/>
    <w:rsid w:val="000A70F7"/>
    <w:rsid w:val="000A7219"/>
    <w:rsid w:val="000A7C3A"/>
    <w:rsid w:val="000B09C1"/>
    <w:rsid w:val="000B11B4"/>
    <w:rsid w:val="000B19A8"/>
    <w:rsid w:val="000B31E6"/>
    <w:rsid w:val="000B399B"/>
    <w:rsid w:val="000B476D"/>
    <w:rsid w:val="000B64BD"/>
    <w:rsid w:val="000B7C87"/>
    <w:rsid w:val="000C1071"/>
    <w:rsid w:val="000C1708"/>
    <w:rsid w:val="000C1990"/>
    <w:rsid w:val="000C2B12"/>
    <w:rsid w:val="000C2C44"/>
    <w:rsid w:val="000C449C"/>
    <w:rsid w:val="000C4BBC"/>
    <w:rsid w:val="000C5A05"/>
    <w:rsid w:val="000C70A1"/>
    <w:rsid w:val="000C78E6"/>
    <w:rsid w:val="000D281C"/>
    <w:rsid w:val="000D3E2B"/>
    <w:rsid w:val="000D5612"/>
    <w:rsid w:val="000D7E31"/>
    <w:rsid w:val="000E1084"/>
    <w:rsid w:val="000E1F26"/>
    <w:rsid w:val="000E32D1"/>
    <w:rsid w:val="000E414A"/>
    <w:rsid w:val="000E418C"/>
    <w:rsid w:val="000E48CA"/>
    <w:rsid w:val="000E547E"/>
    <w:rsid w:val="000E6354"/>
    <w:rsid w:val="000F0361"/>
    <w:rsid w:val="000F05F9"/>
    <w:rsid w:val="000F1E55"/>
    <w:rsid w:val="000F5AC5"/>
    <w:rsid w:val="000F5BEB"/>
    <w:rsid w:val="000F5DD5"/>
    <w:rsid w:val="0010068D"/>
    <w:rsid w:val="001008C5"/>
    <w:rsid w:val="00100EF1"/>
    <w:rsid w:val="00101104"/>
    <w:rsid w:val="00101936"/>
    <w:rsid w:val="00101A05"/>
    <w:rsid w:val="0010288E"/>
    <w:rsid w:val="00102DBD"/>
    <w:rsid w:val="00104DB0"/>
    <w:rsid w:val="00105DB4"/>
    <w:rsid w:val="001062ED"/>
    <w:rsid w:val="0010649C"/>
    <w:rsid w:val="00106B16"/>
    <w:rsid w:val="00106EDA"/>
    <w:rsid w:val="00107576"/>
    <w:rsid w:val="001119F2"/>
    <w:rsid w:val="0011225A"/>
    <w:rsid w:val="001135E0"/>
    <w:rsid w:val="00113A20"/>
    <w:rsid w:val="00113E86"/>
    <w:rsid w:val="00113FC0"/>
    <w:rsid w:val="001148B7"/>
    <w:rsid w:val="00114CD0"/>
    <w:rsid w:val="00115B12"/>
    <w:rsid w:val="00116855"/>
    <w:rsid w:val="0011748F"/>
    <w:rsid w:val="001177AB"/>
    <w:rsid w:val="00120642"/>
    <w:rsid w:val="00120F46"/>
    <w:rsid w:val="0012172D"/>
    <w:rsid w:val="00121C74"/>
    <w:rsid w:val="00122AC3"/>
    <w:rsid w:val="001255DF"/>
    <w:rsid w:val="00126544"/>
    <w:rsid w:val="00126601"/>
    <w:rsid w:val="00126B47"/>
    <w:rsid w:val="00126C0A"/>
    <w:rsid w:val="00126D33"/>
    <w:rsid w:val="00130332"/>
    <w:rsid w:val="001309D6"/>
    <w:rsid w:val="00131B30"/>
    <w:rsid w:val="00133810"/>
    <w:rsid w:val="0013465F"/>
    <w:rsid w:val="00134FE4"/>
    <w:rsid w:val="0013606D"/>
    <w:rsid w:val="00136B74"/>
    <w:rsid w:val="001412FC"/>
    <w:rsid w:val="00142200"/>
    <w:rsid w:val="00142557"/>
    <w:rsid w:val="00145270"/>
    <w:rsid w:val="001452B7"/>
    <w:rsid w:val="00145D9F"/>
    <w:rsid w:val="00147228"/>
    <w:rsid w:val="00150464"/>
    <w:rsid w:val="00150851"/>
    <w:rsid w:val="00151278"/>
    <w:rsid w:val="00151796"/>
    <w:rsid w:val="00152BA0"/>
    <w:rsid w:val="00152F2E"/>
    <w:rsid w:val="00153550"/>
    <w:rsid w:val="001535C0"/>
    <w:rsid w:val="001551EF"/>
    <w:rsid w:val="00155AFF"/>
    <w:rsid w:val="00156208"/>
    <w:rsid w:val="00156610"/>
    <w:rsid w:val="001569D0"/>
    <w:rsid w:val="001575FD"/>
    <w:rsid w:val="0015761D"/>
    <w:rsid w:val="001579CC"/>
    <w:rsid w:val="00157AB0"/>
    <w:rsid w:val="00160C6A"/>
    <w:rsid w:val="001621AB"/>
    <w:rsid w:val="0016288E"/>
    <w:rsid w:val="001629D8"/>
    <w:rsid w:val="00162EEC"/>
    <w:rsid w:val="00164A50"/>
    <w:rsid w:val="001657C4"/>
    <w:rsid w:val="00165EB7"/>
    <w:rsid w:val="001667A5"/>
    <w:rsid w:val="001717C1"/>
    <w:rsid w:val="0017185C"/>
    <w:rsid w:val="00171BFA"/>
    <w:rsid w:val="00171C98"/>
    <w:rsid w:val="0017251D"/>
    <w:rsid w:val="001748BE"/>
    <w:rsid w:val="00175675"/>
    <w:rsid w:val="00176021"/>
    <w:rsid w:val="001767D8"/>
    <w:rsid w:val="0018175A"/>
    <w:rsid w:val="00183774"/>
    <w:rsid w:val="00190DE3"/>
    <w:rsid w:val="00191776"/>
    <w:rsid w:val="00192DAB"/>
    <w:rsid w:val="001A04AD"/>
    <w:rsid w:val="001A07FA"/>
    <w:rsid w:val="001A231C"/>
    <w:rsid w:val="001A2392"/>
    <w:rsid w:val="001A2611"/>
    <w:rsid w:val="001A2B5B"/>
    <w:rsid w:val="001A374F"/>
    <w:rsid w:val="001A53A7"/>
    <w:rsid w:val="001A5913"/>
    <w:rsid w:val="001B18E3"/>
    <w:rsid w:val="001B2740"/>
    <w:rsid w:val="001B301A"/>
    <w:rsid w:val="001B33EF"/>
    <w:rsid w:val="001B37B8"/>
    <w:rsid w:val="001B4401"/>
    <w:rsid w:val="001B48D5"/>
    <w:rsid w:val="001B55F8"/>
    <w:rsid w:val="001B5ACD"/>
    <w:rsid w:val="001B61B3"/>
    <w:rsid w:val="001C0184"/>
    <w:rsid w:val="001C07A8"/>
    <w:rsid w:val="001C0A14"/>
    <w:rsid w:val="001C0DE2"/>
    <w:rsid w:val="001C2D78"/>
    <w:rsid w:val="001C318A"/>
    <w:rsid w:val="001C453E"/>
    <w:rsid w:val="001C4A9E"/>
    <w:rsid w:val="001C5325"/>
    <w:rsid w:val="001C5D44"/>
    <w:rsid w:val="001C7106"/>
    <w:rsid w:val="001C71BA"/>
    <w:rsid w:val="001C78A5"/>
    <w:rsid w:val="001C7909"/>
    <w:rsid w:val="001D2594"/>
    <w:rsid w:val="001D3032"/>
    <w:rsid w:val="001D3A3F"/>
    <w:rsid w:val="001D3F26"/>
    <w:rsid w:val="001D4BAA"/>
    <w:rsid w:val="001D6979"/>
    <w:rsid w:val="001D6BE1"/>
    <w:rsid w:val="001D79A3"/>
    <w:rsid w:val="001D79B1"/>
    <w:rsid w:val="001E02FB"/>
    <w:rsid w:val="001E06F5"/>
    <w:rsid w:val="001E1C11"/>
    <w:rsid w:val="001E3832"/>
    <w:rsid w:val="001E4295"/>
    <w:rsid w:val="001E6876"/>
    <w:rsid w:val="001E7F77"/>
    <w:rsid w:val="001F0E78"/>
    <w:rsid w:val="001F119B"/>
    <w:rsid w:val="001F1982"/>
    <w:rsid w:val="001F246E"/>
    <w:rsid w:val="001F2959"/>
    <w:rsid w:val="001F3F6A"/>
    <w:rsid w:val="001F62E0"/>
    <w:rsid w:val="001F6362"/>
    <w:rsid w:val="001F7BBF"/>
    <w:rsid w:val="001F7D26"/>
    <w:rsid w:val="00201288"/>
    <w:rsid w:val="0020149E"/>
    <w:rsid w:val="00202299"/>
    <w:rsid w:val="00202EB9"/>
    <w:rsid w:val="00203148"/>
    <w:rsid w:val="00203792"/>
    <w:rsid w:val="00205842"/>
    <w:rsid w:val="00205B36"/>
    <w:rsid w:val="00207117"/>
    <w:rsid w:val="002118D5"/>
    <w:rsid w:val="0021259A"/>
    <w:rsid w:val="0021281C"/>
    <w:rsid w:val="002131C8"/>
    <w:rsid w:val="00215E0E"/>
    <w:rsid w:val="002162C0"/>
    <w:rsid w:val="00217670"/>
    <w:rsid w:val="002210BD"/>
    <w:rsid w:val="00221260"/>
    <w:rsid w:val="00221B2E"/>
    <w:rsid w:val="00221E40"/>
    <w:rsid w:val="00222F03"/>
    <w:rsid w:val="0022360A"/>
    <w:rsid w:val="00224116"/>
    <w:rsid w:val="00224B95"/>
    <w:rsid w:val="00226E1D"/>
    <w:rsid w:val="002270F4"/>
    <w:rsid w:val="002271BF"/>
    <w:rsid w:val="002304A1"/>
    <w:rsid w:val="002316A2"/>
    <w:rsid w:val="002316F9"/>
    <w:rsid w:val="00231908"/>
    <w:rsid w:val="0023239F"/>
    <w:rsid w:val="00232789"/>
    <w:rsid w:val="0023385F"/>
    <w:rsid w:val="00234C2C"/>
    <w:rsid w:val="002366D1"/>
    <w:rsid w:val="00240198"/>
    <w:rsid w:val="0024032B"/>
    <w:rsid w:val="00240D28"/>
    <w:rsid w:val="002413B5"/>
    <w:rsid w:val="0024313A"/>
    <w:rsid w:val="00243326"/>
    <w:rsid w:val="002434B5"/>
    <w:rsid w:val="00243C6F"/>
    <w:rsid w:val="00243DDE"/>
    <w:rsid w:val="002447A8"/>
    <w:rsid w:val="00244818"/>
    <w:rsid w:val="00244827"/>
    <w:rsid w:val="00244BC2"/>
    <w:rsid w:val="0024571E"/>
    <w:rsid w:val="00245B51"/>
    <w:rsid w:val="0024653A"/>
    <w:rsid w:val="00246B9E"/>
    <w:rsid w:val="00247193"/>
    <w:rsid w:val="00250C24"/>
    <w:rsid w:val="002517C3"/>
    <w:rsid w:val="00251828"/>
    <w:rsid w:val="00252442"/>
    <w:rsid w:val="0025298D"/>
    <w:rsid w:val="00252B3F"/>
    <w:rsid w:val="0025377C"/>
    <w:rsid w:val="00253DA4"/>
    <w:rsid w:val="00253E9C"/>
    <w:rsid w:val="0025423F"/>
    <w:rsid w:val="002551D9"/>
    <w:rsid w:val="00255649"/>
    <w:rsid w:val="0025740B"/>
    <w:rsid w:val="00257581"/>
    <w:rsid w:val="0025789A"/>
    <w:rsid w:val="00260740"/>
    <w:rsid w:val="00261904"/>
    <w:rsid w:val="00261BBD"/>
    <w:rsid w:val="00263FB6"/>
    <w:rsid w:val="00265778"/>
    <w:rsid w:val="0026577C"/>
    <w:rsid w:val="00266A99"/>
    <w:rsid w:val="00266BEE"/>
    <w:rsid w:val="002672AF"/>
    <w:rsid w:val="00267587"/>
    <w:rsid w:val="002710B6"/>
    <w:rsid w:val="00271829"/>
    <w:rsid w:val="002719E1"/>
    <w:rsid w:val="00272F0C"/>
    <w:rsid w:val="00273D81"/>
    <w:rsid w:val="0027417E"/>
    <w:rsid w:val="00275A08"/>
    <w:rsid w:val="00275B82"/>
    <w:rsid w:val="00275D2A"/>
    <w:rsid w:val="002775A8"/>
    <w:rsid w:val="00277D85"/>
    <w:rsid w:val="00281251"/>
    <w:rsid w:val="002812B0"/>
    <w:rsid w:val="002813CE"/>
    <w:rsid w:val="002814C4"/>
    <w:rsid w:val="00281588"/>
    <w:rsid w:val="0028268C"/>
    <w:rsid w:val="002827E1"/>
    <w:rsid w:val="00283524"/>
    <w:rsid w:val="00284FC1"/>
    <w:rsid w:val="00286652"/>
    <w:rsid w:val="00286F64"/>
    <w:rsid w:val="00286FB6"/>
    <w:rsid w:val="0029036E"/>
    <w:rsid w:val="002918F5"/>
    <w:rsid w:val="00291C78"/>
    <w:rsid w:val="00292C12"/>
    <w:rsid w:val="00292CBE"/>
    <w:rsid w:val="002931CC"/>
    <w:rsid w:val="00293B89"/>
    <w:rsid w:val="002958AC"/>
    <w:rsid w:val="00295B59"/>
    <w:rsid w:val="00296A67"/>
    <w:rsid w:val="00296CBD"/>
    <w:rsid w:val="00297504"/>
    <w:rsid w:val="002A274E"/>
    <w:rsid w:val="002A3C04"/>
    <w:rsid w:val="002A4CF4"/>
    <w:rsid w:val="002A6350"/>
    <w:rsid w:val="002A6495"/>
    <w:rsid w:val="002A6B64"/>
    <w:rsid w:val="002A6B6E"/>
    <w:rsid w:val="002B19CC"/>
    <w:rsid w:val="002B235E"/>
    <w:rsid w:val="002B30D3"/>
    <w:rsid w:val="002B3C0F"/>
    <w:rsid w:val="002B3E03"/>
    <w:rsid w:val="002B498D"/>
    <w:rsid w:val="002B4C37"/>
    <w:rsid w:val="002B5C4B"/>
    <w:rsid w:val="002B616D"/>
    <w:rsid w:val="002B6181"/>
    <w:rsid w:val="002B61CE"/>
    <w:rsid w:val="002B6D54"/>
    <w:rsid w:val="002B6FE5"/>
    <w:rsid w:val="002B7AFA"/>
    <w:rsid w:val="002C0A05"/>
    <w:rsid w:val="002C0E49"/>
    <w:rsid w:val="002C2347"/>
    <w:rsid w:val="002C2364"/>
    <w:rsid w:val="002C42FA"/>
    <w:rsid w:val="002C47FA"/>
    <w:rsid w:val="002C489C"/>
    <w:rsid w:val="002C64EC"/>
    <w:rsid w:val="002D00F1"/>
    <w:rsid w:val="002D20B7"/>
    <w:rsid w:val="002D46F0"/>
    <w:rsid w:val="002E00FF"/>
    <w:rsid w:val="002E05A7"/>
    <w:rsid w:val="002E34EA"/>
    <w:rsid w:val="002E3AA4"/>
    <w:rsid w:val="002E5A2D"/>
    <w:rsid w:val="002E5EFE"/>
    <w:rsid w:val="002E61CE"/>
    <w:rsid w:val="002E6499"/>
    <w:rsid w:val="002E763E"/>
    <w:rsid w:val="002E7699"/>
    <w:rsid w:val="002E7A8C"/>
    <w:rsid w:val="002F1C86"/>
    <w:rsid w:val="002F1D27"/>
    <w:rsid w:val="002F1FBB"/>
    <w:rsid w:val="002F3CAE"/>
    <w:rsid w:val="002F49CA"/>
    <w:rsid w:val="002F7A89"/>
    <w:rsid w:val="00300C49"/>
    <w:rsid w:val="003039E4"/>
    <w:rsid w:val="00304C19"/>
    <w:rsid w:val="00306639"/>
    <w:rsid w:val="0030693D"/>
    <w:rsid w:val="00306D52"/>
    <w:rsid w:val="003074D4"/>
    <w:rsid w:val="003106E3"/>
    <w:rsid w:val="00310B35"/>
    <w:rsid w:val="00311967"/>
    <w:rsid w:val="00311B4B"/>
    <w:rsid w:val="00311C40"/>
    <w:rsid w:val="00311EA7"/>
    <w:rsid w:val="00312111"/>
    <w:rsid w:val="003122E6"/>
    <w:rsid w:val="00312AB9"/>
    <w:rsid w:val="00313814"/>
    <w:rsid w:val="003148E8"/>
    <w:rsid w:val="00314D09"/>
    <w:rsid w:val="003173A6"/>
    <w:rsid w:val="003173DC"/>
    <w:rsid w:val="0031741A"/>
    <w:rsid w:val="00317DE8"/>
    <w:rsid w:val="00320442"/>
    <w:rsid w:val="0032087E"/>
    <w:rsid w:val="00320BA1"/>
    <w:rsid w:val="003226A5"/>
    <w:rsid w:val="00323C35"/>
    <w:rsid w:val="00324DFE"/>
    <w:rsid w:val="00325164"/>
    <w:rsid w:val="0032779C"/>
    <w:rsid w:val="00327E0B"/>
    <w:rsid w:val="00331E8E"/>
    <w:rsid w:val="00332A15"/>
    <w:rsid w:val="00332DE9"/>
    <w:rsid w:val="0033335D"/>
    <w:rsid w:val="003337B6"/>
    <w:rsid w:val="00333837"/>
    <w:rsid w:val="00334069"/>
    <w:rsid w:val="00334492"/>
    <w:rsid w:val="00334F47"/>
    <w:rsid w:val="003359FB"/>
    <w:rsid w:val="003364F4"/>
    <w:rsid w:val="00336CAD"/>
    <w:rsid w:val="00337371"/>
    <w:rsid w:val="00337AE5"/>
    <w:rsid w:val="00340F81"/>
    <w:rsid w:val="00340FDC"/>
    <w:rsid w:val="00341039"/>
    <w:rsid w:val="00341138"/>
    <w:rsid w:val="003413F8"/>
    <w:rsid w:val="00342022"/>
    <w:rsid w:val="00342E3F"/>
    <w:rsid w:val="00345C7E"/>
    <w:rsid w:val="00346086"/>
    <w:rsid w:val="00347036"/>
    <w:rsid w:val="00350F12"/>
    <w:rsid w:val="00352752"/>
    <w:rsid w:val="00353B0B"/>
    <w:rsid w:val="00353C48"/>
    <w:rsid w:val="00353EBF"/>
    <w:rsid w:val="00353F31"/>
    <w:rsid w:val="00353F3C"/>
    <w:rsid w:val="00353F9A"/>
    <w:rsid w:val="00354FDD"/>
    <w:rsid w:val="003553E9"/>
    <w:rsid w:val="003556F7"/>
    <w:rsid w:val="0035619E"/>
    <w:rsid w:val="00357B6D"/>
    <w:rsid w:val="00361831"/>
    <w:rsid w:val="00361ABB"/>
    <w:rsid w:val="003623F1"/>
    <w:rsid w:val="00362BC9"/>
    <w:rsid w:val="00363144"/>
    <w:rsid w:val="00363228"/>
    <w:rsid w:val="00365486"/>
    <w:rsid w:val="00365529"/>
    <w:rsid w:val="00365D25"/>
    <w:rsid w:val="00366630"/>
    <w:rsid w:val="003666CE"/>
    <w:rsid w:val="00366C56"/>
    <w:rsid w:val="003675B5"/>
    <w:rsid w:val="00371E06"/>
    <w:rsid w:val="003729AC"/>
    <w:rsid w:val="00373442"/>
    <w:rsid w:val="0037393B"/>
    <w:rsid w:val="003759DB"/>
    <w:rsid w:val="003768B7"/>
    <w:rsid w:val="00377613"/>
    <w:rsid w:val="00377A54"/>
    <w:rsid w:val="0038081F"/>
    <w:rsid w:val="00380D9E"/>
    <w:rsid w:val="00381582"/>
    <w:rsid w:val="003817CB"/>
    <w:rsid w:val="003821F1"/>
    <w:rsid w:val="00382289"/>
    <w:rsid w:val="003872E2"/>
    <w:rsid w:val="003901E5"/>
    <w:rsid w:val="00391AC4"/>
    <w:rsid w:val="0039286B"/>
    <w:rsid w:val="003932BA"/>
    <w:rsid w:val="003935FB"/>
    <w:rsid w:val="003940B0"/>
    <w:rsid w:val="00394C16"/>
    <w:rsid w:val="0039699A"/>
    <w:rsid w:val="00397E7C"/>
    <w:rsid w:val="003A0820"/>
    <w:rsid w:val="003A25D2"/>
    <w:rsid w:val="003A2BE6"/>
    <w:rsid w:val="003A3378"/>
    <w:rsid w:val="003A4348"/>
    <w:rsid w:val="003A55E5"/>
    <w:rsid w:val="003A74F3"/>
    <w:rsid w:val="003B076C"/>
    <w:rsid w:val="003B250A"/>
    <w:rsid w:val="003B2A13"/>
    <w:rsid w:val="003B367F"/>
    <w:rsid w:val="003B3F1A"/>
    <w:rsid w:val="003B6F15"/>
    <w:rsid w:val="003B76A5"/>
    <w:rsid w:val="003C0E3C"/>
    <w:rsid w:val="003C1515"/>
    <w:rsid w:val="003C1860"/>
    <w:rsid w:val="003C25F0"/>
    <w:rsid w:val="003C3611"/>
    <w:rsid w:val="003C41D1"/>
    <w:rsid w:val="003C6077"/>
    <w:rsid w:val="003C795B"/>
    <w:rsid w:val="003D22F3"/>
    <w:rsid w:val="003D2335"/>
    <w:rsid w:val="003D30E8"/>
    <w:rsid w:val="003D3383"/>
    <w:rsid w:val="003D3E9F"/>
    <w:rsid w:val="003D5696"/>
    <w:rsid w:val="003D6C9C"/>
    <w:rsid w:val="003D7AAA"/>
    <w:rsid w:val="003E18A3"/>
    <w:rsid w:val="003E2124"/>
    <w:rsid w:val="003E27BF"/>
    <w:rsid w:val="003E2C1D"/>
    <w:rsid w:val="003E2F08"/>
    <w:rsid w:val="003E30FB"/>
    <w:rsid w:val="003E37BC"/>
    <w:rsid w:val="003E4B0D"/>
    <w:rsid w:val="003E56DF"/>
    <w:rsid w:val="003E672F"/>
    <w:rsid w:val="003E70C1"/>
    <w:rsid w:val="003E7F9B"/>
    <w:rsid w:val="003F2085"/>
    <w:rsid w:val="003F4770"/>
    <w:rsid w:val="003F5FA8"/>
    <w:rsid w:val="003F6BB1"/>
    <w:rsid w:val="004000F8"/>
    <w:rsid w:val="004002DE"/>
    <w:rsid w:val="004026D5"/>
    <w:rsid w:val="00402B39"/>
    <w:rsid w:val="00402B78"/>
    <w:rsid w:val="00402B89"/>
    <w:rsid w:val="00402CB5"/>
    <w:rsid w:val="00402E1B"/>
    <w:rsid w:val="004033E1"/>
    <w:rsid w:val="004064B0"/>
    <w:rsid w:val="00406978"/>
    <w:rsid w:val="00406B91"/>
    <w:rsid w:val="00411AF9"/>
    <w:rsid w:val="0041314B"/>
    <w:rsid w:val="0041329C"/>
    <w:rsid w:val="004132A0"/>
    <w:rsid w:val="00413E5E"/>
    <w:rsid w:val="00413F6A"/>
    <w:rsid w:val="00414251"/>
    <w:rsid w:val="00414D2E"/>
    <w:rsid w:val="00414FE9"/>
    <w:rsid w:val="0041634C"/>
    <w:rsid w:val="00417103"/>
    <w:rsid w:val="00420934"/>
    <w:rsid w:val="00420944"/>
    <w:rsid w:val="00421123"/>
    <w:rsid w:val="00422B86"/>
    <w:rsid w:val="00423502"/>
    <w:rsid w:val="00423C62"/>
    <w:rsid w:val="00425BE0"/>
    <w:rsid w:val="00425BE3"/>
    <w:rsid w:val="004266CC"/>
    <w:rsid w:val="0043024A"/>
    <w:rsid w:val="0043164F"/>
    <w:rsid w:val="00431DEF"/>
    <w:rsid w:val="0043221A"/>
    <w:rsid w:val="00433261"/>
    <w:rsid w:val="004335C9"/>
    <w:rsid w:val="0043455D"/>
    <w:rsid w:val="00435FB9"/>
    <w:rsid w:val="00436F93"/>
    <w:rsid w:val="00440C01"/>
    <w:rsid w:val="00440D05"/>
    <w:rsid w:val="00440EF2"/>
    <w:rsid w:val="004440EA"/>
    <w:rsid w:val="00444422"/>
    <w:rsid w:val="00444714"/>
    <w:rsid w:val="00444AA0"/>
    <w:rsid w:val="0044630C"/>
    <w:rsid w:val="00446E4D"/>
    <w:rsid w:val="004472A5"/>
    <w:rsid w:val="0045014B"/>
    <w:rsid w:val="00450CD4"/>
    <w:rsid w:val="00451FC2"/>
    <w:rsid w:val="0045349F"/>
    <w:rsid w:val="00453EA7"/>
    <w:rsid w:val="00454815"/>
    <w:rsid w:val="004551A9"/>
    <w:rsid w:val="00460939"/>
    <w:rsid w:val="004638AD"/>
    <w:rsid w:val="0046424D"/>
    <w:rsid w:val="0046532C"/>
    <w:rsid w:val="004679C6"/>
    <w:rsid w:val="00467DB8"/>
    <w:rsid w:val="004702A7"/>
    <w:rsid w:val="0047096B"/>
    <w:rsid w:val="00470BE4"/>
    <w:rsid w:val="0047103D"/>
    <w:rsid w:val="00471311"/>
    <w:rsid w:val="0047154C"/>
    <w:rsid w:val="004716A4"/>
    <w:rsid w:val="00471A86"/>
    <w:rsid w:val="0047365A"/>
    <w:rsid w:val="00474556"/>
    <w:rsid w:val="004748FE"/>
    <w:rsid w:val="00474994"/>
    <w:rsid w:val="00474B3F"/>
    <w:rsid w:val="004761AC"/>
    <w:rsid w:val="00476393"/>
    <w:rsid w:val="00476575"/>
    <w:rsid w:val="00480985"/>
    <w:rsid w:val="00481E7B"/>
    <w:rsid w:val="0048245F"/>
    <w:rsid w:val="00482C70"/>
    <w:rsid w:val="004842E2"/>
    <w:rsid w:val="00484CCC"/>
    <w:rsid w:val="00485A7B"/>
    <w:rsid w:val="00487138"/>
    <w:rsid w:val="0048715B"/>
    <w:rsid w:val="00490BB6"/>
    <w:rsid w:val="004915A7"/>
    <w:rsid w:val="0049349C"/>
    <w:rsid w:val="00493965"/>
    <w:rsid w:val="0049486F"/>
    <w:rsid w:val="004955EF"/>
    <w:rsid w:val="004959CC"/>
    <w:rsid w:val="00496401"/>
    <w:rsid w:val="004A0C12"/>
    <w:rsid w:val="004A1EBB"/>
    <w:rsid w:val="004A21EF"/>
    <w:rsid w:val="004A250A"/>
    <w:rsid w:val="004A3E90"/>
    <w:rsid w:val="004A445A"/>
    <w:rsid w:val="004A6275"/>
    <w:rsid w:val="004A707D"/>
    <w:rsid w:val="004A7E34"/>
    <w:rsid w:val="004B0A64"/>
    <w:rsid w:val="004B13FC"/>
    <w:rsid w:val="004B1581"/>
    <w:rsid w:val="004B2EBF"/>
    <w:rsid w:val="004B314C"/>
    <w:rsid w:val="004B5D47"/>
    <w:rsid w:val="004B5D9D"/>
    <w:rsid w:val="004B5EE4"/>
    <w:rsid w:val="004B7013"/>
    <w:rsid w:val="004C02BD"/>
    <w:rsid w:val="004C256D"/>
    <w:rsid w:val="004C356D"/>
    <w:rsid w:val="004C3D4B"/>
    <w:rsid w:val="004C47CB"/>
    <w:rsid w:val="004C6959"/>
    <w:rsid w:val="004C71EE"/>
    <w:rsid w:val="004C7698"/>
    <w:rsid w:val="004C7CB7"/>
    <w:rsid w:val="004C7DFF"/>
    <w:rsid w:val="004D046D"/>
    <w:rsid w:val="004D1F74"/>
    <w:rsid w:val="004D3B01"/>
    <w:rsid w:val="004D43A6"/>
    <w:rsid w:val="004D6024"/>
    <w:rsid w:val="004D6063"/>
    <w:rsid w:val="004D64E7"/>
    <w:rsid w:val="004D7FB8"/>
    <w:rsid w:val="004E0797"/>
    <w:rsid w:val="004E1950"/>
    <w:rsid w:val="004E2292"/>
    <w:rsid w:val="004E27CB"/>
    <w:rsid w:val="004E3994"/>
    <w:rsid w:val="004E3A9C"/>
    <w:rsid w:val="004E4154"/>
    <w:rsid w:val="004E41A0"/>
    <w:rsid w:val="004E43F4"/>
    <w:rsid w:val="004E4591"/>
    <w:rsid w:val="004E4F4D"/>
    <w:rsid w:val="004E5C16"/>
    <w:rsid w:val="004E5D98"/>
    <w:rsid w:val="004E7522"/>
    <w:rsid w:val="004E7A19"/>
    <w:rsid w:val="004F068D"/>
    <w:rsid w:val="004F0A8E"/>
    <w:rsid w:val="004F0DB7"/>
    <w:rsid w:val="004F1577"/>
    <w:rsid w:val="004F1B62"/>
    <w:rsid w:val="004F211C"/>
    <w:rsid w:val="004F28C0"/>
    <w:rsid w:val="004F43DE"/>
    <w:rsid w:val="004F5053"/>
    <w:rsid w:val="004F56B3"/>
    <w:rsid w:val="004F6359"/>
    <w:rsid w:val="004F64E1"/>
    <w:rsid w:val="004F6B8C"/>
    <w:rsid w:val="004F7605"/>
    <w:rsid w:val="00500037"/>
    <w:rsid w:val="0050083F"/>
    <w:rsid w:val="00500F08"/>
    <w:rsid w:val="005016E4"/>
    <w:rsid w:val="005019ED"/>
    <w:rsid w:val="0050302F"/>
    <w:rsid w:val="00503172"/>
    <w:rsid w:val="005031BB"/>
    <w:rsid w:val="00504AC4"/>
    <w:rsid w:val="00505478"/>
    <w:rsid w:val="00507C0F"/>
    <w:rsid w:val="00507FE2"/>
    <w:rsid w:val="00511B47"/>
    <w:rsid w:val="00512DEF"/>
    <w:rsid w:val="00513A3A"/>
    <w:rsid w:val="00514B1A"/>
    <w:rsid w:val="005151A7"/>
    <w:rsid w:val="00515E53"/>
    <w:rsid w:val="00520130"/>
    <w:rsid w:val="0052031D"/>
    <w:rsid w:val="0052249E"/>
    <w:rsid w:val="00523427"/>
    <w:rsid w:val="00523BFA"/>
    <w:rsid w:val="005247B4"/>
    <w:rsid w:val="005254CB"/>
    <w:rsid w:val="00526B2E"/>
    <w:rsid w:val="00526EF9"/>
    <w:rsid w:val="005324C4"/>
    <w:rsid w:val="00532815"/>
    <w:rsid w:val="00532B88"/>
    <w:rsid w:val="00532C6A"/>
    <w:rsid w:val="005337F8"/>
    <w:rsid w:val="00535188"/>
    <w:rsid w:val="0053518A"/>
    <w:rsid w:val="005358FB"/>
    <w:rsid w:val="005362A7"/>
    <w:rsid w:val="0053708C"/>
    <w:rsid w:val="0054048C"/>
    <w:rsid w:val="005406B2"/>
    <w:rsid w:val="00540BED"/>
    <w:rsid w:val="00543558"/>
    <w:rsid w:val="005453CC"/>
    <w:rsid w:val="0054760D"/>
    <w:rsid w:val="005504E1"/>
    <w:rsid w:val="00550E5A"/>
    <w:rsid w:val="005530E9"/>
    <w:rsid w:val="0055332C"/>
    <w:rsid w:val="00554245"/>
    <w:rsid w:val="005564C0"/>
    <w:rsid w:val="0055742D"/>
    <w:rsid w:val="0056186F"/>
    <w:rsid w:val="00562217"/>
    <w:rsid w:val="00562451"/>
    <w:rsid w:val="00562E47"/>
    <w:rsid w:val="00563548"/>
    <w:rsid w:val="0056364C"/>
    <w:rsid w:val="00563728"/>
    <w:rsid w:val="00564597"/>
    <w:rsid w:val="005649A5"/>
    <w:rsid w:val="0056697B"/>
    <w:rsid w:val="00566FC4"/>
    <w:rsid w:val="005671D9"/>
    <w:rsid w:val="00567E55"/>
    <w:rsid w:val="00570951"/>
    <w:rsid w:val="00571359"/>
    <w:rsid w:val="005714DC"/>
    <w:rsid w:val="005717EC"/>
    <w:rsid w:val="00571E05"/>
    <w:rsid w:val="00571E64"/>
    <w:rsid w:val="0057249B"/>
    <w:rsid w:val="00572953"/>
    <w:rsid w:val="005738D7"/>
    <w:rsid w:val="00573BC5"/>
    <w:rsid w:val="00576F60"/>
    <w:rsid w:val="00577840"/>
    <w:rsid w:val="005779BC"/>
    <w:rsid w:val="00580CAC"/>
    <w:rsid w:val="0058157E"/>
    <w:rsid w:val="00581B39"/>
    <w:rsid w:val="00581EDC"/>
    <w:rsid w:val="00581F81"/>
    <w:rsid w:val="00583392"/>
    <w:rsid w:val="00583BE5"/>
    <w:rsid w:val="00583C35"/>
    <w:rsid w:val="0058471F"/>
    <w:rsid w:val="00584966"/>
    <w:rsid w:val="00585181"/>
    <w:rsid w:val="0058544D"/>
    <w:rsid w:val="00585CA1"/>
    <w:rsid w:val="00585DF3"/>
    <w:rsid w:val="005871E9"/>
    <w:rsid w:val="00587CD0"/>
    <w:rsid w:val="005903F7"/>
    <w:rsid w:val="00591287"/>
    <w:rsid w:val="00591389"/>
    <w:rsid w:val="005939D2"/>
    <w:rsid w:val="00593FD0"/>
    <w:rsid w:val="00595C39"/>
    <w:rsid w:val="00596E71"/>
    <w:rsid w:val="00596FC2"/>
    <w:rsid w:val="005979DC"/>
    <w:rsid w:val="00597F4F"/>
    <w:rsid w:val="005A06AD"/>
    <w:rsid w:val="005A083C"/>
    <w:rsid w:val="005A104A"/>
    <w:rsid w:val="005A10F3"/>
    <w:rsid w:val="005A2807"/>
    <w:rsid w:val="005A2F43"/>
    <w:rsid w:val="005A3A8E"/>
    <w:rsid w:val="005A3DC9"/>
    <w:rsid w:val="005A447D"/>
    <w:rsid w:val="005A4573"/>
    <w:rsid w:val="005A549E"/>
    <w:rsid w:val="005A652C"/>
    <w:rsid w:val="005A6E1E"/>
    <w:rsid w:val="005A77AB"/>
    <w:rsid w:val="005B022D"/>
    <w:rsid w:val="005B1AB2"/>
    <w:rsid w:val="005B2B86"/>
    <w:rsid w:val="005B300C"/>
    <w:rsid w:val="005B320C"/>
    <w:rsid w:val="005B32B1"/>
    <w:rsid w:val="005B33AE"/>
    <w:rsid w:val="005B40E4"/>
    <w:rsid w:val="005B42B4"/>
    <w:rsid w:val="005B491B"/>
    <w:rsid w:val="005B4A70"/>
    <w:rsid w:val="005B68DD"/>
    <w:rsid w:val="005B791B"/>
    <w:rsid w:val="005C0E93"/>
    <w:rsid w:val="005C240F"/>
    <w:rsid w:val="005C2817"/>
    <w:rsid w:val="005C50CA"/>
    <w:rsid w:val="005C5F93"/>
    <w:rsid w:val="005C73EE"/>
    <w:rsid w:val="005C75D7"/>
    <w:rsid w:val="005C7658"/>
    <w:rsid w:val="005D071E"/>
    <w:rsid w:val="005D0AF4"/>
    <w:rsid w:val="005D1A1F"/>
    <w:rsid w:val="005D2C8D"/>
    <w:rsid w:val="005D31BC"/>
    <w:rsid w:val="005D3A8B"/>
    <w:rsid w:val="005D4D75"/>
    <w:rsid w:val="005D6045"/>
    <w:rsid w:val="005D623E"/>
    <w:rsid w:val="005D707A"/>
    <w:rsid w:val="005E045C"/>
    <w:rsid w:val="005E08FF"/>
    <w:rsid w:val="005E1900"/>
    <w:rsid w:val="005E229D"/>
    <w:rsid w:val="005E31F3"/>
    <w:rsid w:val="005E3FCE"/>
    <w:rsid w:val="005E554C"/>
    <w:rsid w:val="005E6A51"/>
    <w:rsid w:val="005F02A2"/>
    <w:rsid w:val="005F03D6"/>
    <w:rsid w:val="005F172D"/>
    <w:rsid w:val="005F2239"/>
    <w:rsid w:val="005F2864"/>
    <w:rsid w:val="005F2D52"/>
    <w:rsid w:val="005F438C"/>
    <w:rsid w:val="005F60EC"/>
    <w:rsid w:val="005F6340"/>
    <w:rsid w:val="005F753B"/>
    <w:rsid w:val="006005C7"/>
    <w:rsid w:val="00601207"/>
    <w:rsid w:val="00601A4E"/>
    <w:rsid w:val="00601A9A"/>
    <w:rsid w:val="00601D5F"/>
    <w:rsid w:val="00602B9D"/>
    <w:rsid w:val="0060377C"/>
    <w:rsid w:val="00603908"/>
    <w:rsid w:val="00607606"/>
    <w:rsid w:val="006120D5"/>
    <w:rsid w:val="0061323A"/>
    <w:rsid w:val="00613D39"/>
    <w:rsid w:val="00615756"/>
    <w:rsid w:val="00615960"/>
    <w:rsid w:val="00615C90"/>
    <w:rsid w:val="00617BC4"/>
    <w:rsid w:val="0062006E"/>
    <w:rsid w:val="00621297"/>
    <w:rsid w:val="006219F4"/>
    <w:rsid w:val="00622349"/>
    <w:rsid w:val="00622350"/>
    <w:rsid w:val="006229A9"/>
    <w:rsid w:val="0062381E"/>
    <w:rsid w:val="006248E1"/>
    <w:rsid w:val="00624F7A"/>
    <w:rsid w:val="006259A4"/>
    <w:rsid w:val="00625BB1"/>
    <w:rsid w:val="00625F53"/>
    <w:rsid w:val="0062651B"/>
    <w:rsid w:val="0062657E"/>
    <w:rsid w:val="00626C47"/>
    <w:rsid w:val="00630D4E"/>
    <w:rsid w:val="006315F1"/>
    <w:rsid w:val="006317BB"/>
    <w:rsid w:val="00631D10"/>
    <w:rsid w:val="0063221D"/>
    <w:rsid w:val="00632CB0"/>
    <w:rsid w:val="006334FC"/>
    <w:rsid w:val="00636060"/>
    <w:rsid w:val="00636366"/>
    <w:rsid w:val="00636615"/>
    <w:rsid w:val="00637108"/>
    <w:rsid w:val="006378A8"/>
    <w:rsid w:val="00637CC6"/>
    <w:rsid w:val="00637E3C"/>
    <w:rsid w:val="00640A2D"/>
    <w:rsid w:val="00640F0E"/>
    <w:rsid w:val="00641563"/>
    <w:rsid w:val="006416DD"/>
    <w:rsid w:val="00643012"/>
    <w:rsid w:val="00643145"/>
    <w:rsid w:val="006449EC"/>
    <w:rsid w:val="00644D85"/>
    <w:rsid w:val="00645330"/>
    <w:rsid w:val="00646E11"/>
    <w:rsid w:val="006474C3"/>
    <w:rsid w:val="00647E76"/>
    <w:rsid w:val="00650ACB"/>
    <w:rsid w:val="00652E30"/>
    <w:rsid w:val="006547F9"/>
    <w:rsid w:val="00656711"/>
    <w:rsid w:val="0065733E"/>
    <w:rsid w:val="006601BE"/>
    <w:rsid w:val="00660FB1"/>
    <w:rsid w:val="006612B7"/>
    <w:rsid w:val="00662EF3"/>
    <w:rsid w:val="006634FC"/>
    <w:rsid w:val="00664019"/>
    <w:rsid w:val="0066429C"/>
    <w:rsid w:val="00664FF0"/>
    <w:rsid w:val="00666F6F"/>
    <w:rsid w:val="00667203"/>
    <w:rsid w:val="00667B03"/>
    <w:rsid w:val="00670C11"/>
    <w:rsid w:val="00670D50"/>
    <w:rsid w:val="00670DDE"/>
    <w:rsid w:val="006710B8"/>
    <w:rsid w:val="00671F3D"/>
    <w:rsid w:val="00672D23"/>
    <w:rsid w:val="00674C9D"/>
    <w:rsid w:val="006760A0"/>
    <w:rsid w:val="006766EF"/>
    <w:rsid w:val="00676867"/>
    <w:rsid w:val="00677348"/>
    <w:rsid w:val="00677A9C"/>
    <w:rsid w:val="00680FB8"/>
    <w:rsid w:val="006812AD"/>
    <w:rsid w:val="0068264A"/>
    <w:rsid w:val="00683108"/>
    <w:rsid w:val="00685811"/>
    <w:rsid w:val="006858CF"/>
    <w:rsid w:val="00685D95"/>
    <w:rsid w:val="00685FCC"/>
    <w:rsid w:val="00686553"/>
    <w:rsid w:val="00687069"/>
    <w:rsid w:val="0068784A"/>
    <w:rsid w:val="00687951"/>
    <w:rsid w:val="00687D1C"/>
    <w:rsid w:val="00687DA6"/>
    <w:rsid w:val="006912B1"/>
    <w:rsid w:val="00692559"/>
    <w:rsid w:val="00694450"/>
    <w:rsid w:val="00695627"/>
    <w:rsid w:val="006976F5"/>
    <w:rsid w:val="006977CB"/>
    <w:rsid w:val="00697BCB"/>
    <w:rsid w:val="006A160E"/>
    <w:rsid w:val="006A24CB"/>
    <w:rsid w:val="006A5F43"/>
    <w:rsid w:val="006A7847"/>
    <w:rsid w:val="006A79A1"/>
    <w:rsid w:val="006B0A3B"/>
    <w:rsid w:val="006B0CD8"/>
    <w:rsid w:val="006B178A"/>
    <w:rsid w:val="006B2223"/>
    <w:rsid w:val="006B32AB"/>
    <w:rsid w:val="006B380B"/>
    <w:rsid w:val="006B43DB"/>
    <w:rsid w:val="006B4757"/>
    <w:rsid w:val="006B4801"/>
    <w:rsid w:val="006B4B0D"/>
    <w:rsid w:val="006B6AAD"/>
    <w:rsid w:val="006B6CAB"/>
    <w:rsid w:val="006B6F44"/>
    <w:rsid w:val="006B71EC"/>
    <w:rsid w:val="006B73A9"/>
    <w:rsid w:val="006C1631"/>
    <w:rsid w:val="006C1CB7"/>
    <w:rsid w:val="006C1F0B"/>
    <w:rsid w:val="006C2088"/>
    <w:rsid w:val="006C36EE"/>
    <w:rsid w:val="006C4049"/>
    <w:rsid w:val="006C43AF"/>
    <w:rsid w:val="006C4708"/>
    <w:rsid w:val="006C4EAA"/>
    <w:rsid w:val="006C524D"/>
    <w:rsid w:val="006C5E11"/>
    <w:rsid w:val="006C76B9"/>
    <w:rsid w:val="006D0974"/>
    <w:rsid w:val="006D0991"/>
    <w:rsid w:val="006D2AB8"/>
    <w:rsid w:val="006D4285"/>
    <w:rsid w:val="006D5489"/>
    <w:rsid w:val="006D62E7"/>
    <w:rsid w:val="006D6730"/>
    <w:rsid w:val="006D7B73"/>
    <w:rsid w:val="006E00A2"/>
    <w:rsid w:val="006E01A4"/>
    <w:rsid w:val="006E2A2D"/>
    <w:rsid w:val="006E3297"/>
    <w:rsid w:val="006E4D19"/>
    <w:rsid w:val="006E5CEB"/>
    <w:rsid w:val="006E7075"/>
    <w:rsid w:val="006E71D9"/>
    <w:rsid w:val="006E7E8A"/>
    <w:rsid w:val="006F073D"/>
    <w:rsid w:val="006F2113"/>
    <w:rsid w:val="006F3451"/>
    <w:rsid w:val="006F34B2"/>
    <w:rsid w:val="006F4BDF"/>
    <w:rsid w:val="006F4E1F"/>
    <w:rsid w:val="006F4EB6"/>
    <w:rsid w:val="006F5134"/>
    <w:rsid w:val="006F5263"/>
    <w:rsid w:val="006F52DB"/>
    <w:rsid w:val="006F56CA"/>
    <w:rsid w:val="006F5A73"/>
    <w:rsid w:val="006F6377"/>
    <w:rsid w:val="006F7BF0"/>
    <w:rsid w:val="0070040A"/>
    <w:rsid w:val="00700416"/>
    <w:rsid w:val="00700607"/>
    <w:rsid w:val="0070105A"/>
    <w:rsid w:val="007020E3"/>
    <w:rsid w:val="00702190"/>
    <w:rsid w:val="007024A6"/>
    <w:rsid w:val="00702EC7"/>
    <w:rsid w:val="007034BF"/>
    <w:rsid w:val="00704090"/>
    <w:rsid w:val="00704AB9"/>
    <w:rsid w:val="00705682"/>
    <w:rsid w:val="007071D3"/>
    <w:rsid w:val="00707A6C"/>
    <w:rsid w:val="00711218"/>
    <w:rsid w:val="0071151A"/>
    <w:rsid w:val="00711DF0"/>
    <w:rsid w:val="00712018"/>
    <w:rsid w:val="00712DC1"/>
    <w:rsid w:val="00715386"/>
    <w:rsid w:val="00715418"/>
    <w:rsid w:val="007154B0"/>
    <w:rsid w:val="00715659"/>
    <w:rsid w:val="00715F1E"/>
    <w:rsid w:val="007169F4"/>
    <w:rsid w:val="00716C3A"/>
    <w:rsid w:val="00716D30"/>
    <w:rsid w:val="007173EC"/>
    <w:rsid w:val="00717AAB"/>
    <w:rsid w:val="00717C74"/>
    <w:rsid w:val="00720A5A"/>
    <w:rsid w:val="0072203F"/>
    <w:rsid w:val="007230FE"/>
    <w:rsid w:val="007231B4"/>
    <w:rsid w:val="00723B6C"/>
    <w:rsid w:val="00723F67"/>
    <w:rsid w:val="00724229"/>
    <w:rsid w:val="007254D4"/>
    <w:rsid w:val="00726C27"/>
    <w:rsid w:val="00730773"/>
    <w:rsid w:val="0073152E"/>
    <w:rsid w:val="0073153D"/>
    <w:rsid w:val="007317ED"/>
    <w:rsid w:val="00731E31"/>
    <w:rsid w:val="00731F09"/>
    <w:rsid w:val="00732D06"/>
    <w:rsid w:val="00732E3B"/>
    <w:rsid w:val="00740238"/>
    <w:rsid w:val="00740C15"/>
    <w:rsid w:val="00740F92"/>
    <w:rsid w:val="00742713"/>
    <w:rsid w:val="007430AD"/>
    <w:rsid w:val="00744D3C"/>
    <w:rsid w:val="00745BA0"/>
    <w:rsid w:val="007463FE"/>
    <w:rsid w:val="00746ABE"/>
    <w:rsid w:val="00746BD1"/>
    <w:rsid w:val="00747340"/>
    <w:rsid w:val="00750D60"/>
    <w:rsid w:val="00751C01"/>
    <w:rsid w:val="0075287C"/>
    <w:rsid w:val="007544FF"/>
    <w:rsid w:val="00754E21"/>
    <w:rsid w:val="007559F5"/>
    <w:rsid w:val="00756606"/>
    <w:rsid w:val="00757ADF"/>
    <w:rsid w:val="00761556"/>
    <w:rsid w:val="00761EFD"/>
    <w:rsid w:val="007634AB"/>
    <w:rsid w:val="00763621"/>
    <w:rsid w:val="00763DDA"/>
    <w:rsid w:val="00763DF2"/>
    <w:rsid w:val="0076458D"/>
    <w:rsid w:val="00764CDA"/>
    <w:rsid w:val="00765DF7"/>
    <w:rsid w:val="00765E65"/>
    <w:rsid w:val="0076605C"/>
    <w:rsid w:val="00766921"/>
    <w:rsid w:val="007669E6"/>
    <w:rsid w:val="00767549"/>
    <w:rsid w:val="007708B1"/>
    <w:rsid w:val="00770E04"/>
    <w:rsid w:val="0077177D"/>
    <w:rsid w:val="00771C27"/>
    <w:rsid w:val="00772152"/>
    <w:rsid w:val="00772E67"/>
    <w:rsid w:val="007737F5"/>
    <w:rsid w:val="00773A97"/>
    <w:rsid w:val="0077435F"/>
    <w:rsid w:val="0077454E"/>
    <w:rsid w:val="00775C69"/>
    <w:rsid w:val="00775FA1"/>
    <w:rsid w:val="0077665D"/>
    <w:rsid w:val="00780CBE"/>
    <w:rsid w:val="00780F22"/>
    <w:rsid w:val="00782A7D"/>
    <w:rsid w:val="007833CA"/>
    <w:rsid w:val="00784C8A"/>
    <w:rsid w:val="00786647"/>
    <w:rsid w:val="0078738B"/>
    <w:rsid w:val="00787719"/>
    <w:rsid w:val="00791E68"/>
    <w:rsid w:val="00791E91"/>
    <w:rsid w:val="00791F05"/>
    <w:rsid w:val="00791F88"/>
    <w:rsid w:val="0079371A"/>
    <w:rsid w:val="00793A77"/>
    <w:rsid w:val="0079423D"/>
    <w:rsid w:val="00794F41"/>
    <w:rsid w:val="00795647"/>
    <w:rsid w:val="0079594E"/>
    <w:rsid w:val="0079623E"/>
    <w:rsid w:val="0079665B"/>
    <w:rsid w:val="00796D70"/>
    <w:rsid w:val="007974F3"/>
    <w:rsid w:val="007A093A"/>
    <w:rsid w:val="007A0A70"/>
    <w:rsid w:val="007A14A8"/>
    <w:rsid w:val="007A2969"/>
    <w:rsid w:val="007A366F"/>
    <w:rsid w:val="007A382A"/>
    <w:rsid w:val="007A4CBE"/>
    <w:rsid w:val="007A5C76"/>
    <w:rsid w:val="007A6AA3"/>
    <w:rsid w:val="007A6B48"/>
    <w:rsid w:val="007A7079"/>
    <w:rsid w:val="007A742F"/>
    <w:rsid w:val="007A7543"/>
    <w:rsid w:val="007B0320"/>
    <w:rsid w:val="007B0E75"/>
    <w:rsid w:val="007B2D05"/>
    <w:rsid w:val="007B31E9"/>
    <w:rsid w:val="007B3297"/>
    <w:rsid w:val="007B45EC"/>
    <w:rsid w:val="007B678C"/>
    <w:rsid w:val="007B778D"/>
    <w:rsid w:val="007C25CC"/>
    <w:rsid w:val="007C37BC"/>
    <w:rsid w:val="007C3D3A"/>
    <w:rsid w:val="007C3E64"/>
    <w:rsid w:val="007C3F53"/>
    <w:rsid w:val="007C597F"/>
    <w:rsid w:val="007C6BD7"/>
    <w:rsid w:val="007D0242"/>
    <w:rsid w:val="007D17EE"/>
    <w:rsid w:val="007D1B9E"/>
    <w:rsid w:val="007D222B"/>
    <w:rsid w:val="007D29F7"/>
    <w:rsid w:val="007D5527"/>
    <w:rsid w:val="007D647B"/>
    <w:rsid w:val="007D735D"/>
    <w:rsid w:val="007E0538"/>
    <w:rsid w:val="007E0C82"/>
    <w:rsid w:val="007E1841"/>
    <w:rsid w:val="007E1ABD"/>
    <w:rsid w:val="007E1DD3"/>
    <w:rsid w:val="007E2C53"/>
    <w:rsid w:val="007E3679"/>
    <w:rsid w:val="007E47A0"/>
    <w:rsid w:val="007E6439"/>
    <w:rsid w:val="007E7ACF"/>
    <w:rsid w:val="007E7BEE"/>
    <w:rsid w:val="007F0696"/>
    <w:rsid w:val="007F0704"/>
    <w:rsid w:val="007F2600"/>
    <w:rsid w:val="007F2A91"/>
    <w:rsid w:val="007F4989"/>
    <w:rsid w:val="007F71AB"/>
    <w:rsid w:val="007F72A5"/>
    <w:rsid w:val="00802683"/>
    <w:rsid w:val="00806B9B"/>
    <w:rsid w:val="00806D1D"/>
    <w:rsid w:val="0081029B"/>
    <w:rsid w:val="008106A4"/>
    <w:rsid w:val="008118B5"/>
    <w:rsid w:val="00812E8E"/>
    <w:rsid w:val="008132CA"/>
    <w:rsid w:val="00813343"/>
    <w:rsid w:val="00813738"/>
    <w:rsid w:val="00814382"/>
    <w:rsid w:val="00815169"/>
    <w:rsid w:val="00815A72"/>
    <w:rsid w:val="00816268"/>
    <w:rsid w:val="008168DE"/>
    <w:rsid w:val="0082037C"/>
    <w:rsid w:val="00821E61"/>
    <w:rsid w:val="00821E74"/>
    <w:rsid w:val="00822F72"/>
    <w:rsid w:val="008232F4"/>
    <w:rsid w:val="0082341A"/>
    <w:rsid w:val="008240BC"/>
    <w:rsid w:val="0082453D"/>
    <w:rsid w:val="008250EB"/>
    <w:rsid w:val="00826BCF"/>
    <w:rsid w:val="0083266E"/>
    <w:rsid w:val="00832C57"/>
    <w:rsid w:val="008333AE"/>
    <w:rsid w:val="00833B68"/>
    <w:rsid w:val="00834C6F"/>
    <w:rsid w:val="0083673F"/>
    <w:rsid w:val="00836E1B"/>
    <w:rsid w:val="00837140"/>
    <w:rsid w:val="0083798F"/>
    <w:rsid w:val="008404C3"/>
    <w:rsid w:val="008413A3"/>
    <w:rsid w:val="00841457"/>
    <w:rsid w:val="0084162F"/>
    <w:rsid w:val="008429FE"/>
    <w:rsid w:val="00844C3A"/>
    <w:rsid w:val="00844EC2"/>
    <w:rsid w:val="00846167"/>
    <w:rsid w:val="00846F74"/>
    <w:rsid w:val="008472CD"/>
    <w:rsid w:val="0085096A"/>
    <w:rsid w:val="00850AA3"/>
    <w:rsid w:val="0085319A"/>
    <w:rsid w:val="00854172"/>
    <w:rsid w:val="008557FD"/>
    <w:rsid w:val="008563B4"/>
    <w:rsid w:val="008567A0"/>
    <w:rsid w:val="008567AB"/>
    <w:rsid w:val="00856BC4"/>
    <w:rsid w:val="00857D9D"/>
    <w:rsid w:val="008624EC"/>
    <w:rsid w:val="0086267D"/>
    <w:rsid w:val="0086273A"/>
    <w:rsid w:val="00864116"/>
    <w:rsid w:val="008642A4"/>
    <w:rsid w:val="00864FE2"/>
    <w:rsid w:val="00865938"/>
    <w:rsid w:val="00865B67"/>
    <w:rsid w:val="0086601E"/>
    <w:rsid w:val="00867744"/>
    <w:rsid w:val="00870387"/>
    <w:rsid w:val="008705DC"/>
    <w:rsid w:val="00870718"/>
    <w:rsid w:val="008708E7"/>
    <w:rsid w:val="00870B91"/>
    <w:rsid w:val="00870D89"/>
    <w:rsid w:val="00871CD7"/>
    <w:rsid w:val="00872C82"/>
    <w:rsid w:val="0087392A"/>
    <w:rsid w:val="00873A30"/>
    <w:rsid w:val="00875C28"/>
    <w:rsid w:val="008762E9"/>
    <w:rsid w:val="008772F3"/>
    <w:rsid w:val="008777A7"/>
    <w:rsid w:val="00880A81"/>
    <w:rsid w:val="00880CC4"/>
    <w:rsid w:val="00882116"/>
    <w:rsid w:val="00882612"/>
    <w:rsid w:val="00882FD6"/>
    <w:rsid w:val="00885352"/>
    <w:rsid w:val="0088564C"/>
    <w:rsid w:val="00885E8A"/>
    <w:rsid w:val="008868B7"/>
    <w:rsid w:val="00887272"/>
    <w:rsid w:val="00890B18"/>
    <w:rsid w:val="00893097"/>
    <w:rsid w:val="00894669"/>
    <w:rsid w:val="00894D08"/>
    <w:rsid w:val="00895FBD"/>
    <w:rsid w:val="0089727D"/>
    <w:rsid w:val="008973F8"/>
    <w:rsid w:val="00897BDF"/>
    <w:rsid w:val="00897D8C"/>
    <w:rsid w:val="008A04DE"/>
    <w:rsid w:val="008A0F44"/>
    <w:rsid w:val="008A183B"/>
    <w:rsid w:val="008A1E59"/>
    <w:rsid w:val="008A29EE"/>
    <w:rsid w:val="008A2ACD"/>
    <w:rsid w:val="008A3AE9"/>
    <w:rsid w:val="008A3F6E"/>
    <w:rsid w:val="008A4438"/>
    <w:rsid w:val="008A522A"/>
    <w:rsid w:val="008B004B"/>
    <w:rsid w:val="008B0DA7"/>
    <w:rsid w:val="008B2908"/>
    <w:rsid w:val="008B37F2"/>
    <w:rsid w:val="008B5DC6"/>
    <w:rsid w:val="008B6BAA"/>
    <w:rsid w:val="008B6F2A"/>
    <w:rsid w:val="008B73CC"/>
    <w:rsid w:val="008B7509"/>
    <w:rsid w:val="008B7CDF"/>
    <w:rsid w:val="008C0F0B"/>
    <w:rsid w:val="008C3415"/>
    <w:rsid w:val="008C5BB6"/>
    <w:rsid w:val="008C61CA"/>
    <w:rsid w:val="008C65EA"/>
    <w:rsid w:val="008C775D"/>
    <w:rsid w:val="008D1DA0"/>
    <w:rsid w:val="008D25C3"/>
    <w:rsid w:val="008D26BB"/>
    <w:rsid w:val="008D2FA8"/>
    <w:rsid w:val="008D3A89"/>
    <w:rsid w:val="008D418A"/>
    <w:rsid w:val="008D61E0"/>
    <w:rsid w:val="008D6219"/>
    <w:rsid w:val="008D64E9"/>
    <w:rsid w:val="008D7C5B"/>
    <w:rsid w:val="008E2843"/>
    <w:rsid w:val="008E2B14"/>
    <w:rsid w:val="008E2C13"/>
    <w:rsid w:val="008E2C85"/>
    <w:rsid w:val="008E35C1"/>
    <w:rsid w:val="008E37AC"/>
    <w:rsid w:val="008E3EF0"/>
    <w:rsid w:val="008E4002"/>
    <w:rsid w:val="008E52CE"/>
    <w:rsid w:val="008E6FE5"/>
    <w:rsid w:val="008F0E37"/>
    <w:rsid w:val="008F29AE"/>
    <w:rsid w:val="008F2B88"/>
    <w:rsid w:val="008F3258"/>
    <w:rsid w:val="008F4EB1"/>
    <w:rsid w:val="008F56A2"/>
    <w:rsid w:val="008F59F8"/>
    <w:rsid w:val="008F5B87"/>
    <w:rsid w:val="008F60EB"/>
    <w:rsid w:val="008F7A63"/>
    <w:rsid w:val="009003DE"/>
    <w:rsid w:val="00901136"/>
    <w:rsid w:val="009020A0"/>
    <w:rsid w:val="00902B29"/>
    <w:rsid w:val="00903F3D"/>
    <w:rsid w:val="00904430"/>
    <w:rsid w:val="00904CAA"/>
    <w:rsid w:val="00910FD0"/>
    <w:rsid w:val="009111BA"/>
    <w:rsid w:val="00911847"/>
    <w:rsid w:val="009118EA"/>
    <w:rsid w:val="00911A6E"/>
    <w:rsid w:val="00911DE4"/>
    <w:rsid w:val="00911FC3"/>
    <w:rsid w:val="00914DD8"/>
    <w:rsid w:val="00917D21"/>
    <w:rsid w:val="00920C7C"/>
    <w:rsid w:val="00920FC5"/>
    <w:rsid w:val="00922E62"/>
    <w:rsid w:val="009238F3"/>
    <w:rsid w:val="009242D6"/>
    <w:rsid w:val="0092589B"/>
    <w:rsid w:val="00926179"/>
    <w:rsid w:val="009266C6"/>
    <w:rsid w:val="00927A41"/>
    <w:rsid w:val="00927E52"/>
    <w:rsid w:val="00933437"/>
    <w:rsid w:val="009334FA"/>
    <w:rsid w:val="00935A4C"/>
    <w:rsid w:val="00936BEA"/>
    <w:rsid w:val="009372D5"/>
    <w:rsid w:val="00940361"/>
    <w:rsid w:val="0094056E"/>
    <w:rsid w:val="009412E0"/>
    <w:rsid w:val="00945511"/>
    <w:rsid w:val="009459BB"/>
    <w:rsid w:val="009467B3"/>
    <w:rsid w:val="00947CD1"/>
    <w:rsid w:val="00950C8B"/>
    <w:rsid w:val="00951B8F"/>
    <w:rsid w:val="0095345D"/>
    <w:rsid w:val="00953B6E"/>
    <w:rsid w:val="0095562F"/>
    <w:rsid w:val="0095581C"/>
    <w:rsid w:val="00955F08"/>
    <w:rsid w:val="009563F0"/>
    <w:rsid w:val="0095646F"/>
    <w:rsid w:val="00956698"/>
    <w:rsid w:val="00956BFC"/>
    <w:rsid w:val="00956CFA"/>
    <w:rsid w:val="00957DFD"/>
    <w:rsid w:val="00960A26"/>
    <w:rsid w:val="00961F77"/>
    <w:rsid w:val="009632A4"/>
    <w:rsid w:val="00963A39"/>
    <w:rsid w:val="009668AA"/>
    <w:rsid w:val="00966AD6"/>
    <w:rsid w:val="00967106"/>
    <w:rsid w:val="009672AE"/>
    <w:rsid w:val="00967574"/>
    <w:rsid w:val="00970A20"/>
    <w:rsid w:val="009711E8"/>
    <w:rsid w:val="0097176A"/>
    <w:rsid w:val="00971D20"/>
    <w:rsid w:val="00974923"/>
    <w:rsid w:val="00976552"/>
    <w:rsid w:val="00976CDA"/>
    <w:rsid w:val="00976FF3"/>
    <w:rsid w:val="00977084"/>
    <w:rsid w:val="00977914"/>
    <w:rsid w:val="009810E1"/>
    <w:rsid w:val="00981A85"/>
    <w:rsid w:val="00984CDD"/>
    <w:rsid w:val="00986B9B"/>
    <w:rsid w:val="00986E08"/>
    <w:rsid w:val="00990894"/>
    <w:rsid w:val="009923DD"/>
    <w:rsid w:val="00994CC1"/>
    <w:rsid w:val="0099570F"/>
    <w:rsid w:val="009958BC"/>
    <w:rsid w:val="00997F2A"/>
    <w:rsid w:val="009A185D"/>
    <w:rsid w:val="009A1C7E"/>
    <w:rsid w:val="009A3D91"/>
    <w:rsid w:val="009A41E3"/>
    <w:rsid w:val="009A4490"/>
    <w:rsid w:val="009A49E0"/>
    <w:rsid w:val="009A6329"/>
    <w:rsid w:val="009A6BE4"/>
    <w:rsid w:val="009A79F7"/>
    <w:rsid w:val="009A7C00"/>
    <w:rsid w:val="009B0325"/>
    <w:rsid w:val="009B0823"/>
    <w:rsid w:val="009B0FA0"/>
    <w:rsid w:val="009B1C57"/>
    <w:rsid w:val="009B2C72"/>
    <w:rsid w:val="009B336F"/>
    <w:rsid w:val="009B5F5A"/>
    <w:rsid w:val="009C088E"/>
    <w:rsid w:val="009C2015"/>
    <w:rsid w:val="009C2BA1"/>
    <w:rsid w:val="009C3D4B"/>
    <w:rsid w:val="009C3DC5"/>
    <w:rsid w:val="009C3E8C"/>
    <w:rsid w:val="009C4219"/>
    <w:rsid w:val="009C45FD"/>
    <w:rsid w:val="009C6299"/>
    <w:rsid w:val="009C6E9C"/>
    <w:rsid w:val="009C780A"/>
    <w:rsid w:val="009D0777"/>
    <w:rsid w:val="009D0B91"/>
    <w:rsid w:val="009D101A"/>
    <w:rsid w:val="009D2F09"/>
    <w:rsid w:val="009D2FA8"/>
    <w:rsid w:val="009D3609"/>
    <w:rsid w:val="009D5220"/>
    <w:rsid w:val="009D56DA"/>
    <w:rsid w:val="009D6C54"/>
    <w:rsid w:val="009D6DCC"/>
    <w:rsid w:val="009D7472"/>
    <w:rsid w:val="009D7821"/>
    <w:rsid w:val="009E03AF"/>
    <w:rsid w:val="009E0F00"/>
    <w:rsid w:val="009E279E"/>
    <w:rsid w:val="009E4C9F"/>
    <w:rsid w:val="009E7790"/>
    <w:rsid w:val="009E7AA8"/>
    <w:rsid w:val="009E7E78"/>
    <w:rsid w:val="009F0048"/>
    <w:rsid w:val="009F053E"/>
    <w:rsid w:val="009F09BF"/>
    <w:rsid w:val="009F26BB"/>
    <w:rsid w:val="009F4EE1"/>
    <w:rsid w:val="009F513F"/>
    <w:rsid w:val="009F5AE7"/>
    <w:rsid w:val="009F766A"/>
    <w:rsid w:val="00A009AC"/>
    <w:rsid w:val="00A0117A"/>
    <w:rsid w:val="00A0166C"/>
    <w:rsid w:val="00A02E1B"/>
    <w:rsid w:val="00A02E96"/>
    <w:rsid w:val="00A03021"/>
    <w:rsid w:val="00A031FF"/>
    <w:rsid w:val="00A04784"/>
    <w:rsid w:val="00A05AAB"/>
    <w:rsid w:val="00A069CB"/>
    <w:rsid w:val="00A07409"/>
    <w:rsid w:val="00A078AF"/>
    <w:rsid w:val="00A104DD"/>
    <w:rsid w:val="00A11BC6"/>
    <w:rsid w:val="00A14D0E"/>
    <w:rsid w:val="00A15A85"/>
    <w:rsid w:val="00A15B35"/>
    <w:rsid w:val="00A15C04"/>
    <w:rsid w:val="00A160B2"/>
    <w:rsid w:val="00A16800"/>
    <w:rsid w:val="00A16A2F"/>
    <w:rsid w:val="00A16EA3"/>
    <w:rsid w:val="00A17206"/>
    <w:rsid w:val="00A1726C"/>
    <w:rsid w:val="00A17E3B"/>
    <w:rsid w:val="00A205B4"/>
    <w:rsid w:val="00A20F27"/>
    <w:rsid w:val="00A21C1F"/>
    <w:rsid w:val="00A22D08"/>
    <w:rsid w:val="00A232D2"/>
    <w:rsid w:val="00A24732"/>
    <w:rsid w:val="00A25EFC"/>
    <w:rsid w:val="00A2626D"/>
    <w:rsid w:val="00A26682"/>
    <w:rsid w:val="00A2691E"/>
    <w:rsid w:val="00A27878"/>
    <w:rsid w:val="00A300B2"/>
    <w:rsid w:val="00A30737"/>
    <w:rsid w:val="00A30A60"/>
    <w:rsid w:val="00A30D75"/>
    <w:rsid w:val="00A31063"/>
    <w:rsid w:val="00A31A84"/>
    <w:rsid w:val="00A31C8D"/>
    <w:rsid w:val="00A3269E"/>
    <w:rsid w:val="00A335D7"/>
    <w:rsid w:val="00A33BC1"/>
    <w:rsid w:val="00A34421"/>
    <w:rsid w:val="00A344D6"/>
    <w:rsid w:val="00A348C4"/>
    <w:rsid w:val="00A3656C"/>
    <w:rsid w:val="00A3752A"/>
    <w:rsid w:val="00A41481"/>
    <w:rsid w:val="00A41A70"/>
    <w:rsid w:val="00A43792"/>
    <w:rsid w:val="00A4385D"/>
    <w:rsid w:val="00A43DA5"/>
    <w:rsid w:val="00A4434B"/>
    <w:rsid w:val="00A45930"/>
    <w:rsid w:val="00A459A5"/>
    <w:rsid w:val="00A460FF"/>
    <w:rsid w:val="00A50BDB"/>
    <w:rsid w:val="00A519EB"/>
    <w:rsid w:val="00A53680"/>
    <w:rsid w:val="00A54E57"/>
    <w:rsid w:val="00A55CCF"/>
    <w:rsid w:val="00A60140"/>
    <w:rsid w:val="00A62715"/>
    <w:rsid w:val="00A62775"/>
    <w:rsid w:val="00A63B7B"/>
    <w:rsid w:val="00A6422E"/>
    <w:rsid w:val="00A6593B"/>
    <w:rsid w:val="00A664C5"/>
    <w:rsid w:val="00A70666"/>
    <w:rsid w:val="00A70B80"/>
    <w:rsid w:val="00A71052"/>
    <w:rsid w:val="00A729B2"/>
    <w:rsid w:val="00A73A68"/>
    <w:rsid w:val="00A755CC"/>
    <w:rsid w:val="00A75A8B"/>
    <w:rsid w:val="00A76546"/>
    <w:rsid w:val="00A76E18"/>
    <w:rsid w:val="00A77004"/>
    <w:rsid w:val="00A77D24"/>
    <w:rsid w:val="00A80526"/>
    <w:rsid w:val="00A81432"/>
    <w:rsid w:val="00A81EAB"/>
    <w:rsid w:val="00A82C18"/>
    <w:rsid w:val="00A8324E"/>
    <w:rsid w:val="00A841D0"/>
    <w:rsid w:val="00A84DFB"/>
    <w:rsid w:val="00A853FB"/>
    <w:rsid w:val="00A862AF"/>
    <w:rsid w:val="00A8739B"/>
    <w:rsid w:val="00A879ED"/>
    <w:rsid w:val="00A901DB"/>
    <w:rsid w:val="00A90A63"/>
    <w:rsid w:val="00A911EF"/>
    <w:rsid w:val="00A92013"/>
    <w:rsid w:val="00A926EF"/>
    <w:rsid w:val="00A93008"/>
    <w:rsid w:val="00A94A00"/>
    <w:rsid w:val="00A94F9A"/>
    <w:rsid w:val="00A95710"/>
    <w:rsid w:val="00A96776"/>
    <w:rsid w:val="00A96A51"/>
    <w:rsid w:val="00A9732B"/>
    <w:rsid w:val="00AA0111"/>
    <w:rsid w:val="00AA3679"/>
    <w:rsid w:val="00AA3B80"/>
    <w:rsid w:val="00AA3E59"/>
    <w:rsid w:val="00AA53F6"/>
    <w:rsid w:val="00AA54D3"/>
    <w:rsid w:val="00AA64F8"/>
    <w:rsid w:val="00AB13D7"/>
    <w:rsid w:val="00AB1DA5"/>
    <w:rsid w:val="00AB3461"/>
    <w:rsid w:val="00AB447A"/>
    <w:rsid w:val="00AB5002"/>
    <w:rsid w:val="00AB5B5E"/>
    <w:rsid w:val="00AB6F43"/>
    <w:rsid w:val="00AB75CA"/>
    <w:rsid w:val="00AC1EF4"/>
    <w:rsid w:val="00AC3E4C"/>
    <w:rsid w:val="00AC49C5"/>
    <w:rsid w:val="00AC4EDB"/>
    <w:rsid w:val="00AC57E9"/>
    <w:rsid w:val="00AC773B"/>
    <w:rsid w:val="00AD0400"/>
    <w:rsid w:val="00AD228D"/>
    <w:rsid w:val="00AD3E39"/>
    <w:rsid w:val="00AD4424"/>
    <w:rsid w:val="00AD5221"/>
    <w:rsid w:val="00AD6014"/>
    <w:rsid w:val="00AD694A"/>
    <w:rsid w:val="00AD6CEE"/>
    <w:rsid w:val="00AD7E45"/>
    <w:rsid w:val="00AE0281"/>
    <w:rsid w:val="00AE08E2"/>
    <w:rsid w:val="00AE09EE"/>
    <w:rsid w:val="00AE1422"/>
    <w:rsid w:val="00AE174D"/>
    <w:rsid w:val="00AE199F"/>
    <w:rsid w:val="00AE36DC"/>
    <w:rsid w:val="00AE39AC"/>
    <w:rsid w:val="00AE3E5C"/>
    <w:rsid w:val="00AE5204"/>
    <w:rsid w:val="00AE59C8"/>
    <w:rsid w:val="00AE5E46"/>
    <w:rsid w:val="00AF0F5B"/>
    <w:rsid w:val="00AF132D"/>
    <w:rsid w:val="00AF194A"/>
    <w:rsid w:val="00AF1E5E"/>
    <w:rsid w:val="00AF2A9F"/>
    <w:rsid w:val="00AF343B"/>
    <w:rsid w:val="00AF3E3E"/>
    <w:rsid w:val="00AF5058"/>
    <w:rsid w:val="00AF5986"/>
    <w:rsid w:val="00AF5A8E"/>
    <w:rsid w:val="00AF7ACF"/>
    <w:rsid w:val="00B0123A"/>
    <w:rsid w:val="00B01352"/>
    <w:rsid w:val="00B02D02"/>
    <w:rsid w:val="00B02D4E"/>
    <w:rsid w:val="00B0399B"/>
    <w:rsid w:val="00B05968"/>
    <w:rsid w:val="00B06491"/>
    <w:rsid w:val="00B07205"/>
    <w:rsid w:val="00B10434"/>
    <w:rsid w:val="00B10E40"/>
    <w:rsid w:val="00B11974"/>
    <w:rsid w:val="00B12161"/>
    <w:rsid w:val="00B13787"/>
    <w:rsid w:val="00B13DC6"/>
    <w:rsid w:val="00B14F97"/>
    <w:rsid w:val="00B15077"/>
    <w:rsid w:val="00B17977"/>
    <w:rsid w:val="00B22129"/>
    <w:rsid w:val="00B24AEC"/>
    <w:rsid w:val="00B259B9"/>
    <w:rsid w:val="00B263CA"/>
    <w:rsid w:val="00B27351"/>
    <w:rsid w:val="00B275A1"/>
    <w:rsid w:val="00B31173"/>
    <w:rsid w:val="00B31B34"/>
    <w:rsid w:val="00B32269"/>
    <w:rsid w:val="00B32FB9"/>
    <w:rsid w:val="00B33604"/>
    <w:rsid w:val="00B33A83"/>
    <w:rsid w:val="00B33C7D"/>
    <w:rsid w:val="00B33EDB"/>
    <w:rsid w:val="00B34E5B"/>
    <w:rsid w:val="00B35F56"/>
    <w:rsid w:val="00B40C49"/>
    <w:rsid w:val="00B412C7"/>
    <w:rsid w:val="00B42D82"/>
    <w:rsid w:val="00B4321C"/>
    <w:rsid w:val="00B43A82"/>
    <w:rsid w:val="00B43D5F"/>
    <w:rsid w:val="00B440DD"/>
    <w:rsid w:val="00B455FE"/>
    <w:rsid w:val="00B45807"/>
    <w:rsid w:val="00B458D0"/>
    <w:rsid w:val="00B4687E"/>
    <w:rsid w:val="00B46CD9"/>
    <w:rsid w:val="00B47205"/>
    <w:rsid w:val="00B47B3A"/>
    <w:rsid w:val="00B47FCA"/>
    <w:rsid w:val="00B50035"/>
    <w:rsid w:val="00B506E6"/>
    <w:rsid w:val="00B50FD8"/>
    <w:rsid w:val="00B51887"/>
    <w:rsid w:val="00B51AB3"/>
    <w:rsid w:val="00B52E73"/>
    <w:rsid w:val="00B53059"/>
    <w:rsid w:val="00B53D96"/>
    <w:rsid w:val="00B549DE"/>
    <w:rsid w:val="00B54B9D"/>
    <w:rsid w:val="00B55832"/>
    <w:rsid w:val="00B56A7B"/>
    <w:rsid w:val="00B60A06"/>
    <w:rsid w:val="00B61BFD"/>
    <w:rsid w:val="00B61E8C"/>
    <w:rsid w:val="00B64966"/>
    <w:rsid w:val="00B6497B"/>
    <w:rsid w:val="00B64F01"/>
    <w:rsid w:val="00B65A68"/>
    <w:rsid w:val="00B660F5"/>
    <w:rsid w:val="00B66E3C"/>
    <w:rsid w:val="00B71097"/>
    <w:rsid w:val="00B712D3"/>
    <w:rsid w:val="00B72001"/>
    <w:rsid w:val="00B72772"/>
    <w:rsid w:val="00B72DE8"/>
    <w:rsid w:val="00B733AF"/>
    <w:rsid w:val="00B73877"/>
    <w:rsid w:val="00B73B61"/>
    <w:rsid w:val="00B73C83"/>
    <w:rsid w:val="00B7416D"/>
    <w:rsid w:val="00B75531"/>
    <w:rsid w:val="00B75F90"/>
    <w:rsid w:val="00B77DE6"/>
    <w:rsid w:val="00B80C62"/>
    <w:rsid w:val="00B81C8A"/>
    <w:rsid w:val="00B81C99"/>
    <w:rsid w:val="00B826B0"/>
    <w:rsid w:val="00B82E9E"/>
    <w:rsid w:val="00B82F08"/>
    <w:rsid w:val="00B83451"/>
    <w:rsid w:val="00B85154"/>
    <w:rsid w:val="00B86802"/>
    <w:rsid w:val="00B86C6E"/>
    <w:rsid w:val="00B9085B"/>
    <w:rsid w:val="00B917F9"/>
    <w:rsid w:val="00B91D12"/>
    <w:rsid w:val="00B93785"/>
    <w:rsid w:val="00B95D57"/>
    <w:rsid w:val="00BA0B2D"/>
    <w:rsid w:val="00BA28A9"/>
    <w:rsid w:val="00BA4505"/>
    <w:rsid w:val="00BA4925"/>
    <w:rsid w:val="00BA4E05"/>
    <w:rsid w:val="00BA5461"/>
    <w:rsid w:val="00BA696D"/>
    <w:rsid w:val="00BA6FAB"/>
    <w:rsid w:val="00BA74C4"/>
    <w:rsid w:val="00BB1B4E"/>
    <w:rsid w:val="00BB1DB3"/>
    <w:rsid w:val="00BB214E"/>
    <w:rsid w:val="00BB2A39"/>
    <w:rsid w:val="00BB3611"/>
    <w:rsid w:val="00BB3759"/>
    <w:rsid w:val="00BB3C59"/>
    <w:rsid w:val="00BB3F9E"/>
    <w:rsid w:val="00BB424B"/>
    <w:rsid w:val="00BB45D2"/>
    <w:rsid w:val="00BB482E"/>
    <w:rsid w:val="00BB4C58"/>
    <w:rsid w:val="00BB679A"/>
    <w:rsid w:val="00BB69A0"/>
    <w:rsid w:val="00BB6D70"/>
    <w:rsid w:val="00BB7F98"/>
    <w:rsid w:val="00BC0B09"/>
    <w:rsid w:val="00BC142B"/>
    <w:rsid w:val="00BC1FB4"/>
    <w:rsid w:val="00BC2121"/>
    <w:rsid w:val="00BC3B33"/>
    <w:rsid w:val="00BC57B8"/>
    <w:rsid w:val="00BC5F55"/>
    <w:rsid w:val="00BC641A"/>
    <w:rsid w:val="00BD06CE"/>
    <w:rsid w:val="00BD28DC"/>
    <w:rsid w:val="00BD2DF4"/>
    <w:rsid w:val="00BD401C"/>
    <w:rsid w:val="00BD56D3"/>
    <w:rsid w:val="00BD7155"/>
    <w:rsid w:val="00BD73BF"/>
    <w:rsid w:val="00BD7469"/>
    <w:rsid w:val="00BE26D6"/>
    <w:rsid w:val="00BE5DCA"/>
    <w:rsid w:val="00BF0BCE"/>
    <w:rsid w:val="00BF1132"/>
    <w:rsid w:val="00BF130F"/>
    <w:rsid w:val="00BF1390"/>
    <w:rsid w:val="00BF1C92"/>
    <w:rsid w:val="00BF1FCB"/>
    <w:rsid w:val="00BF21EF"/>
    <w:rsid w:val="00BF35EE"/>
    <w:rsid w:val="00BF3D8E"/>
    <w:rsid w:val="00BF4F8D"/>
    <w:rsid w:val="00BF6FCA"/>
    <w:rsid w:val="00BF7E78"/>
    <w:rsid w:val="00C00987"/>
    <w:rsid w:val="00C01984"/>
    <w:rsid w:val="00C01D37"/>
    <w:rsid w:val="00C032C0"/>
    <w:rsid w:val="00C051A9"/>
    <w:rsid w:val="00C05BA5"/>
    <w:rsid w:val="00C05D57"/>
    <w:rsid w:val="00C077DA"/>
    <w:rsid w:val="00C07E85"/>
    <w:rsid w:val="00C1007D"/>
    <w:rsid w:val="00C10E96"/>
    <w:rsid w:val="00C11280"/>
    <w:rsid w:val="00C11790"/>
    <w:rsid w:val="00C11E15"/>
    <w:rsid w:val="00C12C00"/>
    <w:rsid w:val="00C14808"/>
    <w:rsid w:val="00C158F3"/>
    <w:rsid w:val="00C175A2"/>
    <w:rsid w:val="00C17B03"/>
    <w:rsid w:val="00C208E6"/>
    <w:rsid w:val="00C2278C"/>
    <w:rsid w:val="00C230EF"/>
    <w:rsid w:val="00C23427"/>
    <w:rsid w:val="00C239FF"/>
    <w:rsid w:val="00C23B42"/>
    <w:rsid w:val="00C24C9D"/>
    <w:rsid w:val="00C2549D"/>
    <w:rsid w:val="00C25770"/>
    <w:rsid w:val="00C2589D"/>
    <w:rsid w:val="00C26F5D"/>
    <w:rsid w:val="00C30337"/>
    <w:rsid w:val="00C32277"/>
    <w:rsid w:val="00C33721"/>
    <w:rsid w:val="00C33951"/>
    <w:rsid w:val="00C3397E"/>
    <w:rsid w:val="00C340A0"/>
    <w:rsid w:val="00C36251"/>
    <w:rsid w:val="00C36576"/>
    <w:rsid w:val="00C36888"/>
    <w:rsid w:val="00C377A0"/>
    <w:rsid w:val="00C427CD"/>
    <w:rsid w:val="00C43691"/>
    <w:rsid w:val="00C440C9"/>
    <w:rsid w:val="00C44854"/>
    <w:rsid w:val="00C448D6"/>
    <w:rsid w:val="00C44E5C"/>
    <w:rsid w:val="00C44E9B"/>
    <w:rsid w:val="00C44F1E"/>
    <w:rsid w:val="00C457E7"/>
    <w:rsid w:val="00C4583E"/>
    <w:rsid w:val="00C45963"/>
    <w:rsid w:val="00C45E48"/>
    <w:rsid w:val="00C467DB"/>
    <w:rsid w:val="00C468FE"/>
    <w:rsid w:val="00C47F61"/>
    <w:rsid w:val="00C510E6"/>
    <w:rsid w:val="00C51A8F"/>
    <w:rsid w:val="00C54D42"/>
    <w:rsid w:val="00C560E6"/>
    <w:rsid w:val="00C56CF6"/>
    <w:rsid w:val="00C571B8"/>
    <w:rsid w:val="00C60BD0"/>
    <w:rsid w:val="00C61335"/>
    <w:rsid w:val="00C6134C"/>
    <w:rsid w:val="00C61D5A"/>
    <w:rsid w:val="00C62D52"/>
    <w:rsid w:val="00C62F3B"/>
    <w:rsid w:val="00C631DC"/>
    <w:rsid w:val="00C63A4C"/>
    <w:rsid w:val="00C66F09"/>
    <w:rsid w:val="00C66F62"/>
    <w:rsid w:val="00C70D26"/>
    <w:rsid w:val="00C721D2"/>
    <w:rsid w:val="00C72E30"/>
    <w:rsid w:val="00C73704"/>
    <w:rsid w:val="00C73718"/>
    <w:rsid w:val="00C73B03"/>
    <w:rsid w:val="00C73CE4"/>
    <w:rsid w:val="00C73D9A"/>
    <w:rsid w:val="00C74EEF"/>
    <w:rsid w:val="00C759D0"/>
    <w:rsid w:val="00C766DE"/>
    <w:rsid w:val="00C77436"/>
    <w:rsid w:val="00C77675"/>
    <w:rsid w:val="00C7767D"/>
    <w:rsid w:val="00C776B8"/>
    <w:rsid w:val="00C8022D"/>
    <w:rsid w:val="00C833C8"/>
    <w:rsid w:val="00C83C98"/>
    <w:rsid w:val="00C84185"/>
    <w:rsid w:val="00C842DD"/>
    <w:rsid w:val="00C85600"/>
    <w:rsid w:val="00C85A72"/>
    <w:rsid w:val="00C85EA8"/>
    <w:rsid w:val="00C86BA8"/>
    <w:rsid w:val="00C8752B"/>
    <w:rsid w:val="00C90030"/>
    <w:rsid w:val="00C90362"/>
    <w:rsid w:val="00C9042E"/>
    <w:rsid w:val="00C91CF7"/>
    <w:rsid w:val="00C91D44"/>
    <w:rsid w:val="00C9469F"/>
    <w:rsid w:val="00C95C02"/>
    <w:rsid w:val="00C9768D"/>
    <w:rsid w:val="00C978BC"/>
    <w:rsid w:val="00CA009D"/>
    <w:rsid w:val="00CA0C8A"/>
    <w:rsid w:val="00CA10E5"/>
    <w:rsid w:val="00CA12C1"/>
    <w:rsid w:val="00CA13A3"/>
    <w:rsid w:val="00CA180A"/>
    <w:rsid w:val="00CA2650"/>
    <w:rsid w:val="00CA2B3F"/>
    <w:rsid w:val="00CA2C39"/>
    <w:rsid w:val="00CA2F23"/>
    <w:rsid w:val="00CA32AF"/>
    <w:rsid w:val="00CA4BEF"/>
    <w:rsid w:val="00CA4DED"/>
    <w:rsid w:val="00CA5618"/>
    <w:rsid w:val="00CA586E"/>
    <w:rsid w:val="00CA5D4E"/>
    <w:rsid w:val="00CA75C4"/>
    <w:rsid w:val="00CB01A6"/>
    <w:rsid w:val="00CB2454"/>
    <w:rsid w:val="00CB2B16"/>
    <w:rsid w:val="00CB38B4"/>
    <w:rsid w:val="00CB3B07"/>
    <w:rsid w:val="00CB547B"/>
    <w:rsid w:val="00CB7274"/>
    <w:rsid w:val="00CC1867"/>
    <w:rsid w:val="00CC20A3"/>
    <w:rsid w:val="00CC5E28"/>
    <w:rsid w:val="00CC60D3"/>
    <w:rsid w:val="00CC6646"/>
    <w:rsid w:val="00CC680B"/>
    <w:rsid w:val="00CC7156"/>
    <w:rsid w:val="00CC7231"/>
    <w:rsid w:val="00CD11EF"/>
    <w:rsid w:val="00CD1328"/>
    <w:rsid w:val="00CD1DAF"/>
    <w:rsid w:val="00CD233A"/>
    <w:rsid w:val="00CD31BE"/>
    <w:rsid w:val="00CD3643"/>
    <w:rsid w:val="00CD3772"/>
    <w:rsid w:val="00CD3F99"/>
    <w:rsid w:val="00CD451F"/>
    <w:rsid w:val="00CD564C"/>
    <w:rsid w:val="00CD5AEC"/>
    <w:rsid w:val="00CD69DF"/>
    <w:rsid w:val="00CD7D9D"/>
    <w:rsid w:val="00CE3D73"/>
    <w:rsid w:val="00CE3E00"/>
    <w:rsid w:val="00CE3E46"/>
    <w:rsid w:val="00CE573D"/>
    <w:rsid w:val="00CE6E4A"/>
    <w:rsid w:val="00CE7094"/>
    <w:rsid w:val="00CE70CD"/>
    <w:rsid w:val="00CE79D0"/>
    <w:rsid w:val="00CF03FF"/>
    <w:rsid w:val="00CF044D"/>
    <w:rsid w:val="00CF0E80"/>
    <w:rsid w:val="00CF113D"/>
    <w:rsid w:val="00CF1768"/>
    <w:rsid w:val="00CF1D4A"/>
    <w:rsid w:val="00CF1EF9"/>
    <w:rsid w:val="00CF28AF"/>
    <w:rsid w:val="00CF3597"/>
    <w:rsid w:val="00CF3A55"/>
    <w:rsid w:val="00CF4A58"/>
    <w:rsid w:val="00D00002"/>
    <w:rsid w:val="00D011C7"/>
    <w:rsid w:val="00D01F45"/>
    <w:rsid w:val="00D021FD"/>
    <w:rsid w:val="00D02CCD"/>
    <w:rsid w:val="00D03C48"/>
    <w:rsid w:val="00D03DAC"/>
    <w:rsid w:val="00D041D1"/>
    <w:rsid w:val="00D05168"/>
    <w:rsid w:val="00D05857"/>
    <w:rsid w:val="00D06EC5"/>
    <w:rsid w:val="00D07814"/>
    <w:rsid w:val="00D1116B"/>
    <w:rsid w:val="00D11F22"/>
    <w:rsid w:val="00D13D0F"/>
    <w:rsid w:val="00D14488"/>
    <w:rsid w:val="00D15977"/>
    <w:rsid w:val="00D15F2F"/>
    <w:rsid w:val="00D16A3A"/>
    <w:rsid w:val="00D177E4"/>
    <w:rsid w:val="00D17A72"/>
    <w:rsid w:val="00D20D15"/>
    <w:rsid w:val="00D21075"/>
    <w:rsid w:val="00D21BEA"/>
    <w:rsid w:val="00D235E9"/>
    <w:rsid w:val="00D24561"/>
    <w:rsid w:val="00D253E6"/>
    <w:rsid w:val="00D254C7"/>
    <w:rsid w:val="00D265B0"/>
    <w:rsid w:val="00D273FF"/>
    <w:rsid w:val="00D27511"/>
    <w:rsid w:val="00D3271D"/>
    <w:rsid w:val="00D329CC"/>
    <w:rsid w:val="00D32BEE"/>
    <w:rsid w:val="00D33775"/>
    <w:rsid w:val="00D34133"/>
    <w:rsid w:val="00D351CB"/>
    <w:rsid w:val="00D3645E"/>
    <w:rsid w:val="00D36C73"/>
    <w:rsid w:val="00D37DEB"/>
    <w:rsid w:val="00D42D51"/>
    <w:rsid w:val="00D42E19"/>
    <w:rsid w:val="00D4429B"/>
    <w:rsid w:val="00D448B6"/>
    <w:rsid w:val="00D44B1E"/>
    <w:rsid w:val="00D45A7A"/>
    <w:rsid w:val="00D47FF3"/>
    <w:rsid w:val="00D514C4"/>
    <w:rsid w:val="00D51C66"/>
    <w:rsid w:val="00D52263"/>
    <w:rsid w:val="00D53058"/>
    <w:rsid w:val="00D53BAC"/>
    <w:rsid w:val="00D5499C"/>
    <w:rsid w:val="00D559EE"/>
    <w:rsid w:val="00D565DA"/>
    <w:rsid w:val="00D57C3E"/>
    <w:rsid w:val="00D57E8E"/>
    <w:rsid w:val="00D60FF0"/>
    <w:rsid w:val="00D6205D"/>
    <w:rsid w:val="00D62B13"/>
    <w:rsid w:val="00D63B13"/>
    <w:rsid w:val="00D6639A"/>
    <w:rsid w:val="00D67168"/>
    <w:rsid w:val="00D7051A"/>
    <w:rsid w:val="00D71FB0"/>
    <w:rsid w:val="00D73754"/>
    <w:rsid w:val="00D73A5E"/>
    <w:rsid w:val="00D740E7"/>
    <w:rsid w:val="00D74B61"/>
    <w:rsid w:val="00D76A60"/>
    <w:rsid w:val="00D774BB"/>
    <w:rsid w:val="00D77A38"/>
    <w:rsid w:val="00D77A77"/>
    <w:rsid w:val="00D80BE4"/>
    <w:rsid w:val="00D811EC"/>
    <w:rsid w:val="00D81D9B"/>
    <w:rsid w:val="00D81F19"/>
    <w:rsid w:val="00D83730"/>
    <w:rsid w:val="00D83D80"/>
    <w:rsid w:val="00D84F5E"/>
    <w:rsid w:val="00D86819"/>
    <w:rsid w:val="00D86D13"/>
    <w:rsid w:val="00D87427"/>
    <w:rsid w:val="00D87DB9"/>
    <w:rsid w:val="00D90E92"/>
    <w:rsid w:val="00D92C1A"/>
    <w:rsid w:val="00D934D0"/>
    <w:rsid w:val="00D9387C"/>
    <w:rsid w:val="00D938CB"/>
    <w:rsid w:val="00D94374"/>
    <w:rsid w:val="00D950E3"/>
    <w:rsid w:val="00D965C1"/>
    <w:rsid w:val="00D96610"/>
    <w:rsid w:val="00D978B5"/>
    <w:rsid w:val="00D97DC1"/>
    <w:rsid w:val="00DA1CA9"/>
    <w:rsid w:val="00DA24EA"/>
    <w:rsid w:val="00DA27B0"/>
    <w:rsid w:val="00DA4187"/>
    <w:rsid w:val="00DA65F1"/>
    <w:rsid w:val="00DB096C"/>
    <w:rsid w:val="00DB1CA3"/>
    <w:rsid w:val="00DB3642"/>
    <w:rsid w:val="00DB44A2"/>
    <w:rsid w:val="00DB4B4A"/>
    <w:rsid w:val="00DB52EB"/>
    <w:rsid w:val="00DB5E65"/>
    <w:rsid w:val="00DB6E7C"/>
    <w:rsid w:val="00DC2CAD"/>
    <w:rsid w:val="00DC3259"/>
    <w:rsid w:val="00DC32F7"/>
    <w:rsid w:val="00DC34D1"/>
    <w:rsid w:val="00DC3950"/>
    <w:rsid w:val="00DC3F20"/>
    <w:rsid w:val="00DC3F7D"/>
    <w:rsid w:val="00DC5470"/>
    <w:rsid w:val="00DC7714"/>
    <w:rsid w:val="00DD0891"/>
    <w:rsid w:val="00DD2761"/>
    <w:rsid w:val="00DD33F2"/>
    <w:rsid w:val="00DD3573"/>
    <w:rsid w:val="00DD3741"/>
    <w:rsid w:val="00DD48EB"/>
    <w:rsid w:val="00DD6675"/>
    <w:rsid w:val="00DD6AC4"/>
    <w:rsid w:val="00DE0336"/>
    <w:rsid w:val="00DE0F7C"/>
    <w:rsid w:val="00DE10D9"/>
    <w:rsid w:val="00DE1E9E"/>
    <w:rsid w:val="00DE244A"/>
    <w:rsid w:val="00DE72B0"/>
    <w:rsid w:val="00DE7E34"/>
    <w:rsid w:val="00DF0332"/>
    <w:rsid w:val="00DF0AA8"/>
    <w:rsid w:val="00DF108D"/>
    <w:rsid w:val="00DF1972"/>
    <w:rsid w:val="00DF2B5E"/>
    <w:rsid w:val="00DF4641"/>
    <w:rsid w:val="00DF5116"/>
    <w:rsid w:val="00DF5CFC"/>
    <w:rsid w:val="00DF6003"/>
    <w:rsid w:val="00DF7BD2"/>
    <w:rsid w:val="00E00DCE"/>
    <w:rsid w:val="00E02244"/>
    <w:rsid w:val="00E02405"/>
    <w:rsid w:val="00E03D34"/>
    <w:rsid w:val="00E03D96"/>
    <w:rsid w:val="00E047CC"/>
    <w:rsid w:val="00E063C5"/>
    <w:rsid w:val="00E06FFC"/>
    <w:rsid w:val="00E07775"/>
    <w:rsid w:val="00E1037A"/>
    <w:rsid w:val="00E10A91"/>
    <w:rsid w:val="00E115B7"/>
    <w:rsid w:val="00E11C5E"/>
    <w:rsid w:val="00E12BCC"/>
    <w:rsid w:val="00E13AB0"/>
    <w:rsid w:val="00E15C1F"/>
    <w:rsid w:val="00E15CDF"/>
    <w:rsid w:val="00E16085"/>
    <w:rsid w:val="00E1778C"/>
    <w:rsid w:val="00E21133"/>
    <w:rsid w:val="00E21379"/>
    <w:rsid w:val="00E2216D"/>
    <w:rsid w:val="00E228A8"/>
    <w:rsid w:val="00E22C0A"/>
    <w:rsid w:val="00E23E63"/>
    <w:rsid w:val="00E24300"/>
    <w:rsid w:val="00E24DCF"/>
    <w:rsid w:val="00E25996"/>
    <w:rsid w:val="00E26D66"/>
    <w:rsid w:val="00E2730B"/>
    <w:rsid w:val="00E27E20"/>
    <w:rsid w:val="00E31596"/>
    <w:rsid w:val="00E326A7"/>
    <w:rsid w:val="00E3270C"/>
    <w:rsid w:val="00E32C0C"/>
    <w:rsid w:val="00E32CE7"/>
    <w:rsid w:val="00E32E5A"/>
    <w:rsid w:val="00E337E5"/>
    <w:rsid w:val="00E34909"/>
    <w:rsid w:val="00E354CF"/>
    <w:rsid w:val="00E364B5"/>
    <w:rsid w:val="00E370BC"/>
    <w:rsid w:val="00E37A54"/>
    <w:rsid w:val="00E37E8A"/>
    <w:rsid w:val="00E37FE4"/>
    <w:rsid w:val="00E41527"/>
    <w:rsid w:val="00E41EF3"/>
    <w:rsid w:val="00E43B66"/>
    <w:rsid w:val="00E4402C"/>
    <w:rsid w:val="00E46086"/>
    <w:rsid w:val="00E46C61"/>
    <w:rsid w:val="00E46D8D"/>
    <w:rsid w:val="00E47F01"/>
    <w:rsid w:val="00E50BAF"/>
    <w:rsid w:val="00E5131C"/>
    <w:rsid w:val="00E52E0F"/>
    <w:rsid w:val="00E52E32"/>
    <w:rsid w:val="00E53678"/>
    <w:rsid w:val="00E54683"/>
    <w:rsid w:val="00E55029"/>
    <w:rsid w:val="00E55528"/>
    <w:rsid w:val="00E55A91"/>
    <w:rsid w:val="00E56C8A"/>
    <w:rsid w:val="00E579C6"/>
    <w:rsid w:val="00E60188"/>
    <w:rsid w:val="00E61B62"/>
    <w:rsid w:val="00E6235B"/>
    <w:rsid w:val="00E62368"/>
    <w:rsid w:val="00E6280A"/>
    <w:rsid w:val="00E6283D"/>
    <w:rsid w:val="00E63049"/>
    <w:rsid w:val="00E64A42"/>
    <w:rsid w:val="00E64EF6"/>
    <w:rsid w:val="00E660F6"/>
    <w:rsid w:val="00E66A00"/>
    <w:rsid w:val="00E70A62"/>
    <w:rsid w:val="00E71133"/>
    <w:rsid w:val="00E71C3F"/>
    <w:rsid w:val="00E71C53"/>
    <w:rsid w:val="00E71FC2"/>
    <w:rsid w:val="00E72771"/>
    <w:rsid w:val="00E72A7F"/>
    <w:rsid w:val="00E73B2B"/>
    <w:rsid w:val="00E7590A"/>
    <w:rsid w:val="00E76431"/>
    <w:rsid w:val="00E76959"/>
    <w:rsid w:val="00E76BE7"/>
    <w:rsid w:val="00E772DB"/>
    <w:rsid w:val="00E77C38"/>
    <w:rsid w:val="00E77FEF"/>
    <w:rsid w:val="00E808E1"/>
    <w:rsid w:val="00E809B4"/>
    <w:rsid w:val="00E80D34"/>
    <w:rsid w:val="00E81EAE"/>
    <w:rsid w:val="00E83134"/>
    <w:rsid w:val="00E8411C"/>
    <w:rsid w:val="00E85094"/>
    <w:rsid w:val="00E8537C"/>
    <w:rsid w:val="00E85634"/>
    <w:rsid w:val="00E87AC2"/>
    <w:rsid w:val="00E90B74"/>
    <w:rsid w:val="00E91094"/>
    <w:rsid w:val="00E9286F"/>
    <w:rsid w:val="00E9340D"/>
    <w:rsid w:val="00E9367C"/>
    <w:rsid w:val="00E93CE3"/>
    <w:rsid w:val="00E9595C"/>
    <w:rsid w:val="00E96339"/>
    <w:rsid w:val="00E97C75"/>
    <w:rsid w:val="00EA05B0"/>
    <w:rsid w:val="00EA15AD"/>
    <w:rsid w:val="00EA2598"/>
    <w:rsid w:val="00EA2F3A"/>
    <w:rsid w:val="00EA44A3"/>
    <w:rsid w:val="00EA4B56"/>
    <w:rsid w:val="00EA540E"/>
    <w:rsid w:val="00EA6547"/>
    <w:rsid w:val="00EA67BB"/>
    <w:rsid w:val="00EA7CCD"/>
    <w:rsid w:val="00EA7E10"/>
    <w:rsid w:val="00EB0D4D"/>
    <w:rsid w:val="00EB3F0D"/>
    <w:rsid w:val="00EB4C58"/>
    <w:rsid w:val="00EB5C47"/>
    <w:rsid w:val="00EC13D5"/>
    <w:rsid w:val="00EC31AC"/>
    <w:rsid w:val="00EC32F1"/>
    <w:rsid w:val="00EC38B7"/>
    <w:rsid w:val="00EC44E0"/>
    <w:rsid w:val="00EC65C8"/>
    <w:rsid w:val="00EC70E2"/>
    <w:rsid w:val="00EC7E1B"/>
    <w:rsid w:val="00ED188D"/>
    <w:rsid w:val="00ED2BD8"/>
    <w:rsid w:val="00ED3B2B"/>
    <w:rsid w:val="00ED4D83"/>
    <w:rsid w:val="00ED6770"/>
    <w:rsid w:val="00ED70E5"/>
    <w:rsid w:val="00ED76FB"/>
    <w:rsid w:val="00EE00C9"/>
    <w:rsid w:val="00EE0C36"/>
    <w:rsid w:val="00EE14B0"/>
    <w:rsid w:val="00EE14BE"/>
    <w:rsid w:val="00EE33B6"/>
    <w:rsid w:val="00EE5146"/>
    <w:rsid w:val="00EE61B3"/>
    <w:rsid w:val="00EE6420"/>
    <w:rsid w:val="00EE6F1D"/>
    <w:rsid w:val="00EE789F"/>
    <w:rsid w:val="00EF001D"/>
    <w:rsid w:val="00EF149A"/>
    <w:rsid w:val="00EF175A"/>
    <w:rsid w:val="00EF5BDF"/>
    <w:rsid w:val="00EF618E"/>
    <w:rsid w:val="00EF6537"/>
    <w:rsid w:val="00EF6C75"/>
    <w:rsid w:val="00F006A1"/>
    <w:rsid w:val="00F016EA"/>
    <w:rsid w:val="00F02514"/>
    <w:rsid w:val="00F027AB"/>
    <w:rsid w:val="00F02990"/>
    <w:rsid w:val="00F02A76"/>
    <w:rsid w:val="00F046A6"/>
    <w:rsid w:val="00F104EE"/>
    <w:rsid w:val="00F11586"/>
    <w:rsid w:val="00F11647"/>
    <w:rsid w:val="00F12488"/>
    <w:rsid w:val="00F12709"/>
    <w:rsid w:val="00F12A4E"/>
    <w:rsid w:val="00F1539F"/>
    <w:rsid w:val="00F15606"/>
    <w:rsid w:val="00F15CA7"/>
    <w:rsid w:val="00F17C6F"/>
    <w:rsid w:val="00F217D5"/>
    <w:rsid w:val="00F224B7"/>
    <w:rsid w:val="00F22B45"/>
    <w:rsid w:val="00F239AE"/>
    <w:rsid w:val="00F23D75"/>
    <w:rsid w:val="00F243C4"/>
    <w:rsid w:val="00F2630A"/>
    <w:rsid w:val="00F26941"/>
    <w:rsid w:val="00F300B2"/>
    <w:rsid w:val="00F30346"/>
    <w:rsid w:val="00F30395"/>
    <w:rsid w:val="00F32A35"/>
    <w:rsid w:val="00F33A8C"/>
    <w:rsid w:val="00F33CE4"/>
    <w:rsid w:val="00F34C72"/>
    <w:rsid w:val="00F368FC"/>
    <w:rsid w:val="00F3728D"/>
    <w:rsid w:val="00F37386"/>
    <w:rsid w:val="00F37432"/>
    <w:rsid w:val="00F37BEB"/>
    <w:rsid w:val="00F411AA"/>
    <w:rsid w:val="00F41D25"/>
    <w:rsid w:val="00F427BB"/>
    <w:rsid w:val="00F42AA6"/>
    <w:rsid w:val="00F444C9"/>
    <w:rsid w:val="00F458EC"/>
    <w:rsid w:val="00F45A08"/>
    <w:rsid w:val="00F4658E"/>
    <w:rsid w:val="00F46A77"/>
    <w:rsid w:val="00F4727E"/>
    <w:rsid w:val="00F50504"/>
    <w:rsid w:val="00F50A51"/>
    <w:rsid w:val="00F50CAD"/>
    <w:rsid w:val="00F50CC1"/>
    <w:rsid w:val="00F524C3"/>
    <w:rsid w:val="00F529F9"/>
    <w:rsid w:val="00F53D99"/>
    <w:rsid w:val="00F54DA2"/>
    <w:rsid w:val="00F55108"/>
    <w:rsid w:val="00F5598B"/>
    <w:rsid w:val="00F5709A"/>
    <w:rsid w:val="00F5734A"/>
    <w:rsid w:val="00F600E9"/>
    <w:rsid w:val="00F60EC0"/>
    <w:rsid w:val="00F626F2"/>
    <w:rsid w:val="00F63A1A"/>
    <w:rsid w:val="00F649DB"/>
    <w:rsid w:val="00F64C12"/>
    <w:rsid w:val="00F6527B"/>
    <w:rsid w:val="00F702DE"/>
    <w:rsid w:val="00F706AB"/>
    <w:rsid w:val="00F716AB"/>
    <w:rsid w:val="00F71C47"/>
    <w:rsid w:val="00F71E29"/>
    <w:rsid w:val="00F71EF8"/>
    <w:rsid w:val="00F7219C"/>
    <w:rsid w:val="00F73CB5"/>
    <w:rsid w:val="00F745E5"/>
    <w:rsid w:val="00F749AD"/>
    <w:rsid w:val="00F766CD"/>
    <w:rsid w:val="00F768AF"/>
    <w:rsid w:val="00F76D2F"/>
    <w:rsid w:val="00F7728E"/>
    <w:rsid w:val="00F90297"/>
    <w:rsid w:val="00F91F4B"/>
    <w:rsid w:val="00F9261B"/>
    <w:rsid w:val="00F941AA"/>
    <w:rsid w:val="00F94260"/>
    <w:rsid w:val="00F9734E"/>
    <w:rsid w:val="00FA02F8"/>
    <w:rsid w:val="00FA11FE"/>
    <w:rsid w:val="00FA14E4"/>
    <w:rsid w:val="00FA2308"/>
    <w:rsid w:val="00FA5F89"/>
    <w:rsid w:val="00FB16EE"/>
    <w:rsid w:val="00FB3621"/>
    <w:rsid w:val="00FB392E"/>
    <w:rsid w:val="00FB4B15"/>
    <w:rsid w:val="00FB4EE4"/>
    <w:rsid w:val="00FB5B72"/>
    <w:rsid w:val="00FB5DDD"/>
    <w:rsid w:val="00FB6BB9"/>
    <w:rsid w:val="00FB767F"/>
    <w:rsid w:val="00FB7D2C"/>
    <w:rsid w:val="00FC0081"/>
    <w:rsid w:val="00FC0335"/>
    <w:rsid w:val="00FC045D"/>
    <w:rsid w:val="00FC0471"/>
    <w:rsid w:val="00FC112B"/>
    <w:rsid w:val="00FC1356"/>
    <w:rsid w:val="00FC201F"/>
    <w:rsid w:val="00FC3B6B"/>
    <w:rsid w:val="00FC675D"/>
    <w:rsid w:val="00FC70C7"/>
    <w:rsid w:val="00FD037F"/>
    <w:rsid w:val="00FD1F89"/>
    <w:rsid w:val="00FD257B"/>
    <w:rsid w:val="00FD276D"/>
    <w:rsid w:val="00FD3FED"/>
    <w:rsid w:val="00FD417F"/>
    <w:rsid w:val="00FD42D5"/>
    <w:rsid w:val="00FD44C3"/>
    <w:rsid w:val="00FD60B6"/>
    <w:rsid w:val="00FD6378"/>
    <w:rsid w:val="00FD6EB4"/>
    <w:rsid w:val="00FE011A"/>
    <w:rsid w:val="00FE0DD7"/>
    <w:rsid w:val="00FE211C"/>
    <w:rsid w:val="00FE24CA"/>
    <w:rsid w:val="00FE2E32"/>
    <w:rsid w:val="00FE34CE"/>
    <w:rsid w:val="00FE4F6B"/>
    <w:rsid w:val="00FF07F8"/>
    <w:rsid w:val="00FF0FC8"/>
    <w:rsid w:val="00FF1E17"/>
    <w:rsid w:val="00FF47ED"/>
    <w:rsid w:val="00FF5635"/>
    <w:rsid w:val="00FF5847"/>
    <w:rsid w:val="00FF6570"/>
    <w:rsid w:val="00FF6CE1"/>
    <w:rsid w:val="00FF79CD"/>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251D8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w:eastAsia="Arial" w:hAnsi="Courier" w:cs="Times New Roman"/>
        <w:lang w:val="en-AU" w:eastAsia="en-AU" w:bidi="ar-SA"/>
      </w:rPr>
    </w:rPrDefault>
    <w:pPrDefault/>
  </w:docDefaults>
  <w:latentStyles w:defLockedState="0" w:defUIPriority="99" w:defSemiHidden="1" w:defUnhideWhenUsed="0" w:defQFormat="0" w:count="267">
    <w:lsdException w:name="Normal" w:semiHidden="0" w:uiPriority="0" w:qFormat="1"/>
    <w:lsdException w:name="heading 1" w:semiHidden="0" w:uiPriority="4" w:qFormat="1"/>
    <w:lsdException w:name="heading 2" w:semiHidden="0" w:uiPriority="4" w:qFormat="1"/>
    <w:lsdException w:name="heading 3" w:semiHidden="0" w:uiPriority="4" w:qFormat="1"/>
    <w:lsdException w:name="heading 4" w:semiHidden="0" w:uiPriority="4" w:qFormat="1"/>
    <w:lsdException w:name="heading 5" w:semiHidden="0" w:uiPriority="4" w:qFormat="1"/>
    <w:lsdException w:name="heading 6" w:semiHidden="0" w:uiPriority="4" w:qFormat="1"/>
    <w:lsdException w:name="heading 7" w:semiHidden="0" w:uiPriority="4" w:qFormat="1"/>
    <w:lsdException w:name="heading 8" w:semiHidden="0" w:uiPriority="4" w:qFormat="1"/>
    <w:lsdException w:name="heading 9" w:semiHidden="0" w:uiPriority="4"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semiHidden="0" w:uiPriority="49"/>
    <w:lsdException w:name="footer" w:semiHidden="0"/>
    <w:lsdException w:name="caption" w:semiHidden="0" w:uiPriority="14" w:qFormat="1"/>
    <w:lsdException w:name="page number" w:uiPriority="49"/>
    <w:lsdException w:name="endnote text" w:uiPriority="44"/>
    <w:lsdException w:name="Title" w:semiHidden="0" w:uiPriority="36" w:qFormat="1"/>
    <w:lsdException w:name="Default Paragraph Font" w:uiPriority="1" w:unhideWhenUsed="1"/>
    <w:lsdException w:name="Body Text" w:semiHidden="0" w:uiPriority="0" w:qFormat="1"/>
    <w:lsdException w:name="Subtitle" w:semiHidden="0" w:uiPriority="37" w:qFormat="1"/>
    <w:lsdException w:name="Date" w:uiPriority="38"/>
    <w:lsdException w:name="Strong" w:semiHidden="0" w:qFormat="1"/>
    <w:lsdException w:name="Emphasis" w:semiHidden="0"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qFormat="1"/>
    <w:lsdException w:name="Medium Grid 2" w:qFormat="1"/>
    <w:lsdException w:name="Medium Grid 3" w:semiHidden="0" w:uiPriority="60"/>
    <w:lsdException w:name="Dark List" w:semiHidden="0" w:uiPriority="61"/>
    <w:lsdException w:name="Colorful Shading" w:semiHidden="0" w:uiPriority="62"/>
    <w:lsdException w:name="Colorful List" w:semiHidden="0" w:uiPriority="63"/>
    <w:lsdException w:name="Colorful Grid" w:semiHidden="0" w:uiPriority="64"/>
    <w:lsdException w:name="Light Shading Accent 1" w:semiHidden="0" w:uiPriority="60"/>
    <w:lsdException w:name="Light List Accent 1" w:semiHidden="0" w:uiPriority="66"/>
    <w:lsdException w:name="Light Grid Accent 1" w:semiHidden="0" w:uiPriority="67"/>
    <w:lsdException w:name="Medium Shading 1 Accent 1" w:semiHidden="0" w:uiPriority="68"/>
    <w:lsdException w:name="Medium Shading 2 Accent 1" w:semiHidden="0" w:uiPriority="69"/>
    <w:lsdException w:name="Medium List 1 Accent 1" w:semiHidden="0" w:uiPriority="70"/>
    <w:lsdException w:name="Revision" w:semiHidden="0" w:uiPriority="71"/>
    <w:lsdException w:name="List Paragraph" w:semiHidden="0" w:uiPriority="34" w:qFormat="1"/>
    <w:lsdException w:name="Quote" w:semiHidden="0" w:uiPriority="73" w:qFormat="1"/>
    <w:lsdException w:name="Intense Quote" w:semiHidden="0" w:uiPriority="60" w:qFormat="1"/>
    <w:lsdException w:name="Medium List 2 Accent 1" w:semiHidden="0" w:uiPriority="66"/>
    <w:lsdException w:name="Medium Grid 1 Accent 1" w:semiHidden="0" w:uiPriority="62"/>
    <w:lsdException w:name="Medium Grid 2 Accent 1" w:semiHidden="0" w:uiPriority="63"/>
    <w:lsdException w:name="Medium Grid 3 Accent 1" w:semiHidden="0" w:uiPriority="64"/>
    <w:lsdException w:name="Dark List Accent 1" w:semiHidden="0" w:uiPriority="65"/>
    <w:lsdException w:name="Colorful List Accent 1" w:qFormat="1"/>
    <w:lsdException w:name="Colorful Grid Accent 1" w:uiPriority="9" w:qFormat="1"/>
    <w:lsdException w:name="Light Shading Accent 2" w:qFormat="1"/>
    <w:lsdException w:name="Light List Accent 2" w:semiHidden="0" w:uiPriority="66"/>
    <w:lsdException w:name="Light Grid Accent 2" w:semiHidden="0" w:uiPriority="67"/>
    <w:lsdException w:name="Medium Shading 1 Accent 2" w:semiHidden="0" w:uiPriority="68"/>
    <w:lsdException w:name="Medium Shading 2 Accent 2" w:semiHidden="0" w:uiPriority="69"/>
    <w:lsdException w:name="Medium List 1 Accent 2" w:semiHidden="0" w:uiPriority="70"/>
    <w:lsdException w:name="Medium List 2 Accent 2" w:semiHidden="0" w:uiPriority="71"/>
    <w:lsdException w:name="Medium Grid 1 Accent 2" w:semiHidden="0" w:uiPriority="72"/>
    <w:lsdException w:name="Medium Grid 2 Accent 2" w:semiHidden="0" w:uiPriority="73"/>
    <w:lsdException w:name="Medium Grid 3 Accent 2" w:semiHidden="0" w:uiPriority="60"/>
    <w:lsdException w:name="Dark List Accent 2" w:semiHidden="0" w:uiPriority="61"/>
    <w:lsdException w:name="Colorful Shading Accent 2" w:semiHidden="0" w:uiPriority="62"/>
    <w:lsdException w:name="Colorful List Accent 2" w:semiHidden="0" w:uiPriority="63"/>
    <w:lsdException w:name="Colorful Grid Accent 2" w:semiHidden="0" w:uiPriority="64"/>
    <w:lsdException w:name="Light Shading Accent 3" w:semiHidden="0" w:uiPriority="65"/>
    <w:lsdException w:name="Light List Accent 3" w:semiHidden="0" w:uiPriority="66"/>
    <w:lsdException w:name="Light Grid Accent 3" w:semiHidden="0" w:uiPriority="67"/>
    <w:lsdException w:name="Medium Shading 1 Accent 3" w:semiHidden="0" w:uiPriority="68"/>
    <w:lsdException w:name="Medium Shading 2 Accent 3" w:semiHidden="0" w:uiPriority="69"/>
    <w:lsdException w:name="Medium List 1 Accent 3" w:semiHidden="0" w:uiPriority="70"/>
    <w:lsdException w:name="Medium List 2 Accent 3" w:semiHidden="0" w:uiPriority="71"/>
    <w:lsdException w:name="Medium Grid 1 Accent 3" w:semiHidden="0" w:uiPriority="72"/>
    <w:lsdException w:name="Medium Grid 2 Accent 3" w:semiHidden="0" w:uiPriority="73"/>
    <w:lsdException w:name="Medium Grid 3 Accent 3" w:semiHidden="0" w:uiPriority="60"/>
    <w:lsdException w:name="Dark List Accent 3" w:semiHidden="0" w:uiPriority="61"/>
    <w:lsdException w:name="Colorful Shading Accent 3" w:semiHidden="0" w:uiPriority="62"/>
    <w:lsdException w:name="Colorful List Accent 3" w:semiHidden="0" w:uiPriority="63"/>
    <w:lsdException w:name="Colorful Grid Accent 3" w:semiHidden="0" w:uiPriority="64"/>
    <w:lsdException w:name="Light Shading Accent 4" w:semiHidden="0" w:uiPriority="65"/>
    <w:lsdException w:name="Light List Accent 4" w:semiHidden="0" w:uiPriority="66"/>
    <w:lsdException w:name="Light Grid Accent 4" w:semiHidden="0" w:uiPriority="67"/>
    <w:lsdException w:name="Medium Shading 1 Accent 4" w:semiHidden="0" w:uiPriority="68"/>
    <w:lsdException w:name="Medium Shading 2 Accent 4" w:semiHidden="0" w:uiPriority="69"/>
    <w:lsdException w:name="Medium List 1 Accent 4" w:semiHidden="0" w:uiPriority="70"/>
    <w:lsdException w:name="Medium List 2 Accent 4" w:semiHidden="0" w:uiPriority="71"/>
    <w:lsdException w:name="Medium Grid 1 Accent 4" w:semiHidden="0" w:uiPriority="72"/>
    <w:lsdException w:name="Medium Grid 2 Accent 4" w:semiHidden="0" w:uiPriority="73"/>
    <w:lsdException w:name="Medium Grid 3 Accent 4" w:semiHidden="0" w:uiPriority="60"/>
    <w:lsdException w:name="Dark List Accent 4" w:semiHidden="0" w:uiPriority="61"/>
    <w:lsdException w:name="Colorful Shading Accent 4" w:semiHidden="0" w:uiPriority="62"/>
    <w:lsdException w:name="Colorful List Accent 4" w:semiHidden="0" w:uiPriority="63"/>
    <w:lsdException w:name="Colorful Grid Accent 4" w:semiHidden="0" w:uiPriority="64"/>
    <w:lsdException w:name="Light Shading Accent 5" w:semiHidden="0" w:uiPriority="65"/>
    <w:lsdException w:name="Light List Accent 5" w:semiHidden="0" w:uiPriority="66"/>
    <w:lsdException w:name="Light Grid Accent 5" w:semiHidden="0" w:uiPriority="67"/>
    <w:lsdException w:name="Medium Shading 1 Accent 5" w:semiHidden="0" w:uiPriority="68"/>
    <w:lsdException w:name="Medium Shading 2 Accent 5" w:semiHidden="0" w:uiPriority="69"/>
    <w:lsdException w:name="Medium List 1 Accent 5" w:semiHidden="0" w:uiPriority="70"/>
    <w:lsdException w:name="Medium List 2 Accent 5" w:semiHidden="0" w:uiPriority="71"/>
    <w:lsdException w:name="Medium Grid 1 Accent 5" w:semiHidden="0" w:uiPriority="72"/>
    <w:lsdException w:name="Medium Grid 2 Accent 5" w:semiHidden="0" w:uiPriority="73"/>
    <w:lsdException w:name="Medium Grid 3 Accent 5" w:semiHidden="0" w:uiPriority="60"/>
    <w:lsdException w:name="Dark List Accent 5" w:semiHidden="0" w:uiPriority="61"/>
    <w:lsdException w:name="Colorful Shading Accent 5" w:semiHidden="0" w:uiPriority="62"/>
    <w:lsdException w:name="Colorful List Accent 5" w:semiHidden="0" w:uiPriority="63"/>
    <w:lsdException w:name="Colorful Grid Accent 5" w:semiHidden="0" w:uiPriority="64"/>
    <w:lsdException w:name="Light Shading Accent 6" w:semiHidden="0" w:uiPriority="65"/>
    <w:lsdException w:name="Light List Accent 6" w:semiHidden="0" w:uiPriority="66"/>
    <w:lsdException w:name="Light Grid Accent 6" w:semiHidden="0" w:uiPriority="67"/>
    <w:lsdException w:name="Medium Shading 1 Accent 6" w:semiHidden="0" w:uiPriority="68"/>
    <w:lsdException w:name="Medium Shading 2 Accent 6" w:semiHidden="0" w:uiPriority="69"/>
    <w:lsdException w:name="Medium List 1 Accent 6" w:semiHidden="0" w:uiPriority="70"/>
    <w:lsdException w:name="Medium List 2 Accent 6" w:semiHidden="0" w:uiPriority="71"/>
    <w:lsdException w:name="Medium Grid 1 Accent 6" w:semiHidden="0" w:uiPriority="72"/>
    <w:lsdException w:name="Medium Grid 2 Accent 6" w:semiHidden="0" w:uiPriority="73"/>
    <w:lsdException w:name="Medium Grid 3 Accent 6" w:semiHidden="0" w:uiPriority="60"/>
    <w:lsdException w:name="Dark List Accent 6" w:semiHidden="0" w:uiPriority="61"/>
    <w:lsdException w:name="Colorful Shading Accent 6" w:semiHidden="0" w:uiPriority="62"/>
    <w:lsdException w:name="Colorful List Accent 6" w:semiHidden="0" w:uiPriority="63"/>
    <w:lsdException w:name="Colorful Grid Accent 6" w:semiHidden="0" w:uiPriority="64"/>
    <w:lsdException w:name="Subtle Emphasis" w:semiHidden="0" w:uiPriority="65" w:qFormat="1"/>
    <w:lsdException w:name="Intense Emphasis" w:semiHidden="0" w:uiPriority="66" w:qFormat="1"/>
    <w:lsdException w:name="Subtle Reference" w:semiHidden="0" w:uiPriority="67" w:qFormat="1"/>
    <w:lsdException w:name="Intense Reference" w:semiHidden="0" w:uiPriority="68" w:qFormat="1"/>
    <w:lsdException w:name="Book Title" w:semiHidden="0" w:uiPriority="69" w:qFormat="1"/>
    <w:lsdException w:name="Bibliography" w:semiHidden="0" w:uiPriority="70"/>
    <w:lsdException w:name="TOC Heading" w:uiPriority="71" w:unhideWhenUsed="1" w:qFormat="1"/>
  </w:latentStyles>
  <w:style w:type="paragraph" w:default="1" w:styleId="Normal">
    <w:name w:val="Normal"/>
    <w:qFormat/>
    <w:rsid w:val="00CF3469"/>
    <w:pPr>
      <w:spacing w:before="140" w:line="240" w:lineRule="atLeast"/>
    </w:pPr>
    <w:rPr>
      <w:rFonts w:ascii="Arial" w:hAnsi="Arial"/>
      <w:color w:val="000000"/>
      <w:sz w:val="22"/>
      <w:lang w:eastAsia="en-US"/>
    </w:rPr>
  </w:style>
  <w:style w:type="paragraph" w:styleId="Heading1">
    <w:name w:val="heading 1"/>
    <w:next w:val="Normal"/>
    <w:link w:val="Heading1Char"/>
    <w:uiPriority w:val="4"/>
    <w:qFormat/>
    <w:rsid w:val="00A35A7F"/>
    <w:pPr>
      <w:keepNext/>
      <w:keepLines/>
      <w:framePr w:w="9072" w:wrap="notBeside" w:vAnchor="text" w:hAnchor="text" w:y="1"/>
      <w:spacing w:before="340" w:line="600" w:lineRule="exact"/>
      <w:outlineLvl w:val="0"/>
    </w:pPr>
    <w:rPr>
      <w:rFonts w:ascii="Calibri" w:eastAsia="Times New Roman" w:hAnsi="Calibri"/>
      <w:bCs/>
      <w:color w:val="2B3054"/>
      <w:sz w:val="56"/>
      <w:szCs w:val="28"/>
      <w:lang w:eastAsia="en-US"/>
    </w:rPr>
  </w:style>
  <w:style w:type="paragraph" w:styleId="Heading2">
    <w:name w:val="heading 2"/>
    <w:next w:val="Normal"/>
    <w:link w:val="Heading2Char"/>
    <w:uiPriority w:val="4"/>
    <w:qFormat/>
    <w:rsid w:val="00A35A7F"/>
    <w:pPr>
      <w:keepNext/>
      <w:keepLines/>
      <w:spacing w:before="400" w:line="460" w:lineRule="exact"/>
      <w:outlineLvl w:val="1"/>
    </w:pPr>
    <w:rPr>
      <w:rFonts w:ascii="Calibri" w:eastAsia="Times New Roman" w:hAnsi="Calibri"/>
      <w:bCs/>
      <w:color w:val="0F979B"/>
      <w:sz w:val="42"/>
      <w:szCs w:val="26"/>
      <w:lang w:eastAsia="en-US"/>
    </w:rPr>
  </w:style>
  <w:style w:type="paragraph" w:styleId="Heading3">
    <w:name w:val="heading 3"/>
    <w:next w:val="Normal"/>
    <w:link w:val="Heading3Char"/>
    <w:uiPriority w:val="4"/>
    <w:qFormat/>
    <w:rsid w:val="009B438D"/>
    <w:pPr>
      <w:keepNext/>
      <w:keepLines/>
      <w:spacing w:before="400" w:line="380" w:lineRule="exact"/>
      <w:outlineLvl w:val="2"/>
    </w:pPr>
    <w:rPr>
      <w:rFonts w:ascii="Calibri" w:eastAsia="Times New Roman" w:hAnsi="Calibri"/>
      <w:bCs/>
      <w:color w:val="2B3054"/>
      <w:sz w:val="34"/>
      <w:lang w:eastAsia="en-US"/>
    </w:rPr>
  </w:style>
  <w:style w:type="paragraph" w:styleId="Heading4">
    <w:name w:val="heading 4"/>
    <w:next w:val="Normal"/>
    <w:link w:val="Heading4Char"/>
    <w:uiPriority w:val="4"/>
    <w:qFormat/>
    <w:rsid w:val="00A35A7F"/>
    <w:pPr>
      <w:keepNext/>
      <w:keepLines/>
      <w:spacing w:before="400" w:line="300" w:lineRule="exact"/>
      <w:outlineLvl w:val="3"/>
    </w:pPr>
    <w:rPr>
      <w:rFonts w:ascii="Calibri" w:eastAsia="Times New Roman" w:hAnsi="Calibri"/>
      <w:b/>
      <w:bCs/>
      <w:iCs/>
      <w:color w:val="15565F"/>
      <w:sz w:val="26"/>
      <w:lang w:eastAsia="en-US"/>
    </w:rPr>
  </w:style>
  <w:style w:type="paragraph" w:styleId="Heading5">
    <w:name w:val="heading 5"/>
    <w:next w:val="BodyText"/>
    <w:link w:val="Heading5Char"/>
    <w:uiPriority w:val="4"/>
    <w:qFormat/>
    <w:rsid w:val="00B670EF"/>
    <w:pPr>
      <w:keepNext/>
      <w:keepLines/>
      <w:spacing w:before="200"/>
      <w:outlineLvl w:val="4"/>
    </w:pPr>
    <w:rPr>
      <w:rFonts w:ascii="Calibri" w:eastAsia="Times New Roman" w:hAnsi="Calibri"/>
      <w:color w:val="074A4D"/>
      <w:lang w:eastAsia="en-US"/>
    </w:rPr>
  </w:style>
  <w:style w:type="paragraph" w:styleId="Heading6">
    <w:name w:val="heading 6"/>
    <w:next w:val="BodyText"/>
    <w:link w:val="Heading6Char"/>
    <w:uiPriority w:val="4"/>
    <w:qFormat/>
    <w:rsid w:val="00B670EF"/>
    <w:pPr>
      <w:keepNext/>
      <w:keepLines/>
      <w:spacing w:before="200"/>
      <w:outlineLvl w:val="5"/>
    </w:pPr>
    <w:rPr>
      <w:rFonts w:ascii="Calibri" w:eastAsia="Times New Roman" w:hAnsi="Calibri"/>
      <w:i/>
      <w:iCs/>
      <w:color w:val="074A4D"/>
      <w:lang w:eastAsia="en-US"/>
    </w:rPr>
  </w:style>
  <w:style w:type="paragraph" w:styleId="Heading7">
    <w:name w:val="heading 7"/>
    <w:next w:val="BodyText"/>
    <w:link w:val="Heading7Char"/>
    <w:uiPriority w:val="4"/>
    <w:qFormat/>
    <w:rsid w:val="00B670EF"/>
    <w:pPr>
      <w:keepNext/>
      <w:keepLines/>
      <w:spacing w:before="200"/>
      <w:outlineLvl w:val="6"/>
    </w:pPr>
    <w:rPr>
      <w:rFonts w:ascii="Calibri" w:eastAsia="Times New Roman" w:hAnsi="Calibri"/>
      <w:i/>
      <w:iCs/>
      <w:color w:val="404040"/>
      <w:lang w:eastAsia="en-US"/>
    </w:rPr>
  </w:style>
  <w:style w:type="paragraph" w:styleId="Heading8">
    <w:name w:val="heading 8"/>
    <w:next w:val="BodyText"/>
    <w:link w:val="Heading8Char"/>
    <w:uiPriority w:val="4"/>
    <w:qFormat/>
    <w:rsid w:val="00B670EF"/>
    <w:pPr>
      <w:keepNext/>
      <w:keepLines/>
      <w:spacing w:before="200"/>
      <w:outlineLvl w:val="7"/>
    </w:pPr>
    <w:rPr>
      <w:rFonts w:ascii="Calibri" w:eastAsia="Times New Roman" w:hAnsi="Calibri"/>
      <w:color w:val="404040"/>
      <w:lang w:eastAsia="en-US"/>
    </w:rPr>
  </w:style>
  <w:style w:type="paragraph" w:styleId="Heading9">
    <w:name w:val="heading 9"/>
    <w:next w:val="BodyText"/>
    <w:link w:val="Heading9Char"/>
    <w:uiPriority w:val="4"/>
    <w:qFormat/>
    <w:rsid w:val="00B670EF"/>
    <w:pPr>
      <w:keepNext/>
      <w:keepLines/>
      <w:spacing w:before="200"/>
      <w:outlineLvl w:val="8"/>
    </w:pPr>
    <w:rPr>
      <w:rFonts w:ascii="Calibri" w:eastAsia="Times New Roman" w:hAnsi="Calibri"/>
      <w:i/>
      <w:iCs/>
      <w:color w:val="40404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B670EF"/>
    <w:rPr>
      <w:rFonts w:ascii="Tahoma" w:hAnsi="Tahoma" w:cs="Tahoma"/>
      <w:sz w:val="16"/>
      <w:szCs w:val="16"/>
    </w:rPr>
  </w:style>
  <w:style w:type="character" w:customStyle="1" w:styleId="BalloonTextChar">
    <w:name w:val="Balloon Text Char"/>
    <w:basedOn w:val="DefaultParagraphFont"/>
    <w:link w:val="BalloonText"/>
    <w:uiPriority w:val="99"/>
    <w:semiHidden/>
    <w:rsid w:val="00B670EF"/>
    <w:rPr>
      <w:rFonts w:ascii="Tahoma" w:hAnsi="Tahoma" w:cs="Tahoma"/>
      <w:color w:val="000000"/>
      <w:sz w:val="16"/>
      <w:szCs w:val="16"/>
    </w:rPr>
  </w:style>
  <w:style w:type="table" w:styleId="TableGrid">
    <w:name w:val="Table Grid"/>
    <w:basedOn w:val="TableNormal"/>
    <w:uiPriority w:val="59"/>
    <w:rsid w:val="00B670EF"/>
    <w:rPr>
      <w:rFonts w:ascii="Arial" w:hAnsi="Arial"/>
    </w:rPr>
    <w:tblPr>
      <w:tblCellMar>
        <w:left w:w="0" w:type="dxa"/>
        <w:right w:w="0" w:type="dxa"/>
      </w:tblCellMar>
    </w:tblPr>
  </w:style>
  <w:style w:type="character" w:customStyle="1" w:styleId="Heading1Char">
    <w:name w:val="Heading 1 Char"/>
    <w:basedOn w:val="DefaultParagraphFont"/>
    <w:link w:val="Heading1"/>
    <w:uiPriority w:val="4"/>
    <w:rsid w:val="00A35A7F"/>
    <w:rPr>
      <w:rFonts w:ascii="Calibri" w:eastAsia="Times New Roman" w:hAnsi="Calibri"/>
      <w:bCs/>
      <w:color w:val="2B3054"/>
      <w:sz w:val="56"/>
      <w:szCs w:val="28"/>
      <w:lang w:val="en-AU" w:eastAsia="en-US" w:bidi="ar-SA"/>
    </w:rPr>
  </w:style>
  <w:style w:type="paragraph" w:styleId="Footer">
    <w:name w:val="footer"/>
    <w:link w:val="FooterChar"/>
    <w:uiPriority w:val="99"/>
    <w:rsid w:val="004F244C"/>
    <w:pPr>
      <w:tabs>
        <w:tab w:val="center" w:pos="4513"/>
        <w:tab w:val="right" w:pos="9026"/>
      </w:tabs>
      <w:spacing w:line="200" w:lineRule="exact"/>
      <w:ind w:left="-851"/>
    </w:pPr>
    <w:rPr>
      <w:rFonts w:ascii="Arial" w:hAnsi="Arial"/>
      <w:caps/>
      <w:color w:val="666666"/>
      <w:sz w:val="16"/>
      <w:lang w:eastAsia="en-US"/>
    </w:rPr>
  </w:style>
  <w:style w:type="character" w:customStyle="1" w:styleId="FooterChar">
    <w:name w:val="Footer Char"/>
    <w:basedOn w:val="DefaultParagraphFont"/>
    <w:link w:val="Footer"/>
    <w:uiPriority w:val="99"/>
    <w:rsid w:val="004F244C"/>
    <w:rPr>
      <w:rFonts w:ascii="Arial" w:hAnsi="Arial"/>
      <w:caps/>
      <w:color w:val="666666"/>
      <w:sz w:val="16"/>
      <w:lang w:val="en-AU" w:eastAsia="en-US" w:bidi="ar-SA"/>
    </w:rPr>
  </w:style>
  <w:style w:type="paragraph" w:styleId="Header">
    <w:name w:val="header"/>
    <w:link w:val="HeaderChar"/>
    <w:uiPriority w:val="49"/>
    <w:semiHidden/>
    <w:rsid w:val="00B670EF"/>
    <w:pPr>
      <w:tabs>
        <w:tab w:val="center" w:pos="4513"/>
        <w:tab w:val="right" w:pos="9026"/>
      </w:tabs>
      <w:spacing w:line="300" w:lineRule="atLeast"/>
    </w:pPr>
    <w:rPr>
      <w:rFonts w:ascii="Calibri" w:hAnsi="Calibri"/>
      <w:color w:val="656263"/>
      <w:lang w:eastAsia="en-US"/>
    </w:rPr>
  </w:style>
  <w:style w:type="character" w:customStyle="1" w:styleId="HeaderChar">
    <w:name w:val="Header Char"/>
    <w:basedOn w:val="DefaultParagraphFont"/>
    <w:link w:val="Header"/>
    <w:uiPriority w:val="49"/>
    <w:semiHidden/>
    <w:rsid w:val="00B670EF"/>
    <w:rPr>
      <w:rFonts w:ascii="Calibri" w:hAnsi="Calibri"/>
      <w:color w:val="656263"/>
      <w:lang w:val="en-AU" w:eastAsia="en-US" w:bidi="ar-SA"/>
    </w:rPr>
  </w:style>
  <w:style w:type="character" w:customStyle="1" w:styleId="Heading2Char">
    <w:name w:val="Heading 2 Char"/>
    <w:basedOn w:val="DefaultParagraphFont"/>
    <w:link w:val="Heading2"/>
    <w:uiPriority w:val="4"/>
    <w:rsid w:val="00A35A7F"/>
    <w:rPr>
      <w:rFonts w:ascii="Calibri" w:eastAsia="Times New Roman" w:hAnsi="Calibri"/>
      <w:bCs/>
      <w:color w:val="0F979B"/>
      <w:sz w:val="42"/>
      <w:szCs w:val="26"/>
      <w:lang w:val="en-AU" w:eastAsia="en-US" w:bidi="ar-SA"/>
    </w:rPr>
  </w:style>
  <w:style w:type="paragraph" w:styleId="BodyText">
    <w:name w:val="Body Text"/>
    <w:basedOn w:val="Normal"/>
    <w:link w:val="BodyTextChar"/>
    <w:semiHidden/>
    <w:qFormat/>
    <w:rsid w:val="00B670EF"/>
  </w:style>
  <w:style w:type="character" w:customStyle="1" w:styleId="BodyTextChar">
    <w:name w:val="Body Text Char"/>
    <w:basedOn w:val="DefaultParagraphFont"/>
    <w:link w:val="BodyText"/>
    <w:semiHidden/>
    <w:rsid w:val="00CA00F9"/>
    <w:rPr>
      <w:rFonts w:ascii="Arial" w:hAnsi="Arial"/>
      <w:color w:val="000000"/>
    </w:rPr>
  </w:style>
  <w:style w:type="character" w:customStyle="1" w:styleId="Heading3Char">
    <w:name w:val="Heading 3 Char"/>
    <w:basedOn w:val="DefaultParagraphFont"/>
    <w:link w:val="Heading3"/>
    <w:uiPriority w:val="4"/>
    <w:rsid w:val="009B438D"/>
    <w:rPr>
      <w:rFonts w:ascii="Calibri" w:eastAsia="Times New Roman" w:hAnsi="Calibri"/>
      <w:bCs/>
      <w:color w:val="2B3054"/>
      <w:sz w:val="34"/>
      <w:lang w:val="en-AU" w:eastAsia="en-US" w:bidi="ar-SA"/>
    </w:rPr>
  </w:style>
  <w:style w:type="character" w:customStyle="1" w:styleId="Heading4Char">
    <w:name w:val="Heading 4 Char"/>
    <w:basedOn w:val="DefaultParagraphFont"/>
    <w:link w:val="Heading4"/>
    <w:uiPriority w:val="4"/>
    <w:rsid w:val="00A35A7F"/>
    <w:rPr>
      <w:rFonts w:ascii="Calibri" w:eastAsia="Times New Roman" w:hAnsi="Calibri"/>
      <w:b/>
      <w:bCs/>
      <w:iCs/>
      <w:color w:val="15565F"/>
      <w:sz w:val="26"/>
      <w:lang w:val="en-AU" w:eastAsia="en-US" w:bidi="ar-SA"/>
    </w:rPr>
  </w:style>
  <w:style w:type="paragraph" w:styleId="Subtitle">
    <w:name w:val="Subtitle"/>
    <w:link w:val="SubtitleChar"/>
    <w:uiPriority w:val="37"/>
    <w:qFormat/>
    <w:rsid w:val="006D2122"/>
    <w:pPr>
      <w:numPr>
        <w:ilvl w:val="1"/>
      </w:numPr>
      <w:spacing w:line="480" w:lineRule="atLeast"/>
      <w:jc w:val="right"/>
    </w:pPr>
    <w:rPr>
      <w:rFonts w:ascii="Calibri" w:eastAsia="Times New Roman" w:hAnsi="Calibri"/>
      <w:iCs/>
      <w:color w:val="656565"/>
      <w:sz w:val="36"/>
      <w:szCs w:val="24"/>
      <w:lang w:eastAsia="en-US"/>
    </w:rPr>
  </w:style>
  <w:style w:type="character" w:customStyle="1" w:styleId="SubtitleChar">
    <w:name w:val="Subtitle Char"/>
    <w:basedOn w:val="DefaultParagraphFont"/>
    <w:link w:val="Subtitle"/>
    <w:uiPriority w:val="37"/>
    <w:rsid w:val="006D2122"/>
    <w:rPr>
      <w:rFonts w:ascii="Calibri" w:eastAsia="Times New Roman" w:hAnsi="Calibri"/>
      <w:iCs/>
      <w:color w:val="656565"/>
      <w:sz w:val="36"/>
      <w:szCs w:val="24"/>
      <w:lang w:val="en-AU" w:eastAsia="en-US" w:bidi="ar-SA"/>
    </w:rPr>
  </w:style>
  <w:style w:type="paragraph" w:styleId="Title">
    <w:name w:val="Title"/>
    <w:link w:val="TitleChar"/>
    <w:uiPriority w:val="36"/>
    <w:qFormat/>
    <w:rsid w:val="006D2122"/>
    <w:pPr>
      <w:spacing w:line="680" w:lineRule="exact"/>
      <w:jc w:val="right"/>
    </w:pPr>
    <w:rPr>
      <w:rFonts w:ascii="Calibri" w:eastAsia="Times New Roman" w:hAnsi="Calibri"/>
      <w:color w:val="0F979B"/>
      <w:spacing w:val="-10"/>
      <w:kern w:val="28"/>
      <w:sz w:val="64"/>
      <w:szCs w:val="52"/>
      <w:lang w:eastAsia="en-US"/>
    </w:rPr>
  </w:style>
  <w:style w:type="character" w:customStyle="1" w:styleId="TitleChar">
    <w:name w:val="Title Char"/>
    <w:basedOn w:val="DefaultParagraphFont"/>
    <w:link w:val="Title"/>
    <w:uiPriority w:val="36"/>
    <w:rsid w:val="006D2122"/>
    <w:rPr>
      <w:rFonts w:ascii="Calibri" w:eastAsia="Times New Roman" w:hAnsi="Calibri"/>
      <w:color w:val="0F979B"/>
      <w:spacing w:val="-10"/>
      <w:kern w:val="28"/>
      <w:sz w:val="64"/>
      <w:szCs w:val="52"/>
      <w:lang w:val="en-AU" w:eastAsia="en-US" w:bidi="ar-SA"/>
    </w:rPr>
  </w:style>
  <w:style w:type="paragraph" w:styleId="Caption">
    <w:name w:val="caption"/>
    <w:next w:val="Normal"/>
    <w:link w:val="CaptionChar"/>
    <w:uiPriority w:val="14"/>
    <w:qFormat/>
    <w:rsid w:val="00F52DD1"/>
    <w:pPr>
      <w:keepNext/>
      <w:keepLines/>
      <w:spacing w:before="400" w:after="200" w:line="300" w:lineRule="exact"/>
    </w:pPr>
    <w:rPr>
      <w:rFonts w:ascii="Calibri" w:hAnsi="Calibri"/>
      <w:b/>
      <w:bCs/>
      <w:color w:val="666666"/>
      <w:sz w:val="26"/>
      <w:szCs w:val="18"/>
      <w:lang w:eastAsia="en-US"/>
    </w:rPr>
  </w:style>
  <w:style w:type="paragraph" w:styleId="Date">
    <w:name w:val="Date"/>
    <w:link w:val="DateChar"/>
    <w:uiPriority w:val="38"/>
    <w:semiHidden/>
    <w:rsid w:val="00B670EF"/>
    <w:rPr>
      <w:rFonts w:ascii="Arial" w:hAnsi="Arial"/>
      <w:lang w:eastAsia="en-US"/>
    </w:rPr>
  </w:style>
  <w:style w:type="character" w:customStyle="1" w:styleId="DateChar">
    <w:name w:val="Date Char"/>
    <w:basedOn w:val="DefaultParagraphFont"/>
    <w:link w:val="Date"/>
    <w:uiPriority w:val="38"/>
    <w:semiHidden/>
    <w:rsid w:val="00B670EF"/>
    <w:rPr>
      <w:rFonts w:ascii="Arial" w:hAnsi="Arial"/>
      <w:lang w:val="en-AU" w:eastAsia="en-US" w:bidi="ar-SA"/>
    </w:rPr>
  </w:style>
  <w:style w:type="paragraph" w:styleId="EndnoteText">
    <w:name w:val="endnote text"/>
    <w:basedOn w:val="BodyText"/>
    <w:link w:val="EndnoteTextChar"/>
    <w:uiPriority w:val="44"/>
    <w:semiHidden/>
    <w:rsid w:val="00B670EF"/>
  </w:style>
  <w:style w:type="character" w:customStyle="1" w:styleId="EndnoteTextChar">
    <w:name w:val="Endnote Text Char"/>
    <w:basedOn w:val="DefaultParagraphFont"/>
    <w:link w:val="EndnoteText"/>
    <w:uiPriority w:val="44"/>
    <w:semiHidden/>
    <w:rsid w:val="00B670EF"/>
    <w:rPr>
      <w:rFonts w:ascii="Arial" w:hAnsi="Arial"/>
      <w:color w:val="000000"/>
    </w:rPr>
  </w:style>
  <w:style w:type="paragraph" w:styleId="FootnoteText">
    <w:name w:val="footnote text"/>
    <w:link w:val="FootnoteTextChar"/>
    <w:uiPriority w:val="99"/>
    <w:qFormat/>
    <w:rsid w:val="00B670EF"/>
    <w:pPr>
      <w:spacing w:before="142" w:line="200" w:lineRule="atLeast"/>
    </w:pPr>
    <w:rPr>
      <w:rFonts w:ascii="Arial" w:hAnsi="Arial"/>
      <w:color w:val="000000"/>
      <w:sz w:val="16"/>
      <w:lang w:eastAsia="en-US"/>
    </w:rPr>
  </w:style>
  <w:style w:type="character" w:customStyle="1" w:styleId="FootnoteTextChar">
    <w:name w:val="Footnote Text Char"/>
    <w:basedOn w:val="DefaultParagraphFont"/>
    <w:link w:val="FootnoteText"/>
    <w:uiPriority w:val="99"/>
    <w:rsid w:val="00175961"/>
    <w:rPr>
      <w:rFonts w:ascii="Arial" w:hAnsi="Arial"/>
      <w:color w:val="000000"/>
      <w:sz w:val="16"/>
      <w:lang w:val="en-AU" w:eastAsia="en-US" w:bidi="ar-SA"/>
    </w:rPr>
  </w:style>
  <w:style w:type="paragraph" w:customStyle="1" w:styleId="ColorfulGrid-Accent11">
    <w:name w:val="Colorful Grid - Accent 11"/>
    <w:link w:val="ColorfulGrid-Accent1Char"/>
    <w:uiPriority w:val="9"/>
    <w:semiHidden/>
    <w:qFormat/>
    <w:rsid w:val="00B670EF"/>
    <w:rPr>
      <w:rFonts w:ascii="Arial" w:hAnsi="Arial"/>
      <w:i/>
      <w:iCs/>
      <w:color w:val="000000"/>
      <w:lang w:eastAsia="en-US"/>
    </w:rPr>
  </w:style>
  <w:style w:type="character" w:customStyle="1" w:styleId="ColorfulGrid-Accent1Char">
    <w:name w:val="Colorful Grid - Accent 1 Char"/>
    <w:basedOn w:val="DefaultParagraphFont"/>
    <w:link w:val="ColorfulGrid-Accent11"/>
    <w:uiPriority w:val="9"/>
    <w:semiHidden/>
    <w:rsid w:val="00B670EF"/>
    <w:rPr>
      <w:rFonts w:ascii="Arial" w:hAnsi="Arial"/>
      <w:i/>
      <w:iCs/>
      <w:color w:val="000000"/>
      <w:lang w:val="en-AU" w:eastAsia="en-US" w:bidi="ar-SA"/>
    </w:rPr>
  </w:style>
  <w:style w:type="paragraph" w:styleId="TableofFigures">
    <w:name w:val="table of figures"/>
    <w:uiPriority w:val="99"/>
    <w:semiHidden/>
    <w:rsid w:val="00B670EF"/>
    <w:rPr>
      <w:rFonts w:ascii="Arial" w:hAnsi="Arial"/>
      <w:lang w:eastAsia="en-US"/>
    </w:rPr>
  </w:style>
  <w:style w:type="paragraph" w:styleId="TOC1">
    <w:name w:val="toc 1"/>
    <w:basedOn w:val="Normal"/>
    <w:uiPriority w:val="39"/>
    <w:rsid w:val="006D2122"/>
    <w:pPr>
      <w:tabs>
        <w:tab w:val="right" w:pos="8505"/>
      </w:tabs>
      <w:spacing w:before="170"/>
      <w:ind w:left="567" w:right="1418"/>
    </w:pPr>
    <w:rPr>
      <w:b/>
    </w:rPr>
  </w:style>
  <w:style w:type="paragraph" w:styleId="TOC2">
    <w:name w:val="toc 2"/>
    <w:basedOn w:val="Normal"/>
    <w:uiPriority w:val="39"/>
    <w:rsid w:val="006D2122"/>
    <w:pPr>
      <w:tabs>
        <w:tab w:val="right" w:pos="8505"/>
      </w:tabs>
      <w:spacing w:before="113"/>
      <w:ind w:left="567" w:right="1418"/>
    </w:pPr>
  </w:style>
  <w:style w:type="paragraph" w:styleId="TOC3">
    <w:name w:val="toc 3"/>
    <w:autoRedefine/>
    <w:uiPriority w:val="39"/>
    <w:semiHidden/>
    <w:rsid w:val="00B670EF"/>
    <w:pPr>
      <w:spacing w:after="100"/>
      <w:ind w:left="400"/>
    </w:pPr>
    <w:rPr>
      <w:rFonts w:ascii="Arial" w:hAnsi="Arial"/>
      <w:lang w:eastAsia="en-US"/>
    </w:rPr>
  </w:style>
  <w:style w:type="paragraph" w:customStyle="1" w:styleId="TOCHeading1">
    <w:name w:val="TOC Heading1"/>
    <w:next w:val="BodyText"/>
    <w:uiPriority w:val="39"/>
    <w:qFormat/>
    <w:rsid w:val="00A22E93"/>
    <w:pPr>
      <w:spacing w:before="940" w:after="940" w:line="600" w:lineRule="exact"/>
    </w:pPr>
    <w:rPr>
      <w:rFonts w:ascii="Calibri" w:eastAsia="Times New Roman" w:hAnsi="Calibri"/>
      <w:bCs/>
      <w:color w:val="0F979B"/>
      <w:sz w:val="56"/>
      <w:szCs w:val="28"/>
      <w:lang w:eastAsia="en-US"/>
    </w:rPr>
  </w:style>
  <w:style w:type="character" w:customStyle="1" w:styleId="Heading5Char">
    <w:name w:val="Heading 5 Char"/>
    <w:basedOn w:val="DefaultParagraphFont"/>
    <w:link w:val="Heading5"/>
    <w:uiPriority w:val="4"/>
    <w:semiHidden/>
    <w:rsid w:val="00B670EF"/>
    <w:rPr>
      <w:rFonts w:ascii="Calibri" w:eastAsia="Times New Roman" w:hAnsi="Calibri"/>
      <w:color w:val="074A4D"/>
      <w:lang w:val="en-AU" w:eastAsia="en-US" w:bidi="ar-SA"/>
    </w:rPr>
  </w:style>
  <w:style w:type="character" w:customStyle="1" w:styleId="Heading6Char">
    <w:name w:val="Heading 6 Char"/>
    <w:basedOn w:val="DefaultParagraphFont"/>
    <w:link w:val="Heading6"/>
    <w:uiPriority w:val="4"/>
    <w:semiHidden/>
    <w:rsid w:val="00B670EF"/>
    <w:rPr>
      <w:rFonts w:ascii="Calibri" w:eastAsia="Times New Roman" w:hAnsi="Calibri"/>
      <w:i/>
      <w:iCs/>
      <w:color w:val="074A4D"/>
      <w:lang w:val="en-AU" w:eastAsia="en-US" w:bidi="ar-SA"/>
    </w:rPr>
  </w:style>
  <w:style w:type="character" w:customStyle="1" w:styleId="Heading7Char">
    <w:name w:val="Heading 7 Char"/>
    <w:basedOn w:val="DefaultParagraphFont"/>
    <w:link w:val="Heading7"/>
    <w:uiPriority w:val="4"/>
    <w:semiHidden/>
    <w:rsid w:val="00B670EF"/>
    <w:rPr>
      <w:rFonts w:ascii="Calibri" w:eastAsia="Times New Roman" w:hAnsi="Calibri"/>
      <w:i/>
      <w:iCs/>
      <w:color w:val="404040"/>
      <w:lang w:val="en-AU" w:eastAsia="en-US" w:bidi="ar-SA"/>
    </w:rPr>
  </w:style>
  <w:style w:type="character" w:customStyle="1" w:styleId="Heading8Char">
    <w:name w:val="Heading 8 Char"/>
    <w:basedOn w:val="DefaultParagraphFont"/>
    <w:link w:val="Heading8"/>
    <w:uiPriority w:val="4"/>
    <w:semiHidden/>
    <w:rsid w:val="00B670EF"/>
    <w:rPr>
      <w:rFonts w:ascii="Calibri" w:eastAsia="Times New Roman" w:hAnsi="Calibri"/>
      <w:color w:val="404040"/>
      <w:lang w:val="en-AU" w:eastAsia="en-US" w:bidi="ar-SA"/>
    </w:rPr>
  </w:style>
  <w:style w:type="character" w:customStyle="1" w:styleId="Heading9Char">
    <w:name w:val="Heading 9 Char"/>
    <w:basedOn w:val="DefaultParagraphFont"/>
    <w:link w:val="Heading9"/>
    <w:uiPriority w:val="4"/>
    <w:semiHidden/>
    <w:rsid w:val="00B670EF"/>
    <w:rPr>
      <w:rFonts w:ascii="Calibri" w:eastAsia="Times New Roman" w:hAnsi="Calibri"/>
      <w:i/>
      <w:iCs/>
      <w:color w:val="404040"/>
      <w:lang w:val="en-AU" w:eastAsia="en-US" w:bidi="ar-SA"/>
    </w:rPr>
  </w:style>
  <w:style w:type="numbering" w:customStyle="1" w:styleId="Headings">
    <w:name w:val="Headings"/>
    <w:basedOn w:val="NoList"/>
    <w:uiPriority w:val="99"/>
    <w:rsid w:val="00B670EF"/>
    <w:pPr>
      <w:numPr>
        <w:numId w:val="1"/>
      </w:numPr>
    </w:pPr>
  </w:style>
  <w:style w:type="numbering" w:customStyle="1" w:styleId="Bullets">
    <w:name w:val="Bullets"/>
    <w:basedOn w:val="NoList"/>
    <w:uiPriority w:val="99"/>
    <w:rsid w:val="00E546A3"/>
    <w:pPr>
      <w:numPr>
        <w:numId w:val="2"/>
      </w:numPr>
    </w:pPr>
  </w:style>
  <w:style w:type="paragraph" w:customStyle="1" w:styleId="Introtext">
    <w:name w:val="Intro text"/>
    <w:basedOn w:val="Heading2"/>
    <w:uiPriority w:val="9"/>
    <w:qFormat/>
    <w:rsid w:val="0046116C"/>
    <w:pPr>
      <w:framePr w:w="9072" w:wrap="notBeside" w:vAnchor="text" w:hAnchor="text" w:y="1"/>
      <w:spacing w:before="120"/>
    </w:pPr>
    <w:rPr>
      <w:color w:val="4D4D4D"/>
    </w:rPr>
  </w:style>
  <w:style w:type="table" w:customStyle="1" w:styleId="ATOTable">
    <w:name w:val="ATO Table"/>
    <w:basedOn w:val="TableNormal"/>
    <w:uiPriority w:val="99"/>
    <w:rsid w:val="00073B8D"/>
    <w:tblPr>
      <w:tblBorders>
        <w:top w:val="single" w:sz="4" w:space="0" w:color="666666"/>
        <w:bottom w:val="single" w:sz="4" w:space="0" w:color="666666"/>
        <w:insideH w:val="single" w:sz="4" w:space="0" w:color="666666"/>
      </w:tblBorders>
      <w:tblCellMar>
        <w:top w:w="57" w:type="dxa"/>
        <w:left w:w="0" w:type="dxa"/>
        <w:bottom w:w="170" w:type="dxa"/>
        <w:right w:w="0" w:type="dxa"/>
      </w:tblCellMar>
    </w:tblPr>
    <w:tblStylePr w:type="firstRow">
      <w:tblPr/>
      <w:tcPr>
        <w:shd w:val="clear" w:color="auto" w:fill="04545D"/>
      </w:tcPr>
    </w:tblStylePr>
  </w:style>
  <w:style w:type="character" w:customStyle="1" w:styleId="CaptionChar">
    <w:name w:val="Caption Char"/>
    <w:basedOn w:val="DefaultParagraphFont"/>
    <w:link w:val="Caption"/>
    <w:uiPriority w:val="14"/>
    <w:rsid w:val="00F52DD1"/>
    <w:rPr>
      <w:rFonts w:ascii="Calibri" w:hAnsi="Calibri"/>
      <w:b/>
      <w:bCs/>
      <w:color w:val="666666"/>
      <w:sz w:val="26"/>
      <w:szCs w:val="18"/>
      <w:lang w:val="en-AU" w:eastAsia="en-US" w:bidi="ar-SA"/>
    </w:rPr>
  </w:style>
  <w:style w:type="character" w:customStyle="1" w:styleId="MediumGrid11">
    <w:name w:val="Medium Grid 11"/>
    <w:basedOn w:val="DefaultParagraphFont"/>
    <w:uiPriority w:val="99"/>
    <w:semiHidden/>
    <w:rsid w:val="00B670EF"/>
    <w:rPr>
      <w:color w:val="808080"/>
    </w:rPr>
  </w:style>
  <w:style w:type="table" w:customStyle="1" w:styleId="ATOBox">
    <w:name w:val="ATO Box"/>
    <w:basedOn w:val="TableNormal"/>
    <w:uiPriority w:val="99"/>
    <w:rsid w:val="00B670EF"/>
    <w:tblPr>
      <w:tblCellMar>
        <w:top w:w="170" w:type="dxa"/>
        <w:left w:w="0" w:type="dxa"/>
        <w:bottom w:w="340" w:type="dxa"/>
        <w:right w:w="0" w:type="dxa"/>
      </w:tblCellMar>
    </w:tblPr>
    <w:tcPr>
      <w:shd w:val="clear" w:color="auto" w:fill="F0F2F8"/>
    </w:tcPr>
  </w:style>
  <w:style w:type="paragraph" w:customStyle="1" w:styleId="Boxtext">
    <w:name w:val="Box text"/>
    <w:basedOn w:val="Normal"/>
    <w:link w:val="BoxtextChar"/>
    <w:uiPriority w:val="24"/>
    <w:qFormat/>
    <w:rsid w:val="00920C7C"/>
    <w:pP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ind w:left="340" w:right="340"/>
    </w:pPr>
  </w:style>
  <w:style w:type="character" w:customStyle="1" w:styleId="BoxtextChar">
    <w:name w:val="Box text Char"/>
    <w:basedOn w:val="BodyTextChar"/>
    <w:link w:val="Boxtext"/>
    <w:uiPriority w:val="24"/>
    <w:rsid w:val="00920C7C"/>
    <w:rPr>
      <w:rFonts w:ascii="Arial" w:hAnsi="Arial"/>
      <w:color w:val="000000"/>
      <w:sz w:val="22"/>
      <w:lang w:eastAsia="en-US"/>
    </w:rPr>
  </w:style>
  <w:style w:type="paragraph" w:customStyle="1" w:styleId="Boxbulletedlist1">
    <w:name w:val="Box bulleted list 1"/>
    <w:basedOn w:val="Boxtext"/>
    <w:uiPriority w:val="25"/>
    <w:qFormat/>
    <w:rsid w:val="00E546A3"/>
    <w:pPr>
      <w:numPr>
        <w:ilvl w:val="3"/>
        <w:numId w:val="23"/>
      </w:numPr>
    </w:pPr>
  </w:style>
  <w:style w:type="paragraph" w:customStyle="1" w:styleId="Boxbulletedlist2">
    <w:name w:val="Box bulleted list 2"/>
    <w:basedOn w:val="Boxtext"/>
    <w:uiPriority w:val="25"/>
    <w:qFormat/>
    <w:rsid w:val="00E546A3"/>
    <w:pPr>
      <w:numPr>
        <w:ilvl w:val="4"/>
        <w:numId w:val="23"/>
      </w:numPr>
    </w:pPr>
  </w:style>
  <w:style w:type="paragraph" w:customStyle="1" w:styleId="Boxbulletedlist3">
    <w:name w:val="Box bulleted list 3"/>
    <w:basedOn w:val="Boxtext"/>
    <w:uiPriority w:val="25"/>
    <w:qFormat/>
    <w:rsid w:val="00E546A3"/>
    <w:pPr>
      <w:numPr>
        <w:ilvl w:val="5"/>
        <w:numId w:val="23"/>
      </w:numPr>
    </w:pPr>
  </w:style>
  <w:style w:type="paragraph" w:customStyle="1" w:styleId="Boxheading">
    <w:name w:val="Box heading"/>
    <w:basedOn w:val="Caption"/>
    <w:next w:val="Boxtext"/>
    <w:link w:val="BoxheadingChar"/>
    <w:uiPriority w:val="27"/>
    <w:qFormat/>
    <w:rsid w:val="00B670EF"/>
    <w:pPr>
      <w:keepNext w:val="0"/>
      <w:keepLines w:val="0"/>
      <w:spacing w:before="142" w:after="0"/>
      <w:ind w:left="340" w:right="340"/>
    </w:pPr>
  </w:style>
  <w:style w:type="character" w:customStyle="1" w:styleId="BoxheadingChar">
    <w:name w:val="Box heading Char"/>
    <w:basedOn w:val="CaptionChar"/>
    <w:link w:val="Boxheading"/>
    <w:uiPriority w:val="27"/>
    <w:rsid w:val="00B670EF"/>
    <w:rPr>
      <w:rFonts w:ascii="Calibri" w:hAnsi="Calibri"/>
      <w:b w:val="0"/>
      <w:bCs w:val="0"/>
      <w:color w:val="666666"/>
      <w:sz w:val="26"/>
      <w:szCs w:val="18"/>
      <w:lang w:val="en-AU" w:eastAsia="en-US" w:bidi="ar-SA"/>
    </w:rPr>
  </w:style>
  <w:style w:type="paragraph" w:customStyle="1" w:styleId="Bulletedlist1">
    <w:name w:val="Bulleted list 1"/>
    <w:basedOn w:val="Normal"/>
    <w:uiPriority w:val="1"/>
    <w:qFormat/>
    <w:rsid w:val="00E546A3"/>
    <w:pPr>
      <w:numPr>
        <w:numId w:val="23"/>
      </w:numPr>
      <w:spacing w:before="85"/>
    </w:pPr>
  </w:style>
  <w:style w:type="paragraph" w:customStyle="1" w:styleId="Bulletedlist2">
    <w:name w:val="Bulleted list 2"/>
    <w:basedOn w:val="Normal"/>
    <w:uiPriority w:val="1"/>
    <w:qFormat/>
    <w:rsid w:val="00E546A3"/>
    <w:pPr>
      <w:numPr>
        <w:ilvl w:val="1"/>
        <w:numId w:val="23"/>
      </w:numPr>
      <w:spacing w:before="85"/>
    </w:pPr>
  </w:style>
  <w:style w:type="paragraph" w:customStyle="1" w:styleId="Bulletedlist3">
    <w:name w:val="Bulleted list 3"/>
    <w:basedOn w:val="Normal"/>
    <w:uiPriority w:val="1"/>
    <w:qFormat/>
    <w:rsid w:val="00E546A3"/>
    <w:pPr>
      <w:numPr>
        <w:ilvl w:val="2"/>
        <w:numId w:val="23"/>
      </w:numPr>
      <w:spacing w:before="57"/>
    </w:pPr>
  </w:style>
  <w:style w:type="paragraph" w:customStyle="1" w:styleId="Calloutheading">
    <w:name w:val="Callout heading"/>
    <w:basedOn w:val="Normal"/>
    <w:next w:val="Callouttext"/>
    <w:link w:val="CalloutheadingChar"/>
    <w:uiPriority w:val="30"/>
    <w:qFormat/>
    <w:rsid w:val="00B670EF"/>
    <w:pPr>
      <w:keepNext/>
      <w:spacing w:before="227" w:line="300" w:lineRule="exact"/>
      <w:ind w:left="510" w:hanging="510"/>
    </w:pPr>
    <w:rPr>
      <w:b/>
      <w:sz w:val="26"/>
    </w:rPr>
  </w:style>
  <w:style w:type="character" w:customStyle="1" w:styleId="CalloutheadingChar">
    <w:name w:val="Callout heading Char"/>
    <w:basedOn w:val="BodyTextChar"/>
    <w:link w:val="Calloutheading"/>
    <w:uiPriority w:val="30"/>
    <w:rsid w:val="00B670EF"/>
    <w:rPr>
      <w:rFonts w:ascii="Arial" w:hAnsi="Arial"/>
      <w:b/>
      <w:color w:val="000000"/>
      <w:sz w:val="26"/>
    </w:rPr>
  </w:style>
  <w:style w:type="paragraph" w:customStyle="1" w:styleId="Callouttext">
    <w:name w:val="Callout text"/>
    <w:basedOn w:val="BodyText"/>
    <w:link w:val="CallouttextChar"/>
    <w:uiPriority w:val="29"/>
    <w:qFormat/>
    <w:rsid w:val="00B670EF"/>
    <w:pPr>
      <w:spacing w:before="85"/>
      <w:ind w:left="510"/>
    </w:pPr>
  </w:style>
  <w:style w:type="character" w:customStyle="1" w:styleId="CallouttextChar">
    <w:name w:val="Callout text Char"/>
    <w:basedOn w:val="BodyTextChar"/>
    <w:link w:val="Callouttext"/>
    <w:uiPriority w:val="29"/>
    <w:rsid w:val="00B670EF"/>
    <w:rPr>
      <w:rFonts w:ascii="Arial" w:hAnsi="Arial"/>
      <w:color w:val="000000"/>
    </w:rPr>
  </w:style>
  <w:style w:type="character" w:customStyle="1" w:styleId="Navy">
    <w:name w:val="Navy"/>
    <w:uiPriority w:val="99"/>
    <w:qFormat/>
    <w:rsid w:val="00B670EF"/>
    <w:rPr>
      <w:color w:val="2B3054"/>
    </w:rPr>
  </w:style>
  <w:style w:type="paragraph" w:customStyle="1" w:styleId="PageTitle">
    <w:name w:val="Page Title"/>
    <w:basedOn w:val="Title"/>
    <w:uiPriority w:val="36"/>
    <w:semiHidden/>
    <w:qFormat/>
    <w:rsid w:val="00B670EF"/>
    <w:pPr>
      <w:framePr w:wrap="around" w:hAnchor="text"/>
      <w:jc w:val="both"/>
    </w:pPr>
  </w:style>
  <w:style w:type="paragraph" w:customStyle="1" w:styleId="Tabletext">
    <w:name w:val="Table text"/>
    <w:basedOn w:val="Normal"/>
    <w:uiPriority w:val="19"/>
    <w:qFormat/>
    <w:rsid w:val="00B670EF"/>
    <w:pPr>
      <w:spacing w:before="120"/>
      <w:ind w:left="227" w:right="227"/>
    </w:pPr>
  </w:style>
  <w:style w:type="paragraph" w:customStyle="1" w:styleId="Tablebulletedlist1">
    <w:name w:val="Table bulleted list 1"/>
    <w:basedOn w:val="Tabletext"/>
    <w:uiPriority w:val="20"/>
    <w:qFormat/>
    <w:rsid w:val="00E546A3"/>
    <w:pPr>
      <w:numPr>
        <w:ilvl w:val="6"/>
        <w:numId w:val="23"/>
      </w:numPr>
      <w:spacing w:before="85"/>
    </w:pPr>
  </w:style>
  <w:style w:type="paragraph" w:customStyle="1" w:styleId="Tablebulletedlist2">
    <w:name w:val="Table bulleted list 2"/>
    <w:basedOn w:val="Tabletext"/>
    <w:uiPriority w:val="20"/>
    <w:qFormat/>
    <w:rsid w:val="00E546A3"/>
    <w:pPr>
      <w:numPr>
        <w:ilvl w:val="7"/>
        <w:numId w:val="23"/>
      </w:numPr>
      <w:spacing w:before="85"/>
    </w:pPr>
  </w:style>
  <w:style w:type="paragraph" w:customStyle="1" w:styleId="Tablebulletedlist3">
    <w:name w:val="Table bulleted list 3"/>
    <w:basedOn w:val="Tabletext"/>
    <w:uiPriority w:val="20"/>
    <w:qFormat/>
    <w:rsid w:val="00E546A3"/>
    <w:pPr>
      <w:numPr>
        <w:ilvl w:val="8"/>
        <w:numId w:val="23"/>
      </w:numPr>
      <w:spacing w:before="57"/>
    </w:pPr>
  </w:style>
  <w:style w:type="paragraph" w:customStyle="1" w:styleId="Tablecaption">
    <w:name w:val="Table caption"/>
    <w:basedOn w:val="Caption"/>
    <w:next w:val="Normal"/>
    <w:uiPriority w:val="14"/>
    <w:qFormat/>
    <w:rsid w:val="00B670EF"/>
  </w:style>
  <w:style w:type="paragraph" w:customStyle="1" w:styleId="Tableheading">
    <w:name w:val="Table heading"/>
    <w:basedOn w:val="Tabletext"/>
    <w:uiPriority w:val="23"/>
    <w:qFormat/>
    <w:rsid w:val="00B670EF"/>
    <w:pPr>
      <w:keepNext/>
      <w:keepLines/>
    </w:pPr>
    <w:rPr>
      <w:b/>
      <w:color w:val="FFFFFF"/>
    </w:rPr>
  </w:style>
  <w:style w:type="character" w:customStyle="1" w:styleId="Classification">
    <w:name w:val="Classification"/>
    <w:uiPriority w:val="49"/>
    <w:qFormat/>
    <w:rsid w:val="002B0C38"/>
    <w:rPr>
      <w:b/>
      <w:color w:val="666666"/>
      <w:sz w:val="22"/>
      <w:lang w:val="en-US"/>
    </w:rPr>
  </w:style>
  <w:style w:type="paragraph" w:customStyle="1" w:styleId="TOCDivider">
    <w:name w:val="TOC Divider"/>
    <w:next w:val="Normal"/>
    <w:uiPriority w:val="39"/>
    <w:qFormat/>
    <w:rsid w:val="009D334A"/>
    <w:pPr>
      <w:spacing w:before="284" w:line="840" w:lineRule="exact"/>
      <w:ind w:left="567" w:right="567"/>
    </w:pPr>
    <w:rPr>
      <w:rFonts w:ascii="Calibri" w:hAnsi="Calibri"/>
      <w:color w:val="3FACAF"/>
      <w:sz w:val="80"/>
      <w:lang w:eastAsia="en-US"/>
    </w:rPr>
  </w:style>
  <w:style w:type="character" w:styleId="Hyperlink">
    <w:name w:val="Hyperlink"/>
    <w:basedOn w:val="DefaultParagraphFont"/>
    <w:uiPriority w:val="99"/>
    <w:rsid w:val="0006646A"/>
    <w:rPr>
      <w:color w:val="0000FC"/>
      <w:u w:val="single"/>
    </w:rPr>
  </w:style>
  <w:style w:type="paragraph" w:customStyle="1" w:styleId="ClassificationInfo">
    <w:name w:val="Classification Info"/>
    <w:uiPriority w:val="99"/>
    <w:rsid w:val="005975AA"/>
    <w:pPr>
      <w:framePr w:wrap="around" w:vAnchor="page" w:hAnchor="page" w:x="738" w:y="15849"/>
      <w:spacing w:line="220" w:lineRule="exact"/>
    </w:pPr>
    <w:rPr>
      <w:rFonts w:ascii="Arial" w:hAnsi="Arial"/>
      <w:b/>
      <w:caps/>
      <w:color w:val="FFFFFF"/>
      <w:sz w:val="22"/>
      <w:lang w:val="en-US" w:eastAsia="en-US"/>
    </w:rPr>
  </w:style>
  <w:style w:type="paragraph" w:customStyle="1" w:styleId="InternalExternal">
    <w:name w:val="Internal/External"/>
    <w:uiPriority w:val="99"/>
    <w:rsid w:val="005975AA"/>
    <w:pPr>
      <w:framePr w:wrap="around" w:vAnchor="page" w:hAnchor="page" w:x="738" w:y="16132"/>
      <w:spacing w:line="160" w:lineRule="exact"/>
    </w:pPr>
    <w:rPr>
      <w:rFonts w:ascii="Arial" w:hAnsi="Arial"/>
      <w:caps/>
      <w:color w:val="FFFFFF"/>
      <w:sz w:val="16"/>
      <w:lang w:val="en-US" w:eastAsia="en-US"/>
    </w:rPr>
  </w:style>
  <w:style w:type="paragraph" w:styleId="ListParagraph">
    <w:name w:val="List Paragraph"/>
    <w:aliases w:val="NFP GP Bulleted List,List Paragraph1,Recommendation,List Paragraph11"/>
    <w:basedOn w:val="Normal"/>
    <w:link w:val="ListParagraphChar"/>
    <w:uiPriority w:val="34"/>
    <w:qFormat/>
    <w:rsid w:val="00637CC6"/>
    <w:pPr>
      <w:ind w:left="720"/>
      <w:contextualSpacing/>
    </w:pPr>
  </w:style>
  <w:style w:type="character" w:customStyle="1" w:styleId="ListParagraphChar">
    <w:name w:val="List Paragraph Char"/>
    <w:aliases w:val="NFP GP Bulleted List Char,List Paragraph1 Char,Recommendation Char,List Paragraph11 Char"/>
    <w:link w:val="ListParagraph"/>
    <w:uiPriority w:val="34"/>
    <w:locked/>
    <w:rsid w:val="00F02514"/>
    <w:rPr>
      <w:rFonts w:ascii="Arial" w:hAnsi="Arial"/>
      <w:color w:val="000000"/>
      <w:sz w:val="22"/>
      <w:lang w:eastAsia="en-US"/>
    </w:rPr>
  </w:style>
  <w:style w:type="character" w:styleId="FootnoteReference">
    <w:name w:val="footnote reference"/>
    <w:basedOn w:val="DefaultParagraphFont"/>
    <w:uiPriority w:val="99"/>
    <w:rsid w:val="00F02514"/>
    <w:rPr>
      <w:vertAlign w:val="superscript"/>
    </w:rPr>
  </w:style>
  <w:style w:type="character" w:styleId="CommentReference">
    <w:name w:val="annotation reference"/>
    <w:basedOn w:val="DefaultParagraphFont"/>
    <w:uiPriority w:val="99"/>
    <w:semiHidden/>
    <w:rsid w:val="00504AC4"/>
    <w:rPr>
      <w:sz w:val="16"/>
      <w:szCs w:val="16"/>
    </w:rPr>
  </w:style>
  <w:style w:type="paragraph" w:styleId="CommentText">
    <w:name w:val="annotation text"/>
    <w:basedOn w:val="Normal"/>
    <w:link w:val="CommentTextChar"/>
    <w:uiPriority w:val="99"/>
    <w:semiHidden/>
    <w:rsid w:val="00504AC4"/>
    <w:pPr>
      <w:spacing w:line="240" w:lineRule="auto"/>
    </w:pPr>
    <w:rPr>
      <w:rFonts w:asciiTheme="minorHAnsi" w:eastAsiaTheme="minorHAnsi" w:hAnsiTheme="minorHAnsi"/>
      <w:color w:val="000000" w:themeColor="text1"/>
      <w:sz w:val="20"/>
    </w:rPr>
  </w:style>
  <w:style w:type="character" w:customStyle="1" w:styleId="CommentTextChar">
    <w:name w:val="Comment Text Char"/>
    <w:basedOn w:val="DefaultParagraphFont"/>
    <w:link w:val="CommentText"/>
    <w:uiPriority w:val="99"/>
    <w:semiHidden/>
    <w:rsid w:val="00504AC4"/>
    <w:rPr>
      <w:rFonts w:asciiTheme="minorHAnsi" w:eastAsiaTheme="minorHAnsi" w:hAnsiTheme="minorHAnsi"/>
      <w:color w:val="000000" w:themeColor="text1"/>
      <w:lang w:eastAsia="en-US"/>
    </w:rPr>
  </w:style>
  <w:style w:type="paragraph" w:styleId="CommentSubject">
    <w:name w:val="annotation subject"/>
    <w:basedOn w:val="CommentText"/>
    <w:next w:val="CommentText"/>
    <w:link w:val="CommentSubjectChar"/>
    <w:uiPriority w:val="99"/>
    <w:semiHidden/>
    <w:rsid w:val="00EA05B0"/>
    <w:rPr>
      <w:rFonts w:ascii="Arial" w:eastAsia="Arial" w:hAnsi="Arial"/>
      <w:b/>
      <w:bCs/>
      <w:color w:val="000000"/>
    </w:rPr>
  </w:style>
  <w:style w:type="character" w:customStyle="1" w:styleId="CommentSubjectChar">
    <w:name w:val="Comment Subject Char"/>
    <w:basedOn w:val="CommentTextChar"/>
    <w:link w:val="CommentSubject"/>
    <w:uiPriority w:val="99"/>
    <w:semiHidden/>
    <w:rsid w:val="00EA05B0"/>
    <w:rPr>
      <w:rFonts w:ascii="Arial" w:eastAsiaTheme="minorHAnsi" w:hAnsi="Arial"/>
      <w:b/>
      <w:bCs/>
      <w:color w:val="000000"/>
      <w:lang w:eastAsia="en-US"/>
    </w:rPr>
  </w:style>
  <w:style w:type="table" w:styleId="MediumList2-Accent1">
    <w:name w:val="Medium List 2 Accent 1"/>
    <w:basedOn w:val="TableNormal"/>
    <w:uiPriority w:val="66"/>
    <w:rsid w:val="00E326A7"/>
    <w:rPr>
      <w:rFonts w:asciiTheme="majorHAnsi" w:eastAsiaTheme="majorEastAsia" w:hAnsiTheme="majorHAnsi" w:cstheme="majorBidi"/>
      <w:color w:val="000000" w:themeColor="text1"/>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Bullet">
    <w:name w:val="Bullet"/>
    <w:basedOn w:val="Normal"/>
    <w:link w:val="BulletChar"/>
    <w:rsid w:val="00E326A7"/>
    <w:pPr>
      <w:numPr>
        <w:numId w:val="49"/>
      </w:numPr>
      <w:jc w:val="both"/>
    </w:pPr>
    <w:rPr>
      <w:rFonts w:asciiTheme="minorHAnsi" w:eastAsiaTheme="majorEastAsia" w:hAnsiTheme="minorHAnsi" w:cstheme="majorBidi"/>
      <w:color w:val="000000" w:themeColor="text1"/>
    </w:rPr>
  </w:style>
  <w:style w:type="character" w:customStyle="1" w:styleId="BulletChar">
    <w:name w:val="Bullet Char"/>
    <w:basedOn w:val="DefaultParagraphFont"/>
    <w:link w:val="Bullet"/>
    <w:rsid w:val="00E326A7"/>
    <w:rPr>
      <w:rFonts w:asciiTheme="minorHAnsi" w:eastAsiaTheme="majorEastAsia" w:hAnsiTheme="minorHAnsi" w:cstheme="majorBidi"/>
      <w:color w:val="000000" w:themeColor="text1"/>
      <w:sz w:val="22"/>
      <w:lang w:eastAsia="en-US"/>
    </w:rPr>
  </w:style>
  <w:style w:type="paragraph" w:customStyle="1" w:styleId="Dash">
    <w:name w:val="Dash"/>
    <w:basedOn w:val="Normal"/>
    <w:rsid w:val="00E326A7"/>
    <w:pPr>
      <w:numPr>
        <w:ilvl w:val="1"/>
        <w:numId w:val="49"/>
      </w:numPr>
      <w:jc w:val="both"/>
    </w:pPr>
    <w:rPr>
      <w:rFonts w:asciiTheme="minorHAnsi" w:eastAsiaTheme="majorEastAsia" w:hAnsiTheme="minorHAnsi" w:cstheme="majorBidi"/>
      <w:color w:val="000000" w:themeColor="text1"/>
    </w:rPr>
  </w:style>
  <w:style w:type="paragraph" w:customStyle="1" w:styleId="DoubleDot">
    <w:name w:val="Double Dot"/>
    <w:basedOn w:val="Normal"/>
    <w:rsid w:val="00E326A7"/>
    <w:pPr>
      <w:numPr>
        <w:ilvl w:val="2"/>
        <w:numId w:val="49"/>
      </w:numPr>
      <w:jc w:val="both"/>
    </w:pPr>
    <w:rPr>
      <w:rFonts w:asciiTheme="minorHAnsi" w:eastAsiaTheme="majorEastAsia" w:hAnsiTheme="minorHAnsi" w:cstheme="majorBidi"/>
      <w:color w:val="000000" w:themeColor="text1"/>
    </w:rPr>
  </w:style>
  <w:style w:type="character" w:customStyle="1" w:styleId="s1">
    <w:name w:val="s1"/>
    <w:basedOn w:val="DefaultParagraphFont"/>
    <w:rsid w:val="009D5220"/>
    <w:rPr>
      <w:rFonts w:ascii=".SFUIText" w:hAnsi=".SFUIText" w:hint="default"/>
      <w:b w:val="0"/>
      <w:bCs w:val="0"/>
      <w:i w:val="0"/>
      <w:iCs w:val="0"/>
      <w:sz w:val="34"/>
      <w:szCs w:val="34"/>
    </w:rPr>
  </w:style>
  <w:style w:type="paragraph" w:styleId="Revision">
    <w:name w:val="Revision"/>
    <w:hidden/>
    <w:uiPriority w:val="71"/>
    <w:rsid w:val="005939D2"/>
    <w:rPr>
      <w:rFonts w:ascii="Arial" w:hAnsi="Arial"/>
      <w:color w:val="000000"/>
      <w:sz w:val="22"/>
      <w:lang w:eastAsia="en-US"/>
    </w:rPr>
  </w:style>
  <w:style w:type="table" w:styleId="LightShading-Accent1">
    <w:name w:val="Light Shading Accent 1"/>
    <w:basedOn w:val="TableNormal"/>
    <w:uiPriority w:val="60"/>
    <w:rsid w:val="00B13DC6"/>
    <w:rPr>
      <w:rFonts w:asciiTheme="minorHAnsi" w:eastAsiaTheme="minorEastAsia" w:hAnsiTheme="minorHAnsi" w:cstheme="minorBidi"/>
      <w:color w:val="365F91" w:themeColor="accent1" w:themeShade="BF"/>
      <w:sz w:val="22"/>
      <w:szCs w:val="22"/>
      <w:lang w:val="en-US" w:eastAsia="ja-JP"/>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color w:val="365F91" w:themeColor="accent1" w:themeShade="BF"/>
      </w:rPr>
    </w:tblStylePr>
    <w:tblStylePr w:type="lastCol">
      <w:rPr>
        <w:b/>
        <w:bCs/>
        <w:color w:val="365F91" w:themeColor="accent1" w:themeShade="BF"/>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OutlineNumbered1">
    <w:name w:val="Outline Numbered 1"/>
    <w:basedOn w:val="Normal"/>
    <w:link w:val="OutlineNumbered1Char"/>
    <w:rsid w:val="00562451"/>
    <w:pPr>
      <w:numPr>
        <w:numId w:val="53"/>
      </w:numPr>
    </w:pPr>
  </w:style>
  <w:style w:type="character" w:customStyle="1" w:styleId="OutlineNumbered1Char">
    <w:name w:val="Outline Numbered 1 Char"/>
    <w:basedOn w:val="DefaultParagraphFont"/>
    <w:link w:val="OutlineNumbered1"/>
    <w:rsid w:val="00562451"/>
    <w:rPr>
      <w:rFonts w:ascii="Arial" w:hAnsi="Arial"/>
      <w:color w:val="000000"/>
      <w:sz w:val="22"/>
      <w:lang w:eastAsia="en-US"/>
    </w:rPr>
  </w:style>
  <w:style w:type="paragraph" w:customStyle="1" w:styleId="OutlineNumbered2">
    <w:name w:val="Outline Numbered 2"/>
    <w:basedOn w:val="Normal"/>
    <w:link w:val="OutlineNumbered2Char"/>
    <w:rsid w:val="00562451"/>
    <w:pPr>
      <w:numPr>
        <w:ilvl w:val="1"/>
        <w:numId w:val="53"/>
      </w:numPr>
    </w:pPr>
  </w:style>
  <w:style w:type="character" w:customStyle="1" w:styleId="OutlineNumbered2Char">
    <w:name w:val="Outline Numbered 2 Char"/>
    <w:basedOn w:val="DefaultParagraphFont"/>
    <w:link w:val="OutlineNumbered2"/>
    <w:rsid w:val="00562451"/>
    <w:rPr>
      <w:rFonts w:ascii="Arial" w:hAnsi="Arial"/>
      <w:color w:val="000000"/>
      <w:sz w:val="22"/>
      <w:lang w:eastAsia="en-US"/>
    </w:rPr>
  </w:style>
  <w:style w:type="paragraph" w:customStyle="1" w:styleId="OutlineNumbered3">
    <w:name w:val="Outline Numbered 3"/>
    <w:basedOn w:val="Normal"/>
    <w:link w:val="OutlineNumbered3Char"/>
    <w:rsid w:val="00562451"/>
    <w:pPr>
      <w:numPr>
        <w:ilvl w:val="2"/>
        <w:numId w:val="53"/>
      </w:numPr>
    </w:pPr>
  </w:style>
  <w:style w:type="character" w:customStyle="1" w:styleId="OutlineNumbered3Char">
    <w:name w:val="Outline Numbered 3 Char"/>
    <w:basedOn w:val="DefaultParagraphFont"/>
    <w:link w:val="OutlineNumbered3"/>
    <w:rsid w:val="00562451"/>
    <w:rPr>
      <w:rFonts w:ascii="Arial" w:hAnsi="Arial"/>
      <w:color w:val="000000"/>
      <w:sz w:val="22"/>
      <w:lang w:eastAsia="en-US"/>
    </w:rPr>
  </w:style>
  <w:style w:type="table" w:customStyle="1" w:styleId="TableGrid4">
    <w:name w:val="Table Grid4"/>
    <w:basedOn w:val="TableNormal"/>
    <w:next w:val="TableGrid"/>
    <w:rsid w:val="00CA009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CA009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rsid w:val="00DB6E7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w:eastAsia="Arial" w:hAnsi="Courier" w:cs="Times New Roman"/>
        <w:lang w:val="en-AU" w:eastAsia="en-AU" w:bidi="ar-SA"/>
      </w:rPr>
    </w:rPrDefault>
    <w:pPrDefault/>
  </w:docDefaults>
  <w:latentStyles w:defLockedState="0" w:defUIPriority="99" w:defSemiHidden="1" w:defUnhideWhenUsed="0" w:defQFormat="0" w:count="267">
    <w:lsdException w:name="Normal" w:semiHidden="0" w:uiPriority="0" w:qFormat="1"/>
    <w:lsdException w:name="heading 1" w:semiHidden="0" w:uiPriority="4" w:qFormat="1"/>
    <w:lsdException w:name="heading 2" w:semiHidden="0" w:uiPriority="4" w:qFormat="1"/>
    <w:lsdException w:name="heading 3" w:semiHidden="0" w:uiPriority="4" w:qFormat="1"/>
    <w:lsdException w:name="heading 4" w:semiHidden="0" w:uiPriority="4" w:qFormat="1"/>
    <w:lsdException w:name="heading 5" w:semiHidden="0" w:uiPriority="4" w:qFormat="1"/>
    <w:lsdException w:name="heading 6" w:semiHidden="0" w:uiPriority="4" w:qFormat="1"/>
    <w:lsdException w:name="heading 7" w:semiHidden="0" w:uiPriority="4" w:qFormat="1"/>
    <w:lsdException w:name="heading 8" w:semiHidden="0" w:uiPriority="4" w:qFormat="1"/>
    <w:lsdException w:name="heading 9" w:semiHidden="0" w:uiPriority="4"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semiHidden="0" w:uiPriority="49"/>
    <w:lsdException w:name="footer" w:semiHidden="0"/>
    <w:lsdException w:name="caption" w:semiHidden="0" w:uiPriority="14" w:qFormat="1"/>
    <w:lsdException w:name="page number" w:uiPriority="49"/>
    <w:lsdException w:name="endnote text" w:uiPriority="44"/>
    <w:lsdException w:name="Title" w:semiHidden="0" w:uiPriority="36" w:qFormat="1"/>
    <w:lsdException w:name="Default Paragraph Font" w:uiPriority="1" w:unhideWhenUsed="1"/>
    <w:lsdException w:name="Body Text" w:semiHidden="0" w:uiPriority="0" w:qFormat="1"/>
    <w:lsdException w:name="Subtitle" w:semiHidden="0" w:uiPriority="37" w:qFormat="1"/>
    <w:lsdException w:name="Date" w:uiPriority="38"/>
    <w:lsdException w:name="Strong" w:semiHidden="0" w:qFormat="1"/>
    <w:lsdException w:name="Emphasis" w:semiHidden="0"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qFormat="1"/>
    <w:lsdException w:name="Medium Grid 2" w:qFormat="1"/>
    <w:lsdException w:name="Medium Grid 3" w:semiHidden="0" w:uiPriority="60"/>
    <w:lsdException w:name="Dark List" w:semiHidden="0" w:uiPriority="61"/>
    <w:lsdException w:name="Colorful Shading" w:semiHidden="0" w:uiPriority="62"/>
    <w:lsdException w:name="Colorful List" w:semiHidden="0" w:uiPriority="63"/>
    <w:lsdException w:name="Colorful Grid" w:semiHidden="0" w:uiPriority="64"/>
    <w:lsdException w:name="Light Shading Accent 1" w:semiHidden="0" w:uiPriority="60"/>
    <w:lsdException w:name="Light List Accent 1" w:semiHidden="0" w:uiPriority="66"/>
    <w:lsdException w:name="Light Grid Accent 1" w:semiHidden="0" w:uiPriority="67"/>
    <w:lsdException w:name="Medium Shading 1 Accent 1" w:semiHidden="0" w:uiPriority="68"/>
    <w:lsdException w:name="Medium Shading 2 Accent 1" w:semiHidden="0" w:uiPriority="69"/>
    <w:lsdException w:name="Medium List 1 Accent 1" w:semiHidden="0" w:uiPriority="70"/>
    <w:lsdException w:name="Revision" w:semiHidden="0" w:uiPriority="71"/>
    <w:lsdException w:name="List Paragraph" w:semiHidden="0" w:uiPriority="34" w:qFormat="1"/>
    <w:lsdException w:name="Quote" w:semiHidden="0" w:uiPriority="73" w:qFormat="1"/>
    <w:lsdException w:name="Intense Quote" w:semiHidden="0" w:uiPriority="60" w:qFormat="1"/>
    <w:lsdException w:name="Medium List 2 Accent 1" w:semiHidden="0" w:uiPriority="66"/>
    <w:lsdException w:name="Medium Grid 1 Accent 1" w:semiHidden="0" w:uiPriority="62"/>
    <w:lsdException w:name="Medium Grid 2 Accent 1" w:semiHidden="0" w:uiPriority="63"/>
    <w:lsdException w:name="Medium Grid 3 Accent 1" w:semiHidden="0" w:uiPriority="64"/>
    <w:lsdException w:name="Dark List Accent 1" w:semiHidden="0" w:uiPriority="65"/>
    <w:lsdException w:name="Colorful List Accent 1" w:qFormat="1"/>
    <w:lsdException w:name="Colorful Grid Accent 1" w:uiPriority="9" w:qFormat="1"/>
    <w:lsdException w:name="Light Shading Accent 2" w:qFormat="1"/>
    <w:lsdException w:name="Light List Accent 2" w:semiHidden="0" w:uiPriority="66"/>
    <w:lsdException w:name="Light Grid Accent 2" w:semiHidden="0" w:uiPriority="67"/>
    <w:lsdException w:name="Medium Shading 1 Accent 2" w:semiHidden="0" w:uiPriority="68"/>
    <w:lsdException w:name="Medium Shading 2 Accent 2" w:semiHidden="0" w:uiPriority="69"/>
    <w:lsdException w:name="Medium List 1 Accent 2" w:semiHidden="0" w:uiPriority="70"/>
    <w:lsdException w:name="Medium List 2 Accent 2" w:semiHidden="0" w:uiPriority="71"/>
    <w:lsdException w:name="Medium Grid 1 Accent 2" w:semiHidden="0" w:uiPriority="72"/>
    <w:lsdException w:name="Medium Grid 2 Accent 2" w:semiHidden="0" w:uiPriority="73"/>
    <w:lsdException w:name="Medium Grid 3 Accent 2" w:semiHidden="0" w:uiPriority="60"/>
    <w:lsdException w:name="Dark List Accent 2" w:semiHidden="0" w:uiPriority="61"/>
    <w:lsdException w:name="Colorful Shading Accent 2" w:semiHidden="0" w:uiPriority="62"/>
    <w:lsdException w:name="Colorful List Accent 2" w:semiHidden="0" w:uiPriority="63"/>
    <w:lsdException w:name="Colorful Grid Accent 2" w:semiHidden="0" w:uiPriority="64"/>
    <w:lsdException w:name="Light Shading Accent 3" w:semiHidden="0" w:uiPriority="65"/>
    <w:lsdException w:name="Light List Accent 3" w:semiHidden="0" w:uiPriority="66"/>
    <w:lsdException w:name="Light Grid Accent 3" w:semiHidden="0" w:uiPriority="67"/>
    <w:lsdException w:name="Medium Shading 1 Accent 3" w:semiHidden="0" w:uiPriority="68"/>
    <w:lsdException w:name="Medium Shading 2 Accent 3" w:semiHidden="0" w:uiPriority="69"/>
    <w:lsdException w:name="Medium List 1 Accent 3" w:semiHidden="0" w:uiPriority="70"/>
    <w:lsdException w:name="Medium List 2 Accent 3" w:semiHidden="0" w:uiPriority="71"/>
    <w:lsdException w:name="Medium Grid 1 Accent 3" w:semiHidden="0" w:uiPriority="72"/>
    <w:lsdException w:name="Medium Grid 2 Accent 3" w:semiHidden="0" w:uiPriority="73"/>
    <w:lsdException w:name="Medium Grid 3 Accent 3" w:semiHidden="0" w:uiPriority="60"/>
    <w:lsdException w:name="Dark List Accent 3" w:semiHidden="0" w:uiPriority="61"/>
    <w:lsdException w:name="Colorful Shading Accent 3" w:semiHidden="0" w:uiPriority="62"/>
    <w:lsdException w:name="Colorful List Accent 3" w:semiHidden="0" w:uiPriority="63"/>
    <w:lsdException w:name="Colorful Grid Accent 3" w:semiHidden="0" w:uiPriority="64"/>
    <w:lsdException w:name="Light Shading Accent 4" w:semiHidden="0" w:uiPriority="65"/>
    <w:lsdException w:name="Light List Accent 4" w:semiHidden="0" w:uiPriority="66"/>
    <w:lsdException w:name="Light Grid Accent 4" w:semiHidden="0" w:uiPriority="67"/>
    <w:lsdException w:name="Medium Shading 1 Accent 4" w:semiHidden="0" w:uiPriority="68"/>
    <w:lsdException w:name="Medium Shading 2 Accent 4" w:semiHidden="0" w:uiPriority="69"/>
    <w:lsdException w:name="Medium List 1 Accent 4" w:semiHidden="0" w:uiPriority="70"/>
    <w:lsdException w:name="Medium List 2 Accent 4" w:semiHidden="0" w:uiPriority="71"/>
    <w:lsdException w:name="Medium Grid 1 Accent 4" w:semiHidden="0" w:uiPriority="72"/>
    <w:lsdException w:name="Medium Grid 2 Accent 4" w:semiHidden="0" w:uiPriority="73"/>
    <w:lsdException w:name="Medium Grid 3 Accent 4" w:semiHidden="0" w:uiPriority="60"/>
    <w:lsdException w:name="Dark List Accent 4" w:semiHidden="0" w:uiPriority="61"/>
    <w:lsdException w:name="Colorful Shading Accent 4" w:semiHidden="0" w:uiPriority="62"/>
    <w:lsdException w:name="Colorful List Accent 4" w:semiHidden="0" w:uiPriority="63"/>
    <w:lsdException w:name="Colorful Grid Accent 4" w:semiHidden="0" w:uiPriority="64"/>
    <w:lsdException w:name="Light Shading Accent 5" w:semiHidden="0" w:uiPriority="65"/>
    <w:lsdException w:name="Light List Accent 5" w:semiHidden="0" w:uiPriority="66"/>
    <w:lsdException w:name="Light Grid Accent 5" w:semiHidden="0" w:uiPriority="67"/>
    <w:lsdException w:name="Medium Shading 1 Accent 5" w:semiHidden="0" w:uiPriority="68"/>
    <w:lsdException w:name="Medium Shading 2 Accent 5" w:semiHidden="0" w:uiPriority="69"/>
    <w:lsdException w:name="Medium List 1 Accent 5" w:semiHidden="0" w:uiPriority="70"/>
    <w:lsdException w:name="Medium List 2 Accent 5" w:semiHidden="0" w:uiPriority="71"/>
    <w:lsdException w:name="Medium Grid 1 Accent 5" w:semiHidden="0" w:uiPriority="72"/>
    <w:lsdException w:name="Medium Grid 2 Accent 5" w:semiHidden="0" w:uiPriority="73"/>
    <w:lsdException w:name="Medium Grid 3 Accent 5" w:semiHidden="0" w:uiPriority="60"/>
    <w:lsdException w:name="Dark List Accent 5" w:semiHidden="0" w:uiPriority="61"/>
    <w:lsdException w:name="Colorful Shading Accent 5" w:semiHidden="0" w:uiPriority="62"/>
    <w:lsdException w:name="Colorful List Accent 5" w:semiHidden="0" w:uiPriority="63"/>
    <w:lsdException w:name="Colorful Grid Accent 5" w:semiHidden="0" w:uiPriority="64"/>
    <w:lsdException w:name="Light Shading Accent 6" w:semiHidden="0" w:uiPriority="65"/>
    <w:lsdException w:name="Light List Accent 6" w:semiHidden="0" w:uiPriority="66"/>
    <w:lsdException w:name="Light Grid Accent 6" w:semiHidden="0" w:uiPriority="67"/>
    <w:lsdException w:name="Medium Shading 1 Accent 6" w:semiHidden="0" w:uiPriority="68"/>
    <w:lsdException w:name="Medium Shading 2 Accent 6" w:semiHidden="0" w:uiPriority="69"/>
    <w:lsdException w:name="Medium List 1 Accent 6" w:semiHidden="0" w:uiPriority="70"/>
    <w:lsdException w:name="Medium List 2 Accent 6" w:semiHidden="0" w:uiPriority="71"/>
    <w:lsdException w:name="Medium Grid 1 Accent 6" w:semiHidden="0" w:uiPriority="72"/>
    <w:lsdException w:name="Medium Grid 2 Accent 6" w:semiHidden="0" w:uiPriority="73"/>
    <w:lsdException w:name="Medium Grid 3 Accent 6" w:semiHidden="0" w:uiPriority="60"/>
    <w:lsdException w:name="Dark List Accent 6" w:semiHidden="0" w:uiPriority="61"/>
    <w:lsdException w:name="Colorful Shading Accent 6" w:semiHidden="0" w:uiPriority="62"/>
    <w:lsdException w:name="Colorful List Accent 6" w:semiHidden="0" w:uiPriority="63"/>
    <w:lsdException w:name="Colorful Grid Accent 6" w:semiHidden="0" w:uiPriority="64"/>
    <w:lsdException w:name="Subtle Emphasis" w:semiHidden="0" w:uiPriority="65" w:qFormat="1"/>
    <w:lsdException w:name="Intense Emphasis" w:semiHidden="0" w:uiPriority="66" w:qFormat="1"/>
    <w:lsdException w:name="Subtle Reference" w:semiHidden="0" w:uiPriority="67" w:qFormat="1"/>
    <w:lsdException w:name="Intense Reference" w:semiHidden="0" w:uiPriority="68" w:qFormat="1"/>
    <w:lsdException w:name="Book Title" w:semiHidden="0" w:uiPriority="69" w:qFormat="1"/>
    <w:lsdException w:name="Bibliography" w:semiHidden="0" w:uiPriority="70"/>
    <w:lsdException w:name="TOC Heading" w:uiPriority="71" w:unhideWhenUsed="1" w:qFormat="1"/>
  </w:latentStyles>
  <w:style w:type="paragraph" w:default="1" w:styleId="Normal">
    <w:name w:val="Normal"/>
    <w:qFormat/>
    <w:rsid w:val="00CF3469"/>
    <w:pPr>
      <w:spacing w:before="140" w:line="240" w:lineRule="atLeast"/>
    </w:pPr>
    <w:rPr>
      <w:rFonts w:ascii="Arial" w:hAnsi="Arial"/>
      <w:color w:val="000000"/>
      <w:sz w:val="22"/>
      <w:lang w:eastAsia="en-US"/>
    </w:rPr>
  </w:style>
  <w:style w:type="paragraph" w:styleId="Heading1">
    <w:name w:val="heading 1"/>
    <w:next w:val="Normal"/>
    <w:link w:val="Heading1Char"/>
    <w:uiPriority w:val="4"/>
    <w:qFormat/>
    <w:rsid w:val="00A35A7F"/>
    <w:pPr>
      <w:keepNext/>
      <w:keepLines/>
      <w:framePr w:w="9072" w:wrap="notBeside" w:vAnchor="text" w:hAnchor="text" w:y="1"/>
      <w:spacing w:before="340" w:line="600" w:lineRule="exact"/>
      <w:outlineLvl w:val="0"/>
    </w:pPr>
    <w:rPr>
      <w:rFonts w:ascii="Calibri" w:eastAsia="Times New Roman" w:hAnsi="Calibri"/>
      <w:bCs/>
      <w:color w:val="2B3054"/>
      <w:sz w:val="56"/>
      <w:szCs w:val="28"/>
      <w:lang w:eastAsia="en-US"/>
    </w:rPr>
  </w:style>
  <w:style w:type="paragraph" w:styleId="Heading2">
    <w:name w:val="heading 2"/>
    <w:next w:val="Normal"/>
    <w:link w:val="Heading2Char"/>
    <w:uiPriority w:val="4"/>
    <w:qFormat/>
    <w:rsid w:val="00A35A7F"/>
    <w:pPr>
      <w:keepNext/>
      <w:keepLines/>
      <w:spacing w:before="400" w:line="460" w:lineRule="exact"/>
      <w:outlineLvl w:val="1"/>
    </w:pPr>
    <w:rPr>
      <w:rFonts w:ascii="Calibri" w:eastAsia="Times New Roman" w:hAnsi="Calibri"/>
      <w:bCs/>
      <w:color w:val="0F979B"/>
      <w:sz w:val="42"/>
      <w:szCs w:val="26"/>
      <w:lang w:eastAsia="en-US"/>
    </w:rPr>
  </w:style>
  <w:style w:type="paragraph" w:styleId="Heading3">
    <w:name w:val="heading 3"/>
    <w:next w:val="Normal"/>
    <w:link w:val="Heading3Char"/>
    <w:uiPriority w:val="4"/>
    <w:qFormat/>
    <w:rsid w:val="009B438D"/>
    <w:pPr>
      <w:keepNext/>
      <w:keepLines/>
      <w:spacing w:before="400" w:line="380" w:lineRule="exact"/>
      <w:outlineLvl w:val="2"/>
    </w:pPr>
    <w:rPr>
      <w:rFonts w:ascii="Calibri" w:eastAsia="Times New Roman" w:hAnsi="Calibri"/>
      <w:bCs/>
      <w:color w:val="2B3054"/>
      <w:sz w:val="34"/>
      <w:lang w:eastAsia="en-US"/>
    </w:rPr>
  </w:style>
  <w:style w:type="paragraph" w:styleId="Heading4">
    <w:name w:val="heading 4"/>
    <w:next w:val="Normal"/>
    <w:link w:val="Heading4Char"/>
    <w:uiPriority w:val="4"/>
    <w:qFormat/>
    <w:rsid w:val="00A35A7F"/>
    <w:pPr>
      <w:keepNext/>
      <w:keepLines/>
      <w:spacing w:before="400" w:line="300" w:lineRule="exact"/>
      <w:outlineLvl w:val="3"/>
    </w:pPr>
    <w:rPr>
      <w:rFonts w:ascii="Calibri" w:eastAsia="Times New Roman" w:hAnsi="Calibri"/>
      <w:b/>
      <w:bCs/>
      <w:iCs/>
      <w:color w:val="15565F"/>
      <w:sz w:val="26"/>
      <w:lang w:eastAsia="en-US"/>
    </w:rPr>
  </w:style>
  <w:style w:type="paragraph" w:styleId="Heading5">
    <w:name w:val="heading 5"/>
    <w:next w:val="BodyText"/>
    <w:link w:val="Heading5Char"/>
    <w:uiPriority w:val="4"/>
    <w:qFormat/>
    <w:rsid w:val="00B670EF"/>
    <w:pPr>
      <w:keepNext/>
      <w:keepLines/>
      <w:spacing w:before="200"/>
      <w:outlineLvl w:val="4"/>
    </w:pPr>
    <w:rPr>
      <w:rFonts w:ascii="Calibri" w:eastAsia="Times New Roman" w:hAnsi="Calibri"/>
      <w:color w:val="074A4D"/>
      <w:lang w:eastAsia="en-US"/>
    </w:rPr>
  </w:style>
  <w:style w:type="paragraph" w:styleId="Heading6">
    <w:name w:val="heading 6"/>
    <w:next w:val="BodyText"/>
    <w:link w:val="Heading6Char"/>
    <w:uiPriority w:val="4"/>
    <w:qFormat/>
    <w:rsid w:val="00B670EF"/>
    <w:pPr>
      <w:keepNext/>
      <w:keepLines/>
      <w:spacing w:before="200"/>
      <w:outlineLvl w:val="5"/>
    </w:pPr>
    <w:rPr>
      <w:rFonts w:ascii="Calibri" w:eastAsia="Times New Roman" w:hAnsi="Calibri"/>
      <w:i/>
      <w:iCs/>
      <w:color w:val="074A4D"/>
      <w:lang w:eastAsia="en-US"/>
    </w:rPr>
  </w:style>
  <w:style w:type="paragraph" w:styleId="Heading7">
    <w:name w:val="heading 7"/>
    <w:next w:val="BodyText"/>
    <w:link w:val="Heading7Char"/>
    <w:uiPriority w:val="4"/>
    <w:qFormat/>
    <w:rsid w:val="00B670EF"/>
    <w:pPr>
      <w:keepNext/>
      <w:keepLines/>
      <w:spacing w:before="200"/>
      <w:outlineLvl w:val="6"/>
    </w:pPr>
    <w:rPr>
      <w:rFonts w:ascii="Calibri" w:eastAsia="Times New Roman" w:hAnsi="Calibri"/>
      <w:i/>
      <w:iCs/>
      <w:color w:val="404040"/>
      <w:lang w:eastAsia="en-US"/>
    </w:rPr>
  </w:style>
  <w:style w:type="paragraph" w:styleId="Heading8">
    <w:name w:val="heading 8"/>
    <w:next w:val="BodyText"/>
    <w:link w:val="Heading8Char"/>
    <w:uiPriority w:val="4"/>
    <w:qFormat/>
    <w:rsid w:val="00B670EF"/>
    <w:pPr>
      <w:keepNext/>
      <w:keepLines/>
      <w:spacing w:before="200"/>
      <w:outlineLvl w:val="7"/>
    </w:pPr>
    <w:rPr>
      <w:rFonts w:ascii="Calibri" w:eastAsia="Times New Roman" w:hAnsi="Calibri"/>
      <w:color w:val="404040"/>
      <w:lang w:eastAsia="en-US"/>
    </w:rPr>
  </w:style>
  <w:style w:type="paragraph" w:styleId="Heading9">
    <w:name w:val="heading 9"/>
    <w:next w:val="BodyText"/>
    <w:link w:val="Heading9Char"/>
    <w:uiPriority w:val="4"/>
    <w:qFormat/>
    <w:rsid w:val="00B670EF"/>
    <w:pPr>
      <w:keepNext/>
      <w:keepLines/>
      <w:spacing w:before="200"/>
      <w:outlineLvl w:val="8"/>
    </w:pPr>
    <w:rPr>
      <w:rFonts w:ascii="Calibri" w:eastAsia="Times New Roman" w:hAnsi="Calibri"/>
      <w:i/>
      <w:iCs/>
      <w:color w:val="40404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B670EF"/>
    <w:rPr>
      <w:rFonts w:ascii="Tahoma" w:hAnsi="Tahoma" w:cs="Tahoma"/>
      <w:sz w:val="16"/>
      <w:szCs w:val="16"/>
    </w:rPr>
  </w:style>
  <w:style w:type="character" w:customStyle="1" w:styleId="BalloonTextChar">
    <w:name w:val="Balloon Text Char"/>
    <w:basedOn w:val="DefaultParagraphFont"/>
    <w:link w:val="BalloonText"/>
    <w:uiPriority w:val="99"/>
    <w:semiHidden/>
    <w:rsid w:val="00B670EF"/>
    <w:rPr>
      <w:rFonts w:ascii="Tahoma" w:hAnsi="Tahoma" w:cs="Tahoma"/>
      <w:color w:val="000000"/>
      <w:sz w:val="16"/>
      <w:szCs w:val="16"/>
    </w:rPr>
  </w:style>
  <w:style w:type="table" w:styleId="TableGrid">
    <w:name w:val="Table Grid"/>
    <w:basedOn w:val="TableNormal"/>
    <w:uiPriority w:val="59"/>
    <w:rsid w:val="00B670EF"/>
    <w:rPr>
      <w:rFonts w:ascii="Arial" w:hAnsi="Arial"/>
    </w:rPr>
    <w:tblPr>
      <w:tblCellMar>
        <w:left w:w="0" w:type="dxa"/>
        <w:right w:w="0" w:type="dxa"/>
      </w:tblCellMar>
    </w:tblPr>
  </w:style>
  <w:style w:type="character" w:customStyle="1" w:styleId="Heading1Char">
    <w:name w:val="Heading 1 Char"/>
    <w:basedOn w:val="DefaultParagraphFont"/>
    <w:link w:val="Heading1"/>
    <w:uiPriority w:val="4"/>
    <w:rsid w:val="00A35A7F"/>
    <w:rPr>
      <w:rFonts w:ascii="Calibri" w:eastAsia="Times New Roman" w:hAnsi="Calibri"/>
      <w:bCs/>
      <w:color w:val="2B3054"/>
      <w:sz w:val="56"/>
      <w:szCs w:val="28"/>
      <w:lang w:val="en-AU" w:eastAsia="en-US" w:bidi="ar-SA"/>
    </w:rPr>
  </w:style>
  <w:style w:type="paragraph" w:styleId="Footer">
    <w:name w:val="footer"/>
    <w:link w:val="FooterChar"/>
    <w:uiPriority w:val="99"/>
    <w:rsid w:val="004F244C"/>
    <w:pPr>
      <w:tabs>
        <w:tab w:val="center" w:pos="4513"/>
        <w:tab w:val="right" w:pos="9026"/>
      </w:tabs>
      <w:spacing w:line="200" w:lineRule="exact"/>
      <w:ind w:left="-851"/>
    </w:pPr>
    <w:rPr>
      <w:rFonts w:ascii="Arial" w:hAnsi="Arial"/>
      <w:caps/>
      <w:color w:val="666666"/>
      <w:sz w:val="16"/>
      <w:lang w:eastAsia="en-US"/>
    </w:rPr>
  </w:style>
  <w:style w:type="character" w:customStyle="1" w:styleId="FooterChar">
    <w:name w:val="Footer Char"/>
    <w:basedOn w:val="DefaultParagraphFont"/>
    <w:link w:val="Footer"/>
    <w:uiPriority w:val="99"/>
    <w:rsid w:val="004F244C"/>
    <w:rPr>
      <w:rFonts w:ascii="Arial" w:hAnsi="Arial"/>
      <w:caps/>
      <w:color w:val="666666"/>
      <w:sz w:val="16"/>
      <w:lang w:val="en-AU" w:eastAsia="en-US" w:bidi="ar-SA"/>
    </w:rPr>
  </w:style>
  <w:style w:type="paragraph" w:styleId="Header">
    <w:name w:val="header"/>
    <w:link w:val="HeaderChar"/>
    <w:uiPriority w:val="49"/>
    <w:semiHidden/>
    <w:rsid w:val="00B670EF"/>
    <w:pPr>
      <w:tabs>
        <w:tab w:val="center" w:pos="4513"/>
        <w:tab w:val="right" w:pos="9026"/>
      </w:tabs>
      <w:spacing w:line="300" w:lineRule="atLeast"/>
    </w:pPr>
    <w:rPr>
      <w:rFonts w:ascii="Calibri" w:hAnsi="Calibri"/>
      <w:color w:val="656263"/>
      <w:lang w:eastAsia="en-US"/>
    </w:rPr>
  </w:style>
  <w:style w:type="character" w:customStyle="1" w:styleId="HeaderChar">
    <w:name w:val="Header Char"/>
    <w:basedOn w:val="DefaultParagraphFont"/>
    <w:link w:val="Header"/>
    <w:uiPriority w:val="49"/>
    <w:semiHidden/>
    <w:rsid w:val="00B670EF"/>
    <w:rPr>
      <w:rFonts w:ascii="Calibri" w:hAnsi="Calibri"/>
      <w:color w:val="656263"/>
      <w:lang w:val="en-AU" w:eastAsia="en-US" w:bidi="ar-SA"/>
    </w:rPr>
  </w:style>
  <w:style w:type="character" w:customStyle="1" w:styleId="Heading2Char">
    <w:name w:val="Heading 2 Char"/>
    <w:basedOn w:val="DefaultParagraphFont"/>
    <w:link w:val="Heading2"/>
    <w:uiPriority w:val="4"/>
    <w:rsid w:val="00A35A7F"/>
    <w:rPr>
      <w:rFonts w:ascii="Calibri" w:eastAsia="Times New Roman" w:hAnsi="Calibri"/>
      <w:bCs/>
      <w:color w:val="0F979B"/>
      <w:sz w:val="42"/>
      <w:szCs w:val="26"/>
      <w:lang w:val="en-AU" w:eastAsia="en-US" w:bidi="ar-SA"/>
    </w:rPr>
  </w:style>
  <w:style w:type="paragraph" w:styleId="BodyText">
    <w:name w:val="Body Text"/>
    <w:basedOn w:val="Normal"/>
    <w:link w:val="BodyTextChar"/>
    <w:semiHidden/>
    <w:qFormat/>
    <w:rsid w:val="00B670EF"/>
  </w:style>
  <w:style w:type="character" w:customStyle="1" w:styleId="BodyTextChar">
    <w:name w:val="Body Text Char"/>
    <w:basedOn w:val="DefaultParagraphFont"/>
    <w:link w:val="BodyText"/>
    <w:semiHidden/>
    <w:rsid w:val="00CA00F9"/>
    <w:rPr>
      <w:rFonts w:ascii="Arial" w:hAnsi="Arial"/>
      <w:color w:val="000000"/>
    </w:rPr>
  </w:style>
  <w:style w:type="character" w:customStyle="1" w:styleId="Heading3Char">
    <w:name w:val="Heading 3 Char"/>
    <w:basedOn w:val="DefaultParagraphFont"/>
    <w:link w:val="Heading3"/>
    <w:uiPriority w:val="4"/>
    <w:rsid w:val="009B438D"/>
    <w:rPr>
      <w:rFonts w:ascii="Calibri" w:eastAsia="Times New Roman" w:hAnsi="Calibri"/>
      <w:bCs/>
      <w:color w:val="2B3054"/>
      <w:sz w:val="34"/>
      <w:lang w:val="en-AU" w:eastAsia="en-US" w:bidi="ar-SA"/>
    </w:rPr>
  </w:style>
  <w:style w:type="character" w:customStyle="1" w:styleId="Heading4Char">
    <w:name w:val="Heading 4 Char"/>
    <w:basedOn w:val="DefaultParagraphFont"/>
    <w:link w:val="Heading4"/>
    <w:uiPriority w:val="4"/>
    <w:rsid w:val="00A35A7F"/>
    <w:rPr>
      <w:rFonts w:ascii="Calibri" w:eastAsia="Times New Roman" w:hAnsi="Calibri"/>
      <w:b/>
      <w:bCs/>
      <w:iCs/>
      <w:color w:val="15565F"/>
      <w:sz w:val="26"/>
      <w:lang w:val="en-AU" w:eastAsia="en-US" w:bidi="ar-SA"/>
    </w:rPr>
  </w:style>
  <w:style w:type="paragraph" w:styleId="Subtitle">
    <w:name w:val="Subtitle"/>
    <w:link w:val="SubtitleChar"/>
    <w:uiPriority w:val="37"/>
    <w:qFormat/>
    <w:rsid w:val="006D2122"/>
    <w:pPr>
      <w:numPr>
        <w:ilvl w:val="1"/>
      </w:numPr>
      <w:spacing w:line="480" w:lineRule="atLeast"/>
      <w:jc w:val="right"/>
    </w:pPr>
    <w:rPr>
      <w:rFonts w:ascii="Calibri" w:eastAsia="Times New Roman" w:hAnsi="Calibri"/>
      <w:iCs/>
      <w:color w:val="656565"/>
      <w:sz w:val="36"/>
      <w:szCs w:val="24"/>
      <w:lang w:eastAsia="en-US"/>
    </w:rPr>
  </w:style>
  <w:style w:type="character" w:customStyle="1" w:styleId="SubtitleChar">
    <w:name w:val="Subtitle Char"/>
    <w:basedOn w:val="DefaultParagraphFont"/>
    <w:link w:val="Subtitle"/>
    <w:uiPriority w:val="37"/>
    <w:rsid w:val="006D2122"/>
    <w:rPr>
      <w:rFonts w:ascii="Calibri" w:eastAsia="Times New Roman" w:hAnsi="Calibri"/>
      <w:iCs/>
      <w:color w:val="656565"/>
      <w:sz w:val="36"/>
      <w:szCs w:val="24"/>
      <w:lang w:val="en-AU" w:eastAsia="en-US" w:bidi="ar-SA"/>
    </w:rPr>
  </w:style>
  <w:style w:type="paragraph" w:styleId="Title">
    <w:name w:val="Title"/>
    <w:link w:val="TitleChar"/>
    <w:uiPriority w:val="36"/>
    <w:qFormat/>
    <w:rsid w:val="006D2122"/>
    <w:pPr>
      <w:spacing w:line="680" w:lineRule="exact"/>
      <w:jc w:val="right"/>
    </w:pPr>
    <w:rPr>
      <w:rFonts w:ascii="Calibri" w:eastAsia="Times New Roman" w:hAnsi="Calibri"/>
      <w:color w:val="0F979B"/>
      <w:spacing w:val="-10"/>
      <w:kern w:val="28"/>
      <w:sz w:val="64"/>
      <w:szCs w:val="52"/>
      <w:lang w:eastAsia="en-US"/>
    </w:rPr>
  </w:style>
  <w:style w:type="character" w:customStyle="1" w:styleId="TitleChar">
    <w:name w:val="Title Char"/>
    <w:basedOn w:val="DefaultParagraphFont"/>
    <w:link w:val="Title"/>
    <w:uiPriority w:val="36"/>
    <w:rsid w:val="006D2122"/>
    <w:rPr>
      <w:rFonts w:ascii="Calibri" w:eastAsia="Times New Roman" w:hAnsi="Calibri"/>
      <w:color w:val="0F979B"/>
      <w:spacing w:val="-10"/>
      <w:kern w:val="28"/>
      <w:sz w:val="64"/>
      <w:szCs w:val="52"/>
      <w:lang w:val="en-AU" w:eastAsia="en-US" w:bidi="ar-SA"/>
    </w:rPr>
  </w:style>
  <w:style w:type="paragraph" w:styleId="Caption">
    <w:name w:val="caption"/>
    <w:next w:val="Normal"/>
    <w:link w:val="CaptionChar"/>
    <w:uiPriority w:val="14"/>
    <w:qFormat/>
    <w:rsid w:val="00F52DD1"/>
    <w:pPr>
      <w:keepNext/>
      <w:keepLines/>
      <w:spacing w:before="400" w:after="200" w:line="300" w:lineRule="exact"/>
    </w:pPr>
    <w:rPr>
      <w:rFonts w:ascii="Calibri" w:hAnsi="Calibri"/>
      <w:b/>
      <w:bCs/>
      <w:color w:val="666666"/>
      <w:sz w:val="26"/>
      <w:szCs w:val="18"/>
      <w:lang w:eastAsia="en-US"/>
    </w:rPr>
  </w:style>
  <w:style w:type="paragraph" w:styleId="Date">
    <w:name w:val="Date"/>
    <w:link w:val="DateChar"/>
    <w:uiPriority w:val="38"/>
    <w:semiHidden/>
    <w:rsid w:val="00B670EF"/>
    <w:rPr>
      <w:rFonts w:ascii="Arial" w:hAnsi="Arial"/>
      <w:lang w:eastAsia="en-US"/>
    </w:rPr>
  </w:style>
  <w:style w:type="character" w:customStyle="1" w:styleId="DateChar">
    <w:name w:val="Date Char"/>
    <w:basedOn w:val="DefaultParagraphFont"/>
    <w:link w:val="Date"/>
    <w:uiPriority w:val="38"/>
    <w:semiHidden/>
    <w:rsid w:val="00B670EF"/>
    <w:rPr>
      <w:rFonts w:ascii="Arial" w:hAnsi="Arial"/>
      <w:lang w:val="en-AU" w:eastAsia="en-US" w:bidi="ar-SA"/>
    </w:rPr>
  </w:style>
  <w:style w:type="paragraph" w:styleId="EndnoteText">
    <w:name w:val="endnote text"/>
    <w:basedOn w:val="BodyText"/>
    <w:link w:val="EndnoteTextChar"/>
    <w:uiPriority w:val="44"/>
    <w:semiHidden/>
    <w:rsid w:val="00B670EF"/>
  </w:style>
  <w:style w:type="character" w:customStyle="1" w:styleId="EndnoteTextChar">
    <w:name w:val="Endnote Text Char"/>
    <w:basedOn w:val="DefaultParagraphFont"/>
    <w:link w:val="EndnoteText"/>
    <w:uiPriority w:val="44"/>
    <w:semiHidden/>
    <w:rsid w:val="00B670EF"/>
    <w:rPr>
      <w:rFonts w:ascii="Arial" w:hAnsi="Arial"/>
      <w:color w:val="000000"/>
    </w:rPr>
  </w:style>
  <w:style w:type="paragraph" w:styleId="FootnoteText">
    <w:name w:val="footnote text"/>
    <w:link w:val="FootnoteTextChar"/>
    <w:uiPriority w:val="99"/>
    <w:qFormat/>
    <w:rsid w:val="00B670EF"/>
    <w:pPr>
      <w:spacing w:before="142" w:line="200" w:lineRule="atLeast"/>
    </w:pPr>
    <w:rPr>
      <w:rFonts w:ascii="Arial" w:hAnsi="Arial"/>
      <w:color w:val="000000"/>
      <w:sz w:val="16"/>
      <w:lang w:eastAsia="en-US"/>
    </w:rPr>
  </w:style>
  <w:style w:type="character" w:customStyle="1" w:styleId="FootnoteTextChar">
    <w:name w:val="Footnote Text Char"/>
    <w:basedOn w:val="DefaultParagraphFont"/>
    <w:link w:val="FootnoteText"/>
    <w:uiPriority w:val="99"/>
    <w:rsid w:val="00175961"/>
    <w:rPr>
      <w:rFonts w:ascii="Arial" w:hAnsi="Arial"/>
      <w:color w:val="000000"/>
      <w:sz w:val="16"/>
      <w:lang w:val="en-AU" w:eastAsia="en-US" w:bidi="ar-SA"/>
    </w:rPr>
  </w:style>
  <w:style w:type="paragraph" w:customStyle="1" w:styleId="ColorfulGrid-Accent11">
    <w:name w:val="Colorful Grid - Accent 11"/>
    <w:link w:val="ColorfulGrid-Accent1Char"/>
    <w:uiPriority w:val="9"/>
    <w:semiHidden/>
    <w:qFormat/>
    <w:rsid w:val="00B670EF"/>
    <w:rPr>
      <w:rFonts w:ascii="Arial" w:hAnsi="Arial"/>
      <w:i/>
      <w:iCs/>
      <w:color w:val="000000"/>
      <w:lang w:eastAsia="en-US"/>
    </w:rPr>
  </w:style>
  <w:style w:type="character" w:customStyle="1" w:styleId="ColorfulGrid-Accent1Char">
    <w:name w:val="Colorful Grid - Accent 1 Char"/>
    <w:basedOn w:val="DefaultParagraphFont"/>
    <w:link w:val="ColorfulGrid-Accent11"/>
    <w:uiPriority w:val="9"/>
    <w:semiHidden/>
    <w:rsid w:val="00B670EF"/>
    <w:rPr>
      <w:rFonts w:ascii="Arial" w:hAnsi="Arial"/>
      <w:i/>
      <w:iCs/>
      <w:color w:val="000000"/>
      <w:lang w:val="en-AU" w:eastAsia="en-US" w:bidi="ar-SA"/>
    </w:rPr>
  </w:style>
  <w:style w:type="paragraph" w:styleId="TableofFigures">
    <w:name w:val="table of figures"/>
    <w:uiPriority w:val="99"/>
    <w:semiHidden/>
    <w:rsid w:val="00B670EF"/>
    <w:rPr>
      <w:rFonts w:ascii="Arial" w:hAnsi="Arial"/>
      <w:lang w:eastAsia="en-US"/>
    </w:rPr>
  </w:style>
  <w:style w:type="paragraph" w:styleId="TOC1">
    <w:name w:val="toc 1"/>
    <w:basedOn w:val="Normal"/>
    <w:uiPriority w:val="39"/>
    <w:rsid w:val="006D2122"/>
    <w:pPr>
      <w:tabs>
        <w:tab w:val="right" w:pos="8505"/>
      </w:tabs>
      <w:spacing w:before="170"/>
      <w:ind w:left="567" w:right="1418"/>
    </w:pPr>
    <w:rPr>
      <w:b/>
    </w:rPr>
  </w:style>
  <w:style w:type="paragraph" w:styleId="TOC2">
    <w:name w:val="toc 2"/>
    <w:basedOn w:val="Normal"/>
    <w:uiPriority w:val="39"/>
    <w:rsid w:val="006D2122"/>
    <w:pPr>
      <w:tabs>
        <w:tab w:val="right" w:pos="8505"/>
      </w:tabs>
      <w:spacing w:before="113"/>
      <w:ind w:left="567" w:right="1418"/>
    </w:pPr>
  </w:style>
  <w:style w:type="paragraph" w:styleId="TOC3">
    <w:name w:val="toc 3"/>
    <w:autoRedefine/>
    <w:uiPriority w:val="39"/>
    <w:semiHidden/>
    <w:rsid w:val="00B670EF"/>
    <w:pPr>
      <w:spacing w:after="100"/>
      <w:ind w:left="400"/>
    </w:pPr>
    <w:rPr>
      <w:rFonts w:ascii="Arial" w:hAnsi="Arial"/>
      <w:lang w:eastAsia="en-US"/>
    </w:rPr>
  </w:style>
  <w:style w:type="paragraph" w:customStyle="1" w:styleId="TOCHeading1">
    <w:name w:val="TOC Heading1"/>
    <w:next w:val="BodyText"/>
    <w:uiPriority w:val="39"/>
    <w:qFormat/>
    <w:rsid w:val="00A22E93"/>
    <w:pPr>
      <w:spacing w:before="940" w:after="940" w:line="600" w:lineRule="exact"/>
    </w:pPr>
    <w:rPr>
      <w:rFonts w:ascii="Calibri" w:eastAsia="Times New Roman" w:hAnsi="Calibri"/>
      <w:bCs/>
      <w:color w:val="0F979B"/>
      <w:sz w:val="56"/>
      <w:szCs w:val="28"/>
      <w:lang w:eastAsia="en-US"/>
    </w:rPr>
  </w:style>
  <w:style w:type="character" w:customStyle="1" w:styleId="Heading5Char">
    <w:name w:val="Heading 5 Char"/>
    <w:basedOn w:val="DefaultParagraphFont"/>
    <w:link w:val="Heading5"/>
    <w:uiPriority w:val="4"/>
    <w:semiHidden/>
    <w:rsid w:val="00B670EF"/>
    <w:rPr>
      <w:rFonts w:ascii="Calibri" w:eastAsia="Times New Roman" w:hAnsi="Calibri"/>
      <w:color w:val="074A4D"/>
      <w:lang w:val="en-AU" w:eastAsia="en-US" w:bidi="ar-SA"/>
    </w:rPr>
  </w:style>
  <w:style w:type="character" w:customStyle="1" w:styleId="Heading6Char">
    <w:name w:val="Heading 6 Char"/>
    <w:basedOn w:val="DefaultParagraphFont"/>
    <w:link w:val="Heading6"/>
    <w:uiPriority w:val="4"/>
    <w:semiHidden/>
    <w:rsid w:val="00B670EF"/>
    <w:rPr>
      <w:rFonts w:ascii="Calibri" w:eastAsia="Times New Roman" w:hAnsi="Calibri"/>
      <w:i/>
      <w:iCs/>
      <w:color w:val="074A4D"/>
      <w:lang w:val="en-AU" w:eastAsia="en-US" w:bidi="ar-SA"/>
    </w:rPr>
  </w:style>
  <w:style w:type="character" w:customStyle="1" w:styleId="Heading7Char">
    <w:name w:val="Heading 7 Char"/>
    <w:basedOn w:val="DefaultParagraphFont"/>
    <w:link w:val="Heading7"/>
    <w:uiPriority w:val="4"/>
    <w:semiHidden/>
    <w:rsid w:val="00B670EF"/>
    <w:rPr>
      <w:rFonts w:ascii="Calibri" w:eastAsia="Times New Roman" w:hAnsi="Calibri"/>
      <w:i/>
      <w:iCs/>
      <w:color w:val="404040"/>
      <w:lang w:val="en-AU" w:eastAsia="en-US" w:bidi="ar-SA"/>
    </w:rPr>
  </w:style>
  <w:style w:type="character" w:customStyle="1" w:styleId="Heading8Char">
    <w:name w:val="Heading 8 Char"/>
    <w:basedOn w:val="DefaultParagraphFont"/>
    <w:link w:val="Heading8"/>
    <w:uiPriority w:val="4"/>
    <w:semiHidden/>
    <w:rsid w:val="00B670EF"/>
    <w:rPr>
      <w:rFonts w:ascii="Calibri" w:eastAsia="Times New Roman" w:hAnsi="Calibri"/>
      <w:color w:val="404040"/>
      <w:lang w:val="en-AU" w:eastAsia="en-US" w:bidi="ar-SA"/>
    </w:rPr>
  </w:style>
  <w:style w:type="character" w:customStyle="1" w:styleId="Heading9Char">
    <w:name w:val="Heading 9 Char"/>
    <w:basedOn w:val="DefaultParagraphFont"/>
    <w:link w:val="Heading9"/>
    <w:uiPriority w:val="4"/>
    <w:semiHidden/>
    <w:rsid w:val="00B670EF"/>
    <w:rPr>
      <w:rFonts w:ascii="Calibri" w:eastAsia="Times New Roman" w:hAnsi="Calibri"/>
      <w:i/>
      <w:iCs/>
      <w:color w:val="404040"/>
      <w:lang w:val="en-AU" w:eastAsia="en-US" w:bidi="ar-SA"/>
    </w:rPr>
  </w:style>
  <w:style w:type="numbering" w:customStyle="1" w:styleId="Headings">
    <w:name w:val="Headings"/>
    <w:basedOn w:val="NoList"/>
    <w:uiPriority w:val="99"/>
    <w:rsid w:val="00B670EF"/>
    <w:pPr>
      <w:numPr>
        <w:numId w:val="1"/>
      </w:numPr>
    </w:pPr>
  </w:style>
  <w:style w:type="numbering" w:customStyle="1" w:styleId="Bullets">
    <w:name w:val="Bullets"/>
    <w:basedOn w:val="NoList"/>
    <w:uiPriority w:val="99"/>
    <w:rsid w:val="00E546A3"/>
    <w:pPr>
      <w:numPr>
        <w:numId w:val="2"/>
      </w:numPr>
    </w:pPr>
  </w:style>
  <w:style w:type="paragraph" w:customStyle="1" w:styleId="Introtext">
    <w:name w:val="Intro text"/>
    <w:basedOn w:val="Heading2"/>
    <w:uiPriority w:val="9"/>
    <w:qFormat/>
    <w:rsid w:val="0046116C"/>
    <w:pPr>
      <w:framePr w:w="9072" w:wrap="notBeside" w:vAnchor="text" w:hAnchor="text" w:y="1"/>
      <w:spacing w:before="120"/>
    </w:pPr>
    <w:rPr>
      <w:color w:val="4D4D4D"/>
    </w:rPr>
  </w:style>
  <w:style w:type="table" w:customStyle="1" w:styleId="ATOTable">
    <w:name w:val="ATO Table"/>
    <w:basedOn w:val="TableNormal"/>
    <w:uiPriority w:val="99"/>
    <w:rsid w:val="00073B8D"/>
    <w:tblPr>
      <w:tblBorders>
        <w:top w:val="single" w:sz="4" w:space="0" w:color="666666"/>
        <w:bottom w:val="single" w:sz="4" w:space="0" w:color="666666"/>
        <w:insideH w:val="single" w:sz="4" w:space="0" w:color="666666"/>
      </w:tblBorders>
      <w:tblCellMar>
        <w:top w:w="57" w:type="dxa"/>
        <w:left w:w="0" w:type="dxa"/>
        <w:bottom w:w="170" w:type="dxa"/>
        <w:right w:w="0" w:type="dxa"/>
      </w:tblCellMar>
    </w:tblPr>
    <w:tblStylePr w:type="firstRow">
      <w:tblPr/>
      <w:tcPr>
        <w:shd w:val="clear" w:color="auto" w:fill="04545D"/>
      </w:tcPr>
    </w:tblStylePr>
  </w:style>
  <w:style w:type="character" w:customStyle="1" w:styleId="CaptionChar">
    <w:name w:val="Caption Char"/>
    <w:basedOn w:val="DefaultParagraphFont"/>
    <w:link w:val="Caption"/>
    <w:uiPriority w:val="14"/>
    <w:rsid w:val="00F52DD1"/>
    <w:rPr>
      <w:rFonts w:ascii="Calibri" w:hAnsi="Calibri"/>
      <w:b/>
      <w:bCs/>
      <w:color w:val="666666"/>
      <w:sz w:val="26"/>
      <w:szCs w:val="18"/>
      <w:lang w:val="en-AU" w:eastAsia="en-US" w:bidi="ar-SA"/>
    </w:rPr>
  </w:style>
  <w:style w:type="character" w:customStyle="1" w:styleId="MediumGrid11">
    <w:name w:val="Medium Grid 11"/>
    <w:basedOn w:val="DefaultParagraphFont"/>
    <w:uiPriority w:val="99"/>
    <w:semiHidden/>
    <w:rsid w:val="00B670EF"/>
    <w:rPr>
      <w:color w:val="808080"/>
    </w:rPr>
  </w:style>
  <w:style w:type="table" w:customStyle="1" w:styleId="ATOBox">
    <w:name w:val="ATO Box"/>
    <w:basedOn w:val="TableNormal"/>
    <w:uiPriority w:val="99"/>
    <w:rsid w:val="00B670EF"/>
    <w:tblPr>
      <w:tblCellMar>
        <w:top w:w="170" w:type="dxa"/>
        <w:left w:w="0" w:type="dxa"/>
        <w:bottom w:w="340" w:type="dxa"/>
        <w:right w:w="0" w:type="dxa"/>
      </w:tblCellMar>
    </w:tblPr>
    <w:tcPr>
      <w:shd w:val="clear" w:color="auto" w:fill="F0F2F8"/>
    </w:tcPr>
  </w:style>
  <w:style w:type="paragraph" w:customStyle="1" w:styleId="Boxtext">
    <w:name w:val="Box text"/>
    <w:basedOn w:val="Normal"/>
    <w:link w:val="BoxtextChar"/>
    <w:uiPriority w:val="24"/>
    <w:qFormat/>
    <w:rsid w:val="00920C7C"/>
    <w:pP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ind w:left="340" w:right="340"/>
    </w:pPr>
  </w:style>
  <w:style w:type="character" w:customStyle="1" w:styleId="BoxtextChar">
    <w:name w:val="Box text Char"/>
    <w:basedOn w:val="BodyTextChar"/>
    <w:link w:val="Boxtext"/>
    <w:uiPriority w:val="24"/>
    <w:rsid w:val="00920C7C"/>
    <w:rPr>
      <w:rFonts w:ascii="Arial" w:hAnsi="Arial"/>
      <w:color w:val="000000"/>
      <w:sz w:val="22"/>
      <w:lang w:eastAsia="en-US"/>
    </w:rPr>
  </w:style>
  <w:style w:type="paragraph" w:customStyle="1" w:styleId="Boxbulletedlist1">
    <w:name w:val="Box bulleted list 1"/>
    <w:basedOn w:val="Boxtext"/>
    <w:uiPriority w:val="25"/>
    <w:qFormat/>
    <w:rsid w:val="00E546A3"/>
    <w:pPr>
      <w:numPr>
        <w:ilvl w:val="3"/>
        <w:numId w:val="23"/>
      </w:numPr>
    </w:pPr>
  </w:style>
  <w:style w:type="paragraph" w:customStyle="1" w:styleId="Boxbulletedlist2">
    <w:name w:val="Box bulleted list 2"/>
    <w:basedOn w:val="Boxtext"/>
    <w:uiPriority w:val="25"/>
    <w:qFormat/>
    <w:rsid w:val="00E546A3"/>
    <w:pPr>
      <w:numPr>
        <w:ilvl w:val="4"/>
        <w:numId w:val="23"/>
      </w:numPr>
    </w:pPr>
  </w:style>
  <w:style w:type="paragraph" w:customStyle="1" w:styleId="Boxbulletedlist3">
    <w:name w:val="Box bulleted list 3"/>
    <w:basedOn w:val="Boxtext"/>
    <w:uiPriority w:val="25"/>
    <w:qFormat/>
    <w:rsid w:val="00E546A3"/>
    <w:pPr>
      <w:numPr>
        <w:ilvl w:val="5"/>
        <w:numId w:val="23"/>
      </w:numPr>
    </w:pPr>
  </w:style>
  <w:style w:type="paragraph" w:customStyle="1" w:styleId="Boxheading">
    <w:name w:val="Box heading"/>
    <w:basedOn w:val="Caption"/>
    <w:next w:val="Boxtext"/>
    <w:link w:val="BoxheadingChar"/>
    <w:uiPriority w:val="27"/>
    <w:qFormat/>
    <w:rsid w:val="00B670EF"/>
    <w:pPr>
      <w:keepNext w:val="0"/>
      <w:keepLines w:val="0"/>
      <w:spacing w:before="142" w:after="0"/>
      <w:ind w:left="340" w:right="340"/>
    </w:pPr>
  </w:style>
  <w:style w:type="character" w:customStyle="1" w:styleId="BoxheadingChar">
    <w:name w:val="Box heading Char"/>
    <w:basedOn w:val="CaptionChar"/>
    <w:link w:val="Boxheading"/>
    <w:uiPriority w:val="27"/>
    <w:rsid w:val="00B670EF"/>
    <w:rPr>
      <w:rFonts w:ascii="Calibri" w:hAnsi="Calibri"/>
      <w:b w:val="0"/>
      <w:bCs w:val="0"/>
      <w:color w:val="666666"/>
      <w:sz w:val="26"/>
      <w:szCs w:val="18"/>
      <w:lang w:val="en-AU" w:eastAsia="en-US" w:bidi="ar-SA"/>
    </w:rPr>
  </w:style>
  <w:style w:type="paragraph" w:customStyle="1" w:styleId="Bulletedlist1">
    <w:name w:val="Bulleted list 1"/>
    <w:basedOn w:val="Normal"/>
    <w:uiPriority w:val="1"/>
    <w:qFormat/>
    <w:rsid w:val="00E546A3"/>
    <w:pPr>
      <w:numPr>
        <w:numId w:val="23"/>
      </w:numPr>
      <w:spacing w:before="85"/>
    </w:pPr>
  </w:style>
  <w:style w:type="paragraph" w:customStyle="1" w:styleId="Bulletedlist2">
    <w:name w:val="Bulleted list 2"/>
    <w:basedOn w:val="Normal"/>
    <w:uiPriority w:val="1"/>
    <w:qFormat/>
    <w:rsid w:val="00E546A3"/>
    <w:pPr>
      <w:numPr>
        <w:ilvl w:val="1"/>
        <w:numId w:val="23"/>
      </w:numPr>
      <w:spacing w:before="85"/>
    </w:pPr>
  </w:style>
  <w:style w:type="paragraph" w:customStyle="1" w:styleId="Bulletedlist3">
    <w:name w:val="Bulleted list 3"/>
    <w:basedOn w:val="Normal"/>
    <w:uiPriority w:val="1"/>
    <w:qFormat/>
    <w:rsid w:val="00E546A3"/>
    <w:pPr>
      <w:numPr>
        <w:ilvl w:val="2"/>
        <w:numId w:val="23"/>
      </w:numPr>
      <w:spacing w:before="57"/>
    </w:pPr>
  </w:style>
  <w:style w:type="paragraph" w:customStyle="1" w:styleId="Calloutheading">
    <w:name w:val="Callout heading"/>
    <w:basedOn w:val="Normal"/>
    <w:next w:val="Callouttext"/>
    <w:link w:val="CalloutheadingChar"/>
    <w:uiPriority w:val="30"/>
    <w:qFormat/>
    <w:rsid w:val="00B670EF"/>
    <w:pPr>
      <w:keepNext/>
      <w:spacing w:before="227" w:line="300" w:lineRule="exact"/>
      <w:ind w:left="510" w:hanging="510"/>
    </w:pPr>
    <w:rPr>
      <w:b/>
      <w:sz w:val="26"/>
    </w:rPr>
  </w:style>
  <w:style w:type="character" w:customStyle="1" w:styleId="CalloutheadingChar">
    <w:name w:val="Callout heading Char"/>
    <w:basedOn w:val="BodyTextChar"/>
    <w:link w:val="Calloutheading"/>
    <w:uiPriority w:val="30"/>
    <w:rsid w:val="00B670EF"/>
    <w:rPr>
      <w:rFonts w:ascii="Arial" w:hAnsi="Arial"/>
      <w:b/>
      <w:color w:val="000000"/>
      <w:sz w:val="26"/>
    </w:rPr>
  </w:style>
  <w:style w:type="paragraph" w:customStyle="1" w:styleId="Callouttext">
    <w:name w:val="Callout text"/>
    <w:basedOn w:val="BodyText"/>
    <w:link w:val="CallouttextChar"/>
    <w:uiPriority w:val="29"/>
    <w:qFormat/>
    <w:rsid w:val="00B670EF"/>
    <w:pPr>
      <w:spacing w:before="85"/>
      <w:ind w:left="510"/>
    </w:pPr>
  </w:style>
  <w:style w:type="character" w:customStyle="1" w:styleId="CallouttextChar">
    <w:name w:val="Callout text Char"/>
    <w:basedOn w:val="BodyTextChar"/>
    <w:link w:val="Callouttext"/>
    <w:uiPriority w:val="29"/>
    <w:rsid w:val="00B670EF"/>
    <w:rPr>
      <w:rFonts w:ascii="Arial" w:hAnsi="Arial"/>
      <w:color w:val="000000"/>
    </w:rPr>
  </w:style>
  <w:style w:type="character" w:customStyle="1" w:styleId="Navy">
    <w:name w:val="Navy"/>
    <w:uiPriority w:val="99"/>
    <w:qFormat/>
    <w:rsid w:val="00B670EF"/>
    <w:rPr>
      <w:color w:val="2B3054"/>
    </w:rPr>
  </w:style>
  <w:style w:type="paragraph" w:customStyle="1" w:styleId="PageTitle">
    <w:name w:val="Page Title"/>
    <w:basedOn w:val="Title"/>
    <w:uiPriority w:val="36"/>
    <w:semiHidden/>
    <w:qFormat/>
    <w:rsid w:val="00B670EF"/>
    <w:pPr>
      <w:framePr w:wrap="around" w:hAnchor="text"/>
      <w:jc w:val="both"/>
    </w:pPr>
  </w:style>
  <w:style w:type="paragraph" w:customStyle="1" w:styleId="Tabletext">
    <w:name w:val="Table text"/>
    <w:basedOn w:val="Normal"/>
    <w:uiPriority w:val="19"/>
    <w:qFormat/>
    <w:rsid w:val="00B670EF"/>
    <w:pPr>
      <w:spacing w:before="120"/>
      <w:ind w:left="227" w:right="227"/>
    </w:pPr>
  </w:style>
  <w:style w:type="paragraph" w:customStyle="1" w:styleId="Tablebulletedlist1">
    <w:name w:val="Table bulleted list 1"/>
    <w:basedOn w:val="Tabletext"/>
    <w:uiPriority w:val="20"/>
    <w:qFormat/>
    <w:rsid w:val="00E546A3"/>
    <w:pPr>
      <w:numPr>
        <w:ilvl w:val="6"/>
        <w:numId w:val="23"/>
      </w:numPr>
      <w:spacing w:before="85"/>
    </w:pPr>
  </w:style>
  <w:style w:type="paragraph" w:customStyle="1" w:styleId="Tablebulletedlist2">
    <w:name w:val="Table bulleted list 2"/>
    <w:basedOn w:val="Tabletext"/>
    <w:uiPriority w:val="20"/>
    <w:qFormat/>
    <w:rsid w:val="00E546A3"/>
    <w:pPr>
      <w:numPr>
        <w:ilvl w:val="7"/>
        <w:numId w:val="23"/>
      </w:numPr>
      <w:spacing w:before="85"/>
    </w:pPr>
  </w:style>
  <w:style w:type="paragraph" w:customStyle="1" w:styleId="Tablebulletedlist3">
    <w:name w:val="Table bulleted list 3"/>
    <w:basedOn w:val="Tabletext"/>
    <w:uiPriority w:val="20"/>
    <w:qFormat/>
    <w:rsid w:val="00E546A3"/>
    <w:pPr>
      <w:numPr>
        <w:ilvl w:val="8"/>
        <w:numId w:val="23"/>
      </w:numPr>
      <w:spacing w:before="57"/>
    </w:pPr>
  </w:style>
  <w:style w:type="paragraph" w:customStyle="1" w:styleId="Tablecaption">
    <w:name w:val="Table caption"/>
    <w:basedOn w:val="Caption"/>
    <w:next w:val="Normal"/>
    <w:uiPriority w:val="14"/>
    <w:qFormat/>
    <w:rsid w:val="00B670EF"/>
  </w:style>
  <w:style w:type="paragraph" w:customStyle="1" w:styleId="Tableheading">
    <w:name w:val="Table heading"/>
    <w:basedOn w:val="Tabletext"/>
    <w:uiPriority w:val="23"/>
    <w:qFormat/>
    <w:rsid w:val="00B670EF"/>
    <w:pPr>
      <w:keepNext/>
      <w:keepLines/>
    </w:pPr>
    <w:rPr>
      <w:b/>
      <w:color w:val="FFFFFF"/>
    </w:rPr>
  </w:style>
  <w:style w:type="character" w:customStyle="1" w:styleId="Classification">
    <w:name w:val="Classification"/>
    <w:uiPriority w:val="49"/>
    <w:qFormat/>
    <w:rsid w:val="002B0C38"/>
    <w:rPr>
      <w:b/>
      <w:color w:val="666666"/>
      <w:sz w:val="22"/>
      <w:lang w:val="en-US"/>
    </w:rPr>
  </w:style>
  <w:style w:type="paragraph" w:customStyle="1" w:styleId="TOCDivider">
    <w:name w:val="TOC Divider"/>
    <w:next w:val="Normal"/>
    <w:uiPriority w:val="39"/>
    <w:qFormat/>
    <w:rsid w:val="009D334A"/>
    <w:pPr>
      <w:spacing w:before="284" w:line="840" w:lineRule="exact"/>
      <w:ind w:left="567" w:right="567"/>
    </w:pPr>
    <w:rPr>
      <w:rFonts w:ascii="Calibri" w:hAnsi="Calibri"/>
      <w:color w:val="3FACAF"/>
      <w:sz w:val="80"/>
      <w:lang w:eastAsia="en-US"/>
    </w:rPr>
  </w:style>
  <w:style w:type="character" w:styleId="Hyperlink">
    <w:name w:val="Hyperlink"/>
    <w:basedOn w:val="DefaultParagraphFont"/>
    <w:uiPriority w:val="99"/>
    <w:rsid w:val="0006646A"/>
    <w:rPr>
      <w:color w:val="0000FC"/>
      <w:u w:val="single"/>
    </w:rPr>
  </w:style>
  <w:style w:type="paragraph" w:customStyle="1" w:styleId="ClassificationInfo">
    <w:name w:val="Classification Info"/>
    <w:uiPriority w:val="99"/>
    <w:rsid w:val="005975AA"/>
    <w:pPr>
      <w:framePr w:wrap="around" w:vAnchor="page" w:hAnchor="page" w:x="738" w:y="15849"/>
      <w:spacing w:line="220" w:lineRule="exact"/>
    </w:pPr>
    <w:rPr>
      <w:rFonts w:ascii="Arial" w:hAnsi="Arial"/>
      <w:b/>
      <w:caps/>
      <w:color w:val="FFFFFF"/>
      <w:sz w:val="22"/>
      <w:lang w:val="en-US" w:eastAsia="en-US"/>
    </w:rPr>
  </w:style>
  <w:style w:type="paragraph" w:customStyle="1" w:styleId="InternalExternal">
    <w:name w:val="Internal/External"/>
    <w:uiPriority w:val="99"/>
    <w:rsid w:val="005975AA"/>
    <w:pPr>
      <w:framePr w:wrap="around" w:vAnchor="page" w:hAnchor="page" w:x="738" w:y="16132"/>
      <w:spacing w:line="160" w:lineRule="exact"/>
    </w:pPr>
    <w:rPr>
      <w:rFonts w:ascii="Arial" w:hAnsi="Arial"/>
      <w:caps/>
      <w:color w:val="FFFFFF"/>
      <w:sz w:val="16"/>
      <w:lang w:val="en-US" w:eastAsia="en-US"/>
    </w:rPr>
  </w:style>
  <w:style w:type="paragraph" w:styleId="ListParagraph">
    <w:name w:val="List Paragraph"/>
    <w:aliases w:val="NFP GP Bulleted List,List Paragraph1,Recommendation,List Paragraph11"/>
    <w:basedOn w:val="Normal"/>
    <w:link w:val="ListParagraphChar"/>
    <w:uiPriority w:val="34"/>
    <w:qFormat/>
    <w:rsid w:val="00637CC6"/>
    <w:pPr>
      <w:ind w:left="720"/>
      <w:contextualSpacing/>
    </w:pPr>
  </w:style>
  <w:style w:type="character" w:customStyle="1" w:styleId="ListParagraphChar">
    <w:name w:val="List Paragraph Char"/>
    <w:aliases w:val="NFP GP Bulleted List Char,List Paragraph1 Char,Recommendation Char,List Paragraph11 Char"/>
    <w:link w:val="ListParagraph"/>
    <w:uiPriority w:val="34"/>
    <w:locked/>
    <w:rsid w:val="00F02514"/>
    <w:rPr>
      <w:rFonts w:ascii="Arial" w:hAnsi="Arial"/>
      <w:color w:val="000000"/>
      <w:sz w:val="22"/>
      <w:lang w:eastAsia="en-US"/>
    </w:rPr>
  </w:style>
  <w:style w:type="character" w:styleId="FootnoteReference">
    <w:name w:val="footnote reference"/>
    <w:basedOn w:val="DefaultParagraphFont"/>
    <w:uiPriority w:val="99"/>
    <w:rsid w:val="00F02514"/>
    <w:rPr>
      <w:vertAlign w:val="superscript"/>
    </w:rPr>
  </w:style>
  <w:style w:type="character" w:styleId="CommentReference">
    <w:name w:val="annotation reference"/>
    <w:basedOn w:val="DefaultParagraphFont"/>
    <w:uiPriority w:val="99"/>
    <w:semiHidden/>
    <w:rsid w:val="00504AC4"/>
    <w:rPr>
      <w:sz w:val="16"/>
      <w:szCs w:val="16"/>
    </w:rPr>
  </w:style>
  <w:style w:type="paragraph" w:styleId="CommentText">
    <w:name w:val="annotation text"/>
    <w:basedOn w:val="Normal"/>
    <w:link w:val="CommentTextChar"/>
    <w:uiPriority w:val="99"/>
    <w:semiHidden/>
    <w:rsid w:val="00504AC4"/>
    <w:pPr>
      <w:spacing w:line="240" w:lineRule="auto"/>
    </w:pPr>
    <w:rPr>
      <w:rFonts w:asciiTheme="minorHAnsi" w:eastAsiaTheme="minorHAnsi" w:hAnsiTheme="minorHAnsi"/>
      <w:color w:val="000000" w:themeColor="text1"/>
      <w:sz w:val="20"/>
    </w:rPr>
  </w:style>
  <w:style w:type="character" w:customStyle="1" w:styleId="CommentTextChar">
    <w:name w:val="Comment Text Char"/>
    <w:basedOn w:val="DefaultParagraphFont"/>
    <w:link w:val="CommentText"/>
    <w:uiPriority w:val="99"/>
    <w:semiHidden/>
    <w:rsid w:val="00504AC4"/>
    <w:rPr>
      <w:rFonts w:asciiTheme="minorHAnsi" w:eastAsiaTheme="minorHAnsi" w:hAnsiTheme="minorHAnsi"/>
      <w:color w:val="000000" w:themeColor="text1"/>
      <w:lang w:eastAsia="en-US"/>
    </w:rPr>
  </w:style>
  <w:style w:type="paragraph" w:styleId="CommentSubject">
    <w:name w:val="annotation subject"/>
    <w:basedOn w:val="CommentText"/>
    <w:next w:val="CommentText"/>
    <w:link w:val="CommentSubjectChar"/>
    <w:uiPriority w:val="99"/>
    <w:semiHidden/>
    <w:rsid w:val="00EA05B0"/>
    <w:rPr>
      <w:rFonts w:ascii="Arial" w:eastAsia="Arial" w:hAnsi="Arial"/>
      <w:b/>
      <w:bCs/>
      <w:color w:val="000000"/>
    </w:rPr>
  </w:style>
  <w:style w:type="character" w:customStyle="1" w:styleId="CommentSubjectChar">
    <w:name w:val="Comment Subject Char"/>
    <w:basedOn w:val="CommentTextChar"/>
    <w:link w:val="CommentSubject"/>
    <w:uiPriority w:val="99"/>
    <w:semiHidden/>
    <w:rsid w:val="00EA05B0"/>
    <w:rPr>
      <w:rFonts w:ascii="Arial" w:eastAsiaTheme="minorHAnsi" w:hAnsi="Arial"/>
      <w:b/>
      <w:bCs/>
      <w:color w:val="000000"/>
      <w:lang w:eastAsia="en-US"/>
    </w:rPr>
  </w:style>
  <w:style w:type="table" w:styleId="MediumList2-Accent1">
    <w:name w:val="Medium List 2 Accent 1"/>
    <w:basedOn w:val="TableNormal"/>
    <w:uiPriority w:val="66"/>
    <w:rsid w:val="00E326A7"/>
    <w:rPr>
      <w:rFonts w:asciiTheme="majorHAnsi" w:eastAsiaTheme="majorEastAsia" w:hAnsiTheme="majorHAnsi" w:cstheme="majorBidi"/>
      <w:color w:val="000000" w:themeColor="text1"/>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Bullet">
    <w:name w:val="Bullet"/>
    <w:basedOn w:val="Normal"/>
    <w:link w:val="BulletChar"/>
    <w:rsid w:val="00E326A7"/>
    <w:pPr>
      <w:numPr>
        <w:numId w:val="49"/>
      </w:numPr>
      <w:jc w:val="both"/>
    </w:pPr>
    <w:rPr>
      <w:rFonts w:asciiTheme="minorHAnsi" w:eastAsiaTheme="majorEastAsia" w:hAnsiTheme="minorHAnsi" w:cstheme="majorBidi"/>
      <w:color w:val="000000" w:themeColor="text1"/>
    </w:rPr>
  </w:style>
  <w:style w:type="character" w:customStyle="1" w:styleId="BulletChar">
    <w:name w:val="Bullet Char"/>
    <w:basedOn w:val="DefaultParagraphFont"/>
    <w:link w:val="Bullet"/>
    <w:rsid w:val="00E326A7"/>
    <w:rPr>
      <w:rFonts w:asciiTheme="minorHAnsi" w:eastAsiaTheme="majorEastAsia" w:hAnsiTheme="minorHAnsi" w:cstheme="majorBidi"/>
      <w:color w:val="000000" w:themeColor="text1"/>
      <w:sz w:val="22"/>
      <w:lang w:eastAsia="en-US"/>
    </w:rPr>
  </w:style>
  <w:style w:type="paragraph" w:customStyle="1" w:styleId="Dash">
    <w:name w:val="Dash"/>
    <w:basedOn w:val="Normal"/>
    <w:rsid w:val="00E326A7"/>
    <w:pPr>
      <w:numPr>
        <w:ilvl w:val="1"/>
        <w:numId w:val="49"/>
      </w:numPr>
      <w:jc w:val="both"/>
    </w:pPr>
    <w:rPr>
      <w:rFonts w:asciiTheme="minorHAnsi" w:eastAsiaTheme="majorEastAsia" w:hAnsiTheme="minorHAnsi" w:cstheme="majorBidi"/>
      <w:color w:val="000000" w:themeColor="text1"/>
    </w:rPr>
  </w:style>
  <w:style w:type="paragraph" w:customStyle="1" w:styleId="DoubleDot">
    <w:name w:val="Double Dot"/>
    <w:basedOn w:val="Normal"/>
    <w:rsid w:val="00E326A7"/>
    <w:pPr>
      <w:numPr>
        <w:ilvl w:val="2"/>
        <w:numId w:val="49"/>
      </w:numPr>
      <w:jc w:val="both"/>
    </w:pPr>
    <w:rPr>
      <w:rFonts w:asciiTheme="minorHAnsi" w:eastAsiaTheme="majorEastAsia" w:hAnsiTheme="minorHAnsi" w:cstheme="majorBidi"/>
      <w:color w:val="000000" w:themeColor="text1"/>
    </w:rPr>
  </w:style>
  <w:style w:type="character" w:customStyle="1" w:styleId="s1">
    <w:name w:val="s1"/>
    <w:basedOn w:val="DefaultParagraphFont"/>
    <w:rsid w:val="009D5220"/>
    <w:rPr>
      <w:rFonts w:ascii=".SFUIText" w:hAnsi=".SFUIText" w:hint="default"/>
      <w:b w:val="0"/>
      <w:bCs w:val="0"/>
      <w:i w:val="0"/>
      <w:iCs w:val="0"/>
      <w:sz w:val="34"/>
      <w:szCs w:val="34"/>
    </w:rPr>
  </w:style>
  <w:style w:type="paragraph" w:styleId="Revision">
    <w:name w:val="Revision"/>
    <w:hidden/>
    <w:uiPriority w:val="71"/>
    <w:rsid w:val="005939D2"/>
    <w:rPr>
      <w:rFonts w:ascii="Arial" w:hAnsi="Arial"/>
      <w:color w:val="000000"/>
      <w:sz w:val="22"/>
      <w:lang w:eastAsia="en-US"/>
    </w:rPr>
  </w:style>
  <w:style w:type="table" w:styleId="LightShading-Accent1">
    <w:name w:val="Light Shading Accent 1"/>
    <w:basedOn w:val="TableNormal"/>
    <w:uiPriority w:val="60"/>
    <w:rsid w:val="00B13DC6"/>
    <w:rPr>
      <w:rFonts w:asciiTheme="minorHAnsi" w:eastAsiaTheme="minorEastAsia" w:hAnsiTheme="minorHAnsi" w:cstheme="minorBidi"/>
      <w:color w:val="365F91" w:themeColor="accent1" w:themeShade="BF"/>
      <w:sz w:val="22"/>
      <w:szCs w:val="22"/>
      <w:lang w:val="en-US" w:eastAsia="ja-JP"/>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color w:val="365F91" w:themeColor="accent1" w:themeShade="BF"/>
      </w:rPr>
    </w:tblStylePr>
    <w:tblStylePr w:type="lastCol">
      <w:rPr>
        <w:b/>
        <w:bCs/>
        <w:color w:val="365F91" w:themeColor="accent1" w:themeShade="BF"/>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OutlineNumbered1">
    <w:name w:val="Outline Numbered 1"/>
    <w:basedOn w:val="Normal"/>
    <w:link w:val="OutlineNumbered1Char"/>
    <w:rsid w:val="00562451"/>
    <w:pPr>
      <w:numPr>
        <w:numId w:val="53"/>
      </w:numPr>
    </w:pPr>
  </w:style>
  <w:style w:type="character" w:customStyle="1" w:styleId="OutlineNumbered1Char">
    <w:name w:val="Outline Numbered 1 Char"/>
    <w:basedOn w:val="DefaultParagraphFont"/>
    <w:link w:val="OutlineNumbered1"/>
    <w:rsid w:val="00562451"/>
    <w:rPr>
      <w:rFonts w:ascii="Arial" w:hAnsi="Arial"/>
      <w:color w:val="000000"/>
      <w:sz w:val="22"/>
      <w:lang w:eastAsia="en-US"/>
    </w:rPr>
  </w:style>
  <w:style w:type="paragraph" w:customStyle="1" w:styleId="OutlineNumbered2">
    <w:name w:val="Outline Numbered 2"/>
    <w:basedOn w:val="Normal"/>
    <w:link w:val="OutlineNumbered2Char"/>
    <w:rsid w:val="00562451"/>
    <w:pPr>
      <w:numPr>
        <w:ilvl w:val="1"/>
        <w:numId w:val="53"/>
      </w:numPr>
    </w:pPr>
  </w:style>
  <w:style w:type="character" w:customStyle="1" w:styleId="OutlineNumbered2Char">
    <w:name w:val="Outline Numbered 2 Char"/>
    <w:basedOn w:val="DefaultParagraphFont"/>
    <w:link w:val="OutlineNumbered2"/>
    <w:rsid w:val="00562451"/>
    <w:rPr>
      <w:rFonts w:ascii="Arial" w:hAnsi="Arial"/>
      <w:color w:val="000000"/>
      <w:sz w:val="22"/>
      <w:lang w:eastAsia="en-US"/>
    </w:rPr>
  </w:style>
  <w:style w:type="paragraph" w:customStyle="1" w:styleId="OutlineNumbered3">
    <w:name w:val="Outline Numbered 3"/>
    <w:basedOn w:val="Normal"/>
    <w:link w:val="OutlineNumbered3Char"/>
    <w:rsid w:val="00562451"/>
    <w:pPr>
      <w:numPr>
        <w:ilvl w:val="2"/>
        <w:numId w:val="53"/>
      </w:numPr>
    </w:pPr>
  </w:style>
  <w:style w:type="character" w:customStyle="1" w:styleId="OutlineNumbered3Char">
    <w:name w:val="Outline Numbered 3 Char"/>
    <w:basedOn w:val="DefaultParagraphFont"/>
    <w:link w:val="OutlineNumbered3"/>
    <w:rsid w:val="00562451"/>
    <w:rPr>
      <w:rFonts w:ascii="Arial" w:hAnsi="Arial"/>
      <w:color w:val="000000"/>
      <w:sz w:val="22"/>
      <w:lang w:eastAsia="en-US"/>
    </w:rPr>
  </w:style>
  <w:style w:type="table" w:customStyle="1" w:styleId="TableGrid4">
    <w:name w:val="Table Grid4"/>
    <w:basedOn w:val="TableNormal"/>
    <w:next w:val="TableGrid"/>
    <w:rsid w:val="00CA009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CA009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rsid w:val="00DB6E7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58159">
      <w:bodyDiv w:val="1"/>
      <w:marLeft w:val="0"/>
      <w:marRight w:val="0"/>
      <w:marTop w:val="0"/>
      <w:marBottom w:val="0"/>
      <w:divBdr>
        <w:top w:val="none" w:sz="0" w:space="0" w:color="auto"/>
        <w:left w:val="none" w:sz="0" w:space="0" w:color="auto"/>
        <w:bottom w:val="none" w:sz="0" w:space="0" w:color="auto"/>
        <w:right w:val="none" w:sz="0" w:space="0" w:color="auto"/>
      </w:divBdr>
    </w:div>
    <w:div w:id="83452651">
      <w:bodyDiv w:val="1"/>
      <w:marLeft w:val="0"/>
      <w:marRight w:val="0"/>
      <w:marTop w:val="0"/>
      <w:marBottom w:val="0"/>
      <w:divBdr>
        <w:top w:val="none" w:sz="0" w:space="0" w:color="auto"/>
        <w:left w:val="none" w:sz="0" w:space="0" w:color="auto"/>
        <w:bottom w:val="none" w:sz="0" w:space="0" w:color="auto"/>
        <w:right w:val="none" w:sz="0" w:space="0" w:color="auto"/>
      </w:divBdr>
    </w:div>
    <w:div w:id="144517496">
      <w:bodyDiv w:val="1"/>
      <w:marLeft w:val="0"/>
      <w:marRight w:val="0"/>
      <w:marTop w:val="0"/>
      <w:marBottom w:val="0"/>
      <w:divBdr>
        <w:top w:val="none" w:sz="0" w:space="0" w:color="auto"/>
        <w:left w:val="none" w:sz="0" w:space="0" w:color="auto"/>
        <w:bottom w:val="none" w:sz="0" w:space="0" w:color="auto"/>
        <w:right w:val="none" w:sz="0" w:space="0" w:color="auto"/>
      </w:divBdr>
    </w:div>
    <w:div w:id="685443233">
      <w:bodyDiv w:val="1"/>
      <w:marLeft w:val="0"/>
      <w:marRight w:val="0"/>
      <w:marTop w:val="0"/>
      <w:marBottom w:val="0"/>
      <w:divBdr>
        <w:top w:val="none" w:sz="0" w:space="0" w:color="auto"/>
        <w:left w:val="none" w:sz="0" w:space="0" w:color="auto"/>
        <w:bottom w:val="none" w:sz="0" w:space="0" w:color="auto"/>
        <w:right w:val="none" w:sz="0" w:space="0" w:color="auto"/>
      </w:divBdr>
    </w:div>
    <w:div w:id="932476891">
      <w:bodyDiv w:val="1"/>
      <w:marLeft w:val="0"/>
      <w:marRight w:val="0"/>
      <w:marTop w:val="0"/>
      <w:marBottom w:val="0"/>
      <w:divBdr>
        <w:top w:val="none" w:sz="0" w:space="0" w:color="auto"/>
        <w:left w:val="none" w:sz="0" w:space="0" w:color="auto"/>
        <w:bottom w:val="none" w:sz="0" w:space="0" w:color="auto"/>
        <w:right w:val="none" w:sz="0" w:space="0" w:color="auto"/>
      </w:divBdr>
    </w:div>
    <w:div w:id="1134132270">
      <w:bodyDiv w:val="1"/>
      <w:marLeft w:val="0"/>
      <w:marRight w:val="0"/>
      <w:marTop w:val="0"/>
      <w:marBottom w:val="0"/>
      <w:divBdr>
        <w:top w:val="none" w:sz="0" w:space="0" w:color="auto"/>
        <w:left w:val="none" w:sz="0" w:space="0" w:color="auto"/>
        <w:bottom w:val="none" w:sz="0" w:space="0" w:color="auto"/>
        <w:right w:val="none" w:sz="0" w:space="0" w:color="auto"/>
      </w:divBdr>
    </w:div>
    <w:div w:id="1256328033">
      <w:bodyDiv w:val="1"/>
      <w:marLeft w:val="0"/>
      <w:marRight w:val="0"/>
      <w:marTop w:val="0"/>
      <w:marBottom w:val="0"/>
      <w:divBdr>
        <w:top w:val="none" w:sz="0" w:space="0" w:color="auto"/>
        <w:left w:val="none" w:sz="0" w:space="0" w:color="auto"/>
        <w:bottom w:val="none" w:sz="0" w:space="0" w:color="auto"/>
        <w:right w:val="none" w:sz="0" w:space="0" w:color="auto"/>
      </w:divBdr>
    </w:div>
    <w:div w:id="1592007645">
      <w:bodyDiv w:val="1"/>
      <w:marLeft w:val="0"/>
      <w:marRight w:val="0"/>
      <w:marTop w:val="0"/>
      <w:marBottom w:val="0"/>
      <w:divBdr>
        <w:top w:val="none" w:sz="0" w:space="0" w:color="auto"/>
        <w:left w:val="none" w:sz="0" w:space="0" w:color="auto"/>
        <w:bottom w:val="none" w:sz="0" w:space="0" w:color="auto"/>
        <w:right w:val="none" w:sz="0" w:space="0" w:color="auto"/>
      </w:divBdr>
    </w:div>
    <w:div w:id="1739669667">
      <w:bodyDiv w:val="1"/>
      <w:marLeft w:val="0"/>
      <w:marRight w:val="0"/>
      <w:marTop w:val="0"/>
      <w:marBottom w:val="0"/>
      <w:divBdr>
        <w:top w:val="none" w:sz="0" w:space="0" w:color="auto"/>
        <w:left w:val="none" w:sz="0" w:space="0" w:color="auto"/>
        <w:bottom w:val="none" w:sz="0" w:space="0" w:color="auto"/>
        <w:right w:val="none" w:sz="0" w:space="0" w:color="auto"/>
      </w:divBdr>
    </w:div>
    <w:div w:id="2120830367">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oter" Target="footer1.xml"/><Relationship Id="rId26"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2.xml"/><Relationship Id="rId25"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chart" Target="charts/chart1.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image" Target="media/image5.png"/><Relationship Id="rId28" Type="http://schemas.openxmlformats.org/officeDocument/2006/relationships/footer" Target="footer3.xml"/><Relationship Id="rId10" Type="http://schemas.microsoft.com/office/2007/relationships/stylesWithEffects" Target="stylesWithEffect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image" Target="media/image4.png"/><Relationship Id="rId27" Type="http://schemas.openxmlformats.org/officeDocument/2006/relationships/header" Target="header4.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aph.gov.au/Parliamentary_Business/Committees/Senate/Economics/SuperannuationGuarantee/Submission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tad\work$\Projects\Retirement%20Incomes\Contributions\20161207%20SG%20shortfall\More%20detailed%20OTE%20adjustments\161220%20OTE%20averaging%20analysi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2165827632201714E-2"/>
          <c:y val="5.9616618171428028E-2"/>
          <c:w val="0.91256245428337857"/>
          <c:h val="0.6997196484467747"/>
        </c:manualLayout>
      </c:layout>
      <c:lineChart>
        <c:grouping val="standard"/>
        <c:varyColors val="0"/>
        <c:ser>
          <c:idx val="0"/>
          <c:order val="0"/>
          <c:tx>
            <c:v>ABS data - correct SG = OTE x 9.25%</c:v>
          </c:tx>
          <c:marker>
            <c:symbol val="none"/>
          </c:marker>
          <c:cat>
            <c:numRef>
              <c:f>[Book1]Sheet1!$B$8:$B$108</c:f>
              <c:numCache>
                <c:formatCode>General</c:formatCode>
                <c:ptCount val="10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numCache>
            </c:numRef>
          </c:cat>
          <c:val>
            <c:numRef>
              <c:f>Sheet1!$E$8:$E$108</c:f>
              <c:numCache>
                <c:formatCode>General</c:formatCode>
                <c:ptCount val="101"/>
                <c:pt idx="1">
                  <c:v>6.2500399999999998E-2</c:v>
                </c:pt>
                <c:pt idx="2">
                  <c:v>6.9489700000000001E-2</c:v>
                </c:pt>
                <c:pt idx="3">
                  <c:v>7.3097200000000001E-2</c:v>
                </c:pt>
                <c:pt idx="4">
                  <c:v>7.6176524999999995E-2</c:v>
                </c:pt>
                <c:pt idx="5">
                  <c:v>7.8997774999999992E-2</c:v>
                </c:pt>
                <c:pt idx="6">
                  <c:v>8.1086425000000004E-2</c:v>
                </c:pt>
                <c:pt idx="7">
                  <c:v>8.2836525000000008E-2</c:v>
                </c:pt>
                <c:pt idx="8">
                  <c:v>8.4397924999999999E-2</c:v>
                </c:pt>
                <c:pt idx="9">
                  <c:v>8.5648525000000003E-2</c:v>
                </c:pt>
                <c:pt idx="10">
                  <c:v>8.66614E-2</c:v>
                </c:pt>
                <c:pt idx="11">
                  <c:v>8.7638199999999999E-2</c:v>
                </c:pt>
                <c:pt idx="12">
                  <c:v>8.8584474999999996E-2</c:v>
                </c:pt>
                <c:pt idx="13">
                  <c:v>8.9310600000000004E-2</c:v>
                </c:pt>
                <c:pt idx="14">
                  <c:v>8.9915549999999997E-2</c:v>
                </c:pt>
                <c:pt idx="15">
                  <c:v>9.0542700000000004E-2</c:v>
                </c:pt>
                <c:pt idx="16">
                  <c:v>9.1043124999999989E-2</c:v>
                </c:pt>
                <c:pt idx="17">
                  <c:v>9.1407575000000005E-2</c:v>
                </c:pt>
                <c:pt idx="18">
                  <c:v>9.1842325000000002E-2</c:v>
                </c:pt>
                <c:pt idx="19">
                  <c:v>9.2264124999999989E-2</c:v>
                </c:pt>
                <c:pt idx="20">
                  <c:v>9.2499999999999999E-2</c:v>
                </c:pt>
                <c:pt idx="21">
                  <c:v>9.2499999999999999E-2</c:v>
                </c:pt>
                <c:pt idx="22">
                  <c:v>9.2499999999999999E-2</c:v>
                </c:pt>
                <c:pt idx="23">
                  <c:v>9.2499999999999999E-2</c:v>
                </c:pt>
                <c:pt idx="24">
                  <c:v>9.2499999999999999E-2</c:v>
                </c:pt>
                <c:pt idx="25">
                  <c:v>9.2499999999999999E-2</c:v>
                </c:pt>
                <c:pt idx="26">
                  <c:v>9.2499999999999999E-2</c:v>
                </c:pt>
                <c:pt idx="27">
                  <c:v>9.2499999999999999E-2</c:v>
                </c:pt>
                <c:pt idx="28">
                  <c:v>9.2499999999999999E-2</c:v>
                </c:pt>
                <c:pt idx="29">
                  <c:v>9.2499999999999999E-2</c:v>
                </c:pt>
                <c:pt idx="30">
                  <c:v>9.2499999999999999E-2</c:v>
                </c:pt>
                <c:pt idx="31">
                  <c:v>9.2499999999999999E-2</c:v>
                </c:pt>
                <c:pt idx="32">
                  <c:v>9.2499999999999999E-2</c:v>
                </c:pt>
                <c:pt idx="33">
                  <c:v>9.2499999999999999E-2</c:v>
                </c:pt>
                <c:pt idx="34">
                  <c:v>9.2499999999999999E-2</c:v>
                </c:pt>
                <c:pt idx="35">
                  <c:v>9.2499999999999999E-2</c:v>
                </c:pt>
                <c:pt idx="36">
                  <c:v>9.2499999999999999E-2</c:v>
                </c:pt>
                <c:pt idx="37">
                  <c:v>9.2499999999999999E-2</c:v>
                </c:pt>
                <c:pt idx="38">
                  <c:v>9.2499999999999999E-2</c:v>
                </c:pt>
                <c:pt idx="39">
                  <c:v>9.2499999999999999E-2</c:v>
                </c:pt>
                <c:pt idx="40">
                  <c:v>9.2499999999999999E-2</c:v>
                </c:pt>
                <c:pt idx="41">
                  <c:v>9.2499999999999999E-2</c:v>
                </c:pt>
                <c:pt idx="42">
                  <c:v>9.2499999999999999E-2</c:v>
                </c:pt>
                <c:pt idx="43">
                  <c:v>9.2499999999999999E-2</c:v>
                </c:pt>
                <c:pt idx="44">
                  <c:v>9.2499999999999999E-2</c:v>
                </c:pt>
                <c:pt idx="45">
                  <c:v>9.2499999999999999E-2</c:v>
                </c:pt>
                <c:pt idx="46">
                  <c:v>9.2499999999999999E-2</c:v>
                </c:pt>
                <c:pt idx="47">
                  <c:v>9.2499999999999999E-2</c:v>
                </c:pt>
                <c:pt idx="48">
                  <c:v>9.2499999999999999E-2</c:v>
                </c:pt>
                <c:pt idx="49">
                  <c:v>9.2499999999999999E-2</c:v>
                </c:pt>
                <c:pt idx="50">
                  <c:v>9.2499999999999999E-2</c:v>
                </c:pt>
                <c:pt idx="51">
                  <c:v>9.2499999999999999E-2</c:v>
                </c:pt>
                <c:pt idx="52">
                  <c:v>9.2499999999999999E-2</c:v>
                </c:pt>
                <c:pt idx="53">
                  <c:v>9.2499999999999999E-2</c:v>
                </c:pt>
                <c:pt idx="54">
                  <c:v>9.2499999999999999E-2</c:v>
                </c:pt>
                <c:pt idx="55">
                  <c:v>9.2499999999999999E-2</c:v>
                </c:pt>
                <c:pt idx="56">
                  <c:v>9.2499999999999999E-2</c:v>
                </c:pt>
                <c:pt idx="57">
                  <c:v>9.2499999999999999E-2</c:v>
                </c:pt>
                <c:pt idx="58">
                  <c:v>9.2499999999999999E-2</c:v>
                </c:pt>
                <c:pt idx="59">
                  <c:v>9.2499999999999999E-2</c:v>
                </c:pt>
                <c:pt idx="60">
                  <c:v>9.2499999999999999E-2</c:v>
                </c:pt>
                <c:pt idx="61">
                  <c:v>9.2499999999999999E-2</c:v>
                </c:pt>
                <c:pt idx="62">
                  <c:v>9.2499999999999999E-2</c:v>
                </c:pt>
                <c:pt idx="63">
                  <c:v>9.2499999999999999E-2</c:v>
                </c:pt>
                <c:pt idx="64">
                  <c:v>9.2499999999999999E-2</c:v>
                </c:pt>
                <c:pt idx="65">
                  <c:v>9.2499999999999999E-2</c:v>
                </c:pt>
                <c:pt idx="66">
                  <c:v>9.2499999999999999E-2</c:v>
                </c:pt>
                <c:pt idx="67">
                  <c:v>9.2499999999999999E-2</c:v>
                </c:pt>
                <c:pt idx="68">
                  <c:v>9.2499999999999999E-2</c:v>
                </c:pt>
                <c:pt idx="69">
                  <c:v>9.2499999999999999E-2</c:v>
                </c:pt>
                <c:pt idx="70">
                  <c:v>9.2499999999999999E-2</c:v>
                </c:pt>
                <c:pt idx="71">
                  <c:v>9.2499999999999999E-2</c:v>
                </c:pt>
                <c:pt idx="72">
                  <c:v>9.2499999999999999E-2</c:v>
                </c:pt>
                <c:pt idx="73">
                  <c:v>9.2499999999999999E-2</c:v>
                </c:pt>
                <c:pt idx="74">
                  <c:v>9.2499999999999999E-2</c:v>
                </c:pt>
                <c:pt idx="75">
                  <c:v>9.2499999999999999E-2</c:v>
                </c:pt>
                <c:pt idx="76">
                  <c:v>9.2499999999999999E-2</c:v>
                </c:pt>
                <c:pt idx="77">
                  <c:v>9.2499999999999999E-2</c:v>
                </c:pt>
                <c:pt idx="78">
                  <c:v>9.2499999999999999E-2</c:v>
                </c:pt>
                <c:pt idx="79">
                  <c:v>9.2499999999999999E-2</c:v>
                </c:pt>
                <c:pt idx="80">
                  <c:v>9.2499999999999999E-2</c:v>
                </c:pt>
                <c:pt idx="81">
                  <c:v>9.2499999999999999E-2</c:v>
                </c:pt>
                <c:pt idx="82">
                  <c:v>9.2499999999999999E-2</c:v>
                </c:pt>
                <c:pt idx="83">
                  <c:v>9.2499999999999999E-2</c:v>
                </c:pt>
                <c:pt idx="84">
                  <c:v>9.2499999999999999E-2</c:v>
                </c:pt>
                <c:pt idx="85">
                  <c:v>9.2499999999999999E-2</c:v>
                </c:pt>
                <c:pt idx="86">
                  <c:v>9.2499999999999999E-2</c:v>
                </c:pt>
                <c:pt idx="87">
                  <c:v>9.2499999999999999E-2</c:v>
                </c:pt>
                <c:pt idx="88">
                  <c:v>9.2499999999999999E-2</c:v>
                </c:pt>
                <c:pt idx="89">
                  <c:v>9.2499999999999999E-2</c:v>
                </c:pt>
                <c:pt idx="90">
                  <c:v>9.2499999999999999E-2</c:v>
                </c:pt>
                <c:pt idx="91">
                  <c:v>9.2499999999999999E-2</c:v>
                </c:pt>
                <c:pt idx="92">
                  <c:v>9.2499999999999999E-2</c:v>
                </c:pt>
                <c:pt idx="93">
                  <c:v>9.2499999999999999E-2</c:v>
                </c:pt>
                <c:pt idx="94">
                  <c:v>9.2499999999999999E-2</c:v>
                </c:pt>
                <c:pt idx="95">
                  <c:v>9.2499999999999999E-2</c:v>
                </c:pt>
                <c:pt idx="96">
                  <c:v>9.2499999999999999E-2</c:v>
                </c:pt>
                <c:pt idx="97">
                  <c:v>9.2499999999999999E-2</c:v>
                </c:pt>
                <c:pt idx="98">
                  <c:v>9.2499999999999999E-2</c:v>
                </c:pt>
                <c:pt idx="99">
                  <c:v>9.2499999999999999E-2</c:v>
                </c:pt>
                <c:pt idx="100">
                  <c:v>9.2499999999999999E-2</c:v>
                </c:pt>
              </c:numCache>
            </c:numRef>
          </c:val>
          <c:smooth val="0"/>
        </c:ser>
        <c:ser>
          <c:idx val="1"/>
          <c:order val="1"/>
          <c:tx>
            <c:strRef>
              <c:f>Sheet1!$G$7</c:f>
              <c:strCache>
                <c:ptCount val="1"/>
                <c:pt idx="0">
                  <c:v>ISA methodology = total earnings x average x 8.5%</c:v>
                </c:pt>
              </c:strCache>
            </c:strRef>
          </c:tx>
          <c:spPr>
            <a:ln w="19050">
              <a:solidFill>
                <a:schemeClr val="accent1"/>
              </a:solidFill>
              <a:prstDash val="sysDash"/>
            </a:ln>
          </c:spPr>
          <c:marker>
            <c:symbol val="none"/>
          </c:marker>
          <c:cat>
            <c:numRef>
              <c:f>[Book1]Sheet1!$B$8:$B$108</c:f>
              <c:numCache>
                <c:formatCode>General</c:formatCode>
                <c:ptCount val="10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numCache>
            </c:numRef>
          </c:cat>
          <c:val>
            <c:numRef>
              <c:f>Sheet1!$G$8:$G$108</c:f>
              <c:numCache>
                <c:formatCode>General</c:formatCode>
                <c:ptCount val="101"/>
                <c:pt idx="1">
                  <c:v>8.3492431500000019E-2</c:v>
                </c:pt>
                <c:pt idx="2">
                  <c:v>8.3492431500000019E-2</c:v>
                </c:pt>
                <c:pt idx="3">
                  <c:v>8.3492431500000019E-2</c:v>
                </c:pt>
                <c:pt idx="4">
                  <c:v>8.3492431500000019E-2</c:v>
                </c:pt>
                <c:pt idx="5">
                  <c:v>8.3492431500000019E-2</c:v>
                </c:pt>
                <c:pt idx="6">
                  <c:v>8.3492431500000019E-2</c:v>
                </c:pt>
                <c:pt idx="7">
                  <c:v>8.3492431500000019E-2</c:v>
                </c:pt>
                <c:pt idx="8">
                  <c:v>8.3492431500000019E-2</c:v>
                </c:pt>
                <c:pt idx="9">
                  <c:v>8.3492431500000019E-2</c:v>
                </c:pt>
                <c:pt idx="10">
                  <c:v>8.3492431500000019E-2</c:v>
                </c:pt>
                <c:pt idx="11">
                  <c:v>8.3492431500000019E-2</c:v>
                </c:pt>
                <c:pt idx="12">
                  <c:v>8.3492431500000019E-2</c:v>
                </c:pt>
                <c:pt idx="13">
                  <c:v>8.3492431500000019E-2</c:v>
                </c:pt>
                <c:pt idx="14">
                  <c:v>8.3492431500000019E-2</c:v>
                </c:pt>
                <c:pt idx="15">
                  <c:v>8.3492431500000019E-2</c:v>
                </c:pt>
                <c:pt idx="16">
                  <c:v>8.3492431500000019E-2</c:v>
                </c:pt>
                <c:pt idx="17">
                  <c:v>8.3492431500000019E-2</c:v>
                </c:pt>
                <c:pt idx="18">
                  <c:v>8.3492431500000019E-2</c:v>
                </c:pt>
                <c:pt idx="19">
                  <c:v>8.3492431500000019E-2</c:v>
                </c:pt>
                <c:pt idx="20">
                  <c:v>8.3492431500000019E-2</c:v>
                </c:pt>
                <c:pt idx="21">
                  <c:v>8.3492431500000019E-2</c:v>
                </c:pt>
                <c:pt idx="22">
                  <c:v>8.3492431500000019E-2</c:v>
                </c:pt>
                <c:pt idx="23">
                  <c:v>8.3492431500000019E-2</c:v>
                </c:pt>
                <c:pt idx="24">
                  <c:v>8.3492431500000019E-2</c:v>
                </c:pt>
                <c:pt idx="25">
                  <c:v>8.3492431500000019E-2</c:v>
                </c:pt>
                <c:pt idx="26">
                  <c:v>8.3492431500000019E-2</c:v>
                </c:pt>
                <c:pt idx="27">
                  <c:v>8.3492431500000019E-2</c:v>
                </c:pt>
                <c:pt idx="28">
                  <c:v>8.3492431500000019E-2</c:v>
                </c:pt>
                <c:pt idx="29">
                  <c:v>8.3492431500000019E-2</c:v>
                </c:pt>
                <c:pt idx="30">
                  <c:v>8.3492431500000019E-2</c:v>
                </c:pt>
                <c:pt idx="31">
                  <c:v>8.3492431500000019E-2</c:v>
                </c:pt>
                <c:pt idx="32">
                  <c:v>8.3492431500000019E-2</c:v>
                </c:pt>
                <c:pt idx="33">
                  <c:v>8.3492431500000019E-2</c:v>
                </c:pt>
                <c:pt idx="34">
                  <c:v>8.3492431500000019E-2</c:v>
                </c:pt>
                <c:pt idx="35">
                  <c:v>8.3492431500000019E-2</c:v>
                </c:pt>
                <c:pt idx="36">
                  <c:v>8.3492431500000019E-2</c:v>
                </c:pt>
                <c:pt idx="37">
                  <c:v>8.3492431500000019E-2</c:v>
                </c:pt>
                <c:pt idx="38">
                  <c:v>8.3492431500000019E-2</c:v>
                </c:pt>
                <c:pt idx="39">
                  <c:v>8.3492431500000019E-2</c:v>
                </c:pt>
                <c:pt idx="40">
                  <c:v>8.3492431500000019E-2</c:v>
                </c:pt>
                <c:pt idx="41">
                  <c:v>8.3492431500000019E-2</c:v>
                </c:pt>
                <c:pt idx="42">
                  <c:v>8.3492431500000019E-2</c:v>
                </c:pt>
                <c:pt idx="43">
                  <c:v>8.3492431500000019E-2</c:v>
                </c:pt>
                <c:pt idx="44">
                  <c:v>8.3492431500000019E-2</c:v>
                </c:pt>
                <c:pt idx="45">
                  <c:v>8.3492431500000019E-2</c:v>
                </c:pt>
                <c:pt idx="46">
                  <c:v>8.3492431500000019E-2</c:v>
                </c:pt>
                <c:pt idx="47">
                  <c:v>8.3492431500000019E-2</c:v>
                </c:pt>
                <c:pt idx="48">
                  <c:v>8.3492431500000019E-2</c:v>
                </c:pt>
                <c:pt idx="49">
                  <c:v>8.3492431500000019E-2</c:v>
                </c:pt>
                <c:pt idx="50">
                  <c:v>8.3492431500000019E-2</c:v>
                </c:pt>
                <c:pt idx="51">
                  <c:v>8.3492431500000019E-2</c:v>
                </c:pt>
                <c:pt idx="52">
                  <c:v>8.3492431500000019E-2</c:v>
                </c:pt>
                <c:pt idx="53">
                  <c:v>8.3492431500000019E-2</c:v>
                </c:pt>
                <c:pt idx="54">
                  <c:v>8.3492431500000019E-2</c:v>
                </c:pt>
                <c:pt idx="55">
                  <c:v>8.3492431500000019E-2</c:v>
                </c:pt>
                <c:pt idx="56">
                  <c:v>8.3492431500000019E-2</c:v>
                </c:pt>
                <c:pt idx="57">
                  <c:v>8.3492431500000019E-2</c:v>
                </c:pt>
                <c:pt idx="58">
                  <c:v>8.3492431500000019E-2</c:v>
                </c:pt>
                <c:pt idx="59">
                  <c:v>8.3492431500000019E-2</c:v>
                </c:pt>
                <c:pt idx="60">
                  <c:v>8.3492431500000019E-2</c:v>
                </c:pt>
                <c:pt idx="61">
                  <c:v>8.3492431500000019E-2</c:v>
                </c:pt>
                <c:pt idx="62">
                  <c:v>8.3492431500000019E-2</c:v>
                </c:pt>
                <c:pt idx="63">
                  <c:v>8.3492431500000019E-2</c:v>
                </c:pt>
                <c:pt idx="64">
                  <c:v>8.3492431500000019E-2</c:v>
                </c:pt>
                <c:pt idx="65">
                  <c:v>8.3492431500000019E-2</c:v>
                </c:pt>
                <c:pt idx="66">
                  <c:v>8.3492431500000019E-2</c:v>
                </c:pt>
                <c:pt idx="67">
                  <c:v>8.3492431500000019E-2</c:v>
                </c:pt>
                <c:pt idx="68">
                  <c:v>8.3492431500000019E-2</c:v>
                </c:pt>
                <c:pt idx="69">
                  <c:v>8.3492431500000019E-2</c:v>
                </c:pt>
                <c:pt idx="70">
                  <c:v>8.3492431500000019E-2</c:v>
                </c:pt>
                <c:pt idx="71">
                  <c:v>8.3492431500000019E-2</c:v>
                </c:pt>
                <c:pt idx="72">
                  <c:v>8.3492431500000019E-2</c:v>
                </c:pt>
                <c:pt idx="73">
                  <c:v>8.3492431500000019E-2</c:v>
                </c:pt>
                <c:pt idx="74">
                  <c:v>8.3492431500000019E-2</c:v>
                </c:pt>
                <c:pt idx="75">
                  <c:v>8.3492431500000019E-2</c:v>
                </c:pt>
                <c:pt idx="76">
                  <c:v>8.3492431500000019E-2</c:v>
                </c:pt>
                <c:pt idx="77">
                  <c:v>8.3492431500000019E-2</c:v>
                </c:pt>
                <c:pt idx="78">
                  <c:v>8.3492431500000019E-2</c:v>
                </c:pt>
                <c:pt idx="79">
                  <c:v>8.3492431500000019E-2</c:v>
                </c:pt>
                <c:pt idx="80">
                  <c:v>8.3492431500000019E-2</c:v>
                </c:pt>
                <c:pt idx="81">
                  <c:v>8.3492431500000019E-2</c:v>
                </c:pt>
                <c:pt idx="82">
                  <c:v>8.3492431500000019E-2</c:v>
                </c:pt>
                <c:pt idx="83">
                  <c:v>8.3492431500000019E-2</c:v>
                </c:pt>
                <c:pt idx="84">
                  <c:v>8.3492431500000019E-2</c:v>
                </c:pt>
                <c:pt idx="85">
                  <c:v>8.3492431500000019E-2</c:v>
                </c:pt>
                <c:pt idx="86">
                  <c:v>8.3492431500000019E-2</c:v>
                </c:pt>
                <c:pt idx="87">
                  <c:v>8.3492431500000019E-2</c:v>
                </c:pt>
                <c:pt idx="88">
                  <c:v>8.3492431500000019E-2</c:v>
                </c:pt>
                <c:pt idx="89">
                  <c:v>8.3492431500000019E-2</c:v>
                </c:pt>
                <c:pt idx="90">
                  <c:v>8.3492431500000019E-2</c:v>
                </c:pt>
                <c:pt idx="91">
                  <c:v>8.3492431500000019E-2</c:v>
                </c:pt>
                <c:pt idx="92">
                  <c:v>8.3492431500000019E-2</c:v>
                </c:pt>
                <c:pt idx="93">
                  <c:v>8.3492431500000019E-2</c:v>
                </c:pt>
                <c:pt idx="94">
                  <c:v>8.3492431500000019E-2</c:v>
                </c:pt>
                <c:pt idx="95">
                  <c:v>8.3492431500000019E-2</c:v>
                </c:pt>
                <c:pt idx="96">
                  <c:v>8.3492431500000019E-2</c:v>
                </c:pt>
                <c:pt idx="97">
                  <c:v>8.3492431500000019E-2</c:v>
                </c:pt>
                <c:pt idx="98">
                  <c:v>8.3492431500000019E-2</c:v>
                </c:pt>
                <c:pt idx="99">
                  <c:v>8.3492431500000019E-2</c:v>
                </c:pt>
                <c:pt idx="100">
                  <c:v>8.3492431500000019E-2</c:v>
                </c:pt>
              </c:numCache>
            </c:numRef>
          </c:val>
          <c:smooth val="0"/>
        </c:ser>
        <c:dLbls>
          <c:showLegendKey val="0"/>
          <c:showVal val="0"/>
          <c:showCatName val="0"/>
          <c:showSerName val="0"/>
          <c:showPercent val="0"/>
          <c:showBubbleSize val="0"/>
        </c:dLbls>
        <c:marker val="1"/>
        <c:smooth val="0"/>
        <c:axId val="53035008"/>
        <c:axId val="53036928"/>
      </c:lineChart>
      <c:catAx>
        <c:axId val="53035008"/>
        <c:scaling>
          <c:orientation val="minMax"/>
        </c:scaling>
        <c:delete val="0"/>
        <c:axPos val="b"/>
        <c:title>
          <c:tx>
            <c:rich>
              <a:bodyPr/>
              <a:lstStyle/>
              <a:p>
                <a:pPr>
                  <a:defRPr b="0"/>
                </a:pPr>
                <a:r>
                  <a:rPr lang="en-AU" b="0"/>
                  <a:t>Percentile (OTE as a proportion</a:t>
                </a:r>
                <a:r>
                  <a:rPr lang="en-AU" b="0" baseline="0"/>
                  <a:t> of total earnings)</a:t>
                </a:r>
                <a:endParaRPr lang="en-AU" b="0"/>
              </a:p>
            </c:rich>
          </c:tx>
          <c:layout>
            <c:manualLayout>
              <c:xMode val="edge"/>
              <c:yMode val="edge"/>
              <c:x val="0.23191306045422008"/>
              <c:y val="0.82568978805938964"/>
            </c:manualLayout>
          </c:layout>
          <c:overlay val="0"/>
        </c:title>
        <c:numFmt formatCode="General" sourceLinked="1"/>
        <c:majorTickMark val="out"/>
        <c:minorTickMark val="none"/>
        <c:tickLblPos val="nextTo"/>
        <c:crossAx val="53036928"/>
        <c:crosses val="autoZero"/>
        <c:auto val="1"/>
        <c:lblAlgn val="ctr"/>
        <c:lblOffset val="100"/>
        <c:tickLblSkip val="10"/>
        <c:tickMarkSkip val="10"/>
        <c:noMultiLvlLbl val="0"/>
      </c:catAx>
      <c:valAx>
        <c:axId val="53036928"/>
        <c:scaling>
          <c:orientation val="minMax"/>
          <c:max val="0.12000000000000001"/>
        </c:scaling>
        <c:delete val="0"/>
        <c:axPos val="l"/>
        <c:title>
          <c:tx>
            <c:rich>
              <a:bodyPr rot="0" vert="horz"/>
              <a:lstStyle/>
              <a:p>
                <a:pPr>
                  <a:defRPr b="0"/>
                </a:pPr>
                <a:r>
                  <a:rPr lang="en-AU" b="0"/>
                  <a:t>SG as a percentage</a:t>
                </a:r>
                <a:r>
                  <a:rPr lang="en-AU" b="0" baseline="0"/>
                  <a:t> of total wages</a:t>
                </a:r>
                <a:endParaRPr lang="en-AU" b="0"/>
              </a:p>
            </c:rich>
          </c:tx>
          <c:layout>
            <c:manualLayout>
              <c:xMode val="edge"/>
              <c:yMode val="edge"/>
              <c:x val="7.2838582248838171E-2"/>
              <c:y val="5.3371089459998924E-2"/>
            </c:manualLayout>
          </c:layout>
          <c:overlay val="0"/>
        </c:title>
        <c:numFmt formatCode="0%" sourceLinked="0"/>
        <c:majorTickMark val="out"/>
        <c:minorTickMark val="none"/>
        <c:tickLblPos val="nextTo"/>
        <c:crossAx val="53035008"/>
        <c:crosses val="autoZero"/>
        <c:crossBetween val="between"/>
        <c:majorUnit val="2.0000000000000004E-2"/>
      </c:valAx>
      <c:spPr>
        <a:noFill/>
        <a:ln w="25400">
          <a:noFill/>
        </a:ln>
      </c:spPr>
    </c:plotArea>
    <c:legend>
      <c:legendPos val="r"/>
      <c:layout>
        <c:manualLayout>
          <c:xMode val="edge"/>
          <c:yMode val="edge"/>
          <c:x val="0"/>
          <c:y val="0.87819467140302898"/>
          <c:w val="0.99208880857105974"/>
          <c:h val="0.12180532859697103"/>
        </c:manualLayout>
      </c:layout>
      <c:overlay val="0"/>
      <c:txPr>
        <a:bodyPr/>
        <a:lstStyle/>
        <a:p>
          <a:pPr>
            <a:defRPr sz="1000"/>
          </a:pPr>
          <a:endParaRPr lang="en-US"/>
        </a:p>
      </c:txPr>
    </c:legend>
    <c:plotVisOnly val="1"/>
    <c:dispBlanksAs val="gap"/>
    <c:showDLblsOverMax val="0"/>
  </c:chart>
  <c:spPr>
    <a:ln>
      <a:noFill/>
    </a:ln>
  </c:spPr>
  <c:txPr>
    <a:bodyPr/>
    <a:lstStyle/>
    <a:p>
      <a:pPr>
        <a:defRPr sz="1100"/>
      </a:pPr>
      <a:endParaRPr lang="en-US"/>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0.17633</cdr:x>
      <cdr:y>0.44427</cdr:y>
    </cdr:from>
    <cdr:to>
      <cdr:x>0.54754</cdr:x>
      <cdr:y>0.6986</cdr:y>
    </cdr:to>
    <cdr:sp macro="" textlink="">
      <cdr:nvSpPr>
        <cdr:cNvPr id="8" name="TextBox 7"/>
        <cdr:cNvSpPr txBox="1"/>
      </cdr:nvSpPr>
      <cdr:spPr>
        <a:xfrm xmlns:a="http://schemas.openxmlformats.org/drawingml/2006/main">
          <a:off x="938865" y="1413378"/>
          <a:ext cx="1976498" cy="809122"/>
        </a:xfrm>
        <a:prstGeom xmlns:a="http://schemas.openxmlformats.org/drawingml/2006/main" prst="rect">
          <a:avLst/>
        </a:prstGeom>
        <a:solidFill xmlns:a="http://schemas.openxmlformats.org/drawingml/2006/main">
          <a:schemeClr val="bg1"/>
        </a:solidFill>
      </cdr:spPr>
      <cdr:txBody>
        <a:bodyPr xmlns:a="http://schemas.openxmlformats.org/drawingml/2006/main" vertOverflow="clip" wrap="square" rtlCol="0"/>
        <a:lstStyle xmlns:a="http://schemas.openxmlformats.org/drawingml/2006/main"/>
        <a:p xmlns:a="http://schemas.openxmlformats.org/drawingml/2006/main">
          <a:r>
            <a:rPr lang="en-AU" sz="1100"/>
            <a:t>About 10 per cent </a:t>
          </a:r>
          <a:r>
            <a:rPr lang="en-AU" sz="1100" baseline="0"/>
            <a:t>of the total population are incorrectly flagged as underpaid</a:t>
          </a:r>
          <a:endParaRPr lang="en-AU" sz="1100"/>
        </a:p>
      </cdr:txBody>
    </cdr:sp>
  </cdr:relSizeAnchor>
  <cdr:relSizeAnchor xmlns:cdr="http://schemas.openxmlformats.org/drawingml/2006/chartDrawing">
    <cdr:from>
      <cdr:x>0.14655</cdr:x>
      <cdr:y>0.29787</cdr:y>
    </cdr:from>
    <cdr:to>
      <cdr:x>0.23611</cdr:x>
      <cdr:y>0.43357</cdr:y>
    </cdr:to>
    <cdr:cxnSp macro="">
      <cdr:nvCxnSpPr>
        <cdr:cNvPr id="12" name="Straight Arrow Connector 11"/>
        <cdr:cNvCxnSpPr/>
      </cdr:nvCxnSpPr>
      <cdr:spPr>
        <a:xfrm xmlns:a="http://schemas.openxmlformats.org/drawingml/2006/main" flipH="1" flipV="1">
          <a:off x="844061" y="1055077"/>
          <a:ext cx="515817" cy="480646"/>
        </a:xfrm>
        <a:prstGeom xmlns:a="http://schemas.openxmlformats.org/drawingml/2006/main" prst="straightConnector1">
          <a:avLst/>
        </a:prstGeom>
        <a:ln xmlns:a="http://schemas.openxmlformats.org/drawingml/2006/main" w="19050">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customXsn xmlns="http://schemas.microsoft.com/office/2006/metadata/customXsn">
  <xsnLocation/>
  <cached>True</cached>
  <openByDefault>False</openByDefault>
  <xsnScope>http://sharepoint</xsnScope>
</customXsn>
</file>

<file path=customXml/item2.xml><?xml version="1.0" encoding="utf-8"?>
<ct:contentTypeSchema xmlns:ct="http://schemas.microsoft.com/office/2006/metadata/contentType" xmlns:ma="http://schemas.microsoft.com/office/2006/metadata/properties/metaAttributes" ct:_="" ma:_="" ma:contentTypeName="Word" ma:contentTypeID="0x010100A64679C44DADA04984EEB770C479187300512BF42FAFA61248AB1002A1C3FB1172" ma:contentTypeVersion="24" ma:contentTypeDescription="" ma:contentTypeScope="" ma:versionID="4d7942a31749afb7bdcee93992c732b6">
  <xsd:schema xmlns:xsd="http://www.w3.org/2001/XMLSchema" xmlns:xs="http://www.w3.org/2001/XMLSchema" xmlns:p="http://schemas.microsoft.com/office/2006/metadata/properties" xmlns:ns1="http://schemas.microsoft.com/sharepoint/v3" xmlns:ns2="5e039acd-daf0-4ba3-b421-e9b9ae1a3620" targetNamespace="http://schemas.microsoft.com/office/2006/metadata/properties" ma:root="true" ma:fieldsID="6157e332811e791681c4e91ba41dc61a" ns1:_="" ns2:_="">
    <xsd:import namespace="http://schemas.microsoft.com/sharepoint/v3"/>
    <xsd:import namespace="5e039acd-daf0-4ba3-b421-e9b9ae1a3620"/>
    <xsd:element name="properties">
      <xsd:complexType>
        <xsd:sequence>
          <xsd:element name="documentManagement">
            <xsd:complexType>
              <xsd:all>
                <xsd:element ref="ns2:_dlc_DocId" minOccurs="0"/>
                <xsd:element ref="ns2:_dlc_DocIdUrl" minOccurs="0"/>
                <xsd:element ref="ns2:_dlc_DocIdPersistId" minOccurs="0"/>
                <xsd:element ref="ns2:n1a6d2b88979416cad2cc3ecb331e44a" minOccurs="0"/>
                <xsd:element ref="ns2:TaxCatchAll" minOccurs="0"/>
                <xsd:element ref="ns2:TaxCatchAllLabel" minOccurs="0"/>
                <xsd:element ref="ns1:_dlc_Exempt" minOccurs="0"/>
                <xsd:element ref="ns1:_dlc_ExpireDateSaved" minOccurs="0"/>
                <xsd:element ref="ns1:_dlc_Expir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element name="_dlc_ExpireDateSaved" ma:index="16" nillable="true" ma:displayName="Original Expiration Date" ma:hidden="true" ma:internalName="_dlc_ExpireDateSaved" ma:readOnly="true">
      <xsd:simpleType>
        <xsd:restriction base="dms:DateTime"/>
      </xsd:simpleType>
    </xsd:element>
    <xsd:element name="_dlc_ExpireDate" ma:index="1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e039acd-daf0-4ba3-b421-e9b9ae1a362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n1a6d2b88979416cad2cc3ecb331e44a" ma:index="11" ma:taxonomy="true" ma:internalName="n1a6d2b88979416cad2cc3ecb331e44a" ma:taxonomyFieldName="Security_x0020_Classification" ma:displayName="Security Classification" ma:readOnly="false" ma:default="1;#UNCLASSIFIED|1bbb598d-ed8e-4faa-b9b5-c952cc7313f8" ma:fieldId="{71a6d2b8-8979-416c-ad2c-c3ecb331e44a}" ma:sspId="552124a6-5639-4054-9398-f49b47b0070b" ma:termSetId="01e0d8d2-6959-4708-b4cf-d9f24a977c8f" ma:anchorId="00000000-0000-0000-0000-000000000000" ma:open="false" ma:isKeyword="false">
      <xsd:complexType>
        <xsd:sequence>
          <xsd:element ref="pc:Terms" minOccurs="0" maxOccurs="1"/>
        </xsd:sequence>
      </xsd:complexType>
    </xsd:element>
    <xsd:element name="TaxCatchAll" ma:index="12" nillable="true" ma:displayName="Taxonomy Catch All Column" ma:description="" ma:hidden="true" ma:list="{ec2003f9-3252-44e8-804f-d5d14dd81ab1}" ma:internalName="TaxCatchAll" ma:showField="CatchAllData" ma:web="5e039acd-daf0-4ba3-b421-e9b9ae1a362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ec2003f9-3252-44e8-804f-d5d14dd81ab1}" ma:internalName="TaxCatchAllLabel" ma:readOnly="true" ma:showField="CatchAllDataLabel" ma:web="5e039acd-daf0-4ba3-b421-e9b9ae1a36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e039acd-daf0-4ba3-b421-e9b9ae1a3620">
      <Value>1</Value>
    </TaxCatchAll>
    <_dlc_DocId xmlns="5e039acd-daf0-4ba3-b421-e9b9ae1a3620">5YHNKJZSV77T-1653575182-28</_dlc_DocId>
    <_dlc_DocIdUrl xmlns="5e039acd-daf0-4ba3-b421-e9b9ae1a3620">
      <Url>http://sharepoint/GASites/sprEmployerSeg/_layouts/DocIdRedir.aspx?ID=5YHNKJZSV77T-1653575182-28</Url>
      <Description>5YHNKJZSV77T-1653575182-28</Description>
    </_dlc_DocIdUrl>
    <n1a6d2b88979416cad2cc3ecb331e44a xmlns="5e039acd-daf0-4ba3-b421-e9b9ae1a362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1bbb598d-ed8e-4faa-b9b5-c952cc7313f8</TermId>
        </TermInfo>
      </Terms>
    </n1a6d2b88979416cad2cc3ecb331e44a>
    <_dlc_ExpireDateSaved xmlns="http://schemas.microsoft.com/sharepoint/v3" xsi:nil="true"/>
    <_dlc_ExpireDate xmlns="http://schemas.microsoft.com/sharepoint/v3">2027-03-31T04:24:15+00:00</_dlc_ExpireDate>
  </documentManagement>
</p:properties>
</file>

<file path=customXml/item5.xml><?xml version="1.0" encoding="utf-8"?>
<?mso-contentType ?>
<p:Policy xmlns:p="office.server.policy" id="" local="true">
  <p:Name>Word</p:Name>
  <p:Description/>
  <p:Statement/>
  <p:PolicyItems>
    <p:PolicyItem featureId="Microsoft.Office.RecordsManagement.PolicyFeatures.Expiration" staticId="0x010100A64679C44DADA04984EEB770C4791873|1060299444" UniqueId="4cb30c36-7391-4ddd-ab56-a47c5a5217a7">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10</number>
                  <property>Modified</property>
                  <propertyId>28cf69c5-fa48-462a-b5cd-27b6f9d2bd5f</propertyId>
                  <period>years</period>
                </formula>
                <action type="action" id="Microsoft.Office.RecordsManagement.PolicyFeatures.Expiration.Action.Delete"/>
              </data>
            </stages>
          </Schedule>
        </Schedules>
      </p:CustomData>
    </p:PolicyItem>
  </p:PolicyItems>
</p:Policy>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Assembly>Microsoft.Office.Policy, Version=14.0.0.0, Culture=neutral, PublicKeyToken=71e9bce111e9429c</Assembly>
    <Class>Microsoft.Office.RecordsManagement.Internal.UpdateExpireDate</Class>
    <Data/>
    <Filter/>
  </Receiver>
</spe:Receivers>
</file>

<file path=customXml/item7.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E31E81D3-1C6E-46B0-B8F1-7A71777028F9}">
  <ds:schemaRefs>
    <ds:schemaRef ds:uri="http://schemas.microsoft.com/office/2006/metadata/customXsn"/>
  </ds:schemaRefs>
</ds:datastoreItem>
</file>

<file path=customXml/itemProps2.xml><?xml version="1.0" encoding="utf-8"?>
<ds:datastoreItem xmlns:ds="http://schemas.openxmlformats.org/officeDocument/2006/customXml" ds:itemID="{D121CDE8-4F65-461B-A159-7284DAD1E6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e039acd-daf0-4ba3-b421-e9b9ae1a36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257079-6911-42D9-9557-A18DAB305C15}">
  <ds:schemaRefs>
    <ds:schemaRef ds:uri="http://schemas.microsoft.com/sharepoint/v3/contenttype/forms"/>
  </ds:schemaRefs>
</ds:datastoreItem>
</file>

<file path=customXml/itemProps4.xml><?xml version="1.0" encoding="utf-8"?>
<ds:datastoreItem xmlns:ds="http://schemas.openxmlformats.org/officeDocument/2006/customXml" ds:itemID="{3BE763F1-EDAA-428E-98AC-7098AF38CE6E}">
  <ds:schemaRefs>
    <ds:schemaRef ds:uri="http://purl.org/dc/dcmitype/"/>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5e039acd-daf0-4ba3-b421-e9b9ae1a3620"/>
    <ds:schemaRef ds:uri="http://purl.org/dc/terms/"/>
    <ds:schemaRef ds:uri="http://schemas.microsoft.com/office/infopath/2007/PartnerControls"/>
    <ds:schemaRef ds:uri="http://schemas.microsoft.com/sharepoint/v3"/>
    <ds:schemaRef ds:uri="http://www.w3.org/XML/1998/namespace"/>
  </ds:schemaRefs>
</ds:datastoreItem>
</file>

<file path=customXml/itemProps5.xml><?xml version="1.0" encoding="utf-8"?>
<ds:datastoreItem xmlns:ds="http://schemas.openxmlformats.org/officeDocument/2006/customXml" ds:itemID="{7B8BD951-6690-48EE-A220-C05D9874E7C6}">
  <ds:schemaRefs>
    <ds:schemaRef ds:uri="office.server.policy"/>
  </ds:schemaRefs>
</ds:datastoreItem>
</file>

<file path=customXml/itemProps6.xml><?xml version="1.0" encoding="utf-8"?>
<ds:datastoreItem xmlns:ds="http://schemas.openxmlformats.org/officeDocument/2006/customXml" ds:itemID="{80D7A60C-BC1A-4DF5-BE70-8B5D93339455}">
  <ds:schemaRefs>
    <ds:schemaRef ds:uri="http://schemas.microsoft.com/sharepoint/events"/>
  </ds:schemaRefs>
</ds:datastoreItem>
</file>

<file path=customXml/itemProps7.xml><?xml version="1.0" encoding="utf-8"?>
<ds:datastoreItem xmlns:ds="http://schemas.openxmlformats.org/officeDocument/2006/customXml" ds:itemID="{C4D72C18-3891-4A19-AB88-5E7CCE22B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79</Pages>
  <Words>21043</Words>
  <Characters>119951</Characters>
  <Application>Microsoft Office Word</Application>
  <DocSecurity>0</DocSecurity>
  <Lines>999</Lines>
  <Paragraphs>281</Paragraphs>
  <ScaleCrop>false</ScaleCrop>
  <HeadingPairs>
    <vt:vector size="2" baseType="variant">
      <vt:variant>
        <vt:lpstr>Title</vt:lpstr>
      </vt:variant>
      <vt:variant>
        <vt:i4>1</vt:i4>
      </vt:variant>
    </vt:vector>
  </HeadingPairs>
  <TitlesOfParts>
    <vt:vector size="1" baseType="lpstr">
      <vt:lpstr>Superannuation Guarantee Non-compliance - A report to the Minister for Revenue and Financial Services</vt:lpstr>
    </vt:vector>
  </TitlesOfParts>
  <Company>Australian Government - The Treasury</Company>
  <LinksUpToDate>false</LinksUpToDate>
  <CharactersWithSpaces>140713</CharactersWithSpaces>
  <SharedDoc>false</SharedDoc>
  <HLinks>
    <vt:vector size="18" baseType="variant">
      <vt:variant>
        <vt:i4>1441795</vt:i4>
      </vt:variant>
      <vt:variant>
        <vt:i4>8</vt:i4>
      </vt:variant>
      <vt:variant>
        <vt:i4>0</vt:i4>
      </vt:variant>
      <vt:variant>
        <vt:i4>5</vt:i4>
      </vt:variant>
      <vt:variant>
        <vt:lpwstr/>
      </vt:variant>
      <vt:variant>
        <vt:lpwstr>_Toc428219688</vt:lpwstr>
      </vt:variant>
      <vt:variant>
        <vt:i4>1441804</vt:i4>
      </vt:variant>
      <vt:variant>
        <vt:i4>2</vt:i4>
      </vt:variant>
      <vt:variant>
        <vt:i4>0</vt:i4>
      </vt:variant>
      <vt:variant>
        <vt:i4>5</vt:i4>
      </vt:variant>
      <vt:variant>
        <vt:lpwstr/>
      </vt:variant>
      <vt:variant>
        <vt:lpwstr>_Toc428219687</vt:lpwstr>
      </vt:variant>
      <vt:variant>
        <vt:i4>6488078</vt:i4>
      </vt:variant>
      <vt:variant>
        <vt:i4>2068</vt:i4>
      </vt:variant>
      <vt:variant>
        <vt:i4>1025</vt:i4>
      </vt:variant>
      <vt:variant>
        <vt:i4>1</vt:i4>
      </vt:variant>
      <vt:variant>
        <vt:lpwstr>AustGovt_inline70%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Superannuation Guarantee Non-compliance - A report to the Minister for Revenue and Financial Services</dc:title>
  <dc:creator>Australian Government</dc:creator>
  <cp:lastModifiedBy>Hill, Christine</cp:lastModifiedBy>
  <cp:revision>2</cp:revision>
  <cp:lastPrinted>2017-03-31T04:06:00Z</cp:lastPrinted>
  <dcterms:created xsi:type="dcterms:W3CDTF">2017-07-13T07:26:00Z</dcterms:created>
  <dcterms:modified xsi:type="dcterms:W3CDTF">2017-07-13T07:26:00Z</dcterms:modified>
</cp:coreProperties>
</file>