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4652E" w14:textId="77777777" w:rsidR="00805355" w:rsidRPr="00E34F5D" w:rsidRDefault="00805355" w:rsidP="00805355">
      <w:pPr>
        <w:spacing w:after="0" w:line="240" w:lineRule="auto"/>
        <w:jc w:val="center"/>
        <w:rPr>
          <w:rFonts w:ascii="Times New Roman" w:hAnsi="Times New Roman" w:cs="Times New Roman"/>
          <w:sz w:val="24"/>
          <w:szCs w:val="24"/>
        </w:rPr>
      </w:pPr>
      <w:bookmarkStart w:id="0" w:name="_GoBack"/>
      <w:bookmarkEnd w:id="0"/>
      <w:r w:rsidRPr="00E34F5D">
        <w:rPr>
          <w:rFonts w:ascii="Times New Roman" w:hAnsi="Times New Roman" w:cs="Times New Roman"/>
          <w:sz w:val="24"/>
          <w:szCs w:val="24"/>
        </w:rPr>
        <w:t>AUSTRALIAN GOVERNMENT</w:t>
      </w:r>
    </w:p>
    <w:p w14:paraId="0FAA6358" w14:textId="77777777" w:rsidR="00805355" w:rsidRPr="00E34F5D" w:rsidRDefault="00805355" w:rsidP="00805355">
      <w:pPr>
        <w:spacing w:after="0" w:line="240" w:lineRule="auto"/>
        <w:jc w:val="center"/>
        <w:rPr>
          <w:rFonts w:ascii="Times New Roman" w:hAnsi="Times New Roman" w:cs="Times New Roman"/>
          <w:sz w:val="24"/>
          <w:szCs w:val="24"/>
        </w:rPr>
      </w:pPr>
      <w:r w:rsidRPr="00E34F5D">
        <w:rPr>
          <w:rFonts w:ascii="Times New Roman" w:hAnsi="Times New Roman" w:cs="Times New Roman"/>
          <w:sz w:val="24"/>
          <w:szCs w:val="24"/>
        </w:rPr>
        <w:t xml:space="preserve">TREASURY </w:t>
      </w:r>
    </w:p>
    <w:p w14:paraId="16B1D1FB" w14:textId="77777777" w:rsidR="00805355" w:rsidRPr="00E34F5D" w:rsidRDefault="00805355" w:rsidP="00805355">
      <w:pPr>
        <w:spacing w:after="0" w:line="240" w:lineRule="auto"/>
        <w:jc w:val="center"/>
        <w:rPr>
          <w:rFonts w:ascii="Times New Roman" w:hAnsi="Times New Roman" w:cs="Times New Roman"/>
          <w:sz w:val="24"/>
          <w:szCs w:val="24"/>
        </w:rPr>
      </w:pPr>
    </w:p>
    <w:p w14:paraId="3ED147B3" w14:textId="77777777" w:rsidR="00805355" w:rsidRPr="00E34F5D" w:rsidRDefault="00805355" w:rsidP="008053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TREASURY LAWS AMENDMENT (TAXATION AND SUPERANNUATION GUARANTEE INTEGRITY MEASURES) BILL 2018</w:t>
      </w:r>
    </w:p>
    <w:p w14:paraId="7DB87CBC" w14:textId="77777777" w:rsidR="00805355" w:rsidRPr="00E34F5D" w:rsidRDefault="00805355" w:rsidP="00805355">
      <w:pPr>
        <w:spacing w:after="0" w:line="240" w:lineRule="auto"/>
        <w:jc w:val="center"/>
        <w:rPr>
          <w:rFonts w:ascii="Times New Roman" w:hAnsi="Times New Roman" w:cs="Times New Roman"/>
          <w:sz w:val="24"/>
          <w:szCs w:val="24"/>
        </w:rPr>
      </w:pPr>
    </w:p>
    <w:p w14:paraId="299628EA" w14:textId="77777777" w:rsidR="00805355" w:rsidRPr="00E34F5D" w:rsidRDefault="00805355" w:rsidP="00805355">
      <w:pPr>
        <w:spacing w:after="0" w:line="240" w:lineRule="auto"/>
        <w:jc w:val="center"/>
        <w:rPr>
          <w:rFonts w:ascii="Times New Roman" w:hAnsi="Times New Roman" w:cs="Times New Roman"/>
          <w:sz w:val="24"/>
          <w:szCs w:val="24"/>
        </w:rPr>
      </w:pPr>
      <w:r w:rsidRPr="00E34F5D">
        <w:rPr>
          <w:rFonts w:ascii="Times New Roman" w:hAnsi="Times New Roman" w:cs="Times New Roman"/>
          <w:b/>
          <w:sz w:val="24"/>
          <w:szCs w:val="24"/>
        </w:rPr>
        <w:t>Submission by Professor Helen Anderson, Melbourne Law School</w:t>
      </w:r>
    </w:p>
    <w:p w14:paraId="00AC7327" w14:textId="77777777" w:rsidR="00805355" w:rsidRPr="007F5577" w:rsidRDefault="007F5577" w:rsidP="00805355">
      <w:pPr>
        <w:pBdr>
          <w:bottom w:val="single" w:sz="6" w:space="1" w:color="auto"/>
        </w:pBdr>
        <w:spacing w:after="0" w:line="240" w:lineRule="auto"/>
        <w:jc w:val="center"/>
        <w:rPr>
          <w:rFonts w:ascii="Times New Roman" w:hAnsi="Times New Roman" w:cs="Times New Roman"/>
          <w:sz w:val="24"/>
          <w:szCs w:val="24"/>
        </w:rPr>
      </w:pPr>
      <w:r w:rsidRPr="007F5577">
        <w:rPr>
          <w:rFonts w:ascii="Times New Roman" w:hAnsi="Times New Roman" w:cs="Times New Roman"/>
          <w:sz w:val="24"/>
          <w:szCs w:val="24"/>
        </w:rPr>
        <w:t>30 January 2018</w:t>
      </w:r>
    </w:p>
    <w:p w14:paraId="72CA3FFC" w14:textId="77777777" w:rsidR="00805355" w:rsidRPr="00E34F5D" w:rsidRDefault="00805355" w:rsidP="00805355">
      <w:pPr>
        <w:pBdr>
          <w:bottom w:val="single" w:sz="6" w:space="1" w:color="auto"/>
        </w:pBdr>
        <w:spacing w:after="0" w:line="240" w:lineRule="auto"/>
        <w:jc w:val="center"/>
        <w:rPr>
          <w:rFonts w:ascii="Times New Roman" w:hAnsi="Times New Roman" w:cs="Times New Roman"/>
          <w:sz w:val="24"/>
          <w:szCs w:val="24"/>
        </w:rPr>
      </w:pPr>
    </w:p>
    <w:p w14:paraId="540595D1" w14:textId="77777777" w:rsidR="00805355" w:rsidRPr="00EA5A85" w:rsidRDefault="00805355" w:rsidP="00805355">
      <w:pPr>
        <w:spacing w:after="0" w:line="240" w:lineRule="auto"/>
        <w:jc w:val="both"/>
        <w:rPr>
          <w:rFonts w:ascii="Times New Roman" w:hAnsi="Times New Roman" w:cs="Times New Roman"/>
          <w:sz w:val="24"/>
          <w:szCs w:val="24"/>
        </w:rPr>
      </w:pPr>
    </w:p>
    <w:p w14:paraId="75514E1C" w14:textId="77777777" w:rsidR="00805355" w:rsidRPr="00AE57DA" w:rsidRDefault="00805355" w:rsidP="00805355">
      <w:pPr>
        <w:pStyle w:val="ListParagraph"/>
        <w:numPr>
          <w:ilvl w:val="0"/>
          <w:numId w:val="1"/>
        </w:numPr>
        <w:spacing w:after="0" w:line="240" w:lineRule="auto"/>
        <w:ind w:left="284" w:hanging="284"/>
        <w:jc w:val="both"/>
        <w:rPr>
          <w:rFonts w:ascii="Times New Roman" w:hAnsi="Times New Roman" w:cs="Times New Roman"/>
          <w:b/>
          <w:sz w:val="24"/>
          <w:szCs w:val="24"/>
          <w:u w:val="single"/>
        </w:rPr>
      </w:pPr>
      <w:r w:rsidRPr="003363B0">
        <w:rPr>
          <w:rFonts w:ascii="Times New Roman" w:hAnsi="Times New Roman" w:cs="Times New Roman"/>
          <w:b/>
          <w:sz w:val="24"/>
          <w:szCs w:val="24"/>
        </w:rPr>
        <w:t>INTRODUCTION</w:t>
      </w:r>
    </w:p>
    <w:p w14:paraId="4B2E8A8C" w14:textId="77777777" w:rsidR="00AE57DA" w:rsidRPr="003363B0" w:rsidRDefault="00AE57DA" w:rsidP="00AE57DA">
      <w:pPr>
        <w:pStyle w:val="ListParagraph"/>
        <w:spacing w:after="0" w:line="240" w:lineRule="auto"/>
        <w:ind w:left="284"/>
        <w:jc w:val="both"/>
        <w:rPr>
          <w:rFonts w:ascii="Times New Roman" w:hAnsi="Times New Roman" w:cs="Times New Roman"/>
          <w:b/>
          <w:sz w:val="24"/>
          <w:szCs w:val="24"/>
          <w:u w:val="single"/>
        </w:rPr>
      </w:pPr>
    </w:p>
    <w:p w14:paraId="5385F8CC" w14:textId="77777777" w:rsidR="00805355" w:rsidRDefault="00805355" w:rsidP="003363B0">
      <w:pPr>
        <w:spacing w:after="0" w:line="240" w:lineRule="auto"/>
        <w:jc w:val="both"/>
        <w:rPr>
          <w:rFonts w:ascii="Times New Roman" w:hAnsi="Times New Roman" w:cs="Times New Roman"/>
          <w:sz w:val="24"/>
          <w:szCs w:val="24"/>
        </w:rPr>
      </w:pPr>
      <w:r w:rsidRPr="00EA5A85">
        <w:rPr>
          <w:rFonts w:ascii="Times New Roman" w:hAnsi="Times New Roman" w:cs="Times New Roman"/>
          <w:sz w:val="24"/>
          <w:szCs w:val="24"/>
        </w:rPr>
        <w:t>I thank Treasury for the opportunity to comment on its ‘</w:t>
      </w:r>
      <w:r w:rsidRPr="00805355">
        <w:rPr>
          <w:rFonts w:ascii="Times New Roman" w:hAnsi="Times New Roman" w:cs="Times New Roman"/>
          <w:sz w:val="24"/>
          <w:szCs w:val="24"/>
        </w:rPr>
        <w:t>Treasury Laws Amendment (Ta</w:t>
      </w:r>
      <w:r>
        <w:rPr>
          <w:rFonts w:ascii="Times New Roman" w:hAnsi="Times New Roman" w:cs="Times New Roman"/>
          <w:sz w:val="24"/>
          <w:szCs w:val="24"/>
        </w:rPr>
        <w:t>xation And Superannuation Guaran</w:t>
      </w:r>
      <w:r w:rsidRPr="00805355">
        <w:rPr>
          <w:rFonts w:ascii="Times New Roman" w:hAnsi="Times New Roman" w:cs="Times New Roman"/>
          <w:sz w:val="24"/>
          <w:szCs w:val="24"/>
        </w:rPr>
        <w:t>tee Integrity Measures) Bill 2018</w:t>
      </w:r>
      <w:r>
        <w:rPr>
          <w:rFonts w:ascii="Times New Roman" w:hAnsi="Times New Roman" w:cs="Times New Roman"/>
          <w:sz w:val="24"/>
          <w:szCs w:val="24"/>
        </w:rPr>
        <w:t xml:space="preserve"> exposure draft legislation. Superannuation non-compliance comes at the intersection of my present research interest in illegal phoenix activity and my earlier work  on the protection of employee entitlements. I refer Treasury to my prior publications and submissions on superannuation, available from the phoenix project website</w:t>
      </w:r>
      <w:r w:rsidR="003363B0">
        <w:rPr>
          <w:rFonts w:ascii="Times New Roman" w:hAnsi="Times New Roman" w:cs="Times New Roman"/>
          <w:sz w:val="24"/>
          <w:szCs w:val="24"/>
        </w:rPr>
        <w:t xml:space="preserve">:  </w:t>
      </w:r>
      <w:hyperlink r:id="rId13" w:history="1">
        <w:r w:rsidRPr="00D27B2D">
          <w:rPr>
            <w:rStyle w:val="Hyperlink"/>
            <w:rFonts w:ascii="Times New Roman" w:hAnsi="Times New Roman" w:cs="Times New Roman"/>
            <w:sz w:val="24"/>
            <w:szCs w:val="24"/>
          </w:rPr>
          <w:t>http://law.unimelb.edu.au/centres/cclsr/research/major-research-projects/regulating-fraudulent-phoenix-activity</w:t>
        </w:r>
      </w:hyperlink>
      <w:r>
        <w:rPr>
          <w:rFonts w:ascii="Times New Roman" w:hAnsi="Times New Roman" w:cs="Times New Roman"/>
          <w:sz w:val="24"/>
          <w:szCs w:val="24"/>
        </w:rPr>
        <w:t xml:space="preserve"> </w:t>
      </w:r>
    </w:p>
    <w:p w14:paraId="55A67F14" w14:textId="77777777" w:rsidR="00805355" w:rsidRDefault="00805355" w:rsidP="00805355">
      <w:pPr>
        <w:spacing w:after="0" w:line="240" w:lineRule="auto"/>
        <w:jc w:val="both"/>
        <w:rPr>
          <w:rFonts w:ascii="Times New Roman" w:hAnsi="Times New Roman" w:cs="Times New Roman"/>
          <w:sz w:val="24"/>
          <w:szCs w:val="24"/>
        </w:rPr>
      </w:pPr>
    </w:p>
    <w:p w14:paraId="6F65FB5A" w14:textId="77777777" w:rsidR="00805355" w:rsidRDefault="00805355" w:rsidP="00805355">
      <w:pPr>
        <w:spacing w:after="0" w:line="240" w:lineRule="auto"/>
        <w:jc w:val="both"/>
        <w:rPr>
          <w:rFonts w:ascii="Times New Roman" w:hAnsi="Times New Roman" w:cs="Times New Roman"/>
          <w:sz w:val="24"/>
          <w:szCs w:val="24"/>
        </w:rPr>
      </w:pPr>
    </w:p>
    <w:p w14:paraId="3668AAC6" w14:textId="77777777" w:rsidR="00805355" w:rsidRDefault="00805355" w:rsidP="00805355">
      <w:pPr>
        <w:spacing w:after="0" w:line="240" w:lineRule="auto"/>
        <w:jc w:val="both"/>
        <w:rPr>
          <w:rFonts w:ascii="Times New Roman" w:hAnsi="Times New Roman" w:cs="Times New Roman"/>
          <w:b/>
          <w:sz w:val="24"/>
          <w:szCs w:val="24"/>
        </w:rPr>
      </w:pPr>
      <w:r w:rsidRPr="003363B0">
        <w:rPr>
          <w:rFonts w:ascii="Times New Roman" w:hAnsi="Times New Roman" w:cs="Times New Roman"/>
          <w:b/>
          <w:sz w:val="24"/>
          <w:szCs w:val="24"/>
        </w:rPr>
        <w:t>II</w:t>
      </w:r>
      <w:r w:rsidR="003363B0">
        <w:rPr>
          <w:rFonts w:ascii="Times New Roman" w:hAnsi="Times New Roman" w:cs="Times New Roman"/>
          <w:b/>
          <w:sz w:val="24"/>
          <w:szCs w:val="24"/>
        </w:rPr>
        <w:t>.</w:t>
      </w:r>
      <w:r w:rsidRPr="003363B0">
        <w:rPr>
          <w:rFonts w:ascii="Times New Roman" w:hAnsi="Times New Roman" w:cs="Times New Roman"/>
          <w:b/>
          <w:sz w:val="24"/>
          <w:szCs w:val="24"/>
        </w:rPr>
        <w:t xml:space="preserve"> COMMENTS ON </w:t>
      </w:r>
      <w:r w:rsidR="003363B0" w:rsidRPr="003363B0">
        <w:rPr>
          <w:rFonts w:ascii="Times New Roman" w:hAnsi="Times New Roman" w:cs="Times New Roman"/>
          <w:b/>
          <w:sz w:val="24"/>
          <w:szCs w:val="24"/>
        </w:rPr>
        <w:t>THE BILL</w:t>
      </w:r>
    </w:p>
    <w:p w14:paraId="686C4A2A" w14:textId="77777777" w:rsidR="003363B0" w:rsidRDefault="003363B0" w:rsidP="00805355">
      <w:pPr>
        <w:spacing w:after="0" w:line="240" w:lineRule="auto"/>
        <w:jc w:val="both"/>
        <w:rPr>
          <w:rFonts w:ascii="Times New Roman" w:hAnsi="Times New Roman" w:cs="Times New Roman"/>
          <w:b/>
          <w:sz w:val="24"/>
          <w:szCs w:val="24"/>
        </w:rPr>
      </w:pPr>
    </w:p>
    <w:p w14:paraId="1D661E1A" w14:textId="77777777" w:rsidR="00805355" w:rsidRPr="003E3098" w:rsidRDefault="003E3098" w:rsidP="00805355">
      <w:pPr>
        <w:spacing w:after="0" w:line="240" w:lineRule="auto"/>
        <w:jc w:val="both"/>
        <w:rPr>
          <w:rFonts w:ascii="Times New Roman" w:hAnsi="Times New Roman" w:cs="Times New Roman"/>
          <w:sz w:val="24"/>
          <w:szCs w:val="24"/>
          <w:u w:val="single"/>
        </w:rPr>
      </w:pPr>
      <w:r w:rsidRPr="003E3098">
        <w:rPr>
          <w:rFonts w:ascii="Times New Roman" w:hAnsi="Times New Roman" w:cs="Times New Roman"/>
          <w:sz w:val="24"/>
          <w:szCs w:val="24"/>
          <w:u w:val="single"/>
        </w:rPr>
        <w:t>Directions and penalties in relation to superannuation guarantee charge</w:t>
      </w:r>
      <w:r w:rsidR="007A2EFE">
        <w:rPr>
          <w:rFonts w:ascii="Times New Roman" w:hAnsi="Times New Roman" w:cs="Times New Roman"/>
          <w:sz w:val="24"/>
          <w:szCs w:val="24"/>
          <w:u w:val="single"/>
        </w:rPr>
        <w:t xml:space="preserve"> (SGC)</w:t>
      </w:r>
    </w:p>
    <w:p w14:paraId="719D940C" w14:textId="77777777" w:rsidR="003E3098" w:rsidRDefault="003E3098" w:rsidP="008053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will be beneficial to enhance the Commissioner’s powers in relation to issuing directions including education directions and directions to pay the SGC. However, it must be recognised that a corporate employer can liquidate to avoid the consequence of the directions and that the directors will likewise avoid personal liability via a director penalty notice</w:t>
      </w:r>
      <w:r w:rsidR="007A2EFE">
        <w:rPr>
          <w:rFonts w:ascii="Times New Roman" w:hAnsi="Times New Roman" w:cs="Times New Roman"/>
          <w:sz w:val="24"/>
          <w:szCs w:val="24"/>
        </w:rPr>
        <w:t xml:space="preserve"> (DPN)</w:t>
      </w:r>
      <w:r>
        <w:rPr>
          <w:rFonts w:ascii="Times New Roman" w:hAnsi="Times New Roman" w:cs="Times New Roman"/>
          <w:sz w:val="24"/>
          <w:szCs w:val="24"/>
        </w:rPr>
        <w:t xml:space="preserve"> through the company’s liquidation. A resurrected ‘phoenix’ company will not bear any liability for the SGC nor be subject to the Commissioner’s directions to the defunct company.</w:t>
      </w:r>
    </w:p>
    <w:p w14:paraId="454590F0" w14:textId="77777777" w:rsidR="003E3098" w:rsidRDefault="003E3098" w:rsidP="00805355">
      <w:pPr>
        <w:spacing w:after="0" w:line="240" w:lineRule="auto"/>
        <w:jc w:val="both"/>
        <w:rPr>
          <w:rFonts w:ascii="Times New Roman" w:hAnsi="Times New Roman" w:cs="Times New Roman"/>
          <w:sz w:val="24"/>
          <w:szCs w:val="24"/>
        </w:rPr>
      </w:pPr>
    </w:p>
    <w:p w14:paraId="18D61557" w14:textId="77777777" w:rsidR="003E3098" w:rsidRDefault="003E3098" w:rsidP="008053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with all enforcement measures, a key element is detection of the failure to pay the superannuation liability or SGC, and a willingness</w:t>
      </w:r>
      <w:r w:rsidR="00F417ED">
        <w:rPr>
          <w:rFonts w:ascii="Times New Roman" w:hAnsi="Times New Roman" w:cs="Times New Roman"/>
          <w:sz w:val="24"/>
          <w:szCs w:val="24"/>
        </w:rPr>
        <w:t xml:space="preserve"> by the ATO</w:t>
      </w:r>
      <w:r>
        <w:rPr>
          <w:rFonts w:ascii="Times New Roman" w:hAnsi="Times New Roman" w:cs="Times New Roman"/>
          <w:sz w:val="24"/>
          <w:szCs w:val="24"/>
        </w:rPr>
        <w:t xml:space="preserve"> to pursue </w:t>
      </w:r>
      <w:r w:rsidR="00F417ED">
        <w:rPr>
          <w:rFonts w:ascii="Times New Roman" w:hAnsi="Times New Roman" w:cs="Times New Roman"/>
          <w:sz w:val="24"/>
          <w:szCs w:val="24"/>
        </w:rPr>
        <w:t>the perpetrator. The new offence appears confined to repeated non-payers well known to the ATO (E</w:t>
      </w:r>
      <w:r w:rsidR="007A2EFE">
        <w:rPr>
          <w:rFonts w:ascii="Times New Roman" w:hAnsi="Times New Roman" w:cs="Times New Roman"/>
          <w:sz w:val="24"/>
          <w:szCs w:val="24"/>
        </w:rPr>
        <w:t>xplanatory Memorandum  (EM)</w:t>
      </w:r>
      <w:r w:rsidR="00F417ED">
        <w:rPr>
          <w:rFonts w:ascii="Times New Roman" w:hAnsi="Times New Roman" w:cs="Times New Roman"/>
          <w:sz w:val="24"/>
          <w:szCs w:val="24"/>
        </w:rPr>
        <w:t>[1.76]), so the reach of the new provision is likely to be limited.</w:t>
      </w:r>
      <w:r>
        <w:rPr>
          <w:rFonts w:ascii="Times New Roman" w:hAnsi="Times New Roman" w:cs="Times New Roman"/>
          <w:sz w:val="24"/>
          <w:szCs w:val="24"/>
        </w:rPr>
        <w:t xml:space="preserve"> </w:t>
      </w:r>
    </w:p>
    <w:p w14:paraId="67FD6F63" w14:textId="77777777" w:rsidR="00F417ED" w:rsidRDefault="00F417ED" w:rsidP="00805355">
      <w:pPr>
        <w:spacing w:after="0" w:line="240" w:lineRule="auto"/>
        <w:jc w:val="both"/>
        <w:rPr>
          <w:rFonts w:ascii="Times New Roman" w:hAnsi="Times New Roman" w:cs="Times New Roman"/>
          <w:sz w:val="24"/>
          <w:szCs w:val="24"/>
        </w:rPr>
      </w:pPr>
    </w:p>
    <w:p w14:paraId="00A71F6E" w14:textId="77777777" w:rsidR="00F417ED" w:rsidRDefault="00F417ED" w:rsidP="00805355">
      <w:pPr>
        <w:spacing w:after="0" w:line="240" w:lineRule="auto"/>
        <w:jc w:val="both"/>
        <w:rPr>
          <w:rFonts w:ascii="Times New Roman" w:hAnsi="Times New Roman" w:cs="Times New Roman"/>
          <w:sz w:val="24"/>
          <w:szCs w:val="24"/>
        </w:rPr>
      </w:pPr>
      <w:r w:rsidRPr="00F417ED">
        <w:rPr>
          <w:rFonts w:ascii="Times New Roman" w:hAnsi="Times New Roman" w:cs="Times New Roman"/>
          <w:sz w:val="24"/>
          <w:szCs w:val="24"/>
          <w:u w:val="single"/>
        </w:rPr>
        <w:t>Disclosure of information about non-compliance</w:t>
      </w:r>
    </w:p>
    <w:p w14:paraId="266D791B" w14:textId="77777777" w:rsidR="00646877" w:rsidRDefault="00F417ED" w:rsidP="008053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 useful extension of the ATO’s powers to release information about actual or suspected non-compliance with superannuation and SGC obligations.</w:t>
      </w:r>
      <w:r w:rsidR="00646877">
        <w:rPr>
          <w:rFonts w:ascii="Times New Roman" w:hAnsi="Times New Roman" w:cs="Times New Roman"/>
          <w:sz w:val="24"/>
          <w:szCs w:val="24"/>
        </w:rPr>
        <w:t xml:space="preserve"> Its benefit is that the ATO will now be able to keep the individual employee informed of developments in the recovery of </w:t>
      </w:r>
      <w:r w:rsidR="008A6420">
        <w:rPr>
          <w:rFonts w:ascii="Times New Roman" w:hAnsi="Times New Roman" w:cs="Times New Roman"/>
          <w:sz w:val="24"/>
          <w:szCs w:val="24"/>
        </w:rPr>
        <w:t>their superannuation, which will encourage these employees to chase up the ATO at regular intervals.</w:t>
      </w:r>
      <w:r w:rsidR="00646877">
        <w:rPr>
          <w:rFonts w:ascii="Times New Roman" w:hAnsi="Times New Roman" w:cs="Times New Roman"/>
          <w:sz w:val="24"/>
          <w:szCs w:val="24"/>
        </w:rPr>
        <w:t xml:space="preserve"> This will improve ATO accountability in following up unpaid super complaints and, once recovered, in remitting the money to the employee’s fund. These are both matters for which the ATO has been criticised</w:t>
      </w:r>
    </w:p>
    <w:p w14:paraId="50CBD8DA" w14:textId="77777777" w:rsidR="00F417ED" w:rsidRDefault="00F417ED" w:rsidP="00805355">
      <w:pPr>
        <w:spacing w:after="0" w:line="240" w:lineRule="auto"/>
        <w:jc w:val="both"/>
        <w:rPr>
          <w:rFonts w:ascii="Times New Roman" w:hAnsi="Times New Roman" w:cs="Times New Roman"/>
          <w:sz w:val="24"/>
          <w:szCs w:val="24"/>
        </w:rPr>
      </w:pPr>
    </w:p>
    <w:p w14:paraId="374AF295" w14:textId="77777777" w:rsidR="00646877" w:rsidRDefault="00646877" w:rsidP="00805355">
      <w:pPr>
        <w:spacing w:after="0" w:line="240" w:lineRule="auto"/>
        <w:jc w:val="both"/>
        <w:rPr>
          <w:rFonts w:ascii="Times New Roman" w:hAnsi="Times New Roman" w:cs="Times New Roman"/>
          <w:sz w:val="24"/>
          <w:szCs w:val="24"/>
        </w:rPr>
      </w:pPr>
      <w:r w:rsidRPr="00646877">
        <w:rPr>
          <w:rFonts w:ascii="Times New Roman" w:hAnsi="Times New Roman" w:cs="Times New Roman"/>
          <w:sz w:val="24"/>
          <w:szCs w:val="24"/>
          <w:u w:val="single"/>
        </w:rPr>
        <w:t>Single Touch Payroll reporting</w:t>
      </w:r>
    </w:p>
    <w:p w14:paraId="51491605" w14:textId="77777777" w:rsidR="00646877" w:rsidRDefault="008A6420"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proposed</w:t>
      </w:r>
      <w:r w:rsidR="00646877">
        <w:rPr>
          <w:rFonts w:ascii="Times New Roman" w:hAnsi="Times New Roman" w:cs="Times New Roman"/>
          <w:sz w:val="24"/>
          <w:szCs w:val="24"/>
        </w:rPr>
        <w:t xml:space="preserve"> measure does two very useful things: first, it extends the</w:t>
      </w:r>
      <w:r w:rsidR="00AB4005">
        <w:rPr>
          <w:rFonts w:ascii="Times New Roman" w:hAnsi="Times New Roman" w:cs="Times New Roman"/>
          <w:sz w:val="24"/>
          <w:szCs w:val="24"/>
        </w:rPr>
        <w:t xml:space="preserve"> STP requirement to all employer</w:t>
      </w:r>
      <w:r w:rsidR="00646877">
        <w:rPr>
          <w:rFonts w:ascii="Times New Roman" w:hAnsi="Times New Roman" w:cs="Times New Roman"/>
          <w:sz w:val="24"/>
          <w:szCs w:val="24"/>
        </w:rPr>
        <w:t xml:space="preserve">s </w:t>
      </w:r>
      <w:r w:rsidR="00AB4005">
        <w:rPr>
          <w:rFonts w:ascii="Times New Roman" w:hAnsi="Times New Roman" w:cs="Times New Roman"/>
          <w:sz w:val="24"/>
          <w:szCs w:val="24"/>
        </w:rPr>
        <w:t xml:space="preserve">regardless of the number of their employees; </w:t>
      </w:r>
      <w:r w:rsidR="00646877">
        <w:rPr>
          <w:rFonts w:ascii="Times New Roman" w:hAnsi="Times New Roman" w:cs="Times New Roman"/>
          <w:sz w:val="24"/>
          <w:szCs w:val="24"/>
        </w:rPr>
        <w:t>and second, it requires reporting of salary sacrifice</w:t>
      </w:r>
      <w:r w:rsidR="00AB4005">
        <w:rPr>
          <w:rFonts w:ascii="Times New Roman" w:hAnsi="Times New Roman" w:cs="Times New Roman"/>
          <w:sz w:val="24"/>
          <w:szCs w:val="24"/>
        </w:rPr>
        <w:t xml:space="preserve"> amounts to the super fund. The latter</w:t>
      </w:r>
      <w:r w:rsidR="00646877">
        <w:rPr>
          <w:rFonts w:ascii="Times New Roman" w:hAnsi="Times New Roman" w:cs="Times New Roman"/>
          <w:sz w:val="24"/>
          <w:szCs w:val="24"/>
        </w:rPr>
        <w:t xml:space="preserve"> comes after measures introduced in late </w:t>
      </w:r>
      <w:r w:rsidR="00646877">
        <w:rPr>
          <w:rFonts w:ascii="Times New Roman" w:hAnsi="Times New Roman" w:cs="Times New Roman"/>
          <w:sz w:val="24"/>
          <w:szCs w:val="24"/>
        </w:rPr>
        <w:lastRenderedPageBreak/>
        <w:t>2017 t</w:t>
      </w:r>
      <w:r w:rsidR="00AB4005">
        <w:rPr>
          <w:rFonts w:ascii="Times New Roman" w:hAnsi="Times New Roman" w:cs="Times New Roman"/>
          <w:sz w:val="24"/>
          <w:szCs w:val="24"/>
        </w:rPr>
        <w:t xml:space="preserve">o </w:t>
      </w:r>
      <w:r w:rsidR="00646877">
        <w:rPr>
          <w:rFonts w:ascii="Times New Roman" w:hAnsi="Times New Roman" w:cs="Times New Roman"/>
          <w:sz w:val="24"/>
          <w:szCs w:val="24"/>
        </w:rPr>
        <w:t>prevent employers from using salary sacrifice amounts in satisfaction of their SG obligations. Compounding the</w:t>
      </w:r>
      <w:r w:rsidR="00AB4005">
        <w:rPr>
          <w:rFonts w:ascii="Times New Roman" w:hAnsi="Times New Roman" w:cs="Times New Roman"/>
          <w:sz w:val="24"/>
          <w:szCs w:val="24"/>
        </w:rPr>
        <w:t xml:space="preserve"> unfairness of this practice was the fact that employees were generally ignorant of the fact that this was taking place. This pair of salary sacrifice reforms are very welcome.</w:t>
      </w:r>
    </w:p>
    <w:p w14:paraId="7BDE9A20" w14:textId="77777777" w:rsidR="00AB4005" w:rsidRDefault="00AB4005" w:rsidP="0094611B">
      <w:pPr>
        <w:spacing w:after="0" w:line="240" w:lineRule="auto"/>
        <w:jc w:val="both"/>
        <w:rPr>
          <w:rFonts w:ascii="Times New Roman" w:hAnsi="Times New Roman" w:cs="Times New Roman"/>
          <w:sz w:val="24"/>
          <w:szCs w:val="24"/>
        </w:rPr>
      </w:pPr>
    </w:p>
    <w:p w14:paraId="25CBB570" w14:textId="77777777" w:rsidR="007A2EFE" w:rsidRDefault="007A2EFE"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AB4005">
        <w:rPr>
          <w:rFonts w:ascii="Times New Roman" w:hAnsi="Times New Roman" w:cs="Times New Roman"/>
          <w:sz w:val="24"/>
          <w:szCs w:val="24"/>
        </w:rPr>
        <w:t xml:space="preserve"> STP issue is more complicated. </w:t>
      </w:r>
      <w:r w:rsidR="00486F8D">
        <w:rPr>
          <w:rFonts w:ascii="Times New Roman" w:hAnsi="Times New Roman" w:cs="Times New Roman"/>
          <w:sz w:val="24"/>
          <w:szCs w:val="24"/>
        </w:rPr>
        <w:t>On the one hand, t</w:t>
      </w:r>
      <w:r>
        <w:rPr>
          <w:rFonts w:ascii="Times New Roman" w:hAnsi="Times New Roman" w:cs="Times New Roman"/>
          <w:sz w:val="24"/>
          <w:szCs w:val="24"/>
        </w:rPr>
        <w:t xml:space="preserve">he value of information about what superannuation is owing is very valuable to the ATO, and this point is considered further below under the heading ‘Fund Reporting’. </w:t>
      </w:r>
    </w:p>
    <w:p w14:paraId="12FC4E40" w14:textId="77777777" w:rsidR="007A2EFE" w:rsidRDefault="007A2EFE" w:rsidP="0094611B">
      <w:pPr>
        <w:spacing w:after="0" w:line="240" w:lineRule="auto"/>
        <w:jc w:val="both"/>
        <w:rPr>
          <w:rFonts w:ascii="Times New Roman" w:hAnsi="Times New Roman" w:cs="Times New Roman"/>
          <w:sz w:val="24"/>
          <w:szCs w:val="24"/>
        </w:rPr>
      </w:pPr>
    </w:p>
    <w:p w14:paraId="7452A871" w14:textId="77777777" w:rsidR="00AB4005" w:rsidRDefault="007A2EFE"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 the other hand, t</w:t>
      </w:r>
      <w:r w:rsidR="00AB4005">
        <w:rPr>
          <w:rFonts w:ascii="Times New Roman" w:hAnsi="Times New Roman" w:cs="Times New Roman"/>
          <w:sz w:val="24"/>
          <w:szCs w:val="24"/>
        </w:rPr>
        <w:t xml:space="preserve">he measure </w:t>
      </w:r>
      <w:r w:rsidR="004276CF">
        <w:rPr>
          <w:rFonts w:ascii="Times New Roman" w:hAnsi="Times New Roman" w:cs="Times New Roman"/>
          <w:sz w:val="24"/>
          <w:szCs w:val="24"/>
        </w:rPr>
        <w:t>as a purely reporting mechanism</w:t>
      </w:r>
      <w:r w:rsidR="00AB4005">
        <w:rPr>
          <w:rFonts w:ascii="Times New Roman" w:hAnsi="Times New Roman" w:cs="Times New Roman"/>
          <w:sz w:val="24"/>
          <w:szCs w:val="24"/>
        </w:rPr>
        <w:t xml:space="preserve"> </w:t>
      </w:r>
      <w:r w:rsidR="00486F8D">
        <w:rPr>
          <w:rFonts w:ascii="Times New Roman" w:hAnsi="Times New Roman" w:cs="Times New Roman"/>
          <w:sz w:val="24"/>
          <w:szCs w:val="24"/>
        </w:rPr>
        <w:t xml:space="preserve">has an effect on </w:t>
      </w:r>
      <w:r w:rsidR="00AB4005" w:rsidRPr="00AB4005">
        <w:rPr>
          <w:rFonts w:ascii="Times New Roman" w:hAnsi="Times New Roman" w:cs="Times New Roman"/>
          <w:sz w:val="24"/>
          <w:szCs w:val="24"/>
        </w:rPr>
        <w:t>the usefulness of</w:t>
      </w:r>
      <w:r w:rsidR="00AB4005">
        <w:rPr>
          <w:rFonts w:ascii="Times New Roman" w:hAnsi="Times New Roman" w:cs="Times New Roman"/>
          <w:sz w:val="24"/>
          <w:szCs w:val="24"/>
        </w:rPr>
        <w:t xml:space="preserve"> the lockdown DPN</w:t>
      </w:r>
      <w:r w:rsidR="00486F8D">
        <w:rPr>
          <w:rFonts w:ascii="Times New Roman" w:hAnsi="Times New Roman" w:cs="Times New Roman"/>
          <w:sz w:val="24"/>
          <w:szCs w:val="24"/>
        </w:rPr>
        <w:t xml:space="preserve"> as a means of making directors liable for their company’s unremitted </w:t>
      </w:r>
      <w:r w:rsidR="00090857">
        <w:rPr>
          <w:rFonts w:ascii="Times New Roman" w:hAnsi="Times New Roman" w:cs="Times New Roman"/>
          <w:sz w:val="24"/>
          <w:szCs w:val="24"/>
        </w:rPr>
        <w:t>liabilities</w:t>
      </w:r>
      <w:r w:rsidR="00AB4005">
        <w:rPr>
          <w:rFonts w:ascii="Times New Roman" w:hAnsi="Times New Roman" w:cs="Times New Roman"/>
          <w:sz w:val="24"/>
          <w:szCs w:val="24"/>
        </w:rPr>
        <w:t xml:space="preserve">. Lockdown DPNs, </w:t>
      </w:r>
      <w:r w:rsidR="00AB4005" w:rsidRPr="00AB4005">
        <w:rPr>
          <w:rFonts w:ascii="Times New Roman" w:hAnsi="Times New Roman" w:cs="Times New Roman"/>
          <w:sz w:val="24"/>
          <w:szCs w:val="24"/>
        </w:rPr>
        <w:t>int</w:t>
      </w:r>
      <w:r w:rsidR="00AB4005">
        <w:rPr>
          <w:rFonts w:ascii="Times New Roman" w:hAnsi="Times New Roman" w:cs="Times New Roman"/>
          <w:sz w:val="24"/>
          <w:szCs w:val="24"/>
        </w:rPr>
        <w:t xml:space="preserve">roduced in 2012, can be issued where the company’s withholding tax and superannuation liabilities are </w:t>
      </w:r>
      <w:r w:rsidR="00AB4005" w:rsidRPr="00AB4005">
        <w:rPr>
          <w:rFonts w:ascii="Times New Roman" w:hAnsi="Times New Roman" w:cs="Times New Roman"/>
          <w:i/>
          <w:sz w:val="24"/>
          <w:szCs w:val="24"/>
        </w:rPr>
        <w:t>both unreported and unpaid,</w:t>
      </w:r>
      <w:r w:rsidR="00AB4005">
        <w:rPr>
          <w:rFonts w:ascii="Times New Roman" w:hAnsi="Times New Roman" w:cs="Times New Roman"/>
          <w:sz w:val="24"/>
          <w:szCs w:val="24"/>
        </w:rPr>
        <w:t xml:space="preserve"> and it deprives the director of the ‘escape’ mechanism of liquidating the company or placing the company into voluntary administration within 21 days of receipt of the notice. </w:t>
      </w:r>
      <w:r w:rsidR="008A6420">
        <w:rPr>
          <w:rFonts w:ascii="Times New Roman" w:hAnsi="Times New Roman" w:cs="Times New Roman"/>
          <w:sz w:val="24"/>
          <w:szCs w:val="24"/>
        </w:rPr>
        <w:t xml:space="preserve">This is superior to the pre-2012 era because the ATO will (hopefully) be able to match reported liabilities with actual non-payment, and commence recovery action. </w:t>
      </w:r>
      <w:r w:rsidR="00AB4005">
        <w:rPr>
          <w:rFonts w:ascii="Times New Roman" w:hAnsi="Times New Roman" w:cs="Times New Roman"/>
          <w:sz w:val="24"/>
          <w:szCs w:val="24"/>
        </w:rPr>
        <w:t xml:space="preserve">Standard DPNs, where the liability </w:t>
      </w:r>
      <w:r w:rsidR="00AB4005">
        <w:rPr>
          <w:rFonts w:ascii="Times New Roman" w:hAnsi="Times New Roman" w:cs="Times New Roman"/>
          <w:i/>
          <w:sz w:val="24"/>
          <w:szCs w:val="24"/>
        </w:rPr>
        <w:t xml:space="preserve">is </w:t>
      </w:r>
      <w:r w:rsidR="00AB4005">
        <w:rPr>
          <w:rFonts w:ascii="Times New Roman" w:hAnsi="Times New Roman" w:cs="Times New Roman"/>
          <w:sz w:val="24"/>
          <w:szCs w:val="24"/>
        </w:rPr>
        <w:t>reported but remains unpaid, can be avoided by the company’s prompt entry into liquidation or voluntary administration.</w:t>
      </w:r>
    </w:p>
    <w:p w14:paraId="2214E3EC" w14:textId="77777777" w:rsidR="008A6420" w:rsidRDefault="008A6420" w:rsidP="0094611B">
      <w:pPr>
        <w:spacing w:after="0" w:line="240" w:lineRule="auto"/>
        <w:jc w:val="both"/>
        <w:rPr>
          <w:rFonts w:ascii="Times New Roman" w:hAnsi="Times New Roman" w:cs="Times New Roman"/>
          <w:sz w:val="24"/>
          <w:szCs w:val="24"/>
        </w:rPr>
      </w:pPr>
    </w:p>
    <w:p w14:paraId="1678ABBB" w14:textId="77777777" w:rsidR="008A6420" w:rsidRDefault="008A6420"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other words, </w:t>
      </w:r>
      <w:r w:rsidRPr="008A6420">
        <w:rPr>
          <w:rFonts w:ascii="Times New Roman" w:hAnsi="Times New Roman" w:cs="Times New Roman"/>
          <w:i/>
          <w:sz w:val="24"/>
          <w:szCs w:val="24"/>
        </w:rPr>
        <w:t>reported</w:t>
      </w:r>
      <w:r>
        <w:rPr>
          <w:rFonts w:ascii="Times New Roman" w:hAnsi="Times New Roman" w:cs="Times New Roman"/>
          <w:sz w:val="24"/>
          <w:szCs w:val="24"/>
        </w:rPr>
        <w:t xml:space="preserve"> unpaid obligations are easier for the ATO to detect but harder to collect; </w:t>
      </w:r>
      <w:r w:rsidRPr="008A6420">
        <w:rPr>
          <w:rFonts w:ascii="Times New Roman" w:hAnsi="Times New Roman" w:cs="Times New Roman"/>
          <w:i/>
          <w:sz w:val="24"/>
          <w:szCs w:val="24"/>
        </w:rPr>
        <w:t>unreported</w:t>
      </w:r>
      <w:r>
        <w:rPr>
          <w:rFonts w:ascii="Times New Roman" w:hAnsi="Times New Roman" w:cs="Times New Roman"/>
          <w:sz w:val="24"/>
          <w:szCs w:val="24"/>
        </w:rPr>
        <w:t xml:space="preserve"> unpaid obl</w:t>
      </w:r>
      <w:r w:rsidR="003F178A">
        <w:rPr>
          <w:rFonts w:ascii="Times New Roman" w:hAnsi="Times New Roman" w:cs="Times New Roman"/>
          <w:sz w:val="24"/>
          <w:szCs w:val="24"/>
        </w:rPr>
        <w:t>igations are easier to collect</w:t>
      </w:r>
      <w:r>
        <w:rPr>
          <w:rFonts w:ascii="Times New Roman" w:hAnsi="Times New Roman" w:cs="Times New Roman"/>
          <w:sz w:val="24"/>
          <w:szCs w:val="24"/>
        </w:rPr>
        <w:t xml:space="preserve"> but harder to detect.</w:t>
      </w:r>
    </w:p>
    <w:p w14:paraId="2E60D3FD" w14:textId="77777777" w:rsidR="00AB4005" w:rsidRDefault="00AB4005" w:rsidP="0094611B">
      <w:pPr>
        <w:spacing w:after="0" w:line="240" w:lineRule="auto"/>
        <w:jc w:val="both"/>
        <w:rPr>
          <w:rFonts w:ascii="Times New Roman" w:hAnsi="Times New Roman" w:cs="Times New Roman"/>
          <w:sz w:val="24"/>
          <w:szCs w:val="24"/>
        </w:rPr>
      </w:pPr>
    </w:p>
    <w:p w14:paraId="53B16D72" w14:textId="77777777" w:rsidR="004276CF" w:rsidRPr="00A25D79" w:rsidRDefault="008A6420"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two concerns</w:t>
      </w:r>
      <w:r w:rsidR="004276CF">
        <w:rPr>
          <w:rFonts w:ascii="Times New Roman" w:hAnsi="Times New Roman" w:cs="Times New Roman"/>
          <w:sz w:val="24"/>
          <w:szCs w:val="24"/>
        </w:rPr>
        <w:t xml:space="preserve">. The first is volume. The original 20+ employees STP scheme covered 3% of employers. This extension brings on board the remaining 97%. </w:t>
      </w:r>
      <w:r w:rsidR="004276CF" w:rsidRPr="00A25D79">
        <w:rPr>
          <w:rFonts w:ascii="Times New Roman" w:hAnsi="Times New Roman" w:cs="Times New Roman"/>
          <w:sz w:val="24"/>
          <w:szCs w:val="24"/>
        </w:rPr>
        <w:t xml:space="preserve">The ATO’s submission to the Senate </w:t>
      </w:r>
      <w:r w:rsidR="003F178A">
        <w:rPr>
          <w:rFonts w:ascii="Times New Roman" w:hAnsi="Times New Roman" w:cs="Times New Roman"/>
          <w:sz w:val="24"/>
          <w:szCs w:val="24"/>
        </w:rPr>
        <w:t>Economics References Committee</w:t>
      </w:r>
      <w:r w:rsidR="004276CF">
        <w:rPr>
          <w:rFonts w:ascii="Times New Roman" w:hAnsi="Times New Roman" w:cs="Times New Roman"/>
          <w:sz w:val="24"/>
          <w:szCs w:val="24"/>
        </w:rPr>
        <w:t xml:space="preserve"> in 2017</w:t>
      </w:r>
      <w:r w:rsidR="004276CF" w:rsidRPr="00A25D79">
        <w:rPr>
          <w:rFonts w:ascii="Times New Roman" w:hAnsi="Times New Roman" w:cs="Times New Roman"/>
          <w:sz w:val="24"/>
          <w:szCs w:val="24"/>
        </w:rPr>
        <w:t xml:space="preserve"> noted that ‘[s]ome 97 per cent of reports of unpaid super made to the ATO were against small business employers and this same group accounted for around 98 per cent of the liability raised by the ATO.’</w:t>
      </w:r>
      <w:r w:rsidR="004276CF" w:rsidRPr="00A25D79">
        <w:rPr>
          <w:rStyle w:val="FootnoteReference"/>
          <w:rFonts w:ascii="Times New Roman" w:hAnsi="Times New Roman" w:cs="Times New Roman"/>
          <w:sz w:val="24"/>
          <w:szCs w:val="24"/>
        </w:rPr>
        <w:footnoteReference w:id="1"/>
      </w:r>
      <w:r w:rsidR="004276CF" w:rsidRPr="00A25D79">
        <w:rPr>
          <w:rFonts w:ascii="Times New Roman" w:hAnsi="Times New Roman" w:cs="Times New Roman"/>
          <w:sz w:val="24"/>
          <w:szCs w:val="24"/>
        </w:rPr>
        <w:t xml:space="preserve"> </w:t>
      </w:r>
    </w:p>
    <w:p w14:paraId="58C094C4" w14:textId="77777777" w:rsidR="004276CF" w:rsidRDefault="004276CF" w:rsidP="0094611B">
      <w:pPr>
        <w:spacing w:after="0" w:line="240" w:lineRule="auto"/>
        <w:jc w:val="both"/>
        <w:rPr>
          <w:rFonts w:ascii="Times New Roman" w:hAnsi="Times New Roman" w:cs="Times New Roman"/>
          <w:sz w:val="24"/>
          <w:szCs w:val="24"/>
        </w:rPr>
      </w:pPr>
    </w:p>
    <w:p w14:paraId="6F1801AF" w14:textId="77777777" w:rsidR="004276CF" w:rsidRPr="00DF5697" w:rsidRDefault="004276CF"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issue is</w:t>
      </w:r>
      <w:r w:rsidR="008A6420">
        <w:rPr>
          <w:rFonts w:ascii="Times New Roman" w:hAnsi="Times New Roman" w:cs="Times New Roman"/>
          <w:sz w:val="24"/>
          <w:szCs w:val="24"/>
        </w:rPr>
        <w:t xml:space="preserve"> phoenix activity</w:t>
      </w:r>
      <w:r w:rsidRPr="00DF5697">
        <w:rPr>
          <w:rFonts w:ascii="Times New Roman" w:hAnsi="Times New Roman" w:cs="Times New Roman"/>
          <w:sz w:val="24"/>
          <w:szCs w:val="24"/>
        </w:rPr>
        <w:t xml:space="preserve">. Small </w:t>
      </w:r>
      <w:r w:rsidR="003F178A">
        <w:rPr>
          <w:rFonts w:ascii="Times New Roman" w:hAnsi="Times New Roman" w:cs="Times New Roman"/>
          <w:sz w:val="24"/>
          <w:szCs w:val="24"/>
        </w:rPr>
        <w:t>companies</w:t>
      </w:r>
      <w:r w:rsidR="007A2EFE">
        <w:rPr>
          <w:rFonts w:ascii="Times New Roman" w:hAnsi="Times New Roman" w:cs="Times New Roman"/>
          <w:sz w:val="24"/>
          <w:szCs w:val="24"/>
        </w:rPr>
        <w:t>,</w:t>
      </w:r>
      <w:r w:rsidRPr="00DF5697">
        <w:rPr>
          <w:rFonts w:ascii="Times New Roman" w:hAnsi="Times New Roman" w:cs="Times New Roman"/>
          <w:sz w:val="24"/>
          <w:szCs w:val="24"/>
        </w:rPr>
        <w:t xml:space="preserve"> with less reputation to lose than larger ones, may well </w:t>
      </w:r>
      <w:r w:rsidR="003F178A">
        <w:rPr>
          <w:rFonts w:ascii="Times New Roman" w:hAnsi="Times New Roman" w:cs="Times New Roman"/>
          <w:sz w:val="24"/>
          <w:szCs w:val="24"/>
        </w:rPr>
        <w:t xml:space="preserve">deliberately enter </w:t>
      </w:r>
      <w:r w:rsidR="008A6420" w:rsidRPr="00DF5697">
        <w:rPr>
          <w:rFonts w:ascii="Times New Roman" w:hAnsi="Times New Roman" w:cs="Times New Roman"/>
          <w:sz w:val="24"/>
          <w:szCs w:val="24"/>
        </w:rPr>
        <w:t xml:space="preserve">external administration </w:t>
      </w:r>
      <w:r w:rsidRPr="00DF5697">
        <w:rPr>
          <w:rFonts w:ascii="Times New Roman" w:hAnsi="Times New Roman" w:cs="Times New Roman"/>
          <w:sz w:val="24"/>
          <w:szCs w:val="24"/>
        </w:rPr>
        <w:t xml:space="preserve">to avoid a whole suite of liabilities </w:t>
      </w:r>
      <w:r w:rsidR="00AC4C63" w:rsidRPr="00DF5697">
        <w:rPr>
          <w:rFonts w:ascii="Times New Roman" w:hAnsi="Times New Roman" w:cs="Times New Roman"/>
          <w:sz w:val="24"/>
          <w:szCs w:val="24"/>
        </w:rPr>
        <w:t xml:space="preserve">– taxes, superannuation, employee entitlements, unpaid trade creditors and the director’s own DPN liability. </w:t>
      </w:r>
    </w:p>
    <w:p w14:paraId="070598A7" w14:textId="77777777" w:rsidR="00AC4C63" w:rsidRPr="00DF5697" w:rsidRDefault="00AC4C63" w:rsidP="0094611B">
      <w:pPr>
        <w:spacing w:after="0" w:line="240" w:lineRule="auto"/>
        <w:jc w:val="both"/>
        <w:rPr>
          <w:rFonts w:ascii="Times New Roman" w:hAnsi="Times New Roman" w:cs="Times New Roman"/>
          <w:sz w:val="24"/>
          <w:szCs w:val="24"/>
        </w:rPr>
      </w:pPr>
    </w:p>
    <w:p w14:paraId="7CBDFEBA" w14:textId="77777777" w:rsidR="00AC4C63" w:rsidRPr="00DF5697" w:rsidRDefault="00AC4C63" w:rsidP="0094611B">
      <w:pPr>
        <w:spacing w:after="0" w:line="240" w:lineRule="auto"/>
        <w:jc w:val="both"/>
        <w:rPr>
          <w:rFonts w:ascii="Times New Roman" w:hAnsi="Times New Roman" w:cs="Times New Roman"/>
          <w:sz w:val="24"/>
          <w:szCs w:val="24"/>
        </w:rPr>
      </w:pPr>
      <w:r w:rsidRPr="00DF5697">
        <w:rPr>
          <w:rFonts w:ascii="Times New Roman" w:hAnsi="Times New Roman" w:cs="Times New Roman"/>
          <w:sz w:val="24"/>
          <w:szCs w:val="24"/>
        </w:rPr>
        <w:t>The solution in my opinion is to revert to</w:t>
      </w:r>
      <w:r w:rsidR="00AE57DA">
        <w:rPr>
          <w:rFonts w:ascii="Times New Roman" w:hAnsi="Times New Roman" w:cs="Times New Roman"/>
          <w:sz w:val="24"/>
          <w:szCs w:val="24"/>
        </w:rPr>
        <w:t xml:space="preserve"> the original conception of </w:t>
      </w:r>
      <w:r w:rsidRPr="00DF5697">
        <w:rPr>
          <w:rFonts w:ascii="Times New Roman" w:hAnsi="Times New Roman" w:cs="Times New Roman"/>
          <w:sz w:val="24"/>
          <w:szCs w:val="24"/>
        </w:rPr>
        <w:t>STP, which involved simultaneous reporting and payment. I acknowledge the cash flow concerns of small business but it must be recognised that the government acts as an unofficial lender by allowing significant delays between the liability for taxes and superannuation accruing and those liabilities being discharged.</w:t>
      </w:r>
    </w:p>
    <w:p w14:paraId="1FE23164" w14:textId="77777777" w:rsidR="004276CF" w:rsidRPr="00DF5697" w:rsidRDefault="004276CF" w:rsidP="0094611B">
      <w:pPr>
        <w:spacing w:after="0" w:line="240" w:lineRule="auto"/>
        <w:jc w:val="both"/>
        <w:rPr>
          <w:rFonts w:ascii="Times New Roman" w:hAnsi="Times New Roman" w:cs="Times New Roman"/>
          <w:sz w:val="24"/>
          <w:szCs w:val="24"/>
          <w:u w:val="single"/>
        </w:rPr>
      </w:pPr>
    </w:p>
    <w:p w14:paraId="438D7A8E" w14:textId="77777777" w:rsidR="00AC4C63" w:rsidRPr="00DF5697" w:rsidRDefault="00AC4C63" w:rsidP="0094611B">
      <w:pPr>
        <w:spacing w:after="0" w:line="240" w:lineRule="auto"/>
        <w:jc w:val="both"/>
        <w:rPr>
          <w:rFonts w:ascii="Times New Roman" w:hAnsi="Times New Roman" w:cs="Times New Roman"/>
          <w:sz w:val="24"/>
          <w:szCs w:val="24"/>
          <w:u w:val="single"/>
        </w:rPr>
      </w:pPr>
      <w:r w:rsidRPr="00DF5697">
        <w:rPr>
          <w:rFonts w:ascii="Times New Roman" w:hAnsi="Times New Roman" w:cs="Times New Roman"/>
          <w:sz w:val="24"/>
          <w:szCs w:val="24"/>
          <w:u w:val="single"/>
        </w:rPr>
        <w:t>Fund reporting</w:t>
      </w:r>
    </w:p>
    <w:p w14:paraId="25A38064" w14:textId="77777777" w:rsidR="00B52FC6" w:rsidRPr="00DF5697" w:rsidRDefault="0094611B" w:rsidP="0094611B">
      <w:pPr>
        <w:spacing w:after="0" w:line="240" w:lineRule="auto"/>
        <w:jc w:val="both"/>
        <w:rPr>
          <w:rFonts w:ascii="Times New Roman" w:hAnsi="Times New Roman" w:cs="Times New Roman"/>
          <w:sz w:val="24"/>
          <w:szCs w:val="24"/>
        </w:rPr>
      </w:pPr>
      <w:r w:rsidRPr="00DF5697">
        <w:rPr>
          <w:rFonts w:ascii="Times New Roman" w:hAnsi="Times New Roman" w:cs="Times New Roman"/>
          <w:sz w:val="24"/>
          <w:szCs w:val="24"/>
        </w:rPr>
        <w:t xml:space="preserve">It would be useful for Treasury to clarify the reach of the new law in Chapter 4 Fund Reporting relating to entities </w:t>
      </w:r>
      <w:r w:rsidRPr="00DF5697">
        <w:rPr>
          <w:rFonts w:ascii="Times New Roman" w:hAnsi="Times New Roman" w:cs="Times New Roman"/>
          <w:i/>
          <w:sz w:val="24"/>
          <w:szCs w:val="24"/>
        </w:rPr>
        <w:t xml:space="preserve">not </w:t>
      </w:r>
      <w:r w:rsidRPr="00DF5697">
        <w:rPr>
          <w:rFonts w:ascii="Times New Roman" w:hAnsi="Times New Roman" w:cs="Times New Roman"/>
          <w:sz w:val="24"/>
          <w:szCs w:val="24"/>
        </w:rPr>
        <w:t>reporting SG information via STP</w:t>
      </w:r>
      <w:r w:rsidR="00DF5697" w:rsidRPr="00DF5697">
        <w:rPr>
          <w:rFonts w:ascii="Times New Roman" w:hAnsi="Times New Roman" w:cs="Times New Roman"/>
          <w:sz w:val="24"/>
          <w:szCs w:val="24"/>
        </w:rPr>
        <w:t>: [4.16]</w:t>
      </w:r>
      <w:r w:rsidRPr="00DF5697">
        <w:rPr>
          <w:rFonts w:ascii="Times New Roman" w:hAnsi="Times New Roman" w:cs="Times New Roman"/>
          <w:sz w:val="24"/>
          <w:szCs w:val="24"/>
        </w:rPr>
        <w:t xml:space="preserve">, given the </w:t>
      </w:r>
      <w:r w:rsidR="00AE57DA">
        <w:rPr>
          <w:rFonts w:ascii="Times New Roman" w:hAnsi="Times New Roman" w:cs="Times New Roman"/>
          <w:sz w:val="24"/>
          <w:szCs w:val="24"/>
        </w:rPr>
        <w:t xml:space="preserve">apparently </w:t>
      </w:r>
      <w:r w:rsidRPr="00DF5697">
        <w:rPr>
          <w:rFonts w:ascii="Times New Roman" w:hAnsi="Times New Roman" w:cs="Times New Roman"/>
          <w:sz w:val="24"/>
          <w:szCs w:val="24"/>
        </w:rPr>
        <w:t>unequivocal extension of STP reporting in Chapter 3</w:t>
      </w:r>
      <w:r w:rsidR="00DF5697" w:rsidRPr="00DF5697">
        <w:rPr>
          <w:rFonts w:ascii="Times New Roman" w:hAnsi="Times New Roman" w:cs="Times New Roman"/>
          <w:sz w:val="24"/>
          <w:szCs w:val="24"/>
        </w:rPr>
        <w:t>; [3.20], [3.25] etc</w:t>
      </w:r>
      <w:r w:rsidRPr="00DF5697">
        <w:rPr>
          <w:rFonts w:ascii="Times New Roman" w:hAnsi="Times New Roman" w:cs="Times New Roman"/>
          <w:sz w:val="24"/>
          <w:szCs w:val="24"/>
        </w:rPr>
        <w:t xml:space="preserve">. </w:t>
      </w:r>
    </w:p>
    <w:p w14:paraId="0C8137E6" w14:textId="77777777" w:rsidR="00DF5697" w:rsidRPr="00DF5697" w:rsidRDefault="00DF5697" w:rsidP="0094611B">
      <w:pPr>
        <w:spacing w:after="0" w:line="240" w:lineRule="auto"/>
        <w:jc w:val="both"/>
        <w:rPr>
          <w:rFonts w:ascii="Times New Roman" w:hAnsi="Times New Roman" w:cs="Times New Roman"/>
          <w:sz w:val="24"/>
          <w:szCs w:val="24"/>
        </w:rPr>
      </w:pPr>
    </w:p>
    <w:p w14:paraId="544A358A" w14:textId="77777777" w:rsidR="00DF5697" w:rsidRDefault="00DF5697" w:rsidP="0094611B">
      <w:pPr>
        <w:spacing w:after="0" w:line="240" w:lineRule="auto"/>
        <w:jc w:val="both"/>
        <w:rPr>
          <w:rFonts w:ascii="Times New Roman" w:hAnsi="Times New Roman" w:cs="Times New Roman"/>
          <w:sz w:val="24"/>
          <w:szCs w:val="24"/>
        </w:rPr>
      </w:pPr>
      <w:r w:rsidRPr="00DF5697">
        <w:rPr>
          <w:rFonts w:ascii="Times New Roman" w:hAnsi="Times New Roman" w:cs="Times New Roman"/>
          <w:sz w:val="24"/>
          <w:szCs w:val="24"/>
        </w:rPr>
        <w:t xml:space="preserve">While the EM contains little detail as to the </w:t>
      </w:r>
      <w:r w:rsidR="00AE57DA">
        <w:rPr>
          <w:rFonts w:ascii="Times New Roman" w:hAnsi="Times New Roman" w:cs="Times New Roman"/>
          <w:sz w:val="24"/>
          <w:szCs w:val="24"/>
        </w:rPr>
        <w:t>proposed</w:t>
      </w:r>
      <w:r w:rsidRPr="00DF5697">
        <w:rPr>
          <w:rFonts w:ascii="Times New Roman" w:hAnsi="Times New Roman" w:cs="Times New Roman"/>
          <w:sz w:val="24"/>
          <w:szCs w:val="24"/>
        </w:rPr>
        <w:t xml:space="preserve"> dispensation of </w:t>
      </w:r>
      <w:r w:rsidR="003F178A">
        <w:rPr>
          <w:rFonts w:ascii="Times New Roman" w:hAnsi="Times New Roman" w:cs="Times New Roman"/>
          <w:sz w:val="24"/>
          <w:szCs w:val="24"/>
        </w:rPr>
        <w:t xml:space="preserve">employers using </w:t>
      </w:r>
      <w:r w:rsidRPr="00DF5697">
        <w:rPr>
          <w:rFonts w:ascii="Times New Roman" w:hAnsi="Times New Roman" w:cs="Times New Roman"/>
          <w:sz w:val="24"/>
          <w:szCs w:val="24"/>
        </w:rPr>
        <w:t xml:space="preserve">APRA </w:t>
      </w:r>
      <w:r w:rsidR="00151F11" w:rsidRPr="00DF5697">
        <w:rPr>
          <w:rFonts w:ascii="Times New Roman" w:hAnsi="Times New Roman" w:cs="Times New Roman"/>
          <w:sz w:val="24"/>
          <w:szCs w:val="24"/>
        </w:rPr>
        <w:t>regulated</w:t>
      </w:r>
      <w:r w:rsidRPr="00DF5697">
        <w:rPr>
          <w:rFonts w:ascii="Times New Roman" w:hAnsi="Times New Roman" w:cs="Times New Roman"/>
          <w:sz w:val="24"/>
          <w:szCs w:val="24"/>
        </w:rPr>
        <w:t xml:space="preserve"> funds from STP reporting, I understand the exposure draft to relate to the Cross </w:t>
      </w:r>
      <w:r w:rsidRPr="00DF5697">
        <w:rPr>
          <w:rFonts w:ascii="Times New Roman" w:hAnsi="Times New Roman" w:cs="Times New Roman"/>
          <w:sz w:val="24"/>
          <w:szCs w:val="24"/>
        </w:rPr>
        <w:lastRenderedPageBreak/>
        <w:t>Agency Working Group recommendation</w:t>
      </w:r>
      <w:r w:rsidR="00FF20A4">
        <w:rPr>
          <w:rFonts w:ascii="Times New Roman" w:hAnsi="Times New Roman" w:cs="Times New Roman"/>
          <w:sz w:val="24"/>
          <w:szCs w:val="24"/>
        </w:rPr>
        <w:t xml:space="preserve">, in its March 2017 report to the Minister at [4.17] – [4.25], especially [4.20], </w:t>
      </w:r>
      <w:r w:rsidRPr="00DF5697">
        <w:rPr>
          <w:rFonts w:ascii="Times New Roman" w:hAnsi="Times New Roman" w:cs="Times New Roman"/>
          <w:sz w:val="24"/>
          <w:szCs w:val="24"/>
        </w:rPr>
        <w:t xml:space="preserve"> that the fund, not the employer, submit an ‘event report’ every time an employer makes a payment. This is a substitute for both the </w:t>
      </w:r>
      <w:r w:rsidRPr="00DF5697">
        <w:rPr>
          <w:rFonts w:ascii="Times New Roman" w:hAnsi="Times New Roman" w:cs="Times New Roman"/>
          <w:i/>
          <w:sz w:val="24"/>
          <w:szCs w:val="24"/>
        </w:rPr>
        <w:t>employer’s</w:t>
      </w:r>
      <w:r w:rsidRPr="00DF5697">
        <w:rPr>
          <w:rFonts w:ascii="Times New Roman" w:hAnsi="Times New Roman" w:cs="Times New Roman"/>
          <w:sz w:val="24"/>
          <w:szCs w:val="24"/>
        </w:rPr>
        <w:t xml:space="preserve"> </w:t>
      </w:r>
      <w:r>
        <w:rPr>
          <w:rFonts w:ascii="Times New Roman" w:hAnsi="Times New Roman" w:cs="Times New Roman"/>
          <w:sz w:val="24"/>
          <w:szCs w:val="24"/>
        </w:rPr>
        <w:t xml:space="preserve">STP obligation and the </w:t>
      </w:r>
      <w:r>
        <w:rPr>
          <w:rFonts w:ascii="Times New Roman" w:hAnsi="Times New Roman" w:cs="Times New Roman"/>
          <w:i/>
          <w:sz w:val="24"/>
          <w:szCs w:val="24"/>
        </w:rPr>
        <w:t>fund’s</w:t>
      </w:r>
      <w:r>
        <w:rPr>
          <w:rFonts w:ascii="Times New Roman" w:hAnsi="Times New Roman" w:cs="Times New Roman"/>
          <w:sz w:val="24"/>
          <w:szCs w:val="24"/>
        </w:rPr>
        <w:t xml:space="preserve"> annual member contribution statement (MCS) reporting.</w:t>
      </w:r>
    </w:p>
    <w:p w14:paraId="3DF4D7CF" w14:textId="77777777" w:rsidR="00DF5697" w:rsidRDefault="00DF5697" w:rsidP="0094611B">
      <w:pPr>
        <w:spacing w:after="0" w:line="240" w:lineRule="auto"/>
        <w:jc w:val="both"/>
        <w:rPr>
          <w:rFonts w:ascii="Times New Roman" w:hAnsi="Times New Roman" w:cs="Times New Roman"/>
          <w:sz w:val="24"/>
          <w:szCs w:val="24"/>
        </w:rPr>
      </w:pPr>
    </w:p>
    <w:p w14:paraId="7507F085" w14:textId="77777777" w:rsidR="00DF5697" w:rsidRDefault="00DF5697"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this is the case, then it misunderstands the value of STP reporting. STP reporting is about reporting </w:t>
      </w:r>
      <w:r>
        <w:rPr>
          <w:rFonts w:ascii="Times New Roman" w:hAnsi="Times New Roman" w:cs="Times New Roman"/>
          <w:i/>
          <w:sz w:val="24"/>
          <w:szCs w:val="24"/>
        </w:rPr>
        <w:t>the obligation</w:t>
      </w:r>
      <w:r>
        <w:rPr>
          <w:rFonts w:ascii="Times New Roman" w:hAnsi="Times New Roman" w:cs="Times New Roman"/>
          <w:sz w:val="24"/>
          <w:szCs w:val="24"/>
        </w:rPr>
        <w:t xml:space="preserve"> to pay superannuation. The STP regime does not require simultaneous payment. </w:t>
      </w:r>
      <w:r w:rsidR="00AE57DA">
        <w:rPr>
          <w:rFonts w:ascii="Times New Roman" w:hAnsi="Times New Roman" w:cs="Times New Roman"/>
          <w:sz w:val="24"/>
          <w:szCs w:val="24"/>
        </w:rPr>
        <w:t>As noted above,</w:t>
      </w:r>
      <w:r>
        <w:rPr>
          <w:rFonts w:ascii="Times New Roman" w:hAnsi="Times New Roman" w:cs="Times New Roman"/>
          <w:sz w:val="24"/>
          <w:szCs w:val="24"/>
        </w:rPr>
        <w:t xml:space="preserve"> most small businesses would remit their super on a quarterly basis (ie, as late as legally possible) to hang onto this ‘working capital’</w:t>
      </w:r>
      <w:r w:rsidR="00904CFB">
        <w:rPr>
          <w:rFonts w:ascii="Times New Roman" w:hAnsi="Times New Roman" w:cs="Times New Roman"/>
          <w:sz w:val="24"/>
          <w:szCs w:val="24"/>
        </w:rPr>
        <w:t xml:space="preserve"> as long as they can, </w:t>
      </w:r>
      <w:r w:rsidR="00AE57DA">
        <w:rPr>
          <w:rFonts w:ascii="Times New Roman" w:hAnsi="Times New Roman" w:cs="Times New Roman"/>
          <w:sz w:val="24"/>
          <w:szCs w:val="24"/>
        </w:rPr>
        <w:t xml:space="preserve">whereas </w:t>
      </w:r>
      <w:r w:rsidR="00904CFB">
        <w:rPr>
          <w:rFonts w:ascii="Times New Roman" w:hAnsi="Times New Roman" w:cs="Times New Roman"/>
          <w:sz w:val="24"/>
          <w:szCs w:val="24"/>
        </w:rPr>
        <w:t>they pay their wages on a fortnightly or monthly basis.</w:t>
      </w:r>
    </w:p>
    <w:p w14:paraId="4CA313BB" w14:textId="77777777" w:rsidR="00DF5697" w:rsidRDefault="00DF5697" w:rsidP="0094611B">
      <w:pPr>
        <w:spacing w:after="0" w:line="240" w:lineRule="auto"/>
        <w:jc w:val="both"/>
        <w:rPr>
          <w:rFonts w:ascii="Times New Roman" w:hAnsi="Times New Roman" w:cs="Times New Roman"/>
          <w:sz w:val="24"/>
          <w:szCs w:val="24"/>
        </w:rPr>
      </w:pPr>
    </w:p>
    <w:p w14:paraId="2738B8B0" w14:textId="77777777" w:rsidR="00DF5697" w:rsidRDefault="00DF5697"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Therefore, </w:t>
      </w:r>
      <w:r w:rsidR="00AE57DA">
        <w:rPr>
          <w:rFonts w:ascii="Times New Roman" w:hAnsi="Times New Roman" w:cs="Times New Roman"/>
          <w:sz w:val="24"/>
          <w:szCs w:val="24"/>
        </w:rPr>
        <w:t>the usefulness of STP reporting</w:t>
      </w:r>
      <w:r>
        <w:rPr>
          <w:rFonts w:ascii="Times New Roman" w:hAnsi="Times New Roman" w:cs="Times New Roman"/>
          <w:sz w:val="24"/>
          <w:szCs w:val="24"/>
        </w:rPr>
        <w:t xml:space="preserve"> is in letting the ATO know what to expect, so that it can chase up non-compliant employers if the superannuation remittance is not paid when it is due to be paid.</w:t>
      </w:r>
      <w:r w:rsidR="00FF20A4">
        <w:rPr>
          <w:rFonts w:ascii="Times New Roman" w:hAnsi="Times New Roman" w:cs="Times New Roman"/>
          <w:sz w:val="24"/>
          <w:szCs w:val="24"/>
        </w:rPr>
        <w:t xml:space="preserve"> </w:t>
      </w:r>
    </w:p>
    <w:p w14:paraId="461203EA" w14:textId="77777777" w:rsidR="00DF5697" w:rsidRDefault="00DF5697" w:rsidP="0094611B">
      <w:pPr>
        <w:spacing w:after="0" w:line="240" w:lineRule="auto"/>
        <w:jc w:val="both"/>
        <w:rPr>
          <w:rFonts w:ascii="Times New Roman" w:hAnsi="Times New Roman" w:cs="Times New Roman"/>
          <w:sz w:val="24"/>
          <w:szCs w:val="24"/>
        </w:rPr>
      </w:pPr>
    </w:p>
    <w:p w14:paraId="3C2D08E4" w14:textId="77777777" w:rsidR="00904CFB" w:rsidRDefault="00FF20A4" w:rsidP="0094611B">
      <w:pPr>
        <w:spacing w:after="0" w:line="240" w:lineRule="auto"/>
        <w:jc w:val="both"/>
        <w:rPr>
          <w:rFonts w:ascii="Times New Roman" w:hAnsi="Times New Roman" w:cs="Times New Roman"/>
          <w:sz w:val="24"/>
          <w:szCs w:val="24"/>
        </w:rPr>
      </w:pPr>
      <w:r w:rsidRPr="00FF20A4">
        <w:rPr>
          <w:rFonts w:ascii="Times New Roman" w:hAnsi="Times New Roman" w:cs="Times New Roman"/>
          <w:i/>
          <w:sz w:val="24"/>
          <w:szCs w:val="24"/>
        </w:rPr>
        <w:t>The proposed f</w:t>
      </w:r>
      <w:r w:rsidR="00DF5697" w:rsidRPr="00FF20A4">
        <w:rPr>
          <w:rFonts w:ascii="Times New Roman" w:hAnsi="Times New Roman" w:cs="Times New Roman"/>
          <w:i/>
          <w:sz w:val="24"/>
          <w:szCs w:val="24"/>
        </w:rPr>
        <w:t>und reporting</w:t>
      </w:r>
      <w:r>
        <w:rPr>
          <w:rFonts w:ascii="Times New Roman" w:hAnsi="Times New Roman" w:cs="Times New Roman"/>
          <w:i/>
          <w:sz w:val="24"/>
          <w:szCs w:val="24"/>
        </w:rPr>
        <w:t xml:space="preserve"> </w:t>
      </w:r>
      <w:r w:rsidR="001309A6">
        <w:rPr>
          <w:rFonts w:ascii="Times New Roman" w:hAnsi="Times New Roman" w:cs="Times New Roman"/>
          <w:i/>
          <w:sz w:val="24"/>
          <w:szCs w:val="24"/>
        </w:rPr>
        <w:t>will only tell</w:t>
      </w:r>
      <w:r w:rsidRPr="00FF20A4">
        <w:rPr>
          <w:rFonts w:ascii="Times New Roman" w:hAnsi="Times New Roman" w:cs="Times New Roman"/>
          <w:i/>
          <w:sz w:val="24"/>
          <w:szCs w:val="24"/>
        </w:rPr>
        <w:t xml:space="preserve"> the ATO what is paid, not what is missing.</w:t>
      </w:r>
      <w:r w:rsidR="00C32E07">
        <w:rPr>
          <w:rFonts w:ascii="Times New Roman" w:hAnsi="Times New Roman" w:cs="Times New Roman"/>
          <w:i/>
          <w:sz w:val="24"/>
          <w:szCs w:val="24"/>
        </w:rPr>
        <w:t xml:space="preserve"> </w:t>
      </w:r>
    </w:p>
    <w:p w14:paraId="26BAE759" w14:textId="77777777" w:rsidR="003F178A" w:rsidRDefault="003F178A" w:rsidP="0094611B">
      <w:pPr>
        <w:spacing w:after="0" w:line="240" w:lineRule="auto"/>
        <w:jc w:val="both"/>
        <w:rPr>
          <w:rFonts w:ascii="Times New Roman" w:hAnsi="Times New Roman" w:cs="Times New Roman"/>
          <w:sz w:val="24"/>
          <w:szCs w:val="24"/>
        </w:rPr>
      </w:pPr>
    </w:p>
    <w:p w14:paraId="6B4A16F9" w14:textId="77777777" w:rsidR="00DF5697" w:rsidRDefault="00904CFB"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Even corporate employers that know the company may later struggle to pay that super have an </w:t>
      </w:r>
      <w:r w:rsidR="00FF20A4">
        <w:rPr>
          <w:rFonts w:ascii="Times New Roman" w:hAnsi="Times New Roman" w:cs="Times New Roman"/>
          <w:sz w:val="24"/>
          <w:szCs w:val="24"/>
        </w:rPr>
        <w:t xml:space="preserve"> incentive to comply with STP reporting</w:t>
      </w:r>
      <w:r>
        <w:rPr>
          <w:rFonts w:ascii="Times New Roman" w:hAnsi="Times New Roman" w:cs="Times New Roman"/>
          <w:sz w:val="24"/>
          <w:szCs w:val="24"/>
        </w:rPr>
        <w:t xml:space="preserve">: </w:t>
      </w:r>
      <w:r w:rsidR="00FF20A4">
        <w:rPr>
          <w:rFonts w:ascii="Times New Roman" w:hAnsi="Times New Roman" w:cs="Times New Roman"/>
          <w:sz w:val="24"/>
          <w:szCs w:val="24"/>
        </w:rPr>
        <w:t xml:space="preserve">its directors will not face ‘lockdown’ DPNs. </w:t>
      </w:r>
      <w:r w:rsidR="00AE57DA">
        <w:rPr>
          <w:rFonts w:ascii="Times New Roman" w:hAnsi="Times New Roman" w:cs="Times New Roman"/>
          <w:sz w:val="24"/>
          <w:szCs w:val="24"/>
        </w:rPr>
        <w:t>As discussed above, t</w:t>
      </w:r>
      <w:r>
        <w:rPr>
          <w:rFonts w:ascii="Times New Roman" w:hAnsi="Times New Roman" w:cs="Times New Roman"/>
          <w:sz w:val="24"/>
          <w:szCs w:val="24"/>
        </w:rPr>
        <w:t xml:space="preserve">hey will have 21 days to place the company into external administration if a DPN arrives in the mail. </w:t>
      </w:r>
    </w:p>
    <w:p w14:paraId="14603FE7" w14:textId="77777777" w:rsidR="00072414" w:rsidRDefault="00072414" w:rsidP="0094611B">
      <w:pPr>
        <w:spacing w:after="0" w:line="240" w:lineRule="auto"/>
        <w:jc w:val="both"/>
        <w:rPr>
          <w:rFonts w:ascii="Times New Roman" w:hAnsi="Times New Roman" w:cs="Times New Roman"/>
          <w:sz w:val="24"/>
          <w:szCs w:val="24"/>
        </w:rPr>
      </w:pPr>
    </w:p>
    <w:p w14:paraId="4B80348B" w14:textId="77777777" w:rsidR="00072414" w:rsidRPr="00072414" w:rsidRDefault="00072414"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 reason why employers cannot continue with STP reporting of obligations </w:t>
      </w:r>
      <w:r>
        <w:rPr>
          <w:rFonts w:ascii="Times New Roman" w:hAnsi="Times New Roman" w:cs="Times New Roman"/>
          <w:i/>
          <w:sz w:val="24"/>
          <w:szCs w:val="24"/>
        </w:rPr>
        <w:t xml:space="preserve">and </w:t>
      </w:r>
      <w:r>
        <w:rPr>
          <w:rFonts w:ascii="Times New Roman" w:hAnsi="Times New Roman" w:cs="Times New Roman"/>
          <w:sz w:val="24"/>
          <w:szCs w:val="24"/>
        </w:rPr>
        <w:t xml:space="preserve">funds </w:t>
      </w:r>
      <w:r w:rsidR="00AE57DA">
        <w:rPr>
          <w:rFonts w:ascii="Times New Roman" w:hAnsi="Times New Roman" w:cs="Times New Roman"/>
          <w:sz w:val="24"/>
          <w:szCs w:val="24"/>
        </w:rPr>
        <w:t xml:space="preserve">can </w:t>
      </w:r>
      <w:r>
        <w:rPr>
          <w:rFonts w:ascii="Times New Roman" w:hAnsi="Times New Roman" w:cs="Times New Roman"/>
          <w:sz w:val="24"/>
          <w:szCs w:val="24"/>
        </w:rPr>
        <w:t>report ‘events’ such as payment. This would greatly improve matching what is owed with what is received in a timely manner.</w:t>
      </w:r>
    </w:p>
    <w:p w14:paraId="106C981C" w14:textId="77777777" w:rsidR="00904CFB" w:rsidRDefault="00904CFB" w:rsidP="0094611B">
      <w:pPr>
        <w:spacing w:after="0" w:line="240" w:lineRule="auto"/>
        <w:jc w:val="both"/>
        <w:rPr>
          <w:rFonts w:ascii="Times New Roman" w:hAnsi="Times New Roman" w:cs="Times New Roman"/>
          <w:sz w:val="24"/>
          <w:szCs w:val="24"/>
        </w:rPr>
      </w:pPr>
    </w:p>
    <w:p w14:paraId="311414F5" w14:textId="77777777" w:rsidR="00904CFB" w:rsidRDefault="00904CFB"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Compliance measures</w:t>
      </w:r>
    </w:p>
    <w:p w14:paraId="6A74C9FA" w14:textId="77777777" w:rsidR="00904CFB" w:rsidRDefault="00904CFB"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pleasing to see </w:t>
      </w:r>
      <w:r w:rsidR="00151F11">
        <w:rPr>
          <w:rFonts w:ascii="Times New Roman" w:hAnsi="Times New Roman" w:cs="Times New Roman"/>
          <w:sz w:val="24"/>
          <w:szCs w:val="24"/>
        </w:rPr>
        <w:t>timing</w:t>
      </w:r>
      <w:r>
        <w:rPr>
          <w:rFonts w:ascii="Times New Roman" w:hAnsi="Times New Roman" w:cs="Times New Roman"/>
          <w:sz w:val="24"/>
          <w:szCs w:val="24"/>
        </w:rPr>
        <w:t xml:space="preserve"> loopholes closed off in relation to DPNs.</w:t>
      </w:r>
    </w:p>
    <w:p w14:paraId="1D7566E5" w14:textId="77777777" w:rsidR="00904CFB" w:rsidRDefault="00904CFB" w:rsidP="0094611B">
      <w:pPr>
        <w:spacing w:after="0" w:line="240" w:lineRule="auto"/>
        <w:jc w:val="both"/>
        <w:rPr>
          <w:rFonts w:ascii="Times New Roman" w:hAnsi="Times New Roman" w:cs="Times New Roman"/>
          <w:sz w:val="24"/>
          <w:szCs w:val="24"/>
        </w:rPr>
      </w:pPr>
    </w:p>
    <w:p w14:paraId="3BF92852" w14:textId="77777777" w:rsidR="00904CFB" w:rsidRDefault="00904CFB" w:rsidP="0094611B">
      <w:pPr>
        <w:spacing w:after="0" w:line="240" w:lineRule="auto"/>
        <w:jc w:val="both"/>
        <w:rPr>
          <w:rFonts w:ascii="Times New Roman" w:hAnsi="Times New Roman" w:cs="Times New Roman"/>
          <w:sz w:val="24"/>
          <w:szCs w:val="24"/>
        </w:rPr>
      </w:pPr>
      <w:r w:rsidRPr="00904CFB">
        <w:rPr>
          <w:rFonts w:ascii="Times New Roman" w:hAnsi="Times New Roman" w:cs="Times New Roman"/>
          <w:sz w:val="24"/>
          <w:szCs w:val="24"/>
          <w:u w:val="single"/>
        </w:rPr>
        <w:t>Order to provide security</w:t>
      </w:r>
    </w:p>
    <w:p w14:paraId="608CB66B" w14:textId="77777777" w:rsidR="00C32E07" w:rsidRDefault="00C32E07"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a useful step forward. </w:t>
      </w:r>
    </w:p>
    <w:p w14:paraId="113EFE8A" w14:textId="77777777" w:rsidR="00C32E07" w:rsidRDefault="00C32E07" w:rsidP="0094611B">
      <w:pPr>
        <w:spacing w:after="0" w:line="240" w:lineRule="auto"/>
        <w:jc w:val="both"/>
        <w:rPr>
          <w:rFonts w:ascii="Times New Roman" w:hAnsi="Times New Roman" w:cs="Times New Roman"/>
          <w:sz w:val="24"/>
          <w:szCs w:val="24"/>
        </w:rPr>
      </w:pPr>
    </w:p>
    <w:p w14:paraId="38B7BB8A" w14:textId="77777777" w:rsidR="00904CFB" w:rsidRPr="00C32E07" w:rsidRDefault="00C32E07"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bolder, and arguably more effective, way of utilising security deposits is to require </w:t>
      </w:r>
      <w:r>
        <w:rPr>
          <w:rFonts w:ascii="Times New Roman" w:hAnsi="Times New Roman" w:cs="Times New Roman"/>
          <w:i/>
          <w:sz w:val="24"/>
          <w:szCs w:val="24"/>
        </w:rPr>
        <w:t>new</w:t>
      </w:r>
      <w:r>
        <w:rPr>
          <w:rFonts w:ascii="Times New Roman" w:hAnsi="Times New Roman" w:cs="Times New Roman"/>
          <w:sz w:val="24"/>
          <w:szCs w:val="24"/>
        </w:rPr>
        <w:t xml:space="preserve"> entities, controlled by the same people who caused previous losses of withholding taxes and superannuation, to pay a security deposit. Payment could be a condition of the new entity receiving an ABN. This would deter the use of a succession of companies which accrue liabilities, receive a security deposit notice</w:t>
      </w:r>
      <w:r w:rsidR="00F37DDC">
        <w:rPr>
          <w:rFonts w:ascii="Times New Roman" w:hAnsi="Times New Roman" w:cs="Times New Roman"/>
          <w:sz w:val="24"/>
          <w:szCs w:val="24"/>
        </w:rPr>
        <w:t xml:space="preserve"> from the ATO</w:t>
      </w:r>
      <w:r>
        <w:rPr>
          <w:rFonts w:ascii="Times New Roman" w:hAnsi="Times New Roman" w:cs="Times New Roman"/>
          <w:sz w:val="24"/>
          <w:szCs w:val="24"/>
        </w:rPr>
        <w:t>, then liquidate</w:t>
      </w:r>
      <w:r w:rsidR="00F37DDC">
        <w:rPr>
          <w:rFonts w:ascii="Times New Roman" w:hAnsi="Times New Roman" w:cs="Times New Roman"/>
          <w:sz w:val="24"/>
          <w:szCs w:val="24"/>
        </w:rPr>
        <w:t xml:space="preserve"> to prevent </w:t>
      </w:r>
      <w:r w:rsidR="00D54A1A">
        <w:rPr>
          <w:rFonts w:ascii="Times New Roman" w:hAnsi="Times New Roman" w:cs="Times New Roman"/>
          <w:sz w:val="24"/>
          <w:szCs w:val="24"/>
        </w:rPr>
        <w:t xml:space="preserve">its </w:t>
      </w:r>
      <w:r w:rsidR="00F37DDC">
        <w:rPr>
          <w:rFonts w:ascii="Times New Roman" w:hAnsi="Times New Roman" w:cs="Times New Roman"/>
          <w:sz w:val="24"/>
          <w:szCs w:val="24"/>
        </w:rPr>
        <w:t>enforcement</w:t>
      </w:r>
      <w:r>
        <w:rPr>
          <w:rFonts w:ascii="Times New Roman" w:hAnsi="Times New Roman" w:cs="Times New Roman"/>
          <w:sz w:val="24"/>
          <w:szCs w:val="24"/>
        </w:rPr>
        <w:t xml:space="preserve">, </w:t>
      </w:r>
      <w:r w:rsidR="00F37DDC">
        <w:rPr>
          <w:rFonts w:ascii="Times New Roman" w:hAnsi="Times New Roman" w:cs="Times New Roman"/>
          <w:sz w:val="24"/>
          <w:szCs w:val="24"/>
        </w:rPr>
        <w:t>and meanwhile</w:t>
      </w:r>
      <w:r>
        <w:rPr>
          <w:rFonts w:ascii="Times New Roman" w:hAnsi="Times New Roman" w:cs="Times New Roman"/>
          <w:sz w:val="24"/>
          <w:szCs w:val="24"/>
        </w:rPr>
        <w:t xml:space="preserve"> the business continues unaffected through a newly incorporated entity.</w:t>
      </w:r>
    </w:p>
    <w:p w14:paraId="7BA27AF1" w14:textId="77777777" w:rsidR="00DF5697" w:rsidRDefault="00DF5697" w:rsidP="0094611B">
      <w:pPr>
        <w:spacing w:after="0" w:line="240" w:lineRule="auto"/>
        <w:jc w:val="both"/>
        <w:rPr>
          <w:rFonts w:ascii="Times New Roman" w:hAnsi="Times New Roman" w:cs="Times New Roman"/>
          <w:sz w:val="24"/>
          <w:szCs w:val="24"/>
        </w:rPr>
      </w:pPr>
    </w:p>
    <w:p w14:paraId="23535947" w14:textId="77777777" w:rsidR="00AE57DA" w:rsidRDefault="00AE57DA" w:rsidP="0094611B">
      <w:pPr>
        <w:spacing w:after="0" w:line="240" w:lineRule="auto"/>
        <w:jc w:val="both"/>
        <w:rPr>
          <w:rFonts w:ascii="Times New Roman" w:hAnsi="Times New Roman" w:cs="Times New Roman"/>
          <w:sz w:val="24"/>
          <w:szCs w:val="24"/>
        </w:rPr>
      </w:pPr>
    </w:p>
    <w:p w14:paraId="4F94B7A8" w14:textId="77777777" w:rsidR="00AE57DA" w:rsidRDefault="00AE57DA" w:rsidP="0094611B">
      <w:pPr>
        <w:spacing w:after="0" w:line="240" w:lineRule="auto"/>
        <w:jc w:val="both"/>
        <w:rPr>
          <w:rFonts w:ascii="Times New Roman" w:hAnsi="Times New Roman" w:cs="Times New Roman"/>
          <w:sz w:val="24"/>
          <w:szCs w:val="24"/>
        </w:rPr>
      </w:pPr>
      <w:r w:rsidRPr="00AE57DA">
        <w:rPr>
          <w:rFonts w:ascii="Times New Roman" w:hAnsi="Times New Roman" w:cs="Times New Roman"/>
          <w:b/>
          <w:sz w:val="24"/>
          <w:szCs w:val="24"/>
        </w:rPr>
        <w:t>III. CONCLUSION</w:t>
      </w:r>
    </w:p>
    <w:p w14:paraId="17569115" w14:textId="77777777" w:rsidR="00AE57DA" w:rsidRDefault="00AE57DA" w:rsidP="0094611B">
      <w:pPr>
        <w:spacing w:after="0" w:line="240" w:lineRule="auto"/>
        <w:jc w:val="both"/>
        <w:rPr>
          <w:rFonts w:ascii="Times New Roman" w:hAnsi="Times New Roman" w:cs="Times New Roman"/>
          <w:sz w:val="24"/>
          <w:szCs w:val="24"/>
        </w:rPr>
      </w:pPr>
    </w:p>
    <w:p w14:paraId="6F089F6E" w14:textId="77777777" w:rsidR="00AE57DA" w:rsidRPr="00AE57DA" w:rsidRDefault="00AE57DA" w:rsidP="00946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Gener</w:t>
      </w:r>
      <w:r w:rsidR="00D54A1A">
        <w:rPr>
          <w:rFonts w:ascii="Times New Roman" w:hAnsi="Times New Roman" w:cs="Times New Roman"/>
          <w:sz w:val="24"/>
          <w:szCs w:val="24"/>
        </w:rPr>
        <w:t xml:space="preserve">ally the measures proposed by Treasury will be helpful in dealing with superannuation compliance. However, it must be recognised that they are relatively minor improvements, with little attention paid to the recommendations of the Senate Economics References Committee in 2017. </w:t>
      </w:r>
    </w:p>
    <w:p w14:paraId="38D91FC5" w14:textId="77777777" w:rsidR="00F902BE" w:rsidRDefault="00F902BE" w:rsidP="0094611B">
      <w:pPr>
        <w:spacing w:after="0" w:line="240" w:lineRule="auto"/>
        <w:rPr>
          <w:rFonts w:ascii="Times New Roman" w:hAnsi="Times New Roman" w:cs="Times New Roman"/>
          <w:sz w:val="24"/>
          <w:szCs w:val="24"/>
        </w:rPr>
      </w:pPr>
    </w:p>
    <w:p w14:paraId="7CA4961D" w14:textId="77777777" w:rsidR="00D54A1A" w:rsidRPr="00DF5697" w:rsidRDefault="00D54A1A" w:rsidP="0094611B">
      <w:pPr>
        <w:spacing w:after="0" w:line="240" w:lineRule="auto"/>
        <w:rPr>
          <w:rFonts w:ascii="Times New Roman" w:hAnsi="Times New Roman" w:cs="Times New Roman"/>
          <w:sz w:val="24"/>
          <w:szCs w:val="24"/>
        </w:rPr>
      </w:pPr>
      <w:r>
        <w:rPr>
          <w:rFonts w:ascii="Times New Roman" w:hAnsi="Times New Roman" w:cs="Times New Roman"/>
          <w:sz w:val="24"/>
          <w:szCs w:val="24"/>
        </w:rPr>
        <w:t>I would be pleased to assist Treasury, should you wish to speak to me further about the proposed laws.</w:t>
      </w:r>
    </w:p>
    <w:sectPr w:rsidR="00D54A1A" w:rsidRPr="00DF56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7D2A3" w14:textId="77777777" w:rsidR="004276CF" w:rsidRDefault="004276CF" w:rsidP="004276CF">
      <w:pPr>
        <w:spacing w:after="0" w:line="240" w:lineRule="auto"/>
      </w:pPr>
      <w:r>
        <w:separator/>
      </w:r>
    </w:p>
  </w:endnote>
  <w:endnote w:type="continuationSeparator" w:id="0">
    <w:p w14:paraId="2AF748D9" w14:textId="77777777" w:rsidR="004276CF" w:rsidRDefault="004276CF" w:rsidP="0042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FD6A9" w14:textId="77777777" w:rsidR="004276CF" w:rsidRDefault="004276CF" w:rsidP="004276CF">
      <w:pPr>
        <w:spacing w:after="0" w:line="240" w:lineRule="auto"/>
      </w:pPr>
      <w:r>
        <w:separator/>
      </w:r>
    </w:p>
  </w:footnote>
  <w:footnote w:type="continuationSeparator" w:id="0">
    <w:p w14:paraId="031A4662" w14:textId="77777777" w:rsidR="004276CF" w:rsidRDefault="004276CF" w:rsidP="004276CF">
      <w:pPr>
        <w:spacing w:after="0" w:line="240" w:lineRule="auto"/>
      </w:pPr>
      <w:r>
        <w:continuationSeparator/>
      </w:r>
    </w:p>
  </w:footnote>
  <w:footnote w:id="1">
    <w:p w14:paraId="61825910" w14:textId="77777777" w:rsidR="004276CF" w:rsidRPr="005F4938" w:rsidRDefault="004276CF" w:rsidP="004276CF">
      <w:pPr>
        <w:pStyle w:val="FootnoteText"/>
        <w:contextualSpacing/>
        <w:rPr>
          <w:rFonts w:ascii="Times New Roman" w:hAnsi="Times New Roman" w:cs="Times New Roman"/>
        </w:rPr>
      </w:pPr>
      <w:r w:rsidRPr="005F4938">
        <w:rPr>
          <w:rStyle w:val="FootnoteReference"/>
          <w:rFonts w:ascii="Times New Roman" w:hAnsi="Times New Roman" w:cs="Times New Roman"/>
        </w:rPr>
        <w:footnoteRef/>
      </w:r>
      <w:r w:rsidRPr="005F4938">
        <w:rPr>
          <w:rFonts w:ascii="Times New Roman" w:hAnsi="Times New Roman" w:cs="Times New Roman"/>
        </w:rPr>
        <w:t xml:space="preserve"> Quoted in </w:t>
      </w:r>
      <w:r w:rsidR="003F178A" w:rsidRPr="005F4938">
        <w:rPr>
          <w:rFonts w:ascii="Times New Roman" w:hAnsi="Times New Roman" w:cs="Times New Roman"/>
        </w:rPr>
        <w:t>Senate Economic R</w:t>
      </w:r>
      <w:r w:rsidR="003F178A">
        <w:rPr>
          <w:rFonts w:ascii="Times New Roman" w:hAnsi="Times New Roman" w:cs="Times New Roman"/>
        </w:rPr>
        <w:t>eferences Committee</w:t>
      </w:r>
      <w:r w:rsidR="003F178A" w:rsidRPr="005F4938">
        <w:rPr>
          <w:rFonts w:ascii="Times New Roman" w:hAnsi="Times New Roman" w:cs="Times New Roman"/>
        </w:rPr>
        <w:t xml:space="preserve">, </w:t>
      </w:r>
      <w:r w:rsidR="003F178A" w:rsidRPr="005F4938">
        <w:rPr>
          <w:rFonts w:ascii="Times New Roman" w:hAnsi="Times New Roman" w:cs="Times New Roman"/>
          <w:i/>
        </w:rPr>
        <w:t>Superbad – Wage Theft and Non-compliance with the Superannuation Guarantee</w:t>
      </w:r>
      <w:r w:rsidR="003F178A" w:rsidRPr="005F4938">
        <w:rPr>
          <w:rFonts w:ascii="Times New Roman" w:hAnsi="Times New Roman" w:cs="Times New Roman"/>
        </w:rPr>
        <w:t>, May 2017</w:t>
      </w:r>
      <w:r w:rsidR="003F178A">
        <w:rPr>
          <w:rFonts w:ascii="Times New Roman" w:hAnsi="Times New Roman" w:cs="Times New Roman"/>
        </w:rPr>
        <w:t xml:space="preserve">, </w:t>
      </w:r>
      <w:r w:rsidRPr="005F4938">
        <w:rPr>
          <w:rFonts w:ascii="Times New Roman" w:hAnsi="Times New Roman" w:cs="Times New Roman"/>
        </w:rPr>
        <w:t>[5.90].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6454"/>
    <w:multiLevelType w:val="hybridMultilevel"/>
    <w:tmpl w:val="AA7E4236"/>
    <w:lvl w:ilvl="0" w:tplc="E86888C0">
      <w:start w:val="1"/>
      <w:numFmt w:val="upperRoman"/>
      <w:lvlText w:val="%1."/>
      <w:lvlJc w:val="left"/>
      <w:pPr>
        <w:ind w:left="1932" w:hanging="720"/>
      </w:pPr>
      <w:rPr>
        <w:rFonts w:hint="default"/>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355"/>
    <w:rsid w:val="00072414"/>
    <w:rsid w:val="00090857"/>
    <w:rsid w:val="000D39B6"/>
    <w:rsid w:val="001309A6"/>
    <w:rsid w:val="00151F11"/>
    <w:rsid w:val="002D65FA"/>
    <w:rsid w:val="003363B0"/>
    <w:rsid w:val="003E3098"/>
    <w:rsid w:val="003F178A"/>
    <w:rsid w:val="004276CF"/>
    <w:rsid w:val="00486F8D"/>
    <w:rsid w:val="004A1BBD"/>
    <w:rsid w:val="004D53F6"/>
    <w:rsid w:val="005B1890"/>
    <w:rsid w:val="00616FA7"/>
    <w:rsid w:val="00646877"/>
    <w:rsid w:val="007A2EFE"/>
    <w:rsid w:val="007F5577"/>
    <w:rsid w:val="00805355"/>
    <w:rsid w:val="008A6420"/>
    <w:rsid w:val="008F1BED"/>
    <w:rsid w:val="00904CFB"/>
    <w:rsid w:val="0093180D"/>
    <w:rsid w:val="0094611B"/>
    <w:rsid w:val="00AB4005"/>
    <w:rsid w:val="00AC4C63"/>
    <w:rsid w:val="00AE57DA"/>
    <w:rsid w:val="00B52FC6"/>
    <w:rsid w:val="00C32E07"/>
    <w:rsid w:val="00C4703E"/>
    <w:rsid w:val="00D355D5"/>
    <w:rsid w:val="00D54A1A"/>
    <w:rsid w:val="00D655F8"/>
    <w:rsid w:val="00DF5697"/>
    <w:rsid w:val="00F37DDC"/>
    <w:rsid w:val="00F417ED"/>
    <w:rsid w:val="00F902BE"/>
    <w:rsid w:val="00F903EF"/>
    <w:rsid w:val="00FA0051"/>
    <w:rsid w:val="00FF20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355"/>
    <w:rPr>
      <w:color w:val="0000FF" w:themeColor="hyperlink"/>
      <w:u w:val="single"/>
    </w:rPr>
  </w:style>
  <w:style w:type="paragraph" w:styleId="ListParagraph">
    <w:name w:val="List Paragraph"/>
    <w:basedOn w:val="Normal"/>
    <w:uiPriority w:val="34"/>
    <w:qFormat/>
    <w:rsid w:val="00805355"/>
    <w:pPr>
      <w:ind w:left="720"/>
      <w:contextualSpacing/>
    </w:pPr>
  </w:style>
  <w:style w:type="paragraph" w:styleId="FootnoteText">
    <w:name w:val="footnote text"/>
    <w:aliases w:val="LJ Footnote Text,FN,Footnote Text Char1 Char,Footnote Text Char Char1,Footnote Text Char1 Char Char Char,Footnote Text Char1 Char Char1,Footnote Text Char Char Char,Footnote Text Char1 Char1 Char,Footnote Text Char1"/>
    <w:basedOn w:val="Normal"/>
    <w:link w:val="FootnoteTextChar"/>
    <w:uiPriority w:val="99"/>
    <w:unhideWhenUsed/>
    <w:qFormat/>
    <w:rsid w:val="004276CF"/>
    <w:pPr>
      <w:spacing w:after="0" w:line="240" w:lineRule="auto"/>
    </w:pPr>
    <w:rPr>
      <w:sz w:val="20"/>
      <w:szCs w:val="20"/>
    </w:rPr>
  </w:style>
  <w:style w:type="character" w:customStyle="1" w:styleId="FootnoteTextChar">
    <w:name w:val="Footnote Text Char"/>
    <w:aliases w:val="LJ Footnote Text Char,FN Char,Footnote Text Char1 Char Char,Footnote Text Char Char1 Char,Footnote Text Char1 Char Char Char Char,Footnote Text Char1 Char Char1 Char,Footnote Text Char Char Char Char,Footnote Text Char1 Char1"/>
    <w:basedOn w:val="DefaultParagraphFont"/>
    <w:link w:val="FootnoteText"/>
    <w:uiPriority w:val="99"/>
    <w:rsid w:val="004276CF"/>
    <w:rPr>
      <w:sz w:val="20"/>
      <w:szCs w:val="20"/>
    </w:rPr>
  </w:style>
  <w:style w:type="character" w:styleId="FootnoteReference">
    <w:name w:val="footnote reference"/>
    <w:aliases w:val="footnote ref,NO,Footnotes refss,Footnote,16 Point,Superscript 6 Point"/>
    <w:basedOn w:val="DefaultParagraphFont"/>
    <w:uiPriority w:val="99"/>
    <w:unhideWhenUsed/>
    <w:qFormat/>
    <w:rsid w:val="004276CF"/>
    <w:rPr>
      <w:vertAlign w:val="superscript"/>
    </w:rPr>
  </w:style>
  <w:style w:type="paragraph" w:styleId="BalloonText">
    <w:name w:val="Balloon Text"/>
    <w:basedOn w:val="Normal"/>
    <w:link w:val="BalloonTextChar"/>
    <w:uiPriority w:val="99"/>
    <w:semiHidden/>
    <w:unhideWhenUsed/>
    <w:rsid w:val="008A6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4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355"/>
    <w:rPr>
      <w:color w:val="0000FF" w:themeColor="hyperlink"/>
      <w:u w:val="single"/>
    </w:rPr>
  </w:style>
  <w:style w:type="paragraph" w:styleId="ListParagraph">
    <w:name w:val="List Paragraph"/>
    <w:basedOn w:val="Normal"/>
    <w:uiPriority w:val="34"/>
    <w:qFormat/>
    <w:rsid w:val="00805355"/>
    <w:pPr>
      <w:ind w:left="720"/>
      <w:contextualSpacing/>
    </w:pPr>
  </w:style>
  <w:style w:type="paragraph" w:styleId="FootnoteText">
    <w:name w:val="footnote text"/>
    <w:aliases w:val="LJ Footnote Text,FN,Footnote Text Char1 Char,Footnote Text Char Char1,Footnote Text Char1 Char Char Char,Footnote Text Char1 Char Char1,Footnote Text Char Char Char,Footnote Text Char1 Char1 Char,Footnote Text Char1"/>
    <w:basedOn w:val="Normal"/>
    <w:link w:val="FootnoteTextChar"/>
    <w:uiPriority w:val="99"/>
    <w:unhideWhenUsed/>
    <w:qFormat/>
    <w:rsid w:val="004276CF"/>
    <w:pPr>
      <w:spacing w:after="0" w:line="240" w:lineRule="auto"/>
    </w:pPr>
    <w:rPr>
      <w:sz w:val="20"/>
      <w:szCs w:val="20"/>
    </w:rPr>
  </w:style>
  <w:style w:type="character" w:customStyle="1" w:styleId="FootnoteTextChar">
    <w:name w:val="Footnote Text Char"/>
    <w:aliases w:val="LJ Footnote Text Char,FN Char,Footnote Text Char1 Char Char,Footnote Text Char Char1 Char,Footnote Text Char1 Char Char Char Char,Footnote Text Char1 Char Char1 Char,Footnote Text Char Char Char Char,Footnote Text Char1 Char1"/>
    <w:basedOn w:val="DefaultParagraphFont"/>
    <w:link w:val="FootnoteText"/>
    <w:uiPriority w:val="99"/>
    <w:rsid w:val="004276CF"/>
    <w:rPr>
      <w:sz w:val="20"/>
      <w:szCs w:val="20"/>
    </w:rPr>
  </w:style>
  <w:style w:type="character" w:styleId="FootnoteReference">
    <w:name w:val="footnote reference"/>
    <w:aliases w:val="footnote ref,NO,Footnotes refss,Footnote,16 Point,Superscript 6 Point"/>
    <w:basedOn w:val="DefaultParagraphFont"/>
    <w:uiPriority w:val="99"/>
    <w:unhideWhenUsed/>
    <w:qFormat/>
    <w:rsid w:val="004276CF"/>
    <w:rPr>
      <w:vertAlign w:val="superscript"/>
    </w:rPr>
  </w:style>
  <w:style w:type="paragraph" w:styleId="BalloonText">
    <w:name w:val="Balloon Text"/>
    <w:basedOn w:val="Normal"/>
    <w:link w:val="BalloonTextChar"/>
    <w:uiPriority w:val="99"/>
    <w:semiHidden/>
    <w:unhideWhenUsed/>
    <w:rsid w:val="008A6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law.unimelb.edu.au/centres/cclsr/research/major-research-projects/regulating-fraudulent-phoenix-activit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FD7076116EC98644A06C791081FFEA2D" ma:contentTypeVersion="10067" ma:contentTypeDescription="" ma:contentTypeScope="" ma:versionID="82332105819c45ce772a37fb63d3d0a5">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da0172f718aaee468c0f5488364e807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2018FG-185-1872</_dlc_DocId>
    <_dlc_DocIdUrl xmlns="e544e5cc-ab70-42e1-849e-1a0f8bb1f4ef">
      <Url>http://tweb/sites/fg/ripd/accum/_layouts/15/DocIdRedir.aspx?ID=2018FG-185-1872</Url>
      <Description>2018FG-185-1872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94DF3-850F-4A84-83A4-5BA3BB0FD5DA}">
  <ds:schemaRefs>
    <ds:schemaRef ds:uri="office.server.policy"/>
  </ds:schemaRefs>
</ds:datastoreItem>
</file>

<file path=customXml/itemProps2.xml><?xml version="1.0" encoding="utf-8"?>
<ds:datastoreItem xmlns:ds="http://schemas.openxmlformats.org/officeDocument/2006/customXml" ds:itemID="{6E3DA1F8-A04A-44F0-AFE5-1456153A960E}">
  <ds:schemaRefs>
    <ds:schemaRef ds:uri="http://schemas.microsoft.com/sharepoint/events"/>
  </ds:schemaRefs>
</ds:datastoreItem>
</file>

<file path=customXml/itemProps3.xml><?xml version="1.0" encoding="utf-8"?>
<ds:datastoreItem xmlns:ds="http://schemas.openxmlformats.org/officeDocument/2006/customXml" ds:itemID="{78390502-26ED-4DB9-BA87-CC91DC5BF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B2F3B-F798-4957-B49F-3EDD69E10692}">
  <ds:schemaRefs>
    <ds:schemaRef ds:uri="http://schemas.microsoft.com/office/2006/documentManagement/types"/>
    <ds:schemaRef ds:uri="http://purl.org/dc/elements/1.1/"/>
    <ds:schemaRef ds:uri="e544e5cc-ab70-42e1-849e-1a0f8bb1f4ef"/>
    <ds:schemaRef ds:uri="http://purl.org/dc/dcmitype/"/>
    <ds:schemaRef ds:uri="http://schemas.microsoft.com/office/2006/metadata/properties"/>
    <ds:schemaRef ds:uri="http://schemas.microsoft.com/sharepoint/v3"/>
    <ds:schemaRef ds:uri="http://www.w3.org/XML/1998/namespace"/>
    <ds:schemaRef ds:uri="http://purl.org/dc/terms/"/>
    <ds:schemaRef ds:uri="http://schemas.microsoft.com/office/infopath/2007/PartnerControls"/>
    <ds:schemaRef ds:uri="http://schemas.openxmlformats.org/package/2006/metadata/core-properties"/>
    <ds:schemaRef ds:uri="http://schemas.microsoft.com/sharepoint/v4"/>
  </ds:schemaRefs>
</ds:datastoreItem>
</file>

<file path=customXml/itemProps5.xml><?xml version="1.0" encoding="utf-8"?>
<ds:datastoreItem xmlns:ds="http://schemas.openxmlformats.org/officeDocument/2006/customXml" ds:itemID="{9A9155D0-3763-4DA2-BE66-52F078B64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7215</Characters>
  <Application>Microsoft Office Word</Application>
  <DocSecurity>0</DocSecurity>
  <Lines>147</Lines>
  <Paragraphs>37</Paragraphs>
  <ScaleCrop>false</ScaleCrop>
  <Company/>
  <LinksUpToDate>false</LinksUpToDate>
  <CharactersWithSpaces>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Helen Anderson, Melbourne Law School - Superannuation Guarantee Integrity Package</dc:title>
  <dc:creator/>
  <cp:lastModifiedBy/>
  <cp:revision>1</cp:revision>
  <dcterms:created xsi:type="dcterms:W3CDTF">2018-03-28T00:11:00Z</dcterms:created>
  <dcterms:modified xsi:type="dcterms:W3CDTF">2018-03-28T00:11:00Z</dcterms:modified>
  <dc:language>English</dc:language>
</cp:coreProperties>
</file>