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EABDD2" w14:textId="77777777" w:rsidR="00945D5C" w:rsidRPr="00197121" w:rsidRDefault="00945D5C" w:rsidP="00197121">
      <w:pPr>
        <w:spacing w:after="0"/>
        <w:jc w:val="center"/>
        <w:rPr>
          <w:sz w:val="20"/>
          <w:szCs w:val="20"/>
        </w:rPr>
      </w:pPr>
    </w:p>
    <w:p w14:paraId="1380EDA5" w14:textId="00109C24" w:rsidR="004B3F66" w:rsidRPr="00197121" w:rsidRDefault="003D37D3" w:rsidP="00197121">
      <w:pPr>
        <w:spacing w:after="0"/>
        <w:jc w:val="center"/>
        <w:rPr>
          <w:sz w:val="20"/>
          <w:szCs w:val="20"/>
        </w:rPr>
      </w:pPr>
      <w:r>
        <w:rPr>
          <w:noProof/>
          <w:sz w:val="20"/>
          <w:szCs w:val="20"/>
        </w:rPr>
        <mc:AlternateContent>
          <mc:Choice Requires="wps">
            <w:drawing>
              <wp:anchor distT="0" distB="0" distL="114300" distR="114300" simplePos="0" relativeHeight="251657728" behindDoc="0" locked="0" layoutInCell="1" allowOverlap="1" wp14:anchorId="672CE7D9" wp14:editId="58779EB6">
                <wp:simplePos x="0" y="0"/>
                <wp:positionH relativeFrom="column">
                  <wp:posOffset>-139700</wp:posOffset>
                </wp:positionH>
                <wp:positionV relativeFrom="paragraph">
                  <wp:posOffset>14605</wp:posOffset>
                </wp:positionV>
                <wp:extent cx="2595880" cy="869315"/>
                <wp:effectExtent l="3175" t="0" r="127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5880" cy="869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1E9783" w14:textId="3B8FE159" w:rsidR="00873871" w:rsidRDefault="003D37D3" w:rsidP="00271405">
                            <w:pPr>
                              <w:jc w:val="center"/>
                            </w:pPr>
                            <w:r>
                              <w:rPr>
                                <w:noProof/>
                              </w:rPr>
                              <w:drawing>
                                <wp:inline distT="0" distB="0" distL="0" distR="0" wp14:anchorId="380FA13B" wp14:editId="79DD5842">
                                  <wp:extent cx="2409825" cy="704850"/>
                                  <wp:effectExtent l="0" t="0" r="9525" b="0"/>
                                  <wp:docPr id="1" name="Picture 1" descr="ATO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O_inlin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09825" cy="7048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1.15pt;width:204.4pt;height:68.4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" filled="f" stroked="f">
                <v:textbox style="mso-fit-shape-to-text:t">
                  <w:txbxContent>
                    <w:p w14:paraId="6E1E9783" w14:textId="3B8FE159" w:rsidR="00873871" w:rsidRDefault="003D37D3" w:rsidP="00271405">
                      <w:pPr>
                        <w:jc w:val="center"/>
                      </w:pPr>
                      <w:r>
                        <w:rPr>
                          <w:noProof/>
                        </w:rPr>
                        <w:drawing>
                          <wp:inline distT="0" distB="0" distL="0" distR="0" wp14:anchorId="380FA13B" wp14:editId="79DD5842">
                            <wp:extent cx="2409825" cy="704850"/>
                            <wp:effectExtent l="0" t="0" r="9525" b="0"/>
                            <wp:docPr id="1" name="Picture 1" descr="ATO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O_inlin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09825" cy="704850"/>
                                    </a:xfrm>
                                    <a:prstGeom prst="rect">
                                      <a:avLst/>
                                    </a:prstGeom>
                                    <a:noFill/>
                                    <a:ln>
                                      <a:noFill/>
                                    </a:ln>
                                  </pic:spPr>
                                </pic:pic>
                              </a:graphicData>
                            </a:graphic>
                          </wp:inline>
                        </w:drawing>
                      </w:r>
                    </w:p>
                  </w:txbxContent>
                </v:textbox>
              </v:shape>
            </w:pict>
          </mc:Fallback>
        </mc:AlternateContent>
      </w:r>
    </w:p>
    <w:p w14:paraId="542989F0" w14:textId="77777777" w:rsidR="004B3F66" w:rsidRPr="00197121" w:rsidRDefault="004B3F66" w:rsidP="00197121">
      <w:pPr>
        <w:spacing w:after="0"/>
        <w:jc w:val="center"/>
        <w:rPr>
          <w:sz w:val="20"/>
          <w:szCs w:val="20"/>
        </w:rPr>
      </w:pPr>
    </w:p>
    <w:p w14:paraId="326E86BF" w14:textId="77777777" w:rsidR="004B3F66" w:rsidRPr="00197121" w:rsidRDefault="004B3F66" w:rsidP="00197121">
      <w:pPr>
        <w:spacing w:after="0"/>
        <w:jc w:val="center"/>
        <w:rPr>
          <w:sz w:val="20"/>
          <w:szCs w:val="20"/>
        </w:rPr>
      </w:pPr>
    </w:p>
    <w:p w14:paraId="55342D38" w14:textId="77777777" w:rsidR="004B3F66" w:rsidRPr="00197121" w:rsidRDefault="004B3F66" w:rsidP="00734678">
      <w:pPr>
        <w:pBdr>
          <w:bottom w:val="single" w:sz="6" w:space="1" w:color="auto"/>
        </w:pBdr>
        <w:jc w:val="center"/>
        <w:rPr>
          <w:rFonts w:cs="Arial"/>
          <w:sz w:val="20"/>
          <w:szCs w:val="20"/>
        </w:rPr>
      </w:pPr>
    </w:p>
    <w:p w14:paraId="4DB7A365" w14:textId="77777777" w:rsidR="004B3F66" w:rsidRDefault="004B3F66" w:rsidP="00197121">
      <w:pPr>
        <w:spacing w:after="0"/>
        <w:jc w:val="center"/>
      </w:pPr>
    </w:p>
    <w:p w14:paraId="190442AB" w14:textId="70A17817" w:rsidR="004B3F66" w:rsidRDefault="003264E7" w:rsidP="00B44873">
      <w:pPr>
        <w:jc w:val="center"/>
        <w:rPr>
          <w:rFonts w:cs="Arial"/>
          <w:color w:val="000000"/>
          <w:sz w:val="32"/>
          <w:szCs w:val="32"/>
        </w:rPr>
      </w:pPr>
      <w:bookmarkStart w:id="0" w:name="_GoBack"/>
      <w:r w:rsidRPr="00A603E7">
        <w:rPr>
          <w:rFonts w:cs="Arial"/>
          <w:color w:val="000000"/>
          <w:sz w:val="32"/>
          <w:szCs w:val="32"/>
        </w:rPr>
        <w:t xml:space="preserve">Draft guidance: </w:t>
      </w:r>
      <w:r w:rsidR="00364DFE" w:rsidRPr="00A603E7">
        <w:rPr>
          <w:rFonts w:cs="Arial"/>
          <w:color w:val="000000"/>
          <w:sz w:val="32"/>
          <w:szCs w:val="32"/>
        </w:rPr>
        <w:t>Expansion of the taxable payments reporting system to contractors in the courier and cleaning industries</w:t>
      </w:r>
    </w:p>
    <w:bookmarkEnd w:id="0"/>
    <w:p w14:paraId="48D319D5" w14:textId="39D47429" w:rsidR="00C34711" w:rsidRPr="00A603E7" w:rsidRDefault="001413AF" w:rsidP="00B44873">
      <w:pPr>
        <w:jc w:val="center"/>
        <w:rPr>
          <w:rFonts w:cs="Arial"/>
          <w:b/>
          <w:sz w:val="32"/>
          <w:szCs w:val="32"/>
        </w:rPr>
      </w:pPr>
      <w:r>
        <w:rPr>
          <w:rFonts w:cs="Arial"/>
          <w:color w:val="000000"/>
          <w:sz w:val="32"/>
          <w:szCs w:val="32"/>
        </w:rPr>
        <w:t>(Form of ATO guidance to be c</w:t>
      </w:r>
      <w:r w:rsidR="00C34711">
        <w:rPr>
          <w:rFonts w:cs="Arial"/>
          <w:color w:val="000000"/>
          <w:sz w:val="32"/>
          <w:szCs w:val="32"/>
        </w:rPr>
        <w:t>onfirmed)</w:t>
      </w:r>
    </w:p>
    <w:p w14:paraId="3233F892" w14:textId="77777777" w:rsidR="007E058E" w:rsidRPr="00B44873" w:rsidRDefault="007E058E" w:rsidP="007E058E">
      <w:pPr>
        <w:pBdr>
          <w:bottom w:val="single" w:sz="6" w:space="1" w:color="auto"/>
        </w:pBdr>
        <w:jc w:val="center"/>
        <w:rPr>
          <w:rFonts w:cs="Arial"/>
          <w:i/>
          <w:sz w:val="20"/>
          <w:szCs w:val="20"/>
        </w:rPr>
      </w:pPr>
    </w:p>
    <w:p w14:paraId="352CC15F" w14:textId="77777777" w:rsidR="00AB7BA7" w:rsidRDefault="00AB7BA7" w:rsidP="00AB7BA7">
      <w:pPr>
        <w:rPr>
          <w:rFonts w:cs="Arial"/>
          <w:szCs w:val="22"/>
        </w:rPr>
      </w:pPr>
    </w:p>
    <w:p w14:paraId="11032F75" w14:textId="77777777" w:rsidR="00092FF6" w:rsidRPr="008F4FB3" w:rsidRDefault="008F4FB3" w:rsidP="008F4FB3">
      <w:pPr>
        <w:shd w:val="pct12" w:color="auto" w:fill="auto"/>
        <w:rPr>
          <w:rFonts w:cs="Arial"/>
          <w:b/>
          <w:szCs w:val="22"/>
        </w:rPr>
      </w:pPr>
      <w:r w:rsidRPr="008F4FB3">
        <w:rPr>
          <w:rFonts w:cs="Arial"/>
          <w:b/>
          <w:szCs w:val="22"/>
        </w:rPr>
        <w:t>Introduction</w:t>
      </w:r>
    </w:p>
    <w:p w14:paraId="3A19CE39" w14:textId="05FB0E50" w:rsidR="008F4FB3" w:rsidRPr="0076493E" w:rsidRDefault="00364DFE" w:rsidP="0076493E">
      <w:pPr>
        <w:rPr>
          <w:rFonts w:ascii="Calibri" w:hAnsi="Calibri" w:cs="Calibri"/>
          <w:szCs w:val="22"/>
        </w:rPr>
      </w:pPr>
      <w:r w:rsidRPr="008B4877">
        <w:rPr>
          <w:rFonts w:ascii="Calibri" w:hAnsi="Calibri" w:cs="Calibri"/>
          <w:szCs w:val="22"/>
        </w:rPr>
        <w:t xml:space="preserve">This document sets out the proposed draft </w:t>
      </w:r>
      <w:r w:rsidR="0076493E">
        <w:rPr>
          <w:rFonts w:ascii="Calibri" w:hAnsi="Calibri" w:cs="Calibri"/>
          <w:szCs w:val="22"/>
        </w:rPr>
        <w:t xml:space="preserve">ATO </w:t>
      </w:r>
      <w:r w:rsidRPr="008B4877">
        <w:rPr>
          <w:rFonts w:ascii="Calibri" w:hAnsi="Calibri" w:cs="Calibri"/>
          <w:szCs w:val="22"/>
        </w:rPr>
        <w:t xml:space="preserve">guidance in relation to the expansion of the taxable payments reporting system to contractors in the courier and cleaning industries. </w:t>
      </w:r>
    </w:p>
    <w:p w14:paraId="0B0941D1" w14:textId="77777777" w:rsidR="00E86E58" w:rsidRDefault="00E86E58" w:rsidP="00E86E58">
      <w:pPr>
        <w:rPr>
          <w:rFonts w:cs="Arial"/>
          <w:szCs w:val="22"/>
        </w:rPr>
      </w:pPr>
    </w:p>
    <w:p w14:paraId="13E2C988" w14:textId="3DF29790" w:rsidR="00740CB0" w:rsidRPr="00871FC9" w:rsidRDefault="00871FC9" w:rsidP="00871FC9">
      <w:pPr>
        <w:shd w:val="pct12" w:color="auto" w:fill="auto"/>
        <w:rPr>
          <w:rFonts w:cs="Arial"/>
          <w:b/>
          <w:szCs w:val="22"/>
        </w:rPr>
      </w:pPr>
      <w:r>
        <w:rPr>
          <w:rFonts w:cs="Arial"/>
          <w:b/>
          <w:szCs w:val="22"/>
        </w:rPr>
        <w:t>Draft guidance</w:t>
      </w:r>
    </w:p>
    <w:p w14:paraId="7001C8E9" w14:textId="77777777" w:rsidR="00871FC9" w:rsidRDefault="00871FC9" w:rsidP="0076493E">
      <w:pPr>
        <w:pStyle w:val="Heading1"/>
      </w:pPr>
      <w:r>
        <w:t>Taxable payments reporting for couriers and cleaners</w:t>
      </w:r>
    </w:p>
    <w:p w14:paraId="0F857AB9" w14:textId="77777777" w:rsidR="00871FC9" w:rsidRPr="00B65038" w:rsidRDefault="00871FC9" w:rsidP="00871FC9">
      <w:pPr>
        <w:pStyle w:val="Heading1"/>
        <w:rPr>
          <w:sz w:val="32"/>
          <w:szCs w:val="32"/>
        </w:rPr>
      </w:pPr>
      <w:r>
        <w:rPr>
          <w:sz w:val="32"/>
          <w:szCs w:val="32"/>
        </w:rPr>
        <w:t>Background</w:t>
      </w:r>
    </w:p>
    <w:p w14:paraId="65F03A63" w14:textId="4BFCD85B" w:rsidR="008B4877" w:rsidRPr="008B4877" w:rsidRDefault="00871FC9" w:rsidP="00871FC9">
      <w:pPr>
        <w:rPr>
          <w:rFonts w:asciiTheme="minorHAnsi" w:hAnsiTheme="minorHAnsi" w:cstheme="minorHAnsi"/>
        </w:rPr>
      </w:pPr>
      <w:r w:rsidRPr="008B4877">
        <w:rPr>
          <w:rFonts w:asciiTheme="minorHAnsi" w:hAnsiTheme="minorHAnsi" w:cstheme="minorHAnsi"/>
        </w:rPr>
        <w:t>From 1 July 2018, if you are a business that provides courier or cleaning services you will need to report payments you make to contractors if:</w:t>
      </w:r>
    </w:p>
    <w:p w14:paraId="3B77BD55" w14:textId="77777777" w:rsidR="00871FC9" w:rsidRPr="008B4877" w:rsidRDefault="00871FC9" w:rsidP="00871FC9">
      <w:pPr>
        <w:pStyle w:val="ListParagraph"/>
        <w:numPr>
          <w:ilvl w:val="0"/>
          <w:numId w:val="7"/>
        </w:numPr>
        <w:rPr>
          <w:rFonts w:asciiTheme="minorHAnsi" w:hAnsiTheme="minorHAnsi" w:cstheme="minorHAnsi"/>
        </w:rPr>
      </w:pPr>
      <w:r w:rsidRPr="008B4877">
        <w:rPr>
          <w:rFonts w:asciiTheme="minorHAnsi" w:hAnsiTheme="minorHAnsi" w:cstheme="minorHAnsi"/>
        </w:rPr>
        <w:t xml:space="preserve">the payments are for courier or cleaning services </w:t>
      </w:r>
    </w:p>
    <w:p w14:paraId="7BA72A6F" w14:textId="77777777" w:rsidR="00871FC9" w:rsidRPr="008B4877" w:rsidRDefault="00871FC9" w:rsidP="00871FC9">
      <w:pPr>
        <w:pStyle w:val="ListParagraph"/>
        <w:numPr>
          <w:ilvl w:val="0"/>
          <w:numId w:val="7"/>
        </w:numPr>
        <w:rPr>
          <w:rFonts w:asciiTheme="minorHAnsi" w:hAnsiTheme="minorHAnsi" w:cstheme="minorHAnsi"/>
        </w:rPr>
      </w:pPr>
      <w:r w:rsidRPr="008B4877">
        <w:rPr>
          <w:rFonts w:asciiTheme="minorHAnsi" w:hAnsiTheme="minorHAnsi" w:cstheme="minorHAnsi"/>
        </w:rPr>
        <w:t>you have an Australian business number (ABN).</w:t>
      </w:r>
    </w:p>
    <w:p w14:paraId="5713EC3E" w14:textId="77777777" w:rsidR="00871FC9" w:rsidRPr="008B4877" w:rsidRDefault="00871FC9" w:rsidP="00871FC9">
      <w:pPr>
        <w:rPr>
          <w:rFonts w:asciiTheme="minorHAnsi" w:hAnsiTheme="minorHAnsi" w:cstheme="minorHAnsi"/>
        </w:rPr>
      </w:pPr>
      <w:r w:rsidRPr="008B4877">
        <w:rPr>
          <w:rFonts w:asciiTheme="minorHAnsi" w:hAnsiTheme="minorHAnsi" w:cstheme="minorHAnsi"/>
        </w:rPr>
        <w:t>Contractors can be sole traders (individuals), companies, partnerships or trusts.</w:t>
      </w:r>
    </w:p>
    <w:p w14:paraId="325AF38C" w14:textId="77777777" w:rsidR="00871FC9" w:rsidRPr="008B4877" w:rsidRDefault="00871FC9" w:rsidP="00871FC9">
      <w:pPr>
        <w:pStyle w:val="NormalWeb"/>
        <w:rPr>
          <w:rFonts w:asciiTheme="minorHAnsi" w:eastAsiaTheme="minorHAnsi" w:hAnsiTheme="minorHAnsi" w:cstheme="minorHAnsi"/>
          <w:sz w:val="22"/>
          <w:szCs w:val="22"/>
          <w:lang w:eastAsia="en-US"/>
        </w:rPr>
      </w:pPr>
      <w:r w:rsidRPr="008B4877">
        <w:rPr>
          <w:rFonts w:asciiTheme="minorHAnsi" w:eastAsiaTheme="minorHAnsi" w:hAnsiTheme="minorHAnsi" w:cstheme="minorHAnsi"/>
          <w:sz w:val="22"/>
          <w:szCs w:val="22"/>
          <w:lang w:eastAsia="en-US"/>
        </w:rPr>
        <w:t xml:space="preserve">Payments must be reported to the ATO each year using the </w:t>
      </w:r>
      <w:r w:rsidRPr="008B4877">
        <w:rPr>
          <w:rFonts w:asciiTheme="minorHAnsi" w:eastAsiaTheme="minorHAnsi" w:hAnsiTheme="minorHAnsi" w:cstheme="minorHAnsi"/>
          <w:i/>
          <w:sz w:val="22"/>
          <w:szCs w:val="22"/>
          <w:lang w:eastAsia="en-US"/>
        </w:rPr>
        <w:t>Taxable payments annual report.</w:t>
      </w:r>
    </w:p>
    <w:p w14:paraId="663E0059" w14:textId="5D024C64" w:rsidR="00871FC9" w:rsidRPr="008B4877" w:rsidRDefault="00871FC9" w:rsidP="00871FC9">
      <w:pPr>
        <w:rPr>
          <w:rFonts w:asciiTheme="minorHAnsi" w:hAnsiTheme="minorHAnsi" w:cstheme="minorHAnsi"/>
          <w:b/>
        </w:rPr>
      </w:pPr>
      <w:r w:rsidRPr="008B4877">
        <w:rPr>
          <w:rFonts w:asciiTheme="minorHAnsi" w:hAnsiTheme="minorHAnsi" w:cstheme="minorHAnsi"/>
        </w:rPr>
        <w:t xml:space="preserve">Businesses that are required to report will need to collect the relevant information from 1 July 2018.  The first annual report will be for the 2018-19 financial year and </w:t>
      </w:r>
      <w:r w:rsidR="00016B50">
        <w:rPr>
          <w:rFonts w:asciiTheme="minorHAnsi" w:hAnsiTheme="minorHAnsi" w:cstheme="minorHAnsi"/>
        </w:rPr>
        <w:t>is</w:t>
      </w:r>
      <w:r w:rsidR="00016B50" w:rsidRPr="008B4877">
        <w:rPr>
          <w:rFonts w:asciiTheme="minorHAnsi" w:hAnsiTheme="minorHAnsi" w:cstheme="minorHAnsi"/>
        </w:rPr>
        <w:t xml:space="preserve"> </w:t>
      </w:r>
      <w:r w:rsidRPr="008B4877">
        <w:rPr>
          <w:rFonts w:asciiTheme="minorHAnsi" w:hAnsiTheme="minorHAnsi" w:cstheme="minorHAnsi"/>
          <w:b/>
        </w:rPr>
        <w:t>due by 28 August 2019.</w:t>
      </w:r>
    </w:p>
    <w:p w14:paraId="73A042E6" w14:textId="77777777" w:rsidR="00871FC9" w:rsidRDefault="00871FC9" w:rsidP="00871FC9">
      <w:pPr>
        <w:pStyle w:val="Heading1"/>
        <w:rPr>
          <w:sz w:val="32"/>
          <w:szCs w:val="32"/>
        </w:rPr>
      </w:pPr>
      <w:r w:rsidRPr="00B65038">
        <w:rPr>
          <w:sz w:val="32"/>
          <w:szCs w:val="32"/>
        </w:rPr>
        <w:t>Work</w:t>
      </w:r>
      <w:r>
        <w:rPr>
          <w:sz w:val="32"/>
          <w:szCs w:val="32"/>
        </w:rPr>
        <w:t xml:space="preserve"> </w:t>
      </w:r>
      <w:r w:rsidRPr="00B65038">
        <w:rPr>
          <w:sz w:val="32"/>
          <w:szCs w:val="32"/>
        </w:rPr>
        <w:t>out if you need to report</w:t>
      </w:r>
    </w:p>
    <w:p w14:paraId="66337953" w14:textId="77777777" w:rsidR="00871FC9" w:rsidRPr="00B874EF" w:rsidRDefault="00871FC9" w:rsidP="00871FC9">
      <w:pPr>
        <w:pStyle w:val="Heading2"/>
      </w:pPr>
      <w:r w:rsidRPr="00B874EF">
        <w:t>Couriers</w:t>
      </w:r>
    </w:p>
    <w:p w14:paraId="5FC24416" w14:textId="77777777" w:rsidR="00871FC9" w:rsidRPr="008B4877" w:rsidRDefault="00871FC9" w:rsidP="00871FC9">
      <w:pPr>
        <w:rPr>
          <w:rFonts w:asciiTheme="minorHAnsi" w:hAnsiTheme="minorHAnsi" w:cstheme="minorHAnsi"/>
        </w:rPr>
      </w:pPr>
      <w:r w:rsidRPr="008B4877">
        <w:rPr>
          <w:rFonts w:asciiTheme="minorHAnsi" w:hAnsiTheme="minorHAnsi" w:cstheme="minorHAnsi"/>
        </w:rPr>
        <w:t>If you're a business that provides courier services, you need to report payments you make to contractors that are wholly or partly for courier services.</w:t>
      </w:r>
    </w:p>
    <w:p w14:paraId="3ABADF27" w14:textId="77777777" w:rsidR="00871FC9" w:rsidRPr="008B4877" w:rsidRDefault="00871FC9" w:rsidP="00871FC9">
      <w:pPr>
        <w:spacing w:after="0"/>
        <w:rPr>
          <w:rFonts w:asciiTheme="minorHAnsi" w:hAnsiTheme="minorHAnsi" w:cstheme="minorHAnsi"/>
        </w:rPr>
      </w:pPr>
      <w:r w:rsidRPr="008B4877">
        <w:rPr>
          <w:rFonts w:asciiTheme="minorHAnsi" w:hAnsiTheme="minorHAnsi" w:cstheme="minorHAnsi"/>
        </w:rPr>
        <w:t xml:space="preserve">Courier services include activities where items or goods are collected from, and/or delivered to, any place in Australia using a variety of methods including by truck, car, station wagon, van, ute, motorcycle, motorised scooter, bicycle or other non-powered means of transport, or on foot. </w:t>
      </w:r>
    </w:p>
    <w:p w14:paraId="2E0FA8DF" w14:textId="77777777" w:rsidR="00871FC9" w:rsidRPr="008B4877" w:rsidRDefault="00871FC9" w:rsidP="00871FC9">
      <w:pPr>
        <w:spacing w:after="0"/>
        <w:rPr>
          <w:rFonts w:asciiTheme="minorHAnsi" w:hAnsiTheme="minorHAnsi" w:cstheme="minorHAnsi"/>
        </w:rPr>
      </w:pPr>
    </w:p>
    <w:p w14:paraId="66BB2328" w14:textId="1D11B243" w:rsidR="00871FC9" w:rsidRPr="008B4877" w:rsidRDefault="00871FC9" w:rsidP="00871FC9">
      <w:pPr>
        <w:spacing w:after="0"/>
        <w:rPr>
          <w:rFonts w:asciiTheme="minorHAnsi" w:hAnsiTheme="minorHAnsi" w:cstheme="minorHAnsi"/>
        </w:rPr>
      </w:pPr>
      <w:r w:rsidRPr="008B4877">
        <w:rPr>
          <w:rFonts w:asciiTheme="minorHAnsi" w:hAnsiTheme="minorHAnsi" w:cstheme="minorHAnsi"/>
        </w:rPr>
        <w:t>Courier services do not include:</w:t>
      </w:r>
    </w:p>
    <w:p w14:paraId="344093CB" w14:textId="2A7E78C2" w:rsidR="00871FC9" w:rsidRPr="008B4877" w:rsidRDefault="00871FC9" w:rsidP="00871FC9">
      <w:pPr>
        <w:pStyle w:val="ListParagraph"/>
        <w:numPr>
          <w:ilvl w:val="1"/>
          <w:numId w:val="6"/>
        </w:numPr>
        <w:rPr>
          <w:rFonts w:asciiTheme="minorHAnsi" w:hAnsiTheme="minorHAnsi" w:cstheme="minorHAnsi"/>
        </w:rPr>
      </w:pPr>
      <w:r w:rsidRPr="008B4877">
        <w:rPr>
          <w:rFonts w:asciiTheme="minorHAnsi" w:hAnsiTheme="minorHAnsi" w:cstheme="minorHAnsi"/>
        </w:rPr>
        <w:t>passenger transpor</w:t>
      </w:r>
      <w:r w:rsidR="001637B4">
        <w:rPr>
          <w:rFonts w:asciiTheme="minorHAnsi" w:hAnsiTheme="minorHAnsi" w:cstheme="minorHAnsi"/>
        </w:rPr>
        <w:t>t services e.g. buses and taxis</w:t>
      </w:r>
    </w:p>
    <w:p w14:paraId="2C72998E" w14:textId="77777777" w:rsidR="00871FC9" w:rsidRPr="008B4877" w:rsidRDefault="00871FC9" w:rsidP="00871FC9">
      <w:pPr>
        <w:pStyle w:val="ListParagraph"/>
        <w:numPr>
          <w:ilvl w:val="1"/>
          <w:numId w:val="6"/>
        </w:numPr>
        <w:rPr>
          <w:rFonts w:asciiTheme="minorHAnsi" w:hAnsiTheme="minorHAnsi" w:cstheme="minorHAnsi"/>
        </w:rPr>
      </w:pPr>
      <w:r w:rsidRPr="008B4877">
        <w:rPr>
          <w:rFonts w:asciiTheme="minorHAnsi" w:hAnsiTheme="minorHAnsi" w:cstheme="minorHAnsi"/>
        </w:rPr>
        <w:lastRenderedPageBreak/>
        <w:t>transporting of blood, blood products, organs or tissue</w:t>
      </w:r>
    </w:p>
    <w:p w14:paraId="4379A903" w14:textId="3C39814E" w:rsidR="00871FC9" w:rsidRPr="008B4877" w:rsidRDefault="00871FC9" w:rsidP="00871FC9">
      <w:pPr>
        <w:pStyle w:val="ListParagraph"/>
        <w:numPr>
          <w:ilvl w:val="1"/>
          <w:numId w:val="6"/>
        </w:numPr>
        <w:rPr>
          <w:rFonts w:asciiTheme="minorHAnsi" w:hAnsiTheme="minorHAnsi" w:cstheme="minorHAnsi"/>
        </w:rPr>
      </w:pPr>
      <w:r w:rsidRPr="008B4877">
        <w:rPr>
          <w:rFonts w:asciiTheme="minorHAnsi" w:hAnsiTheme="minorHAnsi" w:cstheme="minorHAnsi"/>
        </w:rPr>
        <w:t xml:space="preserve">freight transport. </w:t>
      </w:r>
    </w:p>
    <w:p w14:paraId="2D55BC6C" w14:textId="77777777" w:rsidR="00871FC9" w:rsidRDefault="00871FC9" w:rsidP="00871FC9">
      <w:pPr>
        <w:pStyle w:val="Heading3"/>
      </w:pPr>
      <w:r>
        <w:t>Example 1 - Couriers</w:t>
      </w:r>
    </w:p>
    <w:p w14:paraId="678DDF6F" w14:textId="40A0902A" w:rsidR="00871FC9" w:rsidRPr="008B4877" w:rsidRDefault="00871FC9" w:rsidP="008B4877">
      <w:pPr>
        <w:pStyle w:val="BoxText"/>
        <w:ind w:left="720"/>
        <w:rPr>
          <w:rFonts w:ascii="Calibri" w:eastAsiaTheme="minorHAnsi" w:hAnsi="Calibri" w:cstheme="minorBidi"/>
          <w:i/>
          <w:color w:val="auto"/>
          <w:szCs w:val="22"/>
          <w:lang w:eastAsia="en-US"/>
        </w:rPr>
      </w:pPr>
      <w:r w:rsidRPr="00E74805">
        <w:rPr>
          <w:rFonts w:ascii="Calibri" w:eastAsiaTheme="minorHAnsi" w:hAnsi="Calibri" w:cstheme="minorBidi"/>
          <w:i/>
          <w:color w:val="auto"/>
          <w:szCs w:val="22"/>
          <w:lang w:eastAsia="en-US"/>
        </w:rPr>
        <w:t xml:space="preserve">ABC Couriers Pty Ltd (ABC) </w:t>
      </w:r>
      <w:r>
        <w:rPr>
          <w:rFonts w:ascii="Calibri" w:eastAsiaTheme="minorHAnsi" w:hAnsi="Calibri" w:cstheme="minorBidi"/>
          <w:i/>
          <w:color w:val="auto"/>
          <w:szCs w:val="22"/>
          <w:lang w:eastAsia="en-US"/>
        </w:rPr>
        <w:t xml:space="preserve">is a business with an ABN and provides </w:t>
      </w:r>
      <w:r w:rsidRPr="00E74805">
        <w:rPr>
          <w:rFonts w:ascii="Calibri" w:eastAsiaTheme="minorHAnsi" w:hAnsi="Calibri" w:cstheme="minorBidi"/>
          <w:i/>
          <w:color w:val="auto"/>
          <w:szCs w:val="22"/>
          <w:lang w:eastAsia="en-US"/>
        </w:rPr>
        <w:t xml:space="preserve">parcel and delivery services to a range of clients. ABC engages 4 contractors throughout the year to </w:t>
      </w:r>
      <w:r>
        <w:rPr>
          <w:rFonts w:ascii="Calibri" w:eastAsiaTheme="minorHAnsi" w:hAnsi="Calibri" w:cstheme="minorBidi"/>
          <w:i/>
          <w:color w:val="auto"/>
          <w:szCs w:val="22"/>
          <w:lang w:eastAsia="en-US"/>
        </w:rPr>
        <w:t>make deliveries</w:t>
      </w:r>
      <w:r w:rsidRPr="00E74805">
        <w:rPr>
          <w:rFonts w:ascii="Calibri" w:eastAsiaTheme="minorHAnsi" w:hAnsi="Calibri" w:cstheme="minorBidi"/>
          <w:i/>
          <w:color w:val="auto"/>
          <w:szCs w:val="22"/>
          <w:lang w:eastAsia="en-US"/>
        </w:rPr>
        <w:t>. Lee is one of these contractors</w:t>
      </w:r>
      <w:r>
        <w:rPr>
          <w:rFonts w:ascii="Calibri" w:eastAsiaTheme="minorHAnsi" w:hAnsi="Calibri" w:cstheme="minorBidi"/>
          <w:i/>
          <w:color w:val="auto"/>
          <w:szCs w:val="22"/>
          <w:lang w:eastAsia="en-US"/>
        </w:rPr>
        <w:t xml:space="preserve"> and provides </w:t>
      </w:r>
      <w:r w:rsidRPr="00E74805">
        <w:rPr>
          <w:rFonts w:ascii="Calibri" w:eastAsiaTheme="minorHAnsi" w:hAnsi="Calibri" w:cstheme="minorBidi"/>
          <w:i/>
          <w:color w:val="auto"/>
          <w:szCs w:val="22"/>
          <w:lang w:eastAsia="en-US"/>
        </w:rPr>
        <w:t xml:space="preserve">ABC </w:t>
      </w:r>
      <w:r>
        <w:rPr>
          <w:rFonts w:ascii="Calibri" w:eastAsiaTheme="minorHAnsi" w:hAnsi="Calibri" w:cstheme="minorBidi"/>
          <w:i/>
          <w:color w:val="auto"/>
          <w:szCs w:val="22"/>
          <w:lang w:eastAsia="en-US"/>
        </w:rPr>
        <w:t xml:space="preserve">with an invoice </w:t>
      </w:r>
      <w:r w:rsidRPr="00E74805">
        <w:rPr>
          <w:rFonts w:ascii="Calibri" w:eastAsiaTheme="minorHAnsi" w:hAnsi="Calibri" w:cstheme="minorBidi"/>
          <w:i/>
          <w:color w:val="auto"/>
          <w:szCs w:val="22"/>
          <w:lang w:eastAsia="en-US"/>
        </w:rPr>
        <w:t xml:space="preserve">for the deliveries he completes.  </w:t>
      </w:r>
      <w:r>
        <w:rPr>
          <w:rFonts w:ascii="Calibri" w:eastAsiaTheme="minorHAnsi" w:hAnsi="Calibri" w:cstheme="minorBidi"/>
          <w:i/>
          <w:color w:val="auto"/>
          <w:szCs w:val="22"/>
          <w:lang w:eastAsia="en-US"/>
        </w:rPr>
        <w:t>As a provider of courier services, ABC will need to prepare and lodge a taxable payments annual report detailing payments it make</w:t>
      </w:r>
      <w:r w:rsidR="001637B4">
        <w:rPr>
          <w:rFonts w:ascii="Calibri" w:eastAsiaTheme="minorHAnsi" w:hAnsi="Calibri" w:cstheme="minorBidi"/>
          <w:i/>
          <w:color w:val="auto"/>
          <w:szCs w:val="22"/>
          <w:lang w:eastAsia="en-US"/>
        </w:rPr>
        <w:t>s</w:t>
      </w:r>
      <w:r>
        <w:rPr>
          <w:rFonts w:ascii="Calibri" w:eastAsiaTheme="minorHAnsi" w:hAnsi="Calibri" w:cstheme="minorBidi"/>
          <w:i/>
          <w:color w:val="auto"/>
          <w:szCs w:val="22"/>
          <w:lang w:eastAsia="en-US"/>
        </w:rPr>
        <w:t xml:space="preserve"> to contractors, including Lee, that undertake courier activities for them.</w:t>
      </w:r>
    </w:p>
    <w:p w14:paraId="48C181A3" w14:textId="77777777" w:rsidR="00871FC9" w:rsidRDefault="00871FC9" w:rsidP="00871FC9">
      <w:pPr>
        <w:pStyle w:val="Heading3"/>
      </w:pPr>
      <w:r>
        <w:t>Example 2 – Couriers mixed business</w:t>
      </w:r>
    </w:p>
    <w:p w14:paraId="42971BA9" w14:textId="77777777" w:rsidR="00871FC9" w:rsidRPr="00654EFB" w:rsidRDefault="00871FC9" w:rsidP="00871FC9">
      <w:pPr>
        <w:ind w:left="720"/>
        <w:rPr>
          <w:rFonts w:asciiTheme="minorHAnsi" w:hAnsiTheme="minorHAnsi" w:cstheme="minorHAnsi"/>
          <w:i/>
        </w:rPr>
      </w:pPr>
      <w:r w:rsidRPr="00654EFB">
        <w:rPr>
          <w:rFonts w:asciiTheme="minorHAnsi" w:hAnsiTheme="minorHAnsi" w:cstheme="minorHAnsi"/>
          <w:i/>
        </w:rPr>
        <w:t>Quick Smart Pty Ltd is a business with an ABN that provides clothing repair and alterations services and also courier services.  When they’re very busy, Quick Smart engages contractors to carry out their courier services.  As Quick Smart is a provider of courier services, they are required to report the payments they make to contractors for courier services.</w:t>
      </w:r>
    </w:p>
    <w:p w14:paraId="3A0D0D3E" w14:textId="77777777" w:rsidR="00871FC9" w:rsidRDefault="00871FC9" w:rsidP="00871FC9">
      <w:pPr>
        <w:spacing w:after="0"/>
        <w:rPr>
          <w:rFonts w:asciiTheme="majorHAnsi" w:eastAsiaTheme="majorEastAsia" w:hAnsiTheme="majorHAnsi" w:cstheme="majorBidi"/>
          <w:b/>
          <w:bCs/>
          <w:color w:val="4F81BD" w:themeColor="accent1"/>
        </w:rPr>
      </w:pPr>
      <w:r w:rsidRPr="000B100D">
        <w:rPr>
          <w:rFonts w:asciiTheme="majorHAnsi" w:eastAsiaTheme="majorEastAsia" w:hAnsiTheme="majorHAnsi" w:cstheme="majorBidi"/>
          <w:b/>
          <w:bCs/>
          <w:color w:val="4F81BD" w:themeColor="accent1"/>
        </w:rPr>
        <w:t xml:space="preserve">Example 3 – </w:t>
      </w:r>
      <w:r>
        <w:rPr>
          <w:rFonts w:asciiTheme="majorHAnsi" w:eastAsiaTheme="majorEastAsia" w:hAnsiTheme="majorHAnsi" w:cstheme="majorBidi"/>
          <w:b/>
          <w:bCs/>
          <w:color w:val="4F81BD" w:themeColor="accent1"/>
        </w:rPr>
        <w:t>M</w:t>
      </w:r>
      <w:r w:rsidRPr="000B100D">
        <w:rPr>
          <w:rFonts w:asciiTheme="majorHAnsi" w:eastAsiaTheme="majorEastAsia" w:hAnsiTheme="majorHAnsi" w:cstheme="majorBidi"/>
          <w:b/>
          <w:bCs/>
          <w:color w:val="4F81BD" w:themeColor="accent1"/>
        </w:rPr>
        <w:t>ixed transport</w:t>
      </w:r>
    </w:p>
    <w:p w14:paraId="21C1DE1D" w14:textId="77777777" w:rsidR="00871FC9" w:rsidRPr="00654EFB" w:rsidRDefault="00871FC9" w:rsidP="00871FC9">
      <w:pPr>
        <w:ind w:left="720"/>
        <w:rPr>
          <w:rFonts w:asciiTheme="minorHAnsi" w:hAnsiTheme="minorHAnsi" w:cstheme="minorHAnsi"/>
          <w:i/>
        </w:rPr>
      </w:pPr>
      <w:r w:rsidRPr="00654EFB">
        <w:rPr>
          <w:rFonts w:asciiTheme="minorHAnsi" w:hAnsiTheme="minorHAnsi" w:cstheme="minorHAnsi"/>
          <w:i/>
        </w:rPr>
        <w:t>Couriers Express has an ABN and provides courier services.  Sometimes they need to send items from Melbourne to Brisbane.  They engage couriers to pick up items from their warehouse and deliver them to Air Freight Pty Ltd.  Air Freight Pty Ltd flies the items to Brisbane, where couriers collect them at the airport and deliver the items to customers.  Courier Express is required to report payments that they make to the contractors to pick up and deliver items at each end of the process.  They do not need to report payments they make to Air Freight Pty Ltd as they are not providing a courier service, but rather air freight transport.</w:t>
      </w:r>
    </w:p>
    <w:p w14:paraId="2572C92A" w14:textId="77777777" w:rsidR="00871FC9" w:rsidRDefault="00871FC9" w:rsidP="00871FC9">
      <w:pPr>
        <w:pStyle w:val="Heading2"/>
      </w:pPr>
      <w:r>
        <w:t>Cleaners</w:t>
      </w:r>
    </w:p>
    <w:p w14:paraId="3F9C26CD" w14:textId="77777777" w:rsidR="00871FC9" w:rsidRPr="00654EFB" w:rsidRDefault="00871FC9" w:rsidP="00871FC9">
      <w:pPr>
        <w:rPr>
          <w:rFonts w:asciiTheme="minorHAnsi" w:hAnsiTheme="minorHAnsi" w:cstheme="minorHAnsi"/>
        </w:rPr>
      </w:pPr>
      <w:r w:rsidRPr="00654EFB">
        <w:rPr>
          <w:rFonts w:asciiTheme="minorHAnsi" w:hAnsiTheme="minorHAnsi" w:cstheme="minorHAnsi"/>
        </w:rPr>
        <w:t>If you're a business that provides cleaning services, you need to report payments you make to contractors that are wholly or partly for cleaning services.</w:t>
      </w:r>
    </w:p>
    <w:p w14:paraId="64895871" w14:textId="77777777" w:rsidR="00871FC9" w:rsidRPr="00654EFB" w:rsidRDefault="00871FC9" w:rsidP="00871FC9">
      <w:pPr>
        <w:rPr>
          <w:rFonts w:asciiTheme="minorHAnsi" w:hAnsiTheme="minorHAnsi" w:cstheme="minorHAnsi"/>
        </w:rPr>
      </w:pPr>
      <w:r w:rsidRPr="00654EFB">
        <w:rPr>
          <w:rFonts w:asciiTheme="minorHAnsi" w:hAnsiTheme="minorHAnsi" w:cstheme="minorHAnsi"/>
        </w:rPr>
        <w:t>Cleaning services include any of the following activities undertaken on a building, residence, structure, place, surface, transport/vehicle, industrial machinery or equipment and for events:</w:t>
      </w:r>
    </w:p>
    <w:p w14:paraId="0412DC51" w14:textId="77777777" w:rsidR="00871FC9" w:rsidRPr="00654EFB" w:rsidRDefault="00871FC9" w:rsidP="00871FC9">
      <w:pPr>
        <w:pStyle w:val="ListParagraph"/>
        <w:numPr>
          <w:ilvl w:val="0"/>
          <w:numId w:val="5"/>
        </w:numPr>
        <w:rPr>
          <w:rFonts w:asciiTheme="minorHAnsi" w:hAnsiTheme="minorHAnsi" w:cstheme="minorHAnsi"/>
        </w:rPr>
      </w:pPr>
      <w:r w:rsidRPr="00654EFB">
        <w:rPr>
          <w:rFonts w:asciiTheme="minorHAnsi" w:hAnsiTheme="minorHAnsi" w:cstheme="minorHAnsi"/>
        </w:rPr>
        <w:t xml:space="preserve">Interior cleaning </w:t>
      </w:r>
    </w:p>
    <w:p w14:paraId="629ACD2A" w14:textId="77777777" w:rsidR="00871FC9" w:rsidRPr="00654EFB" w:rsidRDefault="00871FC9" w:rsidP="00871FC9">
      <w:pPr>
        <w:pStyle w:val="ListParagraph"/>
        <w:numPr>
          <w:ilvl w:val="0"/>
          <w:numId w:val="5"/>
        </w:numPr>
        <w:rPr>
          <w:rFonts w:asciiTheme="minorHAnsi" w:hAnsiTheme="minorHAnsi" w:cstheme="minorHAnsi"/>
        </w:rPr>
      </w:pPr>
      <w:r w:rsidRPr="00654EFB">
        <w:rPr>
          <w:rFonts w:asciiTheme="minorHAnsi" w:hAnsiTheme="minorHAnsi" w:cstheme="minorHAnsi"/>
        </w:rPr>
        <w:t>Exterior cleaning (except sand blasting or steam cleaning)</w:t>
      </w:r>
    </w:p>
    <w:p w14:paraId="67BDB7DF" w14:textId="77777777" w:rsidR="00871FC9" w:rsidRPr="00654EFB" w:rsidRDefault="00871FC9" w:rsidP="00871FC9">
      <w:pPr>
        <w:pStyle w:val="ListParagraph"/>
        <w:numPr>
          <w:ilvl w:val="0"/>
          <w:numId w:val="5"/>
        </w:numPr>
        <w:rPr>
          <w:rFonts w:asciiTheme="minorHAnsi" w:hAnsiTheme="minorHAnsi" w:cstheme="minorHAnsi"/>
        </w:rPr>
      </w:pPr>
      <w:r w:rsidRPr="00654EFB">
        <w:rPr>
          <w:rFonts w:asciiTheme="minorHAnsi" w:hAnsiTheme="minorHAnsi" w:cstheme="minorHAnsi"/>
        </w:rPr>
        <w:t>Carpet cleaning</w:t>
      </w:r>
    </w:p>
    <w:p w14:paraId="7443CA43" w14:textId="77777777" w:rsidR="00871FC9" w:rsidRPr="00654EFB" w:rsidRDefault="00871FC9" w:rsidP="00871FC9">
      <w:pPr>
        <w:pStyle w:val="ListParagraph"/>
        <w:numPr>
          <w:ilvl w:val="0"/>
          <w:numId w:val="5"/>
        </w:numPr>
        <w:rPr>
          <w:rFonts w:asciiTheme="minorHAnsi" w:hAnsiTheme="minorHAnsi" w:cstheme="minorHAnsi"/>
        </w:rPr>
      </w:pPr>
      <w:r w:rsidRPr="00654EFB">
        <w:rPr>
          <w:rFonts w:asciiTheme="minorHAnsi" w:hAnsiTheme="minorHAnsi" w:cstheme="minorHAnsi"/>
        </w:rPr>
        <w:t>Chimney cleaning</w:t>
      </w:r>
    </w:p>
    <w:p w14:paraId="67B36DE4" w14:textId="77777777" w:rsidR="00871FC9" w:rsidRPr="00654EFB" w:rsidRDefault="00871FC9" w:rsidP="00871FC9">
      <w:pPr>
        <w:pStyle w:val="ListParagraph"/>
        <w:numPr>
          <w:ilvl w:val="0"/>
          <w:numId w:val="5"/>
        </w:numPr>
        <w:rPr>
          <w:rFonts w:asciiTheme="minorHAnsi" w:hAnsiTheme="minorHAnsi" w:cstheme="minorHAnsi"/>
        </w:rPr>
      </w:pPr>
      <w:r w:rsidRPr="00654EFB">
        <w:rPr>
          <w:rFonts w:asciiTheme="minorHAnsi" w:hAnsiTheme="minorHAnsi" w:cstheme="minorHAnsi"/>
        </w:rPr>
        <w:t>Gutter cleaning</w:t>
      </w:r>
    </w:p>
    <w:p w14:paraId="698B9FEA" w14:textId="77777777" w:rsidR="00871FC9" w:rsidRPr="00654EFB" w:rsidRDefault="00871FC9" w:rsidP="00871FC9">
      <w:pPr>
        <w:pStyle w:val="ListParagraph"/>
        <w:numPr>
          <w:ilvl w:val="0"/>
          <w:numId w:val="5"/>
        </w:numPr>
        <w:rPr>
          <w:rFonts w:asciiTheme="minorHAnsi" w:hAnsiTheme="minorHAnsi" w:cstheme="minorHAnsi"/>
        </w:rPr>
      </w:pPr>
      <w:r w:rsidRPr="00654EFB">
        <w:rPr>
          <w:rFonts w:asciiTheme="minorHAnsi" w:hAnsiTheme="minorHAnsi" w:cstheme="minorHAnsi"/>
        </w:rPr>
        <w:t>Road sweeping and street cleaning</w:t>
      </w:r>
    </w:p>
    <w:p w14:paraId="2C82B6EA" w14:textId="77777777" w:rsidR="00871FC9" w:rsidRPr="00654EFB" w:rsidRDefault="00871FC9" w:rsidP="00871FC9">
      <w:pPr>
        <w:pStyle w:val="ListParagraph"/>
        <w:numPr>
          <w:ilvl w:val="0"/>
          <w:numId w:val="5"/>
        </w:numPr>
        <w:rPr>
          <w:rFonts w:asciiTheme="minorHAnsi" w:hAnsiTheme="minorHAnsi" w:cstheme="minorHAnsi"/>
        </w:rPr>
      </w:pPr>
      <w:r w:rsidRPr="00654EFB">
        <w:rPr>
          <w:rFonts w:asciiTheme="minorHAnsi" w:hAnsiTheme="minorHAnsi" w:cstheme="minorHAnsi"/>
        </w:rPr>
        <w:t>Swimming pool cleaning</w:t>
      </w:r>
    </w:p>
    <w:p w14:paraId="2DAFFFDB" w14:textId="77777777" w:rsidR="00871FC9" w:rsidRPr="00654EFB" w:rsidRDefault="00871FC9" w:rsidP="00871FC9">
      <w:pPr>
        <w:pStyle w:val="ListParagraph"/>
        <w:numPr>
          <w:ilvl w:val="0"/>
          <w:numId w:val="5"/>
        </w:numPr>
        <w:rPr>
          <w:rFonts w:asciiTheme="minorHAnsi" w:hAnsiTheme="minorHAnsi" w:cstheme="minorHAnsi"/>
        </w:rPr>
      </w:pPr>
      <w:r w:rsidRPr="00654EFB">
        <w:rPr>
          <w:rFonts w:asciiTheme="minorHAnsi" w:hAnsiTheme="minorHAnsi" w:cstheme="minorHAnsi"/>
        </w:rPr>
        <w:t>Park and park facilities cleaning.</w:t>
      </w:r>
    </w:p>
    <w:p w14:paraId="53F74E06" w14:textId="77777777" w:rsidR="00871FC9" w:rsidRPr="00654EFB" w:rsidRDefault="00871FC9" w:rsidP="00871FC9">
      <w:pPr>
        <w:ind w:left="360"/>
        <w:rPr>
          <w:rFonts w:asciiTheme="minorHAnsi" w:hAnsiTheme="minorHAnsi" w:cstheme="minorHAnsi"/>
        </w:rPr>
      </w:pPr>
      <w:r w:rsidRPr="00654EFB">
        <w:rPr>
          <w:rFonts w:asciiTheme="minorHAnsi" w:hAnsiTheme="minorHAnsi" w:cstheme="minorHAnsi"/>
        </w:rPr>
        <w:t>‘Events’ include staging of sporting, cultural, scientific, technological, agricultural or entertainment events and exhibitions.</w:t>
      </w:r>
    </w:p>
    <w:p w14:paraId="5179115F" w14:textId="77777777" w:rsidR="00871FC9" w:rsidRPr="00654EFB" w:rsidRDefault="00871FC9" w:rsidP="00871FC9">
      <w:pPr>
        <w:ind w:left="360"/>
        <w:rPr>
          <w:rFonts w:asciiTheme="minorHAnsi" w:hAnsiTheme="minorHAnsi" w:cstheme="minorHAnsi"/>
        </w:rPr>
      </w:pPr>
      <w:r w:rsidRPr="00654EFB">
        <w:rPr>
          <w:rFonts w:asciiTheme="minorHAnsi" w:hAnsiTheme="minorHAnsi" w:cstheme="minorHAnsi"/>
        </w:rPr>
        <w:t>‘Transport/vehicles’ includes trains, trams, buses, ferries, airplanes, ships, trucks, cars and other motor vehicles.</w:t>
      </w:r>
    </w:p>
    <w:p w14:paraId="2C9C5782" w14:textId="77777777" w:rsidR="00871FC9" w:rsidRDefault="00871FC9" w:rsidP="00871FC9">
      <w:pPr>
        <w:pStyle w:val="Heading3"/>
      </w:pPr>
      <w:r>
        <w:t>Example 4 - Cleaners</w:t>
      </w:r>
    </w:p>
    <w:p w14:paraId="04D5E295" w14:textId="77777777" w:rsidR="00871FC9" w:rsidRPr="00707083" w:rsidRDefault="00871FC9" w:rsidP="00871FC9">
      <w:pPr>
        <w:pStyle w:val="BoxText"/>
        <w:spacing w:after="120"/>
        <w:ind w:left="720"/>
        <w:rPr>
          <w:rFonts w:ascii="Calibri" w:eastAsiaTheme="minorHAnsi" w:hAnsi="Calibri" w:cstheme="minorBidi"/>
          <w:i/>
          <w:color w:val="auto"/>
          <w:szCs w:val="22"/>
          <w:lang w:eastAsia="en-US"/>
        </w:rPr>
      </w:pPr>
      <w:r w:rsidRPr="00707083">
        <w:rPr>
          <w:rFonts w:ascii="Calibri" w:eastAsiaTheme="minorHAnsi" w:hAnsi="Calibri" w:cstheme="minorBidi"/>
          <w:i/>
          <w:color w:val="auto"/>
          <w:szCs w:val="22"/>
          <w:lang w:eastAsia="en-US"/>
        </w:rPr>
        <w:t xml:space="preserve">John and </w:t>
      </w:r>
      <w:r w:rsidRPr="006E57F0">
        <w:rPr>
          <w:rFonts w:ascii="Calibri" w:eastAsiaTheme="minorHAnsi" w:hAnsi="Calibri" w:cstheme="minorBidi"/>
          <w:i/>
          <w:color w:val="auto"/>
          <w:szCs w:val="22"/>
          <w:lang w:eastAsia="en-US"/>
        </w:rPr>
        <w:t xml:space="preserve">Betty </w:t>
      </w:r>
      <w:r>
        <w:rPr>
          <w:rFonts w:ascii="Calibri" w:eastAsiaTheme="minorHAnsi" w:hAnsi="Calibri" w:cstheme="minorBidi"/>
          <w:i/>
          <w:color w:val="auto"/>
          <w:szCs w:val="22"/>
          <w:lang w:eastAsia="en-US"/>
        </w:rPr>
        <w:t>C</w:t>
      </w:r>
      <w:r w:rsidRPr="006E57F0">
        <w:rPr>
          <w:rFonts w:ascii="Calibri" w:eastAsiaTheme="minorHAnsi" w:hAnsi="Calibri" w:cstheme="minorBidi"/>
          <w:i/>
          <w:color w:val="auto"/>
          <w:szCs w:val="22"/>
          <w:lang w:eastAsia="en-US"/>
        </w:rPr>
        <w:t xml:space="preserve">leaning </w:t>
      </w:r>
      <w:r>
        <w:rPr>
          <w:rFonts w:ascii="Calibri" w:eastAsiaTheme="minorHAnsi" w:hAnsi="Calibri" w:cstheme="minorBidi"/>
          <w:i/>
          <w:color w:val="auto"/>
          <w:szCs w:val="22"/>
          <w:lang w:eastAsia="en-US"/>
        </w:rPr>
        <w:t>S</w:t>
      </w:r>
      <w:r w:rsidRPr="00707083">
        <w:rPr>
          <w:rFonts w:ascii="Calibri" w:eastAsiaTheme="minorHAnsi" w:hAnsi="Calibri" w:cstheme="minorBidi"/>
          <w:i/>
          <w:color w:val="auto"/>
          <w:szCs w:val="22"/>
          <w:lang w:eastAsia="en-US"/>
        </w:rPr>
        <w:t>ervices</w:t>
      </w:r>
      <w:r>
        <w:rPr>
          <w:rFonts w:ascii="Calibri" w:eastAsiaTheme="minorHAnsi" w:hAnsi="Calibri" w:cstheme="minorBidi"/>
          <w:i/>
          <w:color w:val="auto"/>
          <w:szCs w:val="22"/>
          <w:lang w:eastAsia="en-US"/>
        </w:rPr>
        <w:t xml:space="preserve"> has an ABN and contracts to clean office buildings and schools in their local area.  From time to time, they engage contractors to help them out.  As a provider of cleaning services, John and Betty Cleaning Services will need to prepare and lodge a taxable payments annual report detailing payments they make to contractors that undertake cleaning activities for them.</w:t>
      </w:r>
    </w:p>
    <w:p w14:paraId="1C622521" w14:textId="77777777" w:rsidR="00871FC9" w:rsidRDefault="00871FC9" w:rsidP="00871FC9">
      <w:pPr>
        <w:pStyle w:val="Heading3"/>
      </w:pPr>
      <w:r>
        <w:lastRenderedPageBreak/>
        <w:t>Example 5 – Cleaners mixed business</w:t>
      </w:r>
    </w:p>
    <w:p w14:paraId="7C3722E6" w14:textId="77777777" w:rsidR="00871FC9" w:rsidRDefault="00871FC9" w:rsidP="00871FC9">
      <w:pPr>
        <w:pStyle w:val="BoxText"/>
        <w:ind w:left="720"/>
        <w:rPr>
          <w:rFonts w:ascii="Calibri" w:eastAsiaTheme="minorHAnsi" w:hAnsi="Calibri" w:cstheme="minorBidi"/>
          <w:i/>
          <w:color w:val="auto"/>
          <w:szCs w:val="22"/>
          <w:lang w:eastAsia="en-US"/>
        </w:rPr>
      </w:pPr>
      <w:r w:rsidRPr="00E74805">
        <w:rPr>
          <w:rFonts w:ascii="Calibri" w:eastAsiaTheme="minorHAnsi" w:hAnsi="Calibri" w:cstheme="minorBidi"/>
          <w:i/>
          <w:color w:val="auto"/>
          <w:szCs w:val="22"/>
          <w:lang w:eastAsia="en-US"/>
        </w:rPr>
        <w:t xml:space="preserve">123 Cleaners (123) sells cleaning products and </w:t>
      </w:r>
      <w:r>
        <w:rPr>
          <w:rFonts w:ascii="Calibri" w:eastAsiaTheme="minorHAnsi" w:hAnsi="Calibri" w:cstheme="minorBidi"/>
          <w:i/>
          <w:color w:val="auto"/>
          <w:szCs w:val="22"/>
          <w:lang w:eastAsia="en-US"/>
        </w:rPr>
        <w:t xml:space="preserve">occasionally engages contractors to provide </w:t>
      </w:r>
      <w:r w:rsidRPr="00E74805">
        <w:rPr>
          <w:rFonts w:ascii="Calibri" w:eastAsiaTheme="minorHAnsi" w:hAnsi="Calibri" w:cstheme="minorBidi"/>
          <w:i/>
          <w:color w:val="auto"/>
          <w:szCs w:val="22"/>
          <w:lang w:eastAsia="en-US"/>
        </w:rPr>
        <w:t xml:space="preserve">cleaning services to </w:t>
      </w:r>
      <w:r>
        <w:rPr>
          <w:rFonts w:ascii="Calibri" w:eastAsiaTheme="minorHAnsi" w:hAnsi="Calibri" w:cstheme="minorBidi"/>
          <w:i/>
          <w:color w:val="auto"/>
          <w:szCs w:val="22"/>
          <w:lang w:eastAsia="en-US"/>
        </w:rPr>
        <w:t xml:space="preserve">clients. </w:t>
      </w:r>
      <w:r w:rsidRPr="00E74805">
        <w:rPr>
          <w:rFonts w:ascii="Calibri" w:eastAsiaTheme="minorHAnsi" w:hAnsi="Calibri" w:cstheme="minorBidi"/>
          <w:i/>
          <w:color w:val="auto"/>
          <w:szCs w:val="22"/>
          <w:lang w:eastAsia="en-US"/>
        </w:rPr>
        <w:t xml:space="preserve"> </w:t>
      </w:r>
      <w:r>
        <w:rPr>
          <w:rFonts w:ascii="Calibri" w:eastAsiaTheme="minorHAnsi" w:hAnsi="Calibri" w:cstheme="minorBidi"/>
          <w:i/>
          <w:color w:val="auto"/>
          <w:szCs w:val="22"/>
          <w:lang w:eastAsia="en-US"/>
        </w:rPr>
        <w:t xml:space="preserve"> As 123 has an ABN and provides cleaning services, it will need to report payments it makes to contractors that undertake cleaning activities for them. </w:t>
      </w:r>
      <w:r w:rsidRPr="00E74805">
        <w:rPr>
          <w:rFonts w:ascii="Calibri" w:eastAsiaTheme="minorHAnsi" w:hAnsi="Calibri" w:cstheme="minorBidi"/>
          <w:i/>
          <w:color w:val="auto"/>
          <w:szCs w:val="22"/>
          <w:lang w:eastAsia="en-US"/>
        </w:rPr>
        <w:t xml:space="preserve"> </w:t>
      </w:r>
    </w:p>
    <w:p w14:paraId="6A42CF6F" w14:textId="77777777" w:rsidR="00871FC9" w:rsidRDefault="00871FC9" w:rsidP="00871FC9">
      <w:pPr>
        <w:pStyle w:val="Heading3"/>
      </w:pPr>
      <w:r>
        <w:t>Example 6 – Cleaners mixed business</w:t>
      </w:r>
    </w:p>
    <w:p w14:paraId="201CB529" w14:textId="77777777" w:rsidR="00871FC9" w:rsidRDefault="00871FC9" w:rsidP="00871FC9">
      <w:pPr>
        <w:pStyle w:val="BoxText"/>
        <w:ind w:left="720"/>
        <w:rPr>
          <w:rFonts w:ascii="Calibri" w:eastAsiaTheme="minorHAnsi" w:hAnsi="Calibri" w:cstheme="minorBidi"/>
          <w:i/>
          <w:color w:val="auto"/>
          <w:szCs w:val="22"/>
          <w:lang w:eastAsia="en-US"/>
        </w:rPr>
      </w:pPr>
      <w:r>
        <w:rPr>
          <w:rFonts w:ascii="Calibri" w:eastAsiaTheme="minorHAnsi" w:hAnsi="Calibri" w:cstheme="minorBidi"/>
          <w:i/>
          <w:color w:val="auto"/>
          <w:szCs w:val="22"/>
          <w:lang w:eastAsia="en-US"/>
        </w:rPr>
        <w:t>Highlight Management Pty Ltd is a business with an ABN that provides a wide range of services including event management, catering, corporate training and cleaning.  As Highlight Management provides cleaning services they are required to report all payments they make to contractors that undertake cleaning activities.</w:t>
      </w:r>
    </w:p>
    <w:p w14:paraId="085EA596" w14:textId="1879D65B" w:rsidR="00871FC9" w:rsidRPr="00E74805" w:rsidRDefault="00871FC9" w:rsidP="00871FC9">
      <w:pPr>
        <w:pStyle w:val="Heading1"/>
        <w:rPr>
          <w:sz w:val="32"/>
          <w:szCs w:val="32"/>
        </w:rPr>
      </w:pPr>
      <w:r w:rsidRPr="00E74805">
        <w:rPr>
          <w:sz w:val="32"/>
          <w:szCs w:val="32"/>
        </w:rPr>
        <w:t>Payments you need to report</w:t>
      </w:r>
    </w:p>
    <w:p w14:paraId="32032E1B" w14:textId="4FE355B2" w:rsidR="00871FC9" w:rsidRPr="008930CE" w:rsidRDefault="00871FC9" w:rsidP="00871FC9">
      <w:pPr>
        <w:pStyle w:val="NormalWeb"/>
        <w:rPr>
          <w:rFonts w:ascii="Calibri" w:eastAsiaTheme="minorHAnsi" w:hAnsi="Calibri" w:cstheme="minorBidi"/>
          <w:sz w:val="22"/>
          <w:szCs w:val="22"/>
          <w:lang w:eastAsia="en-US"/>
        </w:rPr>
      </w:pPr>
      <w:r>
        <w:rPr>
          <w:rFonts w:ascii="Calibri" w:eastAsiaTheme="minorHAnsi" w:hAnsi="Calibri" w:cstheme="minorBidi"/>
          <w:sz w:val="22"/>
          <w:szCs w:val="22"/>
          <w:lang w:eastAsia="en-US"/>
        </w:rPr>
        <w:t>If your business provides cleaning services, you only need to report payments you make to contractors for cleaning activities.  Similarly</w:t>
      </w:r>
      <w:r w:rsidR="00CC2C47">
        <w:rPr>
          <w:rFonts w:ascii="Calibri" w:eastAsiaTheme="minorHAnsi" w:hAnsi="Calibri" w:cstheme="minorBidi"/>
          <w:sz w:val="22"/>
          <w:szCs w:val="22"/>
          <w:lang w:eastAsia="en-US"/>
        </w:rPr>
        <w:t>,</w:t>
      </w:r>
      <w:r>
        <w:rPr>
          <w:rFonts w:ascii="Calibri" w:eastAsiaTheme="minorHAnsi" w:hAnsi="Calibri" w:cstheme="minorBidi"/>
          <w:sz w:val="22"/>
          <w:szCs w:val="22"/>
          <w:lang w:eastAsia="en-US"/>
        </w:rPr>
        <w:t xml:space="preserve"> if your business provides courier services, you only need to report payments you make to contractors for courier activities. </w:t>
      </w:r>
    </w:p>
    <w:p w14:paraId="3F0C87A4" w14:textId="77777777" w:rsidR="00871FC9" w:rsidRDefault="00871FC9" w:rsidP="00871FC9">
      <w:pPr>
        <w:pStyle w:val="NormalWeb"/>
        <w:rPr>
          <w:rFonts w:ascii="Calibri" w:eastAsiaTheme="minorHAnsi" w:hAnsi="Calibri" w:cstheme="minorBidi"/>
          <w:sz w:val="22"/>
          <w:szCs w:val="22"/>
          <w:lang w:eastAsia="en-US"/>
        </w:rPr>
      </w:pPr>
      <w:r w:rsidRPr="008930CE">
        <w:rPr>
          <w:rFonts w:ascii="Calibri" w:eastAsiaTheme="minorHAnsi" w:hAnsi="Calibri" w:cstheme="minorBidi"/>
          <w:sz w:val="22"/>
          <w:szCs w:val="22"/>
          <w:lang w:eastAsia="en-US"/>
        </w:rPr>
        <w:t>If</w:t>
      </w:r>
      <w:r>
        <w:rPr>
          <w:rFonts w:ascii="Calibri" w:eastAsiaTheme="minorHAnsi" w:hAnsi="Calibri" w:cstheme="minorBidi"/>
          <w:sz w:val="22"/>
          <w:szCs w:val="22"/>
          <w:lang w:eastAsia="en-US"/>
        </w:rPr>
        <w:t xml:space="preserve"> an</w:t>
      </w:r>
      <w:r w:rsidRPr="008930CE">
        <w:rPr>
          <w:rFonts w:ascii="Calibri" w:eastAsiaTheme="minorHAnsi" w:hAnsi="Calibri" w:cstheme="minorBidi"/>
          <w:sz w:val="22"/>
          <w:szCs w:val="22"/>
          <w:lang w:eastAsia="en-US"/>
        </w:rPr>
        <w:t xml:space="preserve"> invoice you receive </w:t>
      </w:r>
      <w:r>
        <w:rPr>
          <w:rFonts w:ascii="Calibri" w:eastAsiaTheme="minorHAnsi" w:hAnsi="Calibri" w:cstheme="minorBidi"/>
          <w:sz w:val="22"/>
          <w:szCs w:val="22"/>
          <w:lang w:eastAsia="en-US"/>
        </w:rPr>
        <w:t xml:space="preserve">from a contractor </w:t>
      </w:r>
      <w:r w:rsidRPr="008930CE">
        <w:rPr>
          <w:rFonts w:ascii="Calibri" w:eastAsiaTheme="minorHAnsi" w:hAnsi="Calibri" w:cstheme="minorBidi"/>
          <w:sz w:val="22"/>
          <w:szCs w:val="22"/>
          <w:lang w:eastAsia="en-US"/>
        </w:rPr>
        <w:t>include</w:t>
      </w:r>
      <w:r>
        <w:rPr>
          <w:rFonts w:ascii="Calibri" w:eastAsiaTheme="minorHAnsi" w:hAnsi="Calibri" w:cstheme="minorBidi"/>
          <w:sz w:val="22"/>
          <w:szCs w:val="22"/>
          <w:lang w:eastAsia="en-US"/>
        </w:rPr>
        <w:t>s</w:t>
      </w:r>
      <w:r w:rsidRPr="008930CE">
        <w:rPr>
          <w:rFonts w:ascii="Calibri" w:eastAsiaTheme="minorHAnsi" w:hAnsi="Calibri" w:cstheme="minorBidi"/>
          <w:sz w:val="22"/>
          <w:szCs w:val="22"/>
          <w:lang w:eastAsia="en-US"/>
        </w:rPr>
        <w:t xml:space="preserve"> both labour and materials, whether itemised or combined, you </w:t>
      </w:r>
      <w:r>
        <w:rPr>
          <w:rFonts w:ascii="Calibri" w:eastAsiaTheme="minorHAnsi" w:hAnsi="Calibri" w:cstheme="minorBidi"/>
          <w:sz w:val="22"/>
          <w:szCs w:val="22"/>
          <w:lang w:eastAsia="en-US"/>
        </w:rPr>
        <w:t xml:space="preserve">are required to </w:t>
      </w:r>
      <w:r w:rsidRPr="008930CE">
        <w:rPr>
          <w:rFonts w:ascii="Calibri" w:eastAsiaTheme="minorHAnsi" w:hAnsi="Calibri" w:cstheme="minorBidi"/>
          <w:sz w:val="22"/>
          <w:szCs w:val="22"/>
          <w:lang w:eastAsia="en-US"/>
        </w:rPr>
        <w:t xml:space="preserve">report the </w:t>
      </w:r>
      <w:r>
        <w:rPr>
          <w:rFonts w:ascii="Calibri" w:eastAsiaTheme="minorHAnsi" w:hAnsi="Calibri" w:cstheme="minorBidi"/>
          <w:sz w:val="22"/>
          <w:szCs w:val="22"/>
          <w:lang w:eastAsia="en-US"/>
        </w:rPr>
        <w:t>total</w:t>
      </w:r>
      <w:r w:rsidRPr="008930CE">
        <w:rPr>
          <w:rFonts w:ascii="Calibri" w:eastAsiaTheme="minorHAnsi" w:hAnsi="Calibri" w:cstheme="minorBidi"/>
          <w:sz w:val="22"/>
          <w:szCs w:val="22"/>
          <w:lang w:eastAsia="en-US"/>
        </w:rPr>
        <w:t xml:space="preserve"> amount of the payment</w:t>
      </w:r>
      <w:r>
        <w:rPr>
          <w:rFonts w:ascii="Calibri" w:eastAsiaTheme="minorHAnsi" w:hAnsi="Calibri" w:cstheme="minorBidi"/>
          <w:sz w:val="22"/>
          <w:szCs w:val="22"/>
          <w:lang w:eastAsia="en-US"/>
        </w:rPr>
        <w:t>.</w:t>
      </w:r>
    </w:p>
    <w:p w14:paraId="5EBC8381" w14:textId="4CD6898B" w:rsidR="00871FC9" w:rsidRDefault="00871FC9" w:rsidP="00871FC9">
      <w:pPr>
        <w:pStyle w:val="Heading3"/>
      </w:pPr>
      <w:r w:rsidRPr="006277BD">
        <w:t xml:space="preserve">Example </w:t>
      </w:r>
      <w:r>
        <w:t>7</w:t>
      </w:r>
      <w:r w:rsidR="00B03192">
        <w:t xml:space="preserve"> - R</w:t>
      </w:r>
      <w:r w:rsidRPr="006277BD">
        <w:t>eporting</w:t>
      </w:r>
      <w:r>
        <w:t xml:space="preserve"> of mixed invoices</w:t>
      </w:r>
    </w:p>
    <w:p w14:paraId="010DDF68" w14:textId="0522532C" w:rsidR="00871FC9" w:rsidRPr="00654EFB" w:rsidRDefault="00871FC9" w:rsidP="00871FC9">
      <w:pPr>
        <w:ind w:left="720"/>
        <w:rPr>
          <w:rFonts w:asciiTheme="minorHAnsi" w:hAnsiTheme="minorHAnsi" w:cstheme="minorHAnsi"/>
          <w:i/>
        </w:rPr>
      </w:pPr>
      <w:r w:rsidRPr="00654EFB">
        <w:rPr>
          <w:rFonts w:asciiTheme="minorHAnsi" w:hAnsiTheme="minorHAnsi" w:cstheme="minorHAnsi"/>
          <w:i/>
        </w:rPr>
        <w:t>Highlight Management Pty Ltd (Highlight Management), a cleaning business, engaged a contractor to clean a school.  As part of the contract the contractor is required to provide their own cleaning products for which they charge Highlight Management. At the end of the month the contractor provides Highlight Management with an invoice of $3,300 (including GST) for their cleaning services and cleaning products purchased.  The total amount of the invoice of $3,300 is required to be report</w:t>
      </w:r>
      <w:r w:rsidR="00CC2C47">
        <w:rPr>
          <w:rFonts w:asciiTheme="minorHAnsi" w:hAnsiTheme="minorHAnsi" w:cstheme="minorHAnsi"/>
          <w:i/>
        </w:rPr>
        <w:t>ed</w:t>
      </w:r>
      <w:r w:rsidRPr="00654EFB">
        <w:rPr>
          <w:rFonts w:asciiTheme="minorHAnsi" w:hAnsiTheme="minorHAnsi" w:cstheme="minorHAnsi"/>
          <w:i/>
        </w:rPr>
        <w:t xml:space="preserve">. </w:t>
      </w:r>
    </w:p>
    <w:p w14:paraId="0C404FB5" w14:textId="3DE66BB1" w:rsidR="00871FC9" w:rsidRPr="00E74805" w:rsidRDefault="00871FC9" w:rsidP="00871FC9">
      <w:pPr>
        <w:pStyle w:val="Heading1"/>
        <w:rPr>
          <w:sz w:val="32"/>
          <w:szCs w:val="32"/>
        </w:rPr>
      </w:pPr>
      <w:r w:rsidRPr="00E74805">
        <w:rPr>
          <w:sz w:val="32"/>
          <w:szCs w:val="32"/>
        </w:rPr>
        <w:t>Details you need to report</w:t>
      </w:r>
    </w:p>
    <w:p w14:paraId="1A3E8BB4" w14:textId="77777777" w:rsidR="00871FC9" w:rsidRPr="00E74805" w:rsidRDefault="00871FC9" w:rsidP="00871FC9">
      <w:pPr>
        <w:pStyle w:val="NormalWeb"/>
        <w:rPr>
          <w:rFonts w:ascii="Calibri" w:eastAsiaTheme="minorHAnsi" w:hAnsi="Calibri" w:cstheme="minorBidi"/>
          <w:sz w:val="22"/>
          <w:szCs w:val="22"/>
          <w:lang w:eastAsia="en-US"/>
        </w:rPr>
      </w:pPr>
      <w:r w:rsidRPr="00E74805">
        <w:rPr>
          <w:rFonts w:ascii="Calibri" w:eastAsiaTheme="minorHAnsi" w:hAnsi="Calibri" w:cstheme="minorBidi"/>
          <w:sz w:val="22"/>
          <w:szCs w:val="22"/>
          <w:lang w:eastAsia="en-US"/>
        </w:rPr>
        <w:t>The details you need to report for each contractor include:</w:t>
      </w:r>
    </w:p>
    <w:p w14:paraId="6C82392A" w14:textId="77777777" w:rsidR="00871FC9" w:rsidRPr="00E74805" w:rsidRDefault="00871FC9" w:rsidP="00871FC9">
      <w:pPr>
        <w:pStyle w:val="NormalWeb"/>
        <w:numPr>
          <w:ilvl w:val="0"/>
          <w:numId w:val="4"/>
        </w:numPr>
        <w:rPr>
          <w:rFonts w:ascii="Calibri" w:eastAsiaTheme="minorHAnsi" w:hAnsi="Calibri" w:cstheme="minorBidi"/>
          <w:sz w:val="22"/>
          <w:szCs w:val="22"/>
          <w:lang w:eastAsia="en-US"/>
        </w:rPr>
      </w:pPr>
      <w:r w:rsidRPr="00E74805">
        <w:rPr>
          <w:rFonts w:ascii="Calibri" w:eastAsiaTheme="minorHAnsi" w:hAnsi="Calibri" w:cstheme="minorBidi"/>
          <w:sz w:val="22"/>
          <w:szCs w:val="22"/>
          <w:lang w:eastAsia="en-US"/>
        </w:rPr>
        <w:t>ABN (where known)</w:t>
      </w:r>
    </w:p>
    <w:p w14:paraId="5AD7EE5D" w14:textId="77777777" w:rsidR="00871FC9" w:rsidRPr="00E74805" w:rsidRDefault="00871FC9" w:rsidP="00871FC9">
      <w:pPr>
        <w:pStyle w:val="NormalWeb"/>
        <w:numPr>
          <w:ilvl w:val="0"/>
          <w:numId w:val="4"/>
        </w:numPr>
        <w:rPr>
          <w:rFonts w:ascii="Calibri" w:eastAsiaTheme="minorHAnsi" w:hAnsi="Calibri" w:cstheme="minorBidi"/>
          <w:sz w:val="22"/>
          <w:szCs w:val="22"/>
          <w:lang w:eastAsia="en-US"/>
        </w:rPr>
      </w:pPr>
      <w:r>
        <w:rPr>
          <w:rFonts w:ascii="Calibri" w:eastAsiaTheme="minorHAnsi" w:hAnsi="Calibri" w:cstheme="minorBidi"/>
          <w:sz w:val="22"/>
          <w:szCs w:val="22"/>
          <w:lang w:eastAsia="en-US"/>
        </w:rPr>
        <w:t>n</w:t>
      </w:r>
      <w:r w:rsidRPr="00E74805">
        <w:rPr>
          <w:rFonts w:ascii="Calibri" w:eastAsiaTheme="minorHAnsi" w:hAnsi="Calibri" w:cstheme="minorBidi"/>
          <w:sz w:val="22"/>
          <w:szCs w:val="22"/>
          <w:lang w:eastAsia="en-US"/>
        </w:rPr>
        <w:t>ame</w:t>
      </w:r>
    </w:p>
    <w:p w14:paraId="28E04FCF" w14:textId="77777777" w:rsidR="00871FC9" w:rsidRPr="00E74805" w:rsidRDefault="00871FC9" w:rsidP="00871FC9">
      <w:pPr>
        <w:pStyle w:val="NormalWeb"/>
        <w:numPr>
          <w:ilvl w:val="0"/>
          <w:numId w:val="4"/>
        </w:numPr>
        <w:rPr>
          <w:rFonts w:ascii="Calibri" w:eastAsiaTheme="minorHAnsi" w:hAnsi="Calibri" w:cstheme="minorBidi"/>
          <w:sz w:val="22"/>
          <w:szCs w:val="22"/>
          <w:lang w:eastAsia="en-US"/>
        </w:rPr>
      </w:pPr>
      <w:r>
        <w:rPr>
          <w:rFonts w:ascii="Calibri" w:eastAsiaTheme="minorHAnsi" w:hAnsi="Calibri" w:cstheme="minorBidi"/>
          <w:sz w:val="22"/>
          <w:szCs w:val="22"/>
          <w:lang w:eastAsia="en-US"/>
        </w:rPr>
        <w:t>a</w:t>
      </w:r>
      <w:r w:rsidRPr="00E74805">
        <w:rPr>
          <w:rFonts w:ascii="Calibri" w:eastAsiaTheme="minorHAnsi" w:hAnsi="Calibri" w:cstheme="minorBidi"/>
          <w:sz w:val="22"/>
          <w:szCs w:val="22"/>
          <w:lang w:eastAsia="en-US"/>
        </w:rPr>
        <w:t>ddress</w:t>
      </w:r>
    </w:p>
    <w:p w14:paraId="406292DD" w14:textId="77777777" w:rsidR="00871FC9" w:rsidRPr="00E74805" w:rsidRDefault="00871FC9" w:rsidP="00871FC9">
      <w:pPr>
        <w:pStyle w:val="NormalWeb"/>
        <w:numPr>
          <w:ilvl w:val="0"/>
          <w:numId w:val="4"/>
        </w:numPr>
        <w:rPr>
          <w:rFonts w:ascii="Calibri" w:eastAsiaTheme="minorHAnsi" w:hAnsi="Calibri" w:cstheme="minorBidi"/>
          <w:sz w:val="22"/>
          <w:szCs w:val="22"/>
          <w:lang w:eastAsia="en-US"/>
        </w:rPr>
      </w:pPr>
      <w:r>
        <w:rPr>
          <w:rFonts w:ascii="Calibri" w:eastAsiaTheme="minorHAnsi" w:hAnsi="Calibri" w:cstheme="minorBidi"/>
          <w:sz w:val="22"/>
          <w:szCs w:val="22"/>
          <w:lang w:eastAsia="en-US"/>
        </w:rPr>
        <w:t>g</w:t>
      </w:r>
      <w:r w:rsidRPr="00E74805">
        <w:rPr>
          <w:rFonts w:ascii="Calibri" w:eastAsiaTheme="minorHAnsi" w:hAnsi="Calibri" w:cstheme="minorBidi"/>
          <w:sz w:val="22"/>
          <w:szCs w:val="22"/>
          <w:lang w:eastAsia="en-US"/>
        </w:rPr>
        <w:t>ross amount you paid for the financial year (this is the total amount paid including GST)</w:t>
      </w:r>
    </w:p>
    <w:p w14:paraId="20A8F9E2" w14:textId="77777777" w:rsidR="00871FC9" w:rsidRPr="00E74805" w:rsidRDefault="00871FC9" w:rsidP="00871FC9">
      <w:pPr>
        <w:pStyle w:val="NormalWeb"/>
        <w:numPr>
          <w:ilvl w:val="0"/>
          <w:numId w:val="4"/>
        </w:numPr>
        <w:rPr>
          <w:rFonts w:ascii="Calibri" w:eastAsiaTheme="minorHAnsi" w:hAnsi="Calibri" w:cstheme="minorBidi"/>
          <w:sz w:val="22"/>
          <w:szCs w:val="22"/>
          <w:lang w:eastAsia="en-US"/>
        </w:rPr>
      </w:pPr>
      <w:r>
        <w:rPr>
          <w:rFonts w:ascii="Calibri" w:eastAsiaTheme="minorHAnsi" w:hAnsi="Calibri" w:cstheme="minorBidi"/>
          <w:sz w:val="22"/>
          <w:szCs w:val="22"/>
          <w:lang w:eastAsia="en-US"/>
        </w:rPr>
        <w:t>t</w:t>
      </w:r>
      <w:r w:rsidRPr="00E74805">
        <w:rPr>
          <w:rFonts w:ascii="Calibri" w:eastAsiaTheme="minorHAnsi" w:hAnsi="Calibri" w:cstheme="minorBidi"/>
          <w:sz w:val="22"/>
          <w:szCs w:val="22"/>
          <w:lang w:eastAsia="en-US"/>
        </w:rPr>
        <w:t>otal GST included in the gross amount you paid.</w:t>
      </w:r>
    </w:p>
    <w:p w14:paraId="0D872587" w14:textId="1C265767" w:rsidR="00871FC9" w:rsidRDefault="00871FC9" w:rsidP="00871FC9">
      <w:pPr>
        <w:pStyle w:val="NormalWeb"/>
        <w:rPr>
          <w:rFonts w:ascii="Calibri" w:eastAsiaTheme="minorHAnsi" w:hAnsi="Calibri" w:cstheme="minorBidi"/>
          <w:sz w:val="22"/>
          <w:szCs w:val="22"/>
          <w:lang w:eastAsia="en-US"/>
        </w:rPr>
      </w:pPr>
      <w:r>
        <w:rPr>
          <w:rFonts w:ascii="Calibri" w:eastAsiaTheme="minorHAnsi" w:hAnsi="Calibri" w:cstheme="minorBidi"/>
          <w:sz w:val="22"/>
          <w:szCs w:val="22"/>
          <w:lang w:eastAsia="en-US"/>
        </w:rPr>
        <w:t xml:space="preserve">Depending on whether you report </w:t>
      </w:r>
      <w:r w:rsidR="008C6BB1">
        <w:rPr>
          <w:rFonts w:ascii="Calibri" w:eastAsiaTheme="minorHAnsi" w:hAnsi="Calibri" w:cstheme="minorBidi"/>
          <w:sz w:val="22"/>
          <w:szCs w:val="22"/>
          <w:lang w:eastAsia="en-US"/>
        </w:rPr>
        <w:t xml:space="preserve">using the </w:t>
      </w:r>
      <w:r>
        <w:rPr>
          <w:rFonts w:ascii="Calibri" w:eastAsiaTheme="minorHAnsi" w:hAnsi="Calibri" w:cstheme="minorBidi"/>
          <w:sz w:val="22"/>
          <w:szCs w:val="22"/>
          <w:lang w:eastAsia="en-US"/>
        </w:rPr>
        <w:t xml:space="preserve">paper form or electronically, we may ask you to include additional information where it is known to you. This additional information includes the contractor’s phone number, email address and bank account details (where they are paid by electronic bank transfer). </w:t>
      </w:r>
    </w:p>
    <w:p w14:paraId="14B75807" w14:textId="04AEB871" w:rsidR="00871FC9" w:rsidRPr="00E74805" w:rsidRDefault="00871FC9" w:rsidP="00871FC9">
      <w:pPr>
        <w:pStyle w:val="NormalWeb"/>
        <w:rPr>
          <w:rFonts w:ascii="Calibri" w:eastAsiaTheme="minorHAnsi" w:hAnsi="Calibri" w:cstheme="minorBidi"/>
          <w:sz w:val="22"/>
          <w:szCs w:val="22"/>
          <w:lang w:eastAsia="en-US"/>
        </w:rPr>
      </w:pPr>
      <w:r w:rsidRPr="00E74805">
        <w:rPr>
          <w:rFonts w:ascii="Calibri" w:eastAsiaTheme="minorHAnsi" w:hAnsi="Calibri" w:cstheme="minorBidi"/>
          <w:sz w:val="22"/>
          <w:szCs w:val="22"/>
          <w:lang w:eastAsia="en-US"/>
        </w:rPr>
        <w:t xml:space="preserve">You are required to report the </w:t>
      </w:r>
      <w:r w:rsidR="008C6BB1">
        <w:rPr>
          <w:rFonts w:ascii="Calibri" w:eastAsiaTheme="minorHAnsi" w:hAnsi="Calibri" w:cstheme="minorBidi"/>
          <w:sz w:val="22"/>
          <w:szCs w:val="22"/>
          <w:lang w:eastAsia="en-US"/>
        </w:rPr>
        <w:t xml:space="preserve">total </w:t>
      </w:r>
      <w:r w:rsidRPr="00E74805">
        <w:rPr>
          <w:rFonts w:ascii="Calibri" w:eastAsiaTheme="minorHAnsi" w:hAnsi="Calibri" w:cstheme="minorBidi"/>
          <w:sz w:val="22"/>
          <w:szCs w:val="22"/>
          <w:lang w:eastAsia="en-US"/>
        </w:rPr>
        <w:t>payments you make to contractors in the financial year in which the payments are actually made (cash basis).</w:t>
      </w:r>
    </w:p>
    <w:p w14:paraId="58B8CFEB" w14:textId="77777777" w:rsidR="00871FC9" w:rsidRPr="00E74805" w:rsidRDefault="00871FC9" w:rsidP="00871FC9">
      <w:pPr>
        <w:pStyle w:val="NormalWeb"/>
        <w:rPr>
          <w:rFonts w:ascii="Calibri" w:eastAsiaTheme="minorHAnsi" w:hAnsi="Calibri" w:cstheme="minorBidi"/>
          <w:sz w:val="22"/>
          <w:szCs w:val="22"/>
          <w:lang w:eastAsia="en-US"/>
        </w:rPr>
      </w:pPr>
      <w:r w:rsidRPr="00E74805">
        <w:rPr>
          <w:rFonts w:ascii="Calibri" w:eastAsiaTheme="minorHAnsi" w:hAnsi="Calibri" w:cstheme="minorBidi"/>
          <w:sz w:val="22"/>
          <w:szCs w:val="22"/>
          <w:lang w:eastAsia="en-US"/>
        </w:rPr>
        <w:t xml:space="preserve">The details you need to report are generally contained in the invoices you receive from </w:t>
      </w:r>
      <w:r>
        <w:rPr>
          <w:rFonts w:ascii="Calibri" w:eastAsiaTheme="minorHAnsi" w:hAnsi="Calibri" w:cstheme="minorBidi"/>
          <w:sz w:val="22"/>
          <w:szCs w:val="22"/>
          <w:lang w:eastAsia="en-US"/>
        </w:rPr>
        <w:t>the</w:t>
      </w:r>
      <w:r w:rsidRPr="00E74805">
        <w:rPr>
          <w:rFonts w:ascii="Calibri" w:eastAsiaTheme="minorHAnsi" w:hAnsi="Calibri" w:cstheme="minorBidi"/>
          <w:sz w:val="22"/>
          <w:szCs w:val="22"/>
          <w:lang w:eastAsia="en-US"/>
        </w:rPr>
        <w:t xml:space="preserve"> contractors</w:t>
      </w:r>
      <w:r>
        <w:rPr>
          <w:rFonts w:ascii="Calibri" w:eastAsiaTheme="minorHAnsi" w:hAnsi="Calibri" w:cstheme="minorBidi"/>
          <w:sz w:val="22"/>
          <w:szCs w:val="22"/>
          <w:lang w:eastAsia="en-US"/>
        </w:rPr>
        <w:t xml:space="preserve"> you engage</w:t>
      </w:r>
      <w:r w:rsidRPr="00E74805">
        <w:rPr>
          <w:rFonts w:ascii="Calibri" w:eastAsiaTheme="minorHAnsi" w:hAnsi="Calibri" w:cstheme="minorBidi"/>
          <w:sz w:val="22"/>
          <w:szCs w:val="22"/>
          <w:lang w:eastAsia="en-US"/>
        </w:rPr>
        <w:t>.</w:t>
      </w:r>
      <w:r>
        <w:rPr>
          <w:rFonts w:ascii="Calibri" w:eastAsiaTheme="minorHAnsi" w:hAnsi="Calibri" w:cstheme="minorBidi"/>
          <w:sz w:val="22"/>
          <w:szCs w:val="22"/>
          <w:lang w:eastAsia="en-US"/>
        </w:rPr>
        <w:t xml:space="preserve"> </w:t>
      </w:r>
    </w:p>
    <w:p w14:paraId="450D603C" w14:textId="5B7E546E" w:rsidR="00871FC9" w:rsidRPr="00E74805" w:rsidRDefault="00871FC9" w:rsidP="00871FC9">
      <w:pPr>
        <w:pStyle w:val="Heading1"/>
        <w:rPr>
          <w:sz w:val="32"/>
          <w:szCs w:val="32"/>
        </w:rPr>
      </w:pPr>
      <w:r w:rsidRPr="00E74805">
        <w:rPr>
          <w:sz w:val="32"/>
          <w:szCs w:val="32"/>
        </w:rPr>
        <w:t>Payments you don't need to report</w:t>
      </w:r>
    </w:p>
    <w:p w14:paraId="2D31ACEC" w14:textId="77777777" w:rsidR="00871FC9" w:rsidRPr="00E74805" w:rsidRDefault="00871FC9" w:rsidP="00871FC9">
      <w:pPr>
        <w:pStyle w:val="NormalWeb"/>
        <w:rPr>
          <w:rFonts w:ascii="Calibri" w:eastAsiaTheme="minorHAnsi" w:hAnsi="Calibri" w:cstheme="minorBidi"/>
          <w:sz w:val="22"/>
          <w:szCs w:val="22"/>
          <w:lang w:eastAsia="en-US"/>
        </w:rPr>
      </w:pPr>
      <w:r w:rsidRPr="00E74805">
        <w:rPr>
          <w:rFonts w:ascii="Calibri" w:eastAsiaTheme="minorHAnsi" w:hAnsi="Calibri" w:cstheme="minorBidi"/>
          <w:sz w:val="22"/>
          <w:szCs w:val="22"/>
          <w:lang w:eastAsia="en-US"/>
        </w:rPr>
        <w:t xml:space="preserve">There are specific payments you don’t report on the </w:t>
      </w:r>
      <w:r w:rsidRPr="00CE4F92">
        <w:rPr>
          <w:rFonts w:ascii="Calibri" w:eastAsiaTheme="minorHAnsi" w:hAnsi="Calibri" w:cstheme="minorBidi"/>
          <w:i/>
          <w:sz w:val="22"/>
          <w:szCs w:val="22"/>
          <w:lang w:eastAsia="en-US"/>
        </w:rPr>
        <w:t>Taxable payments annual report</w:t>
      </w:r>
      <w:r>
        <w:rPr>
          <w:rFonts w:ascii="Calibri" w:eastAsiaTheme="minorHAnsi" w:hAnsi="Calibri" w:cstheme="minorBidi"/>
          <w:sz w:val="22"/>
          <w:szCs w:val="22"/>
          <w:lang w:eastAsia="en-US"/>
        </w:rPr>
        <w:t>:</w:t>
      </w:r>
    </w:p>
    <w:p w14:paraId="65C3AC61" w14:textId="77777777" w:rsidR="00871FC9" w:rsidRPr="00E74805" w:rsidRDefault="00871FC9" w:rsidP="00871FC9">
      <w:pPr>
        <w:pStyle w:val="NormalWeb"/>
        <w:numPr>
          <w:ilvl w:val="0"/>
          <w:numId w:val="4"/>
        </w:numPr>
        <w:rPr>
          <w:rFonts w:ascii="Calibri" w:eastAsiaTheme="minorHAnsi" w:hAnsi="Calibri" w:cstheme="minorBidi"/>
          <w:sz w:val="22"/>
          <w:szCs w:val="22"/>
          <w:lang w:eastAsia="en-US"/>
        </w:rPr>
      </w:pPr>
      <w:r>
        <w:rPr>
          <w:rFonts w:ascii="Calibri" w:eastAsiaTheme="minorHAnsi" w:hAnsi="Calibri" w:cstheme="minorBidi"/>
          <w:sz w:val="22"/>
          <w:szCs w:val="22"/>
          <w:lang w:eastAsia="en-US"/>
        </w:rPr>
        <w:t>Payments for materials only</w:t>
      </w:r>
    </w:p>
    <w:p w14:paraId="1EB8EC7E" w14:textId="77777777" w:rsidR="00871FC9" w:rsidRPr="00E74805" w:rsidRDefault="00871FC9" w:rsidP="00871FC9">
      <w:pPr>
        <w:pStyle w:val="NormalWeb"/>
        <w:numPr>
          <w:ilvl w:val="0"/>
          <w:numId w:val="4"/>
        </w:numPr>
        <w:rPr>
          <w:rFonts w:ascii="Calibri" w:eastAsiaTheme="minorHAnsi" w:hAnsi="Calibri" w:cstheme="minorBidi"/>
          <w:sz w:val="22"/>
          <w:szCs w:val="22"/>
          <w:lang w:eastAsia="en-US"/>
        </w:rPr>
      </w:pPr>
      <w:r>
        <w:rPr>
          <w:rFonts w:ascii="Calibri" w:eastAsiaTheme="minorHAnsi" w:hAnsi="Calibri" w:cstheme="minorBidi"/>
          <w:sz w:val="22"/>
          <w:szCs w:val="22"/>
          <w:lang w:eastAsia="en-US"/>
        </w:rPr>
        <w:t>Unpaid invoices as at 30 June each year</w:t>
      </w:r>
    </w:p>
    <w:p w14:paraId="37555CCA" w14:textId="52BC57B4" w:rsidR="00871FC9" w:rsidRDefault="00871FC9" w:rsidP="00871FC9">
      <w:pPr>
        <w:pStyle w:val="NormalWeb"/>
        <w:numPr>
          <w:ilvl w:val="0"/>
          <w:numId w:val="4"/>
        </w:numPr>
        <w:rPr>
          <w:rFonts w:ascii="Calibri" w:eastAsiaTheme="minorHAnsi" w:hAnsi="Calibri" w:cstheme="minorBidi"/>
          <w:sz w:val="22"/>
          <w:szCs w:val="22"/>
          <w:lang w:eastAsia="en-US"/>
        </w:rPr>
      </w:pPr>
      <w:r>
        <w:rPr>
          <w:rFonts w:ascii="Calibri" w:eastAsiaTheme="minorHAnsi" w:hAnsi="Calibri" w:cstheme="minorBidi"/>
          <w:sz w:val="22"/>
          <w:szCs w:val="22"/>
          <w:lang w:eastAsia="en-US"/>
        </w:rPr>
        <w:t>Pay as you go (PAYG) withholding payments, such as those you make to employees</w:t>
      </w:r>
      <w:r w:rsidR="001637B4">
        <w:rPr>
          <w:rFonts w:ascii="Calibri" w:eastAsiaTheme="minorHAnsi" w:hAnsi="Calibri" w:cstheme="minorBidi"/>
          <w:sz w:val="22"/>
          <w:szCs w:val="22"/>
          <w:lang w:eastAsia="en-US"/>
        </w:rPr>
        <w:t>,</w:t>
      </w:r>
      <w:r>
        <w:rPr>
          <w:rFonts w:ascii="Calibri" w:eastAsiaTheme="minorHAnsi" w:hAnsi="Calibri" w:cstheme="minorBidi"/>
          <w:sz w:val="22"/>
          <w:szCs w:val="22"/>
          <w:lang w:eastAsia="en-US"/>
        </w:rPr>
        <w:t xml:space="preserve"> as these amounts are reported in your PAYG withholding payment summary annual report</w:t>
      </w:r>
    </w:p>
    <w:p w14:paraId="60D58201" w14:textId="05F3C158" w:rsidR="00871FC9" w:rsidRDefault="00871FC9" w:rsidP="00871FC9">
      <w:pPr>
        <w:pStyle w:val="NormalWeb"/>
        <w:numPr>
          <w:ilvl w:val="0"/>
          <w:numId w:val="4"/>
        </w:numPr>
        <w:rPr>
          <w:rFonts w:ascii="Calibri" w:eastAsiaTheme="minorHAnsi" w:hAnsi="Calibri" w:cstheme="minorBidi"/>
          <w:sz w:val="22"/>
          <w:szCs w:val="22"/>
          <w:lang w:eastAsia="en-US"/>
        </w:rPr>
      </w:pPr>
      <w:r>
        <w:rPr>
          <w:rFonts w:ascii="Calibri" w:eastAsiaTheme="minorHAnsi" w:hAnsi="Calibri" w:cstheme="minorBidi"/>
          <w:sz w:val="22"/>
          <w:szCs w:val="22"/>
          <w:lang w:eastAsia="en-US"/>
        </w:rPr>
        <w:t xml:space="preserve">Payments within consolidated groups – if you’re in a consolidated or multiple entry consolidated group for income tax purposes, you don’t need to report payments you make to another member of that same group. </w:t>
      </w:r>
      <w:r w:rsidRPr="00A35714">
        <w:rPr>
          <w:rFonts w:asciiTheme="minorHAnsi" w:hAnsiTheme="minorHAnsi" w:cstheme="minorHAnsi"/>
          <w:sz w:val="22"/>
          <w:szCs w:val="22"/>
          <w:lang w:val="en"/>
        </w:rPr>
        <w:t>This is because members of a consolidated or multiple entry consolidated group are effectively taxed as a single entity.</w:t>
      </w:r>
      <w:r w:rsidRPr="00A35714">
        <w:rPr>
          <w:rFonts w:asciiTheme="minorHAnsi" w:eastAsiaTheme="minorHAnsi" w:hAnsiTheme="minorHAnsi" w:cstheme="minorHAnsi"/>
          <w:sz w:val="22"/>
          <w:szCs w:val="22"/>
          <w:lang w:eastAsia="en-US"/>
        </w:rPr>
        <w:t xml:space="preserve"> </w:t>
      </w:r>
      <w:r>
        <w:rPr>
          <w:rFonts w:ascii="Calibri" w:eastAsiaTheme="minorHAnsi" w:hAnsi="Calibri" w:cstheme="minorBidi"/>
          <w:sz w:val="22"/>
          <w:szCs w:val="22"/>
          <w:lang w:eastAsia="en-US"/>
        </w:rPr>
        <w:t>However</w:t>
      </w:r>
      <w:r w:rsidR="001637B4">
        <w:rPr>
          <w:rFonts w:ascii="Calibri" w:eastAsiaTheme="minorHAnsi" w:hAnsi="Calibri" w:cstheme="minorBidi"/>
          <w:sz w:val="22"/>
          <w:szCs w:val="22"/>
          <w:lang w:eastAsia="en-US"/>
        </w:rPr>
        <w:t>,</w:t>
      </w:r>
      <w:r>
        <w:rPr>
          <w:rFonts w:ascii="Calibri" w:eastAsiaTheme="minorHAnsi" w:hAnsi="Calibri" w:cstheme="minorBidi"/>
          <w:sz w:val="22"/>
          <w:szCs w:val="22"/>
          <w:lang w:eastAsia="en-US"/>
        </w:rPr>
        <w:t xml:space="preserve"> each entity in the group will need to consider if they are a business that provides courier or cleaning services, and report payments they make to contractors outside the consolidated group, for courier or cleaning services respectively. If so, they will need to lodge a report.</w:t>
      </w:r>
    </w:p>
    <w:p w14:paraId="79E94B48" w14:textId="77777777" w:rsidR="00871FC9" w:rsidRPr="00654EFB" w:rsidRDefault="00871FC9" w:rsidP="00871FC9">
      <w:pPr>
        <w:pStyle w:val="Heading1"/>
        <w:rPr>
          <w:sz w:val="32"/>
          <w:szCs w:val="32"/>
        </w:rPr>
      </w:pPr>
      <w:r w:rsidRPr="00654EFB">
        <w:rPr>
          <w:sz w:val="32"/>
          <w:szCs w:val="32"/>
        </w:rPr>
        <w:t>How to lodge your Taxable payments annual report</w:t>
      </w:r>
    </w:p>
    <w:p w14:paraId="05FA1114" w14:textId="77777777" w:rsidR="00871FC9" w:rsidRPr="00654EFB" w:rsidRDefault="00871FC9" w:rsidP="00871FC9">
      <w:pPr>
        <w:spacing w:before="100" w:beforeAutospacing="1" w:after="100" w:afterAutospacing="1"/>
        <w:rPr>
          <w:rFonts w:asciiTheme="minorHAnsi" w:hAnsiTheme="minorHAnsi" w:cstheme="minorHAnsi"/>
        </w:rPr>
      </w:pPr>
      <w:r w:rsidRPr="00654EFB">
        <w:rPr>
          <w:rFonts w:asciiTheme="minorHAnsi" w:hAnsiTheme="minorHAnsi" w:cstheme="minorHAnsi"/>
        </w:rPr>
        <w:t xml:space="preserve">The first annual report for businesses that provide courier and cleaning services is due by </w:t>
      </w:r>
      <w:r w:rsidRPr="00654EFB">
        <w:rPr>
          <w:rFonts w:asciiTheme="minorHAnsi" w:hAnsiTheme="minorHAnsi" w:cstheme="minorHAnsi"/>
          <w:b/>
        </w:rPr>
        <w:t>28 August 2019</w:t>
      </w:r>
      <w:r w:rsidRPr="00654EFB">
        <w:rPr>
          <w:rFonts w:asciiTheme="minorHAnsi" w:hAnsiTheme="minorHAnsi" w:cstheme="minorHAnsi"/>
        </w:rPr>
        <w:t>, for the year ending 30 June 2019.</w:t>
      </w:r>
    </w:p>
    <w:p w14:paraId="656DF2EC" w14:textId="77777777" w:rsidR="00871FC9" w:rsidRPr="00654EFB" w:rsidRDefault="00871FC9" w:rsidP="00BD0F68">
      <w:pPr>
        <w:pStyle w:val="Heading2"/>
      </w:pPr>
      <w:r w:rsidRPr="00654EFB">
        <w:t>Lodging online</w:t>
      </w:r>
    </w:p>
    <w:p w14:paraId="460D2C96" w14:textId="734D05E9" w:rsidR="00871FC9" w:rsidRPr="00654EFB" w:rsidRDefault="00871FC9" w:rsidP="00871FC9">
      <w:pPr>
        <w:spacing w:before="100" w:beforeAutospacing="1" w:after="100" w:afterAutospacing="1"/>
        <w:rPr>
          <w:rFonts w:asciiTheme="minorHAnsi" w:hAnsiTheme="minorHAnsi" w:cstheme="minorHAnsi"/>
        </w:rPr>
      </w:pPr>
      <w:r w:rsidRPr="00654EFB">
        <w:rPr>
          <w:rFonts w:asciiTheme="minorHAnsi" w:hAnsiTheme="minorHAnsi" w:cstheme="minorHAnsi"/>
        </w:rPr>
        <w:t xml:space="preserve">Lodging online is </w:t>
      </w:r>
      <w:r w:rsidR="00B9735A">
        <w:rPr>
          <w:rFonts w:asciiTheme="minorHAnsi" w:hAnsiTheme="minorHAnsi" w:cstheme="minorHAnsi"/>
        </w:rPr>
        <w:t>a</w:t>
      </w:r>
      <w:r w:rsidR="00B9735A" w:rsidRPr="00654EFB">
        <w:rPr>
          <w:rFonts w:asciiTheme="minorHAnsi" w:hAnsiTheme="minorHAnsi" w:cstheme="minorHAnsi"/>
        </w:rPr>
        <w:t xml:space="preserve"> </w:t>
      </w:r>
      <w:r w:rsidRPr="00654EFB">
        <w:rPr>
          <w:rFonts w:asciiTheme="minorHAnsi" w:hAnsiTheme="minorHAnsi" w:cstheme="minorHAnsi"/>
        </w:rPr>
        <w:t>secure, quick and easy way to lodge your report.</w:t>
      </w:r>
    </w:p>
    <w:p w14:paraId="02746311" w14:textId="77777777" w:rsidR="00871FC9" w:rsidRPr="00654EFB" w:rsidRDefault="00871FC9" w:rsidP="00871FC9">
      <w:pPr>
        <w:spacing w:before="100" w:beforeAutospacing="1" w:after="100" w:afterAutospacing="1"/>
        <w:rPr>
          <w:rFonts w:asciiTheme="minorHAnsi" w:hAnsiTheme="minorHAnsi" w:cstheme="minorHAnsi"/>
        </w:rPr>
      </w:pPr>
      <w:r w:rsidRPr="00654EFB">
        <w:rPr>
          <w:rFonts w:asciiTheme="minorHAnsi" w:hAnsiTheme="minorHAnsi" w:cstheme="minorHAnsi"/>
        </w:rPr>
        <w:t>You can lodge online through:</w:t>
      </w:r>
    </w:p>
    <w:p w14:paraId="46093E38" w14:textId="6CE8BDA5" w:rsidR="00871FC9" w:rsidRPr="00654EFB" w:rsidRDefault="00871FC9" w:rsidP="00871FC9">
      <w:pPr>
        <w:pStyle w:val="ListParagraph"/>
        <w:numPr>
          <w:ilvl w:val="0"/>
          <w:numId w:val="9"/>
        </w:numPr>
        <w:spacing w:before="100" w:beforeAutospacing="1" w:after="100" w:afterAutospacing="1" w:line="240" w:lineRule="auto"/>
        <w:rPr>
          <w:rFonts w:asciiTheme="minorHAnsi" w:hAnsiTheme="minorHAnsi" w:cstheme="minorHAnsi"/>
        </w:rPr>
      </w:pPr>
      <w:r w:rsidRPr="00654EFB">
        <w:rPr>
          <w:rFonts w:asciiTheme="minorHAnsi" w:hAnsiTheme="minorHAnsi" w:cstheme="minorHAnsi"/>
        </w:rPr>
        <w:t xml:space="preserve">Our portals - if you have business software that can generate the electronic taxable payments annual report, you can lodge online using the Business, Tax Agent or BAS Agent portals. To lodge via the portals your software must meet the electronic reporting specifications.  The specifications contain a full list of data elements. You can find a copy of the specifications at </w:t>
      </w:r>
      <w:hyperlink r:id="rId15" w:history="1">
        <w:r w:rsidRPr="00654EFB">
          <w:rPr>
            <w:rStyle w:val="Hyperlink"/>
            <w:rFonts w:asciiTheme="minorHAnsi" w:hAnsiTheme="minorHAnsi" w:cstheme="minorHAnsi"/>
          </w:rPr>
          <w:t>https://softwaredevelopers.ato.gov.au/TPARspecification</w:t>
        </w:r>
      </w:hyperlink>
    </w:p>
    <w:p w14:paraId="6BA4C947" w14:textId="77777777" w:rsidR="00871FC9" w:rsidRPr="00654EFB" w:rsidRDefault="00871FC9" w:rsidP="00871FC9">
      <w:pPr>
        <w:pStyle w:val="ListParagraph"/>
        <w:spacing w:before="100" w:beforeAutospacing="1" w:after="100" w:afterAutospacing="1"/>
        <w:ind w:left="1440"/>
        <w:rPr>
          <w:rFonts w:asciiTheme="minorHAnsi" w:hAnsiTheme="minorHAnsi" w:cstheme="minorHAnsi"/>
        </w:rPr>
      </w:pPr>
    </w:p>
    <w:p w14:paraId="2BCA9EF5" w14:textId="77777777" w:rsidR="00871FC9" w:rsidRPr="00654EFB" w:rsidRDefault="00871FC9" w:rsidP="00871FC9">
      <w:pPr>
        <w:pStyle w:val="ListParagraph"/>
        <w:numPr>
          <w:ilvl w:val="0"/>
          <w:numId w:val="8"/>
        </w:numPr>
        <w:spacing w:before="100" w:beforeAutospacing="1" w:after="100" w:afterAutospacing="1" w:line="240" w:lineRule="auto"/>
        <w:rPr>
          <w:rFonts w:asciiTheme="minorHAnsi" w:hAnsiTheme="minorHAnsi" w:cstheme="minorHAnsi"/>
        </w:rPr>
      </w:pPr>
      <w:r w:rsidRPr="00654EFB">
        <w:rPr>
          <w:rFonts w:asciiTheme="minorHAnsi" w:hAnsiTheme="minorHAnsi" w:cstheme="minorHAnsi"/>
        </w:rPr>
        <w:t>Standard Business Reporting (SBR) - if you have SBR enabled software that has the reporting functionality, you can lodge directly from the software.  If you’re unsure, check with your software provider.</w:t>
      </w:r>
    </w:p>
    <w:p w14:paraId="1740E1B7" w14:textId="2AC7A954" w:rsidR="00871FC9" w:rsidRPr="00654EFB" w:rsidRDefault="00871FC9" w:rsidP="00BD0F68">
      <w:pPr>
        <w:pStyle w:val="Heading2"/>
      </w:pPr>
      <w:r w:rsidRPr="00654EFB">
        <w:t>Lodging on paper</w:t>
      </w:r>
    </w:p>
    <w:p w14:paraId="2F1FF29D" w14:textId="77777777" w:rsidR="00871FC9" w:rsidRPr="00654EFB" w:rsidRDefault="00871FC9" w:rsidP="00871FC9">
      <w:pPr>
        <w:spacing w:before="100" w:beforeAutospacing="1" w:after="100" w:afterAutospacing="1"/>
        <w:rPr>
          <w:rFonts w:asciiTheme="minorHAnsi" w:hAnsiTheme="minorHAnsi" w:cstheme="minorHAnsi"/>
        </w:rPr>
      </w:pPr>
      <w:r w:rsidRPr="00654EFB">
        <w:rPr>
          <w:rFonts w:asciiTheme="minorHAnsi" w:hAnsiTheme="minorHAnsi" w:cstheme="minorHAnsi"/>
        </w:rPr>
        <w:t xml:space="preserve">If you are unable to lodge online, </w:t>
      </w:r>
      <w:r w:rsidRPr="00654EFB">
        <w:rPr>
          <w:rFonts w:asciiTheme="minorHAnsi" w:hAnsiTheme="minorHAnsi" w:cstheme="minorHAnsi"/>
          <w:szCs w:val="22"/>
          <w:lang w:val="en"/>
        </w:rPr>
        <w:t xml:space="preserve">you can order the </w:t>
      </w:r>
      <w:r w:rsidRPr="00654EFB">
        <w:rPr>
          <w:rFonts w:asciiTheme="minorHAnsi" w:hAnsiTheme="minorHAnsi" w:cstheme="minorHAnsi"/>
          <w:i/>
          <w:iCs/>
          <w:szCs w:val="22"/>
          <w:lang w:val="en"/>
        </w:rPr>
        <w:t>Taxable payments annual report</w:t>
      </w:r>
      <w:r w:rsidRPr="00654EFB">
        <w:rPr>
          <w:rFonts w:asciiTheme="minorHAnsi" w:hAnsiTheme="minorHAnsi" w:cstheme="minorHAnsi"/>
          <w:szCs w:val="22"/>
          <w:lang w:val="en"/>
        </w:rPr>
        <w:t xml:space="preserve"> form (NAT 74109) online or by phoning our publications ordering service</w:t>
      </w:r>
      <w:r w:rsidRPr="00654EFB">
        <w:rPr>
          <w:rFonts w:asciiTheme="minorHAnsi" w:hAnsiTheme="minorHAnsi" w:cstheme="minorHAnsi"/>
          <w:lang w:val="en"/>
        </w:rPr>
        <w:t>, and mail us the completed form.</w:t>
      </w:r>
    </w:p>
    <w:p w14:paraId="77AB2F4C" w14:textId="65C30C93" w:rsidR="00871FC9" w:rsidRPr="00654EFB" w:rsidRDefault="00871FC9" w:rsidP="00871FC9">
      <w:pPr>
        <w:spacing w:before="100" w:beforeAutospacing="1" w:after="100" w:afterAutospacing="1"/>
        <w:rPr>
          <w:rFonts w:asciiTheme="minorHAnsi" w:hAnsiTheme="minorHAnsi" w:cstheme="minorHAnsi"/>
          <w:szCs w:val="22"/>
          <w:lang w:val="en"/>
        </w:rPr>
      </w:pPr>
      <w:r w:rsidRPr="00654EFB">
        <w:rPr>
          <w:rFonts w:asciiTheme="minorHAnsi" w:hAnsiTheme="minorHAnsi" w:cstheme="minorHAnsi"/>
          <w:szCs w:val="22"/>
          <w:lang w:val="en"/>
        </w:rPr>
        <w:t xml:space="preserve">You can't </w:t>
      </w:r>
      <w:r w:rsidR="00B9735A">
        <w:rPr>
          <w:rFonts w:asciiTheme="minorHAnsi" w:hAnsiTheme="minorHAnsi" w:cstheme="minorHAnsi"/>
          <w:szCs w:val="22"/>
          <w:lang w:val="en"/>
        </w:rPr>
        <w:t>make</w:t>
      </w:r>
      <w:r w:rsidR="00B9735A" w:rsidRPr="00654EFB">
        <w:rPr>
          <w:rFonts w:asciiTheme="minorHAnsi" w:hAnsiTheme="minorHAnsi" w:cstheme="minorHAnsi"/>
          <w:szCs w:val="22"/>
          <w:lang w:val="en"/>
        </w:rPr>
        <w:t xml:space="preserve"> </w:t>
      </w:r>
      <w:r w:rsidRPr="00654EFB">
        <w:rPr>
          <w:rFonts w:asciiTheme="minorHAnsi" w:hAnsiTheme="minorHAnsi" w:cstheme="minorHAnsi"/>
          <w:szCs w:val="22"/>
          <w:lang w:val="en"/>
        </w:rPr>
        <w:t>copies of this form</w:t>
      </w:r>
      <w:r w:rsidR="00B9735A">
        <w:rPr>
          <w:rFonts w:asciiTheme="minorHAnsi" w:hAnsiTheme="minorHAnsi" w:cstheme="minorHAnsi"/>
          <w:szCs w:val="22"/>
          <w:lang w:val="en"/>
        </w:rPr>
        <w:t xml:space="preserve"> </w:t>
      </w:r>
      <w:r w:rsidRPr="00654EFB">
        <w:rPr>
          <w:rFonts w:asciiTheme="minorHAnsi" w:hAnsiTheme="minorHAnsi" w:cstheme="minorHAnsi"/>
          <w:szCs w:val="22"/>
          <w:lang w:val="en"/>
        </w:rPr>
        <w:t xml:space="preserve">– you must use </w:t>
      </w:r>
      <w:r w:rsidR="00B870BB">
        <w:rPr>
          <w:rFonts w:asciiTheme="minorHAnsi" w:hAnsiTheme="minorHAnsi" w:cstheme="minorHAnsi"/>
          <w:szCs w:val="22"/>
          <w:lang w:val="en"/>
        </w:rPr>
        <w:t xml:space="preserve">original </w:t>
      </w:r>
      <w:r w:rsidRPr="00654EFB">
        <w:rPr>
          <w:rFonts w:asciiTheme="minorHAnsi" w:hAnsiTheme="minorHAnsi" w:cstheme="minorHAnsi"/>
          <w:szCs w:val="22"/>
          <w:lang w:val="en"/>
        </w:rPr>
        <w:t>forms we've printed.</w:t>
      </w:r>
    </w:p>
    <w:p w14:paraId="59CEA0F5" w14:textId="77777777" w:rsidR="00465B8D" w:rsidRDefault="00871FC9" w:rsidP="00B03192">
      <w:pPr>
        <w:spacing w:before="100" w:beforeAutospacing="1" w:after="100" w:afterAutospacing="1"/>
        <w:rPr>
          <w:rFonts w:asciiTheme="minorHAnsi" w:hAnsiTheme="minorHAnsi" w:cstheme="minorHAnsi"/>
        </w:rPr>
      </w:pPr>
      <w:r w:rsidRPr="00654EFB">
        <w:rPr>
          <w:rFonts w:asciiTheme="minorHAnsi" w:hAnsiTheme="minorHAnsi" w:cstheme="minorHAnsi"/>
        </w:rPr>
        <w:t xml:space="preserve">A sample of the paper form is </w:t>
      </w:r>
      <w:hyperlink r:id="rId16" w:history="1">
        <w:r w:rsidRPr="00465B8D">
          <w:rPr>
            <w:rStyle w:val="Hyperlink"/>
            <w:rFonts w:asciiTheme="minorHAnsi" w:hAnsiTheme="minorHAnsi" w:cstheme="minorHAnsi"/>
          </w:rPr>
          <w:t>available on our website</w:t>
        </w:r>
      </w:hyperlink>
      <w:r w:rsidR="00465B8D">
        <w:rPr>
          <w:rFonts w:asciiTheme="minorHAnsi" w:hAnsiTheme="minorHAnsi" w:cstheme="minorHAnsi"/>
        </w:rPr>
        <w:t>.</w:t>
      </w:r>
    </w:p>
    <w:p w14:paraId="7D4274A3" w14:textId="4AB2D48F" w:rsidR="00871FC9" w:rsidRPr="00654EFB" w:rsidRDefault="00871FC9" w:rsidP="00B03192">
      <w:pPr>
        <w:spacing w:before="100" w:beforeAutospacing="1" w:after="100" w:afterAutospacing="1"/>
        <w:rPr>
          <w:rFonts w:asciiTheme="minorHAnsi" w:hAnsiTheme="minorHAnsi" w:cstheme="minorHAnsi"/>
        </w:rPr>
      </w:pPr>
    </w:p>
    <w:p w14:paraId="7E5A2651" w14:textId="77777777" w:rsidR="00740CB0" w:rsidRDefault="00740CB0" w:rsidP="00740CB0">
      <w:pPr>
        <w:rPr>
          <w:rFonts w:cs="Arial"/>
          <w:szCs w:val="22"/>
        </w:rPr>
      </w:pPr>
    </w:p>
    <w:p w14:paraId="637CEF4E" w14:textId="77777777" w:rsidR="00740CB0" w:rsidRDefault="00740CB0" w:rsidP="00740CB0">
      <w:pPr>
        <w:rPr>
          <w:rFonts w:cs="Arial"/>
          <w:szCs w:val="22"/>
        </w:rPr>
      </w:pPr>
    </w:p>
    <w:p w14:paraId="4AF5632B" w14:textId="77777777" w:rsidR="00740CB0" w:rsidRDefault="00740CB0" w:rsidP="00740CB0">
      <w:pPr>
        <w:rPr>
          <w:rFonts w:cs="Arial"/>
          <w:szCs w:val="22"/>
        </w:rPr>
      </w:pPr>
    </w:p>
    <w:p w14:paraId="42EA4EAC" w14:textId="77777777" w:rsidR="00740CB0" w:rsidRDefault="00740CB0" w:rsidP="00740CB0">
      <w:pPr>
        <w:rPr>
          <w:rFonts w:cs="Arial"/>
          <w:szCs w:val="22"/>
        </w:rPr>
      </w:pPr>
    </w:p>
    <w:p w14:paraId="4F255B50" w14:textId="4D477630" w:rsidR="009E2FA9" w:rsidRPr="00BD0F68" w:rsidRDefault="009E2FA9" w:rsidP="00BD0F68">
      <w:pPr>
        <w:spacing w:before="360"/>
        <w:rPr>
          <w:rFonts w:cs="Arial"/>
          <w:b/>
          <w:szCs w:val="22"/>
        </w:rPr>
      </w:pPr>
    </w:p>
    <w:sectPr w:rsidR="009E2FA9" w:rsidRPr="00BD0F68" w:rsidSect="003D689D">
      <w:headerReference w:type="even" r:id="rId17"/>
      <w:headerReference w:type="default" r:id="rId18"/>
      <w:footerReference w:type="even" r:id="rId19"/>
      <w:footerReference w:type="default" r:id="rId20"/>
      <w:headerReference w:type="first" r:id="rId21"/>
      <w:type w:val="continuous"/>
      <w:pgSz w:w="11906" w:h="16838" w:code="9"/>
      <w:pgMar w:top="1134" w:right="1134" w:bottom="1134" w:left="1134" w:header="720" w:footer="720"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7BADB5" w14:textId="77777777" w:rsidR="007B6640" w:rsidRDefault="007B6640">
      <w:r>
        <w:separator/>
      </w:r>
    </w:p>
  </w:endnote>
  <w:endnote w:type="continuationSeparator" w:id="0">
    <w:p w14:paraId="5607829D" w14:textId="77777777" w:rsidR="007B6640" w:rsidRDefault="007B6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172C0" w14:textId="5B46CDCC" w:rsidR="00873871" w:rsidRPr="00F53E4E" w:rsidRDefault="00197121" w:rsidP="00197121">
    <w:pPr>
      <w:tabs>
        <w:tab w:val="right" w:pos="9639"/>
      </w:tabs>
      <w:spacing w:after="0"/>
      <w:rPr>
        <w:rFonts w:cs="Arial"/>
        <w:sz w:val="20"/>
        <w:szCs w:val="20"/>
      </w:rPr>
    </w:pPr>
    <w:r>
      <w:rPr>
        <w:rFonts w:cs="Arial"/>
        <w:sz w:val="20"/>
        <w:szCs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A27FBB" w14:textId="718F5260" w:rsidR="00197121" w:rsidRPr="00F53E4E" w:rsidRDefault="00197121" w:rsidP="00197121">
    <w:pPr>
      <w:tabs>
        <w:tab w:val="right" w:pos="9639"/>
      </w:tabs>
      <w:spacing w:after="0"/>
      <w:rPr>
        <w:rFonts w:cs="Arial"/>
        <w:sz w:val="20"/>
        <w:szCs w:val="20"/>
      </w:rPr>
    </w:pPr>
    <w:r>
      <w:rPr>
        <w:rFonts w:cs="Arial"/>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CE4B98" w14:textId="77777777" w:rsidR="007B6640" w:rsidRDefault="007B6640">
      <w:r>
        <w:separator/>
      </w:r>
    </w:p>
  </w:footnote>
  <w:footnote w:type="continuationSeparator" w:id="0">
    <w:p w14:paraId="077129D0" w14:textId="77777777" w:rsidR="007B6640" w:rsidRDefault="007B66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0B82D5" w14:textId="77777777" w:rsidR="00873871" w:rsidRPr="009A1E11" w:rsidRDefault="00873871" w:rsidP="009A1E11">
    <w:pPr>
      <w:pBdr>
        <w:top w:val="single" w:sz="4" w:space="1" w:color="auto"/>
        <w:bottom w:val="single" w:sz="4" w:space="1" w:color="auto"/>
      </w:pBdr>
      <w:tabs>
        <w:tab w:val="right" w:pos="9639"/>
      </w:tabs>
      <w:jc w:val="right"/>
      <w:rPr>
        <w:rFonts w:cs="Arial"/>
        <w:b/>
        <w:sz w:val="20"/>
      </w:rPr>
    </w:pPr>
    <w:r w:rsidRPr="0053413E">
      <w:rPr>
        <w:rFonts w:cs="Arial"/>
        <w:snapToGrid w:val="0"/>
        <w:sz w:val="20"/>
        <w:lang w:eastAsia="en-US"/>
      </w:rPr>
      <w:t>Discussion Paper – for comment only</w:t>
    </w:r>
    <w:r w:rsidRPr="0053413E">
      <w:rPr>
        <w:rFonts w:cs="Arial"/>
        <w:snapToGrid w:val="0"/>
        <w:sz w:val="20"/>
        <w:lang w:eastAsia="en-US"/>
      </w:rPr>
      <w:tab/>
      <w:t xml:space="preserve">Page </w:t>
    </w:r>
    <w:r w:rsidRPr="0053413E">
      <w:rPr>
        <w:rFonts w:cs="Arial"/>
        <w:snapToGrid w:val="0"/>
        <w:sz w:val="20"/>
        <w:lang w:eastAsia="en-US"/>
      </w:rPr>
      <w:fldChar w:fldCharType="begin"/>
    </w:r>
    <w:r w:rsidRPr="0053413E">
      <w:rPr>
        <w:rFonts w:cs="Arial"/>
        <w:snapToGrid w:val="0"/>
        <w:sz w:val="20"/>
        <w:lang w:eastAsia="en-US"/>
      </w:rPr>
      <w:instrText xml:space="preserve"> PAGE </w:instrText>
    </w:r>
    <w:r w:rsidRPr="0053413E">
      <w:rPr>
        <w:rFonts w:cs="Arial"/>
        <w:snapToGrid w:val="0"/>
        <w:sz w:val="20"/>
        <w:lang w:eastAsia="en-US"/>
      </w:rPr>
      <w:fldChar w:fldCharType="separate"/>
    </w:r>
    <w:r w:rsidR="00462411">
      <w:rPr>
        <w:rFonts w:cs="Arial"/>
        <w:noProof/>
        <w:snapToGrid w:val="0"/>
        <w:sz w:val="20"/>
        <w:lang w:eastAsia="en-US"/>
      </w:rPr>
      <w:t>4</w:t>
    </w:r>
    <w:r w:rsidRPr="0053413E">
      <w:rPr>
        <w:rFonts w:cs="Arial"/>
        <w:snapToGrid w:val="0"/>
        <w:sz w:val="20"/>
        <w:lang w:eastAsia="en-US"/>
      </w:rPr>
      <w:fldChar w:fldCharType="end"/>
    </w:r>
    <w:r w:rsidRPr="0053413E">
      <w:rPr>
        <w:rFonts w:cs="Arial"/>
        <w:snapToGrid w:val="0"/>
        <w:sz w:val="20"/>
        <w:lang w:eastAsia="en-US"/>
      </w:rPr>
      <w:t xml:space="preserve"> of </w:t>
    </w:r>
    <w:r w:rsidRPr="0053413E">
      <w:rPr>
        <w:rFonts w:cs="Arial"/>
        <w:sz w:val="20"/>
      </w:rPr>
      <w:fldChar w:fldCharType="begin"/>
    </w:r>
    <w:r w:rsidRPr="0053413E">
      <w:rPr>
        <w:rFonts w:cs="Arial"/>
        <w:sz w:val="20"/>
      </w:rPr>
      <w:instrText xml:space="preserve"> NUMPAGES </w:instrText>
    </w:r>
    <w:r w:rsidRPr="0053413E">
      <w:rPr>
        <w:rFonts w:cs="Arial"/>
        <w:sz w:val="20"/>
      </w:rPr>
      <w:fldChar w:fldCharType="separate"/>
    </w:r>
    <w:r w:rsidR="00462411">
      <w:rPr>
        <w:rFonts w:cs="Arial"/>
        <w:noProof/>
        <w:sz w:val="20"/>
      </w:rPr>
      <w:t>4</w:t>
    </w:r>
    <w:r w:rsidRPr="0053413E">
      <w:rPr>
        <w:rFonts w:cs="Arial"/>
        <w:sz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C884FD" w14:textId="77777777" w:rsidR="00197121" w:rsidRPr="009A1E11" w:rsidRDefault="00197121" w:rsidP="00197121">
    <w:pPr>
      <w:pBdr>
        <w:top w:val="single" w:sz="4" w:space="1" w:color="auto"/>
        <w:bottom w:val="single" w:sz="4" w:space="1" w:color="auto"/>
      </w:pBdr>
      <w:tabs>
        <w:tab w:val="right" w:pos="9639"/>
      </w:tabs>
      <w:jc w:val="right"/>
      <w:rPr>
        <w:rFonts w:cs="Arial"/>
        <w:b/>
        <w:sz w:val="20"/>
      </w:rPr>
    </w:pPr>
    <w:r w:rsidRPr="0053413E">
      <w:rPr>
        <w:rFonts w:cs="Arial"/>
        <w:snapToGrid w:val="0"/>
        <w:sz w:val="20"/>
        <w:lang w:eastAsia="en-US"/>
      </w:rPr>
      <w:t>Discussion Paper – for comment only</w:t>
    </w:r>
    <w:r w:rsidRPr="0053413E">
      <w:rPr>
        <w:rFonts w:cs="Arial"/>
        <w:snapToGrid w:val="0"/>
        <w:sz w:val="20"/>
        <w:lang w:eastAsia="en-US"/>
      </w:rPr>
      <w:tab/>
      <w:t xml:space="preserve">Page </w:t>
    </w:r>
    <w:r w:rsidRPr="0053413E">
      <w:rPr>
        <w:rFonts w:cs="Arial"/>
        <w:snapToGrid w:val="0"/>
        <w:sz w:val="20"/>
        <w:lang w:eastAsia="en-US"/>
      </w:rPr>
      <w:fldChar w:fldCharType="begin"/>
    </w:r>
    <w:r w:rsidRPr="0053413E">
      <w:rPr>
        <w:rFonts w:cs="Arial"/>
        <w:snapToGrid w:val="0"/>
        <w:sz w:val="20"/>
        <w:lang w:eastAsia="en-US"/>
      </w:rPr>
      <w:instrText xml:space="preserve"> PAGE </w:instrText>
    </w:r>
    <w:r w:rsidRPr="0053413E">
      <w:rPr>
        <w:rFonts w:cs="Arial"/>
        <w:snapToGrid w:val="0"/>
        <w:sz w:val="20"/>
        <w:lang w:eastAsia="en-US"/>
      </w:rPr>
      <w:fldChar w:fldCharType="separate"/>
    </w:r>
    <w:r w:rsidR="00462411">
      <w:rPr>
        <w:rFonts w:cs="Arial"/>
        <w:noProof/>
        <w:snapToGrid w:val="0"/>
        <w:sz w:val="20"/>
        <w:lang w:eastAsia="en-US"/>
      </w:rPr>
      <w:t>3</w:t>
    </w:r>
    <w:r w:rsidRPr="0053413E">
      <w:rPr>
        <w:rFonts w:cs="Arial"/>
        <w:snapToGrid w:val="0"/>
        <w:sz w:val="20"/>
        <w:lang w:eastAsia="en-US"/>
      </w:rPr>
      <w:fldChar w:fldCharType="end"/>
    </w:r>
    <w:r w:rsidRPr="0053413E">
      <w:rPr>
        <w:rFonts w:cs="Arial"/>
        <w:snapToGrid w:val="0"/>
        <w:sz w:val="20"/>
        <w:lang w:eastAsia="en-US"/>
      </w:rPr>
      <w:t xml:space="preserve"> of </w:t>
    </w:r>
    <w:r w:rsidRPr="0053413E">
      <w:rPr>
        <w:rFonts w:cs="Arial"/>
        <w:sz w:val="20"/>
      </w:rPr>
      <w:fldChar w:fldCharType="begin"/>
    </w:r>
    <w:r w:rsidRPr="0053413E">
      <w:rPr>
        <w:rFonts w:cs="Arial"/>
        <w:sz w:val="20"/>
      </w:rPr>
      <w:instrText xml:space="preserve"> NUMPAGES </w:instrText>
    </w:r>
    <w:r w:rsidRPr="0053413E">
      <w:rPr>
        <w:rFonts w:cs="Arial"/>
        <w:sz w:val="20"/>
      </w:rPr>
      <w:fldChar w:fldCharType="separate"/>
    </w:r>
    <w:r w:rsidR="00462411">
      <w:rPr>
        <w:rFonts w:cs="Arial"/>
        <w:noProof/>
        <w:sz w:val="20"/>
      </w:rPr>
      <w:t>4</w:t>
    </w:r>
    <w:r w:rsidRPr="0053413E">
      <w:rPr>
        <w:rFonts w:cs="Arial"/>
        <w:sz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DA2509" w14:textId="5C18D3DA" w:rsidR="00873871" w:rsidRPr="0053413E" w:rsidRDefault="00364DFE" w:rsidP="00C34711">
    <w:pPr>
      <w:pBdr>
        <w:top w:val="single" w:sz="4" w:space="1" w:color="auto"/>
        <w:bottom w:val="single" w:sz="4" w:space="1" w:color="auto"/>
      </w:pBdr>
      <w:tabs>
        <w:tab w:val="right" w:pos="9639"/>
      </w:tabs>
      <w:jc w:val="both"/>
      <w:rPr>
        <w:rFonts w:cs="Arial"/>
        <w:b/>
        <w:sz w:val="20"/>
      </w:rPr>
    </w:pPr>
    <w:r>
      <w:rPr>
        <w:rFonts w:cs="Arial"/>
        <w:snapToGrid w:val="0"/>
        <w:sz w:val="20"/>
        <w:lang w:eastAsia="en-US"/>
      </w:rPr>
      <w:t>DRAFT</w:t>
    </w:r>
    <w:r w:rsidR="00873871" w:rsidRPr="0053413E">
      <w:rPr>
        <w:rFonts w:cs="Arial"/>
        <w:snapToGrid w:val="0"/>
        <w:sz w:val="20"/>
        <w:lang w:eastAsia="en-US"/>
      </w:rPr>
      <w:t xml:space="preserve"> – for comment only</w:t>
    </w:r>
    <w:r w:rsidR="001637B4">
      <w:rPr>
        <w:rFonts w:cs="Arial"/>
        <w:snapToGrid w:val="0"/>
        <w:sz w:val="20"/>
        <w:lang w:eastAsia="en-US"/>
      </w:rPr>
      <w:t xml:space="preserve"> version 1.</w:t>
    </w:r>
    <w:r w:rsidR="00057D80">
      <w:rPr>
        <w:rFonts w:cs="Arial"/>
        <w:snapToGrid w:val="0"/>
        <w:sz w:val="20"/>
        <w:lang w:eastAsia="en-US"/>
      </w:rPr>
      <w:t>1</w:t>
    </w:r>
    <w:r w:rsidR="00873871" w:rsidRPr="0053413E">
      <w:rPr>
        <w:rFonts w:cs="Arial"/>
        <w:snapToGrid w:val="0"/>
        <w:sz w:val="20"/>
        <w:lang w:eastAsia="en-US"/>
      </w:rPr>
      <w:tab/>
      <w:t xml:space="preserve">Page </w:t>
    </w:r>
    <w:r w:rsidR="00873871" w:rsidRPr="0053413E">
      <w:rPr>
        <w:rFonts w:cs="Arial"/>
        <w:snapToGrid w:val="0"/>
        <w:sz w:val="20"/>
        <w:lang w:eastAsia="en-US"/>
      </w:rPr>
      <w:fldChar w:fldCharType="begin"/>
    </w:r>
    <w:r w:rsidR="00873871" w:rsidRPr="0053413E">
      <w:rPr>
        <w:rFonts w:cs="Arial"/>
        <w:snapToGrid w:val="0"/>
        <w:sz w:val="20"/>
        <w:lang w:eastAsia="en-US"/>
      </w:rPr>
      <w:instrText xml:space="preserve"> PAGE </w:instrText>
    </w:r>
    <w:r w:rsidR="00873871" w:rsidRPr="0053413E">
      <w:rPr>
        <w:rFonts w:cs="Arial"/>
        <w:snapToGrid w:val="0"/>
        <w:sz w:val="20"/>
        <w:lang w:eastAsia="en-US"/>
      </w:rPr>
      <w:fldChar w:fldCharType="separate"/>
    </w:r>
    <w:r w:rsidR="00462411">
      <w:rPr>
        <w:rFonts w:cs="Arial"/>
        <w:noProof/>
        <w:snapToGrid w:val="0"/>
        <w:sz w:val="20"/>
        <w:lang w:eastAsia="en-US"/>
      </w:rPr>
      <w:t>1</w:t>
    </w:r>
    <w:r w:rsidR="00873871" w:rsidRPr="0053413E">
      <w:rPr>
        <w:rFonts w:cs="Arial"/>
        <w:snapToGrid w:val="0"/>
        <w:sz w:val="20"/>
        <w:lang w:eastAsia="en-US"/>
      </w:rPr>
      <w:fldChar w:fldCharType="end"/>
    </w:r>
    <w:r w:rsidR="00873871" w:rsidRPr="0053413E">
      <w:rPr>
        <w:rFonts w:cs="Arial"/>
        <w:snapToGrid w:val="0"/>
        <w:sz w:val="20"/>
        <w:lang w:eastAsia="en-US"/>
      </w:rPr>
      <w:t xml:space="preserve"> of </w:t>
    </w:r>
    <w:r w:rsidR="00873871" w:rsidRPr="0053413E">
      <w:rPr>
        <w:rFonts w:cs="Arial"/>
        <w:sz w:val="20"/>
      </w:rPr>
      <w:fldChar w:fldCharType="begin"/>
    </w:r>
    <w:r w:rsidR="00873871" w:rsidRPr="0053413E">
      <w:rPr>
        <w:rFonts w:cs="Arial"/>
        <w:sz w:val="20"/>
      </w:rPr>
      <w:instrText xml:space="preserve"> NUMPAGES </w:instrText>
    </w:r>
    <w:r w:rsidR="00873871" w:rsidRPr="0053413E">
      <w:rPr>
        <w:rFonts w:cs="Arial"/>
        <w:sz w:val="20"/>
      </w:rPr>
      <w:fldChar w:fldCharType="separate"/>
    </w:r>
    <w:r w:rsidR="00462411">
      <w:rPr>
        <w:rFonts w:cs="Arial"/>
        <w:noProof/>
        <w:sz w:val="20"/>
      </w:rPr>
      <w:t>4</w:t>
    </w:r>
    <w:r w:rsidR="00873871" w:rsidRPr="0053413E">
      <w:rPr>
        <w:rFonts w:cs="Arial"/>
        <w:sz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04121"/>
    <w:multiLevelType w:val="hybridMultilevel"/>
    <w:tmpl w:val="AF8ABF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3441236"/>
    <w:multiLevelType w:val="hybridMultilevel"/>
    <w:tmpl w:val="EDA6AAEE"/>
    <w:lvl w:ilvl="0" w:tplc="0C090001">
      <w:start w:val="1"/>
      <w:numFmt w:val="bullet"/>
      <w:lvlText w:val=""/>
      <w:lvlJc w:val="left"/>
      <w:pPr>
        <w:ind w:left="720" w:hanging="360"/>
      </w:pPr>
      <w:rPr>
        <w:rFonts w:ascii="Symbol" w:hAnsi="Symbol" w:hint="default"/>
      </w:rPr>
    </w:lvl>
    <w:lvl w:ilvl="1" w:tplc="2C7E6424">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5E5029B"/>
    <w:multiLevelType w:val="hybridMultilevel"/>
    <w:tmpl w:val="CE7ACF6C"/>
    <w:lvl w:ilvl="0" w:tplc="6A10845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6496FF5"/>
    <w:multiLevelType w:val="hybridMultilevel"/>
    <w:tmpl w:val="AE72DEB8"/>
    <w:lvl w:ilvl="0" w:tplc="773A57B8">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nsid w:val="33D9552F"/>
    <w:multiLevelType w:val="hybridMultilevel"/>
    <w:tmpl w:val="75D4E786"/>
    <w:lvl w:ilvl="0" w:tplc="6A10845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F585C2D"/>
    <w:multiLevelType w:val="hybridMultilevel"/>
    <w:tmpl w:val="EF9E1EC4"/>
    <w:lvl w:ilvl="0" w:tplc="FFFFFFFF">
      <w:start w:val="1"/>
      <w:numFmt w:val="bullet"/>
      <w:lvlText w:val="-"/>
      <w:lvlJc w:val="left"/>
      <w:pPr>
        <w:tabs>
          <w:tab w:val="num" w:pos="360"/>
        </w:tabs>
        <w:ind w:left="360" w:hanging="360"/>
      </w:pPr>
      <w:rPr>
        <w:rFonts w:ascii="Arial" w:hAnsi="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nsid w:val="43815E37"/>
    <w:multiLevelType w:val="hybridMultilevel"/>
    <w:tmpl w:val="62A249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68FA1A44"/>
    <w:multiLevelType w:val="hybridMultilevel"/>
    <w:tmpl w:val="C45EF862"/>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nsid w:val="79905077"/>
    <w:multiLevelType w:val="hybridMultilevel"/>
    <w:tmpl w:val="375E8BC4"/>
    <w:lvl w:ilvl="0" w:tplc="6A108452">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5"/>
  </w:num>
  <w:num w:numId="4">
    <w:abstractNumId w:val="2"/>
  </w:num>
  <w:num w:numId="5">
    <w:abstractNumId w:val="1"/>
  </w:num>
  <w:num w:numId="6">
    <w:abstractNumId w:val="6"/>
  </w:num>
  <w:num w:numId="7">
    <w:abstractNumId w:val="0"/>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evenAndOddHeaders/>
  <w:drawingGridHorizontalSpacing w:val="110"/>
  <w:drawingGridVerticalSpacing w:val="299"/>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F66"/>
    <w:rsid w:val="00016B50"/>
    <w:rsid w:val="00043BB0"/>
    <w:rsid w:val="0004758A"/>
    <w:rsid w:val="00057D80"/>
    <w:rsid w:val="00057E76"/>
    <w:rsid w:val="00092FF6"/>
    <w:rsid w:val="000C5160"/>
    <w:rsid w:val="000D71BC"/>
    <w:rsid w:val="001413AF"/>
    <w:rsid w:val="001637B4"/>
    <w:rsid w:val="00173D2E"/>
    <w:rsid w:val="00182E53"/>
    <w:rsid w:val="00197121"/>
    <w:rsid w:val="001B3E87"/>
    <w:rsid w:val="001C566B"/>
    <w:rsid w:val="001F378F"/>
    <w:rsid w:val="00230D6B"/>
    <w:rsid w:val="00235BFE"/>
    <w:rsid w:val="00262A86"/>
    <w:rsid w:val="00271405"/>
    <w:rsid w:val="002852D7"/>
    <w:rsid w:val="002D2524"/>
    <w:rsid w:val="002E414A"/>
    <w:rsid w:val="003004FD"/>
    <w:rsid w:val="00313D34"/>
    <w:rsid w:val="003264E7"/>
    <w:rsid w:val="00344D79"/>
    <w:rsid w:val="003459CE"/>
    <w:rsid w:val="00362CD4"/>
    <w:rsid w:val="00364DFE"/>
    <w:rsid w:val="00380302"/>
    <w:rsid w:val="003A77BD"/>
    <w:rsid w:val="003C635B"/>
    <w:rsid w:val="003D37D3"/>
    <w:rsid w:val="003D421E"/>
    <w:rsid w:val="003D689D"/>
    <w:rsid w:val="00462411"/>
    <w:rsid w:val="00465B8D"/>
    <w:rsid w:val="00474B7E"/>
    <w:rsid w:val="00475280"/>
    <w:rsid w:val="00484D7D"/>
    <w:rsid w:val="004A7B57"/>
    <w:rsid w:val="004B3F66"/>
    <w:rsid w:val="00503104"/>
    <w:rsid w:val="0053413E"/>
    <w:rsid w:val="00547169"/>
    <w:rsid w:val="005B7ABC"/>
    <w:rsid w:val="006000ED"/>
    <w:rsid w:val="00643356"/>
    <w:rsid w:val="00654EFB"/>
    <w:rsid w:val="006679A4"/>
    <w:rsid w:val="00680C0C"/>
    <w:rsid w:val="006834BD"/>
    <w:rsid w:val="006A0CFC"/>
    <w:rsid w:val="006A11EB"/>
    <w:rsid w:val="006F2F75"/>
    <w:rsid w:val="006F354E"/>
    <w:rsid w:val="006F3ADA"/>
    <w:rsid w:val="00706931"/>
    <w:rsid w:val="00730054"/>
    <w:rsid w:val="00734678"/>
    <w:rsid w:val="00740CB0"/>
    <w:rsid w:val="0076493E"/>
    <w:rsid w:val="00777863"/>
    <w:rsid w:val="00782CCE"/>
    <w:rsid w:val="0079271B"/>
    <w:rsid w:val="007A7B65"/>
    <w:rsid w:val="007B6640"/>
    <w:rsid w:val="007D49C8"/>
    <w:rsid w:val="007E058E"/>
    <w:rsid w:val="0080573A"/>
    <w:rsid w:val="00812B1A"/>
    <w:rsid w:val="008252BB"/>
    <w:rsid w:val="00855253"/>
    <w:rsid w:val="00864411"/>
    <w:rsid w:val="00871FC9"/>
    <w:rsid w:val="00873871"/>
    <w:rsid w:val="008B4877"/>
    <w:rsid w:val="008C6BB1"/>
    <w:rsid w:val="008E2105"/>
    <w:rsid w:val="008E7E49"/>
    <w:rsid w:val="008F2B89"/>
    <w:rsid w:val="008F4FB3"/>
    <w:rsid w:val="00932F31"/>
    <w:rsid w:val="00940252"/>
    <w:rsid w:val="009407AA"/>
    <w:rsid w:val="00941197"/>
    <w:rsid w:val="00945D5C"/>
    <w:rsid w:val="00982DD7"/>
    <w:rsid w:val="00987BA2"/>
    <w:rsid w:val="009A1E11"/>
    <w:rsid w:val="009B5FF9"/>
    <w:rsid w:val="009C2ABA"/>
    <w:rsid w:val="009E2FA9"/>
    <w:rsid w:val="00A575A5"/>
    <w:rsid w:val="00A603E7"/>
    <w:rsid w:val="00A60DF0"/>
    <w:rsid w:val="00A90B00"/>
    <w:rsid w:val="00AA297E"/>
    <w:rsid w:val="00AA343D"/>
    <w:rsid w:val="00AB7BA7"/>
    <w:rsid w:val="00B03192"/>
    <w:rsid w:val="00B035C8"/>
    <w:rsid w:val="00B30292"/>
    <w:rsid w:val="00B44873"/>
    <w:rsid w:val="00B54E06"/>
    <w:rsid w:val="00B870BB"/>
    <w:rsid w:val="00B9735A"/>
    <w:rsid w:val="00BB7FB0"/>
    <w:rsid w:val="00BD0F68"/>
    <w:rsid w:val="00C13788"/>
    <w:rsid w:val="00C34711"/>
    <w:rsid w:val="00C43968"/>
    <w:rsid w:val="00CA4C45"/>
    <w:rsid w:val="00CC2C47"/>
    <w:rsid w:val="00CD4C37"/>
    <w:rsid w:val="00D101E1"/>
    <w:rsid w:val="00D7353E"/>
    <w:rsid w:val="00D86B2D"/>
    <w:rsid w:val="00DF2537"/>
    <w:rsid w:val="00E563A4"/>
    <w:rsid w:val="00E83EA4"/>
    <w:rsid w:val="00E86E58"/>
    <w:rsid w:val="00EA331C"/>
    <w:rsid w:val="00ED3553"/>
    <w:rsid w:val="00F021A3"/>
    <w:rsid w:val="00F13490"/>
    <w:rsid w:val="00F43E72"/>
    <w:rsid w:val="00F53E4E"/>
    <w:rsid w:val="00FA3A0D"/>
    <w:rsid w:val="00FD79E0"/>
    <w:rsid w:val="00FE369B"/>
    <w:rsid w:val="00FF1B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583E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7121"/>
    <w:pPr>
      <w:spacing w:after="120"/>
    </w:pPr>
    <w:rPr>
      <w:rFonts w:ascii="Arial" w:hAnsi="Arial"/>
      <w:sz w:val="22"/>
      <w:szCs w:val="24"/>
    </w:rPr>
  </w:style>
  <w:style w:type="paragraph" w:styleId="Heading1">
    <w:name w:val="heading 1"/>
    <w:basedOn w:val="Normal"/>
    <w:link w:val="Heading1Char"/>
    <w:uiPriority w:val="9"/>
    <w:qFormat/>
    <w:rsid w:val="00871FC9"/>
    <w:pPr>
      <w:spacing w:before="100" w:beforeAutospacing="1" w:after="100" w:afterAutospacing="1"/>
      <w:outlineLvl w:val="0"/>
    </w:pPr>
    <w:rPr>
      <w:rFonts w:ascii="Times New Roman" w:hAnsi="Times New Roman"/>
      <w:b/>
      <w:bCs/>
      <w:kern w:val="36"/>
      <w:sz w:val="48"/>
      <w:szCs w:val="48"/>
    </w:rPr>
  </w:style>
  <w:style w:type="paragraph" w:styleId="Heading2">
    <w:name w:val="heading 2"/>
    <w:basedOn w:val="Normal"/>
    <w:next w:val="Normal"/>
    <w:link w:val="Heading2Char"/>
    <w:uiPriority w:val="9"/>
    <w:unhideWhenUsed/>
    <w:qFormat/>
    <w:rsid w:val="00871FC9"/>
    <w:pPr>
      <w:keepNext/>
      <w:keepLines/>
      <w:spacing w:before="200" w:after="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Heading3">
    <w:name w:val="heading 3"/>
    <w:basedOn w:val="Normal"/>
    <w:next w:val="Normal"/>
    <w:link w:val="Heading3Char"/>
    <w:uiPriority w:val="9"/>
    <w:unhideWhenUsed/>
    <w:qFormat/>
    <w:rsid w:val="00871FC9"/>
    <w:pPr>
      <w:keepNext/>
      <w:keepLines/>
      <w:spacing w:before="200" w:after="0" w:line="276" w:lineRule="auto"/>
      <w:outlineLvl w:val="2"/>
    </w:pPr>
    <w:rPr>
      <w:rFonts w:asciiTheme="majorHAnsi" w:eastAsiaTheme="majorEastAsia" w:hAnsiTheme="majorHAnsi" w:cstheme="majorBidi"/>
      <w:b/>
      <w:bCs/>
      <w:color w:val="4F81BD" w:themeColor="accent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sid w:val="00197121"/>
    <w:rPr>
      <w:color w:val="800080"/>
      <w:u w:val="single"/>
    </w:rPr>
  </w:style>
  <w:style w:type="paragraph" w:styleId="Header">
    <w:name w:val="header"/>
    <w:basedOn w:val="Normal"/>
    <w:rsid w:val="00197121"/>
    <w:pPr>
      <w:tabs>
        <w:tab w:val="center" w:pos="4153"/>
        <w:tab w:val="right" w:pos="8306"/>
      </w:tabs>
    </w:pPr>
  </w:style>
  <w:style w:type="paragraph" w:styleId="Footer">
    <w:name w:val="footer"/>
    <w:basedOn w:val="Normal"/>
    <w:rsid w:val="00197121"/>
    <w:pPr>
      <w:tabs>
        <w:tab w:val="center" w:pos="4153"/>
        <w:tab w:val="right" w:pos="8306"/>
      </w:tabs>
    </w:pPr>
  </w:style>
  <w:style w:type="character" w:styleId="Hyperlink">
    <w:name w:val="Hyperlink"/>
    <w:uiPriority w:val="99"/>
    <w:rsid w:val="00CD4C37"/>
    <w:rPr>
      <w:color w:val="0000FF"/>
      <w:u w:val="single"/>
    </w:rPr>
  </w:style>
  <w:style w:type="paragraph" w:styleId="BalloonText">
    <w:name w:val="Balloon Text"/>
    <w:basedOn w:val="Normal"/>
    <w:link w:val="BalloonTextChar"/>
    <w:rsid w:val="00CA4C45"/>
    <w:pPr>
      <w:spacing w:after="0"/>
    </w:pPr>
    <w:rPr>
      <w:rFonts w:ascii="Tahoma" w:hAnsi="Tahoma" w:cs="Tahoma"/>
      <w:sz w:val="16"/>
      <w:szCs w:val="16"/>
    </w:rPr>
  </w:style>
  <w:style w:type="character" w:customStyle="1" w:styleId="BalloonTextChar">
    <w:name w:val="Balloon Text Char"/>
    <w:basedOn w:val="DefaultParagraphFont"/>
    <w:link w:val="BalloonText"/>
    <w:rsid w:val="00CA4C45"/>
    <w:rPr>
      <w:rFonts w:ascii="Tahoma" w:hAnsi="Tahoma" w:cs="Tahoma"/>
      <w:sz w:val="16"/>
      <w:szCs w:val="16"/>
    </w:rPr>
  </w:style>
  <w:style w:type="character" w:customStyle="1" w:styleId="Heading1Char">
    <w:name w:val="Heading 1 Char"/>
    <w:basedOn w:val="DefaultParagraphFont"/>
    <w:link w:val="Heading1"/>
    <w:uiPriority w:val="9"/>
    <w:rsid w:val="00871FC9"/>
    <w:rPr>
      <w:b/>
      <w:bCs/>
      <w:kern w:val="36"/>
      <w:sz w:val="48"/>
      <w:szCs w:val="48"/>
    </w:rPr>
  </w:style>
  <w:style w:type="character" w:customStyle="1" w:styleId="Heading2Char">
    <w:name w:val="Heading 2 Char"/>
    <w:basedOn w:val="DefaultParagraphFont"/>
    <w:link w:val="Heading2"/>
    <w:uiPriority w:val="9"/>
    <w:rsid w:val="00871FC9"/>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uiPriority w:val="9"/>
    <w:rsid w:val="00871FC9"/>
    <w:rPr>
      <w:rFonts w:asciiTheme="majorHAnsi" w:eastAsiaTheme="majorEastAsia" w:hAnsiTheme="majorHAnsi" w:cstheme="majorBidi"/>
      <w:b/>
      <w:bCs/>
      <w:color w:val="4F81BD" w:themeColor="accent1"/>
      <w:sz w:val="22"/>
      <w:szCs w:val="22"/>
      <w:lang w:eastAsia="en-US"/>
    </w:rPr>
  </w:style>
  <w:style w:type="paragraph" w:styleId="ListParagraph">
    <w:name w:val="List Paragraph"/>
    <w:basedOn w:val="Normal"/>
    <w:uiPriority w:val="34"/>
    <w:qFormat/>
    <w:rsid w:val="00871FC9"/>
    <w:pPr>
      <w:spacing w:after="200" w:line="276" w:lineRule="auto"/>
      <w:ind w:left="720"/>
      <w:contextualSpacing/>
    </w:pPr>
    <w:rPr>
      <w:rFonts w:ascii="Calibri" w:eastAsiaTheme="minorHAnsi" w:hAnsi="Calibri" w:cstheme="minorBidi"/>
      <w:szCs w:val="22"/>
      <w:lang w:eastAsia="en-US"/>
    </w:rPr>
  </w:style>
  <w:style w:type="paragraph" w:styleId="NormalWeb">
    <w:name w:val="Normal (Web)"/>
    <w:basedOn w:val="Normal"/>
    <w:uiPriority w:val="99"/>
    <w:unhideWhenUsed/>
    <w:rsid w:val="00871FC9"/>
    <w:pPr>
      <w:spacing w:before="100" w:beforeAutospacing="1" w:after="100" w:afterAutospacing="1"/>
    </w:pPr>
    <w:rPr>
      <w:rFonts w:ascii="Times New Roman" w:hAnsi="Times New Roman"/>
      <w:sz w:val="24"/>
    </w:rPr>
  </w:style>
  <w:style w:type="paragraph" w:customStyle="1" w:styleId="BoxText">
    <w:name w:val="Box Text"/>
    <w:basedOn w:val="Normal"/>
    <w:unhideWhenUsed/>
    <w:rsid w:val="00871FC9"/>
    <w:pPr>
      <w:spacing w:after="100"/>
    </w:pPr>
    <w:rPr>
      <w:rFonts w:ascii="Calibri Light" w:hAnsi="Calibri Light"/>
      <w:color w:val="4F81BD" w:themeColor="accent1"/>
      <w:szCs w:val="20"/>
    </w:rPr>
  </w:style>
  <w:style w:type="character" w:styleId="CommentReference">
    <w:name w:val="annotation reference"/>
    <w:basedOn w:val="DefaultParagraphFont"/>
    <w:uiPriority w:val="99"/>
    <w:unhideWhenUsed/>
    <w:rsid w:val="00871FC9"/>
    <w:rPr>
      <w:sz w:val="16"/>
      <w:szCs w:val="16"/>
    </w:rPr>
  </w:style>
  <w:style w:type="paragraph" w:styleId="CommentText">
    <w:name w:val="annotation text"/>
    <w:basedOn w:val="Normal"/>
    <w:link w:val="CommentTextChar"/>
    <w:uiPriority w:val="99"/>
    <w:unhideWhenUsed/>
    <w:rsid w:val="00871FC9"/>
    <w:pPr>
      <w:spacing w:after="20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871FC9"/>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rsid w:val="00465B8D"/>
    <w:pPr>
      <w:spacing w:after="120"/>
    </w:pPr>
    <w:rPr>
      <w:rFonts w:ascii="Arial" w:eastAsia="Times New Roman" w:hAnsi="Arial" w:cs="Times New Roman"/>
      <w:b/>
      <w:bCs/>
      <w:lang w:eastAsia="en-AU"/>
    </w:rPr>
  </w:style>
  <w:style w:type="character" w:customStyle="1" w:styleId="CommentSubjectChar">
    <w:name w:val="Comment Subject Char"/>
    <w:basedOn w:val="CommentTextChar"/>
    <w:link w:val="CommentSubject"/>
    <w:rsid w:val="00465B8D"/>
    <w:rPr>
      <w:rFonts w:ascii="Arial" w:eastAsiaTheme="minorHAnsi" w:hAnsi="Arial" w:cstheme="minorBidi"/>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7121"/>
    <w:pPr>
      <w:spacing w:after="120"/>
    </w:pPr>
    <w:rPr>
      <w:rFonts w:ascii="Arial" w:hAnsi="Arial"/>
      <w:sz w:val="22"/>
      <w:szCs w:val="24"/>
    </w:rPr>
  </w:style>
  <w:style w:type="paragraph" w:styleId="Heading1">
    <w:name w:val="heading 1"/>
    <w:basedOn w:val="Normal"/>
    <w:link w:val="Heading1Char"/>
    <w:uiPriority w:val="9"/>
    <w:qFormat/>
    <w:rsid w:val="00871FC9"/>
    <w:pPr>
      <w:spacing w:before="100" w:beforeAutospacing="1" w:after="100" w:afterAutospacing="1"/>
      <w:outlineLvl w:val="0"/>
    </w:pPr>
    <w:rPr>
      <w:rFonts w:ascii="Times New Roman" w:hAnsi="Times New Roman"/>
      <w:b/>
      <w:bCs/>
      <w:kern w:val="36"/>
      <w:sz w:val="48"/>
      <w:szCs w:val="48"/>
    </w:rPr>
  </w:style>
  <w:style w:type="paragraph" w:styleId="Heading2">
    <w:name w:val="heading 2"/>
    <w:basedOn w:val="Normal"/>
    <w:next w:val="Normal"/>
    <w:link w:val="Heading2Char"/>
    <w:uiPriority w:val="9"/>
    <w:unhideWhenUsed/>
    <w:qFormat/>
    <w:rsid w:val="00871FC9"/>
    <w:pPr>
      <w:keepNext/>
      <w:keepLines/>
      <w:spacing w:before="200" w:after="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Heading3">
    <w:name w:val="heading 3"/>
    <w:basedOn w:val="Normal"/>
    <w:next w:val="Normal"/>
    <w:link w:val="Heading3Char"/>
    <w:uiPriority w:val="9"/>
    <w:unhideWhenUsed/>
    <w:qFormat/>
    <w:rsid w:val="00871FC9"/>
    <w:pPr>
      <w:keepNext/>
      <w:keepLines/>
      <w:spacing w:before="200" w:after="0" w:line="276" w:lineRule="auto"/>
      <w:outlineLvl w:val="2"/>
    </w:pPr>
    <w:rPr>
      <w:rFonts w:asciiTheme="majorHAnsi" w:eastAsiaTheme="majorEastAsia" w:hAnsiTheme="majorHAnsi" w:cstheme="majorBidi"/>
      <w:b/>
      <w:bCs/>
      <w:color w:val="4F81BD" w:themeColor="accent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sid w:val="00197121"/>
    <w:rPr>
      <w:color w:val="800080"/>
      <w:u w:val="single"/>
    </w:rPr>
  </w:style>
  <w:style w:type="paragraph" w:styleId="Header">
    <w:name w:val="header"/>
    <w:basedOn w:val="Normal"/>
    <w:rsid w:val="00197121"/>
    <w:pPr>
      <w:tabs>
        <w:tab w:val="center" w:pos="4153"/>
        <w:tab w:val="right" w:pos="8306"/>
      </w:tabs>
    </w:pPr>
  </w:style>
  <w:style w:type="paragraph" w:styleId="Footer">
    <w:name w:val="footer"/>
    <w:basedOn w:val="Normal"/>
    <w:rsid w:val="00197121"/>
    <w:pPr>
      <w:tabs>
        <w:tab w:val="center" w:pos="4153"/>
        <w:tab w:val="right" w:pos="8306"/>
      </w:tabs>
    </w:pPr>
  </w:style>
  <w:style w:type="character" w:styleId="Hyperlink">
    <w:name w:val="Hyperlink"/>
    <w:uiPriority w:val="99"/>
    <w:rsid w:val="00CD4C37"/>
    <w:rPr>
      <w:color w:val="0000FF"/>
      <w:u w:val="single"/>
    </w:rPr>
  </w:style>
  <w:style w:type="paragraph" w:styleId="BalloonText">
    <w:name w:val="Balloon Text"/>
    <w:basedOn w:val="Normal"/>
    <w:link w:val="BalloonTextChar"/>
    <w:rsid w:val="00CA4C45"/>
    <w:pPr>
      <w:spacing w:after="0"/>
    </w:pPr>
    <w:rPr>
      <w:rFonts w:ascii="Tahoma" w:hAnsi="Tahoma" w:cs="Tahoma"/>
      <w:sz w:val="16"/>
      <w:szCs w:val="16"/>
    </w:rPr>
  </w:style>
  <w:style w:type="character" w:customStyle="1" w:styleId="BalloonTextChar">
    <w:name w:val="Balloon Text Char"/>
    <w:basedOn w:val="DefaultParagraphFont"/>
    <w:link w:val="BalloonText"/>
    <w:rsid w:val="00CA4C45"/>
    <w:rPr>
      <w:rFonts w:ascii="Tahoma" w:hAnsi="Tahoma" w:cs="Tahoma"/>
      <w:sz w:val="16"/>
      <w:szCs w:val="16"/>
    </w:rPr>
  </w:style>
  <w:style w:type="character" w:customStyle="1" w:styleId="Heading1Char">
    <w:name w:val="Heading 1 Char"/>
    <w:basedOn w:val="DefaultParagraphFont"/>
    <w:link w:val="Heading1"/>
    <w:uiPriority w:val="9"/>
    <w:rsid w:val="00871FC9"/>
    <w:rPr>
      <w:b/>
      <w:bCs/>
      <w:kern w:val="36"/>
      <w:sz w:val="48"/>
      <w:szCs w:val="48"/>
    </w:rPr>
  </w:style>
  <w:style w:type="character" w:customStyle="1" w:styleId="Heading2Char">
    <w:name w:val="Heading 2 Char"/>
    <w:basedOn w:val="DefaultParagraphFont"/>
    <w:link w:val="Heading2"/>
    <w:uiPriority w:val="9"/>
    <w:rsid w:val="00871FC9"/>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uiPriority w:val="9"/>
    <w:rsid w:val="00871FC9"/>
    <w:rPr>
      <w:rFonts w:asciiTheme="majorHAnsi" w:eastAsiaTheme="majorEastAsia" w:hAnsiTheme="majorHAnsi" w:cstheme="majorBidi"/>
      <w:b/>
      <w:bCs/>
      <w:color w:val="4F81BD" w:themeColor="accent1"/>
      <w:sz w:val="22"/>
      <w:szCs w:val="22"/>
      <w:lang w:eastAsia="en-US"/>
    </w:rPr>
  </w:style>
  <w:style w:type="paragraph" w:styleId="ListParagraph">
    <w:name w:val="List Paragraph"/>
    <w:basedOn w:val="Normal"/>
    <w:uiPriority w:val="34"/>
    <w:qFormat/>
    <w:rsid w:val="00871FC9"/>
    <w:pPr>
      <w:spacing w:after="200" w:line="276" w:lineRule="auto"/>
      <w:ind w:left="720"/>
      <w:contextualSpacing/>
    </w:pPr>
    <w:rPr>
      <w:rFonts w:ascii="Calibri" w:eastAsiaTheme="minorHAnsi" w:hAnsi="Calibri" w:cstheme="minorBidi"/>
      <w:szCs w:val="22"/>
      <w:lang w:eastAsia="en-US"/>
    </w:rPr>
  </w:style>
  <w:style w:type="paragraph" w:styleId="NormalWeb">
    <w:name w:val="Normal (Web)"/>
    <w:basedOn w:val="Normal"/>
    <w:uiPriority w:val="99"/>
    <w:unhideWhenUsed/>
    <w:rsid w:val="00871FC9"/>
    <w:pPr>
      <w:spacing w:before="100" w:beforeAutospacing="1" w:after="100" w:afterAutospacing="1"/>
    </w:pPr>
    <w:rPr>
      <w:rFonts w:ascii="Times New Roman" w:hAnsi="Times New Roman"/>
      <w:sz w:val="24"/>
    </w:rPr>
  </w:style>
  <w:style w:type="paragraph" w:customStyle="1" w:styleId="BoxText">
    <w:name w:val="Box Text"/>
    <w:basedOn w:val="Normal"/>
    <w:unhideWhenUsed/>
    <w:rsid w:val="00871FC9"/>
    <w:pPr>
      <w:spacing w:after="100"/>
    </w:pPr>
    <w:rPr>
      <w:rFonts w:ascii="Calibri Light" w:hAnsi="Calibri Light"/>
      <w:color w:val="4F81BD" w:themeColor="accent1"/>
      <w:szCs w:val="20"/>
    </w:rPr>
  </w:style>
  <w:style w:type="character" w:styleId="CommentReference">
    <w:name w:val="annotation reference"/>
    <w:basedOn w:val="DefaultParagraphFont"/>
    <w:uiPriority w:val="99"/>
    <w:unhideWhenUsed/>
    <w:rsid w:val="00871FC9"/>
    <w:rPr>
      <w:sz w:val="16"/>
      <w:szCs w:val="16"/>
    </w:rPr>
  </w:style>
  <w:style w:type="paragraph" w:styleId="CommentText">
    <w:name w:val="annotation text"/>
    <w:basedOn w:val="Normal"/>
    <w:link w:val="CommentTextChar"/>
    <w:uiPriority w:val="99"/>
    <w:unhideWhenUsed/>
    <w:rsid w:val="00871FC9"/>
    <w:pPr>
      <w:spacing w:after="20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871FC9"/>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rsid w:val="00465B8D"/>
    <w:pPr>
      <w:spacing w:after="120"/>
    </w:pPr>
    <w:rPr>
      <w:rFonts w:ascii="Arial" w:eastAsia="Times New Roman" w:hAnsi="Arial" w:cs="Times New Roman"/>
      <w:b/>
      <w:bCs/>
      <w:lang w:eastAsia="en-AU"/>
    </w:rPr>
  </w:style>
  <w:style w:type="character" w:customStyle="1" w:styleId="CommentSubjectChar">
    <w:name w:val="Comment Subject Char"/>
    <w:basedOn w:val="CommentTextChar"/>
    <w:link w:val="CommentSubject"/>
    <w:rsid w:val="00465B8D"/>
    <w:rPr>
      <w:rFonts w:ascii="Arial" w:eastAsiaTheme="minorHAnsi" w:hAnsi="Arial" w:cstheme="minorBid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ato.gov.au/uploadedFiles/Content/MEI/downloads/BUS00321342n74109.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softwaredevelopers.ato.gov.au/TPARspecification"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0.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f7bc583-7cbe-45b9-a2bd-8bbb6543b37e">2017RG-269-927</_dlc_DocId>
    <_dlc_DocIdUrl xmlns="9f7bc583-7cbe-45b9-a2bd-8bbb6543b37e">
      <Url>http://tweb/sites/rg/iitd/rr/_layouts/15/DocIdRedir.aspx?ID=2017RG-269-927</Url>
      <Description>2017RG-269-927</Description>
    </_dlc_DocIdUrl>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RA-9242 - Destroy 10 years after action completed</TermName>
          <TermId xmlns="http://schemas.microsoft.com/office/infopath/2007/PartnerControls">f06ddbdb-86df-426a-bbc0-a9044fd46ab3</TermId>
        </TermInfo>
      </Terms>
    </lb508a4dc5e84436a0fe496b536466aa>
    <IconOverlay xmlns="http://schemas.microsoft.com/sharepoint/v4" xsi:nil="true"/>
    <TaxCatchAll xmlns="9f7bc583-7cbe-45b9-a2bd-8bbb6543b37e">
      <Value>8</Value>
    </TaxCatchAl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5.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27942E2C4BAF1148BAD47705F549ED9C" ma:contentTypeVersion="6253" ma:contentTypeDescription="" ma:contentTypeScope="" ma:versionID="d2a4e28b1d0d36ac5ab2891cb36a8680">
  <xsd:schema xmlns:xsd="http://www.w3.org/2001/XMLSchema" xmlns:xs="http://www.w3.org/2001/XMLSchema" xmlns:p="http://schemas.microsoft.com/office/2006/metadata/properties" xmlns:ns1="http://schemas.microsoft.com/sharepoint/v3" xmlns:ns2="9f7bc583-7cbe-45b9-a2bd-8bbb6543b37e" xmlns:ns4="http://schemas.microsoft.com/sharepoint/v4" targetNamespace="http://schemas.microsoft.com/office/2006/metadata/properties" ma:root="true" ma:fieldsID="b215186dd4cce1c30c83f21e367562a8" ns1:_="" ns2:_="" ns4:_="">
    <xsd:import namespace="http://schemas.microsoft.com/sharepoint/v3"/>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8;#TSY RA-9242 - Destroy 10 years after action completed|f06ddbdb-86df-426a-bbc0-a9044fd46ab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259CB6-22B4-4466-BCD4-3F3C75F02A65}">
  <ds:schemaRefs>
    <ds:schemaRef ds:uri="http://schemas.microsoft.com/sharepoint/v4"/>
    <ds:schemaRef ds:uri="http://www.w3.org/XML/1998/namespace"/>
    <ds:schemaRef ds:uri="http://schemas.microsoft.com/office/2006/documentManagement/types"/>
    <ds:schemaRef ds:uri="http://purl.org/dc/terms/"/>
    <ds:schemaRef ds:uri="http://purl.org/dc/dcmitype/"/>
    <ds:schemaRef ds:uri="http://purl.org/dc/elements/1.1/"/>
    <ds:schemaRef ds:uri="http://schemas.microsoft.com/office/infopath/2007/PartnerControls"/>
    <ds:schemaRef ds:uri="http://schemas.openxmlformats.org/package/2006/metadata/core-properties"/>
    <ds:schemaRef ds:uri="9f7bc583-7cbe-45b9-a2bd-8bbb6543b37e"/>
    <ds:schemaRef ds:uri="http://schemas.microsoft.com/sharepoint/v3"/>
    <ds:schemaRef ds:uri="http://schemas.microsoft.com/office/2006/metadata/properties"/>
  </ds:schemaRefs>
</ds:datastoreItem>
</file>

<file path=customXml/itemProps2.xml><?xml version="1.0" encoding="utf-8"?>
<ds:datastoreItem xmlns:ds="http://schemas.openxmlformats.org/officeDocument/2006/customXml" ds:itemID="{72ACEAA3-7A1F-48DF-AC8A-C24CF6898018}">
  <ds:schemaRefs>
    <ds:schemaRef ds:uri="http://schemas.microsoft.com/sharepoint/v3/contenttype/forms"/>
  </ds:schemaRefs>
</ds:datastoreItem>
</file>

<file path=customXml/itemProps3.xml><?xml version="1.0" encoding="utf-8"?>
<ds:datastoreItem xmlns:ds="http://schemas.openxmlformats.org/officeDocument/2006/customXml" ds:itemID="{111FEAB3-2E86-479A-9DFB-3BE96C2C9729}">
  <ds:schemaRefs>
    <ds:schemaRef ds:uri="office.server.policy"/>
  </ds:schemaRefs>
</ds:datastoreItem>
</file>

<file path=customXml/itemProps4.xml><?xml version="1.0" encoding="utf-8"?>
<ds:datastoreItem xmlns:ds="http://schemas.openxmlformats.org/officeDocument/2006/customXml" ds:itemID="{716C11AD-3ACE-4AF9-BE72-ACF76AC8374B}">
  <ds:schemaRefs>
    <ds:schemaRef ds:uri="http://schemas.microsoft.com/sharepoint/events"/>
  </ds:schemaRefs>
</ds:datastoreItem>
</file>

<file path=customXml/itemProps5.xml><?xml version="1.0" encoding="utf-8"?>
<ds:datastoreItem xmlns:ds="http://schemas.openxmlformats.org/officeDocument/2006/customXml" ds:itemID="{85D39863-A6CE-40CF-8462-6B165D17D1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7bc583-7cbe-45b9-a2bd-8bbb6543b37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1496</Words>
  <Characters>7935</Characters>
  <Application>Microsoft Office Word</Application>
  <DocSecurity>0</DocSecurity>
  <Lines>158</Lines>
  <Paragraphs>94</Paragraphs>
  <ScaleCrop>false</ScaleCrop>
  <HeadingPairs>
    <vt:vector size="2" baseType="variant">
      <vt:variant>
        <vt:lpstr>Title</vt:lpstr>
      </vt:variant>
      <vt:variant>
        <vt:i4>1</vt:i4>
      </vt:variant>
    </vt:vector>
  </HeadingPairs>
  <TitlesOfParts>
    <vt:vector size="1" baseType="lpstr">
      <vt:lpstr>Draft Guidance: Expansion of the taxable payments reporting system to contractors in the courier and cleaning industries</vt:lpstr>
    </vt:vector>
  </TitlesOfParts>
  <Company>Australian Taxation Office</Company>
  <LinksUpToDate>false</LinksUpToDate>
  <CharactersWithSpaces>9337</CharactersWithSpaces>
  <SharedDoc>false</SharedDoc>
  <HLinks>
    <vt:vector size="6" baseType="variant">
      <vt:variant>
        <vt:i4>720916</vt:i4>
      </vt:variant>
      <vt:variant>
        <vt:i4>6</vt:i4>
      </vt:variant>
      <vt:variant>
        <vt:i4>0</vt:i4>
      </vt:variant>
      <vt:variant>
        <vt:i4>5</vt:i4>
      </vt:variant>
      <vt:variant>
        <vt:lpwstr>http://myato/interim/pages/64301.aspx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Guidance: Expansion of the taxable payments reporting system to contractors in the courier and cleaning industries</dc:title>
  <dc:creator>Treasury</dc:creator>
  <cp:lastModifiedBy>Hill, Christine</cp:lastModifiedBy>
  <cp:revision>3</cp:revision>
  <cp:lastPrinted>2017-10-17T05:29:00Z</cp:lastPrinted>
  <dcterms:created xsi:type="dcterms:W3CDTF">2017-10-18T22:39:00Z</dcterms:created>
  <dcterms:modified xsi:type="dcterms:W3CDTF">2017-10-18T23:00:00Z</dcterms:modified>
</cp:coreProperties>
</file>