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8C0BBA" w14:textId="77777777" w:rsidR="00117724" w:rsidRDefault="00FE6509">
      <w:r>
        <w:t>10</w:t>
      </w:r>
      <w:r w:rsidR="00117724">
        <w:t xml:space="preserve"> March 2018</w:t>
      </w:r>
      <w:bookmarkStart w:id="0" w:name="_GoBack"/>
      <w:bookmarkEnd w:id="0"/>
    </w:p>
    <w:p w14:paraId="388C0BBB" w14:textId="77777777" w:rsidR="00117724" w:rsidRDefault="00117724"/>
    <w:p w14:paraId="388C0BBC" w14:textId="77777777" w:rsidR="00117724" w:rsidRDefault="00117724">
      <w:r>
        <w:t>Dr</w:t>
      </w:r>
      <w:r w:rsidR="0099385B">
        <w:t>.</w:t>
      </w:r>
      <w:r>
        <w:t xml:space="preserve"> Bradley Pragnell</w:t>
      </w:r>
      <w:r>
        <w:br/>
        <w:t>Principal, 34 South 45 North Consulting</w:t>
      </w:r>
      <w:r w:rsidR="005043AA">
        <w:br/>
      </w:r>
      <w:hyperlink r:id="rId14" w:history="1">
        <w:r w:rsidR="0010123B" w:rsidRPr="00570684">
          <w:rPr>
            <w:rStyle w:val="Hyperlink"/>
          </w:rPr>
          <w:t>https://www.linkedin.com/in/bradpragnell/</w:t>
        </w:r>
      </w:hyperlink>
      <w:r w:rsidR="0010123B">
        <w:br/>
      </w:r>
      <w:r>
        <w:t xml:space="preserve">Contact: </w:t>
      </w:r>
      <w:hyperlink r:id="rId15" w:history="1">
        <w:r w:rsidR="005043AA" w:rsidRPr="00570684">
          <w:rPr>
            <w:rStyle w:val="Hyperlink"/>
          </w:rPr>
          <w:t>brad.pragnell@gmail.com</w:t>
        </w:r>
      </w:hyperlink>
    </w:p>
    <w:p w14:paraId="388C0BBD" w14:textId="77777777" w:rsidR="00FE6509" w:rsidRDefault="00FE6509"/>
    <w:p w14:paraId="388C0BBE" w14:textId="77777777" w:rsidR="005043AA" w:rsidRDefault="005043AA">
      <w:r>
        <w:t>Review into Open Banking in Australia</w:t>
      </w:r>
      <w:r>
        <w:br/>
        <w:t>data@treasury.gov.au</w:t>
      </w:r>
    </w:p>
    <w:p w14:paraId="388C0BBF" w14:textId="77777777" w:rsidR="00FE6509" w:rsidRDefault="00FE6509">
      <w:pPr>
        <w:rPr>
          <w:b/>
        </w:rPr>
      </w:pPr>
    </w:p>
    <w:p w14:paraId="388C0BC0" w14:textId="77777777" w:rsidR="00AA4045" w:rsidRPr="005043AA" w:rsidRDefault="005043AA">
      <w:pPr>
        <w:rPr>
          <w:b/>
        </w:rPr>
      </w:pPr>
      <w:r>
        <w:rPr>
          <w:b/>
        </w:rPr>
        <w:t>Submission on “</w:t>
      </w:r>
      <w:r w:rsidR="00117724" w:rsidRPr="005043AA">
        <w:rPr>
          <w:b/>
        </w:rPr>
        <w:t xml:space="preserve">Review </w:t>
      </w:r>
      <w:r w:rsidRPr="005043AA">
        <w:rPr>
          <w:b/>
        </w:rPr>
        <w:t xml:space="preserve">into </w:t>
      </w:r>
      <w:r w:rsidR="00E66E0D" w:rsidRPr="005043AA">
        <w:rPr>
          <w:b/>
        </w:rPr>
        <w:t xml:space="preserve">Open </w:t>
      </w:r>
      <w:r w:rsidRPr="005043AA">
        <w:rPr>
          <w:b/>
        </w:rPr>
        <w:t>B</w:t>
      </w:r>
      <w:r w:rsidR="00E66E0D" w:rsidRPr="005043AA">
        <w:rPr>
          <w:b/>
        </w:rPr>
        <w:t>anking</w:t>
      </w:r>
      <w:r w:rsidRPr="005043AA">
        <w:rPr>
          <w:b/>
        </w:rPr>
        <w:t xml:space="preserve"> in Australia – Final Report</w:t>
      </w:r>
      <w:r>
        <w:rPr>
          <w:b/>
        </w:rPr>
        <w:t>”</w:t>
      </w:r>
    </w:p>
    <w:p w14:paraId="388C0BC1" w14:textId="77777777" w:rsidR="00290736" w:rsidRDefault="00290736">
      <w:r>
        <w:t>I am pleased to be making this submission to</w:t>
      </w:r>
      <w:r w:rsidR="00117724">
        <w:t xml:space="preserve"> the Open Banking Review</w:t>
      </w:r>
      <w:r>
        <w:t xml:space="preserve"> </w:t>
      </w:r>
      <w:r w:rsidR="005043AA">
        <w:t xml:space="preserve">Final Report </w:t>
      </w:r>
      <w:r>
        <w:t xml:space="preserve">and wish to congratulate </w:t>
      </w:r>
      <w:r w:rsidR="005043AA">
        <w:t xml:space="preserve">Scott Farrell </w:t>
      </w:r>
      <w:r w:rsidR="00022429">
        <w:t>a</w:t>
      </w:r>
      <w:r>
        <w:t xml:space="preserve">nd the secretariat on </w:t>
      </w:r>
      <w:r w:rsidR="002272D1">
        <w:t xml:space="preserve">its </w:t>
      </w:r>
      <w:r w:rsidR="00080EC4">
        <w:t xml:space="preserve">completion.  </w:t>
      </w:r>
      <w:r w:rsidR="0081698C">
        <w:t xml:space="preserve">The Final Report </w:t>
      </w:r>
      <w:r>
        <w:t>provides an excellent foundation for the introduction of open banking in Australia.</w:t>
      </w:r>
    </w:p>
    <w:p w14:paraId="388C0BC2" w14:textId="77777777" w:rsidR="00117724" w:rsidRDefault="00117724">
      <w:r>
        <w:t xml:space="preserve">Please note </w:t>
      </w:r>
      <w:r w:rsidR="00290736">
        <w:t xml:space="preserve">I am making </w:t>
      </w:r>
      <w:r>
        <w:t>this submission in a personal capacity</w:t>
      </w:r>
      <w:r w:rsidR="00290736">
        <w:t xml:space="preserve">.  The views expressed in this submission are my own and should not be taken to </w:t>
      </w:r>
      <w:r>
        <w:t>represent the views of my current or previous clients or employers.</w:t>
      </w:r>
    </w:p>
    <w:p w14:paraId="388C0BC3" w14:textId="77777777" w:rsidR="0016317A" w:rsidRDefault="00290736">
      <w:r>
        <w:t xml:space="preserve">By way of background, I have </w:t>
      </w:r>
      <w:r w:rsidR="005043AA">
        <w:t>previously held senior policy positions</w:t>
      </w:r>
      <w:r>
        <w:t xml:space="preserve"> with</w:t>
      </w:r>
      <w:r w:rsidR="005043AA">
        <w:t>in financial services</w:t>
      </w:r>
      <w:r>
        <w:t xml:space="preserve"> industry and professional bodies and</w:t>
      </w:r>
      <w:r w:rsidR="005043AA">
        <w:t xml:space="preserve"> </w:t>
      </w:r>
      <w:r>
        <w:t xml:space="preserve">have had significant </w:t>
      </w:r>
      <w:r w:rsidR="0016317A">
        <w:t xml:space="preserve">involvement and </w:t>
      </w:r>
      <w:r>
        <w:t xml:space="preserve">exposure to the challenges associated with </w:t>
      </w:r>
      <w:r w:rsidR="0016317A">
        <w:t xml:space="preserve">cross-industry </w:t>
      </w:r>
      <w:r>
        <w:t xml:space="preserve">data </w:t>
      </w:r>
      <w:r w:rsidR="00080EC4">
        <w:t xml:space="preserve">standardisation and </w:t>
      </w:r>
      <w:r>
        <w:t xml:space="preserve">regulation in Australia.  </w:t>
      </w:r>
      <w:r w:rsidR="0016317A">
        <w:t xml:space="preserve">Of </w:t>
      </w:r>
      <w:r w:rsidR="002272D1">
        <w:t xml:space="preserve">particular </w:t>
      </w:r>
      <w:r w:rsidR="0016317A">
        <w:t xml:space="preserve">relevance has been the </w:t>
      </w:r>
      <w:r>
        <w:t>establishment of the Gateway Network Governance Body</w:t>
      </w:r>
      <w:r w:rsidR="002272D1">
        <w:t xml:space="preserve"> (GNGB)</w:t>
      </w:r>
      <w:r>
        <w:t>, which performs a self-regulatory role within the Sup</w:t>
      </w:r>
      <w:r w:rsidR="0016317A">
        <w:t>e</w:t>
      </w:r>
      <w:r>
        <w:t xml:space="preserve">rStream ecosystem, </w:t>
      </w:r>
      <w:r w:rsidR="0016317A">
        <w:t>on which I was a member of the working group</w:t>
      </w:r>
      <w:r w:rsidR="002272D1">
        <w:t xml:space="preserve"> that led to its establishment</w:t>
      </w:r>
      <w:r w:rsidR="0016317A">
        <w:t xml:space="preserve">.  I have also been involved in other superannuation industry </w:t>
      </w:r>
      <w:r w:rsidR="00022429">
        <w:t>initiatives</w:t>
      </w:r>
      <w:r w:rsidR="0016317A">
        <w:t xml:space="preserve">, </w:t>
      </w:r>
      <w:r w:rsidR="00022429">
        <w:t>such</w:t>
      </w:r>
      <w:r w:rsidR="0016317A">
        <w:t xml:space="preserve"> as SuperEC / SWIMEC </w:t>
      </w:r>
      <w:r w:rsidR="00080EC4">
        <w:t xml:space="preserve">which preceded SuperStream, and </w:t>
      </w:r>
      <w:r w:rsidR="0016317A">
        <w:t>the establishment of the New Payments Platform.</w:t>
      </w:r>
      <w:r w:rsidR="00FE6509">
        <w:rPr>
          <w:rStyle w:val="FootnoteReference"/>
        </w:rPr>
        <w:footnoteReference w:id="1"/>
      </w:r>
      <w:r w:rsidR="0016317A">
        <w:t xml:space="preserve">  </w:t>
      </w:r>
    </w:p>
    <w:p w14:paraId="388C0BC4" w14:textId="77777777" w:rsidR="00E66E0D" w:rsidRPr="00080EC4" w:rsidRDefault="00E66E0D">
      <w:pPr>
        <w:rPr>
          <w:b/>
        </w:rPr>
      </w:pPr>
      <w:r w:rsidRPr="00080EC4">
        <w:rPr>
          <w:b/>
        </w:rPr>
        <w:t>Overall</w:t>
      </w:r>
      <w:r w:rsidR="00FE6509">
        <w:rPr>
          <w:b/>
        </w:rPr>
        <w:t xml:space="preserve"> Comments</w:t>
      </w:r>
    </w:p>
    <w:p w14:paraId="388C0BC5" w14:textId="77777777" w:rsidR="0016317A" w:rsidRDefault="003E150E">
      <w:r>
        <w:t xml:space="preserve">The Final Report </w:t>
      </w:r>
      <w:r w:rsidR="0016317A">
        <w:t>provid</w:t>
      </w:r>
      <w:r>
        <w:t xml:space="preserve">es the Commonwealth </w:t>
      </w:r>
      <w:r w:rsidR="0016317A">
        <w:t xml:space="preserve">Government with a </w:t>
      </w:r>
      <w:r w:rsidR="002272D1">
        <w:t xml:space="preserve">series of </w:t>
      </w:r>
      <w:r w:rsidR="0016317A">
        <w:t>sensible recommendation</w:t>
      </w:r>
      <w:r>
        <w:t>s</w:t>
      </w:r>
      <w:r w:rsidR="0016317A">
        <w:t xml:space="preserve"> that </w:t>
      </w:r>
      <w:r w:rsidR="002272D1">
        <w:t xml:space="preserve">will </w:t>
      </w:r>
      <w:r w:rsidR="0016317A">
        <w:t>provide a strong policy framework</w:t>
      </w:r>
      <w:r w:rsidR="002272D1">
        <w:t xml:space="preserve"> for open banking</w:t>
      </w:r>
      <w:r w:rsidR="0016317A">
        <w:t xml:space="preserve">.  The </w:t>
      </w:r>
      <w:r>
        <w:t xml:space="preserve">Final Report </w:t>
      </w:r>
      <w:r w:rsidR="0016317A">
        <w:t xml:space="preserve">rightly places the consumer at the centre </w:t>
      </w:r>
      <w:r>
        <w:t xml:space="preserve">of </w:t>
      </w:r>
      <w:r w:rsidR="002272D1">
        <w:t xml:space="preserve">this </w:t>
      </w:r>
      <w:r w:rsidR="0016317A">
        <w:t>framework</w:t>
      </w:r>
      <w:r>
        <w:t xml:space="preserve">, with a regulated environment, requirements for </w:t>
      </w:r>
      <w:r w:rsidR="002272D1">
        <w:t xml:space="preserve">customer </w:t>
      </w:r>
      <w:r>
        <w:t xml:space="preserve">consent, reciprocity of access to data and the allocation of liability </w:t>
      </w:r>
      <w:r w:rsidR="0081698C">
        <w:t xml:space="preserve">being </w:t>
      </w:r>
      <w:r>
        <w:t>foundational principles.  As well, o</w:t>
      </w:r>
      <w:r w:rsidR="0016317A">
        <w:t xml:space="preserve">pen banking </w:t>
      </w:r>
      <w:r>
        <w:t xml:space="preserve">is clearly distinguished from </w:t>
      </w:r>
      <w:r w:rsidR="0016317A">
        <w:t>APIs</w:t>
      </w:r>
      <w:r w:rsidR="002272D1">
        <w:t>,</w:t>
      </w:r>
      <w:r w:rsidR="0016317A">
        <w:t xml:space="preserve"> </w:t>
      </w:r>
      <w:r>
        <w:t xml:space="preserve">with </w:t>
      </w:r>
      <w:r w:rsidR="002272D1">
        <w:t xml:space="preserve">clarity provided </w:t>
      </w:r>
      <w:r>
        <w:t xml:space="preserve">that </w:t>
      </w:r>
      <w:r w:rsidR="0016317A">
        <w:t xml:space="preserve">open banking </w:t>
      </w:r>
      <w:r>
        <w:t xml:space="preserve">is </w:t>
      </w:r>
      <w:r w:rsidR="0016317A">
        <w:t xml:space="preserve">the policy framework </w:t>
      </w:r>
      <w:r w:rsidR="002272D1">
        <w:t xml:space="preserve">while </w:t>
      </w:r>
      <w:r w:rsidR="0016317A">
        <w:t xml:space="preserve">APIs </w:t>
      </w:r>
      <w:r>
        <w:t xml:space="preserve">are </w:t>
      </w:r>
      <w:r w:rsidR="0016317A">
        <w:t xml:space="preserve">a means </w:t>
      </w:r>
      <w:r w:rsidR="0081698C">
        <w:t xml:space="preserve">by which certain </w:t>
      </w:r>
      <w:r w:rsidR="0016317A">
        <w:t>policy objectives</w:t>
      </w:r>
      <w:r w:rsidR="0081698C">
        <w:t xml:space="preserve"> can be achieved</w:t>
      </w:r>
      <w:r w:rsidR="0016317A">
        <w:t xml:space="preserve">.  </w:t>
      </w:r>
    </w:p>
    <w:p w14:paraId="388C0BC6" w14:textId="77777777" w:rsidR="0016317A" w:rsidRDefault="0016317A">
      <w:r>
        <w:t>These principles, with</w:t>
      </w:r>
      <w:r w:rsidR="002272D1">
        <w:t>in</w:t>
      </w:r>
      <w:r>
        <w:t xml:space="preserve"> a layered approach, </w:t>
      </w:r>
      <w:r w:rsidR="002272D1">
        <w:t xml:space="preserve">will create </w:t>
      </w:r>
      <w:r>
        <w:t>a</w:t>
      </w:r>
      <w:r w:rsidR="003E150E">
        <w:t xml:space="preserve">n ecosystem </w:t>
      </w:r>
      <w:r>
        <w:t xml:space="preserve">that will </w:t>
      </w:r>
      <w:r w:rsidR="002272D1">
        <w:t xml:space="preserve">foster </w:t>
      </w:r>
      <w:r>
        <w:t xml:space="preserve">innovation and competition while also managing risks to consumers, individual participants and the system as a whole.  </w:t>
      </w:r>
      <w:r>
        <w:lastRenderedPageBreak/>
        <w:t xml:space="preserve">Further establishing a lead regulator </w:t>
      </w:r>
      <w:r w:rsidR="002272D1">
        <w:t xml:space="preserve">with </w:t>
      </w:r>
      <w:r>
        <w:t>overall responsibility for data sharing helps to mitigate against fragmentation across industries.</w:t>
      </w:r>
    </w:p>
    <w:p w14:paraId="388C0BC7" w14:textId="77777777" w:rsidR="0081698C" w:rsidRDefault="00B11934" w:rsidP="0081698C">
      <w:r w:rsidRPr="00FE6509">
        <w:rPr>
          <w:b/>
        </w:rPr>
        <w:t xml:space="preserve">Comments on Specific </w:t>
      </w:r>
      <w:r w:rsidR="00022429" w:rsidRPr="00FE6509">
        <w:rPr>
          <w:b/>
        </w:rPr>
        <w:t>Recommendations</w:t>
      </w:r>
      <w:r w:rsidR="0081698C" w:rsidRPr="0081698C">
        <w:t xml:space="preserve"> </w:t>
      </w:r>
    </w:p>
    <w:p w14:paraId="388C0BC8" w14:textId="77777777" w:rsidR="0081698C" w:rsidRDefault="0081698C" w:rsidP="0081698C">
      <w:r>
        <w:t xml:space="preserve">My comments on the recommendations below are primarily based on my experience with data-standards setting.  Importantly, this process cannot be thought of as merely a technical problem or an objective evaluation of competing technologies or methodologies.  It is an intrinsically political process that needs to be led and managed in a fair and diligent fashion. </w:t>
      </w:r>
    </w:p>
    <w:p w14:paraId="388C0BC9" w14:textId="77777777" w:rsidR="00B11934" w:rsidRPr="00FE6509" w:rsidRDefault="003E150E">
      <w:pPr>
        <w:rPr>
          <w:b/>
          <w:i/>
        </w:rPr>
      </w:pPr>
      <w:r w:rsidRPr="00FE6509">
        <w:rPr>
          <w:b/>
          <w:i/>
        </w:rPr>
        <w:t xml:space="preserve">Recommendation 2.1 </w:t>
      </w:r>
      <w:r w:rsidR="00FE6509">
        <w:rPr>
          <w:b/>
          <w:i/>
        </w:rPr>
        <w:t xml:space="preserve">- </w:t>
      </w:r>
      <w:r w:rsidRPr="00FE6509">
        <w:rPr>
          <w:b/>
          <w:i/>
        </w:rPr>
        <w:t xml:space="preserve">The </w:t>
      </w:r>
      <w:r w:rsidR="00B11934" w:rsidRPr="00FE6509">
        <w:rPr>
          <w:b/>
          <w:i/>
        </w:rPr>
        <w:t>Regulator</w:t>
      </w:r>
      <w:r w:rsidRPr="00FE6509">
        <w:rPr>
          <w:b/>
          <w:i/>
        </w:rPr>
        <w:t xml:space="preserve"> Model</w:t>
      </w:r>
    </w:p>
    <w:p w14:paraId="388C0BCA" w14:textId="77777777" w:rsidR="00FE6509" w:rsidRDefault="00B11934">
      <w:r>
        <w:t>The ACCC is a s</w:t>
      </w:r>
      <w:r w:rsidR="003E150E">
        <w:t xml:space="preserve">ensible </w:t>
      </w:r>
      <w:r>
        <w:t xml:space="preserve">choice as </w:t>
      </w:r>
      <w:r w:rsidR="003E150E">
        <w:t xml:space="preserve">the lead regulator as </w:t>
      </w:r>
      <w:r>
        <w:t>it has a clear competition and consumer protection mandate and can provide economy-wide coordination that would be more difficult with one of the financial services</w:t>
      </w:r>
      <w:r w:rsidR="003E150E">
        <w:t xml:space="preserve"> </w:t>
      </w:r>
      <w:r>
        <w:t xml:space="preserve">regulators.  </w:t>
      </w:r>
    </w:p>
    <w:p w14:paraId="388C0BCB" w14:textId="77777777" w:rsidR="00B11934" w:rsidRDefault="00B11934">
      <w:r>
        <w:t>While the OA</w:t>
      </w:r>
      <w:r w:rsidR="002272D1">
        <w:t>I</w:t>
      </w:r>
      <w:r>
        <w:t>C should play an important role, it will be very important for the financial services regulators such as ASIC, APRA and the RBA</w:t>
      </w:r>
      <w:r w:rsidR="003E150E">
        <w:t xml:space="preserve"> to be fully engaged</w:t>
      </w:r>
      <w:r>
        <w:t>.   Other agencies, such as the A</w:t>
      </w:r>
      <w:r w:rsidR="003E150E">
        <w:t xml:space="preserve">ustralian </w:t>
      </w:r>
      <w:r>
        <w:t>T</w:t>
      </w:r>
      <w:r w:rsidR="003E150E">
        <w:t xml:space="preserve">axation </w:t>
      </w:r>
      <w:r>
        <w:t>O</w:t>
      </w:r>
      <w:r w:rsidR="003E150E">
        <w:t>ffice</w:t>
      </w:r>
      <w:r>
        <w:t>, should be consulted</w:t>
      </w:r>
      <w:r w:rsidR="003E150E">
        <w:t>,</w:t>
      </w:r>
      <w:r>
        <w:t xml:space="preserve"> as </w:t>
      </w:r>
      <w:r w:rsidR="003E150E">
        <w:t xml:space="preserve">well, as </w:t>
      </w:r>
      <w:r>
        <w:t>they have experience with data standards with</w:t>
      </w:r>
      <w:r w:rsidR="002272D1">
        <w:t>in</w:t>
      </w:r>
      <w:r>
        <w:t xml:space="preserve"> Super</w:t>
      </w:r>
      <w:r w:rsidR="003E150E">
        <w:t>S</w:t>
      </w:r>
      <w:r>
        <w:t xml:space="preserve">tream and with catalyzing the establishment of industry governance bodies such as the GNGB.  </w:t>
      </w:r>
    </w:p>
    <w:p w14:paraId="388C0BCC" w14:textId="77777777" w:rsidR="0016317A" w:rsidRPr="00FE6509" w:rsidRDefault="00FE6509">
      <w:pPr>
        <w:rPr>
          <w:b/>
          <w:i/>
        </w:rPr>
      </w:pPr>
      <w:r>
        <w:rPr>
          <w:b/>
          <w:i/>
        </w:rPr>
        <w:t xml:space="preserve">Recommendation </w:t>
      </w:r>
      <w:r w:rsidRPr="00FE6509">
        <w:rPr>
          <w:b/>
          <w:i/>
        </w:rPr>
        <w:t xml:space="preserve">2.5 </w:t>
      </w:r>
      <w:r>
        <w:rPr>
          <w:b/>
          <w:i/>
        </w:rPr>
        <w:t xml:space="preserve">- </w:t>
      </w:r>
      <w:r w:rsidRPr="00FE6509">
        <w:rPr>
          <w:b/>
          <w:i/>
        </w:rPr>
        <w:t xml:space="preserve">The </w:t>
      </w:r>
      <w:r w:rsidR="00B11934" w:rsidRPr="00FE6509">
        <w:rPr>
          <w:b/>
          <w:i/>
        </w:rPr>
        <w:t>Standards</w:t>
      </w:r>
      <w:r w:rsidR="0016317A" w:rsidRPr="00FE6509">
        <w:rPr>
          <w:b/>
          <w:i/>
        </w:rPr>
        <w:t xml:space="preserve">       </w:t>
      </w:r>
    </w:p>
    <w:p w14:paraId="388C0BCD" w14:textId="77777777" w:rsidR="00FE6509" w:rsidRDefault="00B11934" w:rsidP="00FE6509">
      <w:r>
        <w:t xml:space="preserve">While </w:t>
      </w:r>
      <w:r w:rsidR="00CC2F9D">
        <w:t>beginning with existing standards (for example</w:t>
      </w:r>
      <w:r w:rsidR="002272D1">
        <w:t>,</w:t>
      </w:r>
      <w:r w:rsidR="00CC2F9D">
        <w:t xml:space="preserve"> the </w:t>
      </w:r>
      <w:r>
        <w:t xml:space="preserve">UK standards </w:t>
      </w:r>
      <w:r w:rsidR="00CC2F9D">
        <w:t>for data transfer) makes sense, it will be important to ensure that A</w:t>
      </w:r>
      <w:r>
        <w:t xml:space="preserve">ustralian standards </w:t>
      </w:r>
      <w:r w:rsidR="00CC2F9D">
        <w:t xml:space="preserve">both </w:t>
      </w:r>
      <w:r>
        <w:t xml:space="preserve">reflect Australian </w:t>
      </w:r>
      <w:r w:rsidR="002272D1">
        <w:t>circumstances</w:t>
      </w:r>
      <w:r w:rsidR="00CC2F9D">
        <w:t xml:space="preserve"> as well as inter-operate globally where possible</w:t>
      </w:r>
      <w:r>
        <w:t xml:space="preserve">.  </w:t>
      </w:r>
      <w:r w:rsidR="00CC2F9D">
        <w:t>As noted in the Final Report</w:t>
      </w:r>
      <w:r>
        <w:t xml:space="preserve">, financial </w:t>
      </w:r>
      <w:r w:rsidR="009501AC">
        <w:t>institutions</w:t>
      </w:r>
      <w:r>
        <w:t xml:space="preserve"> exchange data with </w:t>
      </w:r>
      <w:r w:rsidR="00CC2F9D">
        <w:t>e</w:t>
      </w:r>
      <w:r>
        <w:t>ach other through payment messages.  These payment messages include data standards th</w:t>
      </w:r>
      <w:r w:rsidR="00CC2F9D">
        <w:t>a</w:t>
      </w:r>
      <w:r>
        <w:t xml:space="preserve">t </w:t>
      </w:r>
      <w:r w:rsidR="00CC2F9D">
        <w:t>provide data definitions that are widely used</w:t>
      </w:r>
      <w:r w:rsidR="002272D1">
        <w:t>.  P</w:t>
      </w:r>
      <w:r w:rsidR="00CC2F9D">
        <w:t>ayment systems such as t</w:t>
      </w:r>
      <w:r>
        <w:t>he New Payments Platform ha</w:t>
      </w:r>
      <w:r w:rsidR="002272D1">
        <w:t>ve</w:t>
      </w:r>
      <w:r>
        <w:t xml:space="preserve"> introduced messages based</w:t>
      </w:r>
      <w:r w:rsidR="00CC2F9D">
        <w:t xml:space="preserve"> </w:t>
      </w:r>
      <w:r>
        <w:t>on the ISO 20022 standard</w:t>
      </w:r>
      <w:r w:rsidR="00CC2F9D">
        <w:t xml:space="preserve">, </w:t>
      </w:r>
      <w:r>
        <w:t>which is an open global standard</w:t>
      </w:r>
      <w:r w:rsidR="002272D1">
        <w:t xml:space="preserve"> that will be informative to the development of </w:t>
      </w:r>
      <w:r w:rsidR="001B3CE2">
        <w:t xml:space="preserve">open banking data </w:t>
      </w:r>
      <w:r w:rsidR="002272D1">
        <w:t>standards</w:t>
      </w:r>
      <w:r w:rsidR="00CC2F9D">
        <w:t>.</w:t>
      </w:r>
      <w:r w:rsidR="00FE6509" w:rsidRPr="00FE6509">
        <w:t xml:space="preserve"> </w:t>
      </w:r>
    </w:p>
    <w:p w14:paraId="388C0BCE" w14:textId="77777777" w:rsidR="00FE6509" w:rsidRDefault="00CC2F9D" w:rsidP="00FE6509">
      <w:r>
        <w:t>I</w:t>
      </w:r>
      <w:r w:rsidR="008D7E3B">
        <w:t>n</w:t>
      </w:r>
      <w:r>
        <w:t xml:space="preserve"> considering security standards, careful thought </w:t>
      </w:r>
      <w:r w:rsidR="002272D1">
        <w:t xml:space="preserve">is required on </w:t>
      </w:r>
      <w:r>
        <w:t>network security for the transfer of data between accredited parties.  Historically, financial institutions have relied on secure networks (such as SWIFT or the current Telstra COIN) to provide additional layers of protection for the exchange of sensitive data and to reduce the potential for “</w:t>
      </w:r>
      <w:r w:rsidR="00FE6509">
        <w:t>man in the middle</w:t>
      </w:r>
      <w:r>
        <w:t>”</w:t>
      </w:r>
      <w:r w:rsidR="008D7E3B">
        <w:t xml:space="preserve"> attacks.  Standards are network / network choice will need to find a careful balance between the desire for security and </w:t>
      </w:r>
      <w:r w:rsidR="002272D1">
        <w:t xml:space="preserve">ensuring </w:t>
      </w:r>
      <w:r w:rsidR="008D7E3B">
        <w:t>low barriers to entry</w:t>
      </w:r>
      <w:r w:rsidR="00FE6509">
        <w:t>.</w:t>
      </w:r>
    </w:p>
    <w:p w14:paraId="388C0BCF" w14:textId="77777777" w:rsidR="00B11934" w:rsidRPr="00FE6509" w:rsidRDefault="00FE6509" w:rsidP="00E66E0D">
      <w:pPr>
        <w:rPr>
          <w:b/>
          <w:i/>
        </w:rPr>
      </w:pPr>
      <w:r w:rsidRPr="00FE6509">
        <w:rPr>
          <w:b/>
          <w:i/>
        </w:rPr>
        <w:t>Recommendation 2.6</w:t>
      </w:r>
      <w:r w:rsidR="00B11934" w:rsidRPr="00FE6509">
        <w:rPr>
          <w:b/>
          <w:i/>
        </w:rPr>
        <w:t xml:space="preserve"> </w:t>
      </w:r>
      <w:r w:rsidRPr="00FE6509">
        <w:rPr>
          <w:b/>
          <w:i/>
        </w:rPr>
        <w:t xml:space="preserve">- </w:t>
      </w:r>
      <w:r w:rsidR="00B11934" w:rsidRPr="00FE6509">
        <w:rPr>
          <w:b/>
          <w:i/>
        </w:rPr>
        <w:t>Data Standards Body</w:t>
      </w:r>
    </w:p>
    <w:p w14:paraId="388C0BD0" w14:textId="77777777" w:rsidR="008D7E3B" w:rsidRDefault="008D7E3B" w:rsidP="00FE6509">
      <w:r>
        <w:t xml:space="preserve">The establishment of the </w:t>
      </w:r>
      <w:r w:rsidR="00E66E0D">
        <w:t xml:space="preserve">Data </w:t>
      </w:r>
      <w:r w:rsidR="002272D1">
        <w:t xml:space="preserve">Standards </w:t>
      </w:r>
      <w:r w:rsidR="00E66E0D">
        <w:t xml:space="preserve">Body </w:t>
      </w:r>
      <w:r>
        <w:t xml:space="preserve">is </w:t>
      </w:r>
      <w:r w:rsidR="0099385B">
        <w:t xml:space="preserve">a </w:t>
      </w:r>
      <w:r>
        <w:t>sensible recommendation and one that appears to</w:t>
      </w:r>
      <w:r w:rsidR="002272D1">
        <w:t xml:space="preserve"> have the </w:t>
      </w:r>
      <w:r>
        <w:t>support</w:t>
      </w:r>
      <w:r w:rsidR="002272D1">
        <w:t xml:space="preserve"> of </w:t>
      </w:r>
      <w:r>
        <w:t xml:space="preserve">a wide range of stakeholders.  However, the challenges associated with establishing such a body from scratch should not be underestimated.  </w:t>
      </w:r>
    </w:p>
    <w:p w14:paraId="388C0BD1" w14:textId="77777777" w:rsidR="0099385B" w:rsidRDefault="002E041F" w:rsidP="00FE6509">
      <w:r>
        <w:t xml:space="preserve">Finding the right mix </w:t>
      </w:r>
      <w:r w:rsidR="0099385B">
        <w:t xml:space="preserve">of representation and expertise on any such body </w:t>
      </w:r>
      <w:r>
        <w:t>can be challenging</w:t>
      </w:r>
      <w:r w:rsidR="0099385B">
        <w:t>.  A</w:t>
      </w:r>
      <w:r>
        <w:t>n appropriately</w:t>
      </w:r>
      <w:r w:rsidR="002272D1">
        <w:t>-</w:t>
      </w:r>
      <w:r>
        <w:t>experience</w:t>
      </w:r>
      <w:r w:rsidR="0099385B">
        <w:t>d</w:t>
      </w:r>
      <w:r>
        <w:t xml:space="preserve"> independent chair and </w:t>
      </w:r>
      <w:r w:rsidR="0099385B">
        <w:t>an</w:t>
      </w:r>
      <w:r>
        <w:t xml:space="preserve"> active role played by the regulator</w:t>
      </w:r>
      <w:r w:rsidR="0099385B">
        <w:t xml:space="preserve"> can</w:t>
      </w:r>
      <w:r w:rsidR="002272D1">
        <w:t xml:space="preserve"> be critical in overcoming differences and maintaining momentum</w:t>
      </w:r>
      <w:r>
        <w:t xml:space="preserve">.  </w:t>
      </w:r>
    </w:p>
    <w:p w14:paraId="388C0BD2" w14:textId="77777777" w:rsidR="002E041F" w:rsidRDefault="002272D1" w:rsidP="00FE6509">
      <w:r>
        <w:t>An</w:t>
      </w:r>
      <w:r w:rsidR="0099385B">
        <w:t xml:space="preserve"> </w:t>
      </w:r>
      <w:r w:rsidR="002E041F">
        <w:t>absen</w:t>
      </w:r>
      <w:r w:rsidR="0099385B">
        <w:t>c</w:t>
      </w:r>
      <w:r w:rsidR="002E041F">
        <w:t xml:space="preserve">e of </w:t>
      </w:r>
      <w:r w:rsidR="0099385B">
        <w:t xml:space="preserve">funding </w:t>
      </w:r>
      <w:r>
        <w:t xml:space="preserve">could </w:t>
      </w:r>
      <w:r w:rsidR="002E041F">
        <w:t>mean that minor issues</w:t>
      </w:r>
      <w:r w:rsidR="0099385B">
        <w:t>,</w:t>
      </w:r>
      <w:r w:rsidR="002E041F">
        <w:t xml:space="preserve"> such as who pays</w:t>
      </w:r>
      <w:r w:rsidR="0099385B">
        <w:t xml:space="preserve"> for external </w:t>
      </w:r>
      <w:r w:rsidR="002E041F">
        <w:t xml:space="preserve">legal </w:t>
      </w:r>
      <w:r w:rsidR="0099385B">
        <w:t>advice - the stakeholders around the table or the Commonwealth / regulator</w:t>
      </w:r>
      <w:r w:rsidR="0081698C">
        <w:t xml:space="preserve"> -</w:t>
      </w:r>
      <w:r w:rsidR="0099385B">
        <w:t xml:space="preserve"> can </w:t>
      </w:r>
      <w:r w:rsidR="00C222C6">
        <w:t xml:space="preserve">needlessly </w:t>
      </w:r>
      <w:r w:rsidR="0099385B">
        <w:t xml:space="preserve">slow down progress, </w:t>
      </w:r>
      <w:r w:rsidR="0099385B">
        <w:lastRenderedPageBreak/>
        <w:t xml:space="preserve">even when the </w:t>
      </w:r>
      <w:r w:rsidR="002E041F">
        <w:t xml:space="preserve">amounts </w:t>
      </w:r>
      <w:r w:rsidR="0099385B">
        <w:t>involved are relatively small.  Ideally</w:t>
      </w:r>
      <w:r w:rsidR="00C222C6">
        <w:t>,</w:t>
      </w:r>
      <w:r w:rsidR="0099385B">
        <w:t xml:space="preserve"> Government should provide some </w:t>
      </w:r>
      <w:r w:rsidR="00C222C6">
        <w:t xml:space="preserve">modest </w:t>
      </w:r>
      <w:r w:rsidR="0099385B">
        <w:t>“seed funding” even if the longer-term objective is for the standards body to be funded by industry participants.</w:t>
      </w:r>
      <w:r w:rsidR="002E041F">
        <w:t xml:space="preserve">  </w:t>
      </w:r>
    </w:p>
    <w:p w14:paraId="388C0BD3" w14:textId="77777777" w:rsidR="0099385B" w:rsidRDefault="002E041F" w:rsidP="00FE6509">
      <w:r>
        <w:t xml:space="preserve">Some of the bodies referred to in the Final Report </w:t>
      </w:r>
      <w:r w:rsidR="00C222C6">
        <w:t xml:space="preserve">as supporting the Data Standards Body, </w:t>
      </w:r>
      <w:r>
        <w:t>such as D</w:t>
      </w:r>
      <w:r w:rsidR="00E66E0D">
        <w:t xml:space="preserve">ata61 </w:t>
      </w:r>
      <w:r>
        <w:t>and S</w:t>
      </w:r>
      <w:r w:rsidR="00E66E0D">
        <w:t>tandards Australia</w:t>
      </w:r>
      <w:r w:rsidR="00C222C6">
        <w:t>,</w:t>
      </w:r>
      <w:r w:rsidR="00E66E0D">
        <w:t xml:space="preserve"> </w:t>
      </w:r>
      <w:r>
        <w:t xml:space="preserve">are well-established and respected.   However </w:t>
      </w:r>
      <w:r w:rsidR="004859F2">
        <w:t xml:space="preserve">the development and maintenance of </w:t>
      </w:r>
      <w:r>
        <w:t xml:space="preserve">industry standards </w:t>
      </w:r>
      <w:r w:rsidR="004859F2">
        <w:t xml:space="preserve">requires </w:t>
      </w:r>
      <w:r w:rsidR="0099385B">
        <w:t>specific</w:t>
      </w:r>
      <w:r w:rsidR="004859F2">
        <w:t xml:space="preserve"> expertise, particularly around stakeholder engagement and consensus-building.  Data61, for instance, is very strong on </w:t>
      </w:r>
      <w:r w:rsidR="0099385B">
        <w:t xml:space="preserve">data science </w:t>
      </w:r>
      <w:r w:rsidR="004859F2">
        <w:t xml:space="preserve">research, system design and analytics.  It may have a standards development and maintenance expertise but it is not widely known or advertised.   Standards Australia </w:t>
      </w:r>
      <w:r w:rsidR="0099385B">
        <w:t>is undoubtedly well-</w:t>
      </w:r>
      <w:r w:rsidR="004859F2">
        <w:t xml:space="preserve">placed, however I have seen </w:t>
      </w:r>
      <w:r w:rsidR="0099385B">
        <w:t xml:space="preserve">on a number of occasions </w:t>
      </w:r>
      <w:r w:rsidR="004859F2">
        <w:t xml:space="preserve">where industry stakeholders assumed Standards Australia </w:t>
      </w:r>
      <w:r w:rsidR="0099385B">
        <w:t>would “</w:t>
      </w:r>
      <w:r w:rsidR="004859F2">
        <w:t xml:space="preserve">just </w:t>
      </w:r>
      <w:r w:rsidR="0099385B">
        <w:t>pick up</w:t>
      </w:r>
      <w:r w:rsidR="004859F2">
        <w:t xml:space="preserve"> the work” before properly engaging with </w:t>
      </w:r>
      <w:r w:rsidR="0099385B">
        <w:t>Standards Australia directly, resulting in unnecessary delays</w:t>
      </w:r>
      <w:r w:rsidR="004859F2">
        <w:t xml:space="preserve">.  </w:t>
      </w:r>
    </w:p>
    <w:p w14:paraId="388C0BD4" w14:textId="77777777" w:rsidR="0099385B" w:rsidRDefault="0099385B" w:rsidP="00FE6509">
      <w:r>
        <w:t xml:space="preserve">Ideally a host organisation should support the work of the Data Standards Body, even if it is later spun off to be its own </w:t>
      </w:r>
      <w:r w:rsidR="000D37DF">
        <w:t xml:space="preserve">separate body.   This may be the regulator, as was the instance with the ATO supporting what would become the Gateway Network Governance Body, or an industry body, which was the case with the Australian Payments Network supporting what would become NPP Australia Limited as well as previous efforts to establish the Australian Financial Crimes Exchange and eftpos Payments Australia Limited.  </w:t>
      </w:r>
    </w:p>
    <w:p w14:paraId="388C0BD5" w14:textId="77777777" w:rsidR="00FE6509" w:rsidRPr="00FE6509" w:rsidRDefault="00FE6509" w:rsidP="00FE6509">
      <w:pPr>
        <w:rPr>
          <w:b/>
          <w:i/>
        </w:rPr>
      </w:pPr>
      <w:r w:rsidRPr="00FE6509">
        <w:rPr>
          <w:b/>
          <w:i/>
        </w:rPr>
        <w:t xml:space="preserve">Recommendation 2.7 - Accreditation </w:t>
      </w:r>
    </w:p>
    <w:p w14:paraId="388C0BD6" w14:textId="77777777" w:rsidR="00FE6509" w:rsidRDefault="000D37DF" w:rsidP="00FE6509">
      <w:r>
        <w:t xml:space="preserve">The accreditation process is important and the need for all participants within the ecosystem to be subject to some form of regulation is necessary.  </w:t>
      </w:r>
      <w:r w:rsidR="00FE6509">
        <w:t xml:space="preserve">Their </w:t>
      </w:r>
      <w:r>
        <w:t xml:space="preserve">accreditation </w:t>
      </w:r>
      <w:r w:rsidR="00FE6509">
        <w:t xml:space="preserve">obligations should be right-sized to ensure that the requirements manage risk and avoid unnecessary barriers to entry.  Consideration should also be given to how </w:t>
      </w:r>
      <w:r>
        <w:t xml:space="preserve">accreditation </w:t>
      </w:r>
      <w:r w:rsidR="007B1A10">
        <w:t xml:space="preserve">would </w:t>
      </w:r>
      <w:r>
        <w:t>align</w:t>
      </w:r>
      <w:r w:rsidR="007B1A10">
        <w:t xml:space="preserve"> or operate alongside</w:t>
      </w:r>
      <w:r>
        <w:t xml:space="preserve"> with other regulatory initiatives</w:t>
      </w:r>
      <w:r w:rsidR="007B1A10">
        <w:t xml:space="preserve">, such as those related to implementing Recommendation 16 of the FSI for “clearer graduated payments regulation” and </w:t>
      </w:r>
      <w:r>
        <w:t>APRA’s proposed approach to “phased licensing”</w:t>
      </w:r>
      <w:r w:rsidR="00FE6509">
        <w:t>.</w:t>
      </w:r>
    </w:p>
    <w:p w14:paraId="388C0BD7" w14:textId="77777777" w:rsidR="00022429" w:rsidRDefault="00C222C6" w:rsidP="00E66E0D">
      <w:r>
        <w:t>Thank you again for the opportunity to provide comment and congratulation</w:t>
      </w:r>
      <w:r w:rsidR="005D7CE2">
        <w:t>s</w:t>
      </w:r>
      <w:r>
        <w:t xml:space="preserve"> on an excellent </w:t>
      </w:r>
      <w:r w:rsidR="005D7CE2">
        <w:t>Final Report</w:t>
      </w:r>
      <w:r>
        <w:t xml:space="preserve">.  </w:t>
      </w:r>
      <w:r w:rsidR="00022429">
        <w:t xml:space="preserve">If any member of </w:t>
      </w:r>
      <w:r>
        <w:t xml:space="preserve">the </w:t>
      </w:r>
      <w:r w:rsidR="005D7CE2">
        <w:t xml:space="preserve">Open Banking </w:t>
      </w:r>
      <w:r w:rsidR="00022429">
        <w:t xml:space="preserve">secretariat wish to discuss further, I can be contacted on </w:t>
      </w:r>
      <w:hyperlink r:id="rId16" w:history="1">
        <w:r w:rsidR="00FE6509" w:rsidRPr="00570684">
          <w:rPr>
            <w:rStyle w:val="Hyperlink"/>
          </w:rPr>
          <w:t>brad.pragnell@gmail.com</w:t>
        </w:r>
      </w:hyperlink>
      <w:r>
        <w:t xml:space="preserve">  .</w:t>
      </w:r>
    </w:p>
    <w:p w14:paraId="388C0BD8" w14:textId="77777777" w:rsidR="0010123B" w:rsidRDefault="0010123B" w:rsidP="00E66E0D"/>
    <w:p w14:paraId="388C0BD9" w14:textId="77777777" w:rsidR="00FE6509" w:rsidRDefault="00FE6509" w:rsidP="00E66E0D">
      <w:r>
        <w:t>Yours sincerely</w:t>
      </w:r>
    </w:p>
    <w:p w14:paraId="388C0BDA" w14:textId="77777777" w:rsidR="00FE6509" w:rsidRDefault="00FE6509" w:rsidP="00E66E0D"/>
    <w:p w14:paraId="388C0BDB" w14:textId="77777777" w:rsidR="0010123B" w:rsidRDefault="0010123B" w:rsidP="00E66E0D"/>
    <w:p w14:paraId="388C0BDC" w14:textId="77777777" w:rsidR="00E66E0D" w:rsidRDefault="00FE6509" w:rsidP="00E66E0D">
      <w:r>
        <w:t>Dr</w:t>
      </w:r>
      <w:r w:rsidR="00C222C6">
        <w:t>.</w:t>
      </w:r>
      <w:r>
        <w:t xml:space="preserve"> Bradley Pragnell</w:t>
      </w:r>
      <w:r w:rsidR="00C222C6">
        <w:br/>
        <w:t>Principal, 34 South 45 North Consulting</w:t>
      </w:r>
    </w:p>
    <w:p w14:paraId="388C0BDD" w14:textId="77777777" w:rsidR="00C222C6" w:rsidRDefault="00C222C6" w:rsidP="00E66E0D"/>
    <w:sectPr w:rsidR="00C222C6">
      <w:footerReference w:type="default" r:id="rId1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8C0BE0" w14:textId="77777777" w:rsidR="00396052" w:rsidRDefault="00396052" w:rsidP="00FE6509">
      <w:pPr>
        <w:spacing w:after="0" w:line="240" w:lineRule="auto"/>
      </w:pPr>
      <w:r>
        <w:separator/>
      </w:r>
    </w:p>
  </w:endnote>
  <w:endnote w:type="continuationSeparator" w:id="0">
    <w:p w14:paraId="388C0BE1" w14:textId="77777777" w:rsidR="00396052" w:rsidRDefault="00396052" w:rsidP="00FE65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99088950"/>
      <w:docPartObj>
        <w:docPartGallery w:val="Page Numbers (Bottom of Page)"/>
        <w:docPartUnique/>
      </w:docPartObj>
    </w:sdtPr>
    <w:sdtEndPr/>
    <w:sdtContent>
      <w:p w14:paraId="388C0BE2" w14:textId="77777777" w:rsidR="000D37DF" w:rsidRDefault="000D37DF">
        <w:pPr>
          <w:pStyle w:val="Footer"/>
          <w:jc w:val="center"/>
        </w:pPr>
        <w:r>
          <w:fldChar w:fldCharType="begin"/>
        </w:r>
        <w:r>
          <w:instrText xml:space="preserve"> PAGE   \* MERGEFORMAT </w:instrText>
        </w:r>
        <w:r>
          <w:fldChar w:fldCharType="separate"/>
        </w:r>
        <w:r w:rsidR="003745D2">
          <w:rPr>
            <w:noProof/>
          </w:rPr>
          <w:t>1</w:t>
        </w:r>
        <w:r>
          <w:rPr>
            <w:noProof/>
          </w:rPr>
          <w:fldChar w:fldCharType="end"/>
        </w:r>
      </w:p>
    </w:sdtContent>
  </w:sdt>
  <w:p w14:paraId="388C0BE3" w14:textId="77777777" w:rsidR="000D37DF" w:rsidRDefault="000D37D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8C0BDE" w14:textId="77777777" w:rsidR="00396052" w:rsidRDefault="00396052" w:rsidP="00FE6509">
      <w:pPr>
        <w:spacing w:after="0" w:line="240" w:lineRule="auto"/>
      </w:pPr>
      <w:r>
        <w:separator/>
      </w:r>
    </w:p>
  </w:footnote>
  <w:footnote w:type="continuationSeparator" w:id="0">
    <w:p w14:paraId="388C0BDF" w14:textId="77777777" w:rsidR="00396052" w:rsidRDefault="00396052" w:rsidP="00FE6509">
      <w:pPr>
        <w:spacing w:after="0" w:line="240" w:lineRule="auto"/>
      </w:pPr>
      <w:r>
        <w:continuationSeparator/>
      </w:r>
    </w:p>
  </w:footnote>
  <w:footnote w:id="1">
    <w:p w14:paraId="388C0BE4" w14:textId="77777777" w:rsidR="008D7A23" w:rsidRDefault="00FE6509">
      <w:pPr>
        <w:pStyle w:val="FootnoteText"/>
      </w:pPr>
      <w:r>
        <w:rPr>
          <w:rStyle w:val="FootnoteReference"/>
        </w:rPr>
        <w:footnoteRef/>
      </w:r>
      <w:r>
        <w:t xml:space="preserve"> On page 64 of the Final Report, the New Payments Platform is </w:t>
      </w:r>
      <w:r w:rsidR="008D7A23">
        <w:t xml:space="preserve">inaccurately </w:t>
      </w:r>
      <w:r>
        <w:t xml:space="preserve">described as being </w:t>
      </w:r>
      <w:r w:rsidR="008D7A23">
        <w:t>“</w:t>
      </w:r>
      <w:r>
        <w:t>the RBA’s New Payments Platform</w:t>
      </w:r>
      <w:r w:rsidR="008D7A23">
        <w:t>”</w:t>
      </w:r>
      <w:r>
        <w:t xml:space="preserve"> when the New Payments Platform is actually operated by an independent </w:t>
      </w:r>
      <w:r w:rsidR="008D7A23">
        <w:t>entity</w:t>
      </w:r>
      <w:r>
        <w:t xml:space="preserve">, NPP Australia Limited, where the RBA is one of thirteen shareholding institutions.  </w:t>
      </w:r>
      <w:r w:rsidR="008D7A23">
        <w:t xml:space="preserve">More information can be found at </w:t>
      </w:r>
      <w:hyperlink r:id="rId1" w:history="1">
        <w:r w:rsidR="008D7A23" w:rsidRPr="00570684">
          <w:rPr>
            <w:rStyle w:val="Hyperlink"/>
          </w:rPr>
          <w:t>www.nppa.com.au</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FF04EC"/>
    <w:multiLevelType w:val="hybridMultilevel"/>
    <w:tmpl w:val="9822C12C"/>
    <w:lvl w:ilvl="0" w:tplc="5A247D2C">
      <w:numFmt w:val="bullet"/>
      <w:lvlText w:val="-"/>
      <w:lvlJc w:val="left"/>
      <w:pPr>
        <w:ind w:left="720" w:hanging="360"/>
      </w:pPr>
      <w:rPr>
        <w:rFonts w:ascii="Calibri" w:eastAsiaTheme="minorHAnsi" w:hAnsi="Calibri"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nsid w:val="4E6825B2"/>
    <w:multiLevelType w:val="hybridMultilevel"/>
    <w:tmpl w:val="DFB6E4D0"/>
    <w:lvl w:ilvl="0" w:tplc="CBBED9CC">
      <w:numFmt w:val="bullet"/>
      <w:lvlText w:val="-"/>
      <w:lvlJc w:val="left"/>
      <w:pPr>
        <w:ind w:left="720" w:hanging="360"/>
      </w:pPr>
      <w:rPr>
        <w:rFonts w:ascii="Calibri" w:eastAsiaTheme="minorHAnsi" w:hAnsi="Calibri"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6E0D"/>
    <w:rsid w:val="00022429"/>
    <w:rsid w:val="00080EC4"/>
    <w:rsid w:val="000C65A8"/>
    <w:rsid w:val="000D37DF"/>
    <w:rsid w:val="0010123B"/>
    <w:rsid w:val="0011335F"/>
    <w:rsid w:val="00117724"/>
    <w:rsid w:val="0016317A"/>
    <w:rsid w:val="001B3CE2"/>
    <w:rsid w:val="002272D1"/>
    <w:rsid w:val="00290736"/>
    <w:rsid w:val="002E041F"/>
    <w:rsid w:val="00342D03"/>
    <w:rsid w:val="003745D2"/>
    <w:rsid w:val="00396052"/>
    <w:rsid w:val="003E150E"/>
    <w:rsid w:val="004859F2"/>
    <w:rsid w:val="005043AA"/>
    <w:rsid w:val="005D7CE2"/>
    <w:rsid w:val="00621520"/>
    <w:rsid w:val="006B621A"/>
    <w:rsid w:val="007B1A10"/>
    <w:rsid w:val="0081698C"/>
    <w:rsid w:val="008D7A23"/>
    <w:rsid w:val="008D7E3B"/>
    <w:rsid w:val="009501AC"/>
    <w:rsid w:val="00962F50"/>
    <w:rsid w:val="0099385B"/>
    <w:rsid w:val="00AA6478"/>
    <w:rsid w:val="00B11934"/>
    <w:rsid w:val="00C222C6"/>
    <w:rsid w:val="00CC2F9D"/>
    <w:rsid w:val="00D82EBF"/>
    <w:rsid w:val="00E66E0D"/>
    <w:rsid w:val="00FE650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8C0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6E0D"/>
    <w:pPr>
      <w:ind w:left="720"/>
      <w:contextualSpacing/>
    </w:pPr>
  </w:style>
  <w:style w:type="character" w:styleId="Hyperlink">
    <w:name w:val="Hyperlink"/>
    <w:basedOn w:val="DefaultParagraphFont"/>
    <w:uiPriority w:val="99"/>
    <w:unhideWhenUsed/>
    <w:rsid w:val="005043AA"/>
    <w:rPr>
      <w:color w:val="0563C1" w:themeColor="hyperlink"/>
      <w:u w:val="single"/>
    </w:rPr>
  </w:style>
  <w:style w:type="paragraph" w:styleId="FootnoteText">
    <w:name w:val="footnote text"/>
    <w:basedOn w:val="Normal"/>
    <w:link w:val="FootnoteTextChar"/>
    <w:uiPriority w:val="99"/>
    <w:semiHidden/>
    <w:unhideWhenUsed/>
    <w:rsid w:val="00FE650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E6509"/>
    <w:rPr>
      <w:sz w:val="20"/>
      <w:szCs w:val="20"/>
    </w:rPr>
  </w:style>
  <w:style w:type="character" w:styleId="FootnoteReference">
    <w:name w:val="footnote reference"/>
    <w:basedOn w:val="DefaultParagraphFont"/>
    <w:uiPriority w:val="99"/>
    <w:semiHidden/>
    <w:unhideWhenUsed/>
    <w:rsid w:val="00FE6509"/>
    <w:rPr>
      <w:vertAlign w:val="superscript"/>
    </w:rPr>
  </w:style>
  <w:style w:type="paragraph" w:styleId="Header">
    <w:name w:val="header"/>
    <w:basedOn w:val="Normal"/>
    <w:link w:val="HeaderChar"/>
    <w:uiPriority w:val="99"/>
    <w:unhideWhenUsed/>
    <w:rsid w:val="000D37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37DF"/>
  </w:style>
  <w:style w:type="paragraph" w:styleId="Footer">
    <w:name w:val="footer"/>
    <w:basedOn w:val="Normal"/>
    <w:link w:val="FooterChar"/>
    <w:uiPriority w:val="99"/>
    <w:unhideWhenUsed/>
    <w:rsid w:val="000D37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37D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6E0D"/>
    <w:pPr>
      <w:ind w:left="720"/>
      <w:contextualSpacing/>
    </w:pPr>
  </w:style>
  <w:style w:type="character" w:styleId="Hyperlink">
    <w:name w:val="Hyperlink"/>
    <w:basedOn w:val="DefaultParagraphFont"/>
    <w:uiPriority w:val="99"/>
    <w:unhideWhenUsed/>
    <w:rsid w:val="005043AA"/>
    <w:rPr>
      <w:color w:val="0563C1" w:themeColor="hyperlink"/>
      <w:u w:val="single"/>
    </w:rPr>
  </w:style>
  <w:style w:type="paragraph" w:styleId="FootnoteText">
    <w:name w:val="footnote text"/>
    <w:basedOn w:val="Normal"/>
    <w:link w:val="FootnoteTextChar"/>
    <w:uiPriority w:val="99"/>
    <w:semiHidden/>
    <w:unhideWhenUsed/>
    <w:rsid w:val="00FE650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E6509"/>
    <w:rPr>
      <w:sz w:val="20"/>
      <w:szCs w:val="20"/>
    </w:rPr>
  </w:style>
  <w:style w:type="character" w:styleId="FootnoteReference">
    <w:name w:val="footnote reference"/>
    <w:basedOn w:val="DefaultParagraphFont"/>
    <w:uiPriority w:val="99"/>
    <w:semiHidden/>
    <w:unhideWhenUsed/>
    <w:rsid w:val="00FE6509"/>
    <w:rPr>
      <w:vertAlign w:val="superscript"/>
    </w:rPr>
  </w:style>
  <w:style w:type="paragraph" w:styleId="Header">
    <w:name w:val="header"/>
    <w:basedOn w:val="Normal"/>
    <w:link w:val="HeaderChar"/>
    <w:uiPriority w:val="99"/>
    <w:unhideWhenUsed/>
    <w:rsid w:val="000D37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37DF"/>
  </w:style>
  <w:style w:type="paragraph" w:styleId="Footer">
    <w:name w:val="footer"/>
    <w:basedOn w:val="Normal"/>
    <w:link w:val="FooterChar"/>
    <w:uiPriority w:val="99"/>
    <w:unhideWhenUsed/>
    <w:rsid w:val="000D37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37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brad.pragnell@gmail.com"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mailto:brad.pragnell@gmail.com" TargetMode="Externa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s://www.linkedin.com/in/bradpragnell/"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nppa.com.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lb508a4dc5e84436a0fe496b536466aa xmlns="d4dd4adf-ddb3-46a3-8d7c-fab3fb2a6bc7">
      <Terms xmlns="http://schemas.microsoft.com/office/infopath/2007/PartnerControls">
        <TermInfo xmlns="http://schemas.microsoft.com/office/infopath/2007/PartnerControls">
          <TermName xmlns="http://schemas.microsoft.com/office/infopath/2007/PartnerControls">TSY RA-9081 - Retain as national archives</TermName>
          <TermId xmlns="http://schemas.microsoft.com/office/infopath/2007/PartnerControls">bbf0bcde-1687-4ff2-bc57-f31b5d545d4b</TermId>
        </TermInfo>
      </Terms>
    </lb508a4dc5e84436a0fe496b536466aa>
    <_dlc_DocId xmlns="d4dd4adf-ddb3-46a3-8d7c-fab3fb2a6bc7">2018MG-133-31750</_dlc_DocId>
    <TaxCatchAll xmlns="d4dd4adf-ddb3-46a3-8d7c-fab3fb2a6bc7">
      <Value>2</Value>
    </TaxCatchAll>
    <_dlc_DocIdUrl xmlns="d4dd4adf-ddb3-46a3-8d7c-fab3fb2a6bc7">
      <Url>http://tweb/sites/mg/sbccpd/_layouts/15/DocIdRedir.aspx?ID=2018MG-133-31750</Url>
      <Description>2018MG-133-31750</Description>
    </_dlc_DocIdUrl>
    <IconOverlay xmlns="http://schemas.microsoft.com/sharepoint/v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p:Policy xmlns:p="office.server.policy" id="" local="true">
  <p:Name>Treasury Document</p:Name>
  <p:Description/>
  <p:Statement/>
  <p:PolicyItems>
    <p:PolicyItem featureId="Microsoft.Office.RecordsManagement.PolicyFeatures.PolicyAudit" staticId="0x010100E95D40E5DFEA714B90E88DB5CE07A6B5|-421390505" UniqueId="72a3b914-5376-4e08-a93a-e02e58e6045f">
      <p:Name>Auditing</p:Name>
      <p:Description>Audits user actions on documents and list items to the Audit Log.</p:Description>
      <p:CustomData>
        <Audit>
          <Update/>
          <DeleteRestore/>
        </Audit>
      </p:CustomData>
    </p:PolicyItem>
  </p:PolicyItems>
</p:Policy>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Treasury Document" ma:contentTypeID="0x010100E95D40E5DFEA714B90E88DB5CE07A6B500DDAFF7E1A29DE64F981B4EA50562BA75" ma:contentTypeVersion="10242" ma:contentTypeDescription="" ma:contentTypeScope="" ma:versionID="0e9555cabf1853588feb412effccf1f4">
  <xsd:schema xmlns:xsd="http://www.w3.org/2001/XMLSchema" xmlns:xs="http://www.w3.org/2001/XMLSchema" xmlns:p="http://schemas.microsoft.com/office/2006/metadata/properties" xmlns:ns1="http://schemas.microsoft.com/sharepoint/v3" xmlns:ns2="d4dd4adf-ddb3-46a3-8d7c-fab3fb2a6bc7" xmlns:ns4="http://schemas.microsoft.com/sharepoint/v4" targetNamespace="http://schemas.microsoft.com/office/2006/metadata/properties" ma:root="true" ma:fieldsID="6bfac8e52420368ce6ac7c74f2e5abab" ns1:_="" ns2:_="" ns4:_="">
    <xsd:import namespace="http://schemas.microsoft.com/sharepoint/v3"/>
    <xsd:import namespace="d4dd4adf-ddb3-46a3-8d7c-fab3fb2a6bc7"/>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lb508a4dc5e84436a0fe496b536466aa" minOccurs="0"/>
                <xsd:element ref="ns2:TaxCatchAll" minOccurs="0"/>
                <xsd:element ref="ns2:TaxCatchAllLabel" minOccurs="0"/>
                <xsd:element ref="ns4:IconOverlay" minOccurs="0"/>
                <xsd:element ref="ns1: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7"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4dd4adf-ddb3-46a3-8d7c-fab3fb2a6bc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b508a4dc5e84436a0fe496b536466aa" ma:index="11" nillable="true" ma:taxonomy="true" ma:internalName="lb508a4dc5e84436a0fe496b536466aa" ma:taxonomyFieldName="TSYRecordClass" ma:displayName="Record Class" ma:readOnly="false" ma:default="2;#TSY RA-9081 - Retain as national archives|bbf0bcde-1687-4ff2-bc57-f31b5d545d4b"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ab865bba-d958-40fe-b21d-a68aa7a39431}" ma:internalName="TaxCatchAll" ma:showField="CatchAllData" ma:web="d4dd4adf-ddb3-46a3-8d7c-fab3fb2a6bc7">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b865bba-d958-40fe-b21d-a68aa7a39431}" ma:internalName="TaxCatchAllLabel" ma:readOnly="true" ma:showField="CatchAllDataLabel" ma:web="d4dd4adf-ddb3-46a3-8d7c-fab3fb2a6bc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6"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C3C0B0-0F55-479E-BF30-A18EEA595AAF}">
  <ds:schemaRefs>
    <ds:schemaRef ds:uri="http://www.w3.org/XML/1998/namespace"/>
    <ds:schemaRef ds:uri="http://schemas.microsoft.com/office/2006/documentManagement/types"/>
    <ds:schemaRef ds:uri="http://schemas.openxmlformats.org/package/2006/metadata/core-properties"/>
    <ds:schemaRef ds:uri="d4dd4adf-ddb3-46a3-8d7c-fab3fb2a6bc7"/>
    <ds:schemaRef ds:uri="http://purl.org/dc/terms/"/>
    <ds:schemaRef ds:uri="http://schemas.microsoft.com/sharepoint/v4"/>
    <ds:schemaRef ds:uri="http://purl.org/dc/elements/1.1/"/>
    <ds:schemaRef ds:uri="http://schemas.microsoft.com/office/infopath/2007/PartnerControls"/>
    <ds:schemaRef ds:uri="http://schemas.microsoft.com/sharepoint/v3"/>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74216D01-4C65-439E-9EFE-0740AAFD7081}">
  <ds:schemaRefs>
    <ds:schemaRef ds:uri="http://schemas.microsoft.com/sharepoint/v3/contenttype/forms"/>
  </ds:schemaRefs>
</ds:datastoreItem>
</file>

<file path=customXml/itemProps3.xml><?xml version="1.0" encoding="utf-8"?>
<ds:datastoreItem xmlns:ds="http://schemas.openxmlformats.org/officeDocument/2006/customXml" ds:itemID="{54C768AD-B0EE-498A-9717-1F978D8B7278}">
  <ds:schemaRefs>
    <ds:schemaRef ds:uri="office.server.policy"/>
  </ds:schemaRefs>
</ds:datastoreItem>
</file>

<file path=customXml/itemProps4.xml><?xml version="1.0" encoding="utf-8"?>
<ds:datastoreItem xmlns:ds="http://schemas.openxmlformats.org/officeDocument/2006/customXml" ds:itemID="{7FBD18F9-465C-4B49-8872-41DF04C3F583}">
  <ds:schemaRefs>
    <ds:schemaRef ds:uri="http://schemas.microsoft.com/sharepoint/events"/>
  </ds:schemaRefs>
</ds:datastoreItem>
</file>

<file path=customXml/itemProps5.xml><?xml version="1.0" encoding="utf-8"?>
<ds:datastoreItem xmlns:ds="http://schemas.openxmlformats.org/officeDocument/2006/customXml" ds:itemID="{E8FF6018-97F4-46D4-9866-B1CD7B2B14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4dd4adf-ddb3-46a3-8d7c-fab3fb2a6bc7"/>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8518B873-E10C-4875-B6B6-A609DD7AF7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1209</Words>
  <Characters>6895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Canadian Payments Association</Company>
  <LinksUpToDate>false</LinksUpToDate>
  <CharactersWithSpaces>8088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Bradley Pragnell</dc:creator>
  <cp:lastModifiedBy>Baseby, Jane</cp:lastModifiedBy>
  <cp:revision>2</cp:revision>
  <cp:lastPrinted>2018-03-10T18:01:00Z</cp:lastPrinted>
  <dcterms:created xsi:type="dcterms:W3CDTF">2018-04-03T00:49:00Z</dcterms:created>
  <dcterms:modified xsi:type="dcterms:W3CDTF">2018-04-03T00:49:00Z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92357c2b-3e03-4e1f-ae5e-c77649739828</vt:lpwstr>
  </property>
  <property fmtid="{D5CDD505-2E9C-101B-9397-08002B2CF9AE}" pid="3" name="ContentTypeId">
    <vt:lpwstr>0x010100E95D40E5DFEA714B90E88DB5CE07A6B500DDAFF7E1A29DE64F981B4EA50562BA75</vt:lpwstr>
  </property>
  <property fmtid="{D5CDD505-2E9C-101B-9397-08002B2CF9AE}" pid="4" name="TSYRecordClass">
    <vt:lpwstr>2;#TSY RA-9081 - Retain as national archives|bbf0bcde-1687-4ff2-bc57-f31b5d545d4b</vt:lpwstr>
  </property>
  <property fmtid="{D5CDD505-2E9C-101B-9397-08002B2CF9AE}" pid="5" name="RecordPoint_WorkflowType">
    <vt:lpwstr>ActiveSubmitStub</vt:lpwstr>
  </property>
  <property fmtid="{D5CDD505-2E9C-101B-9397-08002B2CF9AE}" pid="6" name="RecordPoint_ActiveItemSiteId">
    <vt:lpwstr>{08cedf7d-7ad2-4b81-a81f-47e3ec332c41}</vt:lpwstr>
  </property>
  <property fmtid="{D5CDD505-2E9C-101B-9397-08002B2CF9AE}" pid="7" name="RecordPoint_ActiveItemListId">
    <vt:lpwstr>{020b99f8-d659-456c-88bf-b1c791ab809a}</vt:lpwstr>
  </property>
  <property fmtid="{D5CDD505-2E9C-101B-9397-08002B2CF9AE}" pid="8" name="RecordPoint_ActiveItemUniqueId">
    <vt:lpwstr>{92357c2b-3e03-4e1f-ae5e-c77649739828}</vt:lpwstr>
  </property>
  <property fmtid="{D5CDD505-2E9C-101B-9397-08002B2CF9AE}" pid="9" name="RecordPoint_ActiveItemWebId">
    <vt:lpwstr>{682871c2-4073-4158-957a-6d924b9ba0a6}</vt:lpwstr>
  </property>
  <property fmtid="{D5CDD505-2E9C-101B-9397-08002B2CF9AE}" pid="10" name="RecordPoint_RecordNumberSubmitted">
    <vt:lpwstr>R0001617556</vt:lpwstr>
  </property>
  <property fmtid="{D5CDD505-2E9C-101B-9397-08002B2CF9AE}" pid="11" name="RecordPoint_SubmissionCompleted">
    <vt:lpwstr>2018-03-13T11:50:17.6101060+11:00</vt:lpwstr>
  </property>
</Properties>
</file>