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6B6A4" w14:textId="77777777" w:rsidR="000E0B74" w:rsidRPr="006D0240" w:rsidRDefault="00B00DEA" w:rsidP="005220AF">
      <w:bookmarkStart w:id="0" w:name="_GoBack"/>
      <w:bookmarkEnd w:id="0"/>
      <w:r>
        <w:t xml:space="preserve"> </w:t>
      </w:r>
    </w:p>
    <w:p w14:paraId="3179A81E" w14:textId="77777777" w:rsidR="000E0B74" w:rsidRPr="006D0240" w:rsidRDefault="000E0B74" w:rsidP="00794499">
      <w:pPr>
        <w:pStyle w:val="Crest"/>
        <w:spacing w:after="3000"/>
        <w:jc w:val="right"/>
      </w:pPr>
    </w:p>
    <w:p w14:paraId="23334803" w14:textId="77777777" w:rsidR="000E0B74" w:rsidRDefault="00CE67F2" w:rsidP="000E0B74">
      <w:pPr>
        <w:pStyle w:val="Title"/>
      </w:pPr>
      <w:r>
        <w:t>DISCLOSURE IN G</w:t>
      </w:r>
      <w:r w:rsidR="00511571">
        <w:t>E</w:t>
      </w:r>
      <w:r>
        <w:t>NERAL INSURANCE: IMPROVING CONSUMER UNDERSTANDING</w:t>
      </w:r>
    </w:p>
    <w:p w14:paraId="015E6F04" w14:textId="77777777" w:rsidR="00484841" w:rsidRPr="00D45AF8" w:rsidRDefault="00484841" w:rsidP="00484841">
      <w:pPr>
        <w:pStyle w:val="Subtitle"/>
      </w:pPr>
      <w:r>
        <w:t>Discussion Paper</w:t>
      </w:r>
    </w:p>
    <w:p w14:paraId="1ED58A5A" w14:textId="0A6FA79F" w:rsidR="00056880" w:rsidRDefault="00547229" w:rsidP="000E0B74">
      <w:pPr>
        <w:pStyle w:val="ReportDate"/>
        <w:ind w:right="0"/>
        <w:rPr>
          <w:rFonts w:ascii="Rockwell" w:hAnsi="Rockwell"/>
          <w:sz w:val="24"/>
        </w:rPr>
      </w:pPr>
      <w:r>
        <w:rPr>
          <w:rStyle w:val="ReportDateChar"/>
        </w:rPr>
        <w:t xml:space="preserve"> </w:t>
      </w:r>
      <w:r w:rsidR="00882D34">
        <w:rPr>
          <w:rStyle w:val="ReportDateChar"/>
        </w:rPr>
        <w:t xml:space="preserve">January </w:t>
      </w:r>
      <w:r w:rsidR="00FD18C8">
        <w:rPr>
          <w:rStyle w:val="ReportDateChar"/>
        </w:rPr>
        <w:t>201</w:t>
      </w:r>
      <w:r w:rsidR="00882D34">
        <w:rPr>
          <w:rStyle w:val="ReportDateChar"/>
        </w:rPr>
        <w:t>9</w:t>
      </w:r>
    </w:p>
    <w:p w14:paraId="01296462" w14:textId="77777777" w:rsidR="002F617F" w:rsidRPr="005D561D" w:rsidRDefault="002F617F" w:rsidP="00A16E03">
      <w:pPr>
        <w:pStyle w:val="Divider"/>
        <w:spacing w:after="3000"/>
      </w:pPr>
    </w:p>
    <w:p w14:paraId="2BFCBFBC" w14:textId="77777777" w:rsidR="002F617F" w:rsidRDefault="002F617F"/>
    <w:p w14:paraId="1A544D01" w14:textId="77777777" w:rsidR="000E0B74" w:rsidRDefault="000E0B74" w:rsidP="000E0B74">
      <w:pPr>
        <w:rPr>
          <w:rFonts w:cs="Calibri"/>
          <w:sz w:val="20"/>
        </w:rPr>
      </w:pPr>
    </w:p>
    <w:p w14:paraId="2F1AE174" w14:textId="77777777" w:rsidR="000E0B74" w:rsidRDefault="000E0B74" w:rsidP="000E0B74">
      <w:pPr>
        <w:sectPr w:rsidR="000E0B74" w:rsidSect="00E1136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fmt="lowerRoman" w:start="1"/>
          <w:cols w:space="720"/>
        </w:sectPr>
      </w:pPr>
    </w:p>
    <w:p w14:paraId="3547DA8F" w14:textId="77777777" w:rsidR="000E0B74" w:rsidRDefault="000E0B74" w:rsidP="000E0B74">
      <w:pPr>
        <w:spacing w:before="240"/>
      </w:pPr>
      <w:r w:rsidRPr="00661BF0">
        <w:lastRenderedPageBreak/>
        <w:t xml:space="preserve">© Commonwealth of Australia </w:t>
      </w:r>
      <w:r w:rsidRPr="00573517">
        <w:t>201</w:t>
      </w:r>
      <w:r w:rsidR="00573517" w:rsidRPr="00573517">
        <w:t>8</w:t>
      </w:r>
    </w:p>
    <w:p w14:paraId="20987B5D" w14:textId="7777777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5"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573517">
        <w:t>and where otherwise stated</w:t>
      </w:r>
      <w:r w:rsidRPr="002F1BC2">
        <w:t>. The full licence terms are available from</w:t>
      </w:r>
      <w:r w:rsidRPr="00476F09">
        <w:rPr>
          <w:rFonts w:cstheme="minorHAnsi"/>
          <w:sz w:val="24"/>
          <w:szCs w:val="24"/>
        </w:rPr>
        <w:t xml:space="preserve"> </w:t>
      </w:r>
      <w:hyperlink r:id="rId16"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4C16957" w14:textId="77777777" w:rsidR="000E0B74" w:rsidRDefault="000E0B74" w:rsidP="000E0B74">
      <w:pPr>
        <w:pStyle w:val="ChartGraphic"/>
        <w:jc w:val="left"/>
      </w:pPr>
      <w:r w:rsidRPr="00E56DFB">
        <w:rPr>
          <w:noProof/>
        </w:rPr>
        <w:drawing>
          <wp:inline distT="0" distB="0" distL="0" distR="0" wp14:anchorId="0B1F18CD" wp14:editId="43071DE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AF2FE2E"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8"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70E00CE"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2F41AD5D"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5A48A0D" w14:textId="77777777" w:rsidR="000E0B74" w:rsidRPr="00A13A11" w:rsidRDefault="000E0B74" w:rsidP="000E0B74">
      <w:pPr>
        <w:ind w:firstLine="720"/>
      </w:pPr>
      <w:r w:rsidRPr="002F1BC2">
        <w:rPr>
          <w:i/>
        </w:rPr>
        <w:t xml:space="preserve">Source: The </w:t>
      </w:r>
      <w:r w:rsidRPr="002F1BC2">
        <w:rPr>
          <w:i/>
          <w:iCs/>
        </w:rPr>
        <w:t>Aus</w:t>
      </w:r>
      <w:r w:rsidR="00573517">
        <w:rPr>
          <w:i/>
          <w:iCs/>
        </w:rPr>
        <w:t>tralian Government the Treasury</w:t>
      </w:r>
      <w:r>
        <w:t>.</w:t>
      </w:r>
    </w:p>
    <w:p w14:paraId="1450D038"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B50B05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18AA637" w14:textId="77777777" w:rsidR="000E0B74" w:rsidRPr="006627B4" w:rsidRDefault="000E0B74" w:rsidP="000E0B74">
      <w:pPr>
        <w:ind w:firstLine="720"/>
      </w:pPr>
      <w:proofErr w:type="gramStart"/>
      <w:r w:rsidRPr="002F1BC2">
        <w:rPr>
          <w:i/>
        </w:rPr>
        <w:t>Based on The Australian Government the Treasury data</w:t>
      </w:r>
      <w:r>
        <w:t>.</w:t>
      </w:r>
      <w:proofErr w:type="gramEnd"/>
    </w:p>
    <w:p w14:paraId="1F17824B" w14:textId="77777777" w:rsidR="000E0B74" w:rsidRPr="006627B4" w:rsidRDefault="000E0B74" w:rsidP="000E0B74">
      <w:pPr>
        <w:spacing w:before="240"/>
        <w:rPr>
          <w:b/>
        </w:rPr>
      </w:pPr>
      <w:r w:rsidRPr="006627B4">
        <w:rPr>
          <w:b/>
        </w:rPr>
        <w:t>Use of the Coat of Arms</w:t>
      </w:r>
    </w:p>
    <w:p w14:paraId="63EE49D1" w14:textId="77777777" w:rsidR="000E0B74" w:rsidRPr="006627B4" w:rsidRDefault="000E0B74" w:rsidP="000E0B74">
      <w:r w:rsidRPr="006627B4">
        <w:t xml:space="preserve">The terms under which the Coat of Arms can be used are set out on the It’s an Honour website (see </w:t>
      </w:r>
      <w:hyperlink r:id="rId19" w:history="1">
        <w:r w:rsidRPr="00D45AF8">
          <w:rPr>
            <w:rStyle w:val="Hyperlink"/>
          </w:rPr>
          <w:t>www.itsanhonour.gov.au</w:t>
        </w:r>
      </w:hyperlink>
      <w:r w:rsidRPr="006627B4">
        <w:t>)</w:t>
      </w:r>
      <w:r>
        <w:t>.</w:t>
      </w:r>
    </w:p>
    <w:p w14:paraId="4792B735" w14:textId="77777777" w:rsidR="000E0B74" w:rsidRPr="006627B4" w:rsidRDefault="000E0B74" w:rsidP="000E0B74">
      <w:pPr>
        <w:spacing w:before="240"/>
        <w:rPr>
          <w:b/>
        </w:rPr>
      </w:pPr>
      <w:r>
        <w:rPr>
          <w:b/>
        </w:rPr>
        <w:t>Other u</w:t>
      </w:r>
      <w:r w:rsidRPr="006627B4">
        <w:rPr>
          <w:b/>
        </w:rPr>
        <w:t>ses</w:t>
      </w:r>
    </w:p>
    <w:p w14:paraId="628B55C0" w14:textId="77777777" w:rsidR="000E0B74" w:rsidRPr="006627B4" w:rsidRDefault="000E0B74" w:rsidP="000E0B74">
      <w:r>
        <w:t>E</w:t>
      </w:r>
      <w:r w:rsidRPr="006627B4">
        <w:t>nquiries regarding this licence and any other use of this document are welcome at:</w:t>
      </w:r>
    </w:p>
    <w:p w14:paraId="16659D5D"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0" w:history="1">
        <w:r w:rsidRPr="00B31CFB">
          <w:rPr>
            <w:rStyle w:val="Hyperlink"/>
          </w:rPr>
          <w:t>medialiaison@treasury.gov.au</w:t>
        </w:r>
      </w:hyperlink>
    </w:p>
    <w:p w14:paraId="5352C0DE" w14:textId="77777777" w:rsidR="000E0B74" w:rsidRDefault="000E0B74" w:rsidP="000E0B74">
      <w:pPr>
        <w:pStyle w:val="SingleParagraph"/>
        <w:sectPr w:rsidR="000E0B74" w:rsidSect="00475B7B">
          <w:headerReference w:type="even" r:id="rId21"/>
          <w:headerReference w:type="default" r:id="rId22"/>
          <w:footerReference w:type="even" r:id="rId23"/>
          <w:pgSz w:w="11906" w:h="16838" w:code="9"/>
          <w:pgMar w:top="1418" w:right="1418" w:bottom="1418" w:left="1418" w:header="709" w:footer="709" w:gutter="0"/>
          <w:pgNumType w:fmt="lowerRoman"/>
          <w:cols w:space="708"/>
          <w:titlePg/>
          <w:docGrid w:linePitch="360"/>
        </w:sectPr>
      </w:pPr>
    </w:p>
    <w:p w14:paraId="28BDD473" w14:textId="77777777" w:rsidR="000E0B74" w:rsidRPr="00685FF6" w:rsidRDefault="000E0B74" w:rsidP="00685FF6">
      <w:pPr>
        <w:rPr>
          <w:color w:val="1F4E79" w:themeColor="accent1" w:themeShade="80"/>
          <w:sz w:val="48"/>
          <w:szCs w:val="48"/>
        </w:rPr>
      </w:pPr>
      <w:bookmarkStart w:id="1" w:name="_Toc515978324"/>
      <w:bookmarkStart w:id="2" w:name="_Toc519866856"/>
      <w:r w:rsidRPr="00685FF6">
        <w:rPr>
          <w:color w:val="1F4E79" w:themeColor="accent1" w:themeShade="80"/>
          <w:sz w:val="48"/>
          <w:szCs w:val="48"/>
        </w:rPr>
        <w:lastRenderedPageBreak/>
        <w:t>Contents</w:t>
      </w:r>
      <w:bookmarkEnd w:id="1"/>
      <w:bookmarkEnd w:id="2"/>
    </w:p>
    <w:p w14:paraId="7FFF3742" w14:textId="35CE5C57" w:rsidR="00AF6F4F"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8840591" w:history="1">
        <w:r w:rsidR="00AF6F4F" w:rsidRPr="00570749">
          <w:rPr>
            <w:rStyle w:val="Hyperlink"/>
          </w:rPr>
          <w:t>Consultation Process</w:t>
        </w:r>
        <w:r w:rsidR="00AF6F4F">
          <w:rPr>
            <w:webHidden/>
          </w:rPr>
          <w:tab/>
        </w:r>
        <w:r w:rsidR="00AF6F4F">
          <w:rPr>
            <w:webHidden/>
          </w:rPr>
          <w:fldChar w:fldCharType="begin"/>
        </w:r>
        <w:r w:rsidR="00AF6F4F">
          <w:rPr>
            <w:webHidden/>
          </w:rPr>
          <w:instrText xml:space="preserve"> PAGEREF _Toc528840591 \h </w:instrText>
        </w:r>
        <w:r w:rsidR="00AF6F4F">
          <w:rPr>
            <w:webHidden/>
          </w:rPr>
        </w:r>
        <w:r w:rsidR="00AF6F4F">
          <w:rPr>
            <w:webHidden/>
          </w:rPr>
          <w:fldChar w:fldCharType="separate"/>
        </w:r>
        <w:r w:rsidR="00AF6F4F">
          <w:rPr>
            <w:webHidden/>
          </w:rPr>
          <w:t>1</w:t>
        </w:r>
        <w:r w:rsidR="00AF6F4F">
          <w:rPr>
            <w:webHidden/>
          </w:rPr>
          <w:fldChar w:fldCharType="end"/>
        </w:r>
      </w:hyperlink>
    </w:p>
    <w:p w14:paraId="7CF7D3DC" w14:textId="77777777" w:rsidR="00AF6F4F" w:rsidRDefault="00176443">
      <w:pPr>
        <w:pStyle w:val="TOC1"/>
        <w:rPr>
          <w:rFonts w:asciiTheme="minorHAnsi" w:eastAsiaTheme="minorEastAsia" w:hAnsiTheme="minorHAnsi" w:cstheme="minorBidi"/>
          <w:b w:val="0"/>
          <w:color w:val="auto"/>
        </w:rPr>
      </w:pPr>
      <w:hyperlink w:anchor="_Toc528840592" w:history="1">
        <w:r w:rsidR="00AF6F4F" w:rsidRPr="00570749">
          <w:rPr>
            <w:rStyle w:val="Hyperlink"/>
          </w:rPr>
          <w:t>Introduction</w:t>
        </w:r>
        <w:r w:rsidR="00AF6F4F">
          <w:rPr>
            <w:webHidden/>
          </w:rPr>
          <w:tab/>
        </w:r>
        <w:r w:rsidR="00AF6F4F">
          <w:rPr>
            <w:webHidden/>
          </w:rPr>
          <w:fldChar w:fldCharType="begin"/>
        </w:r>
        <w:r w:rsidR="00AF6F4F">
          <w:rPr>
            <w:webHidden/>
          </w:rPr>
          <w:instrText xml:space="preserve"> PAGEREF _Toc528840592 \h </w:instrText>
        </w:r>
        <w:r w:rsidR="00AF6F4F">
          <w:rPr>
            <w:webHidden/>
          </w:rPr>
        </w:r>
        <w:r w:rsidR="00AF6F4F">
          <w:rPr>
            <w:webHidden/>
          </w:rPr>
          <w:fldChar w:fldCharType="separate"/>
        </w:r>
        <w:r w:rsidR="00AF6F4F">
          <w:rPr>
            <w:webHidden/>
          </w:rPr>
          <w:t>2</w:t>
        </w:r>
        <w:r w:rsidR="00AF6F4F">
          <w:rPr>
            <w:webHidden/>
          </w:rPr>
          <w:fldChar w:fldCharType="end"/>
        </w:r>
      </w:hyperlink>
    </w:p>
    <w:p w14:paraId="4A87ACE9" w14:textId="77777777" w:rsidR="00AF6F4F" w:rsidRDefault="00176443">
      <w:pPr>
        <w:pStyle w:val="TOC1"/>
        <w:rPr>
          <w:rFonts w:asciiTheme="minorHAnsi" w:eastAsiaTheme="minorEastAsia" w:hAnsiTheme="minorHAnsi" w:cstheme="minorBidi"/>
          <w:b w:val="0"/>
          <w:color w:val="auto"/>
        </w:rPr>
      </w:pPr>
      <w:hyperlink w:anchor="_Toc528840593" w:history="1">
        <w:r w:rsidR="00AF6F4F" w:rsidRPr="00570749">
          <w:rPr>
            <w:rStyle w:val="Hyperlink"/>
          </w:rPr>
          <w:t>Previous work on disclosure in insurance</w:t>
        </w:r>
        <w:r w:rsidR="00AF6F4F">
          <w:rPr>
            <w:webHidden/>
          </w:rPr>
          <w:tab/>
        </w:r>
        <w:r w:rsidR="00AF6F4F">
          <w:rPr>
            <w:webHidden/>
          </w:rPr>
          <w:fldChar w:fldCharType="begin"/>
        </w:r>
        <w:r w:rsidR="00AF6F4F">
          <w:rPr>
            <w:webHidden/>
          </w:rPr>
          <w:instrText xml:space="preserve"> PAGEREF _Toc528840593 \h </w:instrText>
        </w:r>
        <w:r w:rsidR="00AF6F4F">
          <w:rPr>
            <w:webHidden/>
          </w:rPr>
        </w:r>
        <w:r w:rsidR="00AF6F4F">
          <w:rPr>
            <w:webHidden/>
          </w:rPr>
          <w:fldChar w:fldCharType="separate"/>
        </w:r>
        <w:r w:rsidR="00AF6F4F">
          <w:rPr>
            <w:webHidden/>
          </w:rPr>
          <w:t>3</w:t>
        </w:r>
        <w:r w:rsidR="00AF6F4F">
          <w:rPr>
            <w:webHidden/>
          </w:rPr>
          <w:fldChar w:fldCharType="end"/>
        </w:r>
      </w:hyperlink>
    </w:p>
    <w:p w14:paraId="52014893" w14:textId="77777777" w:rsidR="00AF6F4F" w:rsidRDefault="00176443">
      <w:pPr>
        <w:pStyle w:val="TOC2"/>
        <w:rPr>
          <w:rFonts w:asciiTheme="minorHAnsi" w:eastAsiaTheme="minorEastAsia" w:hAnsiTheme="minorHAnsi" w:cstheme="minorBidi"/>
          <w:color w:val="auto"/>
          <w:szCs w:val="22"/>
        </w:rPr>
      </w:pPr>
      <w:hyperlink w:anchor="_Toc528840594" w:history="1">
        <w:r w:rsidR="00AF6F4F" w:rsidRPr="00570749">
          <w:rPr>
            <w:rStyle w:val="Hyperlink"/>
          </w:rPr>
          <w:t>Financial System Inquiry</w:t>
        </w:r>
        <w:r w:rsidR="00AF6F4F">
          <w:rPr>
            <w:webHidden/>
          </w:rPr>
          <w:tab/>
        </w:r>
        <w:r w:rsidR="00AF6F4F">
          <w:rPr>
            <w:webHidden/>
          </w:rPr>
          <w:fldChar w:fldCharType="begin"/>
        </w:r>
        <w:r w:rsidR="00AF6F4F">
          <w:rPr>
            <w:webHidden/>
          </w:rPr>
          <w:instrText xml:space="preserve"> PAGEREF _Toc528840594 \h </w:instrText>
        </w:r>
        <w:r w:rsidR="00AF6F4F">
          <w:rPr>
            <w:webHidden/>
          </w:rPr>
        </w:r>
        <w:r w:rsidR="00AF6F4F">
          <w:rPr>
            <w:webHidden/>
          </w:rPr>
          <w:fldChar w:fldCharType="separate"/>
        </w:r>
        <w:r w:rsidR="00AF6F4F">
          <w:rPr>
            <w:webHidden/>
          </w:rPr>
          <w:t>3</w:t>
        </w:r>
        <w:r w:rsidR="00AF6F4F">
          <w:rPr>
            <w:webHidden/>
          </w:rPr>
          <w:fldChar w:fldCharType="end"/>
        </w:r>
      </w:hyperlink>
    </w:p>
    <w:p w14:paraId="164A18C1" w14:textId="77777777" w:rsidR="00AF6F4F" w:rsidRDefault="00176443">
      <w:pPr>
        <w:pStyle w:val="TOC2"/>
        <w:rPr>
          <w:rFonts w:asciiTheme="minorHAnsi" w:eastAsiaTheme="minorEastAsia" w:hAnsiTheme="minorHAnsi" w:cstheme="minorBidi"/>
          <w:color w:val="auto"/>
          <w:szCs w:val="22"/>
        </w:rPr>
      </w:pPr>
      <w:hyperlink w:anchor="_Toc528840595" w:history="1">
        <w:r w:rsidR="00AF6F4F" w:rsidRPr="00570749">
          <w:rPr>
            <w:rStyle w:val="Hyperlink"/>
          </w:rPr>
          <w:t>2017 Senate Economics References Committee’s Inquiry into the general insurance industry</w:t>
        </w:r>
        <w:r w:rsidR="00AF6F4F">
          <w:rPr>
            <w:webHidden/>
          </w:rPr>
          <w:tab/>
        </w:r>
        <w:r w:rsidR="00AF6F4F">
          <w:rPr>
            <w:webHidden/>
          </w:rPr>
          <w:fldChar w:fldCharType="begin"/>
        </w:r>
        <w:r w:rsidR="00AF6F4F">
          <w:rPr>
            <w:webHidden/>
          </w:rPr>
          <w:instrText xml:space="preserve"> PAGEREF _Toc528840595 \h </w:instrText>
        </w:r>
        <w:r w:rsidR="00AF6F4F">
          <w:rPr>
            <w:webHidden/>
          </w:rPr>
        </w:r>
        <w:r w:rsidR="00AF6F4F">
          <w:rPr>
            <w:webHidden/>
          </w:rPr>
          <w:fldChar w:fldCharType="separate"/>
        </w:r>
        <w:r w:rsidR="00AF6F4F">
          <w:rPr>
            <w:webHidden/>
          </w:rPr>
          <w:t>4</w:t>
        </w:r>
        <w:r w:rsidR="00AF6F4F">
          <w:rPr>
            <w:webHidden/>
          </w:rPr>
          <w:fldChar w:fldCharType="end"/>
        </w:r>
      </w:hyperlink>
    </w:p>
    <w:p w14:paraId="33A4666D" w14:textId="77777777" w:rsidR="00AF6F4F" w:rsidRDefault="00176443">
      <w:pPr>
        <w:pStyle w:val="TOC2"/>
        <w:rPr>
          <w:rFonts w:asciiTheme="minorHAnsi" w:eastAsiaTheme="minorEastAsia" w:hAnsiTheme="minorHAnsi" w:cstheme="minorBidi"/>
          <w:color w:val="auto"/>
          <w:szCs w:val="22"/>
        </w:rPr>
      </w:pPr>
      <w:hyperlink w:anchor="_Toc528840596" w:history="1">
        <w:r w:rsidR="00AF6F4F" w:rsidRPr="00570749">
          <w:rPr>
            <w:rStyle w:val="Hyperlink"/>
          </w:rPr>
          <w:t>Industry research</w:t>
        </w:r>
        <w:r w:rsidR="00AF6F4F">
          <w:rPr>
            <w:webHidden/>
          </w:rPr>
          <w:tab/>
        </w:r>
        <w:r w:rsidR="00AF6F4F">
          <w:rPr>
            <w:webHidden/>
          </w:rPr>
          <w:fldChar w:fldCharType="begin"/>
        </w:r>
        <w:r w:rsidR="00AF6F4F">
          <w:rPr>
            <w:webHidden/>
          </w:rPr>
          <w:instrText xml:space="preserve"> PAGEREF _Toc528840596 \h </w:instrText>
        </w:r>
        <w:r w:rsidR="00AF6F4F">
          <w:rPr>
            <w:webHidden/>
          </w:rPr>
        </w:r>
        <w:r w:rsidR="00AF6F4F">
          <w:rPr>
            <w:webHidden/>
          </w:rPr>
          <w:fldChar w:fldCharType="separate"/>
        </w:r>
        <w:r w:rsidR="00AF6F4F">
          <w:rPr>
            <w:webHidden/>
          </w:rPr>
          <w:t>5</w:t>
        </w:r>
        <w:r w:rsidR="00AF6F4F">
          <w:rPr>
            <w:webHidden/>
          </w:rPr>
          <w:fldChar w:fldCharType="end"/>
        </w:r>
      </w:hyperlink>
    </w:p>
    <w:p w14:paraId="44FA33EC" w14:textId="77777777" w:rsidR="00AF6F4F" w:rsidRDefault="00176443">
      <w:pPr>
        <w:pStyle w:val="TOC2"/>
        <w:rPr>
          <w:rFonts w:asciiTheme="minorHAnsi" w:eastAsiaTheme="minorEastAsia" w:hAnsiTheme="minorHAnsi" w:cstheme="minorBidi"/>
          <w:color w:val="auto"/>
          <w:szCs w:val="22"/>
        </w:rPr>
      </w:pPr>
      <w:hyperlink w:anchor="_Toc528840597" w:history="1">
        <w:r w:rsidR="00AF6F4F" w:rsidRPr="00570749">
          <w:rPr>
            <w:rStyle w:val="Hyperlink"/>
          </w:rPr>
          <w:t>Australian Securities and Investments Commission research</w:t>
        </w:r>
        <w:r w:rsidR="00AF6F4F">
          <w:rPr>
            <w:webHidden/>
          </w:rPr>
          <w:tab/>
        </w:r>
        <w:r w:rsidR="00AF6F4F">
          <w:rPr>
            <w:webHidden/>
          </w:rPr>
          <w:fldChar w:fldCharType="begin"/>
        </w:r>
        <w:r w:rsidR="00AF6F4F">
          <w:rPr>
            <w:webHidden/>
          </w:rPr>
          <w:instrText xml:space="preserve"> PAGEREF _Toc528840597 \h </w:instrText>
        </w:r>
        <w:r w:rsidR="00AF6F4F">
          <w:rPr>
            <w:webHidden/>
          </w:rPr>
        </w:r>
        <w:r w:rsidR="00AF6F4F">
          <w:rPr>
            <w:webHidden/>
          </w:rPr>
          <w:fldChar w:fldCharType="separate"/>
        </w:r>
        <w:r w:rsidR="00AF6F4F">
          <w:rPr>
            <w:webHidden/>
          </w:rPr>
          <w:t>5</w:t>
        </w:r>
        <w:r w:rsidR="00AF6F4F">
          <w:rPr>
            <w:webHidden/>
          </w:rPr>
          <w:fldChar w:fldCharType="end"/>
        </w:r>
      </w:hyperlink>
    </w:p>
    <w:p w14:paraId="4DA6B3C9" w14:textId="77777777" w:rsidR="00AF6F4F" w:rsidRDefault="00176443">
      <w:pPr>
        <w:pStyle w:val="TOC2"/>
        <w:rPr>
          <w:rFonts w:asciiTheme="minorHAnsi" w:eastAsiaTheme="minorEastAsia" w:hAnsiTheme="minorHAnsi" w:cstheme="minorBidi"/>
          <w:color w:val="auto"/>
          <w:szCs w:val="22"/>
        </w:rPr>
      </w:pPr>
      <w:hyperlink w:anchor="_Toc528840598" w:history="1">
        <w:r w:rsidR="00AF6F4F" w:rsidRPr="00570749">
          <w:rPr>
            <w:rStyle w:val="Hyperlink"/>
          </w:rPr>
          <w:t>Behavioural insights</w:t>
        </w:r>
        <w:r w:rsidR="00AF6F4F">
          <w:rPr>
            <w:webHidden/>
          </w:rPr>
          <w:tab/>
        </w:r>
        <w:r w:rsidR="00AF6F4F">
          <w:rPr>
            <w:webHidden/>
          </w:rPr>
          <w:fldChar w:fldCharType="begin"/>
        </w:r>
        <w:r w:rsidR="00AF6F4F">
          <w:rPr>
            <w:webHidden/>
          </w:rPr>
          <w:instrText xml:space="preserve"> PAGEREF _Toc528840598 \h </w:instrText>
        </w:r>
        <w:r w:rsidR="00AF6F4F">
          <w:rPr>
            <w:webHidden/>
          </w:rPr>
        </w:r>
        <w:r w:rsidR="00AF6F4F">
          <w:rPr>
            <w:webHidden/>
          </w:rPr>
          <w:fldChar w:fldCharType="separate"/>
        </w:r>
        <w:r w:rsidR="00AF6F4F">
          <w:rPr>
            <w:webHidden/>
          </w:rPr>
          <w:t>7</w:t>
        </w:r>
        <w:r w:rsidR="00AF6F4F">
          <w:rPr>
            <w:webHidden/>
          </w:rPr>
          <w:fldChar w:fldCharType="end"/>
        </w:r>
      </w:hyperlink>
    </w:p>
    <w:p w14:paraId="0F4BF1B3" w14:textId="77777777" w:rsidR="00AF6F4F" w:rsidRDefault="00176443">
      <w:pPr>
        <w:pStyle w:val="TOC2"/>
        <w:rPr>
          <w:rFonts w:asciiTheme="minorHAnsi" w:eastAsiaTheme="minorEastAsia" w:hAnsiTheme="minorHAnsi" w:cstheme="minorBidi"/>
          <w:color w:val="auto"/>
          <w:szCs w:val="22"/>
        </w:rPr>
      </w:pPr>
      <w:hyperlink w:anchor="_Toc528840599" w:history="1">
        <w:r w:rsidR="00AF6F4F" w:rsidRPr="00570749">
          <w:rPr>
            <w:rStyle w:val="Hyperlink"/>
          </w:rPr>
          <w:t>International developments</w:t>
        </w:r>
        <w:r w:rsidR="00AF6F4F">
          <w:rPr>
            <w:webHidden/>
          </w:rPr>
          <w:tab/>
        </w:r>
        <w:r w:rsidR="00AF6F4F">
          <w:rPr>
            <w:webHidden/>
          </w:rPr>
          <w:fldChar w:fldCharType="begin"/>
        </w:r>
        <w:r w:rsidR="00AF6F4F">
          <w:rPr>
            <w:webHidden/>
          </w:rPr>
          <w:instrText xml:space="preserve"> PAGEREF _Toc528840599 \h </w:instrText>
        </w:r>
        <w:r w:rsidR="00AF6F4F">
          <w:rPr>
            <w:webHidden/>
          </w:rPr>
        </w:r>
        <w:r w:rsidR="00AF6F4F">
          <w:rPr>
            <w:webHidden/>
          </w:rPr>
          <w:fldChar w:fldCharType="separate"/>
        </w:r>
        <w:r w:rsidR="00AF6F4F">
          <w:rPr>
            <w:webHidden/>
          </w:rPr>
          <w:t>7</w:t>
        </w:r>
        <w:r w:rsidR="00AF6F4F">
          <w:rPr>
            <w:webHidden/>
          </w:rPr>
          <w:fldChar w:fldCharType="end"/>
        </w:r>
      </w:hyperlink>
    </w:p>
    <w:p w14:paraId="6F842509" w14:textId="77777777" w:rsidR="00AF6F4F" w:rsidRDefault="00176443">
      <w:pPr>
        <w:pStyle w:val="TOC1"/>
        <w:rPr>
          <w:rFonts w:asciiTheme="minorHAnsi" w:eastAsiaTheme="minorEastAsia" w:hAnsiTheme="minorHAnsi" w:cstheme="minorBidi"/>
          <w:b w:val="0"/>
          <w:color w:val="auto"/>
        </w:rPr>
      </w:pPr>
      <w:hyperlink w:anchor="_Toc528840600" w:history="1">
        <w:r w:rsidR="00AF6F4F" w:rsidRPr="00570749">
          <w:rPr>
            <w:rStyle w:val="Hyperlink"/>
          </w:rPr>
          <w:t>Issues for discussion</w:t>
        </w:r>
        <w:r w:rsidR="00AF6F4F">
          <w:rPr>
            <w:webHidden/>
          </w:rPr>
          <w:tab/>
        </w:r>
        <w:r w:rsidR="00AF6F4F">
          <w:rPr>
            <w:webHidden/>
          </w:rPr>
          <w:fldChar w:fldCharType="begin"/>
        </w:r>
        <w:r w:rsidR="00AF6F4F">
          <w:rPr>
            <w:webHidden/>
          </w:rPr>
          <w:instrText xml:space="preserve"> PAGEREF _Toc528840600 \h </w:instrText>
        </w:r>
        <w:r w:rsidR="00AF6F4F">
          <w:rPr>
            <w:webHidden/>
          </w:rPr>
        </w:r>
        <w:r w:rsidR="00AF6F4F">
          <w:rPr>
            <w:webHidden/>
          </w:rPr>
          <w:fldChar w:fldCharType="separate"/>
        </w:r>
        <w:r w:rsidR="00AF6F4F">
          <w:rPr>
            <w:webHidden/>
          </w:rPr>
          <w:t>8</w:t>
        </w:r>
        <w:r w:rsidR="00AF6F4F">
          <w:rPr>
            <w:webHidden/>
          </w:rPr>
          <w:fldChar w:fldCharType="end"/>
        </w:r>
      </w:hyperlink>
    </w:p>
    <w:p w14:paraId="3B8DAF46" w14:textId="77777777" w:rsidR="00AF6F4F" w:rsidRDefault="00176443">
      <w:pPr>
        <w:pStyle w:val="TOC2"/>
        <w:rPr>
          <w:rFonts w:asciiTheme="minorHAnsi" w:eastAsiaTheme="minorEastAsia" w:hAnsiTheme="minorHAnsi" w:cstheme="minorBidi"/>
          <w:color w:val="auto"/>
          <w:szCs w:val="22"/>
        </w:rPr>
      </w:pPr>
      <w:hyperlink w:anchor="_Toc528840601" w:history="1">
        <w:r w:rsidR="00AF6F4F" w:rsidRPr="00570749">
          <w:rPr>
            <w:rStyle w:val="Hyperlink"/>
          </w:rPr>
          <w:t>Premium increases and component pricing included in renewal notices</w:t>
        </w:r>
        <w:r w:rsidR="00AF6F4F">
          <w:rPr>
            <w:webHidden/>
          </w:rPr>
          <w:tab/>
        </w:r>
        <w:r w:rsidR="00AF6F4F">
          <w:rPr>
            <w:webHidden/>
          </w:rPr>
          <w:fldChar w:fldCharType="begin"/>
        </w:r>
        <w:r w:rsidR="00AF6F4F">
          <w:rPr>
            <w:webHidden/>
          </w:rPr>
          <w:instrText xml:space="preserve"> PAGEREF _Toc528840601 \h </w:instrText>
        </w:r>
        <w:r w:rsidR="00AF6F4F">
          <w:rPr>
            <w:webHidden/>
          </w:rPr>
        </w:r>
        <w:r w:rsidR="00AF6F4F">
          <w:rPr>
            <w:webHidden/>
          </w:rPr>
          <w:fldChar w:fldCharType="separate"/>
        </w:r>
        <w:r w:rsidR="00AF6F4F">
          <w:rPr>
            <w:webHidden/>
          </w:rPr>
          <w:t>8</w:t>
        </w:r>
        <w:r w:rsidR="00AF6F4F">
          <w:rPr>
            <w:webHidden/>
          </w:rPr>
          <w:fldChar w:fldCharType="end"/>
        </w:r>
      </w:hyperlink>
    </w:p>
    <w:p w14:paraId="5612B491" w14:textId="77777777" w:rsidR="00AF6F4F" w:rsidRDefault="00176443">
      <w:pPr>
        <w:pStyle w:val="TOC2"/>
        <w:rPr>
          <w:rFonts w:asciiTheme="minorHAnsi" w:eastAsiaTheme="minorEastAsia" w:hAnsiTheme="minorHAnsi" w:cstheme="minorBidi"/>
          <w:color w:val="auto"/>
          <w:szCs w:val="22"/>
        </w:rPr>
      </w:pPr>
      <w:hyperlink w:anchor="_Toc528840603" w:history="1">
        <w:r w:rsidR="00AF6F4F" w:rsidRPr="00570749">
          <w:rPr>
            <w:rStyle w:val="Hyperlink"/>
          </w:rPr>
          <w:t>Standard cover – is the current disclosure regime efficient?</w:t>
        </w:r>
        <w:r w:rsidR="00AF6F4F">
          <w:rPr>
            <w:webHidden/>
          </w:rPr>
          <w:tab/>
        </w:r>
        <w:r w:rsidR="00AF6F4F">
          <w:rPr>
            <w:webHidden/>
          </w:rPr>
          <w:fldChar w:fldCharType="begin"/>
        </w:r>
        <w:r w:rsidR="00AF6F4F">
          <w:rPr>
            <w:webHidden/>
          </w:rPr>
          <w:instrText xml:space="preserve"> PAGEREF _Toc528840603 \h </w:instrText>
        </w:r>
        <w:r w:rsidR="00AF6F4F">
          <w:rPr>
            <w:webHidden/>
          </w:rPr>
        </w:r>
        <w:r w:rsidR="00AF6F4F">
          <w:rPr>
            <w:webHidden/>
          </w:rPr>
          <w:fldChar w:fldCharType="separate"/>
        </w:r>
        <w:r w:rsidR="00AF6F4F">
          <w:rPr>
            <w:webHidden/>
          </w:rPr>
          <w:t>12</w:t>
        </w:r>
        <w:r w:rsidR="00AF6F4F">
          <w:rPr>
            <w:webHidden/>
          </w:rPr>
          <w:fldChar w:fldCharType="end"/>
        </w:r>
      </w:hyperlink>
    </w:p>
    <w:p w14:paraId="491BE78A" w14:textId="77777777" w:rsidR="00AF6F4F" w:rsidRDefault="00176443">
      <w:pPr>
        <w:pStyle w:val="TOC2"/>
        <w:rPr>
          <w:rFonts w:asciiTheme="minorHAnsi" w:eastAsiaTheme="minorEastAsia" w:hAnsiTheme="minorHAnsi" w:cstheme="minorBidi"/>
          <w:color w:val="auto"/>
          <w:szCs w:val="22"/>
        </w:rPr>
      </w:pPr>
      <w:hyperlink w:anchor="_Toc528840605" w:history="1">
        <w:r w:rsidR="00AF6F4F" w:rsidRPr="00570749">
          <w:rPr>
            <w:rStyle w:val="Hyperlink"/>
          </w:rPr>
          <w:t>Standardised definition of key terms</w:t>
        </w:r>
        <w:r w:rsidR="00AF6F4F">
          <w:rPr>
            <w:webHidden/>
          </w:rPr>
          <w:tab/>
        </w:r>
        <w:r w:rsidR="00AF6F4F">
          <w:rPr>
            <w:webHidden/>
          </w:rPr>
          <w:fldChar w:fldCharType="begin"/>
        </w:r>
        <w:r w:rsidR="00AF6F4F">
          <w:rPr>
            <w:webHidden/>
          </w:rPr>
          <w:instrText xml:space="preserve"> PAGEREF _Toc528840605 \h </w:instrText>
        </w:r>
        <w:r w:rsidR="00AF6F4F">
          <w:rPr>
            <w:webHidden/>
          </w:rPr>
        </w:r>
        <w:r w:rsidR="00AF6F4F">
          <w:rPr>
            <w:webHidden/>
          </w:rPr>
          <w:fldChar w:fldCharType="separate"/>
        </w:r>
        <w:r w:rsidR="00AF6F4F">
          <w:rPr>
            <w:webHidden/>
          </w:rPr>
          <w:t>15</w:t>
        </w:r>
        <w:r w:rsidR="00AF6F4F">
          <w:rPr>
            <w:webHidden/>
          </w:rPr>
          <w:fldChar w:fldCharType="end"/>
        </w:r>
      </w:hyperlink>
    </w:p>
    <w:p w14:paraId="479EA5FE" w14:textId="77777777" w:rsidR="00AF6F4F" w:rsidRDefault="00176443">
      <w:pPr>
        <w:pStyle w:val="TOC2"/>
        <w:rPr>
          <w:rStyle w:val="Hyperlink"/>
        </w:rPr>
      </w:pPr>
      <w:hyperlink w:anchor="_Toc528840607" w:history="1">
        <w:r w:rsidR="00AF6F4F" w:rsidRPr="00570749">
          <w:rPr>
            <w:rStyle w:val="Hyperlink"/>
          </w:rPr>
          <w:t>Review of the Key Facts Sheet</w:t>
        </w:r>
        <w:r w:rsidR="00AF6F4F">
          <w:rPr>
            <w:webHidden/>
          </w:rPr>
          <w:tab/>
        </w:r>
        <w:r w:rsidR="00AF6F4F">
          <w:rPr>
            <w:webHidden/>
          </w:rPr>
          <w:fldChar w:fldCharType="begin"/>
        </w:r>
        <w:r w:rsidR="00AF6F4F">
          <w:rPr>
            <w:webHidden/>
          </w:rPr>
          <w:instrText xml:space="preserve"> PAGEREF _Toc528840607 \h </w:instrText>
        </w:r>
        <w:r w:rsidR="00AF6F4F">
          <w:rPr>
            <w:webHidden/>
          </w:rPr>
        </w:r>
        <w:r w:rsidR="00AF6F4F">
          <w:rPr>
            <w:webHidden/>
          </w:rPr>
          <w:fldChar w:fldCharType="separate"/>
        </w:r>
        <w:r w:rsidR="00AF6F4F">
          <w:rPr>
            <w:webHidden/>
          </w:rPr>
          <w:t>17</w:t>
        </w:r>
        <w:r w:rsidR="00AF6F4F">
          <w:rPr>
            <w:webHidden/>
          </w:rPr>
          <w:fldChar w:fldCharType="end"/>
        </w:r>
      </w:hyperlink>
    </w:p>
    <w:p w14:paraId="4D5048F5" w14:textId="0ABF4463" w:rsidR="005E34C3" w:rsidRDefault="00176443" w:rsidP="005E34C3">
      <w:pPr>
        <w:pStyle w:val="TOC2"/>
        <w:rPr>
          <w:rStyle w:val="Hyperlink"/>
        </w:rPr>
      </w:pPr>
      <w:hyperlink w:anchor="_Toc528840607" w:history="1">
        <w:r w:rsidR="005E34C3">
          <w:rPr>
            <w:rStyle w:val="Hyperlink"/>
          </w:rPr>
          <w:t>A modern approach to disclsoure</w:t>
        </w:r>
        <w:r w:rsidR="005E34C3">
          <w:rPr>
            <w:webHidden/>
          </w:rPr>
          <w:tab/>
          <w:t>20</w:t>
        </w:r>
      </w:hyperlink>
    </w:p>
    <w:p w14:paraId="7353B194" w14:textId="77777777" w:rsidR="005E34C3" w:rsidRPr="005E34C3" w:rsidRDefault="005E34C3" w:rsidP="005E34C3">
      <w:pPr>
        <w:rPr>
          <w:rFonts w:eastAsiaTheme="minorEastAsia"/>
        </w:rPr>
      </w:pPr>
    </w:p>
    <w:p w14:paraId="0B4A27EE" w14:textId="6B67AEA2"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r w:rsidR="005E34C3">
        <w:t xml:space="preserve"> </w:t>
      </w:r>
    </w:p>
    <w:p w14:paraId="36EA7E13" w14:textId="77777777" w:rsidR="000E0B74" w:rsidRDefault="000E0B74" w:rsidP="00966E59">
      <w:pPr>
        <w:pStyle w:val="Heading1"/>
      </w:pPr>
      <w:bookmarkStart w:id="3" w:name="_Toc515978325"/>
      <w:bookmarkStart w:id="4" w:name="_Toc528840591"/>
      <w:bookmarkStart w:id="5" w:name="_Toc432067103"/>
      <w:r>
        <w:lastRenderedPageBreak/>
        <w:t>Consultation Process</w:t>
      </w:r>
      <w:bookmarkEnd w:id="3"/>
      <w:bookmarkEnd w:id="4"/>
    </w:p>
    <w:p w14:paraId="5CF3639C" w14:textId="77777777" w:rsidR="000E0B74" w:rsidRPr="00685FF6" w:rsidRDefault="000E0B74" w:rsidP="00685FF6">
      <w:pPr>
        <w:rPr>
          <w:color w:val="1F4E79" w:themeColor="accent1" w:themeShade="80"/>
          <w:sz w:val="36"/>
          <w:szCs w:val="36"/>
        </w:rPr>
      </w:pPr>
      <w:bookmarkStart w:id="6" w:name="_Toc515978326"/>
      <w:bookmarkStart w:id="7" w:name="_Toc519866858"/>
      <w:r w:rsidRPr="00685FF6">
        <w:rPr>
          <w:color w:val="1F4E79" w:themeColor="accent1" w:themeShade="80"/>
          <w:sz w:val="36"/>
          <w:szCs w:val="36"/>
        </w:rPr>
        <w:t>Request for feedback and comments</w:t>
      </w:r>
      <w:bookmarkEnd w:id="6"/>
      <w:bookmarkEnd w:id="7"/>
    </w:p>
    <w:p w14:paraId="0041472B" w14:textId="77777777" w:rsidR="000E0B74" w:rsidRDefault="00573517" w:rsidP="000E0B74">
      <w:r>
        <w:t xml:space="preserve">Interested parties are invited to comment on this consultation paper. While submissions may be lodged electronically or by post, electronic lodgement is preferred. For accessibility reasons, please submit responses sent via email in a Word or RTF format. An additional PDF version may also be submitted. </w:t>
      </w:r>
      <w:r w:rsidR="009B0B78">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6353FAE2" w14:textId="6D9D7ACE" w:rsidR="000E0B74" w:rsidRDefault="000E0B74" w:rsidP="00257AEE">
      <w:pPr>
        <w:pStyle w:val="Heading3noTOC"/>
      </w:pPr>
      <w:r>
        <w:t xml:space="preserve">Closing date for submissions: </w:t>
      </w:r>
      <w:r w:rsidR="001E3ED0" w:rsidRPr="001E3ED0">
        <w:t>2</w:t>
      </w:r>
      <w:r w:rsidR="00D23EE4" w:rsidRPr="001E3ED0">
        <w:t>8 February</w:t>
      </w:r>
      <w:r w:rsidR="00D23EE4">
        <w:t xml:space="preserve"> </w:t>
      </w:r>
      <w:r w:rsidR="00617CCD">
        <w:t>2019</w:t>
      </w:r>
    </w:p>
    <w:tbl>
      <w:tblPr>
        <w:tblStyle w:val="TableGrid"/>
        <w:tblW w:w="0" w:type="auto"/>
        <w:tblLook w:val="04A0" w:firstRow="1" w:lastRow="0" w:firstColumn="1" w:lastColumn="0" w:noHBand="0" w:noVBand="1"/>
      </w:tblPr>
      <w:tblGrid>
        <w:gridCol w:w="1526"/>
        <w:gridCol w:w="7654"/>
      </w:tblGrid>
      <w:tr w:rsidR="000E0B74" w:rsidRPr="00B85F47" w14:paraId="48147875" w14:textId="77777777" w:rsidTr="00B85F47">
        <w:tc>
          <w:tcPr>
            <w:tcW w:w="1526" w:type="dxa"/>
            <w:shd w:val="clear" w:color="auto" w:fill="auto"/>
          </w:tcPr>
          <w:p w14:paraId="27CCAE22"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72412424" w14:textId="77777777" w:rsidR="000E0B74" w:rsidRPr="00B85F47" w:rsidRDefault="003D5482" w:rsidP="00516785">
            <w:pPr>
              <w:rPr>
                <w:sz w:val="22"/>
                <w:szCs w:val="22"/>
              </w:rPr>
            </w:pPr>
            <w:r w:rsidRPr="003D5482">
              <w:rPr>
                <w:rFonts w:cs="Arial"/>
                <w:sz w:val="22"/>
                <w:szCs w:val="22"/>
              </w:rPr>
              <w:t>Insurancedisclosure@treasury.gov.au</w:t>
            </w:r>
          </w:p>
        </w:tc>
      </w:tr>
      <w:tr w:rsidR="000E0B74" w:rsidRPr="00B85F47" w14:paraId="3512D3CE" w14:textId="77777777" w:rsidTr="00B85F47">
        <w:tc>
          <w:tcPr>
            <w:tcW w:w="1526" w:type="dxa"/>
            <w:shd w:val="clear" w:color="auto" w:fill="auto"/>
          </w:tcPr>
          <w:p w14:paraId="545DF240" w14:textId="77777777" w:rsidR="000E0B74" w:rsidRPr="00B85F47" w:rsidRDefault="000E0B74" w:rsidP="0017089D">
            <w:pPr>
              <w:rPr>
                <w:sz w:val="22"/>
                <w:szCs w:val="22"/>
              </w:rPr>
            </w:pPr>
            <w:r w:rsidRPr="00B85F47">
              <w:rPr>
                <w:sz w:val="22"/>
                <w:szCs w:val="22"/>
              </w:rPr>
              <w:t>Mail</w:t>
            </w:r>
          </w:p>
          <w:p w14:paraId="3323619C" w14:textId="77777777" w:rsidR="008D7F38" w:rsidRPr="00B85F47" w:rsidRDefault="008D7F38" w:rsidP="0017089D">
            <w:pPr>
              <w:rPr>
                <w:sz w:val="22"/>
                <w:szCs w:val="22"/>
              </w:rPr>
            </w:pPr>
          </w:p>
          <w:p w14:paraId="6F6467C6" w14:textId="77777777" w:rsidR="008D7F38" w:rsidRPr="00B85F47" w:rsidRDefault="008D7F38" w:rsidP="0017089D">
            <w:pPr>
              <w:rPr>
                <w:sz w:val="22"/>
                <w:szCs w:val="22"/>
              </w:rPr>
            </w:pPr>
          </w:p>
        </w:tc>
        <w:tc>
          <w:tcPr>
            <w:tcW w:w="7654" w:type="dxa"/>
            <w:shd w:val="clear" w:color="auto" w:fill="auto"/>
          </w:tcPr>
          <w:p w14:paraId="79EE096B" w14:textId="77777777" w:rsidR="000E0B74" w:rsidRPr="00B85F47" w:rsidRDefault="003D5482" w:rsidP="0017089D">
            <w:pPr>
              <w:pStyle w:val="SingleParagraph"/>
              <w:rPr>
                <w:rFonts w:cs="Arial"/>
                <w:sz w:val="22"/>
                <w:szCs w:val="22"/>
              </w:rPr>
            </w:pPr>
            <w:r w:rsidRPr="003D5482">
              <w:rPr>
                <w:rFonts w:cs="Arial"/>
                <w:sz w:val="22"/>
                <w:szCs w:val="22"/>
              </w:rPr>
              <w:t>Manager</w:t>
            </w:r>
          </w:p>
          <w:p w14:paraId="3BEC3CB1" w14:textId="77777777" w:rsidR="000E0B74" w:rsidRPr="00B85F47" w:rsidRDefault="003D5482" w:rsidP="0017089D">
            <w:pPr>
              <w:pStyle w:val="SingleParagraph"/>
              <w:rPr>
                <w:rFonts w:cs="Arial"/>
                <w:sz w:val="22"/>
                <w:szCs w:val="22"/>
              </w:rPr>
            </w:pPr>
            <w:r w:rsidRPr="003D5482">
              <w:rPr>
                <w:rFonts w:cs="Arial"/>
                <w:sz w:val="22"/>
                <w:szCs w:val="22"/>
              </w:rPr>
              <w:t>Insurance and Financial Services Unit</w:t>
            </w:r>
          </w:p>
          <w:p w14:paraId="70E11EA6"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0761CA08"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4D9054D2" w14:textId="77777777" w:rsidR="000E0B74" w:rsidRPr="00B85F47" w:rsidRDefault="000E0B74" w:rsidP="0017089D">
            <w:pPr>
              <w:pStyle w:val="SingleParagraph"/>
              <w:rPr>
                <w:sz w:val="22"/>
                <w:szCs w:val="22"/>
              </w:rPr>
            </w:pPr>
            <w:r w:rsidRPr="003D5482">
              <w:rPr>
                <w:rFonts w:cs="Arial"/>
                <w:sz w:val="22"/>
                <w:szCs w:val="22"/>
              </w:rPr>
              <w:t>PARKES ACT 2600</w:t>
            </w:r>
          </w:p>
        </w:tc>
      </w:tr>
      <w:tr w:rsidR="000E0B74" w:rsidRPr="00B85F47" w14:paraId="39CA7BF6" w14:textId="77777777" w:rsidTr="00B85F47">
        <w:tc>
          <w:tcPr>
            <w:tcW w:w="1526" w:type="dxa"/>
            <w:shd w:val="clear" w:color="auto" w:fill="auto"/>
          </w:tcPr>
          <w:p w14:paraId="2E5465AC"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76CD372C" w14:textId="77777777" w:rsidR="000E0B74" w:rsidRPr="00B85F47" w:rsidRDefault="000E0B74" w:rsidP="00CF1F11">
            <w:pPr>
              <w:rPr>
                <w:sz w:val="22"/>
                <w:szCs w:val="22"/>
              </w:rPr>
            </w:pPr>
            <w:r w:rsidRPr="00B85F47">
              <w:rPr>
                <w:rFonts w:cs="Arial"/>
                <w:sz w:val="22"/>
                <w:szCs w:val="22"/>
              </w:rPr>
              <w:t xml:space="preserve">Enquiries can be initially directed to </w:t>
            </w:r>
            <w:hyperlink r:id="rId24" w:history="1">
              <w:r w:rsidR="00573517" w:rsidRPr="00573517">
                <w:rPr>
                  <w:sz w:val="22"/>
                </w:rPr>
                <w:t>Insurancedisclosure@treasury.gov.au</w:t>
              </w:r>
            </w:hyperlink>
            <w:r w:rsidR="00573517">
              <w:rPr>
                <w:rFonts w:cs="Arial"/>
                <w:sz w:val="22"/>
                <w:szCs w:val="22"/>
              </w:rPr>
              <w:t xml:space="preserve"> </w:t>
            </w:r>
          </w:p>
        </w:tc>
      </w:tr>
      <w:tr w:rsidR="000E0B74" w:rsidRPr="00B85F47" w14:paraId="3A8CE692" w14:textId="77777777" w:rsidTr="00B85F47">
        <w:tc>
          <w:tcPr>
            <w:tcW w:w="1526" w:type="dxa"/>
            <w:shd w:val="clear" w:color="auto" w:fill="auto"/>
          </w:tcPr>
          <w:p w14:paraId="28025247"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7C1B3353" w14:textId="77777777" w:rsidR="000E0B74" w:rsidRPr="00B85F47" w:rsidRDefault="00573517" w:rsidP="00573517">
            <w:pPr>
              <w:rPr>
                <w:sz w:val="22"/>
                <w:szCs w:val="22"/>
              </w:rPr>
            </w:pPr>
            <w:r>
              <w:rPr>
                <w:rFonts w:cs="Arial"/>
                <w:sz w:val="22"/>
                <w:szCs w:val="22"/>
              </w:rPr>
              <w:t>02 6263 2111</w:t>
            </w:r>
          </w:p>
        </w:tc>
      </w:tr>
      <w:bookmarkEnd w:id="5"/>
    </w:tbl>
    <w:p w14:paraId="4A764CC6" w14:textId="77777777" w:rsidR="00E10D39" w:rsidRDefault="00E10D39" w:rsidP="0007102C"/>
    <w:p w14:paraId="376C2AB0" w14:textId="77777777" w:rsidR="008D7F38" w:rsidRPr="008D7F38" w:rsidRDefault="008D7F38" w:rsidP="008D7F38"/>
    <w:p w14:paraId="4BAE64D9" w14:textId="77777777" w:rsidR="00E10D39" w:rsidRDefault="00E10D39">
      <w:pPr>
        <w:spacing w:before="0" w:after="160" w:line="259" w:lineRule="auto"/>
        <w:rPr>
          <w:rFonts w:cs="Arial"/>
          <w:color w:val="004A7F"/>
          <w:kern w:val="32"/>
          <w:sz w:val="48"/>
          <w:szCs w:val="36"/>
        </w:rPr>
      </w:pPr>
      <w:r>
        <w:br w:type="page"/>
      </w:r>
    </w:p>
    <w:p w14:paraId="7C5FBA89" w14:textId="77777777" w:rsidR="00931B3A" w:rsidRDefault="000E0B74" w:rsidP="00966E59">
      <w:pPr>
        <w:pStyle w:val="Heading1"/>
      </w:pPr>
      <w:bookmarkStart w:id="8" w:name="_Toc306887371"/>
      <w:bookmarkStart w:id="9" w:name="_Toc432064635"/>
      <w:bookmarkStart w:id="10" w:name="_Toc515978327"/>
      <w:bookmarkStart w:id="11" w:name="_Toc528840592"/>
      <w:r w:rsidRPr="00B355EF">
        <w:lastRenderedPageBreak/>
        <w:t>Introduction</w:t>
      </w:r>
      <w:bookmarkEnd w:id="8"/>
      <w:bookmarkEnd w:id="9"/>
      <w:bookmarkEnd w:id="10"/>
      <w:bookmarkEnd w:id="11"/>
    </w:p>
    <w:p w14:paraId="7F841493" w14:textId="77777777" w:rsidR="00B4023D" w:rsidRDefault="00931B3A" w:rsidP="00931B3A">
      <w:r>
        <w:t xml:space="preserve">A </w:t>
      </w:r>
      <w:r w:rsidR="006D4299">
        <w:t>fair</w:t>
      </w:r>
      <w:r>
        <w:t xml:space="preserve"> and </w:t>
      </w:r>
      <w:r w:rsidR="00836F5F">
        <w:t>well-functioning</w:t>
      </w:r>
      <w:r>
        <w:t xml:space="preserve"> insurance sector requires consumers to be well-informed. </w:t>
      </w:r>
      <w:r w:rsidR="00D27723">
        <w:t xml:space="preserve">Consumers’ ability to make efficient and appropriate choices with respect to insurance can be </w:t>
      </w:r>
      <w:r w:rsidR="00B40E03">
        <w:t>enhanced</w:t>
      </w:r>
      <w:r w:rsidR="00D27723">
        <w:t xml:space="preserve"> by the </w:t>
      </w:r>
      <w:r w:rsidR="00B40E03">
        <w:t>availability</w:t>
      </w:r>
      <w:r w:rsidR="00AB7F5E">
        <w:t xml:space="preserve"> and </w:t>
      </w:r>
      <w:r w:rsidR="00D27723">
        <w:t xml:space="preserve">accessibility of </w:t>
      </w:r>
      <w:r w:rsidR="0046477F">
        <w:t>relevant</w:t>
      </w:r>
      <w:r w:rsidR="00753EE4">
        <w:t xml:space="preserve"> information disclosed</w:t>
      </w:r>
      <w:r w:rsidR="00D27723">
        <w:t xml:space="preserve">. </w:t>
      </w:r>
      <w:r w:rsidR="00B4023D">
        <w:t>Conversely, a</w:t>
      </w:r>
      <w:r>
        <w:t xml:space="preserve"> lack of transparency or </w:t>
      </w:r>
      <w:r w:rsidR="00EA6440">
        <w:t>effective</w:t>
      </w:r>
      <w:r>
        <w:t xml:space="preserve"> disclosure practices make</w:t>
      </w:r>
      <w:r w:rsidR="005D1E3D">
        <w:t>s</w:t>
      </w:r>
      <w:r>
        <w:t xml:space="preserve"> it harder for</w:t>
      </w:r>
      <w:r w:rsidR="001C0522">
        <w:t xml:space="preserve"> consumers to make informed decisions about products to meet their needs</w:t>
      </w:r>
      <w:r w:rsidR="00E25472">
        <w:t xml:space="preserve">. </w:t>
      </w:r>
    </w:p>
    <w:p w14:paraId="09164085" w14:textId="77777777" w:rsidR="00624F49" w:rsidRDefault="006762C5" w:rsidP="00624F49">
      <w:r>
        <w:t xml:space="preserve">The </w:t>
      </w:r>
      <w:r w:rsidR="005F281D">
        <w:t xml:space="preserve">critical </w:t>
      </w:r>
      <w:r>
        <w:t>importance</w:t>
      </w:r>
      <w:r w:rsidR="00624F49">
        <w:t xml:space="preserve"> of effective disclosure is an area </w:t>
      </w:r>
      <w:r w:rsidR="008827D5">
        <w:t xml:space="preserve">on which </w:t>
      </w:r>
      <w:r w:rsidR="00624F49">
        <w:t>consumer advocates</w:t>
      </w:r>
      <w:r w:rsidR="0038771A">
        <w:t xml:space="preserve"> and</w:t>
      </w:r>
      <w:r w:rsidR="00624F49">
        <w:t xml:space="preserve"> industry all agree</w:t>
      </w:r>
      <w:r w:rsidR="008827D5">
        <w:t>.  And it is</w:t>
      </w:r>
      <w:r w:rsidR="00624F49">
        <w:t xml:space="preserve"> not merely that information is disclosed to consumers, but that information </w:t>
      </w:r>
      <w:r w:rsidR="008827D5">
        <w:t xml:space="preserve">is </w:t>
      </w:r>
      <w:r w:rsidR="00624F49">
        <w:t xml:space="preserve">presented in a way that </w:t>
      </w:r>
      <w:r>
        <w:t>improves</w:t>
      </w:r>
      <w:r w:rsidR="00624F49">
        <w:t xml:space="preserve"> the consumer’s capacity to make informed and appropriate decisions about the insurance coverage they purchase.</w:t>
      </w:r>
      <w:r w:rsidR="001C0522">
        <w:t xml:space="preserve"> The risks of ineffective disclosure include inadvertent underinsurance, lack of understanding of the insurance product purchased and purchase of </w:t>
      </w:r>
      <w:r w:rsidR="007047C9">
        <w:t>an insurance cover</w:t>
      </w:r>
      <w:r w:rsidR="005402DE">
        <w:t xml:space="preserve"> which does not serve its purpose</w:t>
      </w:r>
      <w:r w:rsidR="00243A70">
        <w:t xml:space="preserve">. </w:t>
      </w:r>
    </w:p>
    <w:p w14:paraId="35B5DE32" w14:textId="77777777" w:rsidR="00AD6FA1" w:rsidRPr="008E2533" w:rsidRDefault="00AD6FA1" w:rsidP="00AD6FA1">
      <w:pPr>
        <w:rPr>
          <w:szCs w:val="22"/>
        </w:rPr>
      </w:pPr>
      <w:r w:rsidRPr="008E2533">
        <w:rPr>
          <w:szCs w:val="22"/>
        </w:rPr>
        <w:t xml:space="preserve">The Senate Economics References Committee released its report </w:t>
      </w:r>
      <w:r w:rsidR="004979C7">
        <w:rPr>
          <w:szCs w:val="22"/>
        </w:rPr>
        <w:t xml:space="preserve">(the Senate </w:t>
      </w:r>
      <w:r w:rsidR="007F213B">
        <w:rPr>
          <w:szCs w:val="22"/>
        </w:rPr>
        <w:t>r</w:t>
      </w:r>
      <w:r w:rsidR="004979C7">
        <w:rPr>
          <w:szCs w:val="22"/>
        </w:rPr>
        <w:t xml:space="preserve">eport) </w:t>
      </w:r>
      <w:r w:rsidRPr="008E2533">
        <w:rPr>
          <w:szCs w:val="22"/>
        </w:rPr>
        <w:t>into the general insurance industry in August 2017.</w:t>
      </w:r>
      <w:r w:rsidR="0062202D">
        <w:rPr>
          <w:rStyle w:val="FootnoteReference"/>
          <w:szCs w:val="22"/>
        </w:rPr>
        <w:footnoteReference w:id="2"/>
      </w:r>
      <w:r w:rsidRPr="008E2533">
        <w:rPr>
          <w:szCs w:val="22"/>
        </w:rPr>
        <w:t xml:space="preserve"> The report made 15 recommendations on a range of issues, including the transparency of pricing, disclosure and competition in the general insurance industry.</w:t>
      </w:r>
    </w:p>
    <w:p w14:paraId="1D1A00A1" w14:textId="77777777" w:rsidR="00931B3A" w:rsidRDefault="00AD6FA1" w:rsidP="00931B3A">
      <w:r>
        <w:t xml:space="preserve">In </w:t>
      </w:r>
      <w:r w:rsidR="004979C7">
        <w:t xml:space="preserve">releasing </w:t>
      </w:r>
      <w:r>
        <w:t>the Gove</w:t>
      </w:r>
      <w:r w:rsidR="00511571">
        <w:t>rnment’s response to the Senate</w:t>
      </w:r>
      <w:r>
        <w:t xml:space="preserve"> report, </w:t>
      </w:r>
      <w:r w:rsidR="00682FDE">
        <w:t>the Minister for Revenue and Financial Services announced</w:t>
      </w:r>
      <w:r w:rsidR="003515B9">
        <w:t xml:space="preserve"> on 18 December 2017 </w:t>
      </w:r>
      <w:r w:rsidR="00893DCA">
        <w:t>that the Government would</w:t>
      </w:r>
      <w:r w:rsidR="00D165CA">
        <w:t xml:space="preserve"> task the Treasury with developing proposals to improve consumers’ understanding and access to information through better transparency and enhanced disclosure practices in the insurance sector.</w:t>
      </w:r>
    </w:p>
    <w:p w14:paraId="0996D983" w14:textId="77777777" w:rsidR="00B20681" w:rsidRDefault="003530C1" w:rsidP="00931B3A">
      <w:r>
        <w:t xml:space="preserve">This </w:t>
      </w:r>
      <w:r w:rsidR="006B3F4C">
        <w:t>discussion</w:t>
      </w:r>
      <w:r w:rsidR="006762C5">
        <w:t xml:space="preserve"> paper follows </w:t>
      </w:r>
      <w:r>
        <w:t>t</w:t>
      </w:r>
      <w:r w:rsidR="00624F49">
        <w:t>h</w:t>
      </w:r>
      <w:r w:rsidR="003515B9">
        <w:t>e Minister’s</w:t>
      </w:r>
      <w:r>
        <w:t xml:space="preserve"> announcement and seeks </w:t>
      </w:r>
      <w:r w:rsidR="00BB40EA">
        <w:t>stakeholder</w:t>
      </w:r>
      <w:r>
        <w:t xml:space="preserve"> views on the </w:t>
      </w:r>
      <w:r w:rsidR="005506B3">
        <w:t xml:space="preserve">underlying issues and </w:t>
      </w:r>
      <w:r w:rsidR="00C15690">
        <w:t xml:space="preserve">objectives </w:t>
      </w:r>
      <w:r w:rsidR="00B40E03">
        <w:t>behind</w:t>
      </w:r>
      <w:r w:rsidR="00C15690">
        <w:t xml:space="preserve"> the r</w:t>
      </w:r>
      <w:r>
        <w:t xml:space="preserve">ecommendations made </w:t>
      </w:r>
      <w:r w:rsidR="00893DCA">
        <w:t>in</w:t>
      </w:r>
      <w:r>
        <w:t xml:space="preserve"> the Senate</w:t>
      </w:r>
      <w:r w:rsidR="00893DCA">
        <w:t xml:space="preserve"> </w:t>
      </w:r>
      <w:r w:rsidR="007F213B">
        <w:t xml:space="preserve">report </w:t>
      </w:r>
      <w:r w:rsidR="00527F65">
        <w:t>that relate to the disclosure regime</w:t>
      </w:r>
      <w:r>
        <w:t xml:space="preserve">. </w:t>
      </w:r>
      <w:r w:rsidR="00650F35">
        <w:t>Th</w:t>
      </w:r>
      <w:r w:rsidR="00B40E03">
        <w:t>ose</w:t>
      </w:r>
      <w:r w:rsidR="00650F35">
        <w:t xml:space="preserve"> recommendations</w:t>
      </w:r>
      <w:r w:rsidR="00794B52">
        <w:t xml:space="preserve"> are</w:t>
      </w:r>
      <w:r w:rsidR="004B3E21">
        <w:t>:</w:t>
      </w:r>
    </w:p>
    <w:p w14:paraId="7B2332D4" w14:textId="77777777" w:rsidR="004B3E21" w:rsidRDefault="004B3E21" w:rsidP="00B355EF">
      <w:pPr>
        <w:pStyle w:val="Bullet"/>
      </w:pPr>
      <w:r>
        <w:t xml:space="preserve">Strengthening the transparency of general insurance pricing by amending the product disclosure regime in the </w:t>
      </w:r>
      <w:r w:rsidRPr="00EA6440">
        <w:rPr>
          <w:i/>
        </w:rPr>
        <w:t>Corporations Act 2001</w:t>
      </w:r>
      <w:r w:rsidR="00EA6440">
        <w:t xml:space="preserve"> (Corporations Act)</w:t>
      </w:r>
      <w:r>
        <w:t xml:space="preserve"> to require insurers to:</w:t>
      </w:r>
    </w:p>
    <w:p w14:paraId="1061F0B8" w14:textId="77777777" w:rsidR="00253309" w:rsidRDefault="00253309" w:rsidP="00527F65">
      <w:pPr>
        <w:pStyle w:val="Dash"/>
      </w:pPr>
      <w:r>
        <w:t xml:space="preserve">Disclose the previous year’s premium on insurance renewal notices; and </w:t>
      </w:r>
    </w:p>
    <w:p w14:paraId="185C8682" w14:textId="77777777" w:rsidR="00253309" w:rsidRDefault="00253309" w:rsidP="00527F65">
      <w:pPr>
        <w:pStyle w:val="Dash"/>
      </w:pPr>
      <w:r>
        <w:t>Explain premium increase</w:t>
      </w:r>
      <w:r w:rsidR="00624F49">
        <w:t>s</w:t>
      </w:r>
      <w:r>
        <w:t xml:space="preserve"> when a reque</w:t>
      </w:r>
      <w:r w:rsidR="00370865">
        <w:t>st is received from a policyhol</w:t>
      </w:r>
      <w:r>
        <w:t>der.</w:t>
      </w:r>
    </w:p>
    <w:p w14:paraId="30A0DD87" w14:textId="77777777" w:rsidR="00253309" w:rsidRDefault="002A67D2" w:rsidP="00527F65">
      <w:pPr>
        <w:pStyle w:val="Bullet"/>
      </w:pPr>
      <w:r>
        <w:t>Review</w:t>
      </w:r>
      <w:r w:rsidR="005402DE">
        <w:t>ing</w:t>
      </w:r>
      <w:r>
        <w:t xml:space="preserve"> component pricing to establish a framework for amending the </w:t>
      </w:r>
      <w:r w:rsidRPr="00EA6440">
        <w:t>Corporations Act</w:t>
      </w:r>
      <w:r>
        <w:t xml:space="preserve"> to provide component pricing of premiums to policyholders upon them taking out or renewing an insurance policy, as well as an assessment of the benefits and risks to making such a change.</w:t>
      </w:r>
    </w:p>
    <w:p w14:paraId="265F55A4" w14:textId="77777777" w:rsidR="00DE48A4" w:rsidRDefault="00DE48A4" w:rsidP="00527F65">
      <w:pPr>
        <w:pStyle w:val="Bullet"/>
      </w:pPr>
      <w:r>
        <w:t>Review</w:t>
      </w:r>
      <w:r w:rsidR="005402DE">
        <w:t>ing</w:t>
      </w:r>
      <w:r>
        <w:t xml:space="preserve"> the current </w:t>
      </w:r>
      <w:r w:rsidR="00BB0430">
        <w:t>standard cover regime with a particular regard to the efficacy of current disclosure requirements.</w:t>
      </w:r>
    </w:p>
    <w:p w14:paraId="32654700" w14:textId="77777777" w:rsidR="00BB0430" w:rsidRDefault="00BB0430" w:rsidP="00527F65">
      <w:pPr>
        <w:pStyle w:val="Bullet"/>
      </w:pPr>
      <w:r>
        <w:t>Work</w:t>
      </w:r>
      <w:r w:rsidR="005402DE">
        <w:t>ing</w:t>
      </w:r>
      <w:r>
        <w:t xml:space="preserve"> with industry and consumer groups to develop and implement </w:t>
      </w:r>
      <w:r w:rsidR="001218E4">
        <w:t>standardised definitions of key terms for general insurance.</w:t>
      </w:r>
    </w:p>
    <w:p w14:paraId="72619D58" w14:textId="77777777" w:rsidR="00152609" w:rsidRDefault="00152609" w:rsidP="00527F65">
      <w:pPr>
        <w:pStyle w:val="Bullet"/>
      </w:pPr>
      <w:r>
        <w:t>Review</w:t>
      </w:r>
      <w:r w:rsidR="005402DE">
        <w:t>ing</w:t>
      </w:r>
      <w:r>
        <w:t xml:space="preserve"> the utility of Key Facts Sheets </w:t>
      </w:r>
      <w:r w:rsidR="00210AD6">
        <w:t xml:space="preserve">(KFS) </w:t>
      </w:r>
      <w:r>
        <w:t>as a means of product disclosure, with particular regard to the:</w:t>
      </w:r>
    </w:p>
    <w:p w14:paraId="25DE2AB6" w14:textId="77777777" w:rsidR="00F10AE4" w:rsidRDefault="00152609" w:rsidP="00527F65">
      <w:pPr>
        <w:pStyle w:val="Dash"/>
      </w:pPr>
      <w:r>
        <w:t xml:space="preserve">Effectiveness of </w:t>
      </w:r>
      <w:r w:rsidR="003515B9">
        <w:t xml:space="preserve">the </w:t>
      </w:r>
      <w:r w:rsidR="00EA6440">
        <w:t>KFS</w:t>
      </w:r>
      <w:r>
        <w:t xml:space="preserve"> in improving consumer understanding of home building and contents policies; and</w:t>
      </w:r>
    </w:p>
    <w:p w14:paraId="5719579D" w14:textId="77777777" w:rsidR="0001604A" w:rsidRDefault="00152609" w:rsidP="0044158F">
      <w:pPr>
        <w:pStyle w:val="Dash"/>
      </w:pPr>
      <w:r>
        <w:t>Merit of exten</w:t>
      </w:r>
      <w:r w:rsidR="00210AD6">
        <w:t>ding the use of KFS</w:t>
      </w:r>
      <w:r w:rsidR="003515B9">
        <w:t>s</w:t>
      </w:r>
      <w:r>
        <w:t xml:space="preserve"> to o</w:t>
      </w:r>
      <w:r w:rsidR="00F10AE4">
        <w:t>ther forms of general insurance</w:t>
      </w:r>
      <w:r w:rsidR="0099313F">
        <w:t>.</w:t>
      </w:r>
    </w:p>
    <w:p w14:paraId="02431787" w14:textId="77777777" w:rsidR="0001604A" w:rsidDel="00BD697D" w:rsidRDefault="0001604A" w:rsidP="0044158F">
      <w:pPr>
        <w:pStyle w:val="Bullet"/>
        <w:numPr>
          <w:ilvl w:val="0"/>
          <w:numId w:val="0"/>
        </w:numPr>
      </w:pPr>
      <w:r>
        <w:lastRenderedPageBreak/>
        <w:t>In addition the paper seeks views about how different approaches to disclosure could be developed that make use of emerging technology.</w:t>
      </w:r>
    </w:p>
    <w:p w14:paraId="62EA4253" w14:textId="142E0C2A" w:rsidR="008E4BC8" w:rsidRPr="00680518" w:rsidRDefault="005F281D" w:rsidP="009E0A90">
      <w:pPr>
        <w:pStyle w:val="Dash"/>
        <w:numPr>
          <w:ilvl w:val="0"/>
          <w:numId w:val="0"/>
        </w:numPr>
        <w:spacing w:after="0"/>
      </w:pPr>
      <w:r>
        <w:t>Responses to the</w:t>
      </w:r>
      <w:r w:rsidR="00BD697D">
        <w:t xml:space="preserve"> </w:t>
      </w:r>
      <w:r w:rsidR="005402DE">
        <w:t xml:space="preserve">questions posed in the </w:t>
      </w:r>
      <w:r w:rsidR="00BD697D">
        <w:t xml:space="preserve">paper </w:t>
      </w:r>
      <w:r w:rsidR="00211F25">
        <w:t xml:space="preserve">will assist in defining proposals </w:t>
      </w:r>
      <w:r w:rsidR="008827D5">
        <w:t>to enable</w:t>
      </w:r>
      <w:r w:rsidR="00211F25">
        <w:t xml:space="preserve"> the Government </w:t>
      </w:r>
      <w:r w:rsidR="008827D5">
        <w:t xml:space="preserve">to </w:t>
      </w:r>
      <w:r w:rsidR="00211F25">
        <w:t xml:space="preserve">use regulatory tools to achieve </w:t>
      </w:r>
      <w:r w:rsidR="00646575">
        <w:t>its</w:t>
      </w:r>
      <w:r w:rsidR="00211F25">
        <w:t xml:space="preserve"> objective</w:t>
      </w:r>
      <w:r w:rsidR="00646575">
        <w:t>s</w:t>
      </w:r>
      <w:r w:rsidR="00211F25">
        <w:t xml:space="preserve"> and </w:t>
      </w:r>
      <w:r w:rsidR="008827D5">
        <w:t xml:space="preserve">to identify </w:t>
      </w:r>
      <w:r w:rsidR="003C350E">
        <w:t xml:space="preserve">the </w:t>
      </w:r>
      <w:r w:rsidR="00646575">
        <w:t>actions</w:t>
      </w:r>
      <w:r w:rsidR="00211F25">
        <w:t xml:space="preserve"> industry</w:t>
      </w:r>
      <w:r w:rsidR="00646575">
        <w:t xml:space="preserve"> can take</w:t>
      </w:r>
      <w:r w:rsidR="00211F25">
        <w:t>.</w:t>
      </w:r>
      <w:r w:rsidR="00AC6059">
        <w:t xml:space="preserve">  Responses may also be used to inform the Government’s response to the Report of the Royal Commission into Misconduct in the Banking, </w:t>
      </w:r>
      <w:r w:rsidR="002008DB">
        <w:t>Superannuation and Financial Services Industry.</w:t>
      </w:r>
    </w:p>
    <w:p w14:paraId="4FFF5168" w14:textId="77777777" w:rsidR="00A339D3" w:rsidRPr="005F6C47" w:rsidRDefault="00191610" w:rsidP="009E0A90">
      <w:pPr>
        <w:pStyle w:val="Heading1"/>
        <w:spacing w:before="240"/>
      </w:pPr>
      <w:bookmarkStart w:id="12" w:name="_Toc515978328"/>
      <w:bookmarkStart w:id="13" w:name="_Toc528840593"/>
      <w:bookmarkStart w:id="14" w:name="_Toc306887373"/>
      <w:bookmarkStart w:id="15" w:name="_Toc432064637"/>
      <w:r w:rsidRPr="005F6C47">
        <w:t>Previous work on disclosure in insurance</w:t>
      </w:r>
      <w:bookmarkEnd w:id="12"/>
      <w:bookmarkEnd w:id="13"/>
    </w:p>
    <w:p w14:paraId="10E2D8CD" w14:textId="77777777" w:rsidR="00E55A80" w:rsidRDefault="00E55A80" w:rsidP="005F6C47">
      <w:r>
        <w:t xml:space="preserve">The disclosure </w:t>
      </w:r>
      <w:r w:rsidR="005F6C47">
        <w:t>regime for</w:t>
      </w:r>
      <w:r>
        <w:t xml:space="preserve"> the insurance sector has been </w:t>
      </w:r>
      <w:r w:rsidR="005F6C47">
        <w:t>the subject of</w:t>
      </w:r>
      <w:r w:rsidR="001173C8">
        <w:t xml:space="preserve"> a number of </w:t>
      </w:r>
      <w:r w:rsidR="005F6C47">
        <w:t>recent</w:t>
      </w:r>
      <w:r w:rsidR="001173C8">
        <w:t xml:space="preserve"> inquiries</w:t>
      </w:r>
      <w:r>
        <w:t xml:space="preserve">, with </w:t>
      </w:r>
      <w:r w:rsidR="005F6C47">
        <w:t>the balance of tho</w:t>
      </w:r>
      <w:r>
        <w:t xml:space="preserve">se inquiries supporting changes to disclosure </w:t>
      </w:r>
      <w:r w:rsidR="005F6C47">
        <w:t xml:space="preserve">requirements and </w:t>
      </w:r>
      <w:r>
        <w:t>practices in the insurance sector</w:t>
      </w:r>
      <w:r w:rsidR="005F6C47">
        <w:t xml:space="preserve"> to enhance consumer understanding and decision-making</w:t>
      </w:r>
      <w:r>
        <w:t>.</w:t>
      </w:r>
      <w:r w:rsidR="001173C8">
        <w:t xml:space="preserve"> </w:t>
      </w:r>
    </w:p>
    <w:p w14:paraId="69A3F807" w14:textId="77777777" w:rsidR="00FC69F7" w:rsidRPr="000E2FCB" w:rsidRDefault="003B017B" w:rsidP="000E2FCB">
      <w:r w:rsidRPr="000E2FCB">
        <w:t>The principal means of disclosure for retail classes of general insurance,</w:t>
      </w:r>
      <w:r w:rsidR="00FC69F7" w:rsidRPr="000E2FCB">
        <w:t xml:space="preserve"> </w:t>
      </w:r>
      <w:r w:rsidRPr="000E2FCB">
        <w:t>including home and motor policies, is the mandated provision of a Product Disclosure</w:t>
      </w:r>
      <w:r w:rsidR="00FC69F7" w:rsidRPr="000E2FCB">
        <w:t xml:space="preserve"> </w:t>
      </w:r>
      <w:r w:rsidRPr="000E2FCB">
        <w:t>Statement (PDS) to a consumer at the point of sale.</w:t>
      </w:r>
    </w:p>
    <w:p w14:paraId="526F104A" w14:textId="77777777" w:rsidR="003B017B" w:rsidRPr="000E2FCB" w:rsidRDefault="003B017B" w:rsidP="000E2FCB">
      <w:r w:rsidRPr="000E2FCB">
        <w:t>The current product disclosure regime for general insurance was first</w:t>
      </w:r>
      <w:r w:rsidR="00FC69F7" w:rsidRPr="000E2FCB">
        <w:t xml:space="preserve"> </w:t>
      </w:r>
      <w:r w:rsidRPr="000E2FCB">
        <w:t>introduced as part of the broader Financial Services Reforms (FSR) in 2001. The</w:t>
      </w:r>
      <w:r w:rsidR="00FC69F7" w:rsidRPr="000E2FCB">
        <w:t xml:space="preserve"> </w:t>
      </w:r>
      <w:r w:rsidRPr="000E2FCB">
        <w:t>objective of these reforms was to consolidate regulation of the financial services</w:t>
      </w:r>
      <w:r w:rsidR="00FC69F7" w:rsidRPr="000E2FCB">
        <w:t xml:space="preserve"> </w:t>
      </w:r>
      <w:r w:rsidRPr="000E2FCB">
        <w:t>sector and, by extension, give consumers a more consistent framework of consumer</w:t>
      </w:r>
      <w:r w:rsidR="00FC69F7" w:rsidRPr="000E2FCB">
        <w:t xml:space="preserve"> </w:t>
      </w:r>
      <w:r w:rsidRPr="000E2FCB">
        <w:t>protection in which to make their financial decisions. The new disclosure regime</w:t>
      </w:r>
      <w:r w:rsidR="00FC69F7" w:rsidRPr="000E2FCB">
        <w:t xml:space="preserve"> </w:t>
      </w:r>
      <w:r w:rsidRPr="000E2FCB">
        <w:t>aimed to supplement, but not replace, the disclosur</w:t>
      </w:r>
      <w:r w:rsidR="000E2FCB">
        <w:t xml:space="preserve">e requirements already existing </w:t>
      </w:r>
      <w:r w:rsidRPr="000E2FCB">
        <w:t xml:space="preserve">under the </w:t>
      </w:r>
      <w:r w:rsidRPr="003276CD">
        <w:rPr>
          <w:i/>
        </w:rPr>
        <w:t>Insurance Contracts Act</w:t>
      </w:r>
      <w:r w:rsidR="003276CD" w:rsidRPr="003276CD">
        <w:rPr>
          <w:i/>
        </w:rPr>
        <w:t xml:space="preserve"> 1984</w:t>
      </w:r>
      <w:r w:rsidR="003276CD">
        <w:t xml:space="preserve"> (Insurance Contracts Act)</w:t>
      </w:r>
      <w:r w:rsidRPr="000E2FCB">
        <w:t>.</w:t>
      </w:r>
    </w:p>
    <w:p w14:paraId="09D0C85E" w14:textId="77777777" w:rsidR="00FC69F7" w:rsidRPr="000E2FCB" w:rsidRDefault="003B017B" w:rsidP="000E2FCB">
      <w:r w:rsidRPr="000E2FCB">
        <w:t>Under the current disclosure regime, insurers are obliged to comply with a</w:t>
      </w:r>
      <w:r w:rsidR="00FC69F7" w:rsidRPr="000E2FCB">
        <w:t xml:space="preserve"> </w:t>
      </w:r>
      <w:r w:rsidRPr="000E2FCB">
        <w:t>number of mandatory requirements, as set out in Chapter 7 of the</w:t>
      </w:r>
      <w:r w:rsidR="00FC69F7" w:rsidRPr="000E2FCB">
        <w:t xml:space="preserve"> </w:t>
      </w:r>
      <w:r w:rsidR="003276CD">
        <w:t>Corporations Act</w:t>
      </w:r>
      <w:r w:rsidRPr="000E2FCB">
        <w:t>. For sales to a consumer, insurers</w:t>
      </w:r>
      <w:r w:rsidR="00FC69F7" w:rsidRPr="000E2FCB">
        <w:t xml:space="preserve"> </w:t>
      </w:r>
      <w:r w:rsidRPr="000E2FCB">
        <w:t>must provide a PDS. The Corporations Act also prescribes the</w:t>
      </w:r>
      <w:r w:rsidR="00FC69F7" w:rsidRPr="000E2FCB">
        <w:t xml:space="preserve"> </w:t>
      </w:r>
      <w:r w:rsidRPr="000E2FCB">
        <w:t xml:space="preserve">content that is required to be </w:t>
      </w:r>
      <w:r w:rsidR="005F281D">
        <w:t>included</w:t>
      </w:r>
      <w:r w:rsidRPr="000E2FCB">
        <w:t xml:space="preserve"> in a general i</w:t>
      </w:r>
      <w:r w:rsidR="000E2FCB">
        <w:t xml:space="preserve">nsurance PDS. In broad terms, a </w:t>
      </w:r>
      <w:r w:rsidRPr="000E2FCB">
        <w:t>PDS must provide information about the features and benefits of the policy being sold,</w:t>
      </w:r>
      <w:r w:rsidR="000E2FCB">
        <w:t xml:space="preserve"> </w:t>
      </w:r>
      <w:r w:rsidRPr="000E2FCB">
        <w:t>including its terms, conditions, limits and exclusions.</w:t>
      </w:r>
    </w:p>
    <w:p w14:paraId="29A37DB0" w14:textId="77777777" w:rsidR="00D85F34" w:rsidRPr="00882E2A" w:rsidRDefault="003B017B" w:rsidP="000E2FCB">
      <w:pPr>
        <w:spacing w:after="100" w:afterAutospacing="1"/>
        <w:rPr>
          <w:rFonts w:ascii="Times New Roman" w:eastAsiaTheme="minorHAnsi" w:hAnsi="Times New Roman"/>
          <w:sz w:val="17"/>
          <w:szCs w:val="17"/>
          <w:lang w:eastAsia="en-US"/>
        </w:rPr>
      </w:pPr>
      <w:r w:rsidRPr="000E2FCB">
        <w:t xml:space="preserve">When insurance is </w:t>
      </w:r>
      <w:r w:rsidR="005C3206">
        <w:t>sold</w:t>
      </w:r>
      <w:r w:rsidR="00C56FD3">
        <w:t xml:space="preserve"> through</w:t>
      </w:r>
      <w:r w:rsidR="005C3206">
        <w:t xml:space="preserve"> an</w:t>
      </w:r>
      <w:r w:rsidR="00C56FD3">
        <w:t xml:space="preserve"> insurer directly or </w:t>
      </w:r>
      <w:r w:rsidRPr="000E2FCB">
        <w:t>through an intermediary, such as an insurance broker,</w:t>
      </w:r>
      <w:r w:rsidR="00FC69F7" w:rsidRPr="000E2FCB">
        <w:t xml:space="preserve"> </w:t>
      </w:r>
      <w:r w:rsidRPr="000E2FCB">
        <w:t>a Financial Services Guide (FSG)</w:t>
      </w:r>
      <w:r w:rsidR="00C56FD3">
        <w:t xml:space="preserve"> must be provided to the consumer</w:t>
      </w:r>
      <w:r w:rsidRPr="000E2FCB">
        <w:t>.</w:t>
      </w:r>
      <w:r w:rsidR="00FC69F7" w:rsidRPr="000E2FCB">
        <w:t xml:space="preserve"> </w:t>
      </w:r>
      <w:r w:rsidR="00C56FD3">
        <w:t>The</w:t>
      </w:r>
      <w:r w:rsidRPr="000E2FCB">
        <w:t xml:space="preserve"> FSG must disclose information about the financial services offered, remuneration</w:t>
      </w:r>
      <w:r w:rsidR="00FC69F7" w:rsidRPr="000E2FCB">
        <w:t xml:space="preserve"> </w:t>
      </w:r>
      <w:r w:rsidRPr="000E2FCB">
        <w:t>arrangements, and any potential conflicts of interest. For general insurance policies,</w:t>
      </w:r>
      <w:r w:rsidR="00FC69F7" w:rsidRPr="000E2FCB">
        <w:t xml:space="preserve"> </w:t>
      </w:r>
      <w:r w:rsidRPr="000E2FCB">
        <w:t>the FSG can be combined with the PDS in a single document</w:t>
      </w:r>
      <w:r w:rsidRPr="00FC69F7">
        <w:rPr>
          <w:rFonts w:asciiTheme="minorHAnsi" w:eastAsiaTheme="minorHAnsi" w:hAnsiTheme="minorHAnsi"/>
          <w:szCs w:val="22"/>
          <w:lang w:eastAsia="en-US"/>
        </w:rPr>
        <w:t>.</w:t>
      </w:r>
      <w:r w:rsidR="00FC69F7">
        <w:rPr>
          <w:rStyle w:val="FootnoteReference"/>
          <w:rFonts w:eastAsiaTheme="minorHAnsi"/>
          <w:szCs w:val="22"/>
          <w:lang w:eastAsia="en-US"/>
        </w:rPr>
        <w:footnoteReference w:id="3"/>
      </w:r>
      <w:r w:rsidR="00FC69F7">
        <w:rPr>
          <w:rFonts w:ascii="Times New Roman" w:eastAsiaTheme="minorHAnsi" w:hAnsi="Times New Roman"/>
          <w:sz w:val="17"/>
          <w:szCs w:val="17"/>
          <w:lang w:eastAsia="en-US"/>
        </w:rPr>
        <w:t xml:space="preserve"> </w:t>
      </w:r>
    </w:p>
    <w:p w14:paraId="0019A3FB" w14:textId="77777777" w:rsidR="00922156" w:rsidRDefault="00922156" w:rsidP="00966E59">
      <w:pPr>
        <w:pStyle w:val="Heading2"/>
      </w:pPr>
      <w:bookmarkStart w:id="16" w:name="_Toc528840594"/>
      <w:r w:rsidRPr="005F6C47">
        <w:t>Financial System Inquiry</w:t>
      </w:r>
      <w:bookmarkEnd w:id="16"/>
    </w:p>
    <w:p w14:paraId="72B47BE5" w14:textId="77777777" w:rsidR="00C30573" w:rsidRPr="00FF02D7" w:rsidRDefault="00EE1656" w:rsidP="00922156">
      <w:pPr>
        <w:rPr>
          <w:szCs w:val="22"/>
        </w:rPr>
      </w:pPr>
      <w:r w:rsidRPr="00FF02D7">
        <w:rPr>
          <w:szCs w:val="22"/>
        </w:rPr>
        <w:t xml:space="preserve">The Financial System Inquiry (FSI) </w:t>
      </w:r>
      <w:r w:rsidR="005F281D">
        <w:rPr>
          <w:szCs w:val="22"/>
        </w:rPr>
        <w:t xml:space="preserve">report </w:t>
      </w:r>
      <w:r w:rsidR="00646575" w:rsidRPr="00FF02D7">
        <w:rPr>
          <w:szCs w:val="22"/>
        </w:rPr>
        <w:t>released on 7 December 2014</w:t>
      </w:r>
      <w:r w:rsidR="005F6C47" w:rsidRPr="00FF02D7">
        <w:rPr>
          <w:szCs w:val="22"/>
        </w:rPr>
        <w:t xml:space="preserve"> broadly</w:t>
      </w:r>
      <w:r w:rsidRPr="00FF02D7">
        <w:rPr>
          <w:szCs w:val="22"/>
        </w:rPr>
        <w:t xml:space="preserve"> </w:t>
      </w:r>
      <w:r w:rsidR="00876390" w:rsidRPr="00FF02D7">
        <w:rPr>
          <w:szCs w:val="22"/>
        </w:rPr>
        <w:t>examined the</w:t>
      </w:r>
      <w:r w:rsidR="00205A2D" w:rsidRPr="00FF02D7">
        <w:rPr>
          <w:szCs w:val="22"/>
        </w:rPr>
        <w:t xml:space="preserve"> issue of disclosure in the financial sector</w:t>
      </w:r>
      <w:r w:rsidR="005F6C47" w:rsidRPr="00FF02D7">
        <w:rPr>
          <w:szCs w:val="22"/>
        </w:rPr>
        <w:t xml:space="preserve">, and </w:t>
      </w:r>
      <w:r w:rsidR="003609A3" w:rsidRPr="00FF02D7">
        <w:rPr>
          <w:szCs w:val="22"/>
        </w:rPr>
        <w:t xml:space="preserve">more </w:t>
      </w:r>
      <w:r w:rsidR="005F6C47" w:rsidRPr="00FF02D7">
        <w:rPr>
          <w:szCs w:val="22"/>
        </w:rPr>
        <w:t>specifically</w:t>
      </w:r>
      <w:r w:rsidR="003609A3" w:rsidRPr="00FF02D7">
        <w:rPr>
          <w:szCs w:val="22"/>
        </w:rPr>
        <w:t xml:space="preserve"> in relation to improving guidance and disclosure in the general insurance sector</w:t>
      </w:r>
      <w:r w:rsidR="00876390" w:rsidRPr="00FF02D7">
        <w:rPr>
          <w:szCs w:val="22"/>
        </w:rPr>
        <w:t>.</w:t>
      </w:r>
      <w:r w:rsidR="00511571">
        <w:rPr>
          <w:rStyle w:val="FootnoteReference"/>
          <w:szCs w:val="22"/>
        </w:rPr>
        <w:footnoteReference w:id="4"/>
      </w:r>
      <w:r w:rsidR="008D001F" w:rsidRPr="00FF02D7">
        <w:rPr>
          <w:szCs w:val="22"/>
        </w:rPr>
        <w:t xml:space="preserve"> The FSI </w:t>
      </w:r>
      <w:r w:rsidR="005F281D">
        <w:rPr>
          <w:szCs w:val="22"/>
        </w:rPr>
        <w:t>report</w:t>
      </w:r>
      <w:r w:rsidR="005F281D" w:rsidRPr="00FF02D7">
        <w:rPr>
          <w:szCs w:val="22"/>
        </w:rPr>
        <w:t xml:space="preserve"> </w:t>
      </w:r>
      <w:r w:rsidR="008D001F" w:rsidRPr="00FF02D7">
        <w:rPr>
          <w:szCs w:val="22"/>
        </w:rPr>
        <w:t>noted that</w:t>
      </w:r>
      <w:r w:rsidR="000B7CD4" w:rsidRPr="00FF02D7">
        <w:rPr>
          <w:szCs w:val="22"/>
        </w:rPr>
        <w:t xml:space="preserve"> product</w:t>
      </w:r>
      <w:r w:rsidR="008D001F" w:rsidRPr="00FF02D7">
        <w:rPr>
          <w:szCs w:val="22"/>
        </w:rPr>
        <w:t xml:space="preserve"> disclosure </w:t>
      </w:r>
      <w:r w:rsidR="000B7CD4" w:rsidRPr="00FF02D7">
        <w:rPr>
          <w:szCs w:val="22"/>
        </w:rPr>
        <w:t xml:space="preserve">plays an important part in establishing the contract between </w:t>
      </w:r>
      <w:r w:rsidR="00646575" w:rsidRPr="00FF02D7">
        <w:rPr>
          <w:szCs w:val="22"/>
        </w:rPr>
        <w:t>insurers</w:t>
      </w:r>
      <w:r w:rsidR="000B7CD4" w:rsidRPr="00FF02D7">
        <w:rPr>
          <w:szCs w:val="22"/>
        </w:rPr>
        <w:t xml:space="preserve"> and consumers. However, in itself, mandated disclosure is not sufficient to allow consumers to make informed decisions. Disclosure </w:t>
      </w:r>
      <w:r w:rsidR="008D001F" w:rsidRPr="00FF02D7">
        <w:rPr>
          <w:szCs w:val="22"/>
        </w:rPr>
        <w:t>can be ineffective for a number of reasons, including consumer disengagement</w:t>
      </w:r>
      <w:r w:rsidR="0085455C" w:rsidRPr="00FF02D7">
        <w:rPr>
          <w:szCs w:val="22"/>
        </w:rPr>
        <w:t>, complexity of documents and products, behavioural biases, misaligned interests</w:t>
      </w:r>
      <w:r w:rsidR="004D41A7">
        <w:rPr>
          <w:szCs w:val="22"/>
        </w:rPr>
        <w:t>,</w:t>
      </w:r>
      <w:r w:rsidR="0085455C" w:rsidRPr="00FF02D7">
        <w:rPr>
          <w:szCs w:val="22"/>
        </w:rPr>
        <w:t xml:space="preserve"> and low financial literacy. </w:t>
      </w:r>
    </w:p>
    <w:p w14:paraId="1101E460" w14:textId="77777777" w:rsidR="00014546" w:rsidRDefault="0049392E" w:rsidP="0039655D">
      <w:pPr>
        <w:rPr>
          <w:szCs w:val="22"/>
        </w:rPr>
      </w:pPr>
      <w:r w:rsidRPr="00FF02D7">
        <w:rPr>
          <w:szCs w:val="22"/>
        </w:rPr>
        <w:lastRenderedPageBreak/>
        <w:t>The FSI</w:t>
      </w:r>
      <w:r w:rsidR="005F6C47" w:rsidRPr="00FF02D7">
        <w:rPr>
          <w:szCs w:val="22"/>
        </w:rPr>
        <w:t xml:space="preserve"> specifically</w:t>
      </w:r>
      <w:r w:rsidRPr="00FF02D7">
        <w:rPr>
          <w:szCs w:val="22"/>
        </w:rPr>
        <w:t xml:space="preserve"> commented that </w:t>
      </w:r>
      <w:r w:rsidR="005F6C47" w:rsidRPr="00FF02D7">
        <w:rPr>
          <w:szCs w:val="22"/>
        </w:rPr>
        <w:t>while</w:t>
      </w:r>
      <w:r w:rsidRPr="00FF02D7">
        <w:rPr>
          <w:szCs w:val="22"/>
        </w:rPr>
        <w:t xml:space="preserve"> general insurance has a </w:t>
      </w:r>
      <w:r w:rsidR="00EA6440" w:rsidRPr="00FF02D7">
        <w:rPr>
          <w:szCs w:val="22"/>
        </w:rPr>
        <w:t>bespoke</w:t>
      </w:r>
      <w:r w:rsidRPr="00FF02D7">
        <w:rPr>
          <w:szCs w:val="22"/>
        </w:rPr>
        <w:t xml:space="preserve"> product disclosure regime</w:t>
      </w:r>
      <w:r w:rsidR="00EA6440" w:rsidRPr="00FF02D7">
        <w:rPr>
          <w:szCs w:val="22"/>
        </w:rPr>
        <w:t xml:space="preserve"> (on top of the general</w:t>
      </w:r>
      <w:r w:rsidR="00893DCA" w:rsidRPr="00FF02D7">
        <w:rPr>
          <w:szCs w:val="22"/>
        </w:rPr>
        <w:t xml:space="preserve"> disclosure</w:t>
      </w:r>
      <w:r w:rsidR="00EA6440" w:rsidRPr="00FF02D7">
        <w:rPr>
          <w:szCs w:val="22"/>
        </w:rPr>
        <w:t xml:space="preserve"> requirements </w:t>
      </w:r>
      <w:r w:rsidR="00893DCA" w:rsidRPr="00FF02D7">
        <w:rPr>
          <w:szCs w:val="22"/>
        </w:rPr>
        <w:t>for financial products</w:t>
      </w:r>
      <w:r w:rsidR="00EA6440" w:rsidRPr="00FF02D7">
        <w:rPr>
          <w:szCs w:val="22"/>
        </w:rPr>
        <w:t xml:space="preserve"> under the Corporations Act)</w:t>
      </w:r>
      <w:r w:rsidRPr="00FF02D7">
        <w:rPr>
          <w:szCs w:val="22"/>
        </w:rPr>
        <w:t>, the industry lacks</w:t>
      </w:r>
      <w:r w:rsidR="00893DCA" w:rsidRPr="00FF02D7">
        <w:rPr>
          <w:szCs w:val="22"/>
        </w:rPr>
        <w:t xml:space="preserve"> a</w:t>
      </w:r>
      <w:r w:rsidRPr="00FF02D7">
        <w:rPr>
          <w:szCs w:val="22"/>
        </w:rPr>
        <w:t xml:space="preserve"> standard practice in describing a policy’s key features and exclusions</w:t>
      </w:r>
      <w:r w:rsidR="00346B15" w:rsidRPr="00FF02D7">
        <w:rPr>
          <w:szCs w:val="22"/>
        </w:rPr>
        <w:t xml:space="preserve"> that correlate with the risk that consumers will not understand the policy</w:t>
      </w:r>
      <w:r w:rsidRPr="00FF02D7">
        <w:rPr>
          <w:szCs w:val="22"/>
        </w:rPr>
        <w:t xml:space="preserve">. </w:t>
      </w:r>
    </w:p>
    <w:p w14:paraId="10A2F272" w14:textId="77777777" w:rsidR="00882E2A" w:rsidRDefault="00014546" w:rsidP="00882E2A">
      <w:pPr>
        <w:spacing w:after="100" w:afterAutospacing="1"/>
        <w:rPr>
          <w:szCs w:val="22"/>
        </w:rPr>
      </w:pPr>
      <w:r w:rsidRPr="0044158F">
        <w:rPr>
          <w:szCs w:val="22"/>
        </w:rPr>
        <w:t>The FSI recommend</w:t>
      </w:r>
      <w:r w:rsidR="003515B9" w:rsidRPr="0044158F">
        <w:rPr>
          <w:szCs w:val="22"/>
        </w:rPr>
        <w:t>ed</w:t>
      </w:r>
      <w:r w:rsidRPr="0044158F">
        <w:rPr>
          <w:szCs w:val="22"/>
        </w:rPr>
        <w:t xml:space="preserve"> improving guidance and disclosure in general insurance to meet its objectives to reduce </w:t>
      </w:r>
      <w:r w:rsidR="004408F0" w:rsidRPr="0044158F">
        <w:rPr>
          <w:szCs w:val="22"/>
        </w:rPr>
        <w:t>the incidence of inadvertent underinsurance by assisting consumers to make informed decisions about the sum insured</w:t>
      </w:r>
      <w:r w:rsidR="004408F0">
        <w:rPr>
          <w:szCs w:val="22"/>
        </w:rPr>
        <w:t xml:space="preserve">, </w:t>
      </w:r>
      <w:r w:rsidRPr="00FF02D7">
        <w:rPr>
          <w:szCs w:val="22"/>
        </w:rPr>
        <w:t>increas</w:t>
      </w:r>
      <w:r w:rsidR="004408F0">
        <w:rPr>
          <w:szCs w:val="22"/>
        </w:rPr>
        <w:t>ing</w:t>
      </w:r>
      <w:r w:rsidRPr="00FF02D7">
        <w:rPr>
          <w:szCs w:val="22"/>
        </w:rPr>
        <w:t xml:space="preserve"> the ability of consumers to make informed decisions when deciding on an insurance product and enhanc</w:t>
      </w:r>
      <w:r w:rsidR="004408F0">
        <w:rPr>
          <w:szCs w:val="22"/>
        </w:rPr>
        <w:t>ing</w:t>
      </w:r>
      <w:r w:rsidRPr="00FF02D7">
        <w:rPr>
          <w:szCs w:val="22"/>
        </w:rPr>
        <w:t xml:space="preserve"> consumer understanding of insurance policies.</w:t>
      </w:r>
      <w:r w:rsidR="00912FE7">
        <w:rPr>
          <w:rStyle w:val="FootnoteReference"/>
          <w:szCs w:val="22"/>
        </w:rPr>
        <w:footnoteReference w:id="5"/>
      </w:r>
      <w:r w:rsidRPr="00FF02D7">
        <w:rPr>
          <w:szCs w:val="22"/>
        </w:rPr>
        <w:t xml:space="preserve"> Those objectives</w:t>
      </w:r>
      <w:r w:rsidR="003515B9">
        <w:rPr>
          <w:szCs w:val="22"/>
        </w:rPr>
        <w:t xml:space="preserve"> </w:t>
      </w:r>
      <w:r w:rsidR="004408F0">
        <w:rPr>
          <w:szCs w:val="22"/>
        </w:rPr>
        <w:t xml:space="preserve">align with </w:t>
      </w:r>
      <w:r w:rsidR="003515B9">
        <w:rPr>
          <w:szCs w:val="22"/>
        </w:rPr>
        <w:t xml:space="preserve">the basis of the </w:t>
      </w:r>
      <w:r w:rsidR="00575CF0">
        <w:rPr>
          <w:szCs w:val="22"/>
        </w:rPr>
        <w:t>issues</w:t>
      </w:r>
      <w:r w:rsidR="004408F0">
        <w:rPr>
          <w:szCs w:val="22"/>
        </w:rPr>
        <w:t xml:space="preserve"> raised </w:t>
      </w:r>
      <w:r w:rsidR="003515B9">
        <w:rPr>
          <w:szCs w:val="22"/>
        </w:rPr>
        <w:t>in this paper</w:t>
      </w:r>
      <w:r w:rsidRPr="00FF02D7">
        <w:rPr>
          <w:szCs w:val="22"/>
        </w:rPr>
        <w:t>.</w:t>
      </w:r>
      <w:r>
        <w:rPr>
          <w:szCs w:val="22"/>
        </w:rPr>
        <w:t xml:space="preserve"> </w:t>
      </w:r>
      <w:r w:rsidR="000827ED" w:rsidRPr="00FF02D7">
        <w:rPr>
          <w:szCs w:val="22"/>
        </w:rPr>
        <w:t xml:space="preserve">The </w:t>
      </w:r>
      <w:r w:rsidR="00346B15" w:rsidRPr="00FF02D7">
        <w:rPr>
          <w:szCs w:val="22"/>
        </w:rPr>
        <w:t>FSI</w:t>
      </w:r>
      <w:r w:rsidR="000827ED" w:rsidRPr="00FF02D7">
        <w:rPr>
          <w:szCs w:val="22"/>
        </w:rPr>
        <w:t xml:space="preserve"> </w:t>
      </w:r>
      <w:r>
        <w:rPr>
          <w:szCs w:val="22"/>
        </w:rPr>
        <w:t xml:space="preserve">also </w:t>
      </w:r>
      <w:r w:rsidR="000827ED" w:rsidRPr="00FF02D7">
        <w:rPr>
          <w:szCs w:val="22"/>
        </w:rPr>
        <w:t>tasked the general insurance industry with completing its work on reducing complexity and facilitating consumer understanding of key features and exclusions, including relevant consumer testing.</w:t>
      </w:r>
    </w:p>
    <w:p w14:paraId="563BC266" w14:textId="77777777" w:rsidR="0099351F" w:rsidRDefault="0031138C" w:rsidP="00FB4DCC">
      <w:pPr>
        <w:spacing w:after="100" w:afterAutospacing="1"/>
        <w:rPr>
          <w:szCs w:val="22"/>
        </w:rPr>
      </w:pPr>
      <w:r>
        <w:rPr>
          <w:szCs w:val="22"/>
        </w:rPr>
        <w:t>The FSI also considered that innovative</w:t>
      </w:r>
      <w:r w:rsidR="00E056EC">
        <w:rPr>
          <w:szCs w:val="22"/>
        </w:rPr>
        <w:t xml:space="preserve"> approaches to</w:t>
      </w:r>
      <w:r>
        <w:rPr>
          <w:szCs w:val="22"/>
        </w:rPr>
        <w:t xml:space="preserve"> disclosure</w:t>
      </w:r>
      <w:r w:rsidR="00E056EC">
        <w:rPr>
          <w:szCs w:val="22"/>
        </w:rPr>
        <w:t xml:space="preserve"> </w:t>
      </w:r>
      <w:r w:rsidR="00725ABC">
        <w:rPr>
          <w:szCs w:val="22"/>
        </w:rPr>
        <w:t>can</w:t>
      </w:r>
      <w:r>
        <w:rPr>
          <w:szCs w:val="22"/>
        </w:rPr>
        <w:t xml:space="preserve"> improve consum</w:t>
      </w:r>
      <w:r w:rsidR="00E304EF">
        <w:rPr>
          <w:szCs w:val="22"/>
        </w:rPr>
        <w:t xml:space="preserve">er engagement and understanding, and that </w:t>
      </w:r>
      <w:r w:rsidR="0099351F">
        <w:rPr>
          <w:szCs w:val="22"/>
        </w:rPr>
        <w:t xml:space="preserve">the </w:t>
      </w:r>
      <w:r w:rsidR="00E304EF">
        <w:rPr>
          <w:szCs w:val="22"/>
        </w:rPr>
        <w:t>industry should pursue innovative disclosure and alternative forms of communication</w:t>
      </w:r>
      <w:r w:rsidR="00FB4DCC">
        <w:rPr>
          <w:rStyle w:val="FootnoteReference"/>
          <w:szCs w:val="22"/>
        </w:rPr>
        <w:footnoteReference w:id="6"/>
      </w:r>
      <w:r w:rsidR="00E304EF">
        <w:rPr>
          <w:szCs w:val="22"/>
        </w:rPr>
        <w:t xml:space="preserve">. </w:t>
      </w:r>
      <w:r w:rsidR="001A5FD1">
        <w:rPr>
          <w:szCs w:val="22"/>
        </w:rPr>
        <w:t xml:space="preserve">With the developments in technology, </w:t>
      </w:r>
      <w:r w:rsidR="00FA0E12">
        <w:rPr>
          <w:szCs w:val="22"/>
        </w:rPr>
        <w:t xml:space="preserve">such as those enabling online financial services, consumer expectations have changed but the current disclosure regime inhibits the ability of firms to meet these expectations. </w:t>
      </w:r>
    </w:p>
    <w:p w14:paraId="4D9DABBB" w14:textId="77777777" w:rsidR="007647B2" w:rsidRPr="00C67AB7" w:rsidRDefault="00102676" w:rsidP="00281ABA">
      <w:r w:rsidRPr="007647B2">
        <w:rPr>
          <w:szCs w:val="22"/>
        </w:rPr>
        <w:t>A d</w:t>
      </w:r>
      <w:r w:rsidR="0099351F" w:rsidRPr="00281ABA">
        <w:rPr>
          <w:szCs w:val="22"/>
        </w:rPr>
        <w:t>igital approach to disclosure</w:t>
      </w:r>
      <w:r w:rsidR="00943F23" w:rsidRPr="00281ABA">
        <w:rPr>
          <w:szCs w:val="22"/>
        </w:rPr>
        <w:t xml:space="preserve"> has the potential to make</w:t>
      </w:r>
      <w:r w:rsidR="0099351F" w:rsidRPr="00281ABA">
        <w:rPr>
          <w:szCs w:val="22"/>
        </w:rPr>
        <w:t xml:space="preserve"> it easier for businesses to deliver financial services disclosure electronically while preserving choice</w:t>
      </w:r>
      <w:r w:rsidR="00B66C84" w:rsidRPr="00281ABA">
        <w:rPr>
          <w:szCs w:val="22"/>
        </w:rPr>
        <w:t>s</w:t>
      </w:r>
      <w:r w:rsidR="0099351F" w:rsidRPr="00281ABA">
        <w:rPr>
          <w:szCs w:val="22"/>
        </w:rPr>
        <w:t xml:space="preserve"> for consumers. Electronic disclosure </w:t>
      </w:r>
      <w:r w:rsidR="00943F23" w:rsidRPr="00281ABA">
        <w:rPr>
          <w:szCs w:val="22"/>
        </w:rPr>
        <w:t xml:space="preserve">reduces </w:t>
      </w:r>
      <w:r w:rsidR="0099351F" w:rsidRPr="00281ABA">
        <w:rPr>
          <w:szCs w:val="22"/>
        </w:rPr>
        <w:t>costs for financial services providers and enable</w:t>
      </w:r>
      <w:r w:rsidR="00943F23" w:rsidRPr="00281ABA">
        <w:rPr>
          <w:szCs w:val="22"/>
        </w:rPr>
        <w:t>s</w:t>
      </w:r>
      <w:r w:rsidR="0099351F" w:rsidRPr="00281ABA">
        <w:rPr>
          <w:szCs w:val="22"/>
        </w:rPr>
        <w:t xml:space="preserve"> them to better align their disclosure with consumer preferences. For example, </w:t>
      </w:r>
      <w:r w:rsidR="00943F23" w:rsidRPr="00281ABA">
        <w:rPr>
          <w:szCs w:val="22"/>
        </w:rPr>
        <w:t xml:space="preserve">information could be presented in an interactive or video form and online tools </w:t>
      </w:r>
      <w:r w:rsidR="00B66C84" w:rsidRPr="00281ABA">
        <w:rPr>
          <w:szCs w:val="22"/>
        </w:rPr>
        <w:t>offered to consumers to assess their understanding of a product.</w:t>
      </w:r>
      <w:r w:rsidR="0031138C" w:rsidRPr="00281ABA">
        <w:rPr>
          <w:szCs w:val="22"/>
        </w:rPr>
        <w:t xml:space="preserve"> </w:t>
      </w:r>
    </w:p>
    <w:p w14:paraId="34D1F542" w14:textId="77777777" w:rsidR="00922156" w:rsidRPr="00281ABA" w:rsidRDefault="006913CB" w:rsidP="00966E59">
      <w:pPr>
        <w:pStyle w:val="Heading2"/>
        <w:rPr>
          <w:color w:val="1F4E79" w:themeColor="accent1" w:themeShade="80"/>
          <w:szCs w:val="36"/>
        </w:rPr>
      </w:pPr>
      <w:bookmarkStart w:id="17" w:name="_Toc528840595"/>
      <w:r w:rsidRPr="00281ABA">
        <w:rPr>
          <w:color w:val="1F4E79" w:themeColor="accent1" w:themeShade="80"/>
          <w:szCs w:val="36"/>
        </w:rPr>
        <w:t>2017 Senate Economics References Committee’s Inquiry into the general insurance industry</w:t>
      </w:r>
      <w:bookmarkEnd w:id="17"/>
    </w:p>
    <w:p w14:paraId="75BAB406" w14:textId="77777777" w:rsidR="00F52EAA" w:rsidRPr="008E2533" w:rsidRDefault="00DA26DE" w:rsidP="0039655D">
      <w:pPr>
        <w:rPr>
          <w:szCs w:val="22"/>
        </w:rPr>
      </w:pPr>
      <w:r>
        <w:rPr>
          <w:szCs w:val="22"/>
        </w:rPr>
        <w:t xml:space="preserve">Information asymmetry arises wherever one party to an economic transaction has more or better information than the other party. In insurance, information asymmetries </w:t>
      </w:r>
      <w:r w:rsidR="00BF6379" w:rsidRPr="008E2533">
        <w:rPr>
          <w:szCs w:val="22"/>
        </w:rPr>
        <w:t xml:space="preserve">can hinder </w:t>
      </w:r>
      <w:r w:rsidR="00F52EAA" w:rsidRPr="008E2533">
        <w:rPr>
          <w:szCs w:val="22"/>
        </w:rPr>
        <w:t>the insured’s</w:t>
      </w:r>
      <w:r w:rsidR="00BF6379" w:rsidRPr="008E2533">
        <w:rPr>
          <w:szCs w:val="22"/>
        </w:rPr>
        <w:t xml:space="preserve"> decision-making because of </w:t>
      </w:r>
      <w:r w:rsidR="0007678D">
        <w:rPr>
          <w:szCs w:val="22"/>
        </w:rPr>
        <w:t>their</w:t>
      </w:r>
      <w:r w:rsidR="0007678D" w:rsidRPr="008E2533">
        <w:rPr>
          <w:szCs w:val="22"/>
        </w:rPr>
        <w:t xml:space="preserve"> </w:t>
      </w:r>
      <w:r w:rsidR="00BF6379" w:rsidRPr="008E2533">
        <w:rPr>
          <w:szCs w:val="22"/>
        </w:rPr>
        <w:t>lack of understanding about premium pricing, policy coverage and personal risk.</w:t>
      </w:r>
      <w:r>
        <w:rPr>
          <w:rStyle w:val="FootnoteReference"/>
          <w:szCs w:val="22"/>
        </w:rPr>
        <w:footnoteReference w:id="7"/>
      </w:r>
      <w:r w:rsidR="00BF6379" w:rsidRPr="008E2533">
        <w:rPr>
          <w:szCs w:val="22"/>
        </w:rPr>
        <w:t xml:space="preserve"> This in turn, lead</w:t>
      </w:r>
      <w:r w:rsidR="00F52EAA" w:rsidRPr="008E2533">
        <w:rPr>
          <w:szCs w:val="22"/>
        </w:rPr>
        <w:t>s</w:t>
      </w:r>
      <w:r w:rsidR="00BF6379" w:rsidRPr="008E2533">
        <w:rPr>
          <w:szCs w:val="22"/>
        </w:rPr>
        <w:t xml:space="preserve"> to poor consumer outcomes, </w:t>
      </w:r>
      <w:r w:rsidR="00F52EAA" w:rsidRPr="008E2533">
        <w:rPr>
          <w:szCs w:val="22"/>
        </w:rPr>
        <w:t>either in the form of</w:t>
      </w:r>
      <w:r w:rsidR="00BF6379" w:rsidRPr="008E2533">
        <w:rPr>
          <w:szCs w:val="22"/>
        </w:rPr>
        <w:t xml:space="preserve"> inflated premiums, underinsurance, or </w:t>
      </w:r>
      <w:r w:rsidR="00EA6440" w:rsidRPr="008E2533">
        <w:rPr>
          <w:szCs w:val="22"/>
        </w:rPr>
        <w:t>coverage that is inappropriate f</w:t>
      </w:r>
      <w:r w:rsidR="00BF6379" w:rsidRPr="008E2533">
        <w:rPr>
          <w:szCs w:val="22"/>
        </w:rPr>
        <w:t>o</w:t>
      </w:r>
      <w:r w:rsidR="00EA6440" w:rsidRPr="008E2533">
        <w:rPr>
          <w:szCs w:val="22"/>
        </w:rPr>
        <w:t>r</w:t>
      </w:r>
      <w:r w:rsidR="00BF6379" w:rsidRPr="008E2533">
        <w:rPr>
          <w:szCs w:val="22"/>
        </w:rPr>
        <w:t xml:space="preserve"> their needs.</w:t>
      </w:r>
    </w:p>
    <w:p w14:paraId="16993C39" w14:textId="77777777" w:rsidR="00E34344" w:rsidRPr="008E2533" w:rsidRDefault="00DA26DE" w:rsidP="0039655D">
      <w:pPr>
        <w:rPr>
          <w:szCs w:val="22"/>
        </w:rPr>
      </w:pPr>
      <w:r>
        <w:rPr>
          <w:szCs w:val="22"/>
        </w:rPr>
        <w:t>Examples of i</w:t>
      </w:r>
      <w:r w:rsidR="00E34344" w:rsidRPr="008E2533">
        <w:rPr>
          <w:szCs w:val="22"/>
        </w:rPr>
        <w:t xml:space="preserve">nformation asymmetries </w:t>
      </w:r>
      <w:r>
        <w:rPr>
          <w:szCs w:val="22"/>
        </w:rPr>
        <w:t xml:space="preserve">are </w:t>
      </w:r>
      <w:r w:rsidR="00E34344" w:rsidRPr="008E2533">
        <w:rPr>
          <w:szCs w:val="22"/>
        </w:rPr>
        <w:t>where:</w:t>
      </w:r>
    </w:p>
    <w:p w14:paraId="0FA81BB8" w14:textId="77777777" w:rsidR="00E34344" w:rsidRPr="008E2533" w:rsidRDefault="00E34344" w:rsidP="0074264E">
      <w:pPr>
        <w:pStyle w:val="OutlineNumbered1"/>
      </w:pPr>
      <w:r w:rsidRPr="008E2533">
        <w:t>Consumers cannot access the information they need; or</w:t>
      </w:r>
    </w:p>
    <w:p w14:paraId="3F3C207C" w14:textId="77777777" w:rsidR="00BF6379" w:rsidRPr="008E2533" w:rsidRDefault="00E34344">
      <w:pPr>
        <w:pStyle w:val="OutlineNumbered1"/>
        <w:rPr>
          <w:szCs w:val="22"/>
        </w:rPr>
      </w:pPr>
      <w:r w:rsidRPr="008E2533">
        <w:rPr>
          <w:szCs w:val="22"/>
        </w:rPr>
        <w:t>Consumers have access to relevant information, but not in a usable f</w:t>
      </w:r>
      <w:r w:rsidR="00342E8A" w:rsidRPr="008E2533">
        <w:rPr>
          <w:szCs w:val="22"/>
        </w:rPr>
        <w:t>ormat</w:t>
      </w:r>
      <w:r w:rsidR="004408F0">
        <w:rPr>
          <w:szCs w:val="22"/>
        </w:rPr>
        <w:t>;</w:t>
      </w:r>
      <w:r w:rsidRPr="008E2533">
        <w:rPr>
          <w:szCs w:val="22"/>
        </w:rPr>
        <w:t xml:space="preserve"> for example, it may be too complex </w:t>
      </w:r>
      <w:r w:rsidR="003515B9">
        <w:rPr>
          <w:szCs w:val="22"/>
        </w:rPr>
        <w:t xml:space="preserve">for the consumer </w:t>
      </w:r>
      <w:r w:rsidRPr="008E2533">
        <w:rPr>
          <w:szCs w:val="22"/>
        </w:rPr>
        <w:t>to understand</w:t>
      </w:r>
      <w:r w:rsidR="00203731" w:rsidRPr="008E2533">
        <w:rPr>
          <w:szCs w:val="22"/>
        </w:rPr>
        <w:t>.</w:t>
      </w:r>
    </w:p>
    <w:p w14:paraId="00B70932" w14:textId="77777777" w:rsidR="002B4A9E" w:rsidRPr="008E2533" w:rsidRDefault="00B15FCB" w:rsidP="0039655D">
      <w:pPr>
        <w:rPr>
          <w:szCs w:val="22"/>
        </w:rPr>
      </w:pPr>
      <w:r w:rsidRPr="008E2533">
        <w:rPr>
          <w:szCs w:val="22"/>
        </w:rPr>
        <w:t xml:space="preserve">The </w:t>
      </w:r>
      <w:r w:rsidR="00DA26DE">
        <w:rPr>
          <w:szCs w:val="22"/>
        </w:rPr>
        <w:t xml:space="preserve">Senate </w:t>
      </w:r>
      <w:r w:rsidRPr="008E2533">
        <w:rPr>
          <w:szCs w:val="22"/>
        </w:rPr>
        <w:t xml:space="preserve">Committee </w:t>
      </w:r>
      <w:r w:rsidR="002B4A9E" w:rsidRPr="008E2533">
        <w:rPr>
          <w:szCs w:val="22"/>
        </w:rPr>
        <w:t>singled out</w:t>
      </w:r>
      <w:r w:rsidR="004C5323" w:rsidRPr="008E2533">
        <w:rPr>
          <w:szCs w:val="22"/>
        </w:rPr>
        <w:t xml:space="preserve"> the </w:t>
      </w:r>
      <w:r w:rsidR="00CF7936">
        <w:rPr>
          <w:szCs w:val="22"/>
        </w:rPr>
        <w:t xml:space="preserve">complexity of information as a </w:t>
      </w:r>
      <w:r w:rsidR="002B4A9E" w:rsidRPr="008E2533">
        <w:rPr>
          <w:szCs w:val="22"/>
        </w:rPr>
        <w:t xml:space="preserve">particular </w:t>
      </w:r>
      <w:r w:rsidR="00CF7936">
        <w:rPr>
          <w:szCs w:val="22"/>
        </w:rPr>
        <w:t>concern.  General insurance products are</w:t>
      </w:r>
      <w:r w:rsidR="002B4A9E" w:rsidRPr="008E2533">
        <w:rPr>
          <w:szCs w:val="22"/>
        </w:rPr>
        <w:t xml:space="preserve"> </w:t>
      </w:r>
      <w:r w:rsidR="00DA26DE">
        <w:rPr>
          <w:szCs w:val="22"/>
        </w:rPr>
        <w:t xml:space="preserve">based on complex risk assessments </w:t>
      </w:r>
      <w:r w:rsidR="00CF7936">
        <w:rPr>
          <w:szCs w:val="22"/>
        </w:rPr>
        <w:t>and</w:t>
      </w:r>
      <w:r w:rsidR="002B4A9E" w:rsidRPr="008E2533">
        <w:rPr>
          <w:szCs w:val="22"/>
        </w:rPr>
        <w:t xml:space="preserve"> consumer behaviours </w:t>
      </w:r>
      <w:r w:rsidR="00CF7936">
        <w:rPr>
          <w:szCs w:val="22"/>
        </w:rPr>
        <w:t>can</w:t>
      </w:r>
      <w:r w:rsidR="00CF7936" w:rsidRPr="008E2533">
        <w:rPr>
          <w:szCs w:val="22"/>
        </w:rPr>
        <w:t xml:space="preserve"> </w:t>
      </w:r>
      <w:r w:rsidR="002B4A9E" w:rsidRPr="008E2533">
        <w:rPr>
          <w:szCs w:val="22"/>
        </w:rPr>
        <w:t>limit their ability to process and act on information</w:t>
      </w:r>
      <w:r w:rsidR="00CF7936">
        <w:rPr>
          <w:szCs w:val="22"/>
        </w:rPr>
        <w:t>.</w:t>
      </w:r>
      <w:r w:rsidR="001A6137">
        <w:rPr>
          <w:szCs w:val="22"/>
        </w:rPr>
        <w:t xml:space="preserve"> </w:t>
      </w:r>
      <w:r w:rsidR="00CF7936">
        <w:rPr>
          <w:szCs w:val="22"/>
        </w:rPr>
        <w:t>T</w:t>
      </w:r>
      <w:r w:rsidR="002B4A9E" w:rsidRPr="008E2533">
        <w:rPr>
          <w:szCs w:val="22"/>
        </w:rPr>
        <w:t>h</w:t>
      </w:r>
      <w:r w:rsidR="00601029" w:rsidRPr="008E2533">
        <w:rPr>
          <w:szCs w:val="22"/>
        </w:rPr>
        <w:t>e</w:t>
      </w:r>
      <w:r w:rsidR="002B4A9E" w:rsidRPr="008E2533">
        <w:rPr>
          <w:szCs w:val="22"/>
        </w:rPr>
        <w:t xml:space="preserve"> traditional assumption </w:t>
      </w:r>
      <w:r w:rsidR="00601029" w:rsidRPr="008E2533">
        <w:rPr>
          <w:szCs w:val="22"/>
        </w:rPr>
        <w:t xml:space="preserve">underpinning the current disclosure regime that more information is better for consumers, leading to </w:t>
      </w:r>
      <w:r w:rsidR="00B21A32" w:rsidRPr="008E2533">
        <w:rPr>
          <w:szCs w:val="22"/>
        </w:rPr>
        <w:t xml:space="preserve">bloated </w:t>
      </w:r>
      <w:r w:rsidR="00601029" w:rsidRPr="008E2533">
        <w:rPr>
          <w:szCs w:val="22"/>
        </w:rPr>
        <w:t xml:space="preserve">disclosure </w:t>
      </w:r>
      <w:proofErr w:type="gramStart"/>
      <w:r w:rsidR="005604A0" w:rsidRPr="008E2533">
        <w:rPr>
          <w:szCs w:val="22"/>
        </w:rPr>
        <w:t>documents</w:t>
      </w:r>
      <w:r w:rsidR="00C67AB7">
        <w:rPr>
          <w:szCs w:val="22"/>
        </w:rPr>
        <w:t>,</w:t>
      </w:r>
      <w:proofErr w:type="gramEnd"/>
      <w:r w:rsidR="00CF7936">
        <w:rPr>
          <w:szCs w:val="22"/>
        </w:rPr>
        <w:t xml:space="preserve"> need not</w:t>
      </w:r>
      <w:r w:rsidR="0020512F">
        <w:rPr>
          <w:szCs w:val="22"/>
        </w:rPr>
        <w:t xml:space="preserve"> be correct</w:t>
      </w:r>
      <w:r w:rsidR="00601029" w:rsidRPr="008E2533">
        <w:rPr>
          <w:szCs w:val="22"/>
        </w:rPr>
        <w:t>.</w:t>
      </w:r>
    </w:p>
    <w:p w14:paraId="08E875F8" w14:textId="77777777" w:rsidR="00055EC1" w:rsidRPr="008E2533" w:rsidRDefault="00B51238" w:rsidP="00F548D8">
      <w:pPr>
        <w:spacing w:after="100" w:afterAutospacing="1"/>
        <w:rPr>
          <w:szCs w:val="22"/>
        </w:rPr>
      </w:pPr>
      <w:r w:rsidRPr="008E2533">
        <w:rPr>
          <w:szCs w:val="22"/>
        </w:rPr>
        <w:lastRenderedPageBreak/>
        <w:t xml:space="preserve">The concerns the Committee </w:t>
      </w:r>
      <w:r w:rsidR="00AB6AC1" w:rsidRPr="008E2533">
        <w:rPr>
          <w:szCs w:val="22"/>
        </w:rPr>
        <w:t>maintain</w:t>
      </w:r>
      <w:r w:rsidR="00AB6AC1">
        <w:rPr>
          <w:szCs w:val="22"/>
        </w:rPr>
        <w:t xml:space="preserve">ed </w:t>
      </w:r>
      <w:r w:rsidRPr="008E2533">
        <w:rPr>
          <w:szCs w:val="22"/>
        </w:rPr>
        <w:t>around the information asymmetry</w:t>
      </w:r>
      <w:r w:rsidR="0020512F">
        <w:rPr>
          <w:szCs w:val="22"/>
        </w:rPr>
        <w:t xml:space="preserve"> between insurers and insured</w:t>
      </w:r>
      <w:r w:rsidRPr="008E2533">
        <w:rPr>
          <w:szCs w:val="22"/>
        </w:rPr>
        <w:t xml:space="preserve"> fed directly into their recommendations</w:t>
      </w:r>
      <w:r w:rsidR="001A6137">
        <w:rPr>
          <w:szCs w:val="22"/>
        </w:rPr>
        <w:t>.  These</w:t>
      </w:r>
      <w:r w:rsidRPr="008E2533">
        <w:rPr>
          <w:szCs w:val="22"/>
        </w:rPr>
        <w:t xml:space="preserve"> are the focus of this paper.</w:t>
      </w:r>
    </w:p>
    <w:p w14:paraId="5902646A" w14:textId="77777777" w:rsidR="00B21A32" w:rsidRDefault="00417596" w:rsidP="00966E59">
      <w:pPr>
        <w:pStyle w:val="Heading2"/>
      </w:pPr>
      <w:bookmarkStart w:id="18" w:name="_Toc528840596"/>
      <w:r w:rsidRPr="00310D07">
        <w:t xml:space="preserve">Industry </w:t>
      </w:r>
      <w:r w:rsidR="00881EB7">
        <w:t>r</w:t>
      </w:r>
      <w:r w:rsidR="00881EB7" w:rsidRPr="00310D07">
        <w:t>esearch</w:t>
      </w:r>
      <w:bookmarkEnd w:id="18"/>
    </w:p>
    <w:p w14:paraId="4BD31A20" w14:textId="77777777" w:rsidR="00305424" w:rsidRPr="00E13517" w:rsidRDefault="00484F20" w:rsidP="0039655D">
      <w:pPr>
        <w:rPr>
          <w:rFonts w:cs="Arial"/>
          <w:iCs/>
          <w:kern w:val="32"/>
          <w:szCs w:val="22"/>
        </w:rPr>
      </w:pPr>
      <w:r w:rsidRPr="00E13517">
        <w:rPr>
          <w:rFonts w:cs="Arial"/>
          <w:iCs/>
          <w:kern w:val="32"/>
          <w:szCs w:val="22"/>
        </w:rPr>
        <w:t>The insurance industry, led by the Insurance Council of Australia (ICA),</w:t>
      </w:r>
      <w:r w:rsidR="00F15435" w:rsidRPr="00E13517">
        <w:rPr>
          <w:rFonts w:cs="Arial"/>
          <w:iCs/>
          <w:kern w:val="32"/>
          <w:szCs w:val="22"/>
        </w:rPr>
        <w:t xml:space="preserve"> has</w:t>
      </w:r>
      <w:r w:rsidR="006564C9" w:rsidRPr="00E13517">
        <w:rPr>
          <w:rFonts w:cs="Arial"/>
          <w:iCs/>
          <w:kern w:val="32"/>
          <w:szCs w:val="22"/>
        </w:rPr>
        <w:t xml:space="preserve"> undertaken a number of </w:t>
      </w:r>
      <w:r w:rsidR="00893DCA">
        <w:rPr>
          <w:rFonts w:cs="Arial"/>
          <w:iCs/>
          <w:kern w:val="32"/>
          <w:szCs w:val="22"/>
        </w:rPr>
        <w:t>studies</w:t>
      </w:r>
      <w:r w:rsidR="00F9525D" w:rsidRPr="00E13517">
        <w:rPr>
          <w:rFonts w:cs="Arial"/>
          <w:iCs/>
          <w:kern w:val="32"/>
          <w:szCs w:val="22"/>
        </w:rPr>
        <w:t xml:space="preserve"> </w:t>
      </w:r>
      <w:r w:rsidR="00F15435" w:rsidRPr="00E13517">
        <w:rPr>
          <w:rFonts w:cs="Arial"/>
          <w:iCs/>
          <w:kern w:val="32"/>
          <w:szCs w:val="22"/>
        </w:rPr>
        <w:t>on improv</w:t>
      </w:r>
      <w:r w:rsidR="00F9525D" w:rsidRPr="00E13517">
        <w:rPr>
          <w:rFonts w:cs="Arial"/>
          <w:iCs/>
          <w:kern w:val="32"/>
          <w:szCs w:val="22"/>
        </w:rPr>
        <w:t>ing</w:t>
      </w:r>
      <w:r w:rsidR="00F15435" w:rsidRPr="00E13517">
        <w:rPr>
          <w:rFonts w:cs="Arial"/>
          <w:iCs/>
          <w:kern w:val="32"/>
          <w:szCs w:val="22"/>
        </w:rPr>
        <w:t xml:space="preserve"> disclosure</w:t>
      </w:r>
      <w:r w:rsidR="008A6C49" w:rsidRPr="00E13517">
        <w:rPr>
          <w:rFonts w:cs="Arial"/>
          <w:iCs/>
          <w:kern w:val="32"/>
          <w:szCs w:val="22"/>
        </w:rPr>
        <w:t xml:space="preserve"> </w:t>
      </w:r>
      <w:r w:rsidR="00893DCA">
        <w:rPr>
          <w:rFonts w:cs="Arial"/>
          <w:iCs/>
          <w:kern w:val="32"/>
          <w:szCs w:val="22"/>
        </w:rPr>
        <w:t>for general</w:t>
      </w:r>
      <w:r w:rsidR="008A6C49" w:rsidRPr="00E13517">
        <w:rPr>
          <w:rFonts w:cs="Arial"/>
          <w:iCs/>
          <w:kern w:val="32"/>
          <w:szCs w:val="22"/>
        </w:rPr>
        <w:t xml:space="preserve"> insurance</w:t>
      </w:r>
      <w:r w:rsidR="00F15435" w:rsidRPr="00E13517">
        <w:rPr>
          <w:rFonts w:cs="Arial"/>
          <w:iCs/>
          <w:kern w:val="32"/>
          <w:szCs w:val="22"/>
        </w:rPr>
        <w:t xml:space="preserve">. The ICA </w:t>
      </w:r>
      <w:r w:rsidR="00305424" w:rsidRPr="00E13517">
        <w:rPr>
          <w:rFonts w:cs="Arial"/>
          <w:iCs/>
          <w:kern w:val="32"/>
          <w:szCs w:val="22"/>
        </w:rPr>
        <w:t xml:space="preserve">released a paper titled </w:t>
      </w:r>
      <w:r w:rsidR="00305424" w:rsidRPr="00E13517">
        <w:rPr>
          <w:rFonts w:cs="Arial"/>
          <w:i/>
          <w:iCs/>
          <w:kern w:val="32"/>
          <w:szCs w:val="22"/>
        </w:rPr>
        <w:t>Too long: Didn’t Read: Enhancing General Insurance Disclosure</w:t>
      </w:r>
      <w:r w:rsidR="00BB311F">
        <w:rPr>
          <w:rFonts w:cs="Arial"/>
          <w:iCs/>
          <w:kern w:val="32"/>
          <w:szCs w:val="22"/>
        </w:rPr>
        <w:t xml:space="preserve"> (TLDR </w:t>
      </w:r>
      <w:r w:rsidR="0000776E">
        <w:rPr>
          <w:rFonts w:cs="Arial"/>
          <w:iCs/>
          <w:kern w:val="32"/>
          <w:szCs w:val="22"/>
        </w:rPr>
        <w:t>p</w:t>
      </w:r>
      <w:r w:rsidR="00BB311F">
        <w:rPr>
          <w:rFonts w:cs="Arial"/>
          <w:iCs/>
          <w:kern w:val="32"/>
          <w:szCs w:val="22"/>
        </w:rPr>
        <w:t>aper)</w:t>
      </w:r>
      <w:r w:rsidR="00305424" w:rsidRPr="00E13517">
        <w:rPr>
          <w:rFonts w:cs="Arial"/>
          <w:iCs/>
          <w:kern w:val="32"/>
          <w:szCs w:val="22"/>
        </w:rPr>
        <w:t xml:space="preserve"> in October 2015.</w:t>
      </w:r>
      <w:r w:rsidR="00912FE7">
        <w:rPr>
          <w:rStyle w:val="FootnoteReference"/>
          <w:rFonts w:cs="Arial"/>
          <w:iCs/>
          <w:kern w:val="32"/>
          <w:szCs w:val="22"/>
        </w:rPr>
        <w:footnoteReference w:id="8"/>
      </w:r>
      <w:r w:rsidR="005663AD" w:rsidRPr="00E13517">
        <w:rPr>
          <w:rFonts w:cs="Arial"/>
          <w:iCs/>
          <w:kern w:val="32"/>
          <w:szCs w:val="22"/>
        </w:rPr>
        <w:t xml:space="preserve"> A central finding of the ICA’s report was the lack of literature and research into </w:t>
      </w:r>
      <w:r w:rsidR="001042A9">
        <w:rPr>
          <w:rFonts w:cs="Arial"/>
          <w:iCs/>
          <w:kern w:val="32"/>
          <w:szCs w:val="22"/>
        </w:rPr>
        <w:t>how consumers make decisions about their insurance needs and the impact of disclosure on this decision-making</w:t>
      </w:r>
      <w:r w:rsidR="005663AD" w:rsidRPr="00E13517">
        <w:rPr>
          <w:rFonts w:cs="Arial"/>
          <w:iCs/>
          <w:kern w:val="32"/>
          <w:szCs w:val="22"/>
        </w:rPr>
        <w:t>.</w:t>
      </w:r>
    </w:p>
    <w:p w14:paraId="7C9E1729" w14:textId="77777777" w:rsidR="00ED444C" w:rsidRPr="00E13517" w:rsidRDefault="00ED444C" w:rsidP="0039655D">
      <w:pPr>
        <w:rPr>
          <w:rFonts w:cs="Arial"/>
          <w:iCs/>
          <w:kern w:val="32"/>
          <w:szCs w:val="22"/>
        </w:rPr>
      </w:pPr>
      <w:r w:rsidRPr="00E13517">
        <w:rPr>
          <w:rFonts w:cs="Arial"/>
          <w:iCs/>
          <w:kern w:val="32"/>
          <w:szCs w:val="22"/>
        </w:rPr>
        <w:t>The</w:t>
      </w:r>
      <w:r w:rsidR="00BB311F">
        <w:rPr>
          <w:rFonts w:cs="Arial"/>
          <w:iCs/>
          <w:kern w:val="32"/>
          <w:szCs w:val="22"/>
        </w:rPr>
        <w:t xml:space="preserve"> TLDR </w:t>
      </w:r>
      <w:r w:rsidR="00FB6A6A">
        <w:rPr>
          <w:rFonts w:cs="Arial"/>
          <w:iCs/>
          <w:kern w:val="32"/>
          <w:szCs w:val="22"/>
        </w:rPr>
        <w:t>p</w:t>
      </w:r>
      <w:r w:rsidR="00FB6A6A" w:rsidRPr="00E13517">
        <w:rPr>
          <w:rFonts w:cs="Arial"/>
          <w:iCs/>
          <w:kern w:val="32"/>
          <w:szCs w:val="22"/>
        </w:rPr>
        <w:t>aper</w:t>
      </w:r>
      <w:r w:rsidRPr="00E13517">
        <w:rPr>
          <w:rFonts w:cs="Arial"/>
          <w:iCs/>
          <w:kern w:val="32"/>
          <w:szCs w:val="22"/>
        </w:rPr>
        <w:t xml:space="preserve"> noted that the current disclosure framework </w:t>
      </w:r>
      <w:r w:rsidR="001042A9">
        <w:rPr>
          <w:rFonts w:cs="Arial"/>
          <w:iCs/>
          <w:kern w:val="32"/>
          <w:szCs w:val="22"/>
        </w:rPr>
        <w:t>may be limited by its focus</w:t>
      </w:r>
      <w:r w:rsidRPr="00E13517">
        <w:rPr>
          <w:rFonts w:cs="Arial"/>
          <w:iCs/>
          <w:kern w:val="32"/>
          <w:szCs w:val="22"/>
        </w:rPr>
        <w:t xml:space="preserve"> on the provision of information </w:t>
      </w:r>
      <w:r w:rsidR="001042A9">
        <w:rPr>
          <w:rFonts w:cs="Arial"/>
          <w:iCs/>
          <w:kern w:val="32"/>
          <w:szCs w:val="22"/>
        </w:rPr>
        <w:t>rather than the</w:t>
      </w:r>
      <w:r w:rsidRPr="00E13517">
        <w:rPr>
          <w:rFonts w:cs="Arial"/>
          <w:iCs/>
          <w:kern w:val="32"/>
          <w:szCs w:val="22"/>
        </w:rPr>
        <w:t xml:space="preserve"> consumer’s ability to make use of that information to purchase a general insurance policy suited to their needs.</w:t>
      </w:r>
      <w:r w:rsidR="001042A9">
        <w:rPr>
          <w:rFonts w:cs="Arial"/>
          <w:iCs/>
          <w:kern w:val="32"/>
          <w:szCs w:val="22"/>
        </w:rPr>
        <w:t xml:space="preserve"> Information which encourages informed decision-making should be targeted and timely; </w:t>
      </w:r>
      <w:r w:rsidR="005402DE">
        <w:rPr>
          <w:rFonts w:cs="Arial"/>
          <w:iCs/>
          <w:kern w:val="32"/>
          <w:szCs w:val="22"/>
        </w:rPr>
        <w:t xml:space="preserve">it also needs to be </w:t>
      </w:r>
      <w:r w:rsidR="001042A9">
        <w:rPr>
          <w:rFonts w:cs="Arial"/>
          <w:iCs/>
          <w:kern w:val="32"/>
          <w:szCs w:val="22"/>
        </w:rPr>
        <w:t xml:space="preserve">appropriate to the needs of consumers at the particular stage in the insurance process. For example, consumers require different information at the point of sale as compared to claims stage. </w:t>
      </w:r>
    </w:p>
    <w:p w14:paraId="57EB826B" w14:textId="77777777" w:rsidR="001F70E6" w:rsidRPr="00E13517" w:rsidRDefault="00ED444C" w:rsidP="0039655D">
      <w:pPr>
        <w:rPr>
          <w:rFonts w:cs="Arial"/>
          <w:iCs/>
          <w:kern w:val="32"/>
          <w:szCs w:val="22"/>
        </w:rPr>
      </w:pPr>
      <w:r w:rsidRPr="00E13517">
        <w:rPr>
          <w:rFonts w:cs="Arial"/>
          <w:iCs/>
          <w:kern w:val="32"/>
          <w:szCs w:val="22"/>
        </w:rPr>
        <w:t xml:space="preserve">The paper recommended moving away from </w:t>
      </w:r>
      <w:r w:rsidR="001042A9">
        <w:rPr>
          <w:rFonts w:cs="Arial"/>
          <w:iCs/>
          <w:kern w:val="32"/>
          <w:szCs w:val="22"/>
        </w:rPr>
        <w:t xml:space="preserve">a focus on </w:t>
      </w:r>
      <w:r w:rsidRPr="00E13517">
        <w:rPr>
          <w:rFonts w:cs="Arial"/>
          <w:iCs/>
          <w:kern w:val="32"/>
          <w:szCs w:val="22"/>
        </w:rPr>
        <w:t xml:space="preserve">the </w:t>
      </w:r>
      <w:r w:rsidR="001042A9">
        <w:rPr>
          <w:rFonts w:cs="Arial"/>
          <w:iCs/>
          <w:kern w:val="32"/>
          <w:szCs w:val="22"/>
        </w:rPr>
        <w:t xml:space="preserve">minimum requirements of the </w:t>
      </w:r>
      <w:r w:rsidRPr="00E13517">
        <w:rPr>
          <w:rFonts w:cs="Arial"/>
          <w:iCs/>
          <w:kern w:val="32"/>
          <w:szCs w:val="22"/>
        </w:rPr>
        <w:t xml:space="preserve">mandated disclosure regime and </w:t>
      </w:r>
      <w:r w:rsidR="001042A9">
        <w:rPr>
          <w:rFonts w:cs="Arial"/>
          <w:iCs/>
          <w:kern w:val="32"/>
          <w:szCs w:val="22"/>
        </w:rPr>
        <w:t>towards best practice transparency</w:t>
      </w:r>
      <w:r w:rsidRPr="00E13517">
        <w:rPr>
          <w:rFonts w:cs="Arial"/>
          <w:iCs/>
          <w:kern w:val="32"/>
          <w:szCs w:val="22"/>
        </w:rPr>
        <w:t>.</w:t>
      </w:r>
      <w:r w:rsidR="001F70E6" w:rsidRPr="00E13517">
        <w:rPr>
          <w:rFonts w:cs="Arial"/>
          <w:iCs/>
          <w:kern w:val="32"/>
          <w:szCs w:val="22"/>
        </w:rPr>
        <w:t xml:space="preserve"> </w:t>
      </w:r>
      <w:r w:rsidR="001042A9">
        <w:rPr>
          <w:rFonts w:cs="Arial"/>
          <w:iCs/>
          <w:kern w:val="32"/>
          <w:szCs w:val="22"/>
        </w:rPr>
        <w:t xml:space="preserve">Principles around best practice transparency should be developed over time as insurers learn from </w:t>
      </w:r>
      <w:r w:rsidR="005F281D">
        <w:rPr>
          <w:rFonts w:cs="Arial"/>
          <w:iCs/>
          <w:kern w:val="32"/>
          <w:szCs w:val="22"/>
        </w:rPr>
        <w:t>trialling</w:t>
      </w:r>
      <w:r w:rsidR="001042A9">
        <w:rPr>
          <w:rFonts w:cs="Arial"/>
          <w:iCs/>
          <w:kern w:val="32"/>
          <w:szCs w:val="22"/>
        </w:rPr>
        <w:t xml:space="preserve"> new and innovative ways of providing information.</w:t>
      </w:r>
      <w:r w:rsidRPr="00E13517">
        <w:rPr>
          <w:rFonts w:cs="Arial"/>
          <w:iCs/>
          <w:kern w:val="32"/>
          <w:szCs w:val="22"/>
        </w:rPr>
        <w:t xml:space="preserve"> </w:t>
      </w:r>
    </w:p>
    <w:p w14:paraId="00F72CC0" w14:textId="77777777" w:rsidR="001A2106" w:rsidRPr="00E13517" w:rsidRDefault="00011AF6" w:rsidP="0039655D">
      <w:pPr>
        <w:rPr>
          <w:rFonts w:cs="Arial"/>
          <w:iCs/>
          <w:kern w:val="32"/>
          <w:szCs w:val="22"/>
        </w:rPr>
      </w:pPr>
      <w:r w:rsidRPr="00E13517">
        <w:rPr>
          <w:rFonts w:cs="Arial"/>
          <w:iCs/>
          <w:kern w:val="32"/>
          <w:szCs w:val="22"/>
        </w:rPr>
        <w:t>In the same vein as its 2015 report, t</w:t>
      </w:r>
      <w:r w:rsidR="002B5D10" w:rsidRPr="00E13517">
        <w:rPr>
          <w:rFonts w:cs="Arial"/>
          <w:iCs/>
          <w:kern w:val="32"/>
          <w:szCs w:val="22"/>
        </w:rPr>
        <w:t xml:space="preserve">he </w:t>
      </w:r>
      <w:r w:rsidR="002E0381" w:rsidRPr="00E13517">
        <w:rPr>
          <w:rFonts w:cs="Arial"/>
          <w:iCs/>
          <w:kern w:val="32"/>
          <w:szCs w:val="22"/>
        </w:rPr>
        <w:t>ICA</w:t>
      </w:r>
      <w:r w:rsidR="002B5D10" w:rsidRPr="00E13517">
        <w:rPr>
          <w:rFonts w:cs="Arial"/>
          <w:iCs/>
          <w:kern w:val="32"/>
          <w:szCs w:val="22"/>
        </w:rPr>
        <w:t xml:space="preserve"> released a report on </w:t>
      </w:r>
      <w:r w:rsidR="002B5D10" w:rsidRPr="00E13517">
        <w:rPr>
          <w:rFonts w:cs="Arial"/>
          <w:i/>
          <w:iCs/>
          <w:kern w:val="32"/>
          <w:szCs w:val="22"/>
        </w:rPr>
        <w:t>Consumer Research on General Insurance Product Disclosures</w:t>
      </w:r>
      <w:r w:rsidR="002B5D10" w:rsidRPr="00E13517">
        <w:rPr>
          <w:rFonts w:cs="Arial"/>
          <w:iCs/>
          <w:kern w:val="32"/>
          <w:szCs w:val="22"/>
        </w:rPr>
        <w:t xml:space="preserve"> </w:t>
      </w:r>
      <w:r w:rsidR="00892A93">
        <w:rPr>
          <w:rFonts w:cs="Arial"/>
          <w:iCs/>
          <w:kern w:val="32"/>
          <w:szCs w:val="22"/>
        </w:rPr>
        <w:t xml:space="preserve">(Consumer Research report) </w:t>
      </w:r>
      <w:r w:rsidR="002B5D10" w:rsidRPr="00E13517">
        <w:rPr>
          <w:rFonts w:cs="Arial"/>
          <w:iCs/>
          <w:kern w:val="32"/>
          <w:szCs w:val="22"/>
        </w:rPr>
        <w:t>in February 2017.</w:t>
      </w:r>
      <w:r w:rsidR="00D85F34">
        <w:rPr>
          <w:rStyle w:val="FootnoteReference"/>
          <w:rFonts w:cs="Arial"/>
          <w:iCs/>
          <w:kern w:val="32"/>
          <w:szCs w:val="22"/>
        </w:rPr>
        <w:footnoteReference w:id="9"/>
      </w:r>
      <w:r w:rsidR="00F864D0" w:rsidRPr="00E13517">
        <w:rPr>
          <w:rFonts w:cs="Arial"/>
          <w:iCs/>
          <w:kern w:val="32"/>
          <w:szCs w:val="22"/>
        </w:rPr>
        <w:t xml:space="preserve"> The report made five key findings:</w:t>
      </w:r>
    </w:p>
    <w:p w14:paraId="257C681E" w14:textId="77777777" w:rsidR="00F864D0" w:rsidRPr="00E13517" w:rsidRDefault="00F864D0">
      <w:pPr>
        <w:pStyle w:val="Bullet"/>
      </w:pPr>
      <w:r w:rsidRPr="00E13517">
        <w:t xml:space="preserve">There is no single pathway to purchase </w:t>
      </w:r>
      <w:r w:rsidR="003C2726">
        <w:t xml:space="preserve">insurance </w:t>
      </w:r>
      <w:r w:rsidRPr="00E13517">
        <w:t>and the use of information in decision</w:t>
      </w:r>
      <w:r w:rsidR="00E13517" w:rsidRPr="00E13517">
        <w:t>-making is highly varied;</w:t>
      </w:r>
    </w:p>
    <w:p w14:paraId="30B2FA60" w14:textId="77777777" w:rsidR="00F864D0" w:rsidRPr="00E13517" w:rsidRDefault="00F864D0">
      <w:pPr>
        <w:pStyle w:val="Bullet"/>
      </w:pPr>
      <w:r w:rsidRPr="00E13517">
        <w:t>While most consumers report they have evaluated the details of their pol</w:t>
      </w:r>
      <w:r w:rsidR="00E13517" w:rsidRPr="00E13517">
        <w:t>icy, most do not access the PDS;</w:t>
      </w:r>
    </w:p>
    <w:p w14:paraId="5D3C120C" w14:textId="77777777" w:rsidR="00F864D0" w:rsidRPr="00E13517" w:rsidRDefault="00F864D0">
      <w:pPr>
        <w:pStyle w:val="Bullet"/>
      </w:pPr>
      <w:r w:rsidRPr="00E13517">
        <w:t>While most consumers are confident in their understanding, c</w:t>
      </w:r>
      <w:r w:rsidR="00E13517" w:rsidRPr="00E13517">
        <w:t>omprehension appears to be poor;</w:t>
      </w:r>
    </w:p>
    <w:p w14:paraId="648D3E65" w14:textId="77777777" w:rsidR="00F864D0" w:rsidRPr="00E13517" w:rsidRDefault="00F864D0">
      <w:pPr>
        <w:pStyle w:val="Bullet"/>
      </w:pPr>
      <w:r w:rsidRPr="00E13517">
        <w:t>Many consumers do not consider the specific risks for which they need to purchase cover as a criterion for decision-making</w:t>
      </w:r>
      <w:r w:rsidR="00E13517" w:rsidRPr="00E13517">
        <w:t>;</w:t>
      </w:r>
      <w:r w:rsidR="00843FB6">
        <w:t xml:space="preserve"> and</w:t>
      </w:r>
    </w:p>
    <w:p w14:paraId="199F9DBB" w14:textId="77777777" w:rsidR="00D91BFD" w:rsidRPr="00882E2A" w:rsidRDefault="00F864D0" w:rsidP="00882E2A">
      <w:pPr>
        <w:pStyle w:val="Bullet"/>
        <w:spacing w:after="100" w:afterAutospacing="1"/>
      </w:pPr>
      <w:r w:rsidRPr="00E13517">
        <w:t>The accessibility of the PDS can be improved, although there are other opportunities for stronger consumer engagement.</w:t>
      </w:r>
    </w:p>
    <w:p w14:paraId="1B72DE23" w14:textId="77777777" w:rsidR="0021769D" w:rsidRPr="00922156" w:rsidRDefault="00922156" w:rsidP="00966E59">
      <w:pPr>
        <w:pStyle w:val="Heading2"/>
        <w:rPr>
          <w:b/>
        </w:rPr>
      </w:pPr>
      <w:bookmarkStart w:id="19" w:name="_Toc528840597"/>
      <w:r w:rsidRPr="00B37853">
        <w:t>A</w:t>
      </w:r>
      <w:r w:rsidR="00FF710A">
        <w:t xml:space="preserve">ustralian Securities and Investments Commission </w:t>
      </w:r>
      <w:r w:rsidRPr="00B37853">
        <w:t>research</w:t>
      </w:r>
      <w:bookmarkEnd w:id="19"/>
    </w:p>
    <w:p w14:paraId="20C097F8" w14:textId="77777777" w:rsidR="009A2114" w:rsidRDefault="0012450C" w:rsidP="00F548D8">
      <w:pPr>
        <w:pStyle w:val="Default"/>
        <w:spacing w:before="120" w:after="120"/>
        <w:rPr>
          <w:rFonts w:ascii="Calibri" w:eastAsia="Times New Roman" w:hAnsi="Calibri"/>
          <w:color w:val="auto"/>
          <w:sz w:val="22"/>
          <w:szCs w:val="20"/>
          <w:lang w:eastAsia="en-AU"/>
        </w:rPr>
      </w:pPr>
      <w:r>
        <w:rPr>
          <w:rFonts w:asciiTheme="minorHAnsi" w:hAnsiTheme="minorHAnsi"/>
          <w:sz w:val="22"/>
        </w:rPr>
        <w:t xml:space="preserve">The </w:t>
      </w:r>
      <w:r w:rsidR="007F03C6">
        <w:rPr>
          <w:rFonts w:asciiTheme="minorHAnsi" w:hAnsiTheme="minorHAnsi"/>
          <w:sz w:val="22"/>
        </w:rPr>
        <w:t>Australian Securities and Investments Commission (</w:t>
      </w:r>
      <w:r w:rsidR="00EB2F74">
        <w:rPr>
          <w:rFonts w:asciiTheme="minorHAnsi" w:hAnsiTheme="minorHAnsi"/>
          <w:sz w:val="22"/>
        </w:rPr>
        <w:t>ASIC</w:t>
      </w:r>
      <w:r w:rsidR="007F03C6">
        <w:rPr>
          <w:rFonts w:asciiTheme="minorHAnsi" w:hAnsiTheme="minorHAnsi"/>
          <w:sz w:val="22"/>
        </w:rPr>
        <w:t>)</w:t>
      </w:r>
      <w:r w:rsidR="00EB2F74">
        <w:rPr>
          <w:rFonts w:asciiTheme="minorHAnsi" w:hAnsiTheme="minorHAnsi"/>
          <w:sz w:val="22"/>
        </w:rPr>
        <w:t xml:space="preserve"> has</w:t>
      </w:r>
      <w:r w:rsidR="006441A7">
        <w:rPr>
          <w:rFonts w:asciiTheme="minorHAnsi" w:hAnsiTheme="minorHAnsi"/>
          <w:sz w:val="22"/>
        </w:rPr>
        <w:t xml:space="preserve"> undertaken </w:t>
      </w:r>
      <w:r w:rsidR="00E4509F">
        <w:rPr>
          <w:rFonts w:asciiTheme="minorHAnsi" w:hAnsiTheme="minorHAnsi"/>
          <w:sz w:val="22"/>
        </w:rPr>
        <w:t>research on disclosure to</w:t>
      </w:r>
      <w:r w:rsidR="00015E8A" w:rsidRPr="006C08A5">
        <w:rPr>
          <w:rFonts w:asciiTheme="minorHAnsi" w:hAnsiTheme="minorHAnsi"/>
          <w:sz w:val="22"/>
        </w:rPr>
        <w:t xml:space="preserve"> </w:t>
      </w:r>
      <w:r w:rsidR="00E4509F">
        <w:rPr>
          <w:rFonts w:asciiTheme="minorHAnsi" w:hAnsiTheme="minorHAnsi"/>
          <w:sz w:val="22"/>
        </w:rPr>
        <w:t>help</w:t>
      </w:r>
      <w:r w:rsidR="00E1479D">
        <w:rPr>
          <w:rFonts w:asciiTheme="minorHAnsi" w:hAnsiTheme="minorHAnsi"/>
          <w:sz w:val="22"/>
        </w:rPr>
        <w:t xml:space="preserve"> </w:t>
      </w:r>
      <w:r w:rsidR="00AE21E2">
        <w:rPr>
          <w:rFonts w:asciiTheme="minorHAnsi" w:hAnsiTheme="minorHAnsi"/>
          <w:sz w:val="22"/>
        </w:rPr>
        <w:t>ensure that the disclosure provided to consumers is effective, and to identify any areas for</w:t>
      </w:r>
      <w:r w:rsidR="000E6D37">
        <w:rPr>
          <w:rFonts w:asciiTheme="minorHAnsi" w:hAnsiTheme="minorHAnsi"/>
          <w:sz w:val="22"/>
        </w:rPr>
        <w:t xml:space="preserve"> </w:t>
      </w:r>
      <w:r w:rsidR="00AE21E2">
        <w:rPr>
          <w:rFonts w:asciiTheme="minorHAnsi" w:hAnsiTheme="minorHAnsi"/>
          <w:sz w:val="22"/>
        </w:rPr>
        <w:lastRenderedPageBreak/>
        <w:t>improvements</w:t>
      </w:r>
      <w:r w:rsidR="005F78B9">
        <w:rPr>
          <w:rFonts w:asciiTheme="minorHAnsi" w:hAnsiTheme="minorHAnsi"/>
          <w:sz w:val="22"/>
        </w:rPr>
        <w:t xml:space="preserve">. </w:t>
      </w:r>
      <w:r w:rsidR="00384400" w:rsidRPr="006A4E6D">
        <w:rPr>
          <w:rFonts w:ascii="Calibri" w:eastAsia="Times New Roman" w:hAnsi="Calibri"/>
          <w:color w:val="auto"/>
          <w:sz w:val="22"/>
          <w:szCs w:val="20"/>
          <w:lang w:eastAsia="en-AU"/>
        </w:rPr>
        <w:t>ASIC undertook a review of the sale of home building insurance</w:t>
      </w:r>
      <w:r w:rsidR="00384400">
        <w:rPr>
          <w:rFonts w:ascii="Calibri" w:eastAsia="Times New Roman" w:hAnsi="Calibri"/>
          <w:color w:val="auto"/>
          <w:sz w:val="22"/>
          <w:szCs w:val="20"/>
          <w:lang w:eastAsia="en-AU"/>
        </w:rPr>
        <w:t xml:space="preserve"> in 201</w:t>
      </w:r>
      <w:r w:rsidR="005F281D">
        <w:rPr>
          <w:rFonts w:ascii="Calibri" w:eastAsia="Times New Roman" w:hAnsi="Calibri"/>
          <w:color w:val="auto"/>
          <w:sz w:val="22"/>
          <w:szCs w:val="20"/>
          <w:lang w:eastAsia="en-AU"/>
        </w:rPr>
        <w:t>4</w:t>
      </w:r>
      <w:r w:rsidR="00384400" w:rsidRPr="006A4E6D">
        <w:rPr>
          <w:rFonts w:ascii="Calibri" w:eastAsia="Times New Roman" w:hAnsi="Calibri"/>
          <w:color w:val="auto"/>
          <w:sz w:val="22"/>
          <w:szCs w:val="20"/>
          <w:lang w:eastAsia="en-AU"/>
        </w:rPr>
        <w:t>.</w:t>
      </w:r>
      <w:r w:rsidR="00F548D8" w:rsidRPr="0072164B">
        <w:rPr>
          <w:rFonts w:asciiTheme="minorHAnsi" w:eastAsia="Times New Roman" w:hAnsiTheme="minorHAnsi"/>
          <w:color w:val="auto"/>
          <w:sz w:val="22"/>
          <w:szCs w:val="20"/>
          <w:vertAlign w:val="superscript"/>
          <w:lang w:eastAsia="en-AU"/>
        </w:rPr>
        <w:footnoteReference w:id="10"/>
      </w:r>
      <w:r w:rsidR="00384400" w:rsidRPr="006A4E6D">
        <w:rPr>
          <w:rFonts w:ascii="Calibri" w:eastAsia="Times New Roman" w:hAnsi="Calibri"/>
          <w:color w:val="auto"/>
          <w:sz w:val="22"/>
          <w:szCs w:val="20"/>
          <w:lang w:eastAsia="en-AU"/>
        </w:rPr>
        <w:t xml:space="preserve"> The purpose of th</w:t>
      </w:r>
      <w:r w:rsidR="00384400">
        <w:rPr>
          <w:rFonts w:ascii="Calibri" w:eastAsia="Times New Roman" w:hAnsi="Calibri"/>
          <w:color w:val="auto"/>
          <w:sz w:val="22"/>
          <w:szCs w:val="20"/>
          <w:lang w:eastAsia="en-AU"/>
        </w:rPr>
        <w:t>e</w:t>
      </w:r>
      <w:r w:rsidR="00384400" w:rsidRPr="006A4E6D">
        <w:rPr>
          <w:rFonts w:ascii="Calibri" w:eastAsia="Times New Roman" w:hAnsi="Calibri"/>
          <w:color w:val="auto"/>
          <w:sz w:val="22"/>
          <w:szCs w:val="20"/>
          <w:lang w:eastAsia="en-AU"/>
        </w:rPr>
        <w:t xml:space="preserve"> review</w:t>
      </w:r>
      <w:r w:rsidR="00B13DE3">
        <w:rPr>
          <w:rFonts w:ascii="Calibri" w:eastAsia="Times New Roman" w:hAnsi="Calibri"/>
          <w:color w:val="auto"/>
          <w:sz w:val="22"/>
          <w:szCs w:val="20"/>
          <w:lang w:eastAsia="en-AU"/>
        </w:rPr>
        <w:t xml:space="preserve"> was</w:t>
      </w:r>
      <w:r w:rsidR="00CE0D6D">
        <w:rPr>
          <w:rFonts w:ascii="Calibri" w:eastAsia="Times New Roman" w:hAnsi="Calibri"/>
          <w:color w:val="auto"/>
          <w:sz w:val="22"/>
          <w:szCs w:val="20"/>
          <w:lang w:eastAsia="en-AU"/>
        </w:rPr>
        <w:t xml:space="preserve"> </w:t>
      </w:r>
      <w:r w:rsidR="00BD37F9">
        <w:rPr>
          <w:rFonts w:ascii="Calibri" w:eastAsia="Times New Roman" w:hAnsi="Calibri"/>
          <w:color w:val="auto"/>
          <w:sz w:val="22"/>
          <w:szCs w:val="20"/>
          <w:lang w:eastAsia="en-AU"/>
        </w:rPr>
        <w:t>to</w:t>
      </w:r>
      <w:r w:rsidR="00CE0D6D">
        <w:rPr>
          <w:rFonts w:ascii="Calibri" w:eastAsia="Times New Roman" w:hAnsi="Calibri"/>
          <w:color w:val="auto"/>
          <w:sz w:val="22"/>
          <w:szCs w:val="20"/>
          <w:lang w:eastAsia="en-AU"/>
        </w:rPr>
        <w:t xml:space="preserve"> un</w:t>
      </w:r>
      <w:r w:rsidR="00384400" w:rsidRPr="006A4E6D">
        <w:rPr>
          <w:rFonts w:ascii="Calibri" w:eastAsia="Times New Roman" w:hAnsi="Calibri"/>
          <w:color w:val="auto"/>
          <w:sz w:val="22"/>
          <w:szCs w:val="20"/>
          <w:lang w:eastAsia="en-AU"/>
        </w:rPr>
        <w:t xml:space="preserve">derstand the information that consumers </w:t>
      </w:r>
      <w:r w:rsidR="006938A8">
        <w:rPr>
          <w:rFonts w:ascii="Calibri" w:eastAsia="Times New Roman" w:hAnsi="Calibri"/>
          <w:color w:val="auto"/>
          <w:sz w:val="22"/>
          <w:szCs w:val="20"/>
          <w:lang w:eastAsia="en-AU"/>
        </w:rPr>
        <w:t>receive</w:t>
      </w:r>
      <w:r w:rsidR="00384400" w:rsidRPr="006A4E6D">
        <w:rPr>
          <w:rFonts w:ascii="Calibri" w:eastAsia="Times New Roman" w:hAnsi="Calibri"/>
          <w:color w:val="auto"/>
          <w:sz w:val="22"/>
          <w:szCs w:val="20"/>
          <w:lang w:eastAsia="en-AU"/>
        </w:rPr>
        <w:t xml:space="preserve"> about home insurance at the point of sale</w:t>
      </w:r>
      <w:r w:rsidR="00CE0D6D">
        <w:rPr>
          <w:rFonts w:ascii="Calibri" w:eastAsia="Times New Roman" w:hAnsi="Calibri"/>
          <w:color w:val="auto"/>
          <w:sz w:val="22"/>
          <w:szCs w:val="20"/>
          <w:lang w:eastAsia="en-AU"/>
        </w:rPr>
        <w:t xml:space="preserve"> </w:t>
      </w:r>
      <w:r w:rsidR="0091629F">
        <w:rPr>
          <w:rFonts w:ascii="Calibri" w:eastAsia="Times New Roman" w:hAnsi="Calibri"/>
          <w:color w:val="auto"/>
          <w:sz w:val="22"/>
          <w:szCs w:val="20"/>
          <w:lang w:eastAsia="en-AU"/>
        </w:rPr>
        <w:t xml:space="preserve">and </w:t>
      </w:r>
      <w:r w:rsidR="00BD37F9">
        <w:rPr>
          <w:rFonts w:ascii="Calibri" w:eastAsia="Times New Roman" w:hAnsi="Calibri"/>
          <w:color w:val="auto"/>
          <w:sz w:val="22"/>
          <w:szCs w:val="20"/>
          <w:lang w:eastAsia="en-AU"/>
        </w:rPr>
        <w:t>encourage</w:t>
      </w:r>
      <w:r w:rsidR="0091629F">
        <w:rPr>
          <w:rFonts w:ascii="Calibri" w:eastAsia="Times New Roman" w:hAnsi="Calibri"/>
          <w:color w:val="auto"/>
          <w:sz w:val="22"/>
          <w:szCs w:val="20"/>
          <w:lang w:eastAsia="en-AU"/>
        </w:rPr>
        <w:t xml:space="preserve"> insurers to adopt practices that reduce the risk of consumers buying insurance that does not meet their needs</w:t>
      </w:r>
      <w:r w:rsidR="00357F4B">
        <w:rPr>
          <w:rFonts w:ascii="Calibri" w:eastAsia="Times New Roman" w:hAnsi="Calibri"/>
          <w:color w:val="auto"/>
          <w:sz w:val="22"/>
          <w:szCs w:val="20"/>
          <w:lang w:eastAsia="en-AU"/>
        </w:rPr>
        <w:t>,</w:t>
      </w:r>
      <w:r w:rsidR="00BD37F9">
        <w:rPr>
          <w:rFonts w:ascii="Calibri" w:eastAsia="Times New Roman" w:hAnsi="Calibri"/>
          <w:color w:val="auto"/>
          <w:sz w:val="22"/>
          <w:szCs w:val="20"/>
          <w:lang w:eastAsia="en-AU"/>
        </w:rPr>
        <w:t xml:space="preserve"> through examining consumers’ experiences when inquiring about or purchasing home insurance</w:t>
      </w:r>
      <w:r w:rsidR="002D2B49">
        <w:rPr>
          <w:rFonts w:ascii="Calibri" w:eastAsia="Times New Roman" w:hAnsi="Calibri"/>
          <w:color w:val="auto"/>
          <w:sz w:val="22"/>
          <w:szCs w:val="20"/>
          <w:lang w:eastAsia="en-AU"/>
        </w:rPr>
        <w:t>.</w:t>
      </w:r>
    </w:p>
    <w:p w14:paraId="1792C1DD" w14:textId="77777777" w:rsidR="0021769D" w:rsidRPr="006A4E6D" w:rsidRDefault="00AE21E2" w:rsidP="00F548D8">
      <w:pPr>
        <w:pStyle w:val="Default"/>
        <w:spacing w:before="120" w:after="120"/>
        <w:rPr>
          <w:rFonts w:ascii="Calibri" w:eastAsia="Times New Roman" w:hAnsi="Calibri"/>
          <w:color w:val="auto"/>
          <w:sz w:val="22"/>
          <w:szCs w:val="20"/>
          <w:lang w:eastAsia="en-AU"/>
        </w:rPr>
      </w:pPr>
      <w:r>
        <w:rPr>
          <w:rFonts w:ascii="Calibri" w:eastAsia="Times New Roman" w:hAnsi="Calibri"/>
          <w:color w:val="auto"/>
          <w:sz w:val="22"/>
          <w:szCs w:val="20"/>
          <w:lang w:eastAsia="en-AU"/>
        </w:rPr>
        <w:t xml:space="preserve">The review found that the sales processes are generally designed around insurers’ need to understand certain risk or underwriting criteria about consumers so that they can sell home insurance quickly and efficiently to a consumer, rather than </w:t>
      </w:r>
      <w:r w:rsidR="00E13517">
        <w:rPr>
          <w:rFonts w:ascii="Calibri" w:eastAsia="Times New Roman" w:hAnsi="Calibri"/>
          <w:color w:val="auto"/>
          <w:sz w:val="22"/>
          <w:szCs w:val="20"/>
          <w:lang w:eastAsia="en-AU"/>
        </w:rPr>
        <w:t>improving</w:t>
      </w:r>
      <w:r>
        <w:rPr>
          <w:rFonts w:ascii="Calibri" w:eastAsia="Times New Roman" w:hAnsi="Calibri"/>
          <w:color w:val="auto"/>
          <w:sz w:val="22"/>
          <w:szCs w:val="20"/>
          <w:lang w:eastAsia="en-AU"/>
        </w:rPr>
        <w:t xml:space="preserve"> a consumer’s understanding of the home insurance they are inquiring about. Insurers see that as the role of the PDS and other important documents, such as the certificate of insurance.</w:t>
      </w:r>
    </w:p>
    <w:p w14:paraId="7423FAAC" w14:textId="77777777" w:rsidR="00E17EDD" w:rsidRDefault="00F9525D" w:rsidP="00F548D8">
      <w:pPr>
        <w:pStyle w:val="Default"/>
        <w:spacing w:before="120" w:after="120"/>
        <w:rPr>
          <w:rFonts w:ascii="Calibri" w:eastAsia="Times New Roman" w:hAnsi="Calibri"/>
          <w:color w:val="auto"/>
          <w:sz w:val="22"/>
          <w:szCs w:val="20"/>
          <w:lang w:eastAsia="en-AU"/>
        </w:rPr>
      </w:pPr>
      <w:r>
        <w:rPr>
          <w:rFonts w:ascii="Calibri" w:eastAsia="Times New Roman" w:hAnsi="Calibri"/>
          <w:color w:val="auto"/>
          <w:sz w:val="22"/>
          <w:szCs w:val="20"/>
          <w:lang w:eastAsia="en-AU"/>
        </w:rPr>
        <w:t>Around</w:t>
      </w:r>
      <w:r w:rsidRPr="006A4E6D">
        <w:rPr>
          <w:rFonts w:ascii="Calibri" w:eastAsia="Times New Roman" w:hAnsi="Calibri"/>
          <w:color w:val="auto"/>
          <w:sz w:val="22"/>
          <w:szCs w:val="20"/>
          <w:lang w:eastAsia="en-AU"/>
        </w:rPr>
        <w:t xml:space="preserve"> the same time</w:t>
      </w:r>
      <w:r w:rsidR="00B03E25">
        <w:rPr>
          <w:rFonts w:ascii="Calibri" w:eastAsia="Times New Roman" w:hAnsi="Calibri"/>
          <w:color w:val="auto"/>
          <w:sz w:val="22"/>
          <w:szCs w:val="20"/>
          <w:lang w:eastAsia="en-AU"/>
        </w:rPr>
        <w:t xml:space="preserve"> </w:t>
      </w:r>
      <w:r w:rsidR="00DD68C2">
        <w:rPr>
          <w:rFonts w:ascii="Calibri" w:eastAsia="Times New Roman" w:hAnsi="Calibri"/>
          <w:color w:val="auto"/>
          <w:sz w:val="22"/>
          <w:szCs w:val="20"/>
          <w:lang w:eastAsia="en-AU"/>
        </w:rPr>
        <w:t>of</w:t>
      </w:r>
      <w:r w:rsidR="00B03E25">
        <w:rPr>
          <w:rFonts w:ascii="Calibri" w:eastAsia="Times New Roman" w:hAnsi="Calibri"/>
          <w:color w:val="auto"/>
          <w:sz w:val="22"/>
          <w:szCs w:val="20"/>
          <w:lang w:eastAsia="en-AU"/>
        </w:rPr>
        <w:t xml:space="preserve"> th</w:t>
      </w:r>
      <w:r w:rsidR="00DD68C2">
        <w:rPr>
          <w:rFonts w:ascii="Calibri" w:eastAsia="Times New Roman" w:hAnsi="Calibri"/>
          <w:color w:val="auto"/>
          <w:sz w:val="22"/>
          <w:szCs w:val="20"/>
          <w:lang w:eastAsia="en-AU"/>
        </w:rPr>
        <w:t>is</w:t>
      </w:r>
      <w:r w:rsidR="00B03E25">
        <w:rPr>
          <w:rFonts w:ascii="Calibri" w:eastAsia="Times New Roman" w:hAnsi="Calibri"/>
          <w:color w:val="auto"/>
          <w:sz w:val="22"/>
          <w:szCs w:val="20"/>
          <w:lang w:eastAsia="en-AU"/>
        </w:rPr>
        <w:t xml:space="preserve"> review</w:t>
      </w:r>
      <w:r w:rsidRPr="006A4E6D">
        <w:rPr>
          <w:rFonts w:ascii="Calibri" w:eastAsia="Times New Roman" w:hAnsi="Calibri"/>
          <w:color w:val="auto"/>
          <w:sz w:val="22"/>
          <w:szCs w:val="20"/>
          <w:lang w:eastAsia="en-AU"/>
        </w:rPr>
        <w:t>, ASIC commissioned consumer research into consumer behaviour when purchasing insurance</w:t>
      </w:r>
      <w:r w:rsidR="009A2114">
        <w:rPr>
          <w:rFonts w:ascii="Calibri" w:eastAsia="Times New Roman" w:hAnsi="Calibri"/>
          <w:color w:val="auto"/>
          <w:sz w:val="22"/>
          <w:szCs w:val="20"/>
          <w:lang w:eastAsia="en-AU"/>
        </w:rPr>
        <w:t>.</w:t>
      </w:r>
      <w:r w:rsidR="00D42D76">
        <w:rPr>
          <w:rStyle w:val="FootnoteReference"/>
          <w:rFonts w:eastAsia="Times New Roman"/>
          <w:color w:val="auto"/>
          <w:szCs w:val="20"/>
          <w:lang w:eastAsia="en-AU"/>
        </w:rPr>
        <w:footnoteReference w:id="11"/>
      </w:r>
      <w:r w:rsidR="002D2B49" w:rsidRPr="002D2B49">
        <w:t xml:space="preserve"> </w:t>
      </w:r>
      <w:r w:rsidR="009A2114">
        <w:rPr>
          <w:rFonts w:ascii="Calibri" w:eastAsia="Times New Roman" w:hAnsi="Calibri"/>
          <w:color w:val="auto"/>
          <w:sz w:val="22"/>
          <w:szCs w:val="20"/>
          <w:lang w:eastAsia="en-AU"/>
        </w:rPr>
        <w:t>T</w:t>
      </w:r>
      <w:r w:rsidR="00B31E21">
        <w:rPr>
          <w:rFonts w:ascii="Calibri" w:eastAsia="Times New Roman" w:hAnsi="Calibri"/>
          <w:color w:val="auto"/>
          <w:sz w:val="22"/>
          <w:szCs w:val="20"/>
          <w:lang w:eastAsia="en-AU"/>
        </w:rPr>
        <w:t>he re</w:t>
      </w:r>
      <w:r w:rsidR="00DD32C6">
        <w:rPr>
          <w:rFonts w:ascii="Calibri" w:eastAsia="Times New Roman" w:hAnsi="Calibri"/>
          <w:color w:val="auto"/>
          <w:sz w:val="22"/>
          <w:szCs w:val="20"/>
          <w:lang w:eastAsia="en-AU"/>
        </w:rPr>
        <w:t>search</w:t>
      </w:r>
      <w:r w:rsidR="00B31E21">
        <w:rPr>
          <w:rFonts w:ascii="Calibri" w:eastAsia="Times New Roman" w:hAnsi="Calibri"/>
          <w:color w:val="auto"/>
          <w:sz w:val="22"/>
          <w:szCs w:val="20"/>
          <w:lang w:eastAsia="en-AU"/>
        </w:rPr>
        <w:t xml:space="preserve"> </w:t>
      </w:r>
      <w:r w:rsidR="00010C13">
        <w:rPr>
          <w:rFonts w:ascii="Calibri" w:eastAsia="Times New Roman" w:hAnsi="Calibri"/>
          <w:color w:val="auto"/>
          <w:sz w:val="22"/>
          <w:szCs w:val="20"/>
          <w:lang w:eastAsia="en-AU"/>
        </w:rPr>
        <w:t xml:space="preserve">noted the </w:t>
      </w:r>
      <w:r w:rsidR="0021769D" w:rsidRPr="006A4E6D">
        <w:rPr>
          <w:rFonts w:ascii="Calibri" w:eastAsia="Times New Roman" w:hAnsi="Calibri"/>
          <w:color w:val="auto"/>
          <w:sz w:val="22"/>
          <w:szCs w:val="20"/>
          <w:lang w:eastAsia="en-AU"/>
        </w:rPr>
        <w:t xml:space="preserve">findings of an online survey which asked consumers if they read or looked at the PDS when buying home building insurance. </w:t>
      </w:r>
      <w:r w:rsidR="00876632" w:rsidRPr="006A4E6D">
        <w:rPr>
          <w:rFonts w:ascii="Calibri" w:eastAsia="Times New Roman" w:hAnsi="Calibri"/>
          <w:color w:val="auto"/>
          <w:sz w:val="22"/>
          <w:szCs w:val="20"/>
          <w:lang w:eastAsia="en-AU"/>
        </w:rPr>
        <w:t>Th</w:t>
      </w:r>
      <w:r w:rsidR="00876632">
        <w:rPr>
          <w:rFonts w:ascii="Calibri" w:eastAsia="Times New Roman" w:hAnsi="Calibri"/>
          <w:color w:val="auto"/>
          <w:sz w:val="22"/>
          <w:szCs w:val="20"/>
          <w:lang w:eastAsia="en-AU"/>
        </w:rPr>
        <w:t xml:space="preserve">e </w:t>
      </w:r>
      <w:r w:rsidR="00876632" w:rsidRPr="006A4E6D">
        <w:rPr>
          <w:rFonts w:ascii="Calibri" w:eastAsia="Times New Roman" w:hAnsi="Calibri"/>
          <w:color w:val="auto"/>
          <w:sz w:val="22"/>
          <w:szCs w:val="20"/>
          <w:lang w:eastAsia="en-AU"/>
        </w:rPr>
        <w:t xml:space="preserve">survey found that two in every </w:t>
      </w:r>
      <w:r w:rsidR="00876632">
        <w:rPr>
          <w:rFonts w:ascii="Calibri" w:eastAsia="Times New Roman" w:hAnsi="Calibri"/>
          <w:color w:val="auto"/>
          <w:sz w:val="22"/>
          <w:szCs w:val="20"/>
          <w:lang w:eastAsia="en-AU"/>
        </w:rPr>
        <w:t>ten</w:t>
      </w:r>
      <w:r w:rsidR="00876632" w:rsidRPr="006A4E6D">
        <w:rPr>
          <w:rFonts w:ascii="Calibri" w:eastAsia="Times New Roman" w:hAnsi="Calibri"/>
          <w:color w:val="auto"/>
          <w:sz w:val="22"/>
          <w:szCs w:val="20"/>
          <w:lang w:eastAsia="en-AU"/>
        </w:rPr>
        <w:t xml:space="preserve"> consumers who took out new insurance or considered switching read the PDS. However</w:t>
      </w:r>
      <w:r w:rsidR="00876632">
        <w:rPr>
          <w:rFonts w:ascii="Calibri" w:eastAsia="Times New Roman" w:hAnsi="Calibri"/>
          <w:color w:val="auto"/>
          <w:sz w:val="22"/>
          <w:szCs w:val="20"/>
          <w:lang w:eastAsia="en-AU"/>
        </w:rPr>
        <w:t>,</w:t>
      </w:r>
      <w:r w:rsidR="00876632" w:rsidRPr="006A4E6D">
        <w:rPr>
          <w:rFonts w:ascii="Calibri" w:eastAsia="Times New Roman" w:hAnsi="Calibri"/>
          <w:color w:val="auto"/>
          <w:sz w:val="22"/>
          <w:szCs w:val="20"/>
          <w:lang w:eastAsia="en-AU"/>
        </w:rPr>
        <w:t xml:space="preserve"> the qualitative research undertaken as part of </w:t>
      </w:r>
      <w:r w:rsidR="00876632">
        <w:rPr>
          <w:rFonts w:ascii="Calibri" w:eastAsia="Times New Roman" w:hAnsi="Calibri"/>
          <w:color w:val="auto"/>
          <w:sz w:val="22"/>
          <w:szCs w:val="20"/>
          <w:lang w:eastAsia="en-AU"/>
        </w:rPr>
        <w:t>the</w:t>
      </w:r>
      <w:r w:rsidR="00A433F8">
        <w:rPr>
          <w:rFonts w:ascii="Calibri" w:eastAsia="Times New Roman" w:hAnsi="Calibri"/>
          <w:color w:val="auto"/>
          <w:sz w:val="22"/>
          <w:szCs w:val="20"/>
          <w:lang w:eastAsia="en-AU"/>
        </w:rPr>
        <w:t xml:space="preserve"> review</w:t>
      </w:r>
      <w:r w:rsidR="00876632" w:rsidRPr="006A4E6D">
        <w:rPr>
          <w:rFonts w:ascii="Calibri" w:eastAsia="Times New Roman" w:hAnsi="Calibri"/>
          <w:color w:val="auto"/>
          <w:sz w:val="22"/>
          <w:szCs w:val="20"/>
          <w:lang w:eastAsia="en-AU"/>
        </w:rPr>
        <w:t xml:space="preserve"> found that ‘reading’ the PDS generally meant reading selected pages, not all of it. </w:t>
      </w:r>
      <w:r w:rsidR="00E17EDD">
        <w:rPr>
          <w:rFonts w:ascii="Calibri" w:eastAsia="Times New Roman" w:hAnsi="Calibri"/>
          <w:color w:val="auto"/>
          <w:sz w:val="22"/>
          <w:szCs w:val="20"/>
          <w:lang w:eastAsia="en-AU"/>
        </w:rPr>
        <w:t xml:space="preserve">The other key findings of the </w:t>
      </w:r>
      <w:r w:rsidR="003B6D3E">
        <w:rPr>
          <w:rFonts w:ascii="Calibri" w:eastAsia="Times New Roman" w:hAnsi="Calibri"/>
          <w:color w:val="auto"/>
          <w:sz w:val="22"/>
          <w:szCs w:val="20"/>
          <w:lang w:eastAsia="en-AU"/>
        </w:rPr>
        <w:t>consumer</w:t>
      </w:r>
      <w:r w:rsidR="00E17EDD">
        <w:rPr>
          <w:rFonts w:ascii="Calibri" w:eastAsia="Times New Roman" w:hAnsi="Calibri"/>
          <w:color w:val="auto"/>
          <w:sz w:val="22"/>
          <w:szCs w:val="20"/>
          <w:lang w:eastAsia="en-AU"/>
        </w:rPr>
        <w:t xml:space="preserve"> research include that, despite the disclosure provided:</w:t>
      </w:r>
    </w:p>
    <w:p w14:paraId="23548BF3" w14:textId="77777777" w:rsidR="00E17EDD" w:rsidRDefault="00E17EDD" w:rsidP="00E17EDD">
      <w:pPr>
        <w:pStyle w:val="Bullet"/>
      </w:pPr>
      <w:r>
        <w:t xml:space="preserve">In general, consumers knew very little about the details of their home insurance policy. </w:t>
      </w:r>
    </w:p>
    <w:p w14:paraId="7D89BFAB" w14:textId="77777777" w:rsidR="00A264A2" w:rsidRDefault="00A264A2" w:rsidP="00E17EDD">
      <w:pPr>
        <w:pStyle w:val="Bullet"/>
      </w:pPr>
      <w:r>
        <w:t xml:space="preserve">When the search process gets complex, </w:t>
      </w:r>
      <w:r w:rsidR="00357F4B">
        <w:t xml:space="preserve">for example </w:t>
      </w:r>
      <w:r>
        <w:t xml:space="preserve">because of the number of options to </w:t>
      </w:r>
      <w:r w:rsidR="005604A0">
        <w:t>compare,</w:t>
      </w:r>
      <w:r>
        <w:t xml:space="preserve"> consumers will make the decision in a way that placed the least load on their cognitive and time resources.</w:t>
      </w:r>
    </w:p>
    <w:p w14:paraId="288AED85" w14:textId="77777777" w:rsidR="009B4BF3" w:rsidRPr="00F548D8" w:rsidRDefault="002D2B49" w:rsidP="009B4BF3">
      <w:pPr>
        <w:pStyle w:val="Bullet"/>
        <w:rPr>
          <w:rFonts w:asciiTheme="minorHAnsi" w:hAnsiTheme="minorHAnsi"/>
        </w:rPr>
      </w:pPr>
      <w:r>
        <w:t>Consumers had d</w:t>
      </w:r>
      <w:r w:rsidR="00842F35">
        <w:t xml:space="preserve">ifficulty in accurately assessing </w:t>
      </w:r>
      <w:r>
        <w:t>risks</w:t>
      </w:r>
      <w:r w:rsidR="00842F35">
        <w:t xml:space="preserve"> that may apply to them</w:t>
      </w:r>
      <w:r>
        <w:t>.</w:t>
      </w:r>
      <w:r w:rsidR="00D42D76">
        <w:rPr>
          <w:rStyle w:val="FootnoteReference"/>
        </w:rPr>
        <w:footnoteReference w:id="12"/>
      </w:r>
      <w:r w:rsidR="009B4BF3">
        <w:t xml:space="preserve"> </w:t>
      </w:r>
    </w:p>
    <w:p w14:paraId="74C6DE75" w14:textId="77777777" w:rsidR="00670481" w:rsidRDefault="00111CAA" w:rsidP="004F3B65">
      <w:pPr>
        <w:pStyle w:val="Default"/>
        <w:spacing w:before="120"/>
        <w:rPr>
          <w:rFonts w:ascii="Calibri" w:eastAsia="Times New Roman" w:hAnsi="Calibri"/>
          <w:color w:val="auto"/>
          <w:sz w:val="22"/>
          <w:szCs w:val="20"/>
          <w:lang w:eastAsia="en-AU"/>
        </w:rPr>
      </w:pPr>
      <w:r w:rsidRPr="006A4E6D">
        <w:rPr>
          <w:rFonts w:ascii="Calibri" w:eastAsia="Times New Roman" w:hAnsi="Calibri"/>
          <w:color w:val="auto"/>
          <w:sz w:val="22"/>
          <w:szCs w:val="20"/>
          <w:lang w:eastAsia="en-AU"/>
        </w:rPr>
        <w:t>ASIC</w:t>
      </w:r>
      <w:r w:rsidR="00841F85">
        <w:rPr>
          <w:rFonts w:ascii="Calibri" w:eastAsia="Times New Roman" w:hAnsi="Calibri"/>
          <w:color w:val="auto"/>
          <w:sz w:val="22"/>
          <w:szCs w:val="20"/>
          <w:lang w:eastAsia="en-AU"/>
        </w:rPr>
        <w:t>’s research also</w:t>
      </w:r>
      <w:r w:rsidRPr="006A4E6D">
        <w:rPr>
          <w:rFonts w:ascii="Calibri" w:eastAsia="Times New Roman" w:hAnsi="Calibri"/>
          <w:color w:val="auto"/>
          <w:sz w:val="22"/>
          <w:szCs w:val="20"/>
          <w:lang w:eastAsia="en-AU"/>
        </w:rPr>
        <w:t xml:space="preserve"> highlight</w:t>
      </w:r>
      <w:r w:rsidR="00C76782">
        <w:rPr>
          <w:rFonts w:ascii="Calibri" w:eastAsia="Times New Roman" w:hAnsi="Calibri"/>
          <w:color w:val="auto"/>
          <w:sz w:val="22"/>
          <w:szCs w:val="20"/>
          <w:lang w:eastAsia="en-AU"/>
        </w:rPr>
        <w:t>ed</w:t>
      </w:r>
      <w:r w:rsidR="00841F85">
        <w:rPr>
          <w:rFonts w:ascii="Calibri" w:eastAsia="Times New Roman" w:hAnsi="Calibri"/>
          <w:color w:val="auto"/>
          <w:sz w:val="22"/>
          <w:szCs w:val="20"/>
          <w:lang w:eastAsia="en-AU"/>
        </w:rPr>
        <w:t xml:space="preserve"> </w:t>
      </w:r>
      <w:r w:rsidR="008F60A5">
        <w:rPr>
          <w:rFonts w:ascii="Calibri" w:eastAsia="Times New Roman" w:hAnsi="Calibri"/>
          <w:color w:val="auto"/>
          <w:sz w:val="22"/>
          <w:szCs w:val="20"/>
          <w:lang w:eastAsia="en-AU"/>
        </w:rPr>
        <w:t xml:space="preserve">the </w:t>
      </w:r>
      <w:r w:rsidRPr="006A4E6D">
        <w:rPr>
          <w:rFonts w:ascii="Calibri" w:eastAsia="Times New Roman" w:hAnsi="Calibri"/>
          <w:color w:val="auto"/>
          <w:sz w:val="22"/>
          <w:szCs w:val="20"/>
          <w:lang w:eastAsia="en-AU"/>
        </w:rPr>
        <w:t xml:space="preserve">limitations </w:t>
      </w:r>
      <w:r w:rsidR="0020512F">
        <w:rPr>
          <w:rFonts w:ascii="Calibri" w:eastAsia="Times New Roman" w:hAnsi="Calibri"/>
          <w:color w:val="auto"/>
          <w:sz w:val="22"/>
          <w:szCs w:val="20"/>
          <w:lang w:eastAsia="en-AU"/>
        </w:rPr>
        <w:t>of</w:t>
      </w:r>
      <w:r w:rsidR="0020512F" w:rsidRPr="006A4E6D">
        <w:rPr>
          <w:rFonts w:ascii="Calibri" w:eastAsia="Times New Roman" w:hAnsi="Calibri"/>
          <w:color w:val="auto"/>
          <w:sz w:val="22"/>
          <w:szCs w:val="20"/>
          <w:lang w:eastAsia="en-AU"/>
        </w:rPr>
        <w:t xml:space="preserve"> </w:t>
      </w:r>
      <w:r w:rsidRPr="006A4E6D">
        <w:rPr>
          <w:rFonts w:ascii="Calibri" w:eastAsia="Times New Roman" w:hAnsi="Calibri"/>
          <w:color w:val="auto"/>
          <w:sz w:val="22"/>
          <w:szCs w:val="20"/>
          <w:lang w:eastAsia="en-AU"/>
        </w:rPr>
        <w:t>disclosure.</w:t>
      </w:r>
      <w:r w:rsidR="00F01683" w:rsidRPr="00C27E3F">
        <w:rPr>
          <w:rFonts w:asciiTheme="minorHAnsi" w:eastAsia="Times New Roman" w:hAnsiTheme="minorHAnsi"/>
          <w:color w:val="auto"/>
          <w:sz w:val="20"/>
          <w:szCs w:val="20"/>
          <w:vertAlign w:val="superscript"/>
          <w:lang w:eastAsia="en-AU"/>
        </w:rPr>
        <w:footnoteReference w:id="13"/>
      </w:r>
      <w:r w:rsidR="00F01683" w:rsidRPr="00B37B58">
        <w:rPr>
          <w:rFonts w:ascii="Calibri" w:eastAsia="Times New Roman" w:hAnsi="Calibri"/>
          <w:color w:val="auto"/>
          <w:sz w:val="22"/>
          <w:szCs w:val="20"/>
          <w:vertAlign w:val="superscript"/>
          <w:lang w:eastAsia="en-AU"/>
        </w:rPr>
        <w:t xml:space="preserve"> </w:t>
      </w:r>
      <w:r w:rsidRPr="006A4E6D">
        <w:rPr>
          <w:rFonts w:ascii="Calibri" w:eastAsia="Times New Roman" w:hAnsi="Calibri"/>
          <w:color w:val="auto"/>
          <w:sz w:val="22"/>
          <w:szCs w:val="20"/>
          <w:lang w:eastAsia="en-AU"/>
        </w:rPr>
        <w:t>The rationale for relying on disclosure to protect and empower consumers assumes that consumers are rational decision makers who, when given information about a financial product, will be able to read it and</w:t>
      </w:r>
      <w:r w:rsidR="00357F4B">
        <w:rPr>
          <w:rFonts w:ascii="Calibri" w:eastAsia="Times New Roman" w:hAnsi="Calibri"/>
          <w:color w:val="auto"/>
          <w:sz w:val="22"/>
          <w:szCs w:val="20"/>
          <w:lang w:eastAsia="en-AU"/>
        </w:rPr>
        <w:t>,</w:t>
      </w:r>
      <w:r w:rsidRPr="006A4E6D">
        <w:rPr>
          <w:rFonts w:ascii="Calibri" w:eastAsia="Times New Roman" w:hAnsi="Calibri"/>
          <w:color w:val="auto"/>
          <w:sz w:val="22"/>
          <w:szCs w:val="20"/>
          <w:lang w:eastAsia="en-AU"/>
        </w:rPr>
        <w:t xml:space="preserve"> as a result of doing so, understand the product.</w:t>
      </w:r>
      <w:r w:rsidR="00E45A55">
        <w:rPr>
          <w:rFonts w:ascii="Calibri" w:eastAsia="Times New Roman" w:hAnsi="Calibri"/>
          <w:color w:val="auto"/>
          <w:sz w:val="22"/>
          <w:szCs w:val="20"/>
          <w:lang w:eastAsia="en-AU"/>
        </w:rPr>
        <w:t xml:space="preserve"> </w:t>
      </w:r>
      <w:r w:rsidR="00C27E3F">
        <w:rPr>
          <w:rFonts w:ascii="Calibri" w:eastAsia="Times New Roman" w:hAnsi="Calibri"/>
          <w:color w:val="auto"/>
          <w:sz w:val="22"/>
          <w:szCs w:val="20"/>
          <w:lang w:eastAsia="en-AU"/>
        </w:rPr>
        <w:t xml:space="preserve"> </w:t>
      </w:r>
    </w:p>
    <w:p w14:paraId="0C5111DD" w14:textId="77777777" w:rsidR="0021612F" w:rsidRPr="006A4E6D" w:rsidRDefault="002B2EB3" w:rsidP="004F3B65">
      <w:pPr>
        <w:pStyle w:val="Default"/>
        <w:spacing w:before="120"/>
        <w:rPr>
          <w:rFonts w:ascii="Calibri" w:eastAsia="Times New Roman" w:hAnsi="Calibri"/>
          <w:color w:val="auto"/>
          <w:sz w:val="22"/>
          <w:szCs w:val="20"/>
          <w:lang w:eastAsia="en-AU"/>
        </w:rPr>
      </w:pPr>
      <w:r>
        <w:rPr>
          <w:rFonts w:ascii="Calibri" w:eastAsia="Times New Roman" w:hAnsi="Calibri"/>
          <w:color w:val="auto"/>
          <w:sz w:val="22"/>
          <w:szCs w:val="20"/>
          <w:lang w:eastAsia="en-AU"/>
        </w:rPr>
        <w:t xml:space="preserve">In </w:t>
      </w:r>
      <w:r w:rsidR="00D31CB8">
        <w:rPr>
          <w:rFonts w:ascii="Calibri" w:eastAsia="Times New Roman" w:hAnsi="Calibri"/>
          <w:color w:val="auto"/>
          <w:sz w:val="22"/>
          <w:szCs w:val="20"/>
          <w:lang w:eastAsia="en-AU"/>
        </w:rPr>
        <w:t>it</w:t>
      </w:r>
      <w:r>
        <w:rPr>
          <w:rFonts w:ascii="Calibri" w:eastAsia="Times New Roman" w:hAnsi="Calibri"/>
          <w:color w:val="auto"/>
          <w:sz w:val="22"/>
          <w:szCs w:val="20"/>
          <w:lang w:eastAsia="en-AU"/>
        </w:rPr>
        <w:t>s submission to</w:t>
      </w:r>
      <w:r w:rsidR="00552622">
        <w:rPr>
          <w:rFonts w:ascii="Calibri" w:eastAsia="Times New Roman" w:hAnsi="Calibri"/>
          <w:color w:val="auto"/>
          <w:sz w:val="22"/>
          <w:szCs w:val="20"/>
          <w:lang w:eastAsia="en-AU"/>
        </w:rPr>
        <w:t xml:space="preserve"> the FSI</w:t>
      </w:r>
      <w:r>
        <w:rPr>
          <w:rFonts w:ascii="Calibri" w:eastAsia="Times New Roman" w:hAnsi="Calibri"/>
          <w:color w:val="auto"/>
          <w:sz w:val="22"/>
          <w:szCs w:val="20"/>
          <w:lang w:eastAsia="en-AU"/>
        </w:rPr>
        <w:t>, ASIC noted</w:t>
      </w:r>
      <w:r w:rsidR="00552622">
        <w:rPr>
          <w:rFonts w:ascii="Calibri" w:eastAsia="Times New Roman" w:hAnsi="Calibri"/>
          <w:color w:val="auto"/>
          <w:sz w:val="22"/>
          <w:szCs w:val="20"/>
          <w:lang w:eastAsia="en-AU"/>
        </w:rPr>
        <w:t xml:space="preserve"> </w:t>
      </w:r>
      <w:r>
        <w:rPr>
          <w:rFonts w:ascii="Calibri" w:eastAsia="Times New Roman" w:hAnsi="Calibri"/>
          <w:color w:val="auto"/>
          <w:sz w:val="22"/>
          <w:szCs w:val="20"/>
          <w:lang w:eastAsia="en-AU"/>
        </w:rPr>
        <w:t xml:space="preserve">that while disclosure is necessary for arming consumers with key information to guide decision making, certain limitations mean that it is not sufficient for this task. Also, a person’s knowledge, experience and </w:t>
      </w:r>
      <w:r w:rsidR="005925E7">
        <w:rPr>
          <w:rFonts w:ascii="Calibri" w:eastAsia="Times New Roman" w:hAnsi="Calibri"/>
          <w:color w:val="auto"/>
          <w:sz w:val="22"/>
          <w:szCs w:val="20"/>
          <w:lang w:eastAsia="en-AU"/>
        </w:rPr>
        <w:t>cognitive biases will affect exactly how they use that disclosure</w:t>
      </w:r>
      <w:r w:rsidR="00002E5D">
        <w:rPr>
          <w:rFonts w:ascii="Calibri" w:eastAsia="Times New Roman" w:hAnsi="Calibri"/>
          <w:color w:val="auto"/>
          <w:sz w:val="22"/>
          <w:szCs w:val="20"/>
          <w:lang w:eastAsia="en-AU"/>
        </w:rPr>
        <w:t xml:space="preserve"> </w:t>
      </w:r>
      <w:r w:rsidR="00670FBE">
        <w:rPr>
          <w:rFonts w:ascii="Calibri" w:eastAsia="Times New Roman" w:hAnsi="Calibri"/>
          <w:color w:val="auto"/>
          <w:sz w:val="22"/>
          <w:szCs w:val="20"/>
          <w:lang w:eastAsia="en-AU"/>
        </w:rPr>
        <w:t>of information</w:t>
      </w:r>
      <w:r w:rsidR="005925E7">
        <w:rPr>
          <w:rFonts w:ascii="Calibri" w:eastAsia="Times New Roman" w:hAnsi="Calibri"/>
          <w:color w:val="auto"/>
          <w:sz w:val="22"/>
          <w:szCs w:val="20"/>
          <w:lang w:eastAsia="en-AU"/>
        </w:rPr>
        <w:t>.</w:t>
      </w:r>
      <w:r w:rsidR="00AD5016">
        <w:rPr>
          <w:rStyle w:val="FootnoteReference"/>
          <w:rFonts w:eastAsia="Times New Roman"/>
          <w:color w:val="auto"/>
          <w:szCs w:val="20"/>
          <w:lang w:eastAsia="en-AU"/>
        </w:rPr>
        <w:footnoteReference w:id="14"/>
      </w:r>
      <w:r w:rsidR="00730765">
        <w:rPr>
          <w:rFonts w:ascii="Calibri" w:eastAsia="Times New Roman" w:hAnsi="Calibri"/>
          <w:color w:val="auto"/>
          <w:sz w:val="22"/>
          <w:szCs w:val="20"/>
          <w:lang w:eastAsia="en-AU"/>
        </w:rPr>
        <w:t xml:space="preserve"> </w:t>
      </w:r>
    </w:p>
    <w:p w14:paraId="404542E9" w14:textId="77777777" w:rsidR="0074264E" w:rsidRDefault="0074264E" w:rsidP="00281ABA">
      <w:pPr>
        <w:pStyle w:val="Heading2"/>
      </w:pPr>
      <w:bookmarkStart w:id="20" w:name="_Toc528840598"/>
    </w:p>
    <w:p w14:paraId="1D26F938" w14:textId="77777777" w:rsidR="0093057F" w:rsidRPr="00D53F90" w:rsidRDefault="00F05DCE" w:rsidP="00281ABA">
      <w:pPr>
        <w:pStyle w:val="Heading2"/>
      </w:pPr>
      <w:r>
        <w:lastRenderedPageBreak/>
        <w:t>B</w:t>
      </w:r>
      <w:r w:rsidR="0093057F" w:rsidRPr="00D53F90">
        <w:t>ehavioural insights</w:t>
      </w:r>
      <w:bookmarkEnd w:id="20"/>
    </w:p>
    <w:p w14:paraId="7B339A14" w14:textId="3548C5FA" w:rsidR="00106DD7" w:rsidRDefault="00B54942" w:rsidP="00876A4B">
      <w:r>
        <w:t xml:space="preserve">The </w:t>
      </w:r>
      <w:r w:rsidR="007647B2">
        <w:t>U</w:t>
      </w:r>
      <w:r w:rsidR="000E6D37">
        <w:t xml:space="preserve">nited </w:t>
      </w:r>
      <w:r w:rsidR="007647B2">
        <w:t>K</w:t>
      </w:r>
      <w:r w:rsidR="000E6D37">
        <w:t>ingdom</w:t>
      </w:r>
      <w:r w:rsidR="007647B2">
        <w:t xml:space="preserve"> </w:t>
      </w:r>
      <w:r>
        <w:t xml:space="preserve">Financial Conduct Authority </w:t>
      </w:r>
      <w:r w:rsidR="00C554B0">
        <w:t xml:space="preserve">(FCA) </w:t>
      </w:r>
      <w:r>
        <w:t xml:space="preserve">published a paper </w:t>
      </w:r>
      <w:r w:rsidR="00000D7C">
        <w:t>on</w:t>
      </w:r>
      <w:r>
        <w:t xml:space="preserve"> applying behavioural economics </w:t>
      </w:r>
      <w:r w:rsidR="00D6525A">
        <w:t xml:space="preserve">and </w:t>
      </w:r>
      <w:r>
        <w:t>identified information asymmetry is one of the key reasons why financial markets fail and require regulators to intervene. The paper highlighted</w:t>
      </w:r>
      <w:r w:rsidR="00106DD7">
        <w:t xml:space="preserve"> </w:t>
      </w:r>
      <w:r w:rsidR="00FF24FE">
        <w:t xml:space="preserve">that </w:t>
      </w:r>
      <w:r w:rsidR="00834B07">
        <w:t>regulator</w:t>
      </w:r>
      <w:r w:rsidR="006530F2">
        <w:t>y</w:t>
      </w:r>
      <w:r w:rsidR="00834B07">
        <w:t xml:space="preserve"> </w:t>
      </w:r>
      <w:r w:rsidR="00106DD7">
        <w:t xml:space="preserve">interventions to correct </w:t>
      </w:r>
      <w:r w:rsidR="00C554B0">
        <w:t>information</w:t>
      </w:r>
      <w:r w:rsidR="00106DD7">
        <w:t xml:space="preserve"> asymmetry in the presence of biased consumers can introduce the following complications:</w:t>
      </w:r>
    </w:p>
    <w:p w14:paraId="05AAEF13" w14:textId="77777777" w:rsidR="00106DD7" w:rsidRDefault="00982D8F" w:rsidP="00281ABA">
      <w:pPr>
        <w:pStyle w:val="Bullet"/>
      </w:pPr>
      <w:r>
        <w:t xml:space="preserve">When </w:t>
      </w:r>
      <w:r w:rsidR="00106DD7">
        <w:t xml:space="preserve">consumers </w:t>
      </w:r>
      <w:r>
        <w:t>lack</w:t>
      </w:r>
      <w:r w:rsidR="00106DD7">
        <w:t xml:space="preserve"> relevant information</w:t>
      </w:r>
      <w:r>
        <w:t>, it</w:t>
      </w:r>
      <w:r w:rsidR="00106DD7">
        <w:t xml:space="preserve"> may be difficult to establish what the significant cause of the problem is;</w:t>
      </w:r>
    </w:p>
    <w:p w14:paraId="09A25E7C" w14:textId="77777777" w:rsidR="00106DD7" w:rsidRDefault="00106DD7" w:rsidP="00281ABA">
      <w:pPr>
        <w:pStyle w:val="Bullet"/>
      </w:pPr>
      <w:r>
        <w:t>Behavioural bias can render regulatory intervention aimed at addressing information asymmetries ineffective and potentially harmful; and</w:t>
      </w:r>
    </w:p>
    <w:p w14:paraId="350F5F77" w14:textId="77777777" w:rsidR="00E11395" w:rsidRDefault="00106DD7" w:rsidP="00281ABA">
      <w:pPr>
        <w:pStyle w:val="Bullet"/>
      </w:pPr>
      <w:r>
        <w:t>Interventions to address behavioural biases can potential</w:t>
      </w:r>
      <w:r w:rsidR="00C67AB7">
        <w:t>ly</w:t>
      </w:r>
      <w:r>
        <w:t xml:space="preserve"> exacerbate </w:t>
      </w:r>
      <w:r w:rsidR="00C67AB7">
        <w:t xml:space="preserve">the </w:t>
      </w:r>
      <w:r>
        <w:t>information asymmetry problem.</w:t>
      </w:r>
      <w:r>
        <w:rPr>
          <w:rStyle w:val="FootnoteReference"/>
        </w:rPr>
        <w:footnoteReference w:id="15"/>
      </w:r>
      <w:r>
        <w:t xml:space="preserve">   </w:t>
      </w:r>
      <w:r w:rsidR="00B54942">
        <w:t xml:space="preserve">    </w:t>
      </w:r>
      <w:r w:rsidR="0007400A">
        <w:t xml:space="preserve"> </w:t>
      </w:r>
      <w:r w:rsidR="00AE57D9">
        <w:t xml:space="preserve"> </w:t>
      </w:r>
    </w:p>
    <w:p w14:paraId="29CE1659" w14:textId="77777777" w:rsidR="00016001" w:rsidRDefault="00016001" w:rsidP="00876A4B">
      <w:r>
        <w:t xml:space="preserve">The benefit of applying behavioural economics </w:t>
      </w:r>
      <w:r w:rsidR="00982D8F">
        <w:t>allows identified cause</w:t>
      </w:r>
      <w:r w:rsidR="00E54956">
        <w:t>s</w:t>
      </w:r>
      <w:r w:rsidR="00982D8F">
        <w:t xml:space="preserve"> of behavioural bias to be addressed through less restrictive regulations. The </w:t>
      </w:r>
      <w:r>
        <w:t xml:space="preserve">use of well-designed prompts rather than </w:t>
      </w:r>
      <w:r w:rsidR="006530F2">
        <w:t>additional</w:t>
      </w:r>
      <w:r>
        <w:t xml:space="preserve"> </w:t>
      </w:r>
      <w:r w:rsidR="007A2AB3">
        <w:t>restrictions imposed through legislation</w:t>
      </w:r>
      <w:r>
        <w:t xml:space="preserve"> could trigger behaviours that </w:t>
      </w:r>
      <w:r w:rsidR="00982D8F">
        <w:t xml:space="preserve">will </w:t>
      </w:r>
      <w:r>
        <w:t xml:space="preserve">align with policy </w:t>
      </w:r>
      <w:r w:rsidR="00982D8F">
        <w:t>goals</w:t>
      </w:r>
      <w:r>
        <w:t>.</w:t>
      </w:r>
      <w:r>
        <w:rPr>
          <w:rStyle w:val="FootnoteReference"/>
        </w:rPr>
        <w:footnoteReference w:id="16"/>
      </w:r>
      <w:r>
        <w:t xml:space="preserve"> </w:t>
      </w:r>
      <w:r w:rsidR="003E56A2">
        <w:t xml:space="preserve">These </w:t>
      </w:r>
      <w:r w:rsidR="0085507C">
        <w:t xml:space="preserve">‘nudges’ </w:t>
      </w:r>
      <w:r w:rsidR="003E56A2">
        <w:t>are presented as alternative options that co</w:t>
      </w:r>
      <w:r w:rsidR="00AD2E96">
        <w:t xml:space="preserve">uld potentially achieve </w:t>
      </w:r>
      <w:r w:rsidR="003E56A2">
        <w:t>better policy outcomes.</w:t>
      </w:r>
    </w:p>
    <w:p w14:paraId="623C1E0F" w14:textId="77777777" w:rsidR="00280BE2" w:rsidRDefault="00280BE2" w:rsidP="00281ABA">
      <w:pPr>
        <w:pStyle w:val="Bullet"/>
        <w:numPr>
          <w:ilvl w:val="0"/>
          <w:numId w:val="0"/>
        </w:numPr>
      </w:pPr>
      <w:r>
        <w:t>In response to</w:t>
      </w:r>
      <w:r w:rsidRPr="00280BE2">
        <w:t xml:space="preserve"> </w:t>
      </w:r>
      <w:r>
        <w:t>poor decision making by behaviourally biased consumers, t</w:t>
      </w:r>
      <w:r w:rsidR="0053209A">
        <w:t>he paper highlighted</w:t>
      </w:r>
      <w:r w:rsidR="007647B2">
        <w:t xml:space="preserve"> that </w:t>
      </w:r>
      <w:r w:rsidR="0053209A">
        <w:t xml:space="preserve">provision of better information </w:t>
      </w:r>
      <w:r>
        <w:t>could be one way to intervene to protect consumers.</w:t>
      </w:r>
      <w:r w:rsidR="0053209A">
        <w:t xml:space="preserve"> </w:t>
      </w:r>
      <w:r w:rsidR="00306F64">
        <w:t xml:space="preserve">Behavioural insights can help in formulating design of better targeted information that addresses certain </w:t>
      </w:r>
      <w:r w:rsidR="0093057F">
        <w:t>consumer bias</w:t>
      </w:r>
      <w:r w:rsidR="00306F64">
        <w:t>.</w:t>
      </w:r>
    </w:p>
    <w:p w14:paraId="375A1B76" w14:textId="77777777" w:rsidR="00B17039" w:rsidRDefault="0093057F" w:rsidP="00281ABA">
      <w:pPr>
        <w:pStyle w:val="Bullet"/>
        <w:numPr>
          <w:ilvl w:val="0"/>
          <w:numId w:val="0"/>
        </w:numPr>
      </w:pPr>
      <w:r>
        <w:t>Another intervention method that could help protect consumers is to change the choice environment. B</w:t>
      </w:r>
      <w:r w:rsidR="00306F64">
        <w:t xml:space="preserve">ased on observed </w:t>
      </w:r>
      <w:r>
        <w:t xml:space="preserve">consumer </w:t>
      </w:r>
      <w:r w:rsidR="00306F64">
        <w:t>behaviour</w:t>
      </w:r>
      <w:r>
        <w:t>al bias</w:t>
      </w:r>
      <w:r w:rsidR="00306F64">
        <w:t xml:space="preserve">, </w:t>
      </w:r>
      <w:r w:rsidR="003F188F">
        <w:t>choice</w:t>
      </w:r>
      <w:r w:rsidR="00306F64">
        <w:t>s</w:t>
      </w:r>
      <w:r w:rsidR="003F188F">
        <w:t xml:space="preserve"> presented to consumers </w:t>
      </w:r>
      <w:r w:rsidR="00227B86">
        <w:t xml:space="preserve">can be </w:t>
      </w:r>
      <w:r w:rsidR="00306F64">
        <w:t xml:space="preserve">adjusted so that consumers are </w:t>
      </w:r>
      <w:r w:rsidR="0085507C">
        <w:t>‘</w:t>
      </w:r>
      <w:r w:rsidR="003F188F">
        <w:t>nudge</w:t>
      </w:r>
      <w:r w:rsidR="00306F64">
        <w:t>d</w:t>
      </w:r>
      <w:r w:rsidR="0085507C">
        <w:t>’</w:t>
      </w:r>
      <w:r w:rsidR="003F188F">
        <w:t xml:space="preserve"> into making </w:t>
      </w:r>
      <w:r w:rsidR="00227B86">
        <w:t xml:space="preserve">the </w:t>
      </w:r>
      <w:r w:rsidR="003F188F">
        <w:t xml:space="preserve">better </w:t>
      </w:r>
      <w:r w:rsidR="00227B86">
        <w:t>choice</w:t>
      </w:r>
      <w:r w:rsidR="003F188F">
        <w:t xml:space="preserve">. For example, </w:t>
      </w:r>
      <w:r w:rsidR="00B17039">
        <w:t xml:space="preserve">some consumers are more likely to choose the default (opted-in) option of the specific product. </w:t>
      </w:r>
      <w:r w:rsidR="007647B2">
        <w:t>The c</w:t>
      </w:r>
      <w:r w:rsidR="00B17039">
        <w:t>hoice environment could be manipulated so that by changing the default option</w:t>
      </w:r>
      <w:r w:rsidR="007A2AB3">
        <w:t>,</w:t>
      </w:r>
      <w:r w:rsidR="00FC24F4">
        <w:t xml:space="preserve"> </w:t>
      </w:r>
      <w:r w:rsidR="005604A0">
        <w:t>it would</w:t>
      </w:r>
      <w:r w:rsidR="00B17039">
        <w:t xml:space="preserve"> ‘nudge’ consumers into </w:t>
      </w:r>
      <w:r w:rsidR="006B2261">
        <w:t xml:space="preserve">choosing </w:t>
      </w:r>
      <w:r w:rsidR="00B17039">
        <w:t xml:space="preserve">the better </w:t>
      </w:r>
      <w:r w:rsidR="007647B2">
        <w:t>option</w:t>
      </w:r>
      <w:r w:rsidR="00B17039">
        <w:t>.</w:t>
      </w:r>
    </w:p>
    <w:p w14:paraId="16DC5AEE" w14:textId="77777777" w:rsidR="0093057F" w:rsidRPr="00D53F90" w:rsidRDefault="0093057F" w:rsidP="00281ABA">
      <w:pPr>
        <w:pStyle w:val="Heading2"/>
      </w:pPr>
      <w:bookmarkStart w:id="21" w:name="_Toc528840599"/>
      <w:r w:rsidRPr="00D53F90">
        <w:t>International developments</w:t>
      </w:r>
      <w:bookmarkEnd w:id="21"/>
    </w:p>
    <w:p w14:paraId="1E9926DE" w14:textId="77777777" w:rsidR="009D1A9F" w:rsidRDefault="005F281D" w:rsidP="00876A4B">
      <w:r>
        <w:t>I</w:t>
      </w:r>
      <w:r w:rsidR="009821BE">
        <w:t>nternational research</w:t>
      </w:r>
      <w:r w:rsidRPr="005F281D">
        <w:t xml:space="preserve"> </w:t>
      </w:r>
      <w:r>
        <w:t>has focussed</w:t>
      </w:r>
      <w:r w:rsidR="009821BE">
        <w:t xml:space="preserve"> on disclosure </w:t>
      </w:r>
      <w:r>
        <w:t>for</w:t>
      </w:r>
      <w:r w:rsidR="00762381">
        <w:t xml:space="preserve"> </w:t>
      </w:r>
      <w:r w:rsidR="009821BE">
        <w:t xml:space="preserve">banking and financial service products, </w:t>
      </w:r>
      <w:r>
        <w:t xml:space="preserve">with </w:t>
      </w:r>
      <w:r w:rsidR="009821BE">
        <w:t xml:space="preserve">limited international research </w:t>
      </w:r>
      <w:r w:rsidR="00DE39BF">
        <w:t xml:space="preserve">into </w:t>
      </w:r>
      <w:r w:rsidR="004F0718">
        <w:t xml:space="preserve">effective </w:t>
      </w:r>
      <w:r w:rsidR="009821BE">
        <w:t xml:space="preserve">pre-contractual </w:t>
      </w:r>
      <w:r w:rsidR="00DE39BF">
        <w:t xml:space="preserve">disclosure </w:t>
      </w:r>
      <w:r>
        <w:t xml:space="preserve">for </w:t>
      </w:r>
      <w:r w:rsidR="009821BE">
        <w:t>insurance products</w:t>
      </w:r>
      <w:r w:rsidR="00C67AB7">
        <w:t>,</w:t>
      </w:r>
      <w:r w:rsidR="009821BE">
        <w:t xml:space="preserve"> </w:t>
      </w:r>
      <w:r w:rsidR="00DE39BF">
        <w:t xml:space="preserve">as noted in the </w:t>
      </w:r>
      <w:r w:rsidR="0044778A">
        <w:t xml:space="preserve">TLDR </w:t>
      </w:r>
      <w:r w:rsidR="00197941">
        <w:t>paper</w:t>
      </w:r>
      <w:r w:rsidR="00DE39BF">
        <w:t>.</w:t>
      </w:r>
      <w:r w:rsidR="009821BE">
        <w:t xml:space="preserve"> </w:t>
      </w:r>
    </w:p>
    <w:p w14:paraId="7474D448" w14:textId="77777777" w:rsidR="009D1A9F" w:rsidRDefault="008C375F" w:rsidP="00876A4B">
      <w:r>
        <w:t xml:space="preserve">The discussions </w:t>
      </w:r>
      <w:r w:rsidR="005F281D">
        <w:t xml:space="preserve">about </w:t>
      </w:r>
      <w:r>
        <w:t>the barriers to effective disclosure in the U</w:t>
      </w:r>
      <w:r w:rsidR="00FD2084">
        <w:t xml:space="preserve">nited </w:t>
      </w:r>
      <w:r>
        <w:t>S</w:t>
      </w:r>
      <w:r w:rsidR="00FD2084">
        <w:t>tates</w:t>
      </w:r>
      <w:r>
        <w:t xml:space="preserve"> </w:t>
      </w:r>
      <w:r w:rsidR="00FD2084">
        <w:t>(</w:t>
      </w:r>
      <w:r>
        <w:t>US</w:t>
      </w:r>
      <w:r w:rsidR="00FD2084">
        <w:t>)</w:t>
      </w:r>
      <w:r>
        <w:t xml:space="preserve"> </w:t>
      </w:r>
      <w:r w:rsidR="00197941">
        <w:t>are</w:t>
      </w:r>
      <w:r>
        <w:t xml:space="preserve"> broadly attributed to</w:t>
      </w:r>
      <w:r w:rsidR="004A512F">
        <w:t xml:space="preserve"> the following three categories</w:t>
      </w:r>
      <w:r>
        <w:t>:</w:t>
      </w:r>
      <w:r w:rsidR="004605A1">
        <w:rPr>
          <w:rStyle w:val="FootnoteReference"/>
        </w:rPr>
        <w:footnoteReference w:id="17"/>
      </w:r>
    </w:p>
    <w:p w14:paraId="4100D2DB" w14:textId="77777777" w:rsidR="008C375F" w:rsidRDefault="008C375F" w:rsidP="00BB311F">
      <w:pPr>
        <w:pStyle w:val="Bullet"/>
      </w:pPr>
      <w:r>
        <w:t xml:space="preserve">Product understanding: </w:t>
      </w:r>
      <w:r w:rsidR="00FD2084">
        <w:t>t</w:t>
      </w:r>
      <w:r>
        <w:t xml:space="preserve">o </w:t>
      </w:r>
      <w:r w:rsidR="0020512F">
        <w:t xml:space="preserve">give </w:t>
      </w:r>
      <w:r>
        <w:t>consumer</w:t>
      </w:r>
      <w:r w:rsidR="00FD2084">
        <w:t>s</w:t>
      </w:r>
      <w:r>
        <w:t xml:space="preserve"> understanding of the products offered </w:t>
      </w:r>
      <w:r w:rsidR="00FD2084">
        <w:t xml:space="preserve">to them </w:t>
      </w:r>
      <w:r w:rsidR="0020512F">
        <w:t xml:space="preserve">to </w:t>
      </w:r>
      <w:r w:rsidR="00FD2084">
        <w:t>guide their</w:t>
      </w:r>
      <w:r>
        <w:t xml:space="preserve"> choice.</w:t>
      </w:r>
    </w:p>
    <w:p w14:paraId="57A5E968" w14:textId="77777777" w:rsidR="008C375F" w:rsidRDefault="008C375F" w:rsidP="00BB311F">
      <w:pPr>
        <w:pStyle w:val="Bullet"/>
      </w:pPr>
      <w:r>
        <w:lastRenderedPageBreak/>
        <w:t>Comparison shopping: to provide means for consumer</w:t>
      </w:r>
      <w:r w:rsidR="00FD2084">
        <w:t>s</w:t>
      </w:r>
      <w:r>
        <w:t xml:space="preserve"> </w:t>
      </w:r>
      <w:r w:rsidR="00FD2084">
        <w:t>to conduct</w:t>
      </w:r>
      <w:r>
        <w:t xml:space="preserve"> price, product and quality comparisons.</w:t>
      </w:r>
      <w:r w:rsidR="001975AB">
        <w:t xml:space="preserve"> </w:t>
      </w:r>
      <w:r>
        <w:t xml:space="preserve">Fairness and transparency: to ensure insurers provide full and accurate information to consumers that allows </w:t>
      </w:r>
      <w:r w:rsidR="00FD2084">
        <w:t>consumer</w:t>
      </w:r>
      <w:r>
        <w:t xml:space="preserve"> understanding and </w:t>
      </w:r>
      <w:r w:rsidR="00FD2084">
        <w:t xml:space="preserve">accurate </w:t>
      </w:r>
      <w:r>
        <w:t>interpretation of relevant issues.</w:t>
      </w:r>
    </w:p>
    <w:p w14:paraId="12F8306C" w14:textId="77777777" w:rsidR="004518D1" w:rsidRDefault="004518D1" w:rsidP="004518D1">
      <w:r>
        <w:t>Kirsch’s study</w:t>
      </w:r>
      <w:r w:rsidR="00E404ED">
        <w:t xml:space="preserve"> </w:t>
      </w:r>
      <w:r w:rsidR="004667E0">
        <w:t xml:space="preserve">on effective disclosure </w:t>
      </w:r>
      <w:r w:rsidR="00E404ED">
        <w:t>in 2002</w:t>
      </w:r>
      <w:r w:rsidR="004667E0">
        <w:t xml:space="preserve"> suggests</w:t>
      </w:r>
      <w:r>
        <w:t xml:space="preserve"> </w:t>
      </w:r>
      <w:r w:rsidR="0029632B">
        <w:t xml:space="preserve">consumers use product information more effectively if they perceive the cost of searching and processing such information to be </w:t>
      </w:r>
      <w:r w:rsidR="003E3D66">
        <w:t>relatively low compared</w:t>
      </w:r>
      <w:r w:rsidR="0029632B">
        <w:t xml:space="preserve"> to its benefit</w:t>
      </w:r>
      <w:r w:rsidR="003E3D66">
        <w:t>.</w:t>
      </w:r>
      <w:r w:rsidR="00AC4367">
        <w:t xml:space="preserve"> </w:t>
      </w:r>
      <w:r w:rsidR="003E3D66">
        <w:t xml:space="preserve">The volume of complex information presented in the PDS is sufficient to </w:t>
      </w:r>
      <w:r w:rsidR="00D94508">
        <w:t>prompt</w:t>
      </w:r>
      <w:r w:rsidR="003E3D66">
        <w:t xml:space="preserve"> </w:t>
      </w:r>
      <w:r w:rsidR="0029632B">
        <w:t xml:space="preserve">consumers </w:t>
      </w:r>
      <w:r w:rsidR="003E3D66">
        <w:t>to perceive</w:t>
      </w:r>
      <w:r w:rsidR="0029632B">
        <w:t xml:space="preserve"> the cost of </w:t>
      </w:r>
      <w:r w:rsidR="003E3D66">
        <w:t xml:space="preserve">searching and </w:t>
      </w:r>
      <w:r w:rsidR="0029632B">
        <w:t xml:space="preserve">processing the </w:t>
      </w:r>
      <w:r w:rsidR="003E3D66">
        <w:t xml:space="preserve">material in </w:t>
      </w:r>
      <w:r w:rsidR="00357F4B">
        <w:t xml:space="preserve">a </w:t>
      </w:r>
      <w:r w:rsidR="0029632B">
        <w:t>PDS to be greater than its benefits</w:t>
      </w:r>
      <w:r w:rsidR="003E3D66">
        <w:t>.</w:t>
      </w:r>
    </w:p>
    <w:p w14:paraId="56665974" w14:textId="77777777" w:rsidR="00DE39BF" w:rsidRDefault="00BC7FC7" w:rsidP="00876A4B">
      <w:r>
        <w:t>In 2005, a</w:t>
      </w:r>
      <w:r w:rsidR="00AC4367">
        <w:t xml:space="preserve"> US based study</w:t>
      </w:r>
      <w:r w:rsidR="00DD5E97">
        <w:t xml:space="preserve"> used three focus groups </w:t>
      </w:r>
      <w:r w:rsidR="0020512F">
        <w:t xml:space="preserve">to </w:t>
      </w:r>
      <w:r w:rsidR="001A6137">
        <w:t>explore</w:t>
      </w:r>
      <w:r w:rsidR="0020512F">
        <w:t xml:space="preserve"> </w:t>
      </w:r>
      <w:r w:rsidR="00AC4367">
        <w:t>the effectiveness of disclosure as a mean</w:t>
      </w:r>
      <w:r w:rsidR="00BB311F">
        <w:t>s</w:t>
      </w:r>
      <w:r w:rsidR="00AC4367">
        <w:t xml:space="preserve"> for consumers </w:t>
      </w:r>
      <w:r w:rsidR="0020512F">
        <w:t>to</w:t>
      </w:r>
      <w:r w:rsidR="00AC4367">
        <w:t xml:space="preserve"> </w:t>
      </w:r>
      <w:r w:rsidR="0020512F">
        <w:t>understand</w:t>
      </w:r>
      <w:r w:rsidR="00AC4367">
        <w:t xml:space="preserve"> insurance when purchasing </w:t>
      </w:r>
      <w:r w:rsidR="0020512F">
        <w:t>it</w:t>
      </w:r>
      <w:r w:rsidR="00AC4367">
        <w:t>.</w:t>
      </w:r>
      <w:r w:rsidR="003E3D66">
        <w:rPr>
          <w:rStyle w:val="FootnoteReference"/>
        </w:rPr>
        <w:footnoteReference w:id="18"/>
      </w:r>
      <w:r w:rsidR="00AC4367">
        <w:t xml:space="preserve"> </w:t>
      </w:r>
      <w:r w:rsidR="00F45599">
        <w:t>The conclusion of the study was</w:t>
      </w:r>
      <w:r w:rsidR="00B07E82">
        <w:t xml:space="preserve"> that there is poor consumer understanding </w:t>
      </w:r>
      <w:r w:rsidR="00AC61E4">
        <w:t xml:space="preserve">of </w:t>
      </w:r>
      <w:r w:rsidR="00B07E82">
        <w:t>insurance and</w:t>
      </w:r>
      <w:r w:rsidR="00841F85">
        <w:t xml:space="preserve"> that</w:t>
      </w:r>
      <w:r w:rsidR="00B07E82">
        <w:t xml:space="preserve"> most do not read the PDS</w:t>
      </w:r>
      <w:r w:rsidR="00AC4367">
        <w:t xml:space="preserve"> when purchasing insurance</w:t>
      </w:r>
      <w:r w:rsidR="00B07E82">
        <w:t>. The results suggest</w:t>
      </w:r>
      <w:r w:rsidR="003E2199">
        <w:t xml:space="preserve"> a shorter version providing less information and use of less technical jargon with concrete examples would improve consumers</w:t>
      </w:r>
      <w:r w:rsidR="00BB311F">
        <w:t>’</w:t>
      </w:r>
      <w:r w:rsidR="003E2199">
        <w:t xml:space="preserve"> understanding of the disclosure material.</w:t>
      </w:r>
    </w:p>
    <w:p w14:paraId="2F829627" w14:textId="77777777" w:rsidR="00425D66" w:rsidRDefault="00683D6C" w:rsidP="00876A4B">
      <w:r>
        <w:t xml:space="preserve">A </w:t>
      </w:r>
      <w:r w:rsidR="00230B2D">
        <w:t>UK</w:t>
      </w:r>
      <w:r>
        <w:t xml:space="preserve"> based experimental study</w:t>
      </w:r>
      <w:r w:rsidR="00230B2D">
        <w:t xml:space="preserve"> in 2010</w:t>
      </w:r>
      <w:r>
        <w:t xml:space="preserve"> </w:t>
      </w:r>
      <w:r w:rsidR="00E03D7B">
        <w:t>provided evidence that</w:t>
      </w:r>
      <w:r>
        <w:t xml:space="preserve"> the provision of disclosure </w:t>
      </w:r>
      <w:r w:rsidR="00E03D7B">
        <w:t xml:space="preserve">information does not affect the likelihood </w:t>
      </w:r>
      <w:r w:rsidR="00890244">
        <w:t xml:space="preserve">of </w:t>
      </w:r>
      <w:r w:rsidR="00E03D7B">
        <w:t xml:space="preserve">purchasing insurance. </w:t>
      </w:r>
      <w:r w:rsidR="007D1397">
        <w:t>The study</w:t>
      </w:r>
      <w:r w:rsidR="00364B0F">
        <w:t xml:space="preserve"> explored</w:t>
      </w:r>
      <w:r w:rsidR="00D359A0">
        <w:t xml:space="preserve"> the</w:t>
      </w:r>
      <w:r w:rsidR="00363573">
        <w:t xml:space="preserve"> effect</w:t>
      </w:r>
      <w:r w:rsidR="00BB311F">
        <w:t xml:space="preserve"> of</w:t>
      </w:r>
      <w:r w:rsidR="00363573">
        <w:t xml:space="preserve"> disclosure in the sale of payment protection insurance</w:t>
      </w:r>
      <w:r w:rsidR="00364B0F">
        <w:t>.</w:t>
      </w:r>
      <w:r w:rsidR="00E03D7B">
        <w:rPr>
          <w:rStyle w:val="FootnoteReference"/>
        </w:rPr>
        <w:footnoteReference w:id="19"/>
      </w:r>
      <w:r w:rsidR="00B36109">
        <w:t xml:space="preserve"> The </w:t>
      </w:r>
      <w:r w:rsidR="00FA59C6">
        <w:t>results</w:t>
      </w:r>
      <w:r w:rsidR="00D359A0">
        <w:t xml:space="preserve"> found</w:t>
      </w:r>
      <w:r w:rsidR="00FA59C6">
        <w:t xml:space="preserve"> that trust is a significant contributing factor</w:t>
      </w:r>
      <w:r>
        <w:t xml:space="preserve"> to </w:t>
      </w:r>
      <w:r w:rsidR="00AB6AC1">
        <w:t xml:space="preserve">the likelihood of a </w:t>
      </w:r>
      <w:r>
        <w:t>consum</w:t>
      </w:r>
      <w:r w:rsidR="004452F6">
        <w:t xml:space="preserve">er </w:t>
      </w:r>
      <w:r>
        <w:t>purchas</w:t>
      </w:r>
      <w:r w:rsidR="00AB6AC1">
        <w:t xml:space="preserve">ing </w:t>
      </w:r>
      <w:r>
        <w:t>insurance</w:t>
      </w:r>
      <w:r w:rsidR="00D359A0">
        <w:t xml:space="preserve">. The study argued that a trusting </w:t>
      </w:r>
      <w:r>
        <w:t xml:space="preserve">consumer </w:t>
      </w:r>
      <w:r w:rsidR="00D359A0">
        <w:t>is more</w:t>
      </w:r>
      <w:r>
        <w:t xml:space="preserve"> likely to be persuaded during</w:t>
      </w:r>
      <w:r w:rsidR="00BB311F">
        <w:t xml:space="preserve"> the</w:t>
      </w:r>
      <w:r>
        <w:t xml:space="preserve"> sales process.</w:t>
      </w:r>
    </w:p>
    <w:p w14:paraId="3FC715EF" w14:textId="77777777" w:rsidR="00890F26" w:rsidRDefault="00890244" w:rsidP="00876A4B">
      <w:r>
        <w:t xml:space="preserve">Further international research on specific issues relating to the recommendations of the Senate </w:t>
      </w:r>
      <w:r w:rsidR="001A6137">
        <w:t>Committee I</w:t>
      </w:r>
      <w:r>
        <w:t>nquiry</w:t>
      </w:r>
      <w:r w:rsidR="00EE629A">
        <w:t xml:space="preserve"> will be discussed within the individual sections below.</w:t>
      </w:r>
      <w:r w:rsidR="00890F26">
        <w:t xml:space="preserve"> </w:t>
      </w:r>
    </w:p>
    <w:p w14:paraId="126C72A0" w14:textId="77777777" w:rsidR="000E6D37" w:rsidRDefault="000E6D37">
      <w:pPr>
        <w:spacing w:before="0" w:after="160" w:line="259" w:lineRule="auto"/>
        <w:rPr>
          <w:rFonts w:cs="Arial"/>
          <w:color w:val="004A7F"/>
          <w:kern w:val="32"/>
          <w:sz w:val="48"/>
          <w:szCs w:val="36"/>
        </w:rPr>
      </w:pPr>
      <w:bookmarkStart w:id="22" w:name="_Toc515978330"/>
      <w:bookmarkStart w:id="23" w:name="_Toc528840600"/>
      <w:r>
        <w:br w:type="page"/>
      </w:r>
    </w:p>
    <w:p w14:paraId="53A13B67" w14:textId="77777777" w:rsidR="000E0B74" w:rsidRDefault="000E0B74" w:rsidP="004F3B65">
      <w:pPr>
        <w:pStyle w:val="Heading1"/>
        <w:spacing w:before="240"/>
      </w:pPr>
      <w:r>
        <w:lastRenderedPageBreak/>
        <w:t>Issues for discussion</w:t>
      </w:r>
      <w:bookmarkEnd w:id="14"/>
      <w:bookmarkEnd w:id="15"/>
      <w:bookmarkEnd w:id="22"/>
      <w:bookmarkEnd w:id="23"/>
    </w:p>
    <w:p w14:paraId="6B70C67E" w14:textId="77777777" w:rsidR="00AB6AC1" w:rsidRPr="00AB6AC1" w:rsidRDefault="00AB6AC1" w:rsidP="007665F7">
      <w:pPr>
        <w:spacing w:after="0"/>
      </w:pPr>
      <w:r>
        <w:t>The Senate Committee made a number of recommendations that were accepted by the Government.</w:t>
      </w:r>
      <w:r>
        <w:rPr>
          <w:rStyle w:val="FootnoteReference"/>
        </w:rPr>
        <w:footnoteReference w:id="20"/>
      </w:r>
      <w:r w:rsidR="004452F6">
        <w:t xml:space="preserve"> </w:t>
      </w:r>
      <w:r>
        <w:t>These recommendations are discussed further below.</w:t>
      </w:r>
      <w:r w:rsidR="00B50DB8">
        <w:t xml:space="preserve"> Views are sought from stakeholders and other interested parties on the issues for discussion.</w:t>
      </w:r>
    </w:p>
    <w:p w14:paraId="607BB513" w14:textId="77777777" w:rsidR="00680460" w:rsidRPr="00882E2A" w:rsidRDefault="00AB6AC1" w:rsidP="000E6D37">
      <w:pPr>
        <w:pStyle w:val="Heading2"/>
        <w:spacing w:before="120"/>
      </w:pPr>
      <w:bookmarkStart w:id="24" w:name="_Toc515978331"/>
      <w:bookmarkStart w:id="25" w:name="_Toc528840601"/>
      <w:r w:rsidRPr="00882E2A">
        <w:t xml:space="preserve">Premium </w:t>
      </w:r>
      <w:r w:rsidR="00F03BAD">
        <w:t>i</w:t>
      </w:r>
      <w:r w:rsidR="00F03BAD" w:rsidRPr="00882E2A">
        <w:t xml:space="preserve">ncreases </w:t>
      </w:r>
      <w:r w:rsidRPr="00882E2A">
        <w:t xml:space="preserve">and </w:t>
      </w:r>
      <w:r w:rsidR="00F03BAD">
        <w:t>c</w:t>
      </w:r>
      <w:r w:rsidR="00680460" w:rsidRPr="00882E2A">
        <w:t xml:space="preserve">omponent pricing </w:t>
      </w:r>
      <w:r w:rsidRPr="00882E2A">
        <w:t>included in</w:t>
      </w:r>
      <w:r w:rsidR="00680460" w:rsidRPr="00882E2A">
        <w:t xml:space="preserve"> </w:t>
      </w:r>
      <w:r w:rsidR="00F9525D" w:rsidRPr="00882E2A">
        <w:t>renewal notices</w:t>
      </w:r>
      <w:bookmarkEnd w:id="24"/>
      <w:bookmarkEnd w:id="25"/>
    </w:p>
    <w:p w14:paraId="04DE89ED" w14:textId="77777777" w:rsidR="00864C96" w:rsidRDefault="000E6D37" w:rsidP="00E3012B">
      <w:pPr>
        <w:pStyle w:val="OutlineNumbered1"/>
        <w:numPr>
          <w:ilvl w:val="0"/>
          <w:numId w:val="0"/>
        </w:numPr>
        <w:rPr>
          <w:b/>
        </w:rPr>
      </w:pPr>
      <w:r w:rsidRPr="00864C96">
        <w:rPr>
          <w:i/>
          <w:noProof/>
        </w:rPr>
        <mc:AlternateContent>
          <mc:Choice Requires="wps">
            <w:drawing>
              <wp:anchor distT="0" distB="0" distL="114300" distR="114300" simplePos="0" relativeHeight="251658240" behindDoc="0" locked="0" layoutInCell="1" allowOverlap="1" wp14:anchorId="03121D6E" wp14:editId="40655601">
                <wp:simplePos x="0" y="0"/>
                <wp:positionH relativeFrom="column">
                  <wp:posOffset>-88265</wp:posOffset>
                </wp:positionH>
                <wp:positionV relativeFrom="paragraph">
                  <wp:posOffset>10388</wp:posOffset>
                </wp:positionV>
                <wp:extent cx="5874385" cy="1981835"/>
                <wp:effectExtent l="0" t="0" r="12065"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81835"/>
                        </a:xfrm>
                        <a:prstGeom prst="rect">
                          <a:avLst/>
                        </a:prstGeom>
                        <a:solidFill>
                          <a:srgbClr val="FFFFFF"/>
                        </a:solidFill>
                        <a:ln w="9525">
                          <a:solidFill>
                            <a:srgbClr val="000000"/>
                          </a:solidFill>
                          <a:miter lim="800000"/>
                          <a:headEnd/>
                          <a:tailEnd/>
                        </a:ln>
                      </wps:spPr>
                      <wps:txbx>
                        <w:txbxContent>
                          <w:p w14:paraId="73C4A294" w14:textId="77777777" w:rsidR="006972BA" w:rsidRPr="00864C96" w:rsidRDefault="006972BA" w:rsidP="00864C96">
                            <w:pPr>
                              <w:pStyle w:val="OutlineNumbered1"/>
                              <w:numPr>
                                <w:ilvl w:val="0"/>
                                <w:numId w:val="0"/>
                              </w:numPr>
                              <w:rPr>
                                <w:b/>
                              </w:rPr>
                            </w:pPr>
                            <w:r>
                              <w:rPr>
                                <w:b/>
                              </w:rPr>
                              <w:t>Recommendations</w:t>
                            </w:r>
                          </w:p>
                          <w:p w14:paraId="599E0D10" w14:textId="77777777" w:rsidR="006972BA" w:rsidRDefault="006972BA" w:rsidP="004F3B65">
                            <w:pPr>
                              <w:pStyle w:val="Bullet"/>
                            </w:pPr>
                            <w:r>
                              <w:t>Strengthening the transparency of general insurance pricing by amending the product disclosure regime in the Corporations Act to require insurers to:</w:t>
                            </w:r>
                          </w:p>
                          <w:p w14:paraId="1F67FE0C" w14:textId="77777777" w:rsidR="006972BA" w:rsidRPr="00456D46" w:rsidRDefault="006972BA" w:rsidP="00864C96">
                            <w:pPr>
                              <w:pStyle w:val="Dash"/>
                            </w:pPr>
                            <w:r w:rsidRPr="00456D46">
                              <w:t xml:space="preserve">Disclose the previous year’s premium on insurance renewal notices; and </w:t>
                            </w:r>
                          </w:p>
                          <w:p w14:paraId="7389E707" w14:textId="77777777" w:rsidR="006972BA" w:rsidRPr="00456D46" w:rsidRDefault="006972BA" w:rsidP="00864C96">
                            <w:pPr>
                              <w:pStyle w:val="Dash"/>
                            </w:pPr>
                            <w:r w:rsidRPr="00456D46">
                              <w:t>Explain premium increase</w:t>
                            </w:r>
                            <w:r>
                              <w:t>s</w:t>
                            </w:r>
                            <w:r w:rsidRPr="00456D46">
                              <w:t xml:space="preserve"> when a request is received from a policyholder.</w:t>
                            </w:r>
                          </w:p>
                          <w:p w14:paraId="0C70DB20" w14:textId="01BC2453" w:rsidR="006972BA" w:rsidRDefault="006972BA" w:rsidP="004F3B65">
                            <w:pPr>
                              <w:pStyle w:val="Bullet"/>
                            </w:pPr>
                            <w:r>
                              <w:t>I</w:t>
                            </w:r>
                            <w:r w:rsidRPr="00E3012B">
                              <w:t>nitiate a review of component pricing to establish a framework for amending the Corporations Act to provide componen</w:t>
                            </w:r>
                            <w:r>
                              <w:t>t pricing of premiums to policy-</w:t>
                            </w:r>
                            <w:r w:rsidRPr="00E3012B">
                              <w:t>holders upon them taking out or renewing an insurance policy, as well as an assessment of the benefits and risks to making such a change.</w:t>
                            </w:r>
                          </w:p>
                          <w:p w14:paraId="60931D89" w14:textId="77777777" w:rsidR="006972BA" w:rsidRDefault="00697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5pt;margin-top:.8pt;width:462.55pt;height:15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">
                <v:textbox>
                  <w:txbxContent>
                    <w:p w14:paraId="73C4A294" w14:textId="77777777" w:rsidR="006972BA" w:rsidRPr="00864C96" w:rsidRDefault="006972BA" w:rsidP="00864C96">
                      <w:pPr>
                        <w:pStyle w:val="OutlineNumbered1"/>
                        <w:numPr>
                          <w:ilvl w:val="0"/>
                          <w:numId w:val="0"/>
                        </w:numPr>
                        <w:rPr>
                          <w:b/>
                        </w:rPr>
                      </w:pPr>
                      <w:r>
                        <w:rPr>
                          <w:b/>
                        </w:rPr>
                        <w:t>Recommendations</w:t>
                      </w:r>
                    </w:p>
                    <w:p w14:paraId="599E0D10" w14:textId="77777777" w:rsidR="006972BA" w:rsidRDefault="006972BA" w:rsidP="004F3B65">
                      <w:pPr>
                        <w:pStyle w:val="Bullet"/>
                      </w:pPr>
                      <w:r>
                        <w:t>Strengthening the transparency of general insurance pricing by amending the product disclosure regime in the Corporations Act to require insurers to:</w:t>
                      </w:r>
                    </w:p>
                    <w:p w14:paraId="1F67FE0C" w14:textId="77777777" w:rsidR="006972BA" w:rsidRPr="00456D46" w:rsidRDefault="006972BA" w:rsidP="00864C96">
                      <w:pPr>
                        <w:pStyle w:val="Dash"/>
                      </w:pPr>
                      <w:r w:rsidRPr="00456D46">
                        <w:t xml:space="preserve">Disclose the previous year’s premium on insurance renewal notices; and </w:t>
                      </w:r>
                    </w:p>
                    <w:p w14:paraId="7389E707" w14:textId="77777777" w:rsidR="006972BA" w:rsidRPr="00456D46" w:rsidRDefault="006972BA" w:rsidP="00864C96">
                      <w:pPr>
                        <w:pStyle w:val="Dash"/>
                      </w:pPr>
                      <w:r w:rsidRPr="00456D46">
                        <w:t>Explain premium increase</w:t>
                      </w:r>
                      <w:r>
                        <w:t>s</w:t>
                      </w:r>
                      <w:r w:rsidRPr="00456D46">
                        <w:t xml:space="preserve"> when a request is received from a policyholder.</w:t>
                      </w:r>
                    </w:p>
                    <w:p w14:paraId="0C70DB20" w14:textId="01BC2453" w:rsidR="006972BA" w:rsidRDefault="006972BA" w:rsidP="004F3B65">
                      <w:pPr>
                        <w:pStyle w:val="Bullet"/>
                      </w:pPr>
                      <w:r>
                        <w:t>I</w:t>
                      </w:r>
                      <w:r w:rsidRPr="00E3012B">
                        <w:t>nitiate a review of component pricing to establish a framework for amending the Corporations Act to provide componen</w:t>
                      </w:r>
                      <w:r>
                        <w:t>t pricing of premiums to policy-</w:t>
                      </w:r>
                      <w:r w:rsidRPr="00E3012B">
                        <w:t>holders upon them taking out or renewing an insurance policy, as well as an assessment of the benefits and risks to making such a change.</w:t>
                      </w:r>
                    </w:p>
                    <w:p w14:paraId="60931D89" w14:textId="77777777" w:rsidR="006972BA" w:rsidRDefault="006972BA"/>
                  </w:txbxContent>
                </v:textbox>
              </v:shape>
            </w:pict>
          </mc:Fallback>
        </mc:AlternateContent>
      </w:r>
    </w:p>
    <w:p w14:paraId="685DEB6A" w14:textId="77777777" w:rsidR="00864C96" w:rsidRDefault="00864C96" w:rsidP="00E3012B">
      <w:pPr>
        <w:pStyle w:val="OutlineNumbered1"/>
        <w:numPr>
          <w:ilvl w:val="0"/>
          <w:numId w:val="0"/>
        </w:numPr>
        <w:rPr>
          <w:b/>
        </w:rPr>
      </w:pPr>
    </w:p>
    <w:p w14:paraId="761D22B0" w14:textId="77777777" w:rsidR="00864C96" w:rsidRDefault="00864C96" w:rsidP="00E3012B">
      <w:pPr>
        <w:pStyle w:val="OutlineNumbered1"/>
        <w:numPr>
          <w:ilvl w:val="0"/>
          <w:numId w:val="0"/>
        </w:numPr>
        <w:rPr>
          <w:b/>
        </w:rPr>
      </w:pPr>
    </w:p>
    <w:p w14:paraId="56C8AA54" w14:textId="77777777" w:rsidR="00864C96" w:rsidRDefault="00864C96" w:rsidP="00E3012B">
      <w:pPr>
        <w:pStyle w:val="OutlineNumbered1"/>
        <w:numPr>
          <w:ilvl w:val="0"/>
          <w:numId w:val="0"/>
        </w:numPr>
        <w:rPr>
          <w:b/>
        </w:rPr>
      </w:pPr>
    </w:p>
    <w:p w14:paraId="6B3B4409" w14:textId="77777777" w:rsidR="00864C96" w:rsidRDefault="00864C96" w:rsidP="00E3012B">
      <w:pPr>
        <w:pStyle w:val="OutlineNumbered1"/>
        <w:numPr>
          <w:ilvl w:val="0"/>
          <w:numId w:val="0"/>
        </w:numPr>
        <w:rPr>
          <w:b/>
        </w:rPr>
      </w:pPr>
    </w:p>
    <w:p w14:paraId="5BAE0035" w14:textId="77777777" w:rsidR="00864C96" w:rsidRDefault="00864C96" w:rsidP="00E3012B">
      <w:pPr>
        <w:pStyle w:val="OutlineNumbered1"/>
        <w:numPr>
          <w:ilvl w:val="0"/>
          <w:numId w:val="0"/>
        </w:numPr>
        <w:rPr>
          <w:b/>
        </w:rPr>
      </w:pPr>
    </w:p>
    <w:p w14:paraId="3D4AE385" w14:textId="77777777" w:rsidR="003C33C9" w:rsidRDefault="003C33C9" w:rsidP="00E3012B">
      <w:pPr>
        <w:pStyle w:val="OutlineNumbered1"/>
        <w:numPr>
          <w:ilvl w:val="0"/>
          <w:numId w:val="0"/>
        </w:numPr>
        <w:rPr>
          <w:b/>
        </w:rPr>
      </w:pPr>
    </w:p>
    <w:p w14:paraId="7D073F3A" w14:textId="77777777" w:rsidR="00246A0C" w:rsidRDefault="00246A0C" w:rsidP="00E3012B">
      <w:pPr>
        <w:pStyle w:val="OutlineNumbered1"/>
        <w:numPr>
          <w:ilvl w:val="0"/>
          <w:numId w:val="0"/>
        </w:numPr>
        <w:rPr>
          <w:b/>
        </w:rPr>
      </w:pPr>
    </w:p>
    <w:p w14:paraId="1A119314" w14:textId="77777777" w:rsidR="000E6D37" w:rsidRDefault="000E6D37" w:rsidP="00E3012B">
      <w:pPr>
        <w:pStyle w:val="OutlineNumbered1"/>
        <w:numPr>
          <w:ilvl w:val="0"/>
          <w:numId w:val="0"/>
        </w:numPr>
        <w:rPr>
          <w:b/>
        </w:rPr>
      </w:pPr>
    </w:p>
    <w:p w14:paraId="2F44153F" w14:textId="77777777" w:rsidR="0010450F" w:rsidRDefault="00680460" w:rsidP="00E3012B">
      <w:pPr>
        <w:pStyle w:val="OutlineNumbered1"/>
        <w:numPr>
          <w:ilvl w:val="0"/>
          <w:numId w:val="0"/>
        </w:numPr>
        <w:rPr>
          <w:b/>
        </w:rPr>
      </w:pPr>
      <w:r w:rsidRPr="00DB78F1">
        <w:rPr>
          <w:b/>
        </w:rPr>
        <w:t>Objective</w:t>
      </w:r>
    </w:p>
    <w:p w14:paraId="61EFE774" w14:textId="77777777" w:rsidR="00246A0C" w:rsidRDefault="00762F2A" w:rsidP="00281ABA">
      <w:pPr>
        <w:pStyle w:val="OutlineNumbered1"/>
        <w:numPr>
          <w:ilvl w:val="0"/>
          <w:numId w:val="0"/>
        </w:numPr>
        <w:spacing w:before="120"/>
      </w:pPr>
      <w:r>
        <w:t>To enhance</w:t>
      </w:r>
      <w:r w:rsidR="00250433">
        <w:t xml:space="preserve"> the comparability of products and specifically, to enhance the transparency around any premium changes when an insurance contract is up for renewal.</w:t>
      </w:r>
      <w:r w:rsidR="00730AB0">
        <w:t xml:space="preserve"> </w:t>
      </w:r>
    </w:p>
    <w:p w14:paraId="4B8F379D" w14:textId="77777777" w:rsidR="00DB2420" w:rsidRDefault="007B681F" w:rsidP="00680460">
      <w:pPr>
        <w:spacing w:after="0"/>
        <w:rPr>
          <w:b/>
        </w:rPr>
      </w:pPr>
      <w:r>
        <w:rPr>
          <w:b/>
        </w:rPr>
        <w:t>Industry views</w:t>
      </w:r>
    </w:p>
    <w:p w14:paraId="50556025" w14:textId="77777777" w:rsidR="004C7396" w:rsidRDefault="0037028F" w:rsidP="00F548D8">
      <w:r>
        <w:t>Sharing public and political concern at the potential for poor consumer outcomes, t</w:t>
      </w:r>
      <w:r w:rsidR="00680460" w:rsidRPr="00D37A21">
        <w:t xml:space="preserve">he general insurance industry </w:t>
      </w:r>
      <w:r>
        <w:t xml:space="preserve">is </w:t>
      </w:r>
      <w:r w:rsidR="00680460" w:rsidRPr="00D37A21">
        <w:t>respond</w:t>
      </w:r>
      <w:r>
        <w:t>ing</w:t>
      </w:r>
      <w:r w:rsidR="00680460" w:rsidRPr="00D37A21">
        <w:t xml:space="preserve"> to </w:t>
      </w:r>
      <w:r>
        <w:t>the need for improvements in the disclosure regime</w:t>
      </w:r>
      <w:r w:rsidR="00680460" w:rsidRPr="00D37A21">
        <w:t>.</w:t>
      </w:r>
      <w:r w:rsidR="003D4756">
        <w:t xml:space="preserve"> </w:t>
      </w:r>
      <w:r w:rsidR="002C2FFB">
        <w:t xml:space="preserve">There </w:t>
      </w:r>
      <w:r>
        <w:t xml:space="preserve">now </w:t>
      </w:r>
      <w:r w:rsidR="002C2FFB">
        <w:t xml:space="preserve">appears to be broad industry support for disclosure </w:t>
      </w:r>
      <w:r w:rsidR="005F281D">
        <w:t xml:space="preserve">of </w:t>
      </w:r>
      <w:r w:rsidR="002C2FFB">
        <w:t xml:space="preserve">past year’s premium. </w:t>
      </w:r>
      <w:r w:rsidR="003D4756">
        <w:t>The I</w:t>
      </w:r>
      <w:r w:rsidR="00A547A8">
        <w:t xml:space="preserve">CA </w:t>
      </w:r>
      <w:r w:rsidR="003D4756">
        <w:t xml:space="preserve">established the Effective Disclosure Taskforce in 2015 to investigate and develop initiatives for improving product disclosure on general insurance. </w:t>
      </w:r>
      <w:r w:rsidR="004C7396">
        <w:t xml:space="preserve">As part of the work implementing the recommendations made by the Taskforce, the ICA </w:t>
      </w:r>
      <w:r>
        <w:t>began</w:t>
      </w:r>
      <w:r w:rsidR="004C7396">
        <w:t xml:space="preserve"> facilitating a trial of the disclosure of the previous year’s premium at renewal. </w:t>
      </w:r>
      <w:r>
        <w:t>Building on this momentum, as part of the current 2018 review of the General Insurance Code of Practice, the industry has agreed to amend the Code to require the disclosure of the previous year’s premium at renewal for home insurance policies.</w:t>
      </w:r>
    </w:p>
    <w:p w14:paraId="76564AAC" w14:textId="3503BEE1" w:rsidR="00A32CD0" w:rsidRDefault="009A72F1" w:rsidP="00F548D8">
      <w:r>
        <w:t>The ICA’s Consumer Research report found</w:t>
      </w:r>
      <w:r w:rsidR="00EF1F79">
        <w:t xml:space="preserve"> that the focus on renewal notices is warranted because</w:t>
      </w:r>
      <w:r w:rsidR="00DD68C2">
        <w:t xml:space="preserve"> the</w:t>
      </w:r>
      <w:r w:rsidR="00EF1F79">
        <w:t xml:space="preserve"> renewal </w:t>
      </w:r>
      <w:r w:rsidR="009E1690">
        <w:t xml:space="preserve">notice </w:t>
      </w:r>
      <w:r w:rsidR="00EF1F79">
        <w:t>was the most commonly relied on source of information pre-</w:t>
      </w:r>
      <w:r w:rsidR="00B3700A">
        <w:t>pur</w:t>
      </w:r>
      <w:r w:rsidR="00EF1F79">
        <w:t>chase for car and home insurance policies and was almost always the highest rated information source.</w:t>
      </w:r>
      <w:r w:rsidR="00EF1F79" w:rsidRPr="008E2344">
        <w:rPr>
          <w:vertAlign w:val="superscript"/>
        </w:rPr>
        <w:footnoteReference w:id="21"/>
      </w:r>
      <w:r w:rsidR="009975B1">
        <w:t xml:space="preserve"> </w:t>
      </w:r>
      <w:r w:rsidR="00235C77">
        <w:t xml:space="preserve">In addition to disclosing the previous year’s premium, </w:t>
      </w:r>
      <w:r w:rsidR="00DD68C2">
        <w:t xml:space="preserve">the </w:t>
      </w:r>
      <w:r w:rsidR="00235C77">
        <w:t xml:space="preserve">ICA </w:t>
      </w:r>
      <w:r w:rsidR="008A3D9D">
        <w:t>supports insurers providing reasons for premium increases.</w:t>
      </w:r>
      <w:r w:rsidR="00767B7E">
        <w:t xml:space="preserve"> In the Senate </w:t>
      </w:r>
      <w:r w:rsidR="003C0337">
        <w:t xml:space="preserve">Committee </w:t>
      </w:r>
      <w:r w:rsidR="00767B7E">
        <w:t>Inquiry</w:t>
      </w:r>
      <w:r w:rsidR="00E135F6">
        <w:t xml:space="preserve"> hearings</w:t>
      </w:r>
      <w:r w:rsidR="00767B7E">
        <w:t xml:space="preserve">, the ICA </w:t>
      </w:r>
      <w:r w:rsidR="00FE690C">
        <w:t>noted t</w:t>
      </w:r>
      <w:r w:rsidR="00CA64AD">
        <w:t xml:space="preserve">hat adequate explanation of the </w:t>
      </w:r>
      <w:r w:rsidR="00CA64AD">
        <w:lastRenderedPageBreak/>
        <w:t>change in insurance premiums between the two years is required given that simple comparison of two year’s premiums could be misleading.</w:t>
      </w:r>
      <w:r w:rsidR="00E135F6">
        <w:rPr>
          <w:rStyle w:val="FootnoteReference"/>
        </w:rPr>
        <w:footnoteReference w:id="22"/>
      </w:r>
    </w:p>
    <w:p w14:paraId="677BA384" w14:textId="77777777" w:rsidR="00BB7E2E" w:rsidRDefault="0060031B" w:rsidP="00F548D8">
      <w:r>
        <w:t xml:space="preserve">However, </w:t>
      </w:r>
      <w:r w:rsidR="00770EB2">
        <w:t>I</w:t>
      </w:r>
      <w:r w:rsidR="00DD68C2">
        <w:t xml:space="preserve">nsurance </w:t>
      </w:r>
      <w:r w:rsidR="00770EB2">
        <w:t>A</w:t>
      </w:r>
      <w:r w:rsidR="00DD68C2">
        <w:t xml:space="preserve">ustralia </w:t>
      </w:r>
      <w:r w:rsidR="00770EB2">
        <w:t>G</w:t>
      </w:r>
      <w:r w:rsidR="00DD68C2">
        <w:t>roup (IAG)</w:t>
      </w:r>
      <w:r w:rsidR="00770EB2">
        <w:t xml:space="preserve"> </w:t>
      </w:r>
      <w:r w:rsidR="00377550">
        <w:t>ha</w:t>
      </w:r>
      <w:r w:rsidR="00DD68C2">
        <w:t>s</w:t>
      </w:r>
      <w:r w:rsidR="00377550">
        <w:t xml:space="preserve"> </w:t>
      </w:r>
      <w:r w:rsidR="00890244">
        <w:t xml:space="preserve">noted </w:t>
      </w:r>
      <w:r w:rsidR="00377550">
        <w:t xml:space="preserve">that </w:t>
      </w:r>
      <w:r>
        <w:t>there could be some practical difficulties</w:t>
      </w:r>
      <w:r w:rsidR="00377550">
        <w:t xml:space="preserve"> in providing information on reasons </w:t>
      </w:r>
      <w:r w:rsidR="002E411C">
        <w:t>for</w:t>
      </w:r>
      <w:r w:rsidR="00377550">
        <w:t xml:space="preserve"> insurance premium increases </w:t>
      </w:r>
      <w:r w:rsidR="00890244">
        <w:t>as the</w:t>
      </w:r>
      <w:r w:rsidR="00377550">
        <w:t xml:space="preserve"> renewal price is made up of many different components</w:t>
      </w:r>
      <w:r w:rsidR="00890244">
        <w:t>.  B</w:t>
      </w:r>
      <w:r w:rsidR="00377550">
        <w:t xml:space="preserve">eing able to explain </w:t>
      </w:r>
      <w:r w:rsidR="00DD68C2">
        <w:t xml:space="preserve">these </w:t>
      </w:r>
      <w:r w:rsidR="00377550">
        <w:t xml:space="preserve">on every insurance renewal would </w:t>
      </w:r>
      <w:r w:rsidR="00890244">
        <w:t>not be</w:t>
      </w:r>
      <w:r w:rsidR="00377550">
        <w:t xml:space="preserve"> practical.</w:t>
      </w:r>
      <w:r>
        <w:t xml:space="preserve"> </w:t>
      </w:r>
      <w:r w:rsidR="00770EB2">
        <w:t xml:space="preserve"> </w:t>
      </w:r>
      <w:r w:rsidR="00951A55">
        <w:t>Despite this, IAG said it would certai</w:t>
      </w:r>
      <w:r w:rsidR="00770A67">
        <w:t xml:space="preserve">nly be able to generally provide </w:t>
      </w:r>
      <w:r w:rsidR="00951A55">
        <w:t>reasons why there might be pressure on insurance premiums.</w:t>
      </w:r>
      <w:r w:rsidR="0096198E">
        <w:rPr>
          <w:rStyle w:val="FootnoteReference"/>
        </w:rPr>
        <w:footnoteReference w:id="23"/>
      </w:r>
    </w:p>
    <w:p w14:paraId="4C6F52B6" w14:textId="615FCCDE" w:rsidR="00AB7E84" w:rsidRDefault="00AB7E84" w:rsidP="00AB7E84">
      <w:r>
        <w:t>The Australian Competition and Consumer Commission (ACCC) released its first interim report on the Northern Australia insurance inquiry (First Interim Report)</w:t>
      </w:r>
      <w:r w:rsidR="00131F3B">
        <w:t xml:space="preserve"> in December 2018</w:t>
      </w:r>
      <w:r>
        <w:t xml:space="preserve">. In its </w:t>
      </w:r>
      <w:r w:rsidR="00131F3B">
        <w:t>r</w:t>
      </w:r>
      <w:r>
        <w:t xml:space="preserve">eport, </w:t>
      </w:r>
      <w:r w:rsidR="00131F3B">
        <w:t xml:space="preserve">the </w:t>
      </w:r>
      <w:r>
        <w:t xml:space="preserve">ACCC noted there is a range of existing education resources designed by industry and regulators to help consumers understand insurance. ASIC’s MoneySmart website contains extensive information for consumers about all financial matters including insurance. The </w:t>
      </w:r>
      <w:r w:rsidRPr="00357B52">
        <w:rPr>
          <w:i/>
        </w:rPr>
        <w:t>Insurance Contracts Regulations 2017</w:t>
      </w:r>
      <w:r>
        <w:t xml:space="preserve"> (Insurance Contracts Regulations) prescribe a link to ASIC’s MoneySmart website in the Key Facts Sheet for home building and contents insurance. The ACCC’s First Interim Report recommended inclu</w:t>
      </w:r>
      <w:r w:rsidR="006972BA">
        <w:t>sion of</w:t>
      </w:r>
      <w:r>
        <w:t xml:space="preserve"> a link to ASIC’s MoneySmart website on new quotes and renewal notices</w:t>
      </w:r>
      <w:r>
        <w:rPr>
          <w:rStyle w:val="FootnoteReference"/>
        </w:rPr>
        <w:footnoteReference w:id="24"/>
      </w:r>
      <w:r>
        <w:t>. This recommendation is consistent with ICA’s consumer research findings that renewal notice</w:t>
      </w:r>
      <w:r w:rsidR="006972BA">
        <w:t>s</w:t>
      </w:r>
      <w:r>
        <w:t xml:space="preserve"> are the most commonly relied</w:t>
      </w:r>
      <w:r w:rsidR="006972BA">
        <w:t xml:space="preserve"> upon</w:t>
      </w:r>
      <w:r>
        <w:t xml:space="preserve"> source of pre-purchase </w:t>
      </w:r>
      <w:r w:rsidR="006972BA">
        <w:t xml:space="preserve">information </w:t>
      </w:r>
      <w:r>
        <w:t>for car and home insurance.</w:t>
      </w:r>
    </w:p>
    <w:p w14:paraId="65C4EADA" w14:textId="19D49915" w:rsidR="00AB7E84" w:rsidRDefault="00AB7E84" w:rsidP="00AB7E84">
      <w:r>
        <w:t xml:space="preserve">The ACCC’s report also recognised the importance </w:t>
      </w:r>
      <w:r w:rsidR="006972BA">
        <w:t xml:space="preserve">of </w:t>
      </w:r>
      <w:r>
        <w:t>consumer</w:t>
      </w:r>
      <w:r w:rsidR="006972BA">
        <w:t>s</w:t>
      </w:r>
      <w:r>
        <w:t xml:space="preserve"> consider</w:t>
      </w:r>
      <w:r w:rsidR="006972BA">
        <w:t>ing</w:t>
      </w:r>
      <w:r>
        <w:t xml:space="preserve"> other factors such as excess and sum insured alongside premium prices that insurers </w:t>
      </w:r>
      <w:r w:rsidR="006972BA">
        <w:t xml:space="preserve">advise of </w:t>
      </w:r>
      <w:r>
        <w:t>in renewal notices. The ACCC’s report extends the recommendation from the Senate report into</w:t>
      </w:r>
      <w:r w:rsidR="006972BA">
        <w:t xml:space="preserve"> the</w:t>
      </w:r>
      <w:r w:rsidR="00431674">
        <w:t xml:space="preserve"> general </w:t>
      </w:r>
      <w:r>
        <w:t>insurance industry to require disclosure of any excess and the sum insured alongside previous year’s premiums on the renewal notice for expiring home, contents, and strata insurance policies</w:t>
      </w:r>
      <w:r>
        <w:rPr>
          <w:rStyle w:val="FootnoteReference"/>
        </w:rPr>
        <w:footnoteReference w:id="25"/>
      </w:r>
      <w:r>
        <w:t>.</w:t>
      </w:r>
      <w:r w:rsidRPr="0038773A">
        <w:t xml:space="preserve"> </w:t>
      </w:r>
      <w:r>
        <w:t>The ACCC considered disclosing such details w</w:t>
      </w:r>
      <w:r w:rsidR="006972BA">
        <w:t>ould</w:t>
      </w:r>
      <w:r>
        <w:t xml:space="preserve"> provide a holistic view to consumers during policy renewal and would help consumers in identifying how the insurer proposes to vary terms from the previous year.</w:t>
      </w:r>
    </w:p>
    <w:p w14:paraId="4E72AC20" w14:textId="497158AC" w:rsidR="00AB7E84" w:rsidRDefault="00AB7E84" w:rsidP="00AB7E84">
      <w:pPr>
        <w:pStyle w:val="Bullet"/>
        <w:numPr>
          <w:ilvl w:val="0"/>
          <w:numId w:val="0"/>
        </w:numPr>
      </w:pPr>
      <w:r>
        <w:t>The ACCC’s report further considered estimating the sum insured is one area where insurers could, and should</w:t>
      </w:r>
      <w:r w:rsidR="006972BA">
        <w:t>,</w:t>
      </w:r>
      <w:r>
        <w:t xml:space="preserve"> provide better guidance to consumers to lessen the risk of underinsurance</w:t>
      </w:r>
      <w:r>
        <w:rPr>
          <w:rStyle w:val="FootnoteReference"/>
        </w:rPr>
        <w:footnoteReference w:id="26"/>
      </w:r>
      <w:r>
        <w:t>. The report further highlighted the need for consumer</w:t>
      </w:r>
      <w:r w:rsidR="006972BA">
        <w:t>s</w:t>
      </w:r>
      <w:r>
        <w:t xml:space="preserve"> to understand that sum insured refers to the cost to rebuild rather than the market value of their property. Th</w:t>
      </w:r>
      <w:r w:rsidR="00131F3B">
        <w:t>e</w:t>
      </w:r>
      <w:r>
        <w:t xml:space="preserve"> ACCC recommended that insurers clearly disclose on any sum insured calculator </w:t>
      </w:r>
      <w:r w:rsidR="006972BA">
        <w:t xml:space="preserve">an </w:t>
      </w:r>
      <w:r>
        <w:t xml:space="preserve">estimation of the type of costs associated with </w:t>
      </w:r>
      <w:r w:rsidR="00131F3B">
        <w:t xml:space="preserve">the </w:t>
      </w:r>
      <w:r>
        <w:t>sum insured amount of buildings (such as costs of demolition, debris removal or professional fees) where these are not included as a separate allowance under the policy</w:t>
      </w:r>
      <w:r>
        <w:rPr>
          <w:rStyle w:val="FootnoteReference"/>
        </w:rPr>
        <w:footnoteReference w:id="27"/>
      </w:r>
      <w:r>
        <w:t xml:space="preserve">. </w:t>
      </w:r>
    </w:p>
    <w:p w14:paraId="47EE9B45" w14:textId="77777777" w:rsidR="00AB7E84" w:rsidRDefault="00AB7E84" w:rsidP="00F548D8"/>
    <w:p w14:paraId="3632F30E" w14:textId="77777777" w:rsidR="00CF538B" w:rsidRDefault="00CF538B">
      <w:pPr>
        <w:spacing w:before="0" w:after="160" w:line="259" w:lineRule="auto"/>
        <w:rPr>
          <w:b/>
        </w:rPr>
      </w:pPr>
      <w:r>
        <w:rPr>
          <w:b/>
        </w:rPr>
        <w:br w:type="page"/>
      </w:r>
    </w:p>
    <w:p w14:paraId="0D3CE289" w14:textId="33434175" w:rsidR="003F0411" w:rsidRPr="00FD506C" w:rsidRDefault="003F0411" w:rsidP="00680460">
      <w:pPr>
        <w:spacing w:after="0"/>
        <w:rPr>
          <w:b/>
        </w:rPr>
      </w:pPr>
      <w:r w:rsidRPr="00FD506C">
        <w:rPr>
          <w:b/>
        </w:rPr>
        <w:lastRenderedPageBreak/>
        <w:t>Consumer views</w:t>
      </w:r>
    </w:p>
    <w:p w14:paraId="73CB649A" w14:textId="77777777" w:rsidR="00680460" w:rsidRPr="00AB2BD2" w:rsidRDefault="00375D39" w:rsidP="00F548D8">
      <w:r>
        <w:t>In its submission to the</w:t>
      </w:r>
      <w:r w:rsidR="00251164">
        <w:t xml:space="preserve"> Senate</w:t>
      </w:r>
      <w:r w:rsidR="00095A9C">
        <w:t xml:space="preserve"> </w:t>
      </w:r>
      <w:r w:rsidR="00DB198A">
        <w:t>Committee</w:t>
      </w:r>
      <w:r w:rsidR="00095A9C">
        <w:t xml:space="preserve"> </w:t>
      </w:r>
      <w:r w:rsidR="00251164">
        <w:t>Inquiry</w:t>
      </w:r>
      <w:r>
        <w:t xml:space="preserve">, </w:t>
      </w:r>
      <w:r w:rsidR="0099540D">
        <w:t xml:space="preserve">the </w:t>
      </w:r>
      <w:r>
        <w:t>consumer group</w:t>
      </w:r>
      <w:r w:rsidR="0099540D">
        <w:t>,</w:t>
      </w:r>
      <w:r>
        <w:t xml:space="preserve"> </w:t>
      </w:r>
      <w:r w:rsidR="00680460" w:rsidRPr="00D37A21">
        <w:t>CHOICE</w:t>
      </w:r>
      <w:r w:rsidR="0099540D">
        <w:t>,</w:t>
      </w:r>
      <w:r w:rsidR="00680460" w:rsidRPr="00D37A21">
        <w:t xml:space="preserve"> argued that the disclosure of the previous year's premium 'would</w:t>
      </w:r>
      <w:r w:rsidR="00680460">
        <w:t xml:space="preserve"> </w:t>
      </w:r>
      <w:r w:rsidR="00680460" w:rsidRPr="00D37A21">
        <w:t>allow a consumer to assess any increase and decide if they should seek alternative</w:t>
      </w:r>
      <w:r w:rsidR="00680460">
        <w:t xml:space="preserve"> </w:t>
      </w:r>
      <w:r w:rsidR="00AC4E9B">
        <w:t>quotes'.</w:t>
      </w:r>
      <w:r w:rsidR="00AC4E9B">
        <w:rPr>
          <w:rStyle w:val="FootnoteReference"/>
        </w:rPr>
        <w:footnoteReference w:id="28"/>
      </w:r>
      <w:r w:rsidR="00680460" w:rsidRPr="00D37A21">
        <w:t xml:space="preserve"> Similarly, ASIC contended that 'any unexplained significant price increase</w:t>
      </w:r>
      <w:r w:rsidR="00680460">
        <w:t xml:space="preserve"> </w:t>
      </w:r>
      <w:r w:rsidR="00680460" w:rsidRPr="00D37A21">
        <w:t>should prompt consumers to shop around for alternative policies that may better suit</w:t>
      </w:r>
      <w:r w:rsidR="00680460">
        <w:t xml:space="preserve"> </w:t>
      </w:r>
      <w:r w:rsidR="00750540">
        <w:t>their needs'.</w:t>
      </w:r>
      <w:r w:rsidR="00750540">
        <w:rPr>
          <w:rStyle w:val="FootnoteReference"/>
        </w:rPr>
        <w:footnoteReference w:id="29"/>
      </w:r>
      <w:r w:rsidR="00AB2BD2" w:rsidRPr="00AB2BD2">
        <w:t xml:space="preserve"> </w:t>
      </w:r>
      <w:r w:rsidR="00AB2BD2">
        <w:t xml:space="preserve">This suggests that the underlying goal of correcting the information asymmetry may be as simple as reminding a consumer to shop around. However, it should be noted that price is not the only consideration to be had in deciding on an insurance policy. It is important that consumers understand what their policy covers as well as the price they are paying for </w:t>
      </w:r>
      <w:r w:rsidR="00762381">
        <w:t>it. This helps to prevent under</w:t>
      </w:r>
      <w:r w:rsidR="00AB2BD2">
        <w:t>insurance and also disputes at the time a consumer makes a claim on the policy.</w:t>
      </w:r>
    </w:p>
    <w:p w14:paraId="15F44413" w14:textId="7ED18C2A" w:rsidR="00A4123C" w:rsidRDefault="00B3700A" w:rsidP="00F548D8">
      <w:r>
        <w:t xml:space="preserve">The </w:t>
      </w:r>
      <w:r w:rsidR="00680460" w:rsidRPr="00D37A21">
        <w:t xml:space="preserve">Financial </w:t>
      </w:r>
      <w:r w:rsidR="00C7140E">
        <w:t>Rights Legal</w:t>
      </w:r>
      <w:r w:rsidR="001B0E2F">
        <w:t xml:space="preserve"> Centre</w:t>
      </w:r>
      <w:r w:rsidR="00680460" w:rsidRPr="00D37A21">
        <w:t xml:space="preserve"> </w:t>
      </w:r>
      <w:r w:rsidR="00C7140E">
        <w:t>(FRLC</w:t>
      </w:r>
      <w:r w:rsidR="001B0E2F">
        <w:t xml:space="preserve">) </w:t>
      </w:r>
      <w:r w:rsidR="00680460" w:rsidRPr="00D37A21">
        <w:t xml:space="preserve">advocated strongly for </w:t>
      </w:r>
      <w:r w:rsidR="00375D39">
        <w:t>component pricing in its submission to the</w:t>
      </w:r>
      <w:r w:rsidR="00411B9C">
        <w:t xml:space="preserve"> Senate </w:t>
      </w:r>
      <w:r w:rsidR="001F6B13">
        <w:t>Committee</w:t>
      </w:r>
      <w:r w:rsidR="00411B9C">
        <w:t xml:space="preserve"> </w:t>
      </w:r>
      <w:r>
        <w:t>Inquiry</w:t>
      </w:r>
      <w:r w:rsidR="00375D39">
        <w:t>. It state</w:t>
      </w:r>
      <w:r w:rsidR="00DD68C2">
        <w:t>d</w:t>
      </w:r>
      <w:r w:rsidR="00375D39">
        <w:t xml:space="preserve"> that</w:t>
      </w:r>
      <w:r w:rsidR="00680460" w:rsidRPr="00D37A21">
        <w:t xml:space="preserve"> by</w:t>
      </w:r>
      <w:r w:rsidR="00680460">
        <w:t xml:space="preserve"> </w:t>
      </w:r>
      <w:r w:rsidR="00680460" w:rsidRPr="00D37A21">
        <w:t xml:space="preserve">requiring insurers to provide information </w:t>
      </w:r>
      <w:r w:rsidR="00890244">
        <w:t>about</w:t>
      </w:r>
      <w:r w:rsidR="00680460" w:rsidRPr="00D37A21">
        <w:t xml:space="preserve"> the components in their premium</w:t>
      </w:r>
      <w:r w:rsidR="00680460">
        <w:t xml:space="preserve"> </w:t>
      </w:r>
      <w:r w:rsidR="00680460" w:rsidRPr="00D37A21">
        <w:t xml:space="preserve">pricing, consumers will be better informed about their personal risk. </w:t>
      </w:r>
      <w:r w:rsidR="00557B08">
        <w:t>FRLC</w:t>
      </w:r>
      <w:r w:rsidR="00680460" w:rsidRPr="00D37A21">
        <w:t xml:space="preserve"> explained that component pricing would provide a 'signal to</w:t>
      </w:r>
      <w:r w:rsidR="00680460">
        <w:t xml:space="preserve"> </w:t>
      </w:r>
      <w:r w:rsidR="00680460" w:rsidRPr="00D37A21">
        <w:t xml:space="preserve">consumers of the risk factors taken into account when premiums are set', </w:t>
      </w:r>
      <w:r w:rsidR="0028489D">
        <w:t xml:space="preserve">and that this </w:t>
      </w:r>
      <w:r w:rsidR="00680460" w:rsidRPr="00D37A21">
        <w:t>'risk signal' would be particularly helpful in parts of Australia that</w:t>
      </w:r>
      <w:r w:rsidR="00680460">
        <w:t xml:space="preserve"> </w:t>
      </w:r>
      <w:r w:rsidR="00680460" w:rsidRPr="00D37A21">
        <w:t>face severe weather risks</w:t>
      </w:r>
      <w:r w:rsidR="00680460">
        <w:t>.</w:t>
      </w:r>
      <w:r w:rsidR="00375D39">
        <w:rPr>
          <w:rStyle w:val="FootnoteReference"/>
        </w:rPr>
        <w:footnoteReference w:id="30"/>
      </w:r>
      <w:r w:rsidR="00680460">
        <w:t xml:space="preserve"> </w:t>
      </w:r>
      <w:r w:rsidR="009F4808">
        <w:t>FRLC’s</w:t>
      </w:r>
      <w:r w:rsidR="00AB2BD2">
        <w:t xml:space="preserve"> submiss</w:t>
      </w:r>
      <w:r w:rsidR="00680460" w:rsidRPr="007B1F39">
        <w:t xml:space="preserve">ion appears to suggest that component pricing would be helpful as it would allow consumers to do something to </w:t>
      </w:r>
      <w:proofErr w:type="gramStart"/>
      <w:r w:rsidR="00680460" w:rsidRPr="007B1F39">
        <w:t>mitigate</w:t>
      </w:r>
      <w:proofErr w:type="gramEnd"/>
      <w:r w:rsidR="00680460" w:rsidRPr="007B1F39">
        <w:t xml:space="preserve"> against the risks they are paying for.</w:t>
      </w:r>
      <w:r w:rsidR="00375D39">
        <w:t xml:space="preserve"> </w:t>
      </w:r>
    </w:p>
    <w:p w14:paraId="01CDCA01" w14:textId="77777777" w:rsidR="008E2344" w:rsidRDefault="00680460" w:rsidP="00680460">
      <w:pPr>
        <w:spacing w:after="0"/>
        <w:rPr>
          <w:b/>
        </w:rPr>
      </w:pPr>
      <w:r w:rsidRPr="00E54E87">
        <w:rPr>
          <w:b/>
        </w:rPr>
        <w:t>International experience:</w:t>
      </w:r>
      <w:r w:rsidR="008E2344">
        <w:rPr>
          <w:b/>
        </w:rPr>
        <w:t xml:space="preserve"> </w:t>
      </w:r>
      <w:r>
        <w:rPr>
          <w:b/>
        </w:rPr>
        <w:t xml:space="preserve"> </w:t>
      </w:r>
    </w:p>
    <w:p w14:paraId="4ECB3745" w14:textId="77777777" w:rsidR="00535D00" w:rsidRDefault="003F596A" w:rsidP="004834E3">
      <w:pPr>
        <w:spacing w:after="0"/>
      </w:pPr>
      <w:r>
        <w:t xml:space="preserve">In April 2017, the </w:t>
      </w:r>
      <w:r w:rsidR="00C67AB7">
        <w:t>UK</w:t>
      </w:r>
      <w:r w:rsidR="00C67AB7" w:rsidDel="00E577A4">
        <w:t xml:space="preserve"> </w:t>
      </w:r>
      <w:r w:rsidR="00CA6EB9">
        <w:t>FCA</w:t>
      </w:r>
      <w:r>
        <w:t xml:space="preserve"> </w:t>
      </w:r>
      <w:r w:rsidR="00CA6EB9">
        <w:t>introduced new rules</w:t>
      </w:r>
      <w:r>
        <w:t xml:space="preserve"> to increase transparency and </w:t>
      </w:r>
      <w:r w:rsidR="00F60937">
        <w:t xml:space="preserve">engagement at renewal in general insurance markets. </w:t>
      </w:r>
      <w:r w:rsidR="004834E3">
        <w:t xml:space="preserve"> The rules were intended to encourage consumers to engage with their insurance renewal on both cover and price.</w:t>
      </w:r>
      <w:r w:rsidR="00F60937">
        <w:t xml:space="preserve"> </w:t>
      </w:r>
    </w:p>
    <w:p w14:paraId="651420AB" w14:textId="77777777" w:rsidR="00F36680" w:rsidRDefault="004834E3" w:rsidP="00F548D8">
      <w:r>
        <w:t xml:space="preserve">When firms send </w:t>
      </w:r>
      <w:r w:rsidR="00CB3519">
        <w:t xml:space="preserve">a </w:t>
      </w:r>
      <w:r>
        <w:t xml:space="preserve">general insurance renewal notice to a consumer, they </w:t>
      </w:r>
      <w:r w:rsidR="00967F63">
        <w:t xml:space="preserve">are </w:t>
      </w:r>
      <w:r>
        <w:t>required to:</w:t>
      </w:r>
    </w:p>
    <w:p w14:paraId="50361F5B" w14:textId="77777777" w:rsidR="004834E3" w:rsidRDefault="004834E3" w:rsidP="00535D00">
      <w:pPr>
        <w:pStyle w:val="Bullet"/>
      </w:pPr>
      <w:r>
        <w:t xml:space="preserve">Disclose </w:t>
      </w:r>
      <w:r w:rsidR="00624F01">
        <w:t xml:space="preserve">last </w:t>
      </w:r>
      <w:r>
        <w:t>year’s premium at each renewal, so that it can be easily comp</w:t>
      </w:r>
      <w:r w:rsidR="00361A37">
        <w:t>ared to the new premium offered;</w:t>
      </w:r>
    </w:p>
    <w:p w14:paraId="475DBABA" w14:textId="77777777" w:rsidR="004834E3" w:rsidRDefault="004834E3" w:rsidP="00535D00">
      <w:pPr>
        <w:pStyle w:val="Bullet"/>
      </w:pPr>
      <w:r>
        <w:t>Encourage c</w:t>
      </w:r>
      <w:r w:rsidR="003534B4">
        <w:t>onsumers to check their cover</w:t>
      </w:r>
      <w:r>
        <w:t xml:space="preserve"> and shop around for the best deal at each renewal</w:t>
      </w:r>
      <w:r w:rsidR="00361A37">
        <w:t>; and</w:t>
      </w:r>
    </w:p>
    <w:p w14:paraId="71D15526" w14:textId="77777777" w:rsidR="00CC276A" w:rsidRDefault="004834E3" w:rsidP="0002733C">
      <w:pPr>
        <w:pStyle w:val="Bullet"/>
      </w:pPr>
      <w:r>
        <w:t>Identify consumers who have renewed four, or more, consecutive times, and give these consumers an additional prescribed message encouraging them to shop around.</w:t>
      </w:r>
    </w:p>
    <w:p w14:paraId="06BC7C02" w14:textId="77777777" w:rsidR="00F73683" w:rsidRDefault="009F77BE" w:rsidP="00F73683">
      <w:pPr>
        <w:pStyle w:val="Bullet"/>
        <w:numPr>
          <w:ilvl w:val="0"/>
          <w:numId w:val="0"/>
        </w:numPr>
      </w:pPr>
      <w:r>
        <w:t>The FCA ha</w:t>
      </w:r>
      <w:r w:rsidR="00B46ABC">
        <w:t xml:space="preserve">s </w:t>
      </w:r>
      <w:r>
        <w:t>been monitoring how firms are implementing the rules.</w:t>
      </w:r>
      <w:r w:rsidR="00A04A3F">
        <w:rPr>
          <w:rStyle w:val="FootnoteReference"/>
        </w:rPr>
        <w:footnoteReference w:id="31"/>
      </w:r>
      <w:r>
        <w:t xml:space="preserve"> </w:t>
      </w:r>
      <w:r w:rsidR="00C8278A">
        <w:t xml:space="preserve"> Firms have made changes to their renewal documentation in line </w:t>
      </w:r>
      <w:r w:rsidR="00F84A0C">
        <w:t xml:space="preserve">with </w:t>
      </w:r>
      <w:r w:rsidR="00C8278A">
        <w:t xml:space="preserve">the rules to help consumers make informed decisions. </w:t>
      </w:r>
      <w:r w:rsidR="007C790B">
        <w:t>However, t</w:t>
      </w:r>
      <w:r w:rsidR="008E60A4">
        <w:t xml:space="preserve">he FCA has </w:t>
      </w:r>
      <w:r w:rsidR="002C6228">
        <w:t xml:space="preserve">seen several examples of firms </w:t>
      </w:r>
      <w:r w:rsidR="00967F63">
        <w:t>that</w:t>
      </w:r>
      <w:r w:rsidR="002C6228">
        <w:t xml:space="preserve"> have failed to comply fully with the rules. </w:t>
      </w:r>
      <w:r w:rsidR="000A3E3E">
        <w:t>The areas where firms have failed to meet the rules fall into four broad categories:</w:t>
      </w:r>
    </w:p>
    <w:p w14:paraId="07EE0D1B" w14:textId="77777777" w:rsidR="000A3E3E" w:rsidRDefault="004F065D" w:rsidP="000A3E3E">
      <w:pPr>
        <w:pStyle w:val="Bullet"/>
      </w:pPr>
      <w:r>
        <w:t>Providing incorrect premium information</w:t>
      </w:r>
      <w:r w:rsidR="003B0D0C">
        <w:t xml:space="preserve"> to consumers</w:t>
      </w:r>
      <w:r w:rsidR="00361A37">
        <w:t>;</w:t>
      </w:r>
    </w:p>
    <w:p w14:paraId="52797702" w14:textId="77777777" w:rsidR="004F065D" w:rsidRDefault="004F065D" w:rsidP="000A3E3E">
      <w:pPr>
        <w:pStyle w:val="Bullet"/>
      </w:pPr>
      <w:r>
        <w:lastRenderedPageBreak/>
        <w:t>Failing to present the premiums and shopping around message clearly, accurately and in a way which draws the consumer’s attention</w:t>
      </w:r>
      <w:r w:rsidR="00361A37">
        <w:t>;</w:t>
      </w:r>
    </w:p>
    <w:p w14:paraId="18D77C65" w14:textId="77777777" w:rsidR="003920E2" w:rsidRDefault="003920E2" w:rsidP="000A3E3E">
      <w:pPr>
        <w:pStyle w:val="Bullet"/>
      </w:pPr>
      <w:r>
        <w:t>Failing to implement the rule changes</w:t>
      </w:r>
      <w:r w:rsidR="00361A37">
        <w:t xml:space="preserve"> for all products and consumers; and</w:t>
      </w:r>
    </w:p>
    <w:p w14:paraId="1DCBDB0D" w14:textId="4812588E" w:rsidR="000B5653" w:rsidRDefault="00662497" w:rsidP="000A3E3E">
      <w:pPr>
        <w:pStyle w:val="Bullet"/>
      </w:pPr>
      <w:r>
        <w:t>Failing to properly identify a renewal as defined by the FCA’s rules. A renewal means carrying forward a policy, at the point of expiry and as a successive operation of the same nature and duration as the policy, with the same insurance intermediary or the same insurer.</w:t>
      </w:r>
    </w:p>
    <w:p w14:paraId="042A6BC8" w14:textId="02DC0E31" w:rsidR="000B5653" w:rsidRDefault="00431674">
      <w:pPr>
        <w:spacing w:before="0" w:after="160" w:line="259" w:lineRule="auto"/>
      </w:pPr>
      <w:r w:rsidRPr="00017FD3">
        <w:rPr>
          <w:b/>
          <w:noProof/>
        </w:rPr>
        <mc:AlternateContent>
          <mc:Choice Requires="wps">
            <w:drawing>
              <wp:anchor distT="0" distB="0" distL="114300" distR="114300" simplePos="0" relativeHeight="251658245" behindDoc="0" locked="0" layoutInCell="1" allowOverlap="1" wp14:anchorId="2AABD96C" wp14:editId="4F190FAB">
                <wp:simplePos x="0" y="0"/>
                <wp:positionH relativeFrom="column">
                  <wp:posOffset>-37465</wp:posOffset>
                </wp:positionH>
                <wp:positionV relativeFrom="paragraph">
                  <wp:posOffset>75565</wp:posOffset>
                </wp:positionV>
                <wp:extent cx="5900420" cy="7037070"/>
                <wp:effectExtent l="0" t="0" r="2413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7037070"/>
                        </a:xfrm>
                        <a:prstGeom prst="rect">
                          <a:avLst/>
                        </a:prstGeom>
                        <a:solidFill>
                          <a:srgbClr val="FFFFFF"/>
                        </a:solidFill>
                        <a:ln w="9525">
                          <a:solidFill>
                            <a:srgbClr val="000000"/>
                          </a:solidFill>
                          <a:miter lim="800000"/>
                          <a:headEnd/>
                          <a:tailEnd/>
                        </a:ln>
                      </wps:spPr>
                      <wps:txbx>
                        <w:txbxContent>
                          <w:p w14:paraId="43547E66" w14:textId="1066339E" w:rsidR="006972BA" w:rsidRDefault="006972BA" w:rsidP="00EF45BA">
                            <w:r>
                              <w:rPr>
                                <w:b/>
                              </w:rPr>
                              <w:t xml:space="preserve">Consultation questions: </w:t>
                            </w:r>
                          </w:p>
                          <w:p w14:paraId="31E75358" w14:textId="306BD54C" w:rsidR="006972BA" w:rsidRDefault="006972BA" w:rsidP="00EF45BA">
                            <w:pPr>
                              <w:pStyle w:val="OutlineNumbered1"/>
                              <w:numPr>
                                <w:ilvl w:val="0"/>
                                <w:numId w:val="23"/>
                              </w:numPr>
                            </w:pPr>
                            <w:r>
                              <w:t>It has become apparent from discussions with industry stakeholders that there is no generally accepted definition of component pricing.  What is understood by the term ‘component pricing’?</w:t>
                            </w:r>
                          </w:p>
                          <w:p w14:paraId="1C00C3CD" w14:textId="200E67FA" w:rsidR="006972BA" w:rsidRDefault="006972BA" w:rsidP="00EF45BA">
                            <w:pPr>
                              <w:pStyle w:val="OutlineNumbered1"/>
                              <w:numPr>
                                <w:ilvl w:val="0"/>
                                <w:numId w:val="23"/>
                              </w:numPr>
                            </w:pPr>
                            <w:r>
                              <w:t xml:space="preserve">What is the goal of disclosing a breakdown of an insurance premium on a renewal notice (component pricing)? How would consumers use this information? </w:t>
                            </w:r>
                          </w:p>
                          <w:p w14:paraId="584B6A5D" w14:textId="77777777" w:rsidR="006972BA" w:rsidRDefault="006972BA" w:rsidP="00EF45BA">
                            <w:pPr>
                              <w:pStyle w:val="OutlineNumbered1"/>
                              <w:numPr>
                                <w:ilvl w:val="0"/>
                                <w:numId w:val="23"/>
                              </w:numPr>
                            </w:pPr>
                            <w:r>
                              <w:t>Are there any risks associated with insurers providing a detailed breakdown of a premium’s components (i.e. commercial sensitivities)?</w:t>
                            </w:r>
                          </w:p>
                          <w:p w14:paraId="31AE7FAB" w14:textId="77777777" w:rsidR="006972BA" w:rsidRDefault="006972BA" w:rsidP="00EF45BA">
                            <w:pPr>
                              <w:pStyle w:val="OutlineNumbered1"/>
                              <w:numPr>
                                <w:ilvl w:val="0"/>
                                <w:numId w:val="23"/>
                              </w:numPr>
                            </w:pPr>
                            <w:r>
                              <w:t>If consumers act to mitigate some of the risks broken down in component pricing disclosure, how would insurers reduce their premium?</w:t>
                            </w:r>
                          </w:p>
                          <w:p w14:paraId="25491EC6" w14:textId="77777777" w:rsidR="006972BA" w:rsidRDefault="006972BA" w:rsidP="00FB57A6">
                            <w:pPr>
                              <w:pStyle w:val="OutlineNumbered1"/>
                              <w:numPr>
                                <w:ilvl w:val="0"/>
                                <w:numId w:val="23"/>
                              </w:numPr>
                            </w:pPr>
                            <w:r>
                              <w:t>Would the disclosure of component pricing on policy renewal notices be appropriate for any other type of general insurance product other than home building and home contents insurance?</w:t>
                            </w:r>
                            <w:r w:rsidRPr="00FB57A6">
                              <w:t xml:space="preserve"> </w:t>
                            </w:r>
                          </w:p>
                          <w:p w14:paraId="03C10442" w14:textId="22A99FE7" w:rsidR="006972BA" w:rsidRDefault="006972BA" w:rsidP="00FB57A6">
                            <w:pPr>
                              <w:pStyle w:val="OutlineNumbered1"/>
                              <w:numPr>
                                <w:ilvl w:val="0"/>
                                <w:numId w:val="23"/>
                              </w:numPr>
                            </w:pPr>
                            <w:r>
                              <w:t>What components would be most useful for consumers to see listed on their renewal notices? (For example taxes, amount attributable to flood cover)</w:t>
                            </w:r>
                          </w:p>
                          <w:p w14:paraId="3A6A2A1C" w14:textId="4483C265" w:rsidR="006972BA" w:rsidRDefault="006972BA" w:rsidP="00EF45BA">
                            <w:pPr>
                              <w:pStyle w:val="OutlineNumbered1"/>
                              <w:numPr>
                                <w:ilvl w:val="0"/>
                                <w:numId w:val="23"/>
                              </w:numPr>
                            </w:pPr>
                            <w:r>
                              <w:t>What data/breakdown are insurers able to provide if component pricing disclosure was introduced?</w:t>
                            </w:r>
                          </w:p>
                          <w:p w14:paraId="25526EB4" w14:textId="2EC24F03" w:rsidR="006972BA" w:rsidRDefault="006972BA" w:rsidP="00EF45BA">
                            <w:pPr>
                              <w:pStyle w:val="OutlineNumbered1"/>
                              <w:numPr>
                                <w:ilvl w:val="0"/>
                                <w:numId w:val="23"/>
                              </w:numPr>
                            </w:pPr>
                            <w:r w:rsidRPr="002E411C">
                              <w:t>Where the previous year’s premium is disclosed, should it be just the premium, or should it include taxes and charges?</w:t>
                            </w:r>
                            <w:r w:rsidRPr="002E411C" w:rsidDel="00B3700A">
                              <w:t xml:space="preserve"> </w:t>
                            </w:r>
                            <w:r>
                              <w:t xml:space="preserve">Should the amount of the insured value for the previous year also be disclosed? </w:t>
                            </w:r>
                          </w:p>
                          <w:p w14:paraId="45C934A0" w14:textId="2FC89DFB" w:rsidR="006972BA" w:rsidRDefault="006972BA" w:rsidP="00EF45BA">
                            <w:pPr>
                              <w:pStyle w:val="OutlineNumbered1"/>
                              <w:numPr>
                                <w:ilvl w:val="0"/>
                                <w:numId w:val="23"/>
                              </w:numPr>
                            </w:pPr>
                            <w:r>
                              <w:t>Would insurers prefer to provide further information along with a breakdown of component pricing (for example, a written explanation in the renewal notice, the opportunity to call their contact centre for more information)? Would these items be helpful for consumers?</w:t>
                            </w:r>
                          </w:p>
                          <w:p w14:paraId="1A707C7F" w14:textId="77777777" w:rsidR="006972BA" w:rsidRDefault="006972BA" w:rsidP="00EF45BA">
                            <w:pPr>
                              <w:pStyle w:val="OutlineNumbered1"/>
                              <w:numPr>
                                <w:ilvl w:val="0"/>
                                <w:numId w:val="23"/>
                              </w:numPr>
                            </w:pPr>
                            <w:r>
                              <w:t>Would the inclusion of the sum insured and any excess along with previous year’s premium on renewal notices be more appropriate than only disclosing previous year’s premiums?</w:t>
                            </w:r>
                          </w:p>
                          <w:p w14:paraId="1B81F243" w14:textId="63B7A0C2" w:rsidR="006972BA" w:rsidRDefault="006972BA" w:rsidP="00EF45BA">
                            <w:pPr>
                              <w:pStyle w:val="OutlineNumbered1"/>
                              <w:numPr>
                                <w:ilvl w:val="0"/>
                                <w:numId w:val="23"/>
                              </w:numPr>
                            </w:pPr>
                            <w:r>
                              <w:t xml:space="preserve">What are the benefits and costs in mandating a link to the ASIC’s MoneySmart website to be included in new quotes and renewal notices? </w:t>
                            </w:r>
                          </w:p>
                          <w:p w14:paraId="4EBA0713" w14:textId="4D6EF03D" w:rsidR="006972BA" w:rsidRDefault="006972BA" w:rsidP="00EF45BA">
                            <w:pPr>
                              <w:pStyle w:val="OutlineNumbered1"/>
                              <w:numPr>
                                <w:ilvl w:val="0"/>
                                <w:numId w:val="23"/>
                              </w:numPr>
                            </w:pPr>
                            <w:r>
                              <w:t xml:space="preserve">Are there any risks associated with disclosing the types of costs that count towards estimation of sum insured? </w:t>
                            </w:r>
                          </w:p>
                          <w:p w14:paraId="6337BAB2" w14:textId="76249620" w:rsidR="006972BA" w:rsidRDefault="006972BA" w:rsidP="00296DB5">
                            <w:pPr>
                              <w:pStyle w:val="OutlineNumbered1"/>
                              <w:numPr>
                                <w:ilvl w:val="0"/>
                                <w:numId w:val="23"/>
                              </w:numPr>
                            </w:pPr>
                            <w:r>
                              <w:t>Would the disclosure of types of costs that count toward sum insured on insurers’ sum insured calculator be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5pt;margin-top:5.95pt;width:464.6pt;height:554.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">
                <v:textbox>
                  <w:txbxContent>
                    <w:p w14:paraId="43547E66" w14:textId="1066339E" w:rsidR="006972BA" w:rsidRDefault="006972BA" w:rsidP="00EF45BA">
                      <w:r>
                        <w:rPr>
                          <w:b/>
                        </w:rPr>
                        <w:t xml:space="preserve">Consultation questions: </w:t>
                      </w:r>
                    </w:p>
                    <w:p w14:paraId="31E75358" w14:textId="306BD54C" w:rsidR="006972BA" w:rsidRDefault="006972BA" w:rsidP="00EF45BA">
                      <w:pPr>
                        <w:pStyle w:val="OutlineNumbered1"/>
                        <w:numPr>
                          <w:ilvl w:val="0"/>
                          <w:numId w:val="23"/>
                        </w:numPr>
                      </w:pPr>
                      <w:r>
                        <w:t>It has become apparent from discussions with industry stakeholders that there is no generally accepted definition of component pricing.  What is understood by the term ‘component pricing’?</w:t>
                      </w:r>
                    </w:p>
                    <w:p w14:paraId="1C00C3CD" w14:textId="200E67FA" w:rsidR="006972BA" w:rsidRDefault="006972BA" w:rsidP="00EF45BA">
                      <w:pPr>
                        <w:pStyle w:val="OutlineNumbered1"/>
                        <w:numPr>
                          <w:ilvl w:val="0"/>
                          <w:numId w:val="23"/>
                        </w:numPr>
                      </w:pPr>
                      <w:r>
                        <w:t xml:space="preserve">What is the goal of disclosing a breakdown of an insurance premium on a renewal notice (component pricing)? How would consumers use this information? </w:t>
                      </w:r>
                    </w:p>
                    <w:p w14:paraId="584B6A5D" w14:textId="77777777" w:rsidR="006972BA" w:rsidRDefault="006972BA" w:rsidP="00EF45BA">
                      <w:pPr>
                        <w:pStyle w:val="OutlineNumbered1"/>
                        <w:numPr>
                          <w:ilvl w:val="0"/>
                          <w:numId w:val="23"/>
                        </w:numPr>
                      </w:pPr>
                      <w:r>
                        <w:t>Are there any risks associated with insurers providing a detailed breakdown of a premium’s components (i.e. commercial sensitivities)?</w:t>
                      </w:r>
                    </w:p>
                    <w:p w14:paraId="31AE7FAB" w14:textId="77777777" w:rsidR="006972BA" w:rsidRDefault="006972BA" w:rsidP="00EF45BA">
                      <w:pPr>
                        <w:pStyle w:val="OutlineNumbered1"/>
                        <w:numPr>
                          <w:ilvl w:val="0"/>
                          <w:numId w:val="23"/>
                        </w:numPr>
                      </w:pPr>
                      <w:r>
                        <w:t>If consumers act to mitigate some of the risks broken down in component pricing disclosure, how would insurers reduce their premium?</w:t>
                      </w:r>
                    </w:p>
                    <w:p w14:paraId="25491EC6" w14:textId="77777777" w:rsidR="006972BA" w:rsidRDefault="006972BA" w:rsidP="00FB57A6">
                      <w:pPr>
                        <w:pStyle w:val="OutlineNumbered1"/>
                        <w:numPr>
                          <w:ilvl w:val="0"/>
                          <w:numId w:val="23"/>
                        </w:numPr>
                      </w:pPr>
                      <w:r>
                        <w:t>Would the disclosure of component pricing on policy renewal notices be appropriate for any other type of general insurance product other than home building and home contents insurance?</w:t>
                      </w:r>
                      <w:r w:rsidRPr="00FB57A6">
                        <w:t xml:space="preserve"> </w:t>
                      </w:r>
                    </w:p>
                    <w:p w14:paraId="03C10442" w14:textId="22A99FE7" w:rsidR="006972BA" w:rsidRDefault="006972BA" w:rsidP="00FB57A6">
                      <w:pPr>
                        <w:pStyle w:val="OutlineNumbered1"/>
                        <w:numPr>
                          <w:ilvl w:val="0"/>
                          <w:numId w:val="23"/>
                        </w:numPr>
                      </w:pPr>
                      <w:r>
                        <w:t>What components would be most useful for consumers to see listed on their renewal notices? (For example taxes, amount attributable to flood cover)</w:t>
                      </w:r>
                    </w:p>
                    <w:p w14:paraId="3A6A2A1C" w14:textId="4483C265" w:rsidR="006972BA" w:rsidRDefault="006972BA" w:rsidP="00EF45BA">
                      <w:pPr>
                        <w:pStyle w:val="OutlineNumbered1"/>
                        <w:numPr>
                          <w:ilvl w:val="0"/>
                          <w:numId w:val="23"/>
                        </w:numPr>
                      </w:pPr>
                      <w:r>
                        <w:t>What data/breakdown are insurers able to provide if component pricing disclosure was introduced?</w:t>
                      </w:r>
                    </w:p>
                    <w:p w14:paraId="25526EB4" w14:textId="2EC24F03" w:rsidR="006972BA" w:rsidRDefault="006972BA" w:rsidP="00EF45BA">
                      <w:pPr>
                        <w:pStyle w:val="OutlineNumbered1"/>
                        <w:numPr>
                          <w:ilvl w:val="0"/>
                          <w:numId w:val="23"/>
                        </w:numPr>
                      </w:pPr>
                      <w:r w:rsidRPr="002E411C">
                        <w:t>Where the previous year’s premium is disclosed, should it be just the premium, or should it include taxes and charges?</w:t>
                      </w:r>
                      <w:r w:rsidRPr="002E411C" w:rsidDel="00B3700A">
                        <w:t xml:space="preserve"> </w:t>
                      </w:r>
                      <w:r>
                        <w:t xml:space="preserve">Should the amount of the insured value for the previous year also be disclosed? </w:t>
                      </w:r>
                    </w:p>
                    <w:p w14:paraId="45C934A0" w14:textId="2FC89DFB" w:rsidR="006972BA" w:rsidRDefault="006972BA" w:rsidP="00EF45BA">
                      <w:pPr>
                        <w:pStyle w:val="OutlineNumbered1"/>
                        <w:numPr>
                          <w:ilvl w:val="0"/>
                          <w:numId w:val="23"/>
                        </w:numPr>
                      </w:pPr>
                      <w:r>
                        <w:t>Would insurers prefer to provide further information along with a breakdown of component pricing (for example, a written explanation in the renewal notice, the opportunity to call their contact centre for more information)? Would these items be helpful for consumers?</w:t>
                      </w:r>
                    </w:p>
                    <w:p w14:paraId="1A707C7F" w14:textId="77777777" w:rsidR="006972BA" w:rsidRDefault="006972BA" w:rsidP="00EF45BA">
                      <w:pPr>
                        <w:pStyle w:val="OutlineNumbered1"/>
                        <w:numPr>
                          <w:ilvl w:val="0"/>
                          <w:numId w:val="23"/>
                        </w:numPr>
                      </w:pPr>
                      <w:r>
                        <w:t>Would the inclusion of the sum insured and any excess along with previous year’s premium on renewal notices be more appropriate than only disclosing previous year’s premiums?</w:t>
                      </w:r>
                    </w:p>
                    <w:p w14:paraId="1B81F243" w14:textId="63B7A0C2" w:rsidR="006972BA" w:rsidRDefault="006972BA" w:rsidP="00EF45BA">
                      <w:pPr>
                        <w:pStyle w:val="OutlineNumbered1"/>
                        <w:numPr>
                          <w:ilvl w:val="0"/>
                          <w:numId w:val="23"/>
                        </w:numPr>
                      </w:pPr>
                      <w:r>
                        <w:t xml:space="preserve">What are the benefits and costs in mandating a link to the ASIC’s MoneySmart website to be included in new quotes and renewal notices? </w:t>
                      </w:r>
                    </w:p>
                    <w:p w14:paraId="4EBA0713" w14:textId="4D6EF03D" w:rsidR="006972BA" w:rsidRDefault="006972BA" w:rsidP="00EF45BA">
                      <w:pPr>
                        <w:pStyle w:val="OutlineNumbered1"/>
                        <w:numPr>
                          <w:ilvl w:val="0"/>
                          <w:numId w:val="23"/>
                        </w:numPr>
                      </w:pPr>
                      <w:r>
                        <w:t xml:space="preserve">Are there any risks associated with disclosing the types of costs that count towards estimation of sum insured? </w:t>
                      </w:r>
                    </w:p>
                    <w:p w14:paraId="6337BAB2" w14:textId="76249620" w:rsidR="006972BA" w:rsidRDefault="006972BA" w:rsidP="00296DB5">
                      <w:pPr>
                        <w:pStyle w:val="OutlineNumbered1"/>
                        <w:numPr>
                          <w:ilvl w:val="0"/>
                          <w:numId w:val="23"/>
                        </w:numPr>
                      </w:pPr>
                      <w:r>
                        <w:t>Would the disclosure of types of costs that count toward sum insured on insurers’ sum insured calculator be appropriate?</w:t>
                      </w:r>
                    </w:p>
                  </w:txbxContent>
                </v:textbox>
              </v:shape>
            </w:pict>
          </mc:Fallback>
        </mc:AlternateContent>
      </w:r>
    </w:p>
    <w:p w14:paraId="309F4995" w14:textId="1BC3A594" w:rsidR="004F065D" w:rsidRDefault="004F065D" w:rsidP="004F065D">
      <w:pPr>
        <w:pStyle w:val="Bullet"/>
        <w:numPr>
          <w:ilvl w:val="0"/>
          <w:numId w:val="0"/>
        </w:numPr>
      </w:pPr>
    </w:p>
    <w:p w14:paraId="69D69405" w14:textId="257DF769" w:rsidR="00017FD3" w:rsidRDefault="00017FD3" w:rsidP="00966E59">
      <w:pPr>
        <w:pStyle w:val="Heading2"/>
      </w:pPr>
      <w:bookmarkStart w:id="26" w:name="_Toc528840421"/>
      <w:bookmarkStart w:id="27" w:name="_Toc528840602"/>
      <w:bookmarkStart w:id="28" w:name="_Toc515978332"/>
      <w:bookmarkEnd w:id="26"/>
      <w:bookmarkEnd w:id="27"/>
    </w:p>
    <w:p w14:paraId="67F97B2D" w14:textId="09EC61EA" w:rsidR="00017FD3" w:rsidRDefault="00017FD3" w:rsidP="00966E59">
      <w:pPr>
        <w:pStyle w:val="Heading2"/>
      </w:pPr>
    </w:p>
    <w:p w14:paraId="68F754BF" w14:textId="77777777" w:rsidR="00017FD3" w:rsidRDefault="00017FD3" w:rsidP="00966E59">
      <w:pPr>
        <w:pStyle w:val="Heading2"/>
      </w:pPr>
    </w:p>
    <w:p w14:paraId="737B16B3" w14:textId="77777777" w:rsidR="00017FD3" w:rsidRDefault="00017FD3" w:rsidP="00966E59">
      <w:pPr>
        <w:pStyle w:val="Heading2"/>
      </w:pPr>
    </w:p>
    <w:p w14:paraId="5422BFC5" w14:textId="77777777" w:rsidR="00017FD3" w:rsidRDefault="00017FD3" w:rsidP="00966E59">
      <w:pPr>
        <w:pStyle w:val="Heading2"/>
      </w:pPr>
    </w:p>
    <w:p w14:paraId="5423D43D" w14:textId="77777777" w:rsidR="00017FD3" w:rsidRDefault="00017FD3" w:rsidP="00966E59">
      <w:pPr>
        <w:pStyle w:val="Heading2"/>
      </w:pPr>
    </w:p>
    <w:p w14:paraId="7D9202AC" w14:textId="77777777" w:rsidR="00017FD3" w:rsidRDefault="00017FD3" w:rsidP="00966E59">
      <w:pPr>
        <w:pStyle w:val="Heading2"/>
      </w:pPr>
    </w:p>
    <w:p w14:paraId="657D6A82" w14:textId="1CDDCBA6" w:rsidR="00017FD3" w:rsidRDefault="00017FD3" w:rsidP="00966E59">
      <w:pPr>
        <w:pStyle w:val="Heading2"/>
      </w:pPr>
    </w:p>
    <w:p w14:paraId="52375413" w14:textId="66ACCFAB" w:rsidR="00D63A03" w:rsidRDefault="00D63A03">
      <w:pPr>
        <w:spacing w:before="0" w:after="160" w:line="259" w:lineRule="auto"/>
      </w:pPr>
    </w:p>
    <w:p w14:paraId="799DA47C" w14:textId="77777777" w:rsidR="000E6D37" w:rsidRDefault="000E6D37">
      <w:pPr>
        <w:spacing w:before="0" w:after="160" w:line="259" w:lineRule="auto"/>
        <w:rPr>
          <w:rFonts w:cs="Arial"/>
          <w:iCs/>
          <w:color w:val="004A7F"/>
          <w:kern w:val="32"/>
          <w:sz w:val="36"/>
          <w:szCs w:val="28"/>
        </w:rPr>
      </w:pPr>
      <w:bookmarkStart w:id="29" w:name="_Toc528840603"/>
      <w:r>
        <w:br w:type="page"/>
      </w:r>
    </w:p>
    <w:p w14:paraId="1F48F74C" w14:textId="0C7F15C5" w:rsidR="00680460" w:rsidRPr="00573517" w:rsidRDefault="00680460" w:rsidP="00966E59">
      <w:pPr>
        <w:pStyle w:val="Heading2"/>
        <w:rPr>
          <w:szCs w:val="20"/>
        </w:rPr>
      </w:pPr>
      <w:r w:rsidRPr="00573517">
        <w:lastRenderedPageBreak/>
        <w:t xml:space="preserve">Standard cover – is </w:t>
      </w:r>
      <w:r w:rsidR="00260373" w:rsidRPr="00573517">
        <w:t xml:space="preserve">the </w:t>
      </w:r>
      <w:r w:rsidRPr="00573517">
        <w:t>current disclosure regime efficient?</w:t>
      </w:r>
      <w:bookmarkEnd w:id="28"/>
      <w:bookmarkEnd w:id="29"/>
    </w:p>
    <w:p w14:paraId="42013B0B" w14:textId="14871724" w:rsidR="00FB57A6" w:rsidRDefault="0074264E" w:rsidP="00680460">
      <w:pPr>
        <w:pStyle w:val="OutlineNumbered1"/>
        <w:numPr>
          <w:ilvl w:val="0"/>
          <w:numId w:val="0"/>
        </w:numPr>
        <w:rPr>
          <w:b/>
        </w:rPr>
      </w:pPr>
      <w:r w:rsidRPr="00017FD3">
        <w:rPr>
          <w:b/>
          <w:noProof/>
        </w:rPr>
        <mc:AlternateContent>
          <mc:Choice Requires="wps">
            <w:drawing>
              <wp:anchor distT="0" distB="0" distL="114300" distR="114300" simplePos="0" relativeHeight="251658244" behindDoc="0" locked="0" layoutInCell="1" allowOverlap="1" wp14:anchorId="669FFDD8" wp14:editId="1D8F8697">
                <wp:simplePos x="0" y="0"/>
                <wp:positionH relativeFrom="column">
                  <wp:posOffset>-79375</wp:posOffset>
                </wp:positionH>
                <wp:positionV relativeFrom="paragraph">
                  <wp:posOffset>90170</wp:posOffset>
                </wp:positionV>
                <wp:extent cx="5941695" cy="738505"/>
                <wp:effectExtent l="0" t="0" r="2095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738505"/>
                        </a:xfrm>
                        <a:prstGeom prst="rect">
                          <a:avLst/>
                        </a:prstGeom>
                        <a:solidFill>
                          <a:srgbClr val="FFFFFF"/>
                        </a:solidFill>
                        <a:ln w="9525">
                          <a:solidFill>
                            <a:srgbClr val="000000"/>
                          </a:solidFill>
                          <a:miter lim="800000"/>
                          <a:headEnd/>
                          <a:tailEnd/>
                        </a:ln>
                      </wps:spPr>
                      <wps:txbx>
                        <w:txbxContent>
                          <w:p w14:paraId="003A9AC9" w14:textId="77777777" w:rsidR="006972BA" w:rsidRDefault="006972BA" w:rsidP="00017FD3">
                            <w:pPr>
                              <w:pStyle w:val="OutlineNumbered1"/>
                              <w:numPr>
                                <w:ilvl w:val="0"/>
                                <w:numId w:val="0"/>
                              </w:numPr>
                              <w:rPr>
                                <w:b/>
                              </w:rPr>
                            </w:pPr>
                            <w:r>
                              <w:rPr>
                                <w:b/>
                              </w:rPr>
                              <w:t>Recommendation</w:t>
                            </w:r>
                          </w:p>
                          <w:p w14:paraId="6350B582" w14:textId="77777777" w:rsidR="006972BA" w:rsidRPr="00A25C78" w:rsidRDefault="006972BA" w:rsidP="004F3B65">
                            <w:pPr>
                              <w:pStyle w:val="Bullet"/>
                            </w:pPr>
                            <w:r>
                              <w:t>I</w:t>
                            </w:r>
                            <w:r w:rsidRPr="00A25C78">
                              <w:t>nitiate an independent review of the current standard cover regime with particular regard to the efficacy of the current disclosure requirements.</w:t>
                            </w:r>
                          </w:p>
                          <w:p w14:paraId="2A5027AD" w14:textId="77777777" w:rsidR="006972BA" w:rsidRDefault="00697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5pt;margin-top:7.1pt;width:467.85pt;height:5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">
                <v:textbox>
                  <w:txbxContent>
                    <w:p w14:paraId="003A9AC9" w14:textId="77777777" w:rsidR="006972BA" w:rsidRDefault="006972BA" w:rsidP="00017FD3">
                      <w:pPr>
                        <w:pStyle w:val="OutlineNumbered1"/>
                        <w:numPr>
                          <w:ilvl w:val="0"/>
                          <w:numId w:val="0"/>
                        </w:numPr>
                        <w:rPr>
                          <w:b/>
                        </w:rPr>
                      </w:pPr>
                      <w:r>
                        <w:rPr>
                          <w:b/>
                        </w:rPr>
                        <w:t>Recommendation</w:t>
                      </w:r>
                    </w:p>
                    <w:p w14:paraId="6350B582" w14:textId="77777777" w:rsidR="006972BA" w:rsidRPr="00A25C78" w:rsidRDefault="006972BA" w:rsidP="004F3B65">
                      <w:pPr>
                        <w:pStyle w:val="Bullet"/>
                      </w:pPr>
                      <w:r>
                        <w:t>I</w:t>
                      </w:r>
                      <w:r w:rsidRPr="00A25C78">
                        <w:t>nitiate an independent review of the current standard cover regime with particular regard to the efficacy of the current disclosure requirements.</w:t>
                      </w:r>
                    </w:p>
                    <w:p w14:paraId="2A5027AD" w14:textId="77777777" w:rsidR="006972BA" w:rsidRDefault="006972BA"/>
                  </w:txbxContent>
                </v:textbox>
              </v:shape>
            </w:pict>
          </mc:Fallback>
        </mc:AlternateContent>
      </w:r>
    </w:p>
    <w:p w14:paraId="04366F41" w14:textId="77777777" w:rsidR="0074264E" w:rsidRDefault="0074264E" w:rsidP="00680460">
      <w:pPr>
        <w:pStyle w:val="OutlineNumbered1"/>
        <w:numPr>
          <w:ilvl w:val="0"/>
          <w:numId w:val="0"/>
        </w:numPr>
        <w:rPr>
          <w:b/>
        </w:rPr>
      </w:pPr>
    </w:p>
    <w:p w14:paraId="787B540D" w14:textId="77777777" w:rsidR="0074264E" w:rsidRDefault="0074264E" w:rsidP="00680460">
      <w:pPr>
        <w:pStyle w:val="OutlineNumbered1"/>
        <w:numPr>
          <w:ilvl w:val="0"/>
          <w:numId w:val="0"/>
        </w:numPr>
        <w:rPr>
          <w:b/>
        </w:rPr>
      </w:pPr>
    </w:p>
    <w:p w14:paraId="79A38898" w14:textId="77777777" w:rsidR="0074264E" w:rsidRDefault="0074264E" w:rsidP="00680460">
      <w:pPr>
        <w:pStyle w:val="OutlineNumbered1"/>
        <w:numPr>
          <w:ilvl w:val="0"/>
          <w:numId w:val="0"/>
        </w:numPr>
        <w:rPr>
          <w:b/>
        </w:rPr>
      </w:pPr>
    </w:p>
    <w:p w14:paraId="20E6DAC3" w14:textId="77777777" w:rsidR="00132CDA" w:rsidRDefault="00132CDA" w:rsidP="00680460">
      <w:pPr>
        <w:pStyle w:val="OutlineNumbered1"/>
        <w:numPr>
          <w:ilvl w:val="0"/>
          <w:numId w:val="0"/>
        </w:numPr>
      </w:pPr>
      <w:r>
        <w:rPr>
          <w:b/>
        </w:rPr>
        <w:t>Objective</w:t>
      </w:r>
    </w:p>
    <w:p w14:paraId="53632BE0" w14:textId="7EFB972C" w:rsidR="00680460" w:rsidRDefault="00132CDA" w:rsidP="00680460">
      <w:pPr>
        <w:pStyle w:val="OutlineNumbered1"/>
        <w:numPr>
          <w:ilvl w:val="0"/>
          <w:numId w:val="0"/>
        </w:numPr>
      </w:pPr>
      <w:proofErr w:type="gramStart"/>
      <w:r>
        <w:t>T</w:t>
      </w:r>
      <w:r w:rsidR="00680460">
        <w:t xml:space="preserve">o enhance comparability of </w:t>
      </w:r>
      <w:r w:rsidR="0069784E">
        <w:t xml:space="preserve">insurance </w:t>
      </w:r>
      <w:r w:rsidR="00680460">
        <w:t>products</w:t>
      </w:r>
      <w:r w:rsidR="005A7854">
        <w:t>.</w:t>
      </w:r>
      <w:proofErr w:type="gramEnd"/>
      <w:r w:rsidR="005A7854">
        <w:t xml:space="preserve">  This</w:t>
      </w:r>
      <w:r w:rsidR="00680460">
        <w:t xml:space="preserve"> could reduce underinsurance and enhance understanding of insurance contracts.</w:t>
      </w:r>
    </w:p>
    <w:p w14:paraId="1E9723B1" w14:textId="77777777" w:rsidR="00132CDA" w:rsidRDefault="00132CDA" w:rsidP="00680460">
      <w:pPr>
        <w:pStyle w:val="OutlineNumbered1"/>
        <w:numPr>
          <w:ilvl w:val="0"/>
          <w:numId w:val="0"/>
        </w:numPr>
        <w:rPr>
          <w:b/>
        </w:rPr>
      </w:pPr>
      <w:r>
        <w:rPr>
          <w:b/>
        </w:rPr>
        <w:t>Issue</w:t>
      </w:r>
    </w:p>
    <w:p w14:paraId="274105AF" w14:textId="77777777" w:rsidR="007715BA" w:rsidRPr="002F3601" w:rsidRDefault="007715BA" w:rsidP="00F548D8">
      <w:pPr>
        <w:pStyle w:val="OutlineNumbered1"/>
        <w:numPr>
          <w:ilvl w:val="0"/>
          <w:numId w:val="0"/>
        </w:numPr>
        <w:spacing w:before="120"/>
      </w:pPr>
      <w:r>
        <w:t xml:space="preserve">The standard cover regime </w:t>
      </w:r>
      <w:r w:rsidR="00A97600">
        <w:t>was established</w:t>
      </w:r>
      <w:r>
        <w:t xml:space="preserve"> to </w:t>
      </w:r>
      <w:r w:rsidR="008E57B6">
        <w:t>standard</w:t>
      </w:r>
      <w:r w:rsidR="00D359A0">
        <w:t>ise</w:t>
      </w:r>
      <w:r w:rsidR="00753DCC">
        <w:t xml:space="preserve"> terms and conditions </w:t>
      </w:r>
      <w:r w:rsidR="008E57B6">
        <w:t xml:space="preserve">between </w:t>
      </w:r>
      <w:r w:rsidR="00240993">
        <w:t>prescribed types of</w:t>
      </w:r>
      <w:r w:rsidR="00753DCC">
        <w:t xml:space="preserve"> </w:t>
      </w:r>
      <w:r w:rsidR="00240993">
        <w:t>insurance contract</w:t>
      </w:r>
      <w:r w:rsidR="009D0347">
        <w:t>s</w:t>
      </w:r>
      <w:r w:rsidR="00753DCC">
        <w:t xml:space="preserve">. </w:t>
      </w:r>
      <w:r w:rsidR="008E57B6">
        <w:t>By</w:t>
      </w:r>
      <w:r w:rsidR="00441579">
        <w:t xml:space="preserve"> restricting the scope for variation between comparable insurance </w:t>
      </w:r>
      <w:r w:rsidR="002F3601">
        <w:t>contracts</w:t>
      </w:r>
      <w:r w:rsidR="00441579">
        <w:t xml:space="preserve"> and</w:t>
      </w:r>
      <w:r w:rsidR="008E57B6">
        <w:t xml:space="preserve"> ensuring a minimum level of consistency,</w:t>
      </w:r>
      <w:r w:rsidR="00753DCC">
        <w:t xml:space="preserve"> </w:t>
      </w:r>
      <w:r w:rsidR="008E57B6">
        <w:t>the standard cover regime</w:t>
      </w:r>
      <w:r w:rsidR="00A97600">
        <w:t xml:space="preserve"> seek</w:t>
      </w:r>
      <w:r w:rsidR="00967F63">
        <w:t>s</w:t>
      </w:r>
      <w:r w:rsidR="00A97600">
        <w:t xml:space="preserve"> to</w:t>
      </w:r>
      <w:r w:rsidR="008E57B6">
        <w:t xml:space="preserve"> </w:t>
      </w:r>
      <w:r w:rsidR="002F3601">
        <w:t xml:space="preserve">guard against a lack of coverage for events that are commonly expected to be covered by that type of insurance contract. </w:t>
      </w:r>
      <w:r w:rsidR="00D30C47">
        <w:t>In turn,</w:t>
      </w:r>
      <w:r w:rsidR="00CB2B32">
        <w:t xml:space="preserve"> </w:t>
      </w:r>
      <w:r w:rsidR="008E57B6">
        <w:t>r</w:t>
      </w:r>
      <w:r w:rsidR="00CB2B32">
        <w:t xml:space="preserve">educing the </w:t>
      </w:r>
      <w:r w:rsidR="00D30C47">
        <w:t>degree</w:t>
      </w:r>
      <w:r w:rsidR="00CB2B32">
        <w:t xml:space="preserve"> </w:t>
      </w:r>
      <w:r w:rsidR="00D30C47">
        <w:t>to</w:t>
      </w:r>
      <w:r w:rsidR="00CB2B32">
        <w:t xml:space="preserve"> which insurance policies </w:t>
      </w:r>
      <w:r w:rsidR="00D30C47">
        <w:t>can</w:t>
      </w:r>
      <w:r w:rsidR="00CB2B32">
        <w:t xml:space="preserve"> depart from a </w:t>
      </w:r>
      <w:r w:rsidR="00D30C47">
        <w:t xml:space="preserve">‘common’ </w:t>
      </w:r>
      <w:r w:rsidR="00CB2B32">
        <w:t xml:space="preserve">understanding </w:t>
      </w:r>
      <w:r w:rsidR="00D30C47">
        <w:t>of what</w:t>
      </w:r>
      <w:r w:rsidR="008E57B6">
        <w:t xml:space="preserve"> </w:t>
      </w:r>
      <w:r w:rsidR="00D30C47">
        <w:t xml:space="preserve">any </w:t>
      </w:r>
      <w:r w:rsidR="008E57B6">
        <w:t>given insurance contract</w:t>
      </w:r>
      <w:r w:rsidR="00D30C47">
        <w:t xml:space="preserve"> should </w:t>
      </w:r>
      <w:r w:rsidR="005A7854">
        <w:t xml:space="preserve">cover </w:t>
      </w:r>
      <w:r w:rsidR="00A97600">
        <w:t xml:space="preserve">should help </w:t>
      </w:r>
      <w:r w:rsidR="00D30C47">
        <w:t>reduce the</w:t>
      </w:r>
      <w:r w:rsidR="00441579">
        <w:t xml:space="preserve"> </w:t>
      </w:r>
      <w:r w:rsidR="002F3601">
        <w:t>likelihood</w:t>
      </w:r>
      <w:r w:rsidR="00441579">
        <w:t xml:space="preserve"> of</w:t>
      </w:r>
      <w:r w:rsidR="002F3601">
        <w:t xml:space="preserve"> </w:t>
      </w:r>
      <w:r w:rsidR="00A97600">
        <w:t>inadvertent</w:t>
      </w:r>
      <w:r w:rsidR="00441579">
        <w:t xml:space="preserve"> underinsurance by consumers</w:t>
      </w:r>
      <w:r w:rsidR="00753DCC">
        <w:t xml:space="preserve">. </w:t>
      </w:r>
      <w:r w:rsidR="008C3C93">
        <w:t>When introduced</w:t>
      </w:r>
      <w:r w:rsidR="00225D47">
        <w:t xml:space="preserve"> in 1984</w:t>
      </w:r>
      <w:r w:rsidR="008C3C93">
        <w:t xml:space="preserve"> the standard cover regime did not provide standard definitions.</w:t>
      </w:r>
    </w:p>
    <w:p w14:paraId="0483CFE3" w14:textId="0CDD772C" w:rsidR="00102676" w:rsidRDefault="00B3700A" w:rsidP="00F548D8">
      <w:pPr>
        <w:pStyle w:val="OutlineNumbered1"/>
        <w:numPr>
          <w:ilvl w:val="0"/>
          <w:numId w:val="0"/>
        </w:numPr>
        <w:spacing w:before="120"/>
      </w:pPr>
      <w:r>
        <w:t xml:space="preserve">Standard cover requirements for a range of types of general insurance contracts are set out </w:t>
      </w:r>
      <w:r w:rsidR="00A9592F">
        <w:t>in</w:t>
      </w:r>
      <w:r w:rsidR="00D83281">
        <w:t xml:space="preserve"> the </w:t>
      </w:r>
      <w:r w:rsidR="00357B52">
        <w:t>Insurance Contracts Act</w:t>
      </w:r>
      <w:r w:rsidR="00D83281">
        <w:t xml:space="preserve">. However, a contract can </w:t>
      </w:r>
      <w:r w:rsidR="00A97600">
        <w:t xml:space="preserve">deviate from </w:t>
      </w:r>
      <w:r w:rsidR="00D83281">
        <w:t xml:space="preserve">standard cover so long as </w:t>
      </w:r>
      <w:r w:rsidR="00A9592F">
        <w:t xml:space="preserve">the consumer was clearly informed, knew, or ought </w:t>
      </w:r>
      <w:r w:rsidR="005A7854">
        <w:t xml:space="preserve">to </w:t>
      </w:r>
      <w:r w:rsidR="00A9592F">
        <w:t>have known.</w:t>
      </w:r>
      <w:r w:rsidR="00A9592F">
        <w:rPr>
          <w:rStyle w:val="FootnoteReference"/>
        </w:rPr>
        <w:footnoteReference w:id="32"/>
      </w:r>
      <w:r>
        <w:t xml:space="preserve"> Details of standard cover for classes of insurance are prescribed in the </w:t>
      </w:r>
      <w:r w:rsidR="00357B52">
        <w:t>Insurance Contracts Regulations</w:t>
      </w:r>
      <w:r>
        <w:t>.</w:t>
      </w:r>
    </w:p>
    <w:p w14:paraId="4FCAEB9D" w14:textId="338166B2" w:rsidR="00D83281" w:rsidRDefault="003E790F" w:rsidP="00F548D8">
      <w:pPr>
        <w:pStyle w:val="OutlineNumbered1"/>
        <w:numPr>
          <w:ilvl w:val="0"/>
          <w:numId w:val="0"/>
        </w:numPr>
        <w:spacing w:before="120"/>
      </w:pPr>
      <w:r w:rsidRPr="00E259E0">
        <w:t>The issue of ‘clearly informed’ has been judicially considered, where it has been found that ‘clearly informed’ means to ‘make known’.</w:t>
      </w:r>
      <w:r w:rsidRPr="00E259E0">
        <w:rPr>
          <w:rStyle w:val="FootnoteReference"/>
        </w:rPr>
        <w:footnoteReference w:id="33"/>
      </w:r>
      <w:r w:rsidRPr="00E259E0">
        <w:t xml:space="preserve"> </w:t>
      </w:r>
      <w:r>
        <w:t xml:space="preserve"> Currently, this requirement is satisfied through the provision of a </w:t>
      </w:r>
      <w:r w:rsidR="000E6D37">
        <w:t>PDS</w:t>
      </w:r>
      <w:r>
        <w:t xml:space="preserve"> that discloses the deviation from standard cover. However, </w:t>
      </w:r>
      <w:r w:rsidRPr="007A6102">
        <w:t xml:space="preserve">as </w:t>
      </w:r>
      <w:r>
        <w:t>PDSs are</w:t>
      </w:r>
      <w:r w:rsidRPr="007A6102">
        <w:t xml:space="preserve"> frequently not read (at least not in </w:t>
      </w:r>
      <w:r>
        <w:t>their</w:t>
      </w:r>
      <w:r w:rsidRPr="007A6102">
        <w:t xml:space="preserve"> entirety) or not understood</w:t>
      </w:r>
      <w:r>
        <w:t>,</w:t>
      </w:r>
      <w:r w:rsidRPr="007A6102">
        <w:rPr>
          <w:rStyle w:val="FootnoteReference"/>
        </w:rPr>
        <w:footnoteReference w:id="34"/>
      </w:r>
      <w:r>
        <w:t xml:space="preserve"> this can be ineffective in alerting customers to the fact their policy does not meet the standard cover regime</w:t>
      </w:r>
      <w:r w:rsidR="00A97600">
        <w:t xml:space="preserve"> </w:t>
      </w:r>
    </w:p>
    <w:p w14:paraId="36BDD00F" w14:textId="77777777" w:rsidR="00441579" w:rsidRDefault="00753DCC" w:rsidP="00F548D8">
      <w:pPr>
        <w:pStyle w:val="OutlineNumbered1"/>
        <w:numPr>
          <w:ilvl w:val="0"/>
          <w:numId w:val="0"/>
        </w:numPr>
        <w:spacing w:before="120"/>
      </w:pPr>
      <w:r>
        <w:t xml:space="preserve">The </w:t>
      </w:r>
      <w:proofErr w:type="gramStart"/>
      <w:r w:rsidR="00441579">
        <w:t>extent</w:t>
      </w:r>
      <w:proofErr w:type="gramEnd"/>
      <w:r>
        <w:t xml:space="preserve"> to </w:t>
      </w:r>
      <w:r w:rsidR="00441579">
        <w:t xml:space="preserve">which a </w:t>
      </w:r>
      <w:r>
        <w:t xml:space="preserve">standard cover regime </w:t>
      </w:r>
      <w:r w:rsidR="00441579">
        <w:t>delivers a minimum level of default cover across comparable insurance policies, is influenced by the following:</w:t>
      </w:r>
    </w:p>
    <w:p w14:paraId="2AE3AA1D" w14:textId="77777777" w:rsidR="00441579" w:rsidRDefault="00967F63" w:rsidP="00F9404A">
      <w:pPr>
        <w:pStyle w:val="Bullet"/>
      </w:pPr>
      <w:r>
        <w:t xml:space="preserve">Those </w:t>
      </w:r>
      <w:r w:rsidR="00441579">
        <w:t xml:space="preserve">terms and conditions </w:t>
      </w:r>
      <w:r>
        <w:t xml:space="preserve">that </w:t>
      </w:r>
      <w:r w:rsidR="00441579">
        <w:t xml:space="preserve">are included as part of the </w:t>
      </w:r>
      <w:r w:rsidR="00753DCC">
        <w:t xml:space="preserve">standard cover </w:t>
      </w:r>
      <w:r w:rsidR="00441579">
        <w:t>regime;</w:t>
      </w:r>
    </w:p>
    <w:p w14:paraId="7B01EC21" w14:textId="77777777" w:rsidR="009D0347" w:rsidRDefault="00441579" w:rsidP="00F9404A">
      <w:pPr>
        <w:pStyle w:val="Bullet"/>
      </w:pPr>
      <w:r>
        <w:t>Whether the standard cover regime is</w:t>
      </w:r>
      <w:r w:rsidR="00753DCC">
        <w:t xml:space="preserve"> subject to an exemption </w:t>
      </w:r>
      <w:r>
        <w:t>to provide</w:t>
      </w:r>
      <w:r w:rsidR="00753DCC">
        <w:t xml:space="preserve"> less than standard cover</w:t>
      </w:r>
      <w:r>
        <w:t>;</w:t>
      </w:r>
      <w:r w:rsidR="009A1E83">
        <w:t xml:space="preserve"> and</w:t>
      </w:r>
    </w:p>
    <w:p w14:paraId="13CCA6C7" w14:textId="77777777" w:rsidR="004E1A23" w:rsidRDefault="00441579" w:rsidP="00281ABA">
      <w:pPr>
        <w:pStyle w:val="Bullet"/>
      </w:pPr>
      <w:r>
        <w:t>If standard cover is subject to such an exemption</w:t>
      </w:r>
      <w:r w:rsidR="00753DCC">
        <w:t xml:space="preserve">, the </w:t>
      </w:r>
      <w:r>
        <w:t xml:space="preserve">threshold </w:t>
      </w:r>
      <w:r w:rsidR="00753DCC">
        <w:t xml:space="preserve">requirements </w:t>
      </w:r>
      <w:r w:rsidR="00967F63">
        <w:t xml:space="preserve">that apply </w:t>
      </w:r>
      <w:r>
        <w:t>before the exemption is enlivened.</w:t>
      </w:r>
      <w:r w:rsidDel="00441579">
        <w:t xml:space="preserve"> </w:t>
      </w:r>
    </w:p>
    <w:p w14:paraId="2D26CC47" w14:textId="064D7D34" w:rsidR="004E1A23" w:rsidRDefault="004E1A23" w:rsidP="004E1A23">
      <w:pPr>
        <w:pStyle w:val="Bullet"/>
        <w:numPr>
          <w:ilvl w:val="0"/>
          <w:numId w:val="0"/>
        </w:numPr>
      </w:pPr>
      <w:r>
        <w:t>In considering options to enhance disclosure, which could have the effect of limiting deviations from the stand</w:t>
      </w:r>
      <w:r w:rsidR="00102676">
        <w:t>ard</w:t>
      </w:r>
      <w:r>
        <w:t xml:space="preserve"> cover regime, issues that would need to be considered include the potential effects on innovation and competition, and whether there wou</w:t>
      </w:r>
      <w:r w:rsidR="00B83B16">
        <w:t>ld be restrictions in the extent</w:t>
      </w:r>
      <w:r>
        <w:t xml:space="preserve"> of cover that could be obtained in practice. </w:t>
      </w:r>
      <w:r w:rsidR="003E790F">
        <w:t xml:space="preserve">For example, would limiting exclusions mean increasing premiums to a level that </w:t>
      </w:r>
      <w:r w:rsidR="00225D47">
        <w:t xml:space="preserve">could lead to </w:t>
      </w:r>
      <w:r w:rsidR="003E790F">
        <w:t>insurance bec</w:t>
      </w:r>
      <w:r w:rsidR="00225D47">
        <w:t>oming</w:t>
      </w:r>
      <w:r w:rsidR="003E790F">
        <w:t xml:space="preserve"> unaffordable for consumers in high-risk </w:t>
      </w:r>
      <w:proofErr w:type="gramStart"/>
      <w:r w:rsidR="003E790F">
        <w:t>areas.</w:t>
      </w:r>
      <w:proofErr w:type="gramEnd"/>
    </w:p>
    <w:p w14:paraId="44778B2C" w14:textId="77777777" w:rsidR="0069784E" w:rsidRDefault="0069784E" w:rsidP="0069784E">
      <w:pPr>
        <w:pStyle w:val="OutlineNumbered1"/>
        <w:numPr>
          <w:ilvl w:val="0"/>
          <w:numId w:val="0"/>
        </w:numPr>
      </w:pPr>
      <w:r>
        <w:rPr>
          <w:b/>
        </w:rPr>
        <w:lastRenderedPageBreak/>
        <w:t>Consumer views</w:t>
      </w:r>
    </w:p>
    <w:p w14:paraId="3922E67C" w14:textId="77777777" w:rsidR="00920F04" w:rsidRPr="00920F04" w:rsidRDefault="00D71EA6" w:rsidP="00F548D8">
      <w:pPr>
        <w:autoSpaceDE w:val="0"/>
        <w:autoSpaceDN w:val="0"/>
        <w:adjustRightInd w:val="0"/>
        <w:rPr>
          <w:szCs w:val="22"/>
        </w:rPr>
      </w:pPr>
      <w:r>
        <w:rPr>
          <w:szCs w:val="22"/>
        </w:rPr>
        <w:t>Consumer group, Consumer Action Law Centre</w:t>
      </w:r>
      <w:r w:rsidR="00680460" w:rsidRPr="00920F04">
        <w:rPr>
          <w:szCs w:val="22"/>
        </w:rPr>
        <w:t xml:space="preserve"> (CALC)</w:t>
      </w:r>
      <w:r w:rsidR="000830B9">
        <w:rPr>
          <w:szCs w:val="22"/>
        </w:rPr>
        <w:t>,</w:t>
      </w:r>
      <w:r w:rsidR="00680460" w:rsidRPr="00920F04">
        <w:rPr>
          <w:szCs w:val="22"/>
        </w:rPr>
        <w:t xml:space="preserve"> suggest</w:t>
      </w:r>
      <w:r w:rsidR="000830B9">
        <w:rPr>
          <w:szCs w:val="22"/>
        </w:rPr>
        <w:t>ed</w:t>
      </w:r>
      <w:r w:rsidR="00680460" w:rsidRPr="00920F04">
        <w:rPr>
          <w:szCs w:val="22"/>
        </w:rPr>
        <w:t xml:space="preserve"> that standard cover has failed to address the problem people face </w:t>
      </w:r>
      <w:r w:rsidR="00C4288D" w:rsidRPr="00920F04">
        <w:rPr>
          <w:szCs w:val="22"/>
        </w:rPr>
        <w:t xml:space="preserve">understanding the extent and coverage of a policy </w:t>
      </w:r>
      <w:r w:rsidR="00680460" w:rsidRPr="00920F04">
        <w:rPr>
          <w:szCs w:val="22"/>
        </w:rPr>
        <w:t xml:space="preserve">when </w:t>
      </w:r>
      <w:r w:rsidR="00C4288D" w:rsidRPr="00920F04">
        <w:rPr>
          <w:szCs w:val="22"/>
        </w:rPr>
        <w:t>purchasing</w:t>
      </w:r>
      <w:r w:rsidR="00680460" w:rsidRPr="00920F04">
        <w:rPr>
          <w:szCs w:val="22"/>
        </w:rPr>
        <w:t xml:space="preserve"> insurance.</w:t>
      </w:r>
      <w:r w:rsidR="00B3700A">
        <w:rPr>
          <w:rStyle w:val="FootnoteReference"/>
          <w:szCs w:val="22"/>
        </w:rPr>
        <w:footnoteReference w:id="35"/>
      </w:r>
      <w:r w:rsidR="00680460" w:rsidRPr="00920F04">
        <w:rPr>
          <w:szCs w:val="22"/>
        </w:rPr>
        <w:t xml:space="preserve"> </w:t>
      </w:r>
      <w:r w:rsidR="00D3359D" w:rsidRPr="00920F04">
        <w:rPr>
          <w:szCs w:val="22"/>
        </w:rPr>
        <w:t>As a result, consumers</w:t>
      </w:r>
      <w:r w:rsidR="00FB198A" w:rsidRPr="00920F04">
        <w:rPr>
          <w:szCs w:val="22"/>
        </w:rPr>
        <w:t xml:space="preserve"> are continually exposed</w:t>
      </w:r>
      <w:r w:rsidR="00D3359D" w:rsidRPr="00920F04">
        <w:rPr>
          <w:szCs w:val="22"/>
        </w:rPr>
        <w:t xml:space="preserve"> to unintentional underinsurance.</w:t>
      </w:r>
      <w:r w:rsidR="00680460" w:rsidRPr="00920F04">
        <w:rPr>
          <w:szCs w:val="22"/>
        </w:rPr>
        <w:t xml:space="preserve"> The</w:t>
      </w:r>
      <w:r w:rsidR="00C4288D" w:rsidRPr="00920F04">
        <w:rPr>
          <w:szCs w:val="22"/>
        </w:rPr>
        <w:t>se</w:t>
      </w:r>
      <w:r w:rsidR="00680460" w:rsidRPr="00920F04">
        <w:rPr>
          <w:szCs w:val="22"/>
        </w:rPr>
        <w:t xml:space="preserve"> problems persist </w:t>
      </w:r>
      <w:r w:rsidR="00C4288D" w:rsidRPr="00920F04">
        <w:rPr>
          <w:szCs w:val="22"/>
        </w:rPr>
        <w:t>because of</w:t>
      </w:r>
      <w:r w:rsidR="0085501C" w:rsidRPr="00920F04">
        <w:rPr>
          <w:szCs w:val="22"/>
        </w:rPr>
        <w:t>:</w:t>
      </w:r>
    </w:p>
    <w:p w14:paraId="0AF0F22D" w14:textId="57A4CF41" w:rsidR="00920F04" w:rsidRPr="00AB2BD2" w:rsidRDefault="00D3359D" w:rsidP="00AB2BD2">
      <w:pPr>
        <w:pStyle w:val="Bullet"/>
        <w:rPr>
          <w:szCs w:val="22"/>
        </w:rPr>
      </w:pPr>
      <w:r w:rsidRPr="00920F04">
        <w:rPr>
          <w:szCs w:val="22"/>
        </w:rPr>
        <w:t>A l</w:t>
      </w:r>
      <w:r w:rsidR="00C4288D" w:rsidRPr="00920F04">
        <w:rPr>
          <w:szCs w:val="22"/>
        </w:rPr>
        <w:t>ack of consumer</w:t>
      </w:r>
      <w:r w:rsidR="00A97600">
        <w:rPr>
          <w:szCs w:val="22"/>
        </w:rPr>
        <w:t xml:space="preserve"> knowledge</w:t>
      </w:r>
      <w:r w:rsidR="00C4288D" w:rsidRPr="00920F04">
        <w:rPr>
          <w:szCs w:val="22"/>
        </w:rPr>
        <w:t xml:space="preserve"> of </w:t>
      </w:r>
      <w:r w:rsidR="00A97600">
        <w:rPr>
          <w:szCs w:val="22"/>
        </w:rPr>
        <w:t>the existence of</w:t>
      </w:r>
      <w:r w:rsidR="00D856A2">
        <w:rPr>
          <w:szCs w:val="22"/>
        </w:rPr>
        <w:t>,</w:t>
      </w:r>
      <w:r w:rsidR="00A97600">
        <w:rPr>
          <w:szCs w:val="22"/>
        </w:rPr>
        <w:t xml:space="preserve"> and what is covered by</w:t>
      </w:r>
      <w:r w:rsidR="00D856A2">
        <w:rPr>
          <w:szCs w:val="22"/>
        </w:rPr>
        <w:t>,</w:t>
      </w:r>
      <w:r w:rsidR="00C4288D" w:rsidRPr="00920F04">
        <w:rPr>
          <w:szCs w:val="22"/>
        </w:rPr>
        <w:t xml:space="preserve"> standard cover </w:t>
      </w:r>
      <w:r w:rsidR="00680460" w:rsidRPr="00920F04">
        <w:rPr>
          <w:szCs w:val="22"/>
        </w:rPr>
        <w:t>—</w:t>
      </w:r>
      <w:r w:rsidR="00C4288D" w:rsidRPr="00920F04">
        <w:rPr>
          <w:szCs w:val="22"/>
        </w:rPr>
        <w:t xml:space="preserve"> public awareness </w:t>
      </w:r>
      <w:r w:rsidR="0024522C" w:rsidRPr="00920F04">
        <w:rPr>
          <w:szCs w:val="22"/>
        </w:rPr>
        <w:t>about</w:t>
      </w:r>
      <w:r w:rsidR="00FB198A" w:rsidRPr="00920F04">
        <w:rPr>
          <w:szCs w:val="22"/>
        </w:rPr>
        <w:t xml:space="preserve"> the coverage an</w:t>
      </w:r>
      <w:r w:rsidR="00C4288D" w:rsidRPr="00920F04">
        <w:rPr>
          <w:szCs w:val="22"/>
        </w:rPr>
        <w:t xml:space="preserve"> insurance</w:t>
      </w:r>
      <w:r w:rsidR="00FB198A" w:rsidRPr="00920F04">
        <w:rPr>
          <w:szCs w:val="22"/>
        </w:rPr>
        <w:t xml:space="preserve"> contract offering</w:t>
      </w:r>
      <w:r w:rsidR="00C4288D" w:rsidRPr="00920F04">
        <w:rPr>
          <w:szCs w:val="22"/>
        </w:rPr>
        <w:t xml:space="preserve"> standard </w:t>
      </w:r>
      <w:r w:rsidR="00FB198A" w:rsidRPr="00920F04">
        <w:rPr>
          <w:szCs w:val="22"/>
        </w:rPr>
        <w:t>cover</w:t>
      </w:r>
      <w:r w:rsidR="00C4288D" w:rsidRPr="00920F04">
        <w:rPr>
          <w:szCs w:val="22"/>
        </w:rPr>
        <w:t xml:space="preserve"> is </w:t>
      </w:r>
      <w:r w:rsidR="009D0347" w:rsidRPr="00920F04">
        <w:rPr>
          <w:szCs w:val="22"/>
        </w:rPr>
        <w:t>minimal</w:t>
      </w:r>
      <w:r w:rsidR="00C4288D" w:rsidRPr="00920F04">
        <w:rPr>
          <w:szCs w:val="22"/>
        </w:rPr>
        <w:t>: without understanding what is required under standard cover, consumers are unable to determine whether an insurance contract offers standard cover</w:t>
      </w:r>
      <w:r w:rsidR="00D856A2">
        <w:rPr>
          <w:szCs w:val="22"/>
        </w:rPr>
        <w:t>.</w:t>
      </w:r>
      <w:r w:rsidR="00C4288D" w:rsidRPr="00920F04">
        <w:rPr>
          <w:szCs w:val="22"/>
        </w:rPr>
        <w:t xml:space="preserve"> This may also influence whether consumers complain about insurance contracts that </w:t>
      </w:r>
      <w:r w:rsidR="00FB198A" w:rsidRPr="00920F04">
        <w:rPr>
          <w:szCs w:val="22"/>
        </w:rPr>
        <w:t>illegally</w:t>
      </w:r>
      <w:r w:rsidR="00C4288D" w:rsidRPr="00920F04">
        <w:rPr>
          <w:szCs w:val="22"/>
        </w:rPr>
        <w:t xml:space="preserve"> provide less than standard cover; </w:t>
      </w:r>
      <w:r w:rsidR="00920F04">
        <w:rPr>
          <w:szCs w:val="22"/>
        </w:rPr>
        <w:t>and</w:t>
      </w:r>
    </w:p>
    <w:p w14:paraId="588754A1" w14:textId="77777777" w:rsidR="00AB2BD2" w:rsidRPr="00AB2BD2" w:rsidRDefault="00D3359D" w:rsidP="00AB2BD2">
      <w:pPr>
        <w:pStyle w:val="Bullet"/>
        <w:rPr>
          <w:szCs w:val="22"/>
        </w:rPr>
      </w:pPr>
      <w:r w:rsidRPr="00920F04">
        <w:rPr>
          <w:szCs w:val="22"/>
        </w:rPr>
        <w:t xml:space="preserve">The </w:t>
      </w:r>
      <w:r w:rsidR="009D0347" w:rsidRPr="00920F04">
        <w:rPr>
          <w:szCs w:val="22"/>
        </w:rPr>
        <w:t>threshold</w:t>
      </w:r>
      <w:r w:rsidRPr="00920F04">
        <w:rPr>
          <w:szCs w:val="22"/>
        </w:rPr>
        <w:t xml:space="preserve"> requirements for insurers to offer less than standard cover</w:t>
      </w:r>
      <w:r w:rsidR="00680460" w:rsidRPr="00920F04">
        <w:rPr>
          <w:szCs w:val="22"/>
        </w:rPr>
        <w:t>—</w:t>
      </w:r>
      <w:r w:rsidR="00C02D23">
        <w:rPr>
          <w:szCs w:val="22"/>
        </w:rPr>
        <w:t>i</w:t>
      </w:r>
      <w:r w:rsidRPr="00920F04">
        <w:rPr>
          <w:szCs w:val="22"/>
        </w:rPr>
        <w:t xml:space="preserve">nsurers </w:t>
      </w:r>
      <w:r w:rsidR="00FB198A" w:rsidRPr="00920F04">
        <w:rPr>
          <w:szCs w:val="22"/>
        </w:rPr>
        <w:t>can</w:t>
      </w:r>
      <w:r w:rsidRPr="00920F04">
        <w:rPr>
          <w:szCs w:val="22"/>
        </w:rPr>
        <w:t xml:space="preserve"> fulfil the requirement to ‘clearly i</w:t>
      </w:r>
      <w:r w:rsidR="00FB198A" w:rsidRPr="00920F04">
        <w:rPr>
          <w:szCs w:val="22"/>
        </w:rPr>
        <w:t>n</w:t>
      </w:r>
      <w:r w:rsidRPr="00920F04">
        <w:rPr>
          <w:szCs w:val="22"/>
        </w:rPr>
        <w:t>form’ a consumer of the less</w:t>
      </w:r>
      <w:r w:rsidR="00FB198A" w:rsidRPr="00920F04">
        <w:rPr>
          <w:szCs w:val="22"/>
        </w:rPr>
        <w:t xml:space="preserve"> than standard</w:t>
      </w:r>
      <w:r w:rsidRPr="00920F04">
        <w:rPr>
          <w:szCs w:val="22"/>
        </w:rPr>
        <w:t xml:space="preserve"> cover </w:t>
      </w:r>
      <w:r w:rsidR="00FB198A" w:rsidRPr="00920F04">
        <w:rPr>
          <w:szCs w:val="22"/>
        </w:rPr>
        <w:t>offered by an insurance contract</w:t>
      </w:r>
      <w:r w:rsidR="009D0347" w:rsidRPr="00920F04">
        <w:rPr>
          <w:szCs w:val="22"/>
        </w:rPr>
        <w:t xml:space="preserve"> in most cases</w:t>
      </w:r>
      <w:r w:rsidRPr="00920F04">
        <w:rPr>
          <w:szCs w:val="22"/>
        </w:rPr>
        <w:t xml:space="preserve"> by providing the consumer with a PDS, which is lengthy and demonstrably unlikely to be read by consumers. Further, there is no requirement for the PDS to highlight </w:t>
      </w:r>
      <w:r w:rsidR="009D0347" w:rsidRPr="00920F04">
        <w:rPr>
          <w:szCs w:val="22"/>
        </w:rPr>
        <w:t>the specific areas where</w:t>
      </w:r>
      <w:r w:rsidRPr="00920F04">
        <w:rPr>
          <w:szCs w:val="22"/>
        </w:rPr>
        <w:t xml:space="preserve"> the policy offers less than standard cover.</w:t>
      </w:r>
    </w:p>
    <w:p w14:paraId="5AC68BBD" w14:textId="77777777" w:rsidR="00F63A29" w:rsidRDefault="00F63A29" w:rsidP="00F63A29">
      <w:pPr>
        <w:pStyle w:val="Bullet"/>
        <w:numPr>
          <w:ilvl w:val="0"/>
          <w:numId w:val="0"/>
        </w:numPr>
        <w:ind w:left="284" w:hanging="284"/>
        <w:rPr>
          <w:b/>
        </w:rPr>
      </w:pPr>
      <w:r w:rsidRPr="00F63A29">
        <w:rPr>
          <w:b/>
        </w:rPr>
        <w:t>Industry views</w:t>
      </w:r>
    </w:p>
    <w:p w14:paraId="0DEBB70B" w14:textId="77777777" w:rsidR="003C66E7" w:rsidRDefault="003C66E7" w:rsidP="00F548D8">
      <w:pPr>
        <w:pStyle w:val="Bullet"/>
        <w:numPr>
          <w:ilvl w:val="0"/>
          <w:numId w:val="0"/>
        </w:numPr>
        <w:spacing w:before="120"/>
      </w:pPr>
      <w:r>
        <w:t xml:space="preserve">In </w:t>
      </w:r>
      <w:r w:rsidR="00DD69A0">
        <w:t xml:space="preserve">its </w:t>
      </w:r>
      <w:r>
        <w:t xml:space="preserve">submission to the Senate </w:t>
      </w:r>
      <w:r w:rsidR="0024522C">
        <w:t>Committee</w:t>
      </w:r>
      <w:r w:rsidR="00DE3DFC">
        <w:t xml:space="preserve"> Inquiry</w:t>
      </w:r>
      <w:r>
        <w:t>, the National Insurance Brokers Association (NIBA) state</w:t>
      </w:r>
      <w:r w:rsidR="00CC519A">
        <w:t>d</w:t>
      </w:r>
      <w:r>
        <w:t xml:space="preserve"> </w:t>
      </w:r>
      <w:r w:rsidRPr="00992DF2">
        <w:t>that ‘it is critically important to note that each insurance policy can be and most likely is different’</w:t>
      </w:r>
      <w:r>
        <w:t xml:space="preserve">. Notwithstanding the requirements under the standard cover regime, insurers develop and offer their own terms and conditions of cover, and </w:t>
      </w:r>
      <w:r w:rsidR="005A7854">
        <w:t xml:space="preserve">it </w:t>
      </w:r>
      <w:r>
        <w:t xml:space="preserve">should not be assumed that they offer identical coverage. A </w:t>
      </w:r>
      <w:r w:rsidR="007B3D7D">
        <w:t>benefit</w:t>
      </w:r>
      <w:r>
        <w:t xml:space="preserve"> </w:t>
      </w:r>
      <w:r w:rsidR="007B3D7D">
        <w:t>of</w:t>
      </w:r>
      <w:r>
        <w:t xml:space="preserve"> the variation of cover offered is that insurers are able to tailor insurance contracts to accommodate a variety of different price points.</w:t>
      </w:r>
      <w:r w:rsidR="00CC519A">
        <w:rPr>
          <w:rStyle w:val="FootnoteReference"/>
        </w:rPr>
        <w:footnoteReference w:id="36"/>
      </w:r>
      <w:r>
        <w:t xml:space="preserve"> </w:t>
      </w:r>
    </w:p>
    <w:p w14:paraId="26D9CB42" w14:textId="77777777" w:rsidR="00915118" w:rsidRPr="002E411C" w:rsidRDefault="00915118" w:rsidP="00F548D8">
      <w:pPr>
        <w:autoSpaceDE w:val="0"/>
        <w:autoSpaceDN w:val="0"/>
        <w:adjustRightInd w:val="0"/>
        <w:spacing w:before="0" w:after="0"/>
        <w:rPr>
          <w:rFonts w:asciiTheme="minorHAnsi" w:eastAsiaTheme="minorHAnsi" w:hAnsiTheme="minorHAnsi"/>
          <w:lang w:eastAsia="en-US"/>
        </w:rPr>
      </w:pPr>
      <w:r w:rsidRPr="001922B9">
        <w:rPr>
          <w:rFonts w:asciiTheme="minorHAnsi" w:hAnsiTheme="minorHAnsi"/>
        </w:rPr>
        <w:t>In</w:t>
      </w:r>
      <w:r w:rsidRPr="002E411C">
        <w:rPr>
          <w:rFonts w:asciiTheme="minorHAnsi" w:hAnsiTheme="minorHAnsi"/>
        </w:rPr>
        <w:t xml:space="preserve"> its evidence to the Senate </w:t>
      </w:r>
      <w:r w:rsidR="00E8202E">
        <w:rPr>
          <w:rFonts w:asciiTheme="minorHAnsi" w:hAnsiTheme="minorHAnsi"/>
        </w:rPr>
        <w:t xml:space="preserve">Committee </w:t>
      </w:r>
      <w:r w:rsidRPr="002E411C">
        <w:rPr>
          <w:rFonts w:asciiTheme="minorHAnsi" w:hAnsiTheme="minorHAnsi"/>
        </w:rPr>
        <w:t xml:space="preserve">Inquiry, </w:t>
      </w:r>
      <w:r w:rsidRPr="002E411C">
        <w:rPr>
          <w:rFonts w:asciiTheme="minorHAnsi" w:eastAsiaTheme="minorHAnsi" w:hAnsiTheme="minorHAnsi"/>
          <w:lang w:eastAsia="en-US"/>
        </w:rPr>
        <w:t>NIBA suggested th</w:t>
      </w:r>
      <w:r w:rsidR="00F548D8">
        <w:rPr>
          <w:rFonts w:asciiTheme="minorHAnsi" w:eastAsiaTheme="minorHAnsi" w:hAnsiTheme="minorHAnsi"/>
          <w:lang w:eastAsia="en-US"/>
        </w:rPr>
        <w:t xml:space="preserve">at it is timely for a review of </w:t>
      </w:r>
      <w:r w:rsidRPr="002E411C">
        <w:rPr>
          <w:rFonts w:asciiTheme="minorHAnsi" w:eastAsiaTheme="minorHAnsi" w:hAnsiTheme="minorHAnsi"/>
          <w:lang w:eastAsia="en-US"/>
        </w:rPr>
        <w:t>the standard cover provisions with input from the ins</w:t>
      </w:r>
      <w:r w:rsidR="00F548D8">
        <w:rPr>
          <w:rFonts w:asciiTheme="minorHAnsi" w:eastAsiaTheme="minorHAnsi" w:hAnsiTheme="minorHAnsi"/>
          <w:lang w:eastAsia="en-US"/>
        </w:rPr>
        <w:t xml:space="preserve">urance industry, government and </w:t>
      </w:r>
      <w:r w:rsidRPr="002E411C">
        <w:rPr>
          <w:rFonts w:asciiTheme="minorHAnsi" w:eastAsiaTheme="minorHAnsi" w:hAnsiTheme="minorHAnsi"/>
          <w:lang w:eastAsia="en-US"/>
        </w:rPr>
        <w:t xml:space="preserve">consumer groups. </w:t>
      </w:r>
    </w:p>
    <w:p w14:paraId="0C57678A" w14:textId="77777777" w:rsidR="00915118" w:rsidRPr="00F548D8" w:rsidRDefault="00915118" w:rsidP="00F548D8">
      <w:pPr>
        <w:autoSpaceDE w:val="0"/>
        <w:autoSpaceDN w:val="0"/>
        <w:adjustRightInd w:val="0"/>
        <w:rPr>
          <w:rFonts w:asciiTheme="minorHAnsi" w:eastAsiaTheme="minorHAnsi" w:hAnsiTheme="minorHAnsi"/>
          <w:szCs w:val="22"/>
          <w:lang w:eastAsia="en-US"/>
        </w:rPr>
      </w:pPr>
      <w:r w:rsidRPr="002E411C">
        <w:rPr>
          <w:rFonts w:asciiTheme="minorHAnsi" w:eastAsiaTheme="minorHAnsi" w:hAnsiTheme="minorHAnsi"/>
          <w:lang w:eastAsia="en-US"/>
        </w:rPr>
        <w:t>Mr</w:t>
      </w:r>
      <w:r w:rsidR="00914497">
        <w:rPr>
          <w:rFonts w:asciiTheme="minorHAnsi" w:eastAsiaTheme="minorHAnsi" w:hAnsiTheme="minorHAnsi"/>
          <w:lang w:eastAsia="en-US"/>
        </w:rPr>
        <w:t xml:space="preserve"> Dallas</w:t>
      </w:r>
      <w:r w:rsidRPr="002E411C">
        <w:rPr>
          <w:rFonts w:asciiTheme="minorHAnsi" w:eastAsiaTheme="minorHAnsi" w:hAnsiTheme="minorHAnsi"/>
          <w:lang w:eastAsia="en-US"/>
        </w:rPr>
        <w:t xml:space="preserve"> Booth, CEO of NIBA contended that:</w:t>
      </w:r>
    </w:p>
    <w:p w14:paraId="102BD454" w14:textId="77777777" w:rsidR="00915118" w:rsidRPr="002E411C" w:rsidRDefault="00E8202E" w:rsidP="001922B9">
      <w:pPr>
        <w:autoSpaceDE w:val="0"/>
        <w:autoSpaceDN w:val="0"/>
        <w:adjustRightInd w:val="0"/>
        <w:spacing w:before="0" w:after="0"/>
        <w:ind w:left="720"/>
        <w:rPr>
          <w:rFonts w:asciiTheme="minorHAnsi" w:eastAsiaTheme="minorHAnsi" w:hAnsiTheme="minorHAnsi"/>
          <w:i/>
          <w:lang w:eastAsia="en-US"/>
        </w:rPr>
      </w:pPr>
      <w:r>
        <w:rPr>
          <w:rFonts w:asciiTheme="minorHAnsi" w:eastAsiaTheme="minorHAnsi" w:hAnsiTheme="minorHAnsi"/>
          <w:i/>
          <w:lang w:eastAsia="en-US"/>
        </w:rPr>
        <w:t>“</w:t>
      </w:r>
      <w:r w:rsidR="00915118" w:rsidRPr="002E411C">
        <w:rPr>
          <w:rFonts w:asciiTheme="minorHAnsi" w:eastAsiaTheme="minorHAnsi" w:hAnsiTheme="minorHAnsi"/>
          <w:i/>
          <w:lang w:eastAsia="en-US"/>
        </w:rPr>
        <w:t xml:space="preserve">I believe that if we can have a comprehensive review of </w:t>
      </w:r>
      <w:proofErr w:type="gramStart"/>
      <w:r w:rsidR="00915118" w:rsidRPr="002E411C">
        <w:rPr>
          <w:rFonts w:asciiTheme="minorHAnsi" w:eastAsiaTheme="minorHAnsi" w:hAnsiTheme="minorHAnsi"/>
          <w:i/>
          <w:lang w:eastAsia="en-US"/>
        </w:rPr>
        <w:t>those</w:t>
      </w:r>
      <w:r w:rsidR="00F24FAC">
        <w:rPr>
          <w:rFonts w:asciiTheme="minorHAnsi" w:eastAsiaTheme="minorHAnsi" w:hAnsiTheme="minorHAnsi"/>
          <w:i/>
          <w:lang w:eastAsia="en-US"/>
        </w:rPr>
        <w:t xml:space="preserve"> </w:t>
      </w:r>
      <w:r w:rsidR="00915118" w:rsidRPr="002E411C">
        <w:rPr>
          <w:rFonts w:asciiTheme="minorHAnsi" w:eastAsiaTheme="minorHAnsi" w:hAnsiTheme="minorHAnsi"/>
          <w:i/>
          <w:lang w:eastAsia="en-US"/>
        </w:rPr>
        <w:t>standard form</w:t>
      </w:r>
      <w:proofErr w:type="gramEnd"/>
    </w:p>
    <w:p w14:paraId="7C7D6105" w14:textId="77777777" w:rsidR="00915118" w:rsidRPr="002E411C" w:rsidRDefault="00915118" w:rsidP="002E411C">
      <w:pPr>
        <w:autoSpaceDE w:val="0"/>
        <w:autoSpaceDN w:val="0"/>
        <w:adjustRightInd w:val="0"/>
        <w:spacing w:before="0" w:after="0"/>
        <w:ind w:left="720"/>
        <w:rPr>
          <w:rFonts w:asciiTheme="minorHAnsi" w:eastAsiaTheme="minorHAnsi" w:hAnsiTheme="minorHAnsi"/>
          <w:i/>
          <w:lang w:eastAsia="en-US"/>
        </w:rPr>
      </w:pPr>
      <w:proofErr w:type="gramStart"/>
      <w:r w:rsidRPr="002E411C">
        <w:rPr>
          <w:rFonts w:asciiTheme="minorHAnsi" w:eastAsiaTheme="minorHAnsi" w:hAnsiTheme="minorHAnsi"/>
          <w:i/>
          <w:lang w:eastAsia="en-US"/>
        </w:rPr>
        <w:t>covers</w:t>
      </w:r>
      <w:proofErr w:type="gramEnd"/>
      <w:r w:rsidRPr="002E411C">
        <w:rPr>
          <w:rFonts w:asciiTheme="minorHAnsi" w:eastAsiaTheme="minorHAnsi" w:hAnsiTheme="minorHAnsi"/>
          <w:i/>
          <w:lang w:eastAsia="en-US"/>
        </w:rPr>
        <w:t>, people would not have to receive, would not have to read a PDS</w:t>
      </w:r>
    </w:p>
    <w:p w14:paraId="70FFFA18" w14:textId="77777777" w:rsidR="00915118" w:rsidRPr="002E411C" w:rsidRDefault="00915118" w:rsidP="002E411C">
      <w:pPr>
        <w:autoSpaceDE w:val="0"/>
        <w:autoSpaceDN w:val="0"/>
        <w:adjustRightInd w:val="0"/>
        <w:spacing w:before="0" w:after="0"/>
        <w:ind w:left="720"/>
        <w:rPr>
          <w:rFonts w:asciiTheme="minorHAnsi" w:eastAsiaTheme="minorHAnsi" w:hAnsiTheme="minorHAnsi"/>
          <w:i/>
          <w:lang w:eastAsia="en-US"/>
        </w:rPr>
      </w:pPr>
      <w:proofErr w:type="gramStart"/>
      <w:r w:rsidRPr="002E411C">
        <w:rPr>
          <w:rFonts w:asciiTheme="minorHAnsi" w:eastAsiaTheme="minorHAnsi" w:hAnsiTheme="minorHAnsi"/>
          <w:i/>
          <w:lang w:eastAsia="en-US"/>
        </w:rPr>
        <w:t>statement</w:t>
      </w:r>
      <w:proofErr w:type="gramEnd"/>
      <w:r w:rsidRPr="002E411C">
        <w:rPr>
          <w:rFonts w:asciiTheme="minorHAnsi" w:eastAsiaTheme="minorHAnsi" w:hAnsiTheme="minorHAnsi"/>
          <w:i/>
          <w:lang w:eastAsia="en-US"/>
        </w:rPr>
        <w:t xml:space="preserve"> because they would get the cover that they are expecting to</w:t>
      </w:r>
    </w:p>
    <w:p w14:paraId="272A5F89" w14:textId="77777777" w:rsidR="00915118" w:rsidRPr="002E411C" w:rsidRDefault="00915118" w:rsidP="002E411C">
      <w:pPr>
        <w:autoSpaceDE w:val="0"/>
        <w:autoSpaceDN w:val="0"/>
        <w:adjustRightInd w:val="0"/>
        <w:spacing w:before="0" w:after="0"/>
        <w:ind w:left="720"/>
        <w:rPr>
          <w:rFonts w:asciiTheme="minorHAnsi" w:eastAsiaTheme="minorHAnsi" w:hAnsiTheme="minorHAnsi"/>
          <w:i/>
          <w:lang w:eastAsia="en-US"/>
        </w:rPr>
      </w:pPr>
      <w:proofErr w:type="gramStart"/>
      <w:r w:rsidRPr="002E411C">
        <w:rPr>
          <w:rFonts w:asciiTheme="minorHAnsi" w:eastAsiaTheme="minorHAnsi" w:hAnsiTheme="minorHAnsi"/>
          <w:i/>
          <w:lang w:eastAsia="en-US"/>
        </w:rPr>
        <w:t>receive</w:t>
      </w:r>
      <w:proofErr w:type="gramEnd"/>
      <w:r w:rsidRPr="002E411C">
        <w:rPr>
          <w:rFonts w:asciiTheme="minorHAnsi" w:eastAsiaTheme="minorHAnsi" w:hAnsiTheme="minorHAnsi"/>
          <w:i/>
          <w:lang w:eastAsia="en-US"/>
        </w:rPr>
        <w:t>. We have certainly suggested to government very recently that it is</w:t>
      </w:r>
    </w:p>
    <w:p w14:paraId="1F9FC524" w14:textId="77777777" w:rsidR="00915118" w:rsidRPr="002E411C" w:rsidRDefault="00915118" w:rsidP="002E411C">
      <w:pPr>
        <w:autoSpaceDE w:val="0"/>
        <w:autoSpaceDN w:val="0"/>
        <w:adjustRightInd w:val="0"/>
        <w:spacing w:before="0" w:after="0"/>
        <w:ind w:left="720"/>
        <w:rPr>
          <w:rFonts w:asciiTheme="minorHAnsi" w:eastAsiaTheme="minorHAnsi" w:hAnsiTheme="minorHAnsi"/>
          <w:i/>
          <w:lang w:eastAsia="en-US"/>
        </w:rPr>
      </w:pPr>
      <w:proofErr w:type="gramStart"/>
      <w:r w:rsidRPr="002E411C">
        <w:rPr>
          <w:rFonts w:asciiTheme="minorHAnsi" w:eastAsiaTheme="minorHAnsi" w:hAnsiTheme="minorHAnsi"/>
          <w:i/>
          <w:lang w:eastAsia="en-US"/>
        </w:rPr>
        <w:t>time</w:t>
      </w:r>
      <w:proofErr w:type="gramEnd"/>
      <w:r w:rsidRPr="002E411C">
        <w:rPr>
          <w:rFonts w:asciiTheme="minorHAnsi" w:eastAsiaTheme="minorHAnsi" w:hAnsiTheme="minorHAnsi"/>
          <w:i/>
          <w:lang w:eastAsia="en-US"/>
        </w:rPr>
        <w:t xml:space="preserve"> for those form provisions in the contracts act and regulations to be</w:t>
      </w:r>
    </w:p>
    <w:p w14:paraId="4F5ABCA9" w14:textId="77777777" w:rsidR="00915118" w:rsidRDefault="00915118" w:rsidP="002E411C">
      <w:pPr>
        <w:pStyle w:val="Bullet"/>
        <w:numPr>
          <w:ilvl w:val="0"/>
          <w:numId w:val="0"/>
        </w:numPr>
        <w:ind w:left="720"/>
      </w:pPr>
      <w:proofErr w:type="gramStart"/>
      <w:r w:rsidRPr="002E411C">
        <w:rPr>
          <w:rFonts w:asciiTheme="minorHAnsi" w:eastAsiaTheme="minorHAnsi" w:hAnsiTheme="minorHAnsi"/>
          <w:i/>
          <w:lang w:eastAsia="en-US"/>
        </w:rPr>
        <w:t>reopened</w:t>
      </w:r>
      <w:proofErr w:type="gramEnd"/>
      <w:r w:rsidRPr="002E411C">
        <w:rPr>
          <w:rFonts w:asciiTheme="minorHAnsi" w:eastAsiaTheme="minorHAnsi" w:hAnsiTheme="minorHAnsi"/>
          <w:i/>
          <w:lang w:eastAsia="en-US"/>
        </w:rPr>
        <w:t xml:space="preserve"> and to be thoroughly reviewed</w:t>
      </w:r>
      <w:r>
        <w:rPr>
          <w:rFonts w:ascii="Times New Roman" w:eastAsiaTheme="minorHAnsi" w:hAnsi="Times New Roman"/>
          <w:sz w:val="24"/>
          <w:szCs w:val="24"/>
          <w:lang w:eastAsia="en-US"/>
        </w:rPr>
        <w:t>.</w:t>
      </w:r>
      <w:r w:rsidR="000239A9">
        <w:rPr>
          <w:rFonts w:ascii="Times New Roman" w:eastAsiaTheme="minorHAnsi" w:hAnsi="Times New Roman"/>
          <w:sz w:val="24"/>
          <w:szCs w:val="24"/>
          <w:lang w:eastAsia="en-US"/>
        </w:rPr>
        <w:t>”</w:t>
      </w:r>
      <w:r>
        <w:rPr>
          <w:rStyle w:val="FootnoteReference"/>
          <w:rFonts w:eastAsiaTheme="minorHAnsi"/>
          <w:szCs w:val="24"/>
          <w:lang w:eastAsia="en-US"/>
        </w:rPr>
        <w:footnoteReference w:id="37"/>
      </w:r>
    </w:p>
    <w:p w14:paraId="75473F56" w14:textId="77777777" w:rsidR="00E15C29" w:rsidRDefault="00E15C29" w:rsidP="00680460">
      <w:pPr>
        <w:pStyle w:val="OutlineNumbered1"/>
        <w:numPr>
          <w:ilvl w:val="0"/>
          <w:numId w:val="0"/>
        </w:numPr>
        <w:rPr>
          <w:b/>
        </w:rPr>
      </w:pPr>
    </w:p>
    <w:p w14:paraId="7CA93506" w14:textId="77777777" w:rsidR="00CF538B" w:rsidRDefault="00CF538B">
      <w:pPr>
        <w:spacing w:before="0" w:after="160" w:line="259" w:lineRule="auto"/>
        <w:rPr>
          <w:b/>
        </w:rPr>
      </w:pPr>
      <w:r>
        <w:rPr>
          <w:b/>
        </w:rPr>
        <w:br w:type="page"/>
      </w:r>
    </w:p>
    <w:p w14:paraId="3246FD7C" w14:textId="354D9711" w:rsidR="00680460" w:rsidRPr="00132CDA" w:rsidRDefault="00132CDA" w:rsidP="00680460">
      <w:pPr>
        <w:pStyle w:val="OutlineNumbered1"/>
        <w:numPr>
          <w:ilvl w:val="0"/>
          <w:numId w:val="0"/>
        </w:numPr>
        <w:rPr>
          <w:b/>
        </w:rPr>
      </w:pPr>
      <w:r w:rsidRPr="00132CDA">
        <w:rPr>
          <w:b/>
        </w:rPr>
        <w:lastRenderedPageBreak/>
        <w:t>International experience</w:t>
      </w:r>
    </w:p>
    <w:p w14:paraId="68775F14" w14:textId="77777777" w:rsidR="00B37CAF" w:rsidRDefault="00D92FB8" w:rsidP="00F548D8">
      <w:r>
        <w:t>There appears to be limited examples of standard cover regimes</w:t>
      </w:r>
      <w:r w:rsidR="0079120C">
        <w:t xml:space="preserve"> that are legislatively</w:t>
      </w:r>
      <w:r>
        <w:t xml:space="preserve"> implemented internationally. </w:t>
      </w:r>
      <w:r w:rsidR="0079120C">
        <w:t xml:space="preserve">In </w:t>
      </w:r>
      <w:r w:rsidR="00E1040D">
        <w:t>the US</w:t>
      </w:r>
      <w:r w:rsidR="0079120C">
        <w:t xml:space="preserve">, insurance policies are largely standardised based on forms and guidance provided by national insurance advisory organisations such as the Insurance Services Office </w:t>
      </w:r>
      <w:r w:rsidR="002107D8">
        <w:t xml:space="preserve">(ISO) </w:t>
      </w:r>
      <w:r w:rsidR="0079120C">
        <w:t xml:space="preserve">or the American Association of Insurance Services. </w:t>
      </w:r>
    </w:p>
    <w:p w14:paraId="468764B9" w14:textId="77777777" w:rsidR="00D92FB8" w:rsidRDefault="00070121" w:rsidP="00F548D8">
      <w:r>
        <w:t>While the objective of these organisations is to provide services to ensure insurer’s compliance</w:t>
      </w:r>
      <w:r w:rsidR="002107D8">
        <w:t xml:space="preserve"> with regulatory or statutory requirements of different states</w:t>
      </w:r>
      <w:r>
        <w:t>, the services that national advisory organisation</w:t>
      </w:r>
      <w:r w:rsidR="00A9290A">
        <w:t>s</w:t>
      </w:r>
      <w:r>
        <w:t xml:space="preserve"> provide </w:t>
      </w:r>
      <w:r w:rsidR="0024522C">
        <w:t>also</w:t>
      </w:r>
      <w:r>
        <w:t xml:space="preserve"> serve as a basis for underwriting and helps</w:t>
      </w:r>
      <w:r w:rsidR="00B37CAF">
        <w:t xml:space="preserve"> </w:t>
      </w:r>
      <w:r>
        <w:t>develop</w:t>
      </w:r>
      <w:r w:rsidR="005D6C71">
        <w:t xml:space="preserve"> </w:t>
      </w:r>
      <w:r>
        <w:t>a standardised policy</w:t>
      </w:r>
      <w:r w:rsidR="005D6C71">
        <w:t xml:space="preserve"> for insurers that promotes</w:t>
      </w:r>
      <w:r w:rsidR="004003BE">
        <w:t xml:space="preserve"> better</w:t>
      </w:r>
      <w:r w:rsidR="005D6C71">
        <w:t xml:space="preserve"> </w:t>
      </w:r>
      <w:r>
        <w:t>co</w:t>
      </w:r>
      <w:r w:rsidR="005D6C71">
        <w:t>mparability of insurance products</w:t>
      </w:r>
      <w:r w:rsidR="004003BE">
        <w:t xml:space="preserve"> for consumers</w:t>
      </w:r>
      <w:r w:rsidR="005D6C71">
        <w:t>.</w:t>
      </w:r>
    </w:p>
    <w:p w14:paraId="532FDA9B" w14:textId="4D84CC1E" w:rsidR="0053636F" w:rsidRDefault="0024522C" w:rsidP="00F548D8">
      <w:r>
        <w:t>Relevantly</w:t>
      </w:r>
      <w:r w:rsidR="00E25F61">
        <w:t>,</w:t>
      </w:r>
      <w:r w:rsidR="00AA6F4E">
        <w:t xml:space="preserve"> ISO provides its clients </w:t>
      </w:r>
      <w:r w:rsidR="00D856A2">
        <w:t xml:space="preserve">with </w:t>
      </w:r>
      <w:r w:rsidR="00AA6F4E">
        <w:t>policy forms</w:t>
      </w:r>
      <w:r w:rsidR="00D856A2">
        <w:t>,</w:t>
      </w:r>
      <w:r w:rsidR="00AA6F4E">
        <w:t xml:space="preserve"> which reduces the cost and time-consuming nature of policy writing for the insurers and avoids the risks associated with policy writing. Since policies that insurers drafted may</w:t>
      </w:r>
      <w:r w:rsidR="0006400E">
        <w:t xml:space="preserve"> </w:t>
      </w:r>
      <w:r w:rsidR="00AA6F4E">
        <w:t>be interpreted differently by the courts, ISO forms present a way to mitigate that risk</w:t>
      </w:r>
      <w:r w:rsidR="000E6D37">
        <w:t>,</w:t>
      </w:r>
      <w:r w:rsidR="00AA6F4E">
        <w:t xml:space="preserve"> as much of the policy language has already been analysed by courts. Some ISO policy forms </w:t>
      </w:r>
      <w:r w:rsidR="0006400E">
        <w:t xml:space="preserve">act as </w:t>
      </w:r>
      <w:r w:rsidR="00AA6F4E">
        <w:t>industry standards serving as</w:t>
      </w:r>
      <w:r w:rsidR="000E6D37">
        <w:t xml:space="preserve"> a</w:t>
      </w:r>
      <w:r w:rsidR="00AA6F4E">
        <w:t xml:space="preserve"> benchmark for comparing between policies developed by insurers. Insurers have the flexibility to build on the ISO policy language and include other features. </w:t>
      </w:r>
    </w:p>
    <w:p w14:paraId="68CCC5D3" w14:textId="77777777" w:rsidR="00E15C29" w:rsidRDefault="00E15C29" w:rsidP="00F548D8"/>
    <w:tbl>
      <w:tblPr>
        <w:tblStyle w:val="TableGrid"/>
        <w:tblW w:w="0" w:type="auto"/>
        <w:tblLook w:val="04A0" w:firstRow="1" w:lastRow="0" w:firstColumn="1" w:lastColumn="0" w:noHBand="0" w:noVBand="1"/>
      </w:tblPr>
      <w:tblGrid>
        <w:gridCol w:w="9286"/>
      </w:tblGrid>
      <w:tr w:rsidR="00943B3C" w14:paraId="78E56874" w14:textId="77777777" w:rsidTr="00943B3C">
        <w:tc>
          <w:tcPr>
            <w:tcW w:w="9286" w:type="dxa"/>
            <w:tcBorders>
              <w:top w:val="single" w:sz="4" w:space="0" w:color="auto"/>
              <w:left w:val="single" w:sz="4" w:space="0" w:color="auto"/>
              <w:bottom w:val="single" w:sz="4" w:space="0" w:color="auto"/>
              <w:right w:val="single" w:sz="4" w:space="0" w:color="auto"/>
            </w:tcBorders>
            <w:shd w:val="clear" w:color="auto" w:fill="FFFFFF" w:themeFill="background1"/>
          </w:tcPr>
          <w:p w14:paraId="3040AE65" w14:textId="77777777" w:rsidR="00943B3C" w:rsidRPr="00017FD3" w:rsidRDefault="00943B3C" w:rsidP="00943B3C">
            <w:pPr>
              <w:pStyle w:val="OutlineNumbered1"/>
              <w:numPr>
                <w:ilvl w:val="0"/>
                <w:numId w:val="0"/>
              </w:numPr>
              <w:spacing w:before="120"/>
              <w:rPr>
                <w:b/>
              </w:rPr>
            </w:pPr>
            <w:r>
              <w:rPr>
                <w:b/>
              </w:rPr>
              <w:t>Consultation questions</w:t>
            </w:r>
          </w:p>
          <w:p w14:paraId="3C6F1F46" w14:textId="77777777" w:rsidR="00943B3C" w:rsidRDefault="00943B3C" w:rsidP="00943B3C">
            <w:pPr>
              <w:pStyle w:val="OutlineNumbered1"/>
              <w:numPr>
                <w:ilvl w:val="0"/>
                <w:numId w:val="6"/>
              </w:numPr>
            </w:pPr>
            <w:r>
              <w:t xml:space="preserve">Does standard cover achieve the purpose for which it was implemented? If not, how could it be improved? </w:t>
            </w:r>
          </w:p>
          <w:p w14:paraId="0E0F9E51" w14:textId="77777777" w:rsidR="00943B3C" w:rsidRDefault="00943B3C" w:rsidP="00943B3C">
            <w:pPr>
              <w:pStyle w:val="OutlineNumbered1"/>
              <w:numPr>
                <w:ilvl w:val="0"/>
                <w:numId w:val="6"/>
              </w:numPr>
            </w:pPr>
            <w:r>
              <w:t>Are the current terms and conditions, including caps, limits, and exclusions included under standard cover seen to be adequate?</w:t>
            </w:r>
          </w:p>
          <w:p w14:paraId="083953C2" w14:textId="77777777" w:rsidR="00943B3C" w:rsidRPr="0006400E" w:rsidRDefault="00943B3C" w:rsidP="00943B3C">
            <w:pPr>
              <w:pStyle w:val="OutlineNumbered1"/>
              <w:numPr>
                <w:ilvl w:val="0"/>
                <w:numId w:val="6"/>
              </w:numPr>
            </w:pPr>
            <w:r w:rsidRPr="0006400E">
              <w:t xml:space="preserve">What </w:t>
            </w:r>
            <w:r>
              <w:t xml:space="preserve">would be the likely </w:t>
            </w:r>
            <w:r w:rsidRPr="0006400E">
              <w:t xml:space="preserve">consequences if the standard cover regime </w:t>
            </w:r>
            <w:r>
              <w:t>was</w:t>
            </w:r>
            <w:r w:rsidRPr="0006400E">
              <w:t xml:space="preserve"> extended to cover a wider number of terms and conditions?</w:t>
            </w:r>
            <w:r w:rsidRPr="00A97600">
              <w:t xml:space="preserve"> </w:t>
            </w:r>
            <w:r>
              <w:t>What sort of areas might be usefully added to standard cover?</w:t>
            </w:r>
          </w:p>
          <w:p w14:paraId="1A4EF426" w14:textId="77777777" w:rsidR="00943B3C" w:rsidRDefault="00943B3C" w:rsidP="00943B3C">
            <w:pPr>
              <w:pStyle w:val="OutlineNumbered1"/>
              <w:numPr>
                <w:ilvl w:val="0"/>
                <w:numId w:val="6"/>
              </w:numPr>
            </w:pPr>
            <w:r>
              <w:t>Should there be a ‘default cover’ that insurers are required to provide without exception?</w:t>
            </w:r>
          </w:p>
          <w:p w14:paraId="0EFFD94C" w14:textId="648060FD" w:rsidR="00543770" w:rsidRDefault="00543770" w:rsidP="00943B3C">
            <w:pPr>
              <w:pStyle w:val="OutlineNumbered1"/>
              <w:numPr>
                <w:ilvl w:val="0"/>
                <w:numId w:val="6"/>
              </w:numPr>
            </w:pPr>
            <w:r>
              <w:t>Should all insurers be required to provide products that provide standard cover as prescribed in the Insurance Contracts Regulations?</w:t>
            </w:r>
          </w:p>
          <w:p w14:paraId="61F911E5" w14:textId="77777777" w:rsidR="00943B3C" w:rsidRDefault="00943B3C" w:rsidP="00943B3C">
            <w:pPr>
              <w:pStyle w:val="OutlineNumbered1"/>
              <w:numPr>
                <w:ilvl w:val="0"/>
                <w:numId w:val="6"/>
              </w:numPr>
            </w:pPr>
            <w:r>
              <w:t>Is the requirement to ‘clearly inform’ a consumer that an insurance contract provides less than standard cover as it is commonly understood, an appropriate threshold for insurers to satisfy before they are exempted from providing standard cover?</w:t>
            </w:r>
          </w:p>
          <w:p w14:paraId="2B3071F5" w14:textId="77777777" w:rsidR="00943B3C" w:rsidRPr="0006400E" w:rsidRDefault="00943B3C" w:rsidP="00943B3C">
            <w:pPr>
              <w:pStyle w:val="OutlineNumbered1"/>
              <w:numPr>
                <w:ilvl w:val="0"/>
                <w:numId w:val="6"/>
              </w:numPr>
            </w:pPr>
            <w:r w:rsidRPr="0006400E">
              <w:t xml:space="preserve">Where insurers </w:t>
            </w:r>
            <w:r>
              <w:t>deviate from</w:t>
            </w:r>
            <w:r w:rsidRPr="0006400E">
              <w:t xml:space="preserve"> standard cover, should they be required to provide express disclaimers identifying where the policy </w:t>
            </w:r>
            <w:r>
              <w:t>deviates from</w:t>
            </w:r>
            <w:r w:rsidRPr="0006400E" w:rsidDel="00A97600">
              <w:t xml:space="preserve"> </w:t>
            </w:r>
            <w:r w:rsidRPr="0006400E">
              <w:t>standard cover?</w:t>
            </w:r>
          </w:p>
          <w:p w14:paraId="7C908FD4" w14:textId="77777777" w:rsidR="00943B3C" w:rsidRPr="0002733C" w:rsidRDefault="00943B3C" w:rsidP="00943B3C">
            <w:pPr>
              <w:pStyle w:val="OutlineNumbered1"/>
              <w:numPr>
                <w:ilvl w:val="0"/>
                <w:numId w:val="6"/>
              </w:numPr>
            </w:pPr>
            <w:r>
              <w:t>What disclosure requirements could the Government look into in order to reflect the intended purpose of standard cover requirement?</w:t>
            </w:r>
          </w:p>
          <w:p w14:paraId="1583B5E2" w14:textId="77777777" w:rsidR="00943B3C" w:rsidRDefault="00943B3C">
            <w:pPr>
              <w:spacing w:before="0" w:after="160" w:line="259" w:lineRule="auto"/>
            </w:pPr>
          </w:p>
        </w:tc>
      </w:tr>
    </w:tbl>
    <w:p w14:paraId="07B61CC6" w14:textId="77777777" w:rsidR="00E15C29" w:rsidRDefault="00E15C29">
      <w:pPr>
        <w:spacing w:before="0" w:after="160" w:line="259" w:lineRule="auto"/>
      </w:pPr>
      <w:r>
        <w:br w:type="page"/>
      </w:r>
    </w:p>
    <w:p w14:paraId="5AC36EC5" w14:textId="52B76E82" w:rsidR="00680460" w:rsidRPr="00882E2A" w:rsidRDefault="00680460" w:rsidP="009B0440">
      <w:pPr>
        <w:pStyle w:val="Heading2"/>
        <w:spacing w:before="600"/>
      </w:pPr>
      <w:bookmarkStart w:id="30" w:name="_Toc528840423"/>
      <w:bookmarkStart w:id="31" w:name="_Toc528840604"/>
      <w:bookmarkStart w:id="32" w:name="_Toc515978333"/>
      <w:bookmarkStart w:id="33" w:name="_Toc528840605"/>
      <w:bookmarkEnd w:id="30"/>
      <w:bookmarkEnd w:id="31"/>
      <w:r w:rsidRPr="00882E2A">
        <w:lastRenderedPageBreak/>
        <w:t>Standar</w:t>
      </w:r>
      <w:r w:rsidR="00450095" w:rsidRPr="00882E2A">
        <w:t>d</w:t>
      </w:r>
      <w:r w:rsidRPr="00882E2A">
        <w:t>ised definition of key terms</w:t>
      </w:r>
      <w:bookmarkEnd w:id="32"/>
      <w:bookmarkEnd w:id="33"/>
    </w:p>
    <w:p w14:paraId="167D68BD" w14:textId="7872FF61" w:rsidR="00920800" w:rsidRDefault="00E15C29" w:rsidP="008430F1">
      <w:pPr>
        <w:pStyle w:val="OutlineNumbered1"/>
        <w:numPr>
          <w:ilvl w:val="0"/>
          <w:numId w:val="0"/>
        </w:numPr>
        <w:rPr>
          <w:b/>
        </w:rPr>
      </w:pPr>
      <w:r w:rsidRPr="00017FD3">
        <w:rPr>
          <w:b/>
          <w:noProof/>
        </w:rPr>
        <mc:AlternateContent>
          <mc:Choice Requires="wps">
            <w:drawing>
              <wp:anchor distT="0" distB="0" distL="114300" distR="114300" simplePos="0" relativeHeight="251658241" behindDoc="0" locked="0" layoutInCell="1" allowOverlap="1" wp14:anchorId="3CBAB419" wp14:editId="6EBC373A">
                <wp:simplePos x="0" y="0"/>
                <wp:positionH relativeFrom="column">
                  <wp:posOffset>11430</wp:posOffset>
                </wp:positionH>
                <wp:positionV relativeFrom="paragraph">
                  <wp:posOffset>128270</wp:posOffset>
                </wp:positionV>
                <wp:extent cx="5778500" cy="758825"/>
                <wp:effectExtent l="0" t="0" r="1270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58825"/>
                        </a:xfrm>
                        <a:prstGeom prst="rect">
                          <a:avLst/>
                        </a:prstGeom>
                        <a:solidFill>
                          <a:srgbClr val="FFFFFF"/>
                        </a:solidFill>
                        <a:ln w="9525">
                          <a:solidFill>
                            <a:srgbClr val="000000"/>
                          </a:solidFill>
                          <a:miter lim="800000"/>
                          <a:headEnd/>
                          <a:tailEnd/>
                        </a:ln>
                      </wps:spPr>
                      <wps:txbx>
                        <w:txbxContent>
                          <w:p w14:paraId="252ACAAB" w14:textId="77777777" w:rsidR="006972BA" w:rsidRDefault="006972BA" w:rsidP="00017FD3">
                            <w:pPr>
                              <w:pStyle w:val="OutlineNumbered1"/>
                              <w:numPr>
                                <w:ilvl w:val="0"/>
                                <w:numId w:val="0"/>
                              </w:numPr>
                              <w:rPr>
                                <w:b/>
                              </w:rPr>
                            </w:pPr>
                            <w:r>
                              <w:rPr>
                                <w:b/>
                              </w:rPr>
                              <w:t>Recommendation</w:t>
                            </w:r>
                          </w:p>
                          <w:p w14:paraId="75ADDA02" w14:textId="77777777" w:rsidR="006972BA" w:rsidRPr="00F63A29" w:rsidRDefault="006972BA" w:rsidP="00E135F6">
                            <w:pPr>
                              <w:pStyle w:val="Bullet"/>
                            </w:pPr>
                            <w:r w:rsidRPr="00F63A29">
                              <w:t>That the Government work closely with industry and consumer groups to develop and implement standardised definitions of key terms for general insurance.</w:t>
                            </w:r>
                          </w:p>
                          <w:p w14:paraId="29918167" w14:textId="77777777" w:rsidR="006972BA" w:rsidRDefault="00697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pt;margin-top:10.1pt;width:455pt;height:5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">
                <v:textbox>
                  <w:txbxContent>
                    <w:p w14:paraId="252ACAAB" w14:textId="77777777" w:rsidR="006972BA" w:rsidRDefault="006972BA" w:rsidP="00017FD3">
                      <w:pPr>
                        <w:pStyle w:val="OutlineNumbered1"/>
                        <w:numPr>
                          <w:ilvl w:val="0"/>
                          <w:numId w:val="0"/>
                        </w:numPr>
                        <w:rPr>
                          <w:b/>
                        </w:rPr>
                      </w:pPr>
                      <w:r>
                        <w:rPr>
                          <w:b/>
                        </w:rPr>
                        <w:t>Recommendation</w:t>
                      </w:r>
                    </w:p>
                    <w:p w14:paraId="75ADDA02" w14:textId="77777777" w:rsidR="006972BA" w:rsidRPr="00F63A29" w:rsidRDefault="006972BA" w:rsidP="00E135F6">
                      <w:pPr>
                        <w:pStyle w:val="Bullet"/>
                      </w:pPr>
                      <w:r w:rsidRPr="00F63A29">
                        <w:t>That the Government work closely with industry and consumer groups to develop and implement standardised definitions of key terms for general insurance.</w:t>
                      </w:r>
                    </w:p>
                    <w:p w14:paraId="29918167" w14:textId="77777777" w:rsidR="006972BA" w:rsidRDefault="006972BA"/>
                  </w:txbxContent>
                </v:textbox>
              </v:shape>
            </w:pict>
          </mc:Fallback>
        </mc:AlternateContent>
      </w:r>
    </w:p>
    <w:p w14:paraId="6427E716" w14:textId="77777777" w:rsidR="009B0440" w:rsidRDefault="009B0440" w:rsidP="008430F1">
      <w:pPr>
        <w:pStyle w:val="OutlineNumbered1"/>
        <w:numPr>
          <w:ilvl w:val="0"/>
          <w:numId w:val="0"/>
        </w:numPr>
        <w:rPr>
          <w:b/>
        </w:rPr>
      </w:pPr>
    </w:p>
    <w:p w14:paraId="69D91B52" w14:textId="77777777" w:rsidR="009B0440" w:rsidRDefault="009B0440" w:rsidP="008430F1">
      <w:pPr>
        <w:pStyle w:val="OutlineNumbered1"/>
        <w:numPr>
          <w:ilvl w:val="0"/>
          <w:numId w:val="0"/>
        </w:numPr>
        <w:rPr>
          <w:b/>
        </w:rPr>
      </w:pPr>
    </w:p>
    <w:p w14:paraId="48F9FAF2" w14:textId="77777777" w:rsidR="009127B4" w:rsidRDefault="009127B4" w:rsidP="008430F1">
      <w:pPr>
        <w:pStyle w:val="OutlineNumbered1"/>
        <w:numPr>
          <w:ilvl w:val="0"/>
          <w:numId w:val="0"/>
        </w:numPr>
        <w:rPr>
          <w:b/>
        </w:rPr>
      </w:pPr>
    </w:p>
    <w:p w14:paraId="391CEDCE" w14:textId="77777777" w:rsidR="00017FD3" w:rsidRDefault="00680460" w:rsidP="008430F1">
      <w:pPr>
        <w:pStyle w:val="OutlineNumbered1"/>
        <w:numPr>
          <w:ilvl w:val="0"/>
          <w:numId w:val="0"/>
        </w:numPr>
      </w:pPr>
      <w:r w:rsidRPr="00DB78F1">
        <w:rPr>
          <w:b/>
        </w:rPr>
        <w:t>Objective</w:t>
      </w:r>
    </w:p>
    <w:p w14:paraId="25DBD426" w14:textId="77777777" w:rsidR="00A0422C" w:rsidRPr="00535D00" w:rsidRDefault="00660DAD" w:rsidP="00535D00">
      <w:pPr>
        <w:pStyle w:val="OutlineNumbered1"/>
        <w:numPr>
          <w:ilvl w:val="0"/>
          <w:numId w:val="0"/>
        </w:numPr>
      </w:pPr>
      <w:proofErr w:type="gramStart"/>
      <w:r>
        <w:t>To</w:t>
      </w:r>
      <w:r w:rsidR="00680460">
        <w:t xml:space="preserve"> enhance comparability of products</w:t>
      </w:r>
      <w:r w:rsidR="00D17591">
        <w:t>.</w:t>
      </w:r>
      <w:proofErr w:type="gramEnd"/>
      <w:r w:rsidR="00D17591">
        <w:t xml:space="preserve"> This</w:t>
      </w:r>
      <w:r w:rsidR="00680460">
        <w:t xml:space="preserve"> could reduce underinsurance and enhance</w:t>
      </w:r>
      <w:r w:rsidR="00E714DE">
        <w:t xml:space="preserve"> consumer</w:t>
      </w:r>
      <w:r w:rsidR="003825FD">
        <w:t xml:space="preserve"> </w:t>
      </w:r>
      <w:r w:rsidR="00680460">
        <w:t>understanding of insurance contracts</w:t>
      </w:r>
      <w:r>
        <w:t>.</w:t>
      </w:r>
    </w:p>
    <w:p w14:paraId="7D668740" w14:textId="77777777" w:rsidR="00660DAD" w:rsidRDefault="00680460" w:rsidP="00680460">
      <w:pPr>
        <w:spacing w:after="0"/>
      </w:pPr>
      <w:r w:rsidRPr="00DB78F1">
        <w:rPr>
          <w:b/>
        </w:rPr>
        <w:t>Issue</w:t>
      </w:r>
    </w:p>
    <w:p w14:paraId="615F8D19" w14:textId="77777777" w:rsidR="00A0422C" w:rsidRDefault="00BE534E" w:rsidP="00DD69A0">
      <w:pPr>
        <w:spacing w:after="0"/>
      </w:pPr>
      <w:r>
        <w:t>Th</w:t>
      </w:r>
      <w:r w:rsidR="008A5068">
        <w:t>e</w:t>
      </w:r>
      <w:r w:rsidR="00246E52">
        <w:t xml:space="preserve"> standard cover regime </w:t>
      </w:r>
      <w:r w:rsidR="00F22B78">
        <w:t>by itself</w:t>
      </w:r>
      <w:r>
        <w:t xml:space="preserve"> is unable to</w:t>
      </w:r>
      <w:r w:rsidR="00246E52">
        <w:t xml:space="preserve"> </w:t>
      </w:r>
      <w:r w:rsidR="008A5068">
        <w:t xml:space="preserve">deliver </w:t>
      </w:r>
      <w:r w:rsidR="00246E52">
        <w:t>consistent</w:t>
      </w:r>
      <w:r w:rsidR="00F22B78">
        <w:t xml:space="preserve"> coverage</w:t>
      </w:r>
      <w:r w:rsidR="00246E52">
        <w:t xml:space="preserve"> between insurance contracts</w:t>
      </w:r>
      <w:r w:rsidR="00F22B78">
        <w:t>, and</w:t>
      </w:r>
      <w:r>
        <w:t xml:space="preserve"> enhance consumer understanding</w:t>
      </w:r>
      <w:r w:rsidR="00246E52">
        <w:t xml:space="preserve">. Insurance contracts that are required to include the same terms and conditions may still deliver variable levels of coverage, if the terms of the contract do not rely on a standard definition. </w:t>
      </w:r>
      <w:r w:rsidR="00EB7A5C">
        <w:t>Inconsistent definitions between policies risk misleading consumers into thinking they have cover for certain events when they do not.</w:t>
      </w:r>
    </w:p>
    <w:p w14:paraId="29B4D2AC" w14:textId="61C90934" w:rsidR="003B017B" w:rsidRPr="00BC5B9D" w:rsidRDefault="000847BC" w:rsidP="003B017B">
      <w:pPr>
        <w:rPr>
          <w:szCs w:val="22"/>
        </w:rPr>
      </w:pPr>
      <w:r>
        <w:rPr>
          <w:szCs w:val="22"/>
        </w:rPr>
        <w:t xml:space="preserve">The standardised definition of ‘flood’ </w:t>
      </w:r>
      <w:r w:rsidR="008758CC">
        <w:rPr>
          <w:szCs w:val="22"/>
        </w:rPr>
        <w:t>is an</w:t>
      </w:r>
      <w:r>
        <w:rPr>
          <w:szCs w:val="22"/>
        </w:rPr>
        <w:t xml:space="preserve"> example </w:t>
      </w:r>
      <w:r w:rsidR="00D0590A">
        <w:rPr>
          <w:szCs w:val="22"/>
        </w:rPr>
        <w:t xml:space="preserve">of a measure that </w:t>
      </w:r>
      <w:r w:rsidR="0067141E">
        <w:rPr>
          <w:szCs w:val="22"/>
        </w:rPr>
        <w:t>has achieved</w:t>
      </w:r>
      <w:r w:rsidR="00666AA8">
        <w:rPr>
          <w:szCs w:val="22"/>
        </w:rPr>
        <w:t xml:space="preserve"> consistent </w:t>
      </w:r>
      <w:r w:rsidR="00CE04A5">
        <w:rPr>
          <w:szCs w:val="22"/>
        </w:rPr>
        <w:t xml:space="preserve">level of </w:t>
      </w:r>
      <w:r w:rsidR="00666AA8">
        <w:rPr>
          <w:szCs w:val="22"/>
        </w:rPr>
        <w:t xml:space="preserve">coverage between insurance contracts. </w:t>
      </w:r>
      <w:r w:rsidR="006C6374">
        <w:rPr>
          <w:szCs w:val="22"/>
        </w:rPr>
        <w:t xml:space="preserve"> </w:t>
      </w:r>
      <w:r w:rsidR="003B017B" w:rsidRPr="00055EC1">
        <w:rPr>
          <w:szCs w:val="22"/>
        </w:rPr>
        <w:t>Variations in the definition of ‘flood’ in insurance contracts became apparent at the time of the</w:t>
      </w:r>
      <w:r w:rsidR="00915118">
        <w:rPr>
          <w:szCs w:val="22"/>
        </w:rPr>
        <w:t xml:space="preserve"> </w:t>
      </w:r>
      <w:r w:rsidR="003B017B" w:rsidRPr="00BC5B9D">
        <w:rPr>
          <w:szCs w:val="22"/>
        </w:rPr>
        <w:t>2010</w:t>
      </w:r>
      <w:r w:rsidR="007C5350">
        <w:noBreakHyphen/>
      </w:r>
      <w:r w:rsidR="003B017B" w:rsidRPr="00BC5B9D">
        <w:rPr>
          <w:szCs w:val="22"/>
        </w:rPr>
        <w:t xml:space="preserve">11 </w:t>
      </w:r>
      <w:r w:rsidR="003B017B">
        <w:rPr>
          <w:szCs w:val="22"/>
        </w:rPr>
        <w:t xml:space="preserve">Queensland </w:t>
      </w:r>
      <w:r w:rsidR="003B017B" w:rsidRPr="00BC5B9D">
        <w:rPr>
          <w:szCs w:val="22"/>
        </w:rPr>
        <w:t>floods. Differences in the definition caused confusion and perceptions of unequal treatment arising from policyholders’ misunderstanding of what was and was not covered in their policies.</w:t>
      </w:r>
    </w:p>
    <w:p w14:paraId="1902DB1E" w14:textId="77777777" w:rsidR="003B017B" w:rsidRPr="00FC69F7" w:rsidRDefault="003B017B" w:rsidP="003B017B">
      <w:pPr>
        <w:rPr>
          <w:szCs w:val="22"/>
        </w:rPr>
      </w:pPr>
      <w:r w:rsidRPr="003B017B">
        <w:rPr>
          <w:szCs w:val="22"/>
        </w:rPr>
        <w:t xml:space="preserve">In April 2011, the </w:t>
      </w:r>
      <w:hyperlink r:id="rId25" w:history="1">
        <w:r w:rsidRPr="003B017B">
          <w:rPr>
            <w:i/>
            <w:szCs w:val="22"/>
          </w:rPr>
          <w:t xml:space="preserve"> Reforming Flood Insurance: Clearing the</w:t>
        </w:r>
        <w:r w:rsidRPr="00FC69F7">
          <w:rPr>
            <w:szCs w:val="22"/>
          </w:rPr>
          <w:t xml:space="preserve"> </w:t>
        </w:r>
        <w:r w:rsidRPr="00D85F34">
          <w:rPr>
            <w:i/>
            <w:szCs w:val="22"/>
          </w:rPr>
          <w:t>Waters</w:t>
        </w:r>
      </w:hyperlink>
      <w:r w:rsidRPr="003B017B">
        <w:rPr>
          <w:i/>
          <w:szCs w:val="22"/>
        </w:rPr>
        <w:t xml:space="preserve"> </w:t>
      </w:r>
      <w:r w:rsidRPr="003B017B">
        <w:rPr>
          <w:szCs w:val="22"/>
        </w:rPr>
        <w:t>paper</w:t>
      </w:r>
      <w:r w:rsidR="00A66B7B">
        <w:rPr>
          <w:szCs w:val="22"/>
        </w:rPr>
        <w:t xml:space="preserve"> (Clearing the Waters paper)</w:t>
      </w:r>
      <w:r w:rsidR="00D0590A">
        <w:rPr>
          <w:szCs w:val="22"/>
        </w:rPr>
        <w:t xml:space="preserve"> was released</w:t>
      </w:r>
      <w:r w:rsidRPr="003B017B">
        <w:rPr>
          <w:szCs w:val="22"/>
        </w:rPr>
        <w:t>. The paper contained two proposals for reform:</w:t>
      </w:r>
    </w:p>
    <w:p w14:paraId="1D9CBE14" w14:textId="77777777" w:rsidR="003B017B" w:rsidRPr="00D85F34" w:rsidRDefault="003B017B" w:rsidP="00C603FD">
      <w:pPr>
        <w:pStyle w:val="Bullet"/>
        <w:numPr>
          <w:ilvl w:val="0"/>
          <w:numId w:val="21"/>
        </w:numPr>
        <w:spacing w:line="280" w:lineRule="exact"/>
        <w:rPr>
          <w:szCs w:val="22"/>
        </w:rPr>
      </w:pPr>
      <w:r w:rsidRPr="00FC69F7">
        <w:rPr>
          <w:szCs w:val="22"/>
        </w:rPr>
        <w:t>A standard definition of flood in insurance contracts.</w:t>
      </w:r>
    </w:p>
    <w:p w14:paraId="2134D73D" w14:textId="77777777" w:rsidR="003B017B" w:rsidRPr="00915118" w:rsidRDefault="003B017B" w:rsidP="003B017B">
      <w:pPr>
        <w:pStyle w:val="Bullet"/>
        <w:rPr>
          <w:szCs w:val="22"/>
        </w:rPr>
      </w:pPr>
      <w:r w:rsidRPr="00D85F34">
        <w:rPr>
          <w:szCs w:val="22"/>
        </w:rPr>
        <w:t xml:space="preserve">    </w:t>
      </w:r>
      <w:r w:rsidRPr="00915118">
        <w:rPr>
          <w:szCs w:val="22"/>
        </w:rPr>
        <w:t xml:space="preserve">A requirement for insurers to issue a </w:t>
      </w:r>
      <w:r w:rsidR="00FA76E7">
        <w:rPr>
          <w:szCs w:val="22"/>
        </w:rPr>
        <w:t>KFS</w:t>
      </w:r>
      <w:r w:rsidR="00247DD0">
        <w:rPr>
          <w:szCs w:val="22"/>
        </w:rPr>
        <w:t xml:space="preserve"> </w:t>
      </w:r>
      <w:r w:rsidRPr="00915118">
        <w:rPr>
          <w:szCs w:val="22"/>
        </w:rPr>
        <w:t>with insurance policies</w:t>
      </w:r>
      <w:r w:rsidR="008C373B">
        <w:rPr>
          <w:szCs w:val="22"/>
        </w:rPr>
        <w:t>.</w:t>
      </w:r>
    </w:p>
    <w:p w14:paraId="03320E10" w14:textId="77777777" w:rsidR="003B017B" w:rsidRDefault="003B017B" w:rsidP="00D24B43">
      <w:pPr>
        <w:rPr>
          <w:szCs w:val="22"/>
        </w:rPr>
      </w:pPr>
      <w:r w:rsidRPr="00915118">
        <w:rPr>
          <w:szCs w:val="22"/>
        </w:rPr>
        <w:t xml:space="preserve">Due to the confusion caused by conflicting definitions of ‘flood’ in insurance contracts, the primary objective of the </w:t>
      </w:r>
      <w:r w:rsidRPr="00281ABA">
        <w:rPr>
          <w:i/>
        </w:rPr>
        <w:t>Clearing the Waters</w:t>
      </w:r>
      <w:r w:rsidRPr="003B017B">
        <w:rPr>
          <w:szCs w:val="22"/>
        </w:rPr>
        <w:t xml:space="preserve"> paper was to provide greater clarity on whether or not policies provid</w:t>
      </w:r>
      <w:r w:rsidR="00E84763">
        <w:rPr>
          <w:szCs w:val="22"/>
        </w:rPr>
        <w:t>ed cover for riverine flooding.</w:t>
      </w:r>
      <w:r w:rsidRPr="003B017B">
        <w:rPr>
          <w:rStyle w:val="FootnoteReference"/>
          <w:sz w:val="22"/>
          <w:szCs w:val="22"/>
        </w:rPr>
        <w:footnoteReference w:id="38"/>
      </w:r>
      <w:r w:rsidRPr="003B017B">
        <w:rPr>
          <w:szCs w:val="22"/>
        </w:rPr>
        <w:t xml:space="preserve"> It was proposed that this be addressed by the introduction of a standard and mandatory definition of flood. </w:t>
      </w:r>
      <w:r w:rsidRPr="00FC69F7">
        <w:rPr>
          <w:szCs w:val="22"/>
        </w:rPr>
        <w:t xml:space="preserve">In June 2012, the </w:t>
      </w:r>
      <w:r w:rsidRPr="00357B52">
        <w:rPr>
          <w:szCs w:val="22"/>
        </w:rPr>
        <w:t>Insurance Contracts Act</w:t>
      </w:r>
      <w:r w:rsidRPr="00915118">
        <w:rPr>
          <w:i/>
          <w:szCs w:val="22"/>
        </w:rPr>
        <w:t xml:space="preserve"> </w:t>
      </w:r>
      <w:r w:rsidRPr="00915118">
        <w:rPr>
          <w:szCs w:val="22"/>
        </w:rPr>
        <w:t>was amended to implement this proposal for home building and contents and residential strata title insurance policies, as well as insurance policies that related to small businesses.</w:t>
      </w:r>
      <w:r w:rsidRPr="003B017B">
        <w:rPr>
          <w:rStyle w:val="FootnoteReference"/>
          <w:sz w:val="22"/>
          <w:szCs w:val="22"/>
        </w:rPr>
        <w:footnoteReference w:id="39"/>
      </w:r>
      <w:r w:rsidRPr="003B017B">
        <w:rPr>
          <w:szCs w:val="22"/>
        </w:rPr>
        <w:t xml:space="preserve"> The standard definition of flood was prescribed in the Insurance Contracts</w:t>
      </w:r>
      <w:r w:rsidR="00DD68C2">
        <w:rPr>
          <w:szCs w:val="22"/>
        </w:rPr>
        <w:t xml:space="preserve"> Regulations.</w:t>
      </w:r>
      <w:r w:rsidRPr="003B017B">
        <w:rPr>
          <w:szCs w:val="22"/>
        </w:rPr>
        <w:t xml:space="preserve"> </w:t>
      </w:r>
    </w:p>
    <w:p w14:paraId="3252398E" w14:textId="77777777" w:rsidR="0067141E" w:rsidRPr="003B017B" w:rsidRDefault="0067141E" w:rsidP="00D24B43">
      <w:pPr>
        <w:rPr>
          <w:szCs w:val="22"/>
        </w:rPr>
      </w:pPr>
      <w:r>
        <w:rPr>
          <w:szCs w:val="22"/>
        </w:rPr>
        <w:t xml:space="preserve">Increasing the use of standard definitions could improve consumer awareness and their ability to compare policies. </w:t>
      </w:r>
      <w:r w:rsidR="00ED3AAD">
        <w:rPr>
          <w:szCs w:val="22"/>
        </w:rPr>
        <w:t xml:space="preserve">However, there are challenges in developing standard definitions. </w:t>
      </w:r>
      <w:r w:rsidR="00742272">
        <w:rPr>
          <w:szCs w:val="22"/>
        </w:rPr>
        <w:t xml:space="preserve">While there is </w:t>
      </w:r>
      <w:r w:rsidR="00225D47">
        <w:rPr>
          <w:szCs w:val="22"/>
        </w:rPr>
        <w:t xml:space="preserve">now </w:t>
      </w:r>
      <w:r w:rsidR="00742272">
        <w:rPr>
          <w:szCs w:val="22"/>
        </w:rPr>
        <w:t xml:space="preserve">a standard definition of ‘flood’ in insurance contracts, some of the challenges included coming up with an appropriate way to describe a natural event that would be broad enough to cover </w:t>
      </w:r>
      <w:r w:rsidR="00D0590A">
        <w:rPr>
          <w:szCs w:val="22"/>
        </w:rPr>
        <w:t>all aspects of flood</w:t>
      </w:r>
      <w:r w:rsidR="00742272">
        <w:rPr>
          <w:szCs w:val="22"/>
        </w:rPr>
        <w:t xml:space="preserve"> events. Also, standard definitions could affect pricing of an insurance product, and thereby </w:t>
      </w:r>
      <w:r w:rsidR="00225D47">
        <w:rPr>
          <w:szCs w:val="22"/>
        </w:rPr>
        <w:t xml:space="preserve">limit </w:t>
      </w:r>
      <w:r w:rsidR="00742272">
        <w:rPr>
          <w:szCs w:val="22"/>
        </w:rPr>
        <w:t>access to insurance.</w:t>
      </w:r>
    </w:p>
    <w:p w14:paraId="1776C9D8" w14:textId="77777777" w:rsidR="009127B4" w:rsidRDefault="009127B4">
      <w:pPr>
        <w:spacing w:before="0" w:after="160" w:line="259" w:lineRule="auto"/>
        <w:rPr>
          <w:b/>
        </w:rPr>
      </w:pPr>
      <w:r>
        <w:rPr>
          <w:b/>
        </w:rPr>
        <w:br w:type="page"/>
      </w:r>
    </w:p>
    <w:p w14:paraId="432A1200" w14:textId="77777777" w:rsidR="004A57FD" w:rsidRDefault="004A57FD" w:rsidP="004A57FD">
      <w:pPr>
        <w:pStyle w:val="Bullet"/>
        <w:numPr>
          <w:ilvl w:val="0"/>
          <w:numId w:val="0"/>
        </w:numPr>
      </w:pPr>
      <w:r>
        <w:rPr>
          <w:b/>
        </w:rPr>
        <w:lastRenderedPageBreak/>
        <w:t>Consumer views</w:t>
      </w:r>
    </w:p>
    <w:p w14:paraId="40015C1F" w14:textId="77777777" w:rsidR="004A57FD" w:rsidRDefault="006E77D4" w:rsidP="00D24B43">
      <w:pPr>
        <w:autoSpaceDE w:val="0"/>
        <w:autoSpaceDN w:val="0"/>
        <w:adjustRightInd w:val="0"/>
      </w:pPr>
      <w:r>
        <w:t xml:space="preserve">Consumer groups </w:t>
      </w:r>
      <w:r w:rsidR="004A57FD">
        <w:t>CHOICE</w:t>
      </w:r>
      <w:r>
        <w:t>, FRLC and CALC all</w:t>
      </w:r>
      <w:r w:rsidR="004A57FD">
        <w:t xml:space="preserve"> support </w:t>
      </w:r>
      <w:r w:rsidR="00DD69A0">
        <w:t xml:space="preserve">standardised </w:t>
      </w:r>
      <w:r w:rsidR="004A57FD">
        <w:t xml:space="preserve">key insurance definitions </w:t>
      </w:r>
      <w:r w:rsidR="00DD68C2">
        <w:t xml:space="preserve">to assist </w:t>
      </w:r>
      <w:r w:rsidR="004A57FD">
        <w:t>consumers to compare different insurance products. This weakness was recognised when</w:t>
      </w:r>
      <w:r w:rsidR="0024522C">
        <w:t xml:space="preserve"> the definition of ‘flood’ wa</w:t>
      </w:r>
      <w:r w:rsidR="004A57FD">
        <w:t>s standardised in insurance contracts. CHOICE recommends identifying and prioritising key insurance terms such as the ‘action</w:t>
      </w:r>
      <w:r w:rsidR="00A66B7B">
        <w:t>s</w:t>
      </w:r>
      <w:r w:rsidR="004A57FD">
        <w:t xml:space="preserve"> of the sea’.</w:t>
      </w:r>
    </w:p>
    <w:p w14:paraId="0F37EE1A" w14:textId="77777777" w:rsidR="004A57FD" w:rsidRDefault="004A57FD" w:rsidP="00D24B43">
      <w:pPr>
        <w:autoSpaceDE w:val="0"/>
        <w:autoSpaceDN w:val="0"/>
        <w:adjustRightInd w:val="0"/>
      </w:pPr>
      <w:r>
        <w:t xml:space="preserve">ASIC noted that it is not always possible for consumers to appreciate nuances in definitions and what this means for their coverage. ASIC recommends standardising policy terms and risk factors particularly for natural disaster risk mapping by considering legislative changes or specific authorisations. </w:t>
      </w:r>
      <w:r w:rsidR="00CB3519">
        <w:t xml:space="preserve">It </w:t>
      </w:r>
      <w:r>
        <w:t xml:space="preserve">further suggested standardising policy definitions would better enable comparison services to compare like-with-like products. </w:t>
      </w:r>
    </w:p>
    <w:p w14:paraId="6FB610F1" w14:textId="77777777" w:rsidR="00151E95" w:rsidRPr="00F36680" w:rsidRDefault="00351F60" w:rsidP="00D24B43">
      <w:pPr>
        <w:autoSpaceDE w:val="0"/>
        <w:autoSpaceDN w:val="0"/>
        <w:adjustRightInd w:val="0"/>
        <w:spacing w:after="0"/>
        <w:rPr>
          <w:b/>
        </w:rPr>
      </w:pPr>
      <w:r>
        <w:rPr>
          <w:b/>
        </w:rPr>
        <w:t>Industry views</w:t>
      </w:r>
    </w:p>
    <w:p w14:paraId="36B4E1EA" w14:textId="77777777" w:rsidR="00B22FEF" w:rsidRDefault="00B22FEF" w:rsidP="00D24B43">
      <w:pPr>
        <w:pStyle w:val="Bullet"/>
        <w:numPr>
          <w:ilvl w:val="0"/>
          <w:numId w:val="0"/>
        </w:numPr>
        <w:spacing w:before="120"/>
      </w:pPr>
      <w:r>
        <w:t>In its statements to the</w:t>
      </w:r>
      <w:r w:rsidR="00427F66">
        <w:t xml:space="preserve"> Senate</w:t>
      </w:r>
      <w:r>
        <w:t xml:space="preserve"> </w:t>
      </w:r>
      <w:r w:rsidR="00A741F3">
        <w:t>Committee</w:t>
      </w:r>
      <w:r>
        <w:t xml:space="preserve"> </w:t>
      </w:r>
      <w:r w:rsidR="00151E95">
        <w:t>Inquiry</w:t>
      </w:r>
      <w:r>
        <w:t>, the ICA</w:t>
      </w:r>
      <w:r w:rsidR="00680460" w:rsidRPr="00E54E87">
        <w:t xml:space="preserve"> remarked t</w:t>
      </w:r>
      <w:r w:rsidR="002826C5">
        <w:t xml:space="preserve">hat standard definitions could </w:t>
      </w:r>
      <w:r w:rsidR="000F7A99">
        <w:t>result in insurers offering the same cover, thereby reducing consumer choice</w:t>
      </w:r>
      <w:r w:rsidR="00680460" w:rsidRPr="00E54E87">
        <w:t>.</w:t>
      </w:r>
      <w:r w:rsidR="00915118">
        <w:rPr>
          <w:rStyle w:val="FootnoteReference"/>
        </w:rPr>
        <w:footnoteReference w:id="40"/>
      </w:r>
      <w:r w:rsidR="00680460">
        <w:t xml:space="preserve"> </w:t>
      </w:r>
      <w:r w:rsidR="00C356F2">
        <w:t xml:space="preserve"> As part of </w:t>
      </w:r>
      <w:r w:rsidR="00511571">
        <w:t>the TLDR paper</w:t>
      </w:r>
      <w:r w:rsidR="00C356F2">
        <w:t xml:space="preserve">, the ICA’s </w:t>
      </w:r>
      <w:r w:rsidR="00B42F20">
        <w:t xml:space="preserve">Effective Disclosure </w:t>
      </w:r>
      <w:r w:rsidR="00427F66">
        <w:t>T</w:t>
      </w:r>
      <w:r w:rsidR="00C356F2">
        <w:t xml:space="preserve">askforce </w:t>
      </w:r>
      <w:r w:rsidR="00F04C6D">
        <w:t xml:space="preserve">looked at a range of options to facilitate better </w:t>
      </w:r>
      <w:r w:rsidR="000F7A99">
        <w:t>product comparison. The ICA is currently working with members on initiatives to achieve this, including the need to make key terms more consistent across the industry</w:t>
      </w:r>
      <w:r w:rsidR="00F04C6D">
        <w:t>.</w:t>
      </w:r>
      <w:r w:rsidR="00914497">
        <w:rPr>
          <w:rStyle w:val="FootnoteReference"/>
        </w:rPr>
        <w:footnoteReference w:id="41"/>
      </w:r>
    </w:p>
    <w:bookmarkStart w:id="34" w:name="_Toc528840425"/>
    <w:bookmarkStart w:id="35" w:name="_Toc528840606"/>
    <w:bookmarkStart w:id="36" w:name="_Toc515978334"/>
    <w:p w14:paraId="544BAB4B" w14:textId="77777777" w:rsidR="008430F1" w:rsidRDefault="008430F1" w:rsidP="00966E59">
      <w:pPr>
        <w:pStyle w:val="Heading2"/>
      </w:pPr>
      <w:r>
        <w:rPr>
          <w:noProof/>
        </w:rPr>
        <mc:AlternateContent>
          <mc:Choice Requires="wps">
            <w:drawing>
              <wp:anchor distT="0" distB="0" distL="114300" distR="114300" simplePos="0" relativeHeight="251658242" behindDoc="0" locked="0" layoutInCell="1" allowOverlap="1" wp14:anchorId="3796432B" wp14:editId="15787969">
                <wp:simplePos x="0" y="0"/>
                <wp:positionH relativeFrom="column">
                  <wp:posOffset>-81128</wp:posOffset>
                </wp:positionH>
                <wp:positionV relativeFrom="paragraph">
                  <wp:posOffset>93802</wp:posOffset>
                </wp:positionV>
                <wp:extent cx="5952227" cy="2465223"/>
                <wp:effectExtent l="0" t="0" r="10795"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227" cy="2465223"/>
                        </a:xfrm>
                        <a:prstGeom prst="rect">
                          <a:avLst/>
                        </a:prstGeom>
                        <a:solidFill>
                          <a:srgbClr val="FFFFFF"/>
                        </a:solidFill>
                        <a:ln w="9525">
                          <a:solidFill>
                            <a:srgbClr val="000000"/>
                          </a:solidFill>
                          <a:miter lim="800000"/>
                          <a:headEnd/>
                          <a:tailEnd/>
                        </a:ln>
                      </wps:spPr>
                      <wps:txbx>
                        <w:txbxContent>
                          <w:p w14:paraId="746C9221" w14:textId="77777777" w:rsidR="006972BA" w:rsidRPr="00D24159" w:rsidRDefault="006972BA" w:rsidP="00C603FD">
                            <w:pPr>
                              <w:rPr>
                                <w:b/>
                              </w:rPr>
                            </w:pPr>
                            <w:r>
                              <w:rPr>
                                <w:b/>
                              </w:rPr>
                              <w:t>Consultation q</w:t>
                            </w:r>
                            <w:r w:rsidRPr="00D24159">
                              <w:rPr>
                                <w:b/>
                              </w:rPr>
                              <w:t>uestions</w:t>
                            </w:r>
                          </w:p>
                          <w:p w14:paraId="67416AEE" w14:textId="77777777" w:rsidR="006972BA" w:rsidRDefault="006972BA" w:rsidP="00DB69DF">
                            <w:r>
                              <w:t>What is the goal of standardised definitions?</w:t>
                            </w:r>
                          </w:p>
                          <w:p w14:paraId="53B01CE4" w14:textId="77777777" w:rsidR="006972BA" w:rsidRDefault="006972BA" w:rsidP="00DB69DF">
                            <w:pPr>
                              <w:pStyle w:val="OutlineNumbered1"/>
                            </w:pPr>
                            <w:r>
                              <w:t>Has the standard definition of flood reduced the number of complaints/disputes with insurers about coverage?</w:t>
                            </w:r>
                          </w:p>
                          <w:p w14:paraId="25CE272E" w14:textId="554E785C" w:rsidR="006972BA" w:rsidRDefault="006972BA" w:rsidP="00531E70">
                            <w:pPr>
                              <w:pStyle w:val="OutlineNumbered1"/>
                            </w:pPr>
                            <w:r>
                              <w:t>Should the Government mandate standardised definitions for a menu of key terms?</w:t>
                            </w:r>
                          </w:p>
                          <w:p w14:paraId="70C1E80C" w14:textId="77777777" w:rsidR="006972BA" w:rsidRDefault="006972BA" w:rsidP="00531E70">
                            <w:pPr>
                              <w:pStyle w:val="OutlineNumbered1"/>
                            </w:pPr>
                            <w:r>
                              <w:t>If key terms were to be standardised, what definitions should the Government prioritise?</w:t>
                            </w:r>
                            <w:r w:rsidRPr="00A97600">
                              <w:t xml:space="preserve"> </w:t>
                            </w:r>
                            <w:r>
                              <w:t>What terms tend to be subject to dispute due to misunderstandings of meaning?</w:t>
                            </w:r>
                          </w:p>
                          <w:p w14:paraId="59F01A7B" w14:textId="77777777" w:rsidR="006972BA" w:rsidRDefault="006972BA" w:rsidP="00531E70">
                            <w:pPr>
                              <w:pStyle w:val="OutlineNumbered1"/>
                            </w:pPr>
                            <w:r>
                              <w:t>What impact would standardising some definitions have on underwriting?</w:t>
                            </w:r>
                          </w:p>
                          <w:p w14:paraId="6B34BFC4" w14:textId="77777777" w:rsidR="006972BA" w:rsidRPr="006950D7" w:rsidRDefault="006972BA" w:rsidP="00531E70">
                            <w:pPr>
                              <w:pStyle w:val="OutlineNumbered1"/>
                            </w:pPr>
                            <w:r>
                              <w:t>Should there be standard definitions for exclusions, for example, wear and tear?</w:t>
                            </w:r>
                          </w:p>
                          <w:p w14:paraId="61ADAF4C" w14:textId="77777777" w:rsidR="006972BA" w:rsidRDefault="00697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4pt;margin-top:7.4pt;width:468.7pt;height:19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">
                <v:textbox>
                  <w:txbxContent>
                    <w:p w14:paraId="746C9221" w14:textId="77777777" w:rsidR="006972BA" w:rsidRPr="00D24159" w:rsidRDefault="006972BA" w:rsidP="00C603FD">
                      <w:pPr>
                        <w:rPr>
                          <w:b/>
                        </w:rPr>
                      </w:pPr>
                      <w:r>
                        <w:rPr>
                          <w:b/>
                        </w:rPr>
                        <w:t>Consultation q</w:t>
                      </w:r>
                      <w:r w:rsidRPr="00D24159">
                        <w:rPr>
                          <w:b/>
                        </w:rPr>
                        <w:t>uestions</w:t>
                      </w:r>
                    </w:p>
                    <w:p w14:paraId="67416AEE" w14:textId="77777777" w:rsidR="006972BA" w:rsidRDefault="006972BA" w:rsidP="00DB69DF">
                      <w:r>
                        <w:t>What is the goal of standardised definitions?</w:t>
                      </w:r>
                    </w:p>
                    <w:p w14:paraId="53B01CE4" w14:textId="77777777" w:rsidR="006972BA" w:rsidRDefault="006972BA" w:rsidP="00DB69DF">
                      <w:pPr>
                        <w:pStyle w:val="OutlineNumbered1"/>
                      </w:pPr>
                      <w:r>
                        <w:t>Has the standard definition of flood reduced the number of complaints/disputes with insurers about coverage?</w:t>
                      </w:r>
                    </w:p>
                    <w:p w14:paraId="25CE272E" w14:textId="554E785C" w:rsidR="006972BA" w:rsidRDefault="006972BA" w:rsidP="00531E70">
                      <w:pPr>
                        <w:pStyle w:val="OutlineNumbered1"/>
                      </w:pPr>
                      <w:r>
                        <w:t>Should the Government mandate standardised definitions for a menu of key terms?</w:t>
                      </w:r>
                    </w:p>
                    <w:p w14:paraId="70C1E80C" w14:textId="77777777" w:rsidR="006972BA" w:rsidRDefault="006972BA" w:rsidP="00531E70">
                      <w:pPr>
                        <w:pStyle w:val="OutlineNumbered1"/>
                      </w:pPr>
                      <w:r>
                        <w:t>If key terms were to be standardised, what definitions should the Government prioritise?</w:t>
                      </w:r>
                      <w:r w:rsidRPr="00A97600">
                        <w:t xml:space="preserve"> </w:t>
                      </w:r>
                      <w:r>
                        <w:t>What terms tend to be subject to dispute due to misunderstandings of meaning?</w:t>
                      </w:r>
                    </w:p>
                    <w:p w14:paraId="59F01A7B" w14:textId="77777777" w:rsidR="006972BA" w:rsidRDefault="006972BA" w:rsidP="00531E70">
                      <w:pPr>
                        <w:pStyle w:val="OutlineNumbered1"/>
                      </w:pPr>
                      <w:r>
                        <w:t>What impact would standardising some definitions have on underwriting?</w:t>
                      </w:r>
                    </w:p>
                    <w:p w14:paraId="6B34BFC4" w14:textId="77777777" w:rsidR="006972BA" w:rsidRPr="006950D7" w:rsidRDefault="006972BA" w:rsidP="00531E70">
                      <w:pPr>
                        <w:pStyle w:val="OutlineNumbered1"/>
                      </w:pPr>
                      <w:r>
                        <w:t>Should there be standard definitions for exclusions, for example, wear and tear?</w:t>
                      </w:r>
                    </w:p>
                    <w:p w14:paraId="61ADAF4C" w14:textId="77777777" w:rsidR="006972BA" w:rsidRDefault="006972BA"/>
                  </w:txbxContent>
                </v:textbox>
              </v:shape>
            </w:pict>
          </mc:Fallback>
        </mc:AlternateContent>
      </w:r>
      <w:bookmarkEnd w:id="34"/>
      <w:bookmarkEnd w:id="35"/>
    </w:p>
    <w:p w14:paraId="75F73B8D" w14:textId="77777777" w:rsidR="008430F1" w:rsidRDefault="008430F1" w:rsidP="00966E59">
      <w:pPr>
        <w:pStyle w:val="Heading2"/>
      </w:pPr>
    </w:p>
    <w:p w14:paraId="28B4923A" w14:textId="77777777" w:rsidR="008430F1" w:rsidRDefault="008430F1" w:rsidP="00966E59">
      <w:pPr>
        <w:pStyle w:val="Heading2"/>
      </w:pPr>
    </w:p>
    <w:p w14:paraId="325A743E" w14:textId="77777777" w:rsidR="008430F1" w:rsidRDefault="008430F1" w:rsidP="00966E59">
      <w:pPr>
        <w:pStyle w:val="Heading2"/>
      </w:pPr>
    </w:p>
    <w:p w14:paraId="532A38B4" w14:textId="77777777" w:rsidR="008430F1" w:rsidRDefault="008430F1" w:rsidP="00E135F6">
      <w:pPr>
        <w:pStyle w:val="Heading2"/>
        <w:spacing w:before="120"/>
      </w:pPr>
    </w:p>
    <w:p w14:paraId="15CE247D" w14:textId="77777777" w:rsidR="00EC713A" w:rsidRDefault="00EC713A">
      <w:pPr>
        <w:spacing w:before="0" w:after="160" w:line="259" w:lineRule="auto"/>
        <w:rPr>
          <w:rFonts w:cs="Arial"/>
          <w:iCs/>
          <w:color w:val="004A7F"/>
          <w:kern w:val="32"/>
          <w:sz w:val="36"/>
          <w:szCs w:val="28"/>
        </w:rPr>
      </w:pPr>
      <w:r>
        <w:br w:type="page"/>
      </w:r>
    </w:p>
    <w:p w14:paraId="205A93BF" w14:textId="77777777" w:rsidR="00680460" w:rsidRPr="00882E2A" w:rsidRDefault="00E81957" w:rsidP="00966E59">
      <w:pPr>
        <w:pStyle w:val="Heading2"/>
      </w:pPr>
      <w:bookmarkStart w:id="37" w:name="_Toc528840607"/>
      <w:r w:rsidRPr="00882E2A">
        <w:lastRenderedPageBreak/>
        <w:t>Review of the Key F</w:t>
      </w:r>
      <w:r w:rsidR="00680460" w:rsidRPr="00882E2A">
        <w:t>act</w:t>
      </w:r>
      <w:r w:rsidRPr="00882E2A">
        <w:t>s S</w:t>
      </w:r>
      <w:r w:rsidR="00680460" w:rsidRPr="00882E2A">
        <w:t>heet</w:t>
      </w:r>
      <w:bookmarkEnd w:id="36"/>
      <w:bookmarkEnd w:id="37"/>
    </w:p>
    <w:p w14:paraId="4DE2D30A" w14:textId="77777777" w:rsidR="008430F1" w:rsidRDefault="008430F1" w:rsidP="00680460">
      <w:pPr>
        <w:pStyle w:val="OutlineNumbered1"/>
        <w:numPr>
          <w:ilvl w:val="0"/>
          <w:numId w:val="0"/>
        </w:numPr>
        <w:rPr>
          <w:b/>
        </w:rPr>
      </w:pPr>
      <w:r w:rsidRPr="008430F1">
        <w:rPr>
          <w:i/>
          <w:noProof/>
        </w:rPr>
        <mc:AlternateContent>
          <mc:Choice Requires="wps">
            <w:drawing>
              <wp:anchor distT="0" distB="0" distL="114300" distR="114300" simplePos="0" relativeHeight="251658243" behindDoc="0" locked="0" layoutInCell="1" allowOverlap="1" wp14:anchorId="5C72C00B" wp14:editId="393E453B">
                <wp:simplePos x="0" y="0"/>
                <wp:positionH relativeFrom="column">
                  <wp:posOffset>-125019</wp:posOffset>
                </wp:positionH>
                <wp:positionV relativeFrom="paragraph">
                  <wp:posOffset>10135</wp:posOffset>
                </wp:positionV>
                <wp:extent cx="5951855" cy="1038758"/>
                <wp:effectExtent l="0" t="0" r="1079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1038758"/>
                        </a:xfrm>
                        <a:prstGeom prst="rect">
                          <a:avLst/>
                        </a:prstGeom>
                        <a:solidFill>
                          <a:srgbClr val="FFFFFF"/>
                        </a:solidFill>
                        <a:ln w="9525">
                          <a:solidFill>
                            <a:srgbClr val="000000"/>
                          </a:solidFill>
                          <a:miter lim="800000"/>
                          <a:headEnd/>
                          <a:tailEnd/>
                        </a:ln>
                      </wps:spPr>
                      <wps:txbx>
                        <w:txbxContent>
                          <w:p w14:paraId="0B3D7E6A" w14:textId="77777777" w:rsidR="006972BA" w:rsidRDefault="006972BA" w:rsidP="008430F1">
                            <w:pPr>
                              <w:pStyle w:val="OutlineNumbered1"/>
                              <w:numPr>
                                <w:ilvl w:val="0"/>
                                <w:numId w:val="0"/>
                              </w:numPr>
                              <w:rPr>
                                <w:b/>
                              </w:rPr>
                            </w:pPr>
                            <w:r>
                              <w:rPr>
                                <w:b/>
                              </w:rPr>
                              <w:t>Recommendation</w:t>
                            </w:r>
                          </w:p>
                          <w:p w14:paraId="512763ED" w14:textId="77777777" w:rsidR="006972BA" w:rsidRDefault="006972BA" w:rsidP="00E135F6">
                            <w:pPr>
                              <w:pStyle w:val="Bullet"/>
                            </w:pPr>
                            <w:r w:rsidRPr="00307044">
                              <w:t xml:space="preserve">The </w:t>
                            </w:r>
                            <w:r>
                              <w:t>G</w:t>
                            </w:r>
                            <w:r w:rsidRPr="00307044">
                              <w:t xml:space="preserve">overnment undertake a review of the utility of </w:t>
                            </w:r>
                            <w:r>
                              <w:t>the KFS</w:t>
                            </w:r>
                            <w:r w:rsidRPr="00307044">
                              <w:t xml:space="preserve"> as a means of product disclosure, with particular regard to the effectiveness of the KFS in improving understanding of home building and contents policies, and merit of extending the use of KFS to other forms of general insurance.</w:t>
                            </w:r>
                          </w:p>
                          <w:p w14:paraId="6F315682" w14:textId="77777777" w:rsidR="006972BA" w:rsidRDefault="006972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85pt;margin-top:.8pt;width:468.65pt;height:8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">
                <v:textbox>
                  <w:txbxContent>
                    <w:p w14:paraId="0B3D7E6A" w14:textId="77777777" w:rsidR="006972BA" w:rsidRDefault="006972BA" w:rsidP="008430F1">
                      <w:pPr>
                        <w:pStyle w:val="OutlineNumbered1"/>
                        <w:numPr>
                          <w:ilvl w:val="0"/>
                          <w:numId w:val="0"/>
                        </w:numPr>
                        <w:rPr>
                          <w:b/>
                        </w:rPr>
                      </w:pPr>
                      <w:r>
                        <w:rPr>
                          <w:b/>
                        </w:rPr>
                        <w:t>Recommendation</w:t>
                      </w:r>
                    </w:p>
                    <w:p w14:paraId="512763ED" w14:textId="77777777" w:rsidR="006972BA" w:rsidRDefault="006972BA" w:rsidP="00E135F6">
                      <w:pPr>
                        <w:pStyle w:val="Bullet"/>
                      </w:pPr>
                      <w:r w:rsidRPr="00307044">
                        <w:t xml:space="preserve">The </w:t>
                      </w:r>
                      <w:r>
                        <w:t>G</w:t>
                      </w:r>
                      <w:r w:rsidRPr="00307044">
                        <w:t xml:space="preserve">overnment undertake a review of the utility of </w:t>
                      </w:r>
                      <w:r>
                        <w:t>the KFS</w:t>
                      </w:r>
                      <w:r w:rsidRPr="00307044">
                        <w:t xml:space="preserve"> as a means of product disclosure, with particular regard to the effectiveness of the KFS in improving understanding of home building and contents policies, and merit of extending the use of KFS to other forms of general insurance.</w:t>
                      </w:r>
                    </w:p>
                    <w:p w14:paraId="6F315682" w14:textId="77777777" w:rsidR="006972BA" w:rsidRDefault="006972BA"/>
                  </w:txbxContent>
                </v:textbox>
              </v:shape>
            </w:pict>
          </mc:Fallback>
        </mc:AlternateContent>
      </w:r>
    </w:p>
    <w:p w14:paraId="11C6F982" w14:textId="77777777" w:rsidR="008430F1" w:rsidRDefault="008430F1" w:rsidP="00680460">
      <w:pPr>
        <w:pStyle w:val="OutlineNumbered1"/>
        <w:numPr>
          <w:ilvl w:val="0"/>
          <w:numId w:val="0"/>
        </w:numPr>
        <w:rPr>
          <w:b/>
        </w:rPr>
      </w:pPr>
    </w:p>
    <w:p w14:paraId="195E9FA9" w14:textId="77777777" w:rsidR="008430F1" w:rsidRDefault="008430F1" w:rsidP="00680460">
      <w:pPr>
        <w:pStyle w:val="OutlineNumbered1"/>
        <w:numPr>
          <w:ilvl w:val="0"/>
          <w:numId w:val="0"/>
        </w:numPr>
        <w:rPr>
          <w:b/>
        </w:rPr>
      </w:pPr>
    </w:p>
    <w:p w14:paraId="5E1FC90B" w14:textId="77777777" w:rsidR="008430F1" w:rsidRDefault="008430F1" w:rsidP="00680460">
      <w:pPr>
        <w:pStyle w:val="OutlineNumbered1"/>
        <w:numPr>
          <w:ilvl w:val="0"/>
          <w:numId w:val="0"/>
        </w:numPr>
        <w:rPr>
          <w:b/>
        </w:rPr>
      </w:pPr>
    </w:p>
    <w:p w14:paraId="0470A31C" w14:textId="77777777" w:rsidR="004E588F" w:rsidRDefault="004E588F" w:rsidP="00680460">
      <w:pPr>
        <w:pStyle w:val="OutlineNumbered1"/>
        <w:numPr>
          <w:ilvl w:val="0"/>
          <w:numId w:val="0"/>
        </w:numPr>
        <w:rPr>
          <w:b/>
        </w:rPr>
      </w:pPr>
    </w:p>
    <w:p w14:paraId="702E232A" w14:textId="77777777" w:rsidR="008B36BF" w:rsidRPr="00307044" w:rsidRDefault="008B36BF" w:rsidP="00680460">
      <w:pPr>
        <w:pStyle w:val="OutlineNumbered1"/>
        <w:numPr>
          <w:ilvl w:val="0"/>
          <w:numId w:val="0"/>
        </w:numPr>
        <w:rPr>
          <w:i/>
        </w:rPr>
      </w:pPr>
      <w:r>
        <w:rPr>
          <w:b/>
        </w:rPr>
        <w:t>Issue</w:t>
      </w:r>
    </w:p>
    <w:p w14:paraId="3507F2BA" w14:textId="00597891" w:rsidR="00EB25C5" w:rsidRDefault="000E0482" w:rsidP="00FF5653">
      <w:pPr>
        <w:pStyle w:val="OutlineNumbered1"/>
        <w:numPr>
          <w:ilvl w:val="0"/>
          <w:numId w:val="0"/>
        </w:numPr>
        <w:spacing w:before="120"/>
      </w:pPr>
      <w:r>
        <w:t xml:space="preserve">The format of the KFS is prescribed in the Insurance Contracts Regulations, with </w:t>
      </w:r>
      <w:r w:rsidR="00D0590A">
        <w:t xml:space="preserve">specific </w:t>
      </w:r>
      <w:r>
        <w:t xml:space="preserve">requirements for the items </w:t>
      </w:r>
      <w:r w:rsidR="00D0590A">
        <w:t xml:space="preserve">to be included </w:t>
      </w:r>
      <w:r>
        <w:t xml:space="preserve">in the document. </w:t>
      </w:r>
      <w:r w:rsidR="00D222E9">
        <w:t>Since its</w:t>
      </w:r>
      <w:r w:rsidR="00BF25D6">
        <w:t xml:space="preserve"> </w:t>
      </w:r>
      <w:r w:rsidR="001A0912">
        <w:t>implementation</w:t>
      </w:r>
      <w:r w:rsidR="00D222E9">
        <w:t xml:space="preserve">, </w:t>
      </w:r>
      <w:r w:rsidR="00CD1046">
        <w:t>the effectiveness of the KFS as a mean</w:t>
      </w:r>
      <w:r w:rsidR="00C838E9">
        <w:t>s</w:t>
      </w:r>
      <w:r w:rsidR="00CD1046">
        <w:t xml:space="preserve"> </w:t>
      </w:r>
      <w:r w:rsidR="00C838E9">
        <w:t xml:space="preserve">to </w:t>
      </w:r>
      <w:r w:rsidR="00CD1046">
        <w:t>help improve consumer</w:t>
      </w:r>
      <w:r w:rsidR="00C838E9">
        <w:t>s’</w:t>
      </w:r>
      <w:r w:rsidR="00CD1046">
        <w:t xml:space="preserve"> outcome</w:t>
      </w:r>
      <w:r w:rsidR="00C838E9">
        <w:t>s</w:t>
      </w:r>
      <w:r w:rsidR="00CD1046">
        <w:t xml:space="preserve"> in their purchase of general insura</w:t>
      </w:r>
      <w:r w:rsidR="00CF0618">
        <w:t xml:space="preserve">nce policy has been questioned. </w:t>
      </w:r>
      <w:r w:rsidR="00FE5E13">
        <w:t>The issue ce</w:t>
      </w:r>
      <w:r w:rsidR="00F11E05">
        <w:t xml:space="preserve">ntred on </w:t>
      </w:r>
      <w:r w:rsidR="00C838E9">
        <w:t xml:space="preserve">the fact that </w:t>
      </w:r>
      <w:r w:rsidR="00F11E05">
        <w:t xml:space="preserve">consumers do not </w:t>
      </w:r>
      <w:r w:rsidR="00FE5E13">
        <w:t xml:space="preserve">necessarily </w:t>
      </w:r>
      <w:r w:rsidR="00F11E05">
        <w:t xml:space="preserve">refer to </w:t>
      </w:r>
      <w:r w:rsidR="00FE5E13">
        <w:t xml:space="preserve">the </w:t>
      </w:r>
      <w:r w:rsidR="00F11E05">
        <w:t xml:space="preserve">KFS as the main source of information for insurance policy selection. </w:t>
      </w:r>
      <w:r w:rsidR="008C29BF">
        <w:t>The ICA’s Con</w:t>
      </w:r>
      <w:r w:rsidR="000C2F1E">
        <w:t xml:space="preserve">sumer </w:t>
      </w:r>
      <w:r w:rsidR="00EE3C23">
        <w:t xml:space="preserve">Research </w:t>
      </w:r>
      <w:r w:rsidR="000C2F1E">
        <w:t>report</w:t>
      </w:r>
      <w:r w:rsidR="00DA26EE">
        <w:t xml:space="preserve"> show</w:t>
      </w:r>
      <w:r w:rsidR="000C2F1E">
        <w:t>s</w:t>
      </w:r>
      <w:r w:rsidR="00DA26EE">
        <w:t xml:space="preserve"> that only </w:t>
      </w:r>
      <w:r w:rsidR="001A4FBD">
        <w:t>6</w:t>
      </w:r>
      <w:r w:rsidR="00DA26EE">
        <w:t xml:space="preserve"> per cent </w:t>
      </w:r>
      <w:r w:rsidR="000C2F1E">
        <w:t>of the respondents use</w:t>
      </w:r>
      <w:r w:rsidR="001A68C9">
        <w:t xml:space="preserve"> the KFS as the main source of information for home building and home content</w:t>
      </w:r>
      <w:r w:rsidR="000627D3">
        <w:t>s</w:t>
      </w:r>
      <w:r w:rsidR="001A68C9">
        <w:t xml:space="preserve"> insurance policy selection.</w:t>
      </w:r>
      <w:r w:rsidR="007D31C1">
        <w:rPr>
          <w:rStyle w:val="FootnoteReference"/>
        </w:rPr>
        <w:footnoteReference w:id="42"/>
      </w:r>
      <w:r w:rsidR="007D31C1">
        <w:t xml:space="preserve"> </w:t>
      </w:r>
      <w:r w:rsidR="00564B95">
        <w:t xml:space="preserve">Instead, consumers reported using the renewal </w:t>
      </w:r>
      <w:r w:rsidR="009E1690">
        <w:t>notice</w:t>
      </w:r>
      <w:r w:rsidR="00564B95">
        <w:t>, staff and online quotes as key information for assessing policies</w:t>
      </w:r>
      <w:r w:rsidR="00C838E9">
        <w:t>,</w:t>
      </w:r>
      <w:r w:rsidR="00564B95">
        <w:t xml:space="preserve"> </w:t>
      </w:r>
      <w:r w:rsidR="0096386B">
        <w:t>which</w:t>
      </w:r>
      <w:r w:rsidR="00075FDA">
        <w:t xml:space="preserve"> </w:t>
      </w:r>
      <w:r w:rsidR="00265445">
        <w:t>su</w:t>
      </w:r>
      <w:r w:rsidR="00075FDA">
        <w:t>ggest</w:t>
      </w:r>
      <w:r w:rsidR="0096386B">
        <w:t xml:space="preserve"> </w:t>
      </w:r>
      <w:r w:rsidR="00D17591">
        <w:t xml:space="preserve">that the </w:t>
      </w:r>
      <w:r w:rsidR="00564B95">
        <w:t>consumers’ decision making process is often guided by price</w:t>
      </w:r>
      <w:r w:rsidR="00D17591">
        <w:t>,</w:t>
      </w:r>
      <w:r w:rsidR="00564B95">
        <w:t xml:space="preserve"> with limited regards to coverage, limitations and exclusions of the policy.</w:t>
      </w:r>
      <w:r w:rsidR="009D6D2E">
        <w:t xml:space="preserve">  </w:t>
      </w:r>
    </w:p>
    <w:p w14:paraId="0CF795C7" w14:textId="77777777" w:rsidR="007652E6" w:rsidRDefault="0059601E" w:rsidP="00FF5653">
      <w:pPr>
        <w:pStyle w:val="OutlineNumbered1"/>
        <w:numPr>
          <w:ilvl w:val="0"/>
          <w:numId w:val="0"/>
        </w:numPr>
        <w:spacing w:before="120"/>
      </w:pPr>
      <w:r>
        <w:t>T</w:t>
      </w:r>
      <w:r w:rsidR="00441190">
        <w:t xml:space="preserve">he </w:t>
      </w:r>
      <w:r w:rsidR="00A742C7">
        <w:t xml:space="preserve">Consumer Research report </w:t>
      </w:r>
      <w:r>
        <w:t xml:space="preserve">also </w:t>
      </w:r>
      <w:r w:rsidR="00D12FDA">
        <w:t xml:space="preserve">found that consumers who </w:t>
      </w:r>
      <w:r w:rsidR="00C838E9">
        <w:t xml:space="preserve">made an </w:t>
      </w:r>
      <w:r w:rsidR="00D12FDA">
        <w:t>effort to compare at least 3 brands are more likely to use the KFS as a source of comparison tool.</w:t>
      </w:r>
      <w:r w:rsidR="00D12FDA">
        <w:rPr>
          <w:rStyle w:val="FootnoteReference"/>
        </w:rPr>
        <w:footnoteReference w:id="43"/>
      </w:r>
      <w:r w:rsidR="00D12FDA">
        <w:t xml:space="preserve"> This </w:t>
      </w:r>
      <w:r w:rsidR="004627BE">
        <w:t xml:space="preserve">indicates </w:t>
      </w:r>
      <w:r w:rsidR="008544BB">
        <w:t>that</w:t>
      </w:r>
      <w:r w:rsidR="0051653B">
        <w:t xml:space="preserve"> </w:t>
      </w:r>
      <w:r w:rsidR="00C838E9">
        <w:t xml:space="preserve">the </w:t>
      </w:r>
      <w:r w:rsidR="00D12FDA">
        <w:t xml:space="preserve">KFS has the potential to aid comparison and help consumers in their decision making process when purchasing insurance. </w:t>
      </w:r>
    </w:p>
    <w:p w14:paraId="11399C5B" w14:textId="77777777" w:rsidR="007652E6" w:rsidRDefault="001969EA" w:rsidP="00FF5653">
      <w:pPr>
        <w:pStyle w:val="OutlineNumbered1"/>
        <w:numPr>
          <w:ilvl w:val="0"/>
          <w:numId w:val="0"/>
        </w:numPr>
        <w:spacing w:before="120"/>
      </w:pPr>
      <w:r>
        <w:t xml:space="preserve">Studies on the use of KFS </w:t>
      </w:r>
      <w:r w:rsidR="004F5C8B">
        <w:t>convey</w:t>
      </w:r>
      <w:r>
        <w:t xml:space="preserve"> l</w:t>
      </w:r>
      <w:r w:rsidR="00126E81">
        <w:t>ow c</w:t>
      </w:r>
      <w:r w:rsidR="007652E6">
        <w:t xml:space="preserve">onsumer awareness of </w:t>
      </w:r>
      <w:r w:rsidR="009766E3">
        <w:t>it</w:t>
      </w:r>
      <w:r w:rsidR="007652E6">
        <w:t xml:space="preserve">. </w:t>
      </w:r>
      <w:r>
        <w:t xml:space="preserve"> The Consumer Research report</w:t>
      </w:r>
      <w:r w:rsidR="00DA0342">
        <w:t xml:space="preserve"> indicates</w:t>
      </w:r>
      <w:r w:rsidR="007652E6">
        <w:t xml:space="preserve"> while most consumers (72 per cent) are aware of the PDS, only 48 per cent are aware of the KFS.</w:t>
      </w:r>
      <w:r w:rsidR="007652E6">
        <w:rPr>
          <w:rStyle w:val="FootnoteReference"/>
        </w:rPr>
        <w:footnoteReference w:id="44"/>
      </w:r>
      <w:r w:rsidR="007652E6">
        <w:t xml:space="preserve"> However, most consumers made aware of the KFS would have a high probability of reading the KFS.</w:t>
      </w:r>
      <w:r w:rsidR="007652E6">
        <w:rPr>
          <w:rStyle w:val="FootnoteReference"/>
        </w:rPr>
        <w:footnoteReference w:id="45"/>
      </w:r>
      <w:r w:rsidR="00DA0342">
        <w:t xml:space="preserve"> </w:t>
      </w:r>
    </w:p>
    <w:p w14:paraId="6A301736" w14:textId="77777777" w:rsidR="00BB532B" w:rsidRDefault="00A97A4D" w:rsidP="00FF5653">
      <w:pPr>
        <w:pStyle w:val="OutlineNumbered1"/>
        <w:numPr>
          <w:ilvl w:val="0"/>
          <w:numId w:val="0"/>
        </w:numPr>
        <w:spacing w:before="120"/>
      </w:pPr>
      <w:r>
        <w:t xml:space="preserve">Results from the </w:t>
      </w:r>
      <w:r w:rsidR="00014061">
        <w:t xml:space="preserve">ICA’s </w:t>
      </w:r>
      <w:r w:rsidR="00C55D98">
        <w:t xml:space="preserve">TLDR </w:t>
      </w:r>
      <w:r w:rsidR="00812052">
        <w:t xml:space="preserve">paper </w:t>
      </w:r>
      <w:r w:rsidR="00851921">
        <w:t>show</w:t>
      </w:r>
      <w:r w:rsidR="00014061">
        <w:t xml:space="preserve"> short</w:t>
      </w:r>
      <w:r w:rsidR="001D6A8D">
        <w:t>-</w:t>
      </w:r>
      <w:r w:rsidR="00014061">
        <w:t xml:space="preserve">form disclosure may be useful to consumers in summarising key policy features including coverage and exclusions. </w:t>
      </w:r>
      <w:r w:rsidR="00C04A74">
        <w:t xml:space="preserve">A </w:t>
      </w:r>
      <w:r w:rsidR="00014061">
        <w:t xml:space="preserve">survey commissioned by ICA found </w:t>
      </w:r>
      <w:r w:rsidR="00A26ED9">
        <w:t>‘</w:t>
      </w:r>
      <w:r w:rsidR="00014061">
        <w:t xml:space="preserve">half of those </w:t>
      </w:r>
      <w:r w:rsidR="00A26ED9">
        <w:t>who</w:t>
      </w:r>
      <w:r w:rsidR="00014061">
        <w:t xml:space="preserve"> renewed an existing </w:t>
      </w:r>
      <w:r w:rsidR="00A26ED9">
        <w:t>[</w:t>
      </w:r>
      <w:r w:rsidR="00D15646">
        <w:t>home insurance</w:t>
      </w:r>
      <w:r w:rsidR="00A26ED9">
        <w:t>]</w:t>
      </w:r>
      <w:r w:rsidR="00D15646">
        <w:t xml:space="preserve"> </w:t>
      </w:r>
      <w:r w:rsidR="00014061">
        <w:t>policy or took out new policy recall receiving the KFS</w:t>
      </w:r>
      <w:r w:rsidR="00A26ED9">
        <w:t>’</w:t>
      </w:r>
      <w:r w:rsidR="00014061">
        <w:t xml:space="preserve">. </w:t>
      </w:r>
      <w:r w:rsidR="00A26ED9">
        <w:t xml:space="preserve">When the participants are given the chance to review the KFS, </w:t>
      </w:r>
      <w:r w:rsidR="00014061">
        <w:t xml:space="preserve">most </w:t>
      </w:r>
      <w:r w:rsidR="00A26ED9">
        <w:t xml:space="preserve">participants </w:t>
      </w:r>
      <w:r w:rsidR="00014061">
        <w:t xml:space="preserve">found the KFS to be relevant </w:t>
      </w:r>
      <w:r w:rsidR="00264DB9">
        <w:t>and useful in improving</w:t>
      </w:r>
      <w:r w:rsidR="00014061">
        <w:t xml:space="preserve"> their understanding </w:t>
      </w:r>
      <w:r w:rsidR="00A26ED9">
        <w:t xml:space="preserve">about </w:t>
      </w:r>
      <w:r w:rsidR="00014061">
        <w:t xml:space="preserve">their insurance </w:t>
      </w:r>
      <w:r w:rsidR="00A26ED9">
        <w:t xml:space="preserve">policy </w:t>
      </w:r>
      <w:r w:rsidR="00014061">
        <w:t>coverage.</w:t>
      </w:r>
      <w:r w:rsidR="00A26ED9">
        <w:rPr>
          <w:rStyle w:val="FootnoteReference"/>
        </w:rPr>
        <w:footnoteReference w:id="46"/>
      </w:r>
      <w:r w:rsidR="00D15646">
        <w:t xml:space="preserve"> </w:t>
      </w:r>
      <w:r w:rsidR="00F2520A">
        <w:t xml:space="preserve">The survey </w:t>
      </w:r>
      <w:r w:rsidR="00B674C3">
        <w:t>noted</w:t>
      </w:r>
      <w:r w:rsidR="00D15646" w:rsidRPr="00B103B2">
        <w:t xml:space="preserve"> </w:t>
      </w:r>
      <w:r w:rsidR="00F2520A">
        <w:t xml:space="preserve">that </w:t>
      </w:r>
      <w:r w:rsidR="00D15646" w:rsidRPr="00B103B2">
        <w:t xml:space="preserve">almost </w:t>
      </w:r>
      <w:r w:rsidR="00F2520A">
        <w:t>90 per </w:t>
      </w:r>
      <w:r w:rsidR="00A26ED9">
        <w:t>cent</w:t>
      </w:r>
      <w:r w:rsidR="00D15646" w:rsidRPr="00B103B2">
        <w:t xml:space="preserve"> </w:t>
      </w:r>
      <w:r w:rsidR="00B83EF5">
        <w:t xml:space="preserve">of the </w:t>
      </w:r>
      <w:r w:rsidR="00D15646" w:rsidRPr="00B103B2">
        <w:t>respondent</w:t>
      </w:r>
      <w:r w:rsidR="00F2520A">
        <w:t xml:space="preserve">s consider the KFS to be </w:t>
      </w:r>
      <w:r w:rsidR="00D15646" w:rsidRPr="00B103B2">
        <w:t xml:space="preserve">a valuable tool for car insurance </w:t>
      </w:r>
      <w:r w:rsidR="00A26ED9">
        <w:t>polic</w:t>
      </w:r>
      <w:r w:rsidR="004E588F">
        <w:t>ies</w:t>
      </w:r>
      <w:r w:rsidR="00A26ED9">
        <w:t xml:space="preserve"> </w:t>
      </w:r>
      <w:r w:rsidR="00D15646" w:rsidRPr="00B103B2">
        <w:t xml:space="preserve">and </w:t>
      </w:r>
      <w:r w:rsidR="001705B1">
        <w:t>60 per </w:t>
      </w:r>
      <w:r w:rsidR="00A26ED9">
        <w:t>cent</w:t>
      </w:r>
      <w:r w:rsidR="00D15646" w:rsidRPr="00B103B2">
        <w:t xml:space="preserve"> </w:t>
      </w:r>
      <w:r w:rsidR="009752CE">
        <w:t xml:space="preserve">consider </w:t>
      </w:r>
      <w:r w:rsidR="004E588F">
        <w:t xml:space="preserve">the </w:t>
      </w:r>
      <w:r w:rsidR="00A26ED9">
        <w:t>KFS is</w:t>
      </w:r>
      <w:r w:rsidR="00A26ED9" w:rsidRPr="00B103B2">
        <w:t xml:space="preserve"> </w:t>
      </w:r>
      <w:r w:rsidR="00D15646" w:rsidRPr="00B103B2">
        <w:t>valuable for other types of insurance.</w:t>
      </w:r>
    </w:p>
    <w:p w14:paraId="51F76FBF" w14:textId="29ACB10A" w:rsidR="004E023E" w:rsidRDefault="005E7170" w:rsidP="00FF5653">
      <w:pPr>
        <w:pStyle w:val="OutlineNumbered1"/>
        <w:numPr>
          <w:ilvl w:val="0"/>
          <w:numId w:val="0"/>
        </w:numPr>
        <w:spacing w:before="120"/>
      </w:pPr>
      <w:r w:rsidRPr="005E7170">
        <w:lastRenderedPageBreak/>
        <w:t>A potential risk of the short-form nature of a KFS is that it contains much less information than the d</w:t>
      </w:r>
      <w:r w:rsidR="00E41212" w:rsidRPr="005E7170">
        <w:t>etailed policy described</w:t>
      </w:r>
      <w:r w:rsidRPr="005E7170">
        <w:t xml:space="preserve"> in the PDS, </w:t>
      </w:r>
      <w:r w:rsidR="00923265" w:rsidRPr="005E7170">
        <w:t>which makes it less relevant to consumers</w:t>
      </w:r>
      <w:r w:rsidRPr="005E7170">
        <w:rPr>
          <w:rStyle w:val="FootnoteReference"/>
        </w:rPr>
        <w:footnoteReference w:id="47"/>
      </w:r>
      <w:r w:rsidR="00923265" w:rsidRPr="005E7170">
        <w:t>.</w:t>
      </w:r>
      <w:r w:rsidR="00923265">
        <w:t xml:space="preserve"> </w:t>
      </w:r>
      <w:r w:rsidR="004E023E">
        <w:t>T</w:t>
      </w:r>
      <w:r w:rsidR="00B218C8">
        <w:t>he FRLC</w:t>
      </w:r>
      <w:r w:rsidR="004E023E">
        <w:t xml:space="preserve"> and Monash University recently undertook an experimental study to investigate the effectiveness of PDS and KFS as the short-form disclosure in assisting consumers to select the best policy that suits their needs.</w:t>
      </w:r>
      <w:r w:rsidR="006461D9">
        <w:rPr>
          <w:rStyle w:val="FootnoteReference"/>
        </w:rPr>
        <w:footnoteReference w:id="48"/>
      </w:r>
      <w:r w:rsidR="004E023E">
        <w:t xml:space="preserve"> Respondents were presented with three policy options, one good, one medium and one poor, and for each p</w:t>
      </w:r>
      <w:r w:rsidR="00866881">
        <w:t xml:space="preserve">olicy were provided with </w:t>
      </w:r>
      <w:r w:rsidR="004E023E">
        <w:t xml:space="preserve">only </w:t>
      </w:r>
      <w:r w:rsidR="004E588F">
        <w:t xml:space="preserve">the </w:t>
      </w:r>
      <w:r w:rsidR="004E023E">
        <w:t xml:space="preserve">KFS, only </w:t>
      </w:r>
      <w:r w:rsidR="001C7C5A">
        <w:t xml:space="preserve">the </w:t>
      </w:r>
      <w:r w:rsidR="004E023E">
        <w:t>PDS or both types of information. The results show around 40 per cent of those provided with the KFS only selected the best option and roughly the same for those provided with</w:t>
      </w:r>
      <w:r w:rsidR="000627D3">
        <w:t xml:space="preserve"> the</w:t>
      </w:r>
      <w:r w:rsidR="004E023E">
        <w:t xml:space="preserve"> PDS only selected the same b</w:t>
      </w:r>
      <w:r w:rsidR="006C2BD7">
        <w:t>est option. In contrast, 49 </w:t>
      </w:r>
      <w:r w:rsidR="00AA2A74">
        <w:t>per </w:t>
      </w:r>
      <w:r w:rsidR="004E023E">
        <w:t>cent of those provided with both PDS and KFS</w:t>
      </w:r>
      <w:r w:rsidR="00666F4F">
        <w:t xml:space="preserve"> selected the best option. </w:t>
      </w:r>
      <w:r w:rsidR="004E023E">
        <w:t xml:space="preserve"> </w:t>
      </w:r>
    </w:p>
    <w:p w14:paraId="1C86D944" w14:textId="6110A499" w:rsidR="00E216DF" w:rsidRDefault="004E023E" w:rsidP="00680460">
      <w:pPr>
        <w:spacing w:after="0"/>
      </w:pPr>
      <w:r>
        <w:t xml:space="preserve">The provision of both KFS and PDS however also resulted in the greatest percentage choices for the poorest option (13 percent). So whereas the combined KFS and PDS condition on the one hand resulted in the best outcome for many, it also resulted in the worst outcome for another subgroup of respondents. When only </w:t>
      </w:r>
      <w:r w:rsidR="004E588F">
        <w:t xml:space="preserve">the </w:t>
      </w:r>
      <w:r>
        <w:t>PDS was provided a larger number of consumers (29 percent) chose to not purchase a policy at all. Respondents were equally satisfied with their decision in all three</w:t>
      </w:r>
      <w:r w:rsidR="004E588F">
        <w:t xml:space="preserve"> situations</w:t>
      </w:r>
      <w:r w:rsidR="0059601E">
        <w:t>;</w:t>
      </w:r>
      <w:r>
        <w:t xml:space="preserve"> however</w:t>
      </w:r>
      <w:r w:rsidR="005C4A35">
        <w:t>,</w:t>
      </w:r>
      <w:r>
        <w:t xml:space="preserve"> </w:t>
      </w:r>
      <w:r w:rsidR="004E588F">
        <w:t xml:space="preserve">those </w:t>
      </w:r>
      <w:r>
        <w:t xml:space="preserve">in the </w:t>
      </w:r>
      <w:r w:rsidR="004E588F">
        <w:t xml:space="preserve">situation </w:t>
      </w:r>
      <w:r>
        <w:t xml:space="preserve">with only </w:t>
      </w:r>
      <w:r w:rsidR="004E588F">
        <w:t xml:space="preserve">the </w:t>
      </w:r>
      <w:r>
        <w:t xml:space="preserve">KFS expressed a greater need for additional policy information. </w:t>
      </w:r>
    </w:p>
    <w:p w14:paraId="7C49C83C" w14:textId="118BD634" w:rsidR="00920800" w:rsidRDefault="00E216DF" w:rsidP="00680460">
      <w:pPr>
        <w:spacing w:after="0"/>
        <w:rPr>
          <w:b/>
        </w:rPr>
      </w:pPr>
      <w:r>
        <w:t xml:space="preserve">The </w:t>
      </w:r>
      <w:r w:rsidR="004E023E">
        <w:t>findings</w:t>
      </w:r>
      <w:r w:rsidR="002C4648">
        <w:t xml:space="preserve"> </w:t>
      </w:r>
      <w:r w:rsidR="00734259">
        <w:t>of</w:t>
      </w:r>
      <w:r w:rsidR="002C4648">
        <w:t xml:space="preserve"> the research</w:t>
      </w:r>
      <w:r w:rsidR="004E023E">
        <w:t xml:space="preserve"> suggest</w:t>
      </w:r>
      <w:r w:rsidR="00666F4F">
        <w:t xml:space="preserve"> some merit in</w:t>
      </w:r>
      <w:r w:rsidR="000627D3">
        <w:t xml:space="preserve"> the</w:t>
      </w:r>
      <w:r w:rsidR="004E023E">
        <w:t xml:space="preserve"> </w:t>
      </w:r>
      <w:r w:rsidR="00666F4F">
        <w:t>provision of both KFS and PDS</w:t>
      </w:r>
      <w:r w:rsidR="00734259">
        <w:t>,</w:t>
      </w:r>
      <w:r w:rsidR="00666F4F">
        <w:t xml:space="preserve"> together in assisting consumers with their policy selection. </w:t>
      </w:r>
      <w:r w:rsidR="002C4648">
        <w:t xml:space="preserve">However, if standard cover and standard terms were updated, then </w:t>
      </w:r>
      <w:r w:rsidR="004707BB">
        <w:t xml:space="preserve">the role of KFS would be simplified. </w:t>
      </w:r>
    </w:p>
    <w:p w14:paraId="3593B164" w14:textId="77777777" w:rsidR="00516E0A" w:rsidRPr="00B103B2" w:rsidRDefault="00F461AD" w:rsidP="00680460">
      <w:pPr>
        <w:spacing w:after="0"/>
        <w:rPr>
          <w:b/>
        </w:rPr>
      </w:pPr>
      <w:r w:rsidRPr="00B103B2">
        <w:rPr>
          <w:b/>
        </w:rPr>
        <w:t xml:space="preserve">Industry views </w:t>
      </w:r>
    </w:p>
    <w:p w14:paraId="7E090C16" w14:textId="77777777" w:rsidR="00400521" w:rsidRDefault="00400521" w:rsidP="00FF5653">
      <w:r>
        <w:t>ICA</w:t>
      </w:r>
      <w:r w:rsidR="006C6254">
        <w:t>’s</w:t>
      </w:r>
      <w:r>
        <w:t xml:space="preserve"> submission to the </w:t>
      </w:r>
      <w:r w:rsidR="00C838E9">
        <w:t xml:space="preserve">Senate </w:t>
      </w:r>
      <w:r w:rsidR="00C83A10">
        <w:t xml:space="preserve">Committee </w:t>
      </w:r>
      <w:r w:rsidR="00DD68C2">
        <w:t>I</w:t>
      </w:r>
      <w:r>
        <w:t>nquiry</w:t>
      </w:r>
      <w:r w:rsidR="001D6A8D">
        <w:t xml:space="preserve"> </w:t>
      </w:r>
      <w:r w:rsidR="009246AE">
        <w:t>noted insurance brokers ha</w:t>
      </w:r>
      <w:r w:rsidR="00C838E9">
        <w:t>ve</w:t>
      </w:r>
      <w:r w:rsidR="009246AE">
        <w:t xml:space="preserve"> a key role in </w:t>
      </w:r>
      <w:r w:rsidR="00386488">
        <w:t>assisting</w:t>
      </w:r>
      <w:r w:rsidR="009246AE">
        <w:t xml:space="preserve"> consumers in selecting appropriate </w:t>
      </w:r>
      <w:r w:rsidR="001D6A8D">
        <w:t>home building and home content</w:t>
      </w:r>
      <w:r>
        <w:t xml:space="preserve"> </w:t>
      </w:r>
      <w:r w:rsidR="009246AE">
        <w:t xml:space="preserve">products instead of </w:t>
      </w:r>
      <w:r w:rsidR="009766E3">
        <w:t xml:space="preserve">a </w:t>
      </w:r>
      <w:r w:rsidR="009246AE">
        <w:t>mandated disclosure regime such</w:t>
      </w:r>
      <w:r w:rsidR="00C00570">
        <w:t xml:space="preserve"> as</w:t>
      </w:r>
      <w:r w:rsidR="009246AE">
        <w:t xml:space="preserve"> KFS.</w:t>
      </w:r>
      <w:r w:rsidR="009246AE">
        <w:rPr>
          <w:rStyle w:val="FootnoteReference"/>
        </w:rPr>
        <w:footnoteReference w:id="49"/>
      </w:r>
    </w:p>
    <w:p w14:paraId="3C21A220" w14:textId="77777777" w:rsidR="009D6D2E" w:rsidRDefault="00564E53" w:rsidP="00FF5653">
      <w:r>
        <w:t xml:space="preserve">During the </w:t>
      </w:r>
      <w:r w:rsidR="00C72914">
        <w:t>Senate</w:t>
      </w:r>
      <w:r w:rsidR="00360062">
        <w:t xml:space="preserve"> </w:t>
      </w:r>
      <w:r w:rsidR="00441AFC">
        <w:t xml:space="preserve">Committee </w:t>
      </w:r>
      <w:r w:rsidR="00C72914">
        <w:t>Inquiry</w:t>
      </w:r>
      <w:r w:rsidR="00441AFC">
        <w:t xml:space="preserve"> hearings</w:t>
      </w:r>
      <w:r>
        <w:t xml:space="preserve">, </w:t>
      </w:r>
      <w:r w:rsidR="00B54FB5">
        <w:t>NIBA</w:t>
      </w:r>
      <w:r>
        <w:t xml:space="preserve"> raised</w:t>
      </w:r>
      <w:r w:rsidR="00C72914">
        <w:t xml:space="preserve"> concerns on the oversimplification of what is covered by </w:t>
      </w:r>
      <w:r w:rsidR="00D14B3A">
        <w:t xml:space="preserve">the </w:t>
      </w:r>
      <w:r w:rsidR="00C72914">
        <w:t>relevant policies in KFS and the potential to mislead consumers into policies that do not meet their needs.</w:t>
      </w:r>
      <w:r w:rsidR="001C5A2A">
        <w:rPr>
          <w:rStyle w:val="FootnoteReference"/>
        </w:rPr>
        <w:footnoteReference w:id="50"/>
      </w:r>
      <w:r w:rsidR="00C72914">
        <w:t xml:space="preserve"> </w:t>
      </w:r>
      <w:r w:rsidR="00AF4004">
        <w:t xml:space="preserve">NIBA </w:t>
      </w:r>
      <w:r w:rsidR="00CD2802">
        <w:t>said</w:t>
      </w:r>
      <w:r w:rsidR="00AF4004">
        <w:t xml:space="preserve"> there are examples in </w:t>
      </w:r>
      <w:r w:rsidR="00B57DCA">
        <w:t xml:space="preserve">particular </w:t>
      </w:r>
      <w:r w:rsidR="00AF4004">
        <w:t>in relation to home and home contents policies where the KFS could actually be misleading to the relatively uninformed consumer.</w:t>
      </w:r>
      <w:r w:rsidR="001C5A2A">
        <w:rPr>
          <w:rStyle w:val="FootnoteReference"/>
        </w:rPr>
        <w:footnoteReference w:id="51"/>
      </w:r>
    </w:p>
    <w:p w14:paraId="7155824F" w14:textId="77777777" w:rsidR="00C72914" w:rsidRDefault="002F5F5A" w:rsidP="00FF5653">
      <w:r>
        <w:t xml:space="preserve">Allianz shared NIBA’s view and noted that </w:t>
      </w:r>
      <w:r w:rsidR="009D6D2E">
        <w:t xml:space="preserve">the KFS does not allow effective comparison </w:t>
      </w:r>
      <w:r w:rsidR="0025177E">
        <w:t>between</w:t>
      </w:r>
      <w:r w:rsidR="009D6D2E">
        <w:t xml:space="preserve"> </w:t>
      </w:r>
      <w:r>
        <w:t>two distinct policies</w:t>
      </w:r>
      <w:r w:rsidR="0025177E">
        <w:t xml:space="preserve"> with differing premiums,</w:t>
      </w:r>
      <w:r w:rsidR="009D6D2E">
        <w:t xml:space="preserve"> which</w:t>
      </w:r>
      <w:r>
        <w:t xml:space="preserve"> </w:t>
      </w:r>
      <w:r w:rsidR="00364CBE">
        <w:t xml:space="preserve">can </w:t>
      </w:r>
      <w:r>
        <w:t xml:space="preserve">appear to </w:t>
      </w:r>
      <w:r w:rsidR="00000289">
        <w:t xml:space="preserve">be </w:t>
      </w:r>
      <w:r>
        <w:t>the same insurance cover</w:t>
      </w:r>
      <w:r w:rsidR="009D6D2E">
        <w:t xml:space="preserve"> on the KFS.</w:t>
      </w:r>
      <w:r w:rsidR="0025177E">
        <w:t xml:space="preserve"> This </w:t>
      </w:r>
      <w:r w:rsidR="0060030C">
        <w:t>could</w:t>
      </w:r>
      <w:r w:rsidR="0025177E">
        <w:t xml:space="preserve"> mislead the consumers into purchasing unneeded insurance cover and increases the risk of underinsurance. </w:t>
      </w:r>
    </w:p>
    <w:p w14:paraId="787504FC" w14:textId="77777777" w:rsidR="00EC713A" w:rsidRDefault="00EC713A">
      <w:pPr>
        <w:spacing w:before="0" w:after="160" w:line="259" w:lineRule="auto"/>
        <w:rPr>
          <w:b/>
        </w:rPr>
      </w:pPr>
      <w:r>
        <w:rPr>
          <w:b/>
        </w:rPr>
        <w:br w:type="page"/>
      </w:r>
    </w:p>
    <w:p w14:paraId="3C4D3427" w14:textId="77777777" w:rsidR="00014FDE" w:rsidRPr="00014FDE" w:rsidRDefault="00014FDE" w:rsidP="00680460">
      <w:pPr>
        <w:spacing w:after="0"/>
        <w:rPr>
          <w:b/>
        </w:rPr>
      </w:pPr>
      <w:r w:rsidRPr="00014FDE">
        <w:rPr>
          <w:b/>
        </w:rPr>
        <w:lastRenderedPageBreak/>
        <w:t>Consumer views</w:t>
      </w:r>
    </w:p>
    <w:p w14:paraId="78D698B4" w14:textId="77777777" w:rsidR="0060030C" w:rsidRDefault="00166565" w:rsidP="00FF5653">
      <w:r>
        <w:t>According to</w:t>
      </w:r>
      <w:r w:rsidR="001733A8">
        <w:t xml:space="preserve"> CHOICE several other sectors</w:t>
      </w:r>
      <w:r w:rsidR="009766E3">
        <w:t>,</w:t>
      </w:r>
      <w:r w:rsidR="001733A8">
        <w:t xml:space="preserve"> </w:t>
      </w:r>
      <w:r w:rsidR="009766E3">
        <w:t xml:space="preserve">including the home loan KFS and the Critical Information Summaries used in the telecommunication market, </w:t>
      </w:r>
      <w:r w:rsidR="001733A8">
        <w:t>have used short-form disclosure</w:t>
      </w:r>
      <w:r w:rsidR="002A2D10">
        <w:t xml:space="preserve"> </w:t>
      </w:r>
      <w:r w:rsidR="001733A8">
        <w:t>to address lengthy and complex informat</w:t>
      </w:r>
      <w:r w:rsidR="009766E3">
        <w:t>ion.</w:t>
      </w:r>
      <w:r w:rsidR="001733A8">
        <w:t xml:space="preserve"> </w:t>
      </w:r>
      <w:r w:rsidR="0007752A">
        <w:t>CHOICE noted that there is low consumer awareness o</w:t>
      </w:r>
      <w:r w:rsidR="009766E3">
        <w:t>f</w:t>
      </w:r>
      <w:r w:rsidR="0007752A">
        <w:t xml:space="preserve"> </w:t>
      </w:r>
      <w:r w:rsidR="0059601E">
        <w:t xml:space="preserve">the </w:t>
      </w:r>
      <w:r w:rsidR="0007752A">
        <w:t xml:space="preserve">KFS which could be attributed to poor provision of information and inadequate staff training from insurers. </w:t>
      </w:r>
      <w:r w:rsidR="000E51B6">
        <w:t xml:space="preserve">CHOICE recommends enforceable obligations for insurers to display </w:t>
      </w:r>
      <w:r w:rsidR="0059601E">
        <w:t xml:space="preserve">a </w:t>
      </w:r>
      <w:r w:rsidR="000E51B6">
        <w:t xml:space="preserve">KFS alongside any advertising materials for a policy and the enforcement of KFS obligations to ensure </w:t>
      </w:r>
      <w:r w:rsidR="002E760F">
        <w:t>adequate information provision and</w:t>
      </w:r>
      <w:r w:rsidR="000E51B6">
        <w:t xml:space="preserve"> staff training.</w:t>
      </w:r>
      <w:r w:rsidR="00B256CB">
        <w:t xml:space="preserve"> </w:t>
      </w:r>
    </w:p>
    <w:p w14:paraId="5BAD17BE" w14:textId="77777777" w:rsidR="00281ABA" w:rsidRDefault="00B256CB">
      <w:pPr>
        <w:spacing w:before="0" w:after="160" w:line="259" w:lineRule="auto"/>
      </w:pPr>
      <w:r>
        <w:t>The FRLC</w:t>
      </w:r>
      <w:r w:rsidR="00F233B3">
        <w:t xml:space="preserve"> </w:t>
      </w:r>
      <w:r w:rsidR="00D61606">
        <w:t>believes</w:t>
      </w:r>
      <w:r w:rsidR="00F233B3">
        <w:t xml:space="preserve"> </w:t>
      </w:r>
      <w:r w:rsidR="0060030C">
        <w:t xml:space="preserve">that low consumer awareness could potentially be driven by </w:t>
      </w:r>
      <w:r>
        <w:t>insurers</w:t>
      </w:r>
      <w:r w:rsidR="00C838E9">
        <w:t>’</w:t>
      </w:r>
      <w:r>
        <w:t xml:space="preserve"> p</w:t>
      </w:r>
      <w:r w:rsidR="0060030C">
        <w:t>oor</w:t>
      </w:r>
      <w:r w:rsidR="00025CD3">
        <w:t xml:space="preserve"> use of KFS</w:t>
      </w:r>
      <w:r w:rsidR="00734259">
        <w:t>s</w:t>
      </w:r>
      <w:r w:rsidR="00025CD3">
        <w:t>, including the absence of a</w:t>
      </w:r>
      <w:r w:rsidR="0060030C">
        <w:t xml:space="preserve"> display of </w:t>
      </w:r>
      <w:r w:rsidR="00734259">
        <w:t xml:space="preserve">a </w:t>
      </w:r>
      <w:r w:rsidR="0060030C">
        <w:t xml:space="preserve">KFS </w:t>
      </w:r>
      <w:r w:rsidR="00C838E9">
        <w:t xml:space="preserve">in a </w:t>
      </w:r>
      <w:r>
        <w:t>prominent place</w:t>
      </w:r>
      <w:r w:rsidR="005E44D3">
        <w:t xml:space="preserve"> on </w:t>
      </w:r>
      <w:r w:rsidR="00025CD3">
        <w:t>insurers’</w:t>
      </w:r>
      <w:r w:rsidR="005E44D3">
        <w:t xml:space="preserve"> website</w:t>
      </w:r>
      <w:r w:rsidR="00E21EA2">
        <w:t>s</w:t>
      </w:r>
      <w:r w:rsidR="009D6D2E">
        <w:t xml:space="preserve"> </w:t>
      </w:r>
      <w:r w:rsidR="0060030C">
        <w:t xml:space="preserve">during </w:t>
      </w:r>
      <w:r w:rsidR="00C838E9">
        <w:t xml:space="preserve">the </w:t>
      </w:r>
      <w:r w:rsidR="0060030C">
        <w:t xml:space="preserve">marketing </w:t>
      </w:r>
      <w:r w:rsidR="009D6D2E">
        <w:t xml:space="preserve">process </w:t>
      </w:r>
      <w:r w:rsidR="0060030C">
        <w:t>and no</w:t>
      </w:r>
      <w:r w:rsidR="00C838E9">
        <w:t>t providing</w:t>
      </w:r>
      <w:r w:rsidR="0060030C">
        <w:t xml:space="preserve"> KFS</w:t>
      </w:r>
      <w:r w:rsidR="00734259">
        <w:t>s</w:t>
      </w:r>
      <w:r w:rsidR="0060030C">
        <w:t xml:space="preserve"> to consumers at the point of sale</w:t>
      </w:r>
      <w:r>
        <w:t>.</w:t>
      </w:r>
    </w:p>
    <w:p w14:paraId="1A74B283" w14:textId="77777777" w:rsidR="00FE5E13" w:rsidRDefault="00EE101E" w:rsidP="00FF5653">
      <w:r>
        <w:t>In the Senate</w:t>
      </w:r>
      <w:r w:rsidR="00765A89">
        <w:t xml:space="preserve"> Committee</w:t>
      </w:r>
      <w:r>
        <w:t xml:space="preserve"> Inquiry hearing</w:t>
      </w:r>
      <w:r w:rsidR="00170A2D">
        <w:t>s</w:t>
      </w:r>
      <w:r>
        <w:t>, t</w:t>
      </w:r>
      <w:r w:rsidR="0048468E">
        <w:t>he FRLC</w:t>
      </w:r>
      <w:r w:rsidR="00982B2B">
        <w:t xml:space="preserve"> contend</w:t>
      </w:r>
      <w:r w:rsidR="00C838E9">
        <w:t>ed</w:t>
      </w:r>
      <w:r w:rsidR="00982B2B">
        <w:t xml:space="preserve"> that the KFS is not meeting its intended purpose.</w:t>
      </w:r>
      <w:r w:rsidR="00730762">
        <w:rPr>
          <w:rStyle w:val="FootnoteReference"/>
        </w:rPr>
        <w:footnoteReference w:id="52"/>
      </w:r>
      <w:r w:rsidR="00982B2B">
        <w:t xml:space="preserve"> </w:t>
      </w:r>
      <w:r w:rsidR="0080239D">
        <w:t>The FRLC</w:t>
      </w:r>
      <w:r w:rsidR="00E61D13">
        <w:t xml:space="preserve"> </w:t>
      </w:r>
      <w:r w:rsidR="00170A2D">
        <w:t>said they have reviewed hundreds of KFS</w:t>
      </w:r>
      <w:r w:rsidR="00C838E9">
        <w:t>s</w:t>
      </w:r>
      <w:r w:rsidR="00170A2D">
        <w:t xml:space="preserve"> over the years </w:t>
      </w:r>
      <w:r w:rsidR="00E31255">
        <w:t>for</w:t>
      </w:r>
      <w:r w:rsidR="00170A2D">
        <w:t xml:space="preserve"> many products</w:t>
      </w:r>
      <w:r w:rsidR="00E21EA2">
        <w:t>.</w:t>
      </w:r>
      <w:r w:rsidR="00170A2D">
        <w:t xml:space="preserve"> </w:t>
      </w:r>
      <w:r w:rsidR="00E21EA2">
        <w:t xml:space="preserve">Some </w:t>
      </w:r>
      <w:r w:rsidR="00170A2D">
        <w:t xml:space="preserve">of them are </w:t>
      </w:r>
      <w:r w:rsidR="001733A8">
        <w:t>very poor</w:t>
      </w:r>
      <w:r w:rsidR="00E21EA2">
        <w:t>,</w:t>
      </w:r>
      <w:r w:rsidR="001733A8">
        <w:t xml:space="preserve"> with only reference to product disclosure statement</w:t>
      </w:r>
      <w:r w:rsidR="004408F0">
        <w:t>s</w:t>
      </w:r>
      <w:r w:rsidR="001733A8">
        <w:t xml:space="preserve"> and</w:t>
      </w:r>
      <w:r w:rsidR="00170A2D">
        <w:t xml:space="preserve"> others are almost misleading </w:t>
      </w:r>
      <w:r w:rsidR="001733A8">
        <w:t xml:space="preserve">due to </w:t>
      </w:r>
      <w:r w:rsidR="00170A2D">
        <w:t>oversimplificati</w:t>
      </w:r>
      <w:r w:rsidR="001733A8">
        <w:t>on</w:t>
      </w:r>
      <w:r w:rsidR="00B90B9E">
        <w:t>. The</w:t>
      </w:r>
      <w:r w:rsidR="00170A2D">
        <w:t xml:space="preserve"> FRLC</w:t>
      </w:r>
      <w:r w:rsidR="00B90B9E">
        <w:t xml:space="preserve"> suggested that the KFS could be redesigned but consumer testing would be required if this was to happen.</w:t>
      </w:r>
      <w:r w:rsidR="00170A2D">
        <w:t xml:space="preserve"> </w:t>
      </w:r>
      <w:r w:rsidR="004D1DA7">
        <w:t>CALC</w:t>
      </w:r>
      <w:r w:rsidR="0048468E">
        <w:t xml:space="preserve"> </w:t>
      </w:r>
      <w:r w:rsidR="00B90B9E">
        <w:t>expressed the need to undertake a detailed</w:t>
      </w:r>
      <w:r w:rsidR="00995993">
        <w:t xml:space="preserve"> evaluative</w:t>
      </w:r>
      <w:r w:rsidR="0048468E">
        <w:t xml:space="preserve"> study </w:t>
      </w:r>
      <w:r w:rsidR="00B90B9E">
        <w:t>of the KFS, which would be useful in determining the type of disclosure that works.</w:t>
      </w:r>
    </w:p>
    <w:p w14:paraId="09F100F1" w14:textId="77777777" w:rsidR="005822D8" w:rsidRPr="00B103B2" w:rsidRDefault="005822D8" w:rsidP="00680460">
      <w:pPr>
        <w:spacing w:after="0"/>
        <w:rPr>
          <w:b/>
        </w:rPr>
      </w:pPr>
      <w:r w:rsidRPr="00B103B2">
        <w:rPr>
          <w:b/>
        </w:rPr>
        <w:t>International experience</w:t>
      </w:r>
    </w:p>
    <w:p w14:paraId="7DBDDD9C" w14:textId="77777777" w:rsidR="00B455FB" w:rsidRDefault="005822D8" w:rsidP="00FF5653">
      <w:r>
        <w:t>The</w:t>
      </w:r>
      <w:r w:rsidR="009C2F96">
        <w:t xml:space="preserve"> European Union </w:t>
      </w:r>
      <w:r w:rsidR="0062172D">
        <w:t>is</w:t>
      </w:r>
      <w:r w:rsidR="009C2F96">
        <w:t xml:space="preserve"> </w:t>
      </w:r>
      <w:r w:rsidR="0062172D">
        <w:t xml:space="preserve">in the process of </w:t>
      </w:r>
      <w:r w:rsidR="009C2F96">
        <w:t>mandat</w:t>
      </w:r>
      <w:r w:rsidR="0062172D">
        <w:t>ing</w:t>
      </w:r>
      <w:r w:rsidR="009C2F96">
        <w:t xml:space="preserve"> </w:t>
      </w:r>
      <w:r w:rsidR="004408F0">
        <w:t xml:space="preserve">a </w:t>
      </w:r>
      <w:r w:rsidR="00D33D05">
        <w:t>standardised template, the</w:t>
      </w:r>
      <w:r>
        <w:t xml:space="preserve"> insurance product information </w:t>
      </w:r>
      <w:r w:rsidR="00D33D05">
        <w:t>document (IPID), which aims to provide consumers with clearer information on all non-life insurance products t</w:t>
      </w:r>
      <w:r w:rsidR="00A56909">
        <w:t>o allow</w:t>
      </w:r>
      <w:r w:rsidR="00D33D05">
        <w:t xml:space="preserve"> consumers to better make decisions on their purchases. </w:t>
      </w:r>
    </w:p>
    <w:p w14:paraId="77EBB57C" w14:textId="77777777" w:rsidR="00C7050B" w:rsidRDefault="00D33D05" w:rsidP="00FF5653">
      <w:r>
        <w:t xml:space="preserve">Similar to the idea of </w:t>
      </w:r>
      <w:r w:rsidR="001C389A">
        <w:t xml:space="preserve">the </w:t>
      </w:r>
      <w:r>
        <w:t xml:space="preserve">KFS, </w:t>
      </w:r>
      <w:r w:rsidR="0062172D">
        <w:t xml:space="preserve">the </w:t>
      </w:r>
      <w:r>
        <w:t xml:space="preserve">IPID </w:t>
      </w:r>
      <w:r w:rsidR="0062172D">
        <w:t>is no more than</w:t>
      </w:r>
      <w:r w:rsidR="00A56909">
        <w:t xml:space="preserve"> a</w:t>
      </w:r>
      <w:r w:rsidR="0062172D">
        <w:t xml:space="preserve"> two page summary that presents key information in relation to insurance products other than life insurance. </w:t>
      </w:r>
      <w:r w:rsidR="00B455FB">
        <w:t xml:space="preserve">While extensive research has been done to support IPID, the effectiveness </w:t>
      </w:r>
      <w:r w:rsidR="004408F0">
        <w:t xml:space="preserve">will </w:t>
      </w:r>
      <w:r w:rsidR="00B455FB">
        <w:t xml:space="preserve">not </w:t>
      </w:r>
      <w:r w:rsidR="004408F0">
        <w:t xml:space="preserve">be </w:t>
      </w:r>
      <w:r w:rsidR="00B455FB">
        <w:t>known until</w:t>
      </w:r>
      <w:r w:rsidR="00A56909">
        <w:t xml:space="preserve"> it has been implemented</w:t>
      </w:r>
      <w:r w:rsidR="00E81957">
        <w:t xml:space="preserve"> </w:t>
      </w:r>
      <w:r w:rsidR="00B455FB">
        <w:t>by industry.</w:t>
      </w:r>
    </w:p>
    <w:p w14:paraId="289E5401" w14:textId="77777777" w:rsidR="00AF4706" w:rsidRDefault="00AF4706" w:rsidP="00FF5653"/>
    <w:p w14:paraId="5D096AE0" w14:textId="77777777" w:rsidR="00AF4706" w:rsidRDefault="00AF4706">
      <w:r>
        <w:br w:type="page"/>
      </w:r>
    </w:p>
    <w:tbl>
      <w:tblPr>
        <w:tblStyle w:val="TableGrid"/>
        <w:tblW w:w="0" w:type="auto"/>
        <w:tblLook w:val="04A0" w:firstRow="1" w:lastRow="0" w:firstColumn="1" w:lastColumn="0" w:noHBand="0" w:noVBand="1"/>
      </w:tblPr>
      <w:tblGrid>
        <w:gridCol w:w="9286"/>
      </w:tblGrid>
      <w:tr w:rsidR="00AF4706" w14:paraId="1CA68500" w14:textId="77777777" w:rsidTr="0044158F">
        <w:tc>
          <w:tcPr>
            <w:tcW w:w="9286" w:type="dxa"/>
            <w:tcBorders>
              <w:top w:val="single" w:sz="4" w:space="0" w:color="auto"/>
              <w:left w:val="single" w:sz="4" w:space="0" w:color="auto"/>
              <w:bottom w:val="single" w:sz="4" w:space="0" w:color="auto"/>
              <w:right w:val="single" w:sz="4" w:space="0" w:color="auto"/>
            </w:tcBorders>
            <w:shd w:val="clear" w:color="auto" w:fill="FFFFFF" w:themeFill="background1"/>
          </w:tcPr>
          <w:p w14:paraId="4D55FC46" w14:textId="77777777" w:rsidR="00AF4706" w:rsidRPr="00402987" w:rsidRDefault="00AF4706" w:rsidP="00AF4706">
            <w:pPr>
              <w:rPr>
                <w:b/>
              </w:rPr>
            </w:pPr>
            <w:r>
              <w:rPr>
                <w:b/>
              </w:rPr>
              <w:lastRenderedPageBreak/>
              <w:t>Consultation q</w:t>
            </w:r>
            <w:r w:rsidRPr="00402987">
              <w:rPr>
                <w:b/>
              </w:rPr>
              <w:t>uestions</w:t>
            </w:r>
          </w:p>
          <w:p w14:paraId="76BBEEA8" w14:textId="08DDBB6C" w:rsidR="00AF4706" w:rsidRDefault="00882D34" w:rsidP="00DB69DF">
            <w:pPr>
              <w:pStyle w:val="OutlineNumbered1"/>
              <w:numPr>
                <w:ilvl w:val="0"/>
                <w:numId w:val="27"/>
              </w:numPr>
            </w:pPr>
            <w:r>
              <w:t xml:space="preserve">  </w:t>
            </w:r>
            <w:r w:rsidR="00AF4706">
              <w:t xml:space="preserve">Should the KFS be extended beyond two pages to convey more information, similar to the short-form </w:t>
            </w:r>
            <w:r w:rsidR="003342B9">
              <w:t xml:space="preserve">    </w:t>
            </w:r>
            <w:r>
              <w:t xml:space="preserve">   </w:t>
            </w:r>
            <w:r w:rsidR="00AF4706">
              <w:t>PDS?</w:t>
            </w:r>
          </w:p>
          <w:p w14:paraId="22BF8C15" w14:textId="226554DF" w:rsidR="00AF4706" w:rsidRDefault="00AF4706" w:rsidP="00DB69DF">
            <w:pPr>
              <w:pStyle w:val="OutlineNumbered1"/>
              <w:numPr>
                <w:ilvl w:val="0"/>
                <w:numId w:val="27"/>
              </w:numPr>
              <w:ind w:left="567" w:hanging="567"/>
            </w:pPr>
            <w:r>
              <w:t>The form of the KFS is currently prescribed in the law, should this be removed to allow industry to take a more innovative approach?</w:t>
            </w:r>
          </w:p>
          <w:p w14:paraId="296DCE6F" w14:textId="7119EF27" w:rsidR="00AF4706" w:rsidRDefault="00AF4706" w:rsidP="00DB69DF">
            <w:pPr>
              <w:pStyle w:val="OutlineNumbered1"/>
              <w:numPr>
                <w:ilvl w:val="0"/>
                <w:numId w:val="27"/>
              </w:numPr>
              <w:ind w:left="567" w:hanging="567"/>
            </w:pPr>
            <w:r>
              <w:t>Are there any legal issues industry would like to raise regarding the extension or modification of the KFS?</w:t>
            </w:r>
          </w:p>
          <w:p w14:paraId="749532C4" w14:textId="27282AFB" w:rsidR="00AF4706" w:rsidRDefault="00AF4706" w:rsidP="00DB69DF">
            <w:pPr>
              <w:pStyle w:val="OutlineNumbered1"/>
              <w:numPr>
                <w:ilvl w:val="0"/>
                <w:numId w:val="27"/>
              </w:numPr>
              <w:ind w:left="567" w:hanging="567"/>
            </w:pPr>
            <w:r>
              <w:t>Are there items that would be more suitable for inclusion for consumers in a KFS?</w:t>
            </w:r>
          </w:p>
          <w:p w14:paraId="1AC97D1F" w14:textId="7B5F7075" w:rsidR="00AF4706" w:rsidRDefault="00AF4706" w:rsidP="00DB69DF">
            <w:pPr>
              <w:pStyle w:val="OutlineNumbered1"/>
              <w:numPr>
                <w:ilvl w:val="0"/>
                <w:numId w:val="27"/>
              </w:numPr>
              <w:ind w:left="567" w:hanging="567"/>
            </w:pPr>
            <w:r>
              <w:t>In the context of home building and home contents insurance, what are considered to be the key policy elements that consumers need to know about for them to make an informed decision when comparing across policies?</w:t>
            </w:r>
          </w:p>
          <w:p w14:paraId="3ED1C1BD" w14:textId="72C34E0B" w:rsidR="00AF4706" w:rsidRDefault="00AF4706" w:rsidP="00DB69DF">
            <w:pPr>
              <w:pStyle w:val="OutlineNumbered1"/>
              <w:numPr>
                <w:ilvl w:val="0"/>
                <w:numId w:val="27"/>
              </w:numPr>
              <w:ind w:left="567" w:hanging="567"/>
            </w:pPr>
            <w:r>
              <w:t>Would there be merit in extending the KFS requirement to other forms of general insurance? What value does it add for the consumers?</w:t>
            </w:r>
          </w:p>
          <w:p w14:paraId="10024156" w14:textId="518E32BD" w:rsidR="00AF4706" w:rsidRDefault="00AF4706" w:rsidP="00DB69DF">
            <w:pPr>
              <w:pStyle w:val="OutlineNumbered1"/>
              <w:numPr>
                <w:ilvl w:val="0"/>
                <w:numId w:val="27"/>
              </w:numPr>
              <w:ind w:left="567" w:hanging="567"/>
            </w:pPr>
            <w:r>
              <w:t>How can the low awareness of KFS’s be addressed and the difficulty of c</w:t>
            </w:r>
            <w:r w:rsidR="003342B9">
              <w:t xml:space="preserve">onsumers in comparing different </w:t>
            </w:r>
            <w:r>
              <w:t>policies using KFSs overcome?</w:t>
            </w:r>
          </w:p>
          <w:p w14:paraId="41913345" w14:textId="0717F35D" w:rsidR="00AF4706" w:rsidRPr="00305262" w:rsidRDefault="00AF4706" w:rsidP="00DB69DF">
            <w:pPr>
              <w:pStyle w:val="OutlineNumbered1"/>
              <w:numPr>
                <w:ilvl w:val="0"/>
                <w:numId w:val="27"/>
              </w:numPr>
              <w:ind w:left="567" w:hanging="567"/>
              <w:rPr>
                <w:rFonts w:ascii="Times New Roman" w:hAnsi="Times New Roman"/>
                <w:sz w:val="24"/>
                <w:szCs w:val="24"/>
              </w:rPr>
            </w:pPr>
            <w:r>
              <w:t>Should the KFS be replaced with a new approach? If so, what approach should be taken?</w:t>
            </w:r>
          </w:p>
          <w:p w14:paraId="7A68AC4A" w14:textId="77777777" w:rsidR="00AF4706" w:rsidRDefault="00AF4706">
            <w:pPr>
              <w:spacing w:before="0" w:after="160" w:line="259" w:lineRule="auto"/>
            </w:pPr>
          </w:p>
        </w:tc>
      </w:tr>
    </w:tbl>
    <w:p w14:paraId="7EEC6392" w14:textId="77777777" w:rsidR="008430F1" w:rsidRPr="0044158F" w:rsidRDefault="00AF4706" w:rsidP="00FF5653">
      <w:pPr>
        <w:rPr>
          <w:rFonts w:cs="Arial"/>
          <w:iCs/>
          <w:color w:val="004A7F"/>
          <w:kern w:val="32"/>
          <w:sz w:val="36"/>
          <w:szCs w:val="28"/>
        </w:rPr>
      </w:pPr>
      <w:r w:rsidRPr="0044158F">
        <w:rPr>
          <w:rFonts w:cs="Arial"/>
          <w:iCs/>
          <w:color w:val="004A7F"/>
          <w:kern w:val="32"/>
          <w:sz w:val="36"/>
          <w:szCs w:val="28"/>
        </w:rPr>
        <w:t>A modern approach to disclosure</w:t>
      </w:r>
    </w:p>
    <w:p w14:paraId="4DB4CECD" w14:textId="77777777" w:rsidR="00AF4706" w:rsidRPr="0044158F" w:rsidRDefault="00AF4706" w:rsidP="00AF4706">
      <w:pPr>
        <w:pStyle w:val="NormalWeb"/>
        <w:shd w:val="clear" w:color="auto" w:fill="FFFFFF"/>
        <w:spacing w:before="0" w:beforeAutospacing="0" w:after="0" w:afterAutospacing="0"/>
        <w:jc w:val="both"/>
        <w:textAlignment w:val="baseline"/>
        <w:rPr>
          <w:rFonts w:asciiTheme="minorHAnsi" w:hAnsiTheme="minorHAnsi"/>
          <w:b/>
          <w:sz w:val="22"/>
          <w:szCs w:val="22"/>
        </w:rPr>
      </w:pPr>
      <w:r w:rsidRPr="0044158F">
        <w:rPr>
          <w:rFonts w:asciiTheme="minorHAnsi" w:hAnsiTheme="minorHAnsi"/>
          <w:b/>
          <w:sz w:val="22"/>
          <w:szCs w:val="22"/>
        </w:rPr>
        <w:t>Issue</w:t>
      </w:r>
    </w:p>
    <w:p w14:paraId="2C6E6491" w14:textId="77777777" w:rsidR="00AF4706" w:rsidRDefault="00AF4706" w:rsidP="00AF4706">
      <w:pPr>
        <w:pStyle w:val="NormalWeb"/>
        <w:shd w:val="clear" w:color="auto" w:fill="FFFFFF"/>
        <w:spacing w:before="0" w:beforeAutospacing="0" w:after="0" w:afterAutospacing="0"/>
        <w:jc w:val="both"/>
        <w:textAlignment w:val="baseline"/>
        <w:rPr>
          <w:rFonts w:asciiTheme="minorHAnsi" w:hAnsiTheme="minorHAnsi"/>
          <w:sz w:val="22"/>
          <w:szCs w:val="22"/>
        </w:rPr>
      </w:pPr>
    </w:p>
    <w:p w14:paraId="1A1197C4" w14:textId="77777777" w:rsidR="006A743E" w:rsidRPr="00CD0B0D" w:rsidRDefault="006A743E" w:rsidP="006A743E">
      <w:pPr>
        <w:pStyle w:val="NormalWeb"/>
        <w:shd w:val="clear" w:color="auto" w:fill="FFFFFF"/>
        <w:spacing w:before="0" w:beforeAutospacing="0" w:after="0" w:afterAutospacing="0"/>
        <w:jc w:val="both"/>
        <w:textAlignment w:val="baseline"/>
        <w:rPr>
          <w:rFonts w:asciiTheme="minorHAnsi" w:hAnsiTheme="minorHAnsi"/>
          <w:sz w:val="22"/>
          <w:szCs w:val="22"/>
        </w:rPr>
      </w:pPr>
      <w:r w:rsidRPr="00CD0B0D">
        <w:rPr>
          <w:rFonts w:asciiTheme="minorHAnsi" w:hAnsiTheme="minorHAnsi"/>
          <w:sz w:val="22"/>
          <w:szCs w:val="22"/>
        </w:rPr>
        <w:t>The discussion about disclosure for general insurance does not need to be limited to traditional methods of communicating with policyholders.  There is an opportunity to propose approaches that use modern technology.</w:t>
      </w:r>
    </w:p>
    <w:p w14:paraId="2FF7F686" w14:textId="77777777" w:rsidR="006A743E" w:rsidRPr="00CD0B0D" w:rsidRDefault="006A743E" w:rsidP="006A743E">
      <w:pPr>
        <w:pStyle w:val="NormalWeb"/>
        <w:shd w:val="clear" w:color="auto" w:fill="FFFFFF"/>
        <w:spacing w:before="0" w:beforeAutospacing="0" w:after="0" w:afterAutospacing="0"/>
        <w:jc w:val="both"/>
        <w:textAlignment w:val="baseline"/>
        <w:rPr>
          <w:rFonts w:asciiTheme="minorHAnsi" w:hAnsiTheme="minorHAnsi"/>
          <w:sz w:val="22"/>
          <w:szCs w:val="22"/>
        </w:rPr>
      </w:pPr>
    </w:p>
    <w:p w14:paraId="414E0576" w14:textId="77777777" w:rsidR="006A743E" w:rsidRDefault="006A743E" w:rsidP="006A743E">
      <w:pPr>
        <w:pStyle w:val="NormalWeb"/>
        <w:shd w:val="clear" w:color="auto" w:fill="FFFFFF"/>
        <w:spacing w:before="0" w:beforeAutospacing="0" w:after="0" w:afterAutospacing="0"/>
        <w:jc w:val="both"/>
        <w:textAlignment w:val="baseline"/>
        <w:rPr>
          <w:rFonts w:asciiTheme="minorHAnsi" w:hAnsiTheme="minorHAnsi"/>
          <w:sz w:val="22"/>
          <w:szCs w:val="22"/>
        </w:rPr>
      </w:pPr>
      <w:r w:rsidRPr="00CD0B0D">
        <w:rPr>
          <w:rFonts w:asciiTheme="minorHAnsi" w:hAnsiTheme="minorHAnsi"/>
          <w:sz w:val="22"/>
          <w:szCs w:val="22"/>
        </w:rPr>
        <w:t xml:space="preserve">The era of smartphones and </w:t>
      </w:r>
      <w:r>
        <w:rPr>
          <w:rFonts w:asciiTheme="minorHAnsi" w:hAnsiTheme="minorHAnsi"/>
          <w:sz w:val="22"/>
          <w:szCs w:val="22"/>
        </w:rPr>
        <w:t xml:space="preserve">the </w:t>
      </w:r>
      <w:r w:rsidRPr="00CD0B0D">
        <w:rPr>
          <w:rFonts w:asciiTheme="minorHAnsi" w:hAnsiTheme="minorHAnsi"/>
          <w:sz w:val="22"/>
          <w:szCs w:val="22"/>
        </w:rPr>
        <w:t xml:space="preserve">web has created more opportunities for consumers to get their content delivered in a different medium. As a result, companies have started </w:t>
      </w:r>
      <w:r>
        <w:rPr>
          <w:rFonts w:asciiTheme="minorHAnsi" w:hAnsiTheme="minorHAnsi"/>
          <w:sz w:val="22"/>
          <w:szCs w:val="22"/>
        </w:rPr>
        <w:t>responding to</w:t>
      </w:r>
      <w:r w:rsidRPr="00CD0B0D">
        <w:rPr>
          <w:rFonts w:asciiTheme="minorHAnsi" w:hAnsiTheme="minorHAnsi"/>
          <w:sz w:val="22"/>
          <w:szCs w:val="22"/>
        </w:rPr>
        <w:t xml:space="preserve"> consumers’ preference</w:t>
      </w:r>
      <w:r>
        <w:rPr>
          <w:rFonts w:asciiTheme="minorHAnsi" w:hAnsiTheme="minorHAnsi"/>
          <w:sz w:val="22"/>
          <w:szCs w:val="22"/>
        </w:rPr>
        <w:t>s</w:t>
      </w:r>
      <w:r w:rsidRPr="00CD0B0D">
        <w:rPr>
          <w:rFonts w:asciiTheme="minorHAnsi" w:hAnsiTheme="minorHAnsi"/>
          <w:sz w:val="22"/>
          <w:szCs w:val="22"/>
        </w:rPr>
        <w:t xml:space="preserve"> and are making their content available across all platforms vi</w:t>
      </w:r>
      <w:r w:rsidRPr="00FF1548">
        <w:rPr>
          <w:rFonts w:asciiTheme="minorHAnsi" w:hAnsiTheme="minorHAnsi"/>
          <w:sz w:val="22"/>
          <w:szCs w:val="22"/>
        </w:rPr>
        <w:t>z mobile, desktop, print media</w:t>
      </w:r>
      <w:r>
        <w:rPr>
          <w:rFonts w:asciiTheme="minorHAnsi" w:hAnsiTheme="minorHAnsi"/>
          <w:sz w:val="22"/>
          <w:szCs w:val="22"/>
        </w:rPr>
        <w:t xml:space="preserve"> and video</w:t>
      </w:r>
      <w:r w:rsidRPr="00CD0B0D">
        <w:rPr>
          <w:rFonts w:asciiTheme="minorHAnsi" w:hAnsiTheme="minorHAnsi"/>
          <w:sz w:val="22"/>
          <w:szCs w:val="22"/>
        </w:rPr>
        <w:t xml:space="preserve">. </w:t>
      </w:r>
    </w:p>
    <w:p w14:paraId="18FAB694" w14:textId="77777777" w:rsidR="006A743E" w:rsidRDefault="006A743E" w:rsidP="006A743E">
      <w:pPr>
        <w:pStyle w:val="NormalWeb"/>
        <w:shd w:val="clear" w:color="auto" w:fill="FFFFFF"/>
        <w:spacing w:before="0" w:beforeAutospacing="0" w:after="0" w:afterAutospacing="0"/>
        <w:jc w:val="both"/>
        <w:textAlignment w:val="baseline"/>
        <w:rPr>
          <w:rFonts w:asciiTheme="minorHAnsi" w:hAnsiTheme="minorHAnsi"/>
          <w:sz w:val="22"/>
          <w:szCs w:val="22"/>
        </w:rPr>
      </w:pPr>
    </w:p>
    <w:p w14:paraId="3928FCD9" w14:textId="77777777" w:rsidR="00AF4706" w:rsidRPr="00FA2EF7" w:rsidRDefault="00AF4706" w:rsidP="00AF4706">
      <w:pPr>
        <w:pStyle w:val="NormalWeb"/>
        <w:shd w:val="clear" w:color="auto" w:fill="FFFFFF"/>
        <w:spacing w:before="0" w:beforeAutospacing="0" w:after="0" w:afterAutospacing="0"/>
        <w:jc w:val="both"/>
        <w:textAlignment w:val="baseline"/>
      </w:pPr>
    </w:p>
    <w:tbl>
      <w:tblPr>
        <w:tblStyle w:val="TableGrid"/>
        <w:tblW w:w="0" w:type="auto"/>
        <w:tblLook w:val="04A0" w:firstRow="1" w:lastRow="0" w:firstColumn="1" w:lastColumn="0" w:noHBand="0" w:noVBand="1"/>
      </w:tblPr>
      <w:tblGrid>
        <w:gridCol w:w="9286"/>
      </w:tblGrid>
      <w:tr w:rsidR="00AF4706" w14:paraId="7CCEA5C9" w14:textId="77777777" w:rsidTr="0044158F">
        <w:tc>
          <w:tcPr>
            <w:tcW w:w="9286" w:type="dxa"/>
            <w:tcBorders>
              <w:top w:val="single" w:sz="4" w:space="0" w:color="auto"/>
              <w:left w:val="single" w:sz="4" w:space="0" w:color="auto"/>
              <w:bottom w:val="single" w:sz="4" w:space="0" w:color="auto"/>
              <w:right w:val="single" w:sz="4" w:space="0" w:color="auto"/>
            </w:tcBorders>
            <w:shd w:val="clear" w:color="auto" w:fill="FFFFFF" w:themeFill="background1"/>
          </w:tcPr>
          <w:p w14:paraId="7478D3F7" w14:textId="77777777" w:rsidR="00AF4706" w:rsidRDefault="00AF4706" w:rsidP="00FF5653">
            <w:pPr>
              <w:rPr>
                <w:b/>
              </w:rPr>
            </w:pPr>
            <w:r w:rsidRPr="0044158F">
              <w:rPr>
                <w:b/>
              </w:rPr>
              <w:t>Consultation Questions</w:t>
            </w:r>
          </w:p>
          <w:p w14:paraId="5A68A157" w14:textId="48BE5265" w:rsidR="003342B9" w:rsidRDefault="003342B9" w:rsidP="00DB69DF">
            <w:pPr>
              <w:pStyle w:val="ListParagraph"/>
              <w:numPr>
                <w:ilvl w:val="0"/>
                <w:numId w:val="27"/>
              </w:numPr>
              <w:tabs>
                <w:tab w:val="left" w:pos="567"/>
              </w:tabs>
              <w:ind w:left="567" w:hanging="567"/>
            </w:pPr>
            <w:r w:rsidRPr="00531E70">
              <w:t>Are there more effective or innovative ways to communicate information on policies to consumers?</w:t>
            </w:r>
          </w:p>
          <w:p w14:paraId="55583B85" w14:textId="77777777" w:rsidR="00DB69DF" w:rsidRPr="00531E70" w:rsidRDefault="00DB69DF" w:rsidP="00DB69DF">
            <w:pPr>
              <w:pStyle w:val="ListParagraph"/>
              <w:tabs>
                <w:tab w:val="left" w:pos="567"/>
              </w:tabs>
              <w:ind w:left="567"/>
            </w:pPr>
          </w:p>
          <w:p w14:paraId="7B02751F" w14:textId="77800428" w:rsidR="003342B9" w:rsidRDefault="003342B9" w:rsidP="00DB69DF">
            <w:pPr>
              <w:pStyle w:val="ListParagraph"/>
              <w:numPr>
                <w:ilvl w:val="0"/>
                <w:numId w:val="27"/>
              </w:numPr>
              <w:tabs>
                <w:tab w:val="left" w:pos="567"/>
              </w:tabs>
              <w:ind w:left="567" w:hanging="567"/>
            </w:pPr>
            <w:r w:rsidRPr="00531E70">
              <w:t>Is the law currently preventing more effective methods of disclosure?  If so, how?</w:t>
            </w:r>
          </w:p>
          <w:p w14:paraId="1DEF7706" w14:textId="77777777" w:rsidR="00DB69DF" w:rsidRPr="00531E70" w:rsidRDefault="00DB69DF" w:rsidP="00DB69DF">
            <w:pPr>
              <w:pStyle w:val="ListParagraph"/>
              <w:tabs>
                <w:tab w:val="left" w:pos="567"/>
              </w:tabs>
              <w:ind w:left="567"/>
            </w:pPr>
          </w:p>
          <w:p w14:paraId="28542365" w14:textId="3591BBB4" w:rsidR="003342B9" w:rsidRPr="00531E70" w:rsidRDefault="003342B9" w:rsidP="00DB69DF">
            <w:pPr>
              <w:pStyle w:val="ListParagraph"/>
              <w:numPr>
                <w:ilvl w:val="0"/>
                <w:numId w:val="27"/>
              </w:numPr>
              <w:tabs>
                <w:tab w:val="left" w:pos="567"/>
              </w:tabs>
              <w:ind w:left="567" w:hanging="567"/>
              <w:rPr>
                <w:sz w:val="22"/>
                <w:szCs w:val="22"/>
              </w:rPr>
            </w:pPr>
            <w:r w:rsidRPr="00531E70">
              <w:t>How could the law facilitate new methods of disclosing the content currently required in the PDS, while still ensuring adequate consumer protections</w:t>
            </w:r>
            <w:r w:rsidRPr="00531E70">
              <w:rPr>
                <w:szCs w:val="22"/>
              </w:rPr>
              <w:t xml:space="preserve">? </w:t>
            </w:r>
          </w:p>
          <w:p w14:paraId="3EDE9A34" w14:textId="77777777" w:rsidR="00AF4706" w:rsidRPr="0044158F" w:rsidRDefault="00AF4706" w:rsidP="00FF5653">
            <w:pPr>
              <w:rPr>
                <w:b/>
              </w:rPr>
            </w:pPr>
          </w:p>
        </w:tc>
      </w:tr>
    </w:tbl>
    <w:p w14:paraId="1EBB1B9D" w14:textId="77777777" w:rsidR="008430F1" w:rsidRPr="00581B22" w:rsidRDefault="008430F1" w:rsidP="00FF5653"/>
    <w:sectPr w:rsidR="008430F1" w:rsidRPr="00581B22" w:rsidSect="00E1136B">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000EF" w14:textId="77777777" w:rsidR="00176443" w:rsidRDefault="00176443">
      <w:pPr>
        <w:spacing w:before="0" w:after="0"/>
      </w:pPr>
      <w:r>
        <w:separator/>
      </w:r>
    </w:p>
  </w:endnote>
  <w:endnote w:type="continuationSeparator" w:id="0">
    <w:p w14:paraId="5ED97609" w14:textId="77777777" w:rsidR="00176443" w:rsidRDefault="00176443">
      <w:pPr>
        <w:spacing w:before="0" w:after="0"/>
      </w:pPr>
      <w:r>
        <w:continuationSeparator/>
      </w:r>
    </w:p>
  </w:endnote>
  <w:endnote w:type="continuationNotice" w:id="1">
    <w:p w14:paraId="1DC90141" w14:textId="77777777" w:rsidR="00176443" w:rsidRDefault="001764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5B960" w14:textId="77777777" w:rsidR="00F64F6B" w:rsidRDefault="00F64F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C316C" w14:textId="77777777" w:rsidR="006972BA" w:rsidRPr="00E1136B" w:rsidRDefault="006972BA" w:rsidP="00E1136B">
    <w:pPr>
      <w:pStyle w:val="Footer"/>
    </w:pPr>
    <w:r>
      <w:rPr>
        <w:noProof/>
      </w:rPr>
      <w:drawing>
        <wp:anchor distT="0" distB="0" distL="114300" distR="114300" simplePos="0" relativeHeight="251658241" behindDoc="1" locked="0" layoutInCell="1" allowOverlap="1" wp14:anchorId="64BCBE6A" wp14:editId="37E1E1F8">
          <wp:simplePos x="0" y="0"/>
          <wp:positionH relativeFrom="page">
            <wp:align>center</wp:align>
          </wp:positionH>
          <wp:positionV relativeFrom="page">
            <wp:posOffset>4860925</wp:posOffset>
          </wp:positionV>
          <wp:extent cx="7199640" cy="5675760"/>
          <wp:effectExtent l="0" t="0" r="127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F64F6B">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42FF" w14:textId="77777777" w:rsidR="00F64F6B" w:rsidRDefault="00F64F6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DD04" w14:textId="77777777" w:rsidR="006972BA" w:rsidRPr="00E77C89" w:rsidRDefault="006972BA"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D715" w14:textId="77777777" w:rsidR="006972BA" w:rsidRPr="00E77C89" w:rsidRDefault="006972BA"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A34EB" w14:textId="77777777" w:rsidR="006972BA" w:rsidRPr="00E1136B" w:rsidRDefault="006972BA" w:rsidP="00E1136B">
    <w:pPr>
      <w:pStyle w:val="Footer"/>
    </w:pPr>
    <w:r>
      <w:fldChar w:fldCharType="begin"/>
    </w:r>
    <w:r>
      <w:instrText xml:space="preserve"> PAGE   \* MERGEFORMAT </w:instrText>
    </w:r>
    <w:r>
      <w:fldChar w:fldCharType="separate"/>
    </w:r>
    <w:r w:rsidR="00F64F6B">
      <w:rPr>
        <w:noProof/>
      </w:rPr>
      <w:t>21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97E9E" w14:textId="77777777" w:rsidR="006972BA" w:rsidRDefault="00697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D5A02" w14:textId="77777777" w:rsidR="00176443" w:rsidRDefault="00176443">
      <w:pPr>
        <w:spacing w:before="0" w:after="0"/>
      </w:pPr>
      <w:r>
        <w:separator/>
      </w:r>
    </w:p>
  </w:footnote>
  <w:footnote w:type="continuationSeparator" w:id="0">
    <w:p w14:paraId="32A13611" w14:textId="77777777" w:rsidR="00176443" w:rsidRDefault="00176443">
      <w:pPr>
        <w:spacing w:before="0" w:after="0"/>
      </w:pPr>
      <w:r>
        <w:continuationSeparator/>
      </w:r>
    </w:p>
  </w:footnote>
  <w:footnote w:type="continuationNotice" w:id="1">
    <w:p w14:paraId="4688D2A7" w14:textId="77777777" w:rsidR="00176443" w:rsidRDefault="00176443">
      <w:pPr>
        <w:spacing w:before="0" w:after="0"/>
      </w:pPr>
    </w:p>
  </w:footnote>
  <w:footnote w:id="2">
    <w:p w14:paraId="680B679C" w14:textId="77777777" w:rsidR="006972BA" w:rsidRDefault="006972BA" w:rsidP="0062202D">
      <w:pPr>
        <w:pStyle w:val="FootnoteText"/>
      </w:pPr>
      <w:r>
        <w:rPr>
          <w:rStyle w:val="FootnoteReference"/>
        </w:rPr>
        <w:footnoteRef/>
      </w:r>
      <w:r>
        <w:t xml:space="preserve"> Senate Economic Reference Committee, August 2017, </w:t>
      </w:r>
      <w:r>
        <w:rPr>
          <w:i/>
        </w:rPr>
        <w:t>Australia’s general insurance industry: sapping consumers of the will to compare</w:t>
      </w:r>
      <w:r>
        <w:t xml:space="preserve">, available: </w:t>
      </w:r>
      <w:hyperlink r:id="rId1" w:history="1">
        <w:r w:rsidRPr="00F75204">
          <w:rPr>
            <w:rStyle w:val="Hyperlink"/>
            <w:u w:val="single"/>
          </w:rPr>
          <w:t>https://www.aph.gov.au/Parliamentary_Business/Committees/Senate/Economics/Generalinsurance/~/media/Committees/economics_ctte/Generalinsurance/report.pdf</w:t>
        </w:r>
      </w:hyperlink>
      <w:r>
        <w:rPr>
          <w:rStyle w:val="Hyperlink"/>
          <w:u w:val="single"/>
        </w:rPr>
        <w:t xml:space="preserve"> </w:t>
      </w:r>
      <w:r>
        <w:rPr>
          <w:rStyle w:val="Hyperlink"/>
        </w:rPr>
        <w:t xml:space="preserve"> </w:t>
      </w:r>
    </w:p>
  </w:footnote>
  <w:footnote w:id="3">
    <w:p w14:paraId="1892C4FC" w14:textId="77777777" w:rsidR="006972BA" w:rsidRDefault="006972BA">
      <w:pPr>
        <w:pStyle w:val="FootnoteText"/>
      </w:pPr>
      <w:r>
        <w:rPr>
          <w:rStyle w:val="FootnoteReference"/>
        </w:rPr>
        <w:footnoteRef/>
      </w:r>
      <w:r>
        <w:t xml:space="preserve"> Senate Economic Reference Committee, August 2017, </w:t>
      </w:r>
      <w:r>
        <w:rPr>
          <w:i/>
        </w:rPr>
        <w:t>Australia’s general insurance industry: sapping consumers of the will to compare</w:t>
      </w:r>
      <w:r>
        <w:t xml:space="preserve">, page 28, available: </w:t>
      </w:r>
      <w:hyperlink r:id="rId2" w:history="1">
        <w:r w:rsidRPr="00F75204">
          <w:rPr>
            <w:rStyle w:val="Hyperlink"/>
            <w:u w:val="single"/>
          </w:rPr>
          <w:t>https://www.aph.gov.au/Parliamentary_Business/Committees/Senate/Economics/Generalinsurance/~/media/Committees/economics_ctte/Generalinsurance/report.pdf</w:t>
        </w:r>
      </w:hyperlink>
      <w:r>
        <w:rPr>
          <w:rStyle w:val="Hyperlink"/>
          <w:u w:val="single"/>
        </w:rPr>
        <w:t xml:space="preserve"> </w:t>
      </w:r>
      <w:r>
        <w:rPr>
          <w:rStyle w:val="Hyperlink"/>
        </w:rPr>
        <w:t xml:space="preserve"> </w:t>
      </w:r>
    </w:p>
  </w:footnote>
  <w:footnote w:id="4">
    <w:p w14:paraId="519BADF2" w14:textId="77777777" w:rsidR="006972BA" w:rsidRDefault="006972BA">
      <w:pPr>
        <w:pStyle w:val="FootnoteText"/>
      </w:pPr>
      <w:r>
        <w:rPr>
          <w:rStyle w:val="FootnoteReference"/>
        </w:rPr>
        <w:footnoteRef/>
      </w:r>
      <w:r>
        <w:t xml:space="preserve"> The Australian Government the Treasury, November 2014, </w:t>
      </w:r>
      <w:r w:rsidRPr="00511571">
        <w:rPr>
          <w:i/>
        </w:rPr>
        <w:t>Financial System Inquiry Final Report</w:t>
      </w:r>
      <w:r>
        <w:t>, available:</w:t>
      </w:r>
      <w:r w:rsidRPr="00511571">
        <w:t xml:space="preserve"> </w:t>
      </w:r>
      <w:hyperlink r:id="rId3" w:history="1">
        <w:r w:rsidRPr="00511571">
          <w:rPr>
            <w:rStyle w:val="Hyperlink"/>
            <w:u w:val="single"/>
          </w:rPr>
          <w:t>http://fsi.gov.au/files/2014/12/FSI_Final_Report_Consolidated20141210.pdf</w:t>
        </w:r>
      </w:hyperlink>
      <w:r>
        <w:t xml:space="preserve"> </w:t>
      </w:r>
    </w:p>
  </w:footnote>
  <w:footnote w:id="5">
    <w:p w14:paraId="5C6CF1CE" w14:textId="77777777" w:rsidR="006972BA" w:rsidRDefault="006972BA">
      <w:pPr>
        <w:pStyle w:val="FootnoteText"/>
      </w:pPr>
      <w:r>
        <w:rPr>
          <w:rStyle w:val="FootnoteReference"/>
        </w:rPr>
        <w:footnoteRef/>
      </w:r>
      <w:r>
        <w:t xml:space="preserve"> </w:t>
      </w:r>
      <w:proofErr w:type="gramStart"/>
      <w:r>
        <w:t>Ibid.,</w:t>
      </w:r>
      <w:proofErr w:type="gramEnd"/>
      <w:r>
        <w:t xml:space="preserve"> recommendation 26, page 227.</w:t>
      </w:r>
    </w:p>
  </w:footnote>
  <w:footnote w:id="6">
    <w:p w14:paraId="5A856452" w14:textId="77777777" w:rsidR="006972BA" w:rsidRDefault="006972BA">
      <w:pPr>
        <w:pStyle w:val="FootnoteText"/>
      </w:pPr>
      <w:r>
        <w:rPr>
          <w:rStyle w:val="FootnoteReference"/>
        </w:rPr>
        <w:footnoteRef/>
      </w:r>
      <w:r>
        <w:t xml:space="preserve"> </w:t>
      </w:r>
      <w:proofErr w:type="gramStart"/>
      <w:r>
        <w:t>Ibid.,</w:t>
      </w:r>
      <w:proofErr w:type="gramEnd"/>
      <w:r>
        <w:t xml:space="preserve"> page 215.</w:t>
      </w:r>
    </w:p>
  </w:footnote>
  <w:footnote w:id="7">
    <w:p w14:paraId="4A667AA0" w14:textId="77777777" w:rsidR="006972BA" w:rsidRDefault="006972BA">
      <w:pPr>
        <w:pStyle w:val="FootnoteText"/>
      </w:pPr>
      <w:r>
        <w:rPr>
          <w:rStyle w:val="FootnoteReference"/>
        </w:rPr>
        <w:footnoteRef/>
      </w:r>
      <w:r>
        <w:t xml:space="preserve"> Senate Economic Reference Committee, August 2017, </w:t>
      </w:r>
      <w:r>
        <w:rPr>
          <w:i/>
        </w:rPr>
        <w:t>Australia’s general insurance industry: sapping consumers of the will to compare</w:t>
      </w:r>
      <w:r>
        <w:t xml:space="preserve">, page 27, available: </w:t>
      </w:r>
      <w:hyperlink r:id="rId4" w:history="1">
        <w:r w:rsidRPr="00F75204">
          <w:rPr>
            <w:rStyle w:val="Hyperlink"/>
            <w:u w:val="single"/>
          </w:rPr>
          <w:t>https://www.aph.gov.au/Parliamentary_Business/Committees/Senate/Economics/Generalinsurance/~/media/Committees/economics_ctte/Generalinsurance/report.pdf</w:t>
        </w:r>
      </w:hyperlink>
    </w:p>
  </w:footnote>
  <w:footnote w:id="8">
    <w:p w14:paraId="587B27FC" w14:textId="77777777" w:rsidR="006972BA" w:rsidRPr="00912FE7" w:rsidRDefault="006972BA">
      <w:pPr>
        <w:pStyle w:val="FootnoteText"/>
      </w:pPr>
      <w:r>
        <w:rPr>
          <w:rStyle w:val="FootnoteReference"/>
        </w:rPr>
        <w:footnoteRef/>
      </w:r>
      <w:r>
        <w:t xml:space="preserve"> Insurance Council of Australia, October 2015, </w:t>
      </w:r>
      <w:r>
        <w:rPr>
          <w:i/>
        </w:rPr>
        <w:t>Too Long Didn’t Read: Enhancing General Insurance Disclosure</w:t>
      </w:r>
      <w:r w:rsidRPr="00912FE7">
        <w:t xml:space="preserve">, </w:t>
      </w:r>
      <w:r>
        <w:t xml:space="preserve">available: </w:t>
      </w:r>
      <w:hyperlink r:id="rId5" w:history="1">
        <w:r w:rsidRPr="00912FE7">
          <w:rPr>
            <w:rStyle w:val="Hyperlink"/>
            <w:u w:val="single"/>
          </w:rPr>
          <w:t>http://www.insurancecouncil.com.au/assets/Effective%20Disclosure%20Report.pdf</w:t>
        </w:r>
      </w:hyperlink>
    </w:p>
  </w:footnote>
  <w:footnote w:id="9">
    <w:p w14:paraId="07B9E2EA" w14:textId="77777777" w:rsidR="006972BA" w:rsidRDefault="006972BA">
      <w:pPr>
        <w:pStyle w:val="FootnoteText"/>
      </w:pPr>
      <w:r>
        <w:rPr>
          <w:rStyle w:val="FootnoteReference"/>
        </w:rPr>
        <w:footnoteRef/>
      </w:r>
      <w:r>
        <w:t xml:space="preserve"> Insurance Council of Australia, February 2017, </w:t>
      </w:r>
      <w:r w:rsidRPr="001330B0">
        <w:rPr>
          <w:i/>
        </w:rPr>
        <w:t>Consumer Research on General Insurance Product Disclosures: Research findings report</w:t>
      </w:r>
      <w:r>
        <w:t xml:space="preserve">, available: </w:t>
      </w:r>
      <w:hyperlink r:id="rId6" w:history="1">
        <w:r w:rsidRPr="001330B0">
          <w:rPr>
            <w:rStyle w:val="Hyperlink"/>
            <w:u w:val="single"/>
          </w:rPr>
          <w:t>http://www.insurancecouncil.com.au/assets/report/2017_02_Effective%20Disclosure%20Research%20Report.pdf</w:t>
        </w:r>
      </w:hyperlink>
      <w:r>
        <w:t xml:space="preserve">  </w:t>
      </w:r>
    </w:p>
  </w:footnote>
  <w:footnote w:id="10">
    <w:p w14:paraId="0142E1DC" w14:textId="77777777" w:rsidR="006972BA" w:rsidRDefault="006972BA" w:rsidP="00F548D8">
      <w:pPr>
        <w:pStyle w:val="FootnoteText"/>
      </w:pPr>
      <w:r>
        <w:rPr>
          <w:rStyle w:val="FootnoteReference"/>
        </w:rPr>
        <w:footnoteRef/>
      </w:r>
      <w:r>
        <w:t xml:space="preserve"> Australian Securities and Investments Commission, October 2014, </w:t>
      </w:r>
      <w:r w:rsidRPr="00056219">
        <w:rPr>
          <w:i/>
        </w:rPr>
        <w:t>Review of the sale of home insurance</w:t>
      </w:r>
      <w:r>
        <w:t xml:space="preserve">, available: </w:t>
      </w:r>
      <w:r>
        <w:br/>
      </w:r>
      <w:hyperlink r:id="rId7" w:history="1">
        <w:r w:rsidRPr="00056219">
          <w:rPr>
            <w:rStyle w:val="Hyperlink"/>
            <w:u w:val="single"/>
          </w:rPr>
          <w:t>https://download.asic.gov.au/media/2195188/rep415-published-28-october-2014.pdf</w:t>
        </w:r>
      </w:hyperlink>
      <w:r>
        <w:t xml:space="preserve"> </w:t>
      </w:r>
    </w:p>
  </w:footnote>
  <w:footnote w:id="11">
    <w:p w14:paraId="7DDF66E5" w14:textId="01EDBD22" w:rsidR="006972BA" w:rsidRDefault="006972BA">
      <w:pPr>
        <w:pStyle w:val="FootnoteText"/>
      </w:pPr>
      <w:r>
        <w:rPr>
          <w:rStyle w:val="FootnoteReference"/>
        </w:rPr>
        <w:footnoteRef/>
      </w:r>
      <w:r>
        <w:t xml:space="preserve"> Australian Securities and Investments Commission, October 2014, </w:t>
      </w:r>
      <w:r w:rsidRPr="00056219">
        <w:rPr>
          <w:i/>
        </w:rPr>
        <w:t>Insuring your home: Consumers’ experiences buying home insurance</w:t>
      </w:r>
      <w:r>
        <w:t xml:space="preserve">, available: </w:t>
      </w:r>
    </w:p>
    <w:p w14:paraId="187D8457" w14:textId="6D2061EC" w:rsidR="006972BA" w:rsidRPr="000E6D37" w:rsidRDefault="00176443">
      <w:pPr>
        <w:pStyle w:val="FootnoteText"/>
        <w:rPr>
          <w:u w:val="single"/>
        </w:rPr>
      </w:pPr>
      <w:hyperlink r:id="rId8" w:history="1">
        <w:r w:rsidR="006972BA" w:rsidRPr="000E6D37">
          <w:rPr>
            <w:rStyle w:val="Hyperlink"/>
            <w:u w:val="single"/>
          </w:rPr>
          <w:t>https://download.asic.gov.au/media/2195187/rep416-published-28-october-2014.pdf</w:t>
        </w:r>
      </w:hyperlink>
      <w:r w:rsidR="006972BA" w:rsidRPr="000E6D37">
        <w:rPr>
          <w:u w:val="single"/>
        </w:rPr>
        <w:t xml:space="preserve"> </w:t>
      </w:r>
    </w:p>
  </w:footnote>
  <w:footnote w:id="12">
    <w:p w14:paraId="7E7B6550" w14:textId="77777777" w:rsidR="006972BA" w:rsidRDefault="006972BA">
      <w:pPr>
        <w:pStyle w:val="FootnoteText"/>
      </w:pPr>
      <w:r>
        <w:rPr>
          <w:rStyle w:val="FootnoteReference"/>
        </w:rPr>
        <w:footnoteRef/>
      </w:r>
      <w:r>
        <w:t xml:space="preserve"> Ibid.</w:t>
      </w:r>
    </w:p>
  </w:footnote>
  <w:footnote w:id="13">
    <w:p w14:paraId="5EEA98AF" w14:textId="77777777" w:rsidR="006972BA" w:rsidRDefault="006972BA" w:rsidP="00F01683">
      <w:pPr>
        <w:pStyle w:val="FootnoteText"/>
      </w:pPr>
      <w:r>
        <w:rPr>
          <w:rStyle w:val="FootnoteReference"/>
        </w:rPr>
        <w:footnoteRef/>
      </w:r>
      <w:r>
        <w:t xml:space="preserve"> Australian Securities and Investments Commission, October 2014, </w:t>
      </w:r>
      <w:r w:rsidRPr="00056219">
        <w:rPr>
          <w:i/>
        </w:rPr>
        <w:t>Review of the sale of home insurance</w:t>
      </w:r>
      <w:r>
        <w:t xml:space="preserve">, page 8, available: </w:t>
      </w:r>
      <w:r>
        <w:br/>
      </w:r>
      <w:hyperlink r:id="rId9" w:history="1">
        <w:r w:rsidRPr="00C7289A">
          <w:rPr>
            <w:rStyle w:val="Hyperlink"/>
            <w:u w:val="single"/>
          </w:rPr>
          <w:t>https://download.asic.gov.au/media/2195188/rep415-published-28-october-2014.pdf</w:t>
        </w:r>
      </w:hyperlink>
    </w:p>
  </w:footnote>
  <w:footnote w:id="14">
    <w:p w14:paraId="68F05DB2" w14:textId="77777777" w:rsidR="006972BA" w:rsidRDefault="006972BA" w:rsidP="007D58D7">
      <w:pPr>
        <w:pStyle w:val="FootnoteText"/>
      </w:pPr>
      <w:r>
        <w:rPr>
          <w:rStyle w:val="FootnoteReference"/>
        </w:rPr>
        <w:footnoteRef/>
      </w:r>
      <w:r>
        <w:t xml:space="preserve"> Australian Securities and Investments Commission, April 2014, Financial System Inquiry: Submission by the Australian Securities and Investments Commission, page 31-32, available:</w:t>
      </w:r>
    </w:p>
    <w:p w14:paraId="6847539F" w14:textId="77777777" w:rsidR="006972BA" w:rsidRDefault="00176443" w:rsidP="007D58D7">
      <w:pPr>
        <w:pStyle w:val="FootnoteText"/>
      </w:pPr>
      <w:hyperlink r:id="rId10" w:history="1">
        <w:r w:rsidR="006972BA" w:rsidRPr="007D58D7">
          <w:rPr>
            <w:rStyle w:val="Hyperlink"/>
            <w:u w:val="single"/>
          </w:rPr>
          <w:t>https://download.asic.gov.au/media/1311553/ASIC-submission-to-the-Financial-System-Inquiry-4-April-2014-1.pdf</w:t>
        </w:r>
      </w:hyperlink>
      <w:r w:rsidR="006972BA" w:rsidRPr="007D58D7">
        <w:rPr>
          <w:u w:val="single"/>
        </w:rPr>
        <w:t xml:space="preserve">  </w:t>
      </w:r>
    </w:p>
  </w:footnote>
  <w:footnote w:id="15">
    <w:p w14:paraId="135FF26D" w14:textId="77777777" w:rsidR="006972BA" w:rsidRDefault="006972BA">
      <w:pPr>
        <w:pStyle w:val="FootnoteText"/>
      </w:pPr>
      <w:r>
        <w:rPr>
          <w:rStyle w:val="FootnoteReference"/>
        </w:rPr>
        <w:footnoteRef/>
      </w:r>
      <w:r>
        <w:t xml:space="preserve"> Erta K. et al. April 2013, </w:t>
      </w:r>
      <w:r w:rsidRPr="00281ABA">
        <w:rPr>
          <w:i/>
        </w:rPr>
        <w:t>Applying behavioural economics at the Financial Conduct Authority</w:t>
      </w:r>
      <w:r>
        <w:t>, occasional paper no. 1, page 24-25, available:</w:t>
      </w:r>
      <w:r w:rsidRPr="00106DD7">
        <w:t xml:space="preserve"> </w:t>
      </w:r>
      <w:hyperlink r:id="rId11" w:history="1">
        <w:r w:rsidRPr="00281ABA">
          <w:rPr>
            <w:rStyle w:val="Hyperlink"/>
            <w:u w:val="single"/>
          </w:rPr>
          <w:t>https://www.fca.org.uk/publication/occasional-papers/occasional-paper-1.pdf</w:t>
        </w:r>
      </w:hyperlink>
      <w:r>
        <w:t xml:space="preserve"> </w:t>
      </w:r>
    </w:p>
  </w:footnote>
  <w:footnote w:id="16">
    <w:p w14:paraId="62E3F625" w14:textId="77777777" w:rsidR="006972BA" w:rsidRDefault="006972BA">
      <w:pPr>
        <w:pStyle w:val="FootnoteText"/>
      </w:pPr>
      <w:r>
        <w:rPr>
          <w:rStyle w:val="FootnoteReference"/>
        </w:rPr>
        <w:footnoteRef/>
      </w:r>
      <w:r>
        <w:t xml:space="preserve"> Ibid, page 43.</w:t>
      </w:r>
    </w:p>
  </w:footnote>
  <w:footnote w:id="17">
    <w:p w14:paraId="5E66CC45" w14:textId="77777777" w:rsidR="006972BA" w:rsidRDefault="006972BA">
      <w:pPr>
        <w:pStyle w:val="FootnoteText"/>
      </w:pPr>
      <w:r>
        <w:rPr>
          <w:rStyle w:val="FootnoteReference"/>
        </w:rPr>
        <w:footnoteRef/>
      </w:r>
      <w:r>
        <w:t xml:space="preserve"> Kirsch, L. 2002, </w:t>
      </w:r>
      <w:r w:rsidRPr="008D27E1">
        <w:rPr>
          <w:i/>
        </w:rPr>
        <w:t>Do product disclosures inform and safeguard insurance policyholders?</w:t>
      </w:r>
      <w:r>
        <w:t>, Journal of Insurance Regulation, vol. 20, no. 3, page 271-295, available:</w:t>
      </w:r>
      <w:r w:rsidRPr="006E00F7">
        <w:t xml:space="preserve"> </w:t>
      </w:r>
      <w:hyperlink r:id="rId12" w:history="1">
        <w:r w:rsidRPr="006E00F7">
          <w:rPr>
            <w:rStyle w:val="Hyperlink"/>
            <w:u w:val="single"/>
          </w:rPr>
          <w:t>https://search.proquest.com/docview/204947414/fulltextPDF/A715294F1CFB4661PQ/1?accountid=46495</w:t>
        </w:r>
      </w:hyperlink>
      <w:r>
        <w:t xml:space="preserve"> </w:t>
      </w:r>
    </w:p>
  </w:footnote>
  <w:footnote w:id="18">
    <w:p w14:paraId="28B76350" w14:textId="77777777" w:rsidR="006972BA" w:rsidRDefault="006972BA" w:rsidP="003E3D66">
      <w:pPr>
        <w:pStyle w:val="FootnoteText"/>
      </w:pPr>
      <w:r>
        <w:rPr>
          <w:rStyle w:val="FootnoteReference"/>
        </w:rPr>
        <w:footnoteRef/>
      </w:r>
      <w:r>
        <w:t xml:space="preserve"> Cude B. 2005, </w:t>
      </w:r>
      <w:r w:rsidRPr="008D27E1">
        <w:rPr>
          <w:i/>
        </w:rPr>
        <w:t>Insurance disclosures: an effective mechanism to increase consumers’ insurance market power</w:t>
      </w:r>
      <w:r>
        <w:t>, Journal of Insurance Regulation, vol. 24, no. 2, page 57-80, available:</w:t>
      </w:r>
      <w:r w:rsidRPr="00D113AE">
        <w:t xml:space="preserve"> </w:t>
      </w:r>
      <w:hyperlink r:id="rId13" w:history="1">
        <w:r w:rsidRPr="00D113AE">
          <w:rPr>
            <w:rStyle w:val="Hyperlink"/>
            <w:u w:val="single"/>
          </w:rPr>
          <w:t>https://search.proquest.com/docview/204912462/fulltextPDF/AF1829123F734556PQ/1?accountid=46495</w:t>
        </w:r>
      </w:hyperlink>
      <w:r>
        <w:t xml:space="preserve"> </w:t>
      </w:r>
    </w:p>
  </w:footnote>
  <w:footnote w:id="19">
    <w:p w14:paraId="1E69AB49" w14:textId="77777777" w:rsidR="006972BA" w:rsidRDefault="006972BA">
      <w:pPr>
        <w:pStyle w:val="FootnoteText"/>
      </w:pPr>
      <w:r>
        <w:rPr>
          <w:rStyle w:val="FootnoteReference"/>
        </w:rPr>
        <w:footnoteRef/>
      </w:r>
      <w:r>
        <w:t xml:space="preserve"> De Meza et al. 2010, </w:t>
      </w:r>
      <w:r w:rsidRPr="008D27E1">
        <w:rPr>
          <w:i/>
        </w:rPr>
        <w:t>Disclosure, trust and persuasion in insurance markets</w:t>
      </w:r>
      <w:r>
        <w:t xml:space="preserve">, Institution for the Study of Labor Discussion Paper No. 5060, available: </w:t>
      </w:r>
      <w:hyperlink r:id="rId14" w:history="1">
        <w:r w:rsidRPr="00B06963">
          <w:rPr>
            <w:rStyle w:val="Hyperlink"/>
            <w:u w:val="single"/>
          </w:rPr>
          <w:t>https://www.econstor.eu/bitstream/10419/44227/1/638491770.pdf</w:t>
        </w:r>
      </w:hyperlink>
      <w:r>
        <w:t xml:space="preserve">  </w:t>
      </w:r>
    </w:p>
  </w:footnote>
  <w:footnote w:id="20">
    <w:p w14:paraId="56DCE456" w14:textId="77777777" w:rsidR="006972BA" w:rsidRPr="00B06963" w:rsidRDefault="006972BA">
      <w:pPr>
        <w:pStyle w:val="FootnoteText"/>
      </w:pPr>
      <w:r>
        <w:rPr>
          <w:rStyle w:val="FootnoteReference"/>
        </w:rPr>
        <w:footnoteRef/>
      </w:r>
      <w:r>
        <w:t xml:space="preserve"> </w:t>
      </w:r>
      <w:r w:rsidRPr="00AB1337">
        <w:t>Minister for Revenue and Financial Services,</w:t>
      </w:r>
      <w:r>
        <w:t xml:space="preserve"> </w:t>
      </w:r>
      <w:r w:rsidRPr="00AB1337">
        <w:t xml:space="preserve">18 December 2017, </w:t>
      </w:r>
      <w:r>
        <w:t>Government responds to Northern Australia Insurance Premiums Taskforce and General Insurance Senate Inquiry,</w:t>
      </w:r>
      <w:r w:rsidRPr="00AB1337">
        <w:t xml:space="preserve"> available: </w:t>
      </w:r>
      <w:hyperlink r:id="rId15" w:history="1">
        <w:r w:rsidRPr="00B06963">
          <w:rPr>
            <w:rStyle w:val="Hyperlink"/>
            <w:u w:val="single"/>
          </w:rPr>
          <w:t>http://kmo.ministers.treasury.gov.au/media-release/120-2017/</w:t>
        </w:r>
      </w:hyperlink>
    </w:p>
  </w:footnote>
  <w:footnote w:id="21">
    <w:p w14:paraId="7330A8C1" w14:textId="77777777" w:rsidR="006972BA" w:rsidRDefault="006972BA" w:rsidP="00B06963">
      <w:pPr>
        <w:spacing w:before="0" w:after="0"/>
      </w:pPr>
      <w:r w:rsidRPr="00B06963">
        <w:rPr>
          <w:rStyle w:val="FootnoteReference"/>
        </w:rPr>
        <w:footnoteRef/>
      </w:r>
      <w:r w:rsidRPr="00B06963">
        <w:rPr>
          <w:sz w:val="20"/>
        </w:rPr>
        <w:t xml:space="preserve"> Insurance Council of Australia, February 2017, </w:t>
      </w:r>
      <w:r w:rsidRPr="00B06963">
        <w:rPr>
          <w:i/>
          <w:sz w:val="20"/>
        </w:rPr>
        <w:t>Consumer Research on General Insurance Product Disclosures: Research findings report</w:t>
      </w:r>
      <w:r w:rsidRPr="00B06963">
        <w:rPr>
          <w:sz w:val="20"/>
        </w:rPr>
        <w:t xml:space="preserve">, page 34, available: </w:t>
      </w:r>
      <w:hyperlink r:id="rId16" w:history="1">
        <w:r w:rsidRPr="00B06963">
          <w:rPr>
            <w:rStyle w:val="Hyperlink"/>
            <w:sz w:val="20"/>
            <w:u w:val="single"/>
          </w:rPr>
          <w:t>http://www.insurancecouncil.com.au/assets/report/2017_02_Effective%20Disclosure%20Research%20Report.pdf</w:t>
        </w:r>
      </w:hyperlink>
      <w:r w:rsidRPr="00B06963">
        <w:rPr>
          <w:sz w:val="20"/>
        </w:rPr>
        <w:t xml:space="preserve">  </w:t>
      </w:r>
    </w:p>
  </w:footnote>
  <w:footnote w:id="22">
    <w:p w14:paraId="2CC6FB6F" w14:textId="77777777" w:rsidR="006972BA" w:rsidRDefault="006972BA">
      <w:pPr>
        <w:pStyle w:val="FootnoteText"/>
      </w:pPr>
      <w:r>
        <w:rPr>
          <w:rStyle w:val="FootnoteReference"/>
        </w:rPr>
        <w:footnoteRef/>
      </w:r>
      <w:r>
        <w:t xml:space="preserve"> Mr Rob Whelan, Insurance Council of Australia, 12 April 2017, </w:t>
      </w:r>
      <w:r w:rsidRPr="002148D0">
        <w:rPr>
          <w:i/>
        </w:rPr>
        <w:t>Proof Committee Hansard</w:t>
      </w:r>
      <w:r>
        <w:t>, page 34, available:</w:t>
      </w:r>
      <w:r w:rsidRPr="00E135F6">
        <w:t xml:space="preserve"> </w:t>
      </w:r>
      <w:hyperlink r:id="rId17" w:history="1">
        <w:r w:rsidRPr="00015BE5">
          <w:rPr>
            <w:rStyle w:val="Hyperlink"/>
            <w:u w:val="single"/>
          </w:rPr>
          <w:t>http://parlinfo.aph.gov.au/parlInfo/download/committees/commsen/a4aef4a6-e49d-4206-88dd-35d94c46b738/toc_pdf/Economics%20References%20Committee_2017_04_12_4970_Official.pdf;fileType=application%2Fpdf</w:t>
        </w:r>
      </w:hyperlink>
    </w:p>
  </w:footnote>
  <w:footnote w:id="23">
    <w:p w14:paraId="68A8ACCF" w14:textId="77777777" w:rsidR="006972BA" w:rsidRDefault="006972BA">
      <w:pPr>
        <w:pStyle w:val="FootnoteText"/>
      </w:pPr>
      <w:r>
        <w:rPr>
          <w:rStyle w:val="FootnoteReference"/>
        </w:rPr>
        <w:footnoteRef/>
      </w:r>
      <w:r>
        <w:t xml:space="preserve"> Mr Anthony Justice, IAG, 12 April 2017, </w:t>
      </w:r>
      <w:r w:rsidRPr="002148D0">
        <w:rPr>
          <w:i/>
        </w:rPr>
        <w:t>Proof Committee Hansard</w:t>
      </w:r>
      <w:r>
        <w:t>, page 45, available:</w:t>
      </w:r>
      <w:r w:rsidRPr="00015BE5">
        <w:t xml:space="preserve"> </w:t>
      </w:r>
      <w:hyperlink r:id="rId18" w:history="1">
        <w:r w:rsidRPr="00015BE5">
          <w:rPr>
            <w:rStyle w:val="Hyperlink"/>
            <w:u w:val="single"/>
          </w:rPr>
          <w:t>http://parlinfo.aph.gov.au/parlInfo/download/committees/commsen/a4aef4a6-e49d-4206-88dd-35d94c46b738/toc_pdf/Economics%20References%20Committee_2017_04_12_4970_Official.pdf;fileType=application%2Fpdf</w:t>
        </w:r>
      </w:hyperlink>
      <w:r>
        <w:t xml:space="preserve"> </w:t>
      </w:r>
    </w:p>
  </w:footnote>
  <w:footnote w:id="24">
    <w:p w14:paraId="204215ED" w14:textId="77777777" w:rsidR="006972BA" w:rsidRDefault="006972BA" w:rsidP="00AB7E84">
      <w:pPr>
        <w:pStyle w:val="FootnoteText"/>
      </w:pPr>
      <w:r>
        <w:rPr>
          <w:rStyle w:val="FootnoteReference"/>
        </w:rPr>
        <w:footnoteRef/>
      </w:r>
      <w:r>
        <w:t xml:space="preserve"> Australian</w:t>
      </w:r>
      <w:r w:rsidRPr="0018084C">
        <w:t xml:space="preserve"> </w:t>
      </w:r>
      <w:r>
        <w:t xml:space="preserve">Competition and Consumer Commission, November 2018, </w:t>
      </w:r>
      <w:r w:rsidRPr="00BF49B5">
        <w:rPr>
          <w:i/>
        </w:rPr>
        <w:t>Northern Australia Insurance Inquiry: First interim report</w:t>
      </w:r>
      <w:r>
        <w:t>, page x</w:t>
      </w:r>
    </w:p>
  </w:footnote>
  <w:footnote w:id="25">
    <w:p w14:paraId="224FF7D2" w14:textId="538E8986" w:rsidR="006972BA" w:rsidRDefault="006972BA" w:rsidP="00AB7E84">
      <w:pPr>
        <w:pStyle w:val="FootnoteText"/>
      </w:pPr>
      <w:r>
        <w:rPr>
          <w:rStyle w:val="FootnoteReference"/>
        </w:rPr>
        <w:footnoteRef/>
      </w:r>
      <w:r>
        <w:t xml:space="preserve"> </w:t>
      </w:r>
      <w:r w:rsidR="00E0540E">
        <w:t>Ibid.</w:t>
      </w:r>
      <w:r>
        <w:t>, page xi</w:t>
      </w:r>
    </w:p>
  </w:footnote>
  <w:footnote w:id="26">
    <w:p w14:paraId="70E2FB25" w14:textId="77777777" w:rsidR="006972BA" w:rsidRDefault="006972BA" w:rsidP="00AB7E84">
      <w:pPr>
        <w:pStyle w:val="FootnoteText"/>
      </w:pPr>
      <w:r>
        <w:rPr>
          <w:rStyle w:val="FootnoteReference"/>
        </w:rPr>
        <w:footnoteRef/>
      </w:r>
      <w:r>
        <w:t xml:space="preserve"> Ibid., page 160</w:t>
      </w:r>
    </w:p>
  </w:footnote>
  <w:footnote w:id="27">
    <w:p w14:paraId="4EC99BB3" w14:textId="77777777" w:rsidR="006972BA" w:rsidRDefault="006972BA" w:rsidP="00AB7E84">
      <w:pPr>
        <w:pStyle w:val="FootnoteText"/>
      </w:pPr>
      <w:r>
        <w:rPr>
          <w:rStyle w:val="FootnoteReference"/>
        </w:rPr>
        <w:footnoteRef/>
      </w:r>
      <w:r>
        <w:t xml:space="preserve"> Ibid., page xi</w:t>
      </w:r>
    </w:p>
  </w:footnote>
  <w:footnote w:id="28">
    <w:p w14:paraId="29FA7916" w14:textId="77777777" w:rsidR="006972BA" w:rsidRDefault="006972BA">
      <w:pPr>
        <w:pStyle w:val="FootnoteText"/>
      </w:pPr>
      <w:r>
        <w:rPr>
          <w:rStyle w:val="FootnoteReference"/>
        </w:rPr>
        <w:footnoteRef/>
      </w:r>
      <w:r>
        <w:t xml:space="preserve"> CHOICE, February 2017, Submission by CHOICE</w:t>
      </w:r>
      <w:r w:rsidRPr="00AC4E9B">
        <w:t xml:space="preserve"> </w:t>
      </w:r>
      <w:r>
        <w:t xml:space="preserve">to </w:t>
      </w:r>
      <w:r>
        <w:rPr>
          <w:i/>
        </w:rPr>
        <w:t>Australia’s general insurance industry: sapping consumers of the will to compare</w:t>
      </w:r>
      <w:r>
        <w:t>, page 12, available:</w:t>
      </w:r>
      <w:r w:rsidRPr="00AC4E9B">
        <w:t xml:space="preserve"> </w:t>
      </w:r>
    </w:p>
    <w:p w14:paraId="09040C73" w14:textId="77777777" w:rsidR="006972BA" w:rsidRDefault="00176443">
      <w:pPr>
        <w:pStyle w:val="FootnoteText"/>
      </w:pPr>
      <w:hyperlink r:id="rId19" w:history="1">
        <w:r w:rsidR="006972BA" w:rsidRPr="00AC4E9B">
          <w:rPr>
            <w:rStyle w:val="Hyperlink"/>
            <w:u w:val="single"/>
          </w:rPr>
          <w:t>https://www.aph.gov.au/DocumentStore.ashx?id=ef44c758-3b90-455b-a7e9-d30cce644f5f&amp;subId=464165</w:t>
        </w:r>
      </w:hyperlink>
      <w:r w:rsidR="006972BA">
        <w:t xml:space="preserve"> </w:t>
      </w:r>
    </w:p>
  </w:footnote>
  <w:footnote w:id="29">
    <w:p w14:paraId="7B5E47E1" w14:textId="77777777" w:rsidR="006972BA" w:rsidRDefault="006972BA">
      <w:pPr>
        <w:pStyle w:val="FootnoteText"/>
      </w:pPr>
      <w:r>
        <w:rPr>
          <w:rStyle w:val="FootnoteReference"/>
        </w:rPr>
        <w:footnoteRef/>
      </w:r>
      <w:r>
        <w:t xml:space="preserve"> Australian Securities and Investments Commission, March 2017, Submission by the Australian Securities and Investments Commission to </w:t>
      </w:r>
      <w:r>
        <w:rPr>
          <w:i/>
        </w:rPr>
        <w:t>Australia’s general insurance industry: sapping consumers of the will to compare</w:t>
      </w:r>
      <w:r>
        <w:t xml:space="preserve">, page 27, available: </w:t>
      </w:r>
      <w:r>
        <w:br/>
      </w:r>
      <w:hyperlink r:id="rId20" w:history="1">
        <w:r w:rsidRPr="00750540">
          <w:rPr>
            <w:rStyle w:val="Hyperlink"/>
            <w:u w:val="single"/>
          </w:rPr>
          <w:t>https://www.aph.gov.au/DocumentStore.ashx?id=1dd49fea-5d2a-4b01-a90a-02ee1eca9ea3&amp;subId=509837</w:t>
        </w:r>
      </w:hyperlink>
    </w:p>
  </w:footnote>
  <w:footnote w:id="30">
    <w:p w14:paraId="6AF8741A" w14:textId="77777777" w:rsidR="006972BA" w:rsidRDefault="006972BA">
      <w:pPr>
        <w:pStyle w:val="FootnoteText"/>
      </w:pPr>
      <w:r>
        <w:rPr>
          <w:rStyle w:val="FootnoteReference"/>
        </w:rPr>
        <w:footnoteRef/>
      </w:r>
      <w:r>
        <w:t xml:space="preserve"> Financial Rights Legal Centre, February 2017, Submission by the Financial Rights Legal Centre to </w:t>
      </w:r>
      <w:r>
        <w:rPr>
          <w:i/>
        </w:rPr>
        <w:t>Australia’s general insurance industry: sapping consumers of the will to compare</w:t>
      </w:r>
      <w:r>
        <w:t xml:space="preserve">, page 17, available:  </w:t>
      </w:r>
      <w:hyperlink r:id="rId21" w:history="1">
        <w:r w:rsidRPr="00015BE5">
          <w:rPr>
            <w:rStyle w:val="Hyperlink"/>
            <w:u w:val="single"/>
          </w:rPr>
          <w:t>https://www.aph.gov.au/DocumentStore.ashx?id=89521621-7af7-44bb-9981-341d1bbf2715&amp;subId=463937</w:t>
        </w:r>
      </w:hyperlink>
      <w:r>
        <w:t xml:space="preserve"> </w:t>
      </w:r>
    </w:p>
  </w:footnote>
  <w:footnote w:id="31">
    <w:p w14:paraId="588B02E7" w14:textId="77777777" w:rsidR="006972BA" w:rsidRDefault="006972BA" w:rsidP="00A04A3F">
      <w:pPr>
        <w:pStyle w:val="FootnoteText"/>
      </w:pPr>
      <w:r>
        <w:rPr>
          <w:rStyle w:val="FootnoteReference"/>
        </w:rPr>
        <w:footnoteRef/>
      </w:r>
      <w:r>
        <w:t xml:space="preserve"> Financial Conduct Authority, October 2017, Firms falling short of renewal expectations, available:</w:t>
      </w:r>
    </w:p>
    <w:p w14:paraId="67FB42B0" w14:textId="77777777" w:rsidR="006972BA" w:rsidRDefault="00176443" w:rsidP="00A04A3F">
      <w:pPr>
        <w:pStyle w:val="FootnoteText"/>
      </w:pPr>
      <w:hyperlink r:id="rId22" w:history="1">
        <w:r w:rsidR="006972BA" w:rsidRPr="00F84A0C">
          <w:rPr>
            <w:rStyle w:val="Hyperlink"/>
            <w:u w:val="single"/>
          </w:rPr>
          <w:t>https://www.fca.org.uk/publications/multi-firm-reviews/firms-falling-short-renewal-expectations</w:t>
        </w:r>
      </w:hyperlink>
    </w:p>
  </w:footnote>
  <w:footnote w:id="32">
    <w:p w14:paraId="2D3A53EC" w14:textId="77777777" w:rsidR="006972BA" w:rsidRDefault="006972BA">
      <w:pPr>
        <w:pStyle w:val="FootnoteText"/>
      </w:pPr>
      <w:r>
        <w:rPr>
          <w:rStyle w:val="FootnoteReference"/>
        </w:rPr>
        <w:footnoteRef/>
      </w:r>
      <w:r>
        <w:t xml:space="preserve"> </w:t>
      </w:r>
      <w:r w:rsidRPr="00660750">
        <w:rPr>
          <w:i/>
        </w:rPr>
        <w:t>Insurance Contracts Act 1984</w:t>
      </w:r>
      <w:r>
        <w:rPr>
          <w:i/>
        </w:rPr>
        <w:t xml:space="preserve"> </w:t>
      </w:r>
      <w:r>
        <w:t>(C</w:t>
      </w:r>
      <w:r w:rsidRPr="009D504C">
        <w:t>th)</w:t>
      </w:r>
      <w:r>
        <w:t>, section 35(2), available:</w:t>
      </w:r>
      <w:r w:rsidRPr="00660750">
        <w:t xml:space="preserve"> </w:t>
      </w:r>
      <w:hyperlink r:id="rId23" w:history="1">
        <w:r w:rsidRPr="00660750">
          <w:rPr>
            <w:rStyle w:val="Hyperlink"/>
            <w:u w:val="single"/>
          </w:rPr>
          <w:t>https://www.legislation.gov.au/Details/C2016C00820</w:t>
        </w:r>
      </w:hyperlink>
      <w:r>
        <w:t xml:space="preserve"> </w:t>
      </w:r>
    </w:p>
  </w:footnote>
  <w:footnote w:id="33">
    <w:p w14:paraId="31B2537C" w14:textId="02537B10" w:rsidR="006972BA" w:rsidRDefault="006972BA" w:rsidP="003E790F">
      <w:pPr>
        <w:pStyle w:val="FootnoteText"/>
      </w:pPr>
      <w:r>
        <w:rPr>
          <w:rStyle w:val="FootnoteReference"/>
        </w:rPr>
        <w:footnoteRef/>
      </w:r>
      <w:r>
        <w:t xml:space="preserve"> </w:t>
      </w:r>
      <w:r w:rsidRPr="00E02719">
        <w:rPr>
          <w:i/>
        </w:rPr>
        <w:t>Suncorp General Insurance Ltd</w:t>
      </w:r>
      <w:r>
        <w:t xml:space="preserve"> v </w:t>
      </w:r>
      <w:r w:rsidRPr="00E02719">
        <w:rPr>
          <w:i/>
        </w:rPr>
        <w:t xml:space="preserve">Cheihk </w:t>
      </w:r>
      <w:r>
        <w:t xml:space="preserve">(1999) 10 ANZ </w:t>
      </w:r>
      <w:proofErr w:type="gramStart"/>
      <w:r>
        <w:t>Ins</w:t>
      </w:r>
      <w:proofErr w:type="gramEnd"/>
      <w:r>
        <w:t xml:space="preserve"> Cas 61 – 444, NSW Court of Appeal.</w:t>
      </w:r>
    </w:p>
  </w:footnote>
  <w:footnote w:id="34">
    <w:p w14:paraId="21399237" w14:textId="77777777" w:rsidR="006972BA" w:rsidRDefault="006972BA" w:rsidP="003E790F">
      <w:pPr>
        <w:pStyle w:val="FootnoteText"/>
      </w:pPr>
      <w:r>
        <w:rPr>
          <w:rStyle w:val="FootnoteReference"/>
        </w:rPr>
        <w:footnoteRef/>
      </w:r>
      <w:r>
        <w:t xml:space="preserve"> Insurance Council of Australia’s </w:t>
      </w:r>
      <w:r>
        <w:rPr>
          <w:lang w:val="en"/>
        </w:rPr>
        <w:t xml:space="preserve">Effective Disclosure Taskforce, </w:t>
      </w:r>
      <w:r>
        <w:rPr>
          <w:rStyle w:val="Emphasis"/>
          <w:lang w:val="en"/>
        </w:rPr>
        <w:t>Too Long; Didn’t Read: Enhancing General Insurance Disclosure</w:t>
      </w:r>
      <w:r>
        <w:rPr>
          <w:lang w:val="en"/>
        </w:rPr>
        <w:t>, October 2015, pp. 17–20.</w:t>
      </w:r>
    </w:p>
  </w:footnote>
  <w:footnote w:id="35">
    <w:p w14:paraId="38AB1D79" w14:textId="77777777" w:rsidR="006972BA" w:rsidRDefault="006972BA">
      <w:pPr>
        <w:pStyle w:val="FootnoteText"/>
      </w:pPr>
      <w:r>
        <w:rPr>
          <w:rStyle w:val="FootnoteReference"/>
        </w:rPr>
        <w:footnoteRef/>
      </w:r>
      <w:r>
        <w:t xml:space="preserve"> Consumer Action Law Centre, February 2017, Submission by the Consumer Action Law Centre to </w:t>
      </w:r>
      <w:r>
        <w:rPr>
          <w:i/>
        </w:rPr>
        <w:t>Australia’s general insurance industry: sapping consumers of the will to compare</w:t>
      </w:r>
      <w:r>
        <w:t xml:space="preserve">, page 8-9, available:  </w:t>
      </w:r>
      <w:hyperlink r:id="rId24" w:history="1">
        <w:r w:rsidRPr="00654FB2">
          <w:rPr>
            <w:rStyle w:val="Hyperlink"/>
            <w:u w:val="single"/>
          </w:rPr>
          <w:t>https://www.aph.gov.au/DocumentStore.ashx?id=9bc19f14-af86-41ed-a262-19f77a3e4f06&amp;subId=463892</w:t>
        </w:r>
      </w:hyperlink>
      <w:r>
        <w:t xml:space="preserve"> </w:t>
      </w:r>
    </w:p>
  </w:footnote>
  <w:footnote w:id="36">
    <w:p w14:paraId="17968E77" w14:textId="77777777" w:rsidR="006972BA" w:rsidRDefault="006972BA">
      <w:pPr>
        <w:pStyle w:val="FootnoteText"/>
      </w:pPr>
      <w:r>
        <w:rPr>
          <w:rStyle w:val="FootnoteReference"/>
        </w:rPr>
        <w:footnoteRef/>
      </w:r>
      <w:r>
        <w:t xml:space="preserve"> National Insurance Brokers Association, February 2017, Submission by the National Insurance Brokers Association to </w:t>
      </w:r>
      <w:r>
        <w:rPr>
          <w:i/>
        </w:rPr>
        <w:t>Australia’s general insurance industry: sapping consumers of the will to compare</w:t>
      </w:r>
      <w:r>
        <w:t>, page 8, available:</w:t>
      </w:r>
      <w:r w:rsidRPr="00654FB2">
        <w:t xml:space="preserve"> </w:t>
      </w:r>
      <w:hyperlink r:id="rId25" w:history="1">
        <w:r w:rsidRPr="00654FB2">
          <w:rPr>
            <w:rStyle w:val="Hyperlink"/>
            <w:u w:val="single"/>
          </w:rPr>
          <w:t>https://www.aph.gov.au/DocumentStore.ashx?id=f042c6ba-7e8a-4520-98bf-51e88b5091a5&amp;subId=463585</w:t>
        </w:r>
      </w:hyperlink>
      <w:r>
        <w:t xml:space="preserve">   </w:t>
      </w:r>
    </w:p>
  </w:footnote>
  <w:footnote w:id="37">
    <w:p w14:paraId="05E4271A" w14:textId="77777777" w:rsidR="006972BA" w:rsidRDefault="006972BA" w:rsidP="00B160B4">
      <w:pPr>
        <w:autoSpaceDE w:val="0"/>
        <w:autoSpaceDN w:val="0"/>
        <w:adjustRightInd w:val="0"/>
        <w:spacing w:before="0" w:after="0"/>
      </w:pPr>
      <w:r>
        <w:rPr>
          <w:rStyle w:val="FootnoteReference"/>
        </w:rPr>
        <w:footnoteRef/>
      </w:r>
      <w:r>
        <w:t xml:space="preserve"> </w:t>
      </w:r>
      <w:r w:rsidRPr="004E7F51">
        <w:rPr>
          <w:sz w:val="20"/>
        </w:rPr>
        <w:t xml:space="preserve">Mr Dallas Booth, National Insurance Brokers Association of Australia, 12 April 2017, </w:t>
      </w:r>
      <w:r w:rsidRPr="004E7F51">
        <w:rPr>
          <w:i/>
          <w:sz w:val="20"/>
        </w:rPr>
        <w:t>Proof Committee Hansard</w:t>
      </w:r>
      <w:r w:rsidRPr="004E7F51">
        <w:rPr>
          <w:sz w:val="20"/>
        </w:rPr>
        <w:t xml:space="preserve">, page 13-14, available: </w:t>
      </w:r>
      <w:hyperlink r:id="rId26" w:history="1">
        <w:r w:rsidRPr="002148D0">
          <w:rPr>
            <w:rStyle w:val="Hyperlink"/>
            <w:sz w:val="20"/>
            <w:u w:val="single"/>
          </w:rPr>
          <w:t>http://parlinfo.aph.gov.au/parlInfo/download/committees/commsen/a4aef4a6-e49d-4206-88dd-35d94c46b738/toc_pdf/Economics%20References%20Committee_2017_04_12_4970_Official.pdf;fileType=application%2Fpdf</w:t>
        </w:r>
      </w:hyperlink>
    </w:p>
  </w:footnote>
  <w:footnote w:id="38">
    <w:p w14:paraId="1CBCC8F2" w14:textId="77777777" w:rsidR="006972BA" w:rsidRDefault="006972BA" w:rsidP="003B017B">
      <w:pPr>
        <w:pStyle w:val="FootnoteText"/>
      </w:pPr>
      <w:r w:rsidRPr="00CB3444">
        <w:rPr>
          <w:rStyle w:val="FootnoteReference"/>
        </w:rPr>
        <w:footnoteRef/>
      </w:r>
      <w:r w:rsidRPr="00CB3444">
        <w:rPr>
          <w:rStyle w:val="FootnoteReference"/>
        </w:rPr>
        <w:t xml:space="preserve"> </w:t>
      </w:r>
      <w:r w:rsidRPr="00AB1337">
        <w:t xml:space="preserve">Commonwealth of Australia, April 2011, </w:t>
      </w:r>
      <w:r w:rsidRPr="00AB1337">
        <w:rPr>
          <w:i/>
        </w:rPr>
        <w:t>Reforming flood insurance: Clearing the Waters</w:t>
      </w:r>
      <w:r>
        <w:t>, page 5</w:t>
      </w:r>
      <w:r w:rsidRPr="00AB1337">
        <w:t xml:space="preserve">, available: </w:t>
      </w:r>
      <w:hyperlink r:id="rId27" w:history="1">
        <w:r w:rsidRPr="00914497">
          <w:rPr>
            <w:rStyle w:val="Hyperlink"/>
            <w:u w:val="single"/>
          </w:rPr>
          <w:t>http://archive.treasury.gov.au/documents/1995/PDF/clearing_the_waters_april2011.pdf</w:t>
        </w:r>
      </w:hyperlink>
    </w:p>
  </w:footnote>
  <w:footnote w:id="39">
    <w:p w14:paraId="11759DBF" w14:textId="77777777" w:rsidR="006972BA" w:rsidRPr="00AB1337" w:rsidRDefault="006972BA" w:rsidP="003B017B">
      <w:pPr>
        <w:pStyle w:val="FootnoteText"/>
      </w:pPr>
      <w:r w:rsidRPr="00AB1337">
        <w:rPr>
          <w:rStyle w:val="FootnoteReference"/>
        </w:rPr>
        <w:footnoteRef/>
      </w:r>
      <w:r>
        <w:t xml:space="preserve"> </w:t>
      </w:r>
      <w:r w:rsidRPr="00AB1337">
        <w:rPr>
          <w:i/>
        </w:rPr>
        <w:t>Insurance Contracts Amendment Act 2012</w:t>
      </w:r>
      <w:r w:rsidRPr="00AB1337">
        <w:t xml:space="preserve"> (Cth), available: </w:t>
      </w:r>
      <w:hyperlink r:id="rId28" w:history="1">
        <w:r w:rsidRPr="00914497">
          <w:rPr>
            <w:rStyle w:val="Hyperlink"/>
            <w:u w:val="single"/>
          </w:rPr>
          <w:t>https://www.legislation.gov.au/Details/C2012A00041</w:t>
        </w:r>
      </w:hyperlink>
    </w:p>
  </w:footnote>
  <w:footnote w:id="40">
    <w:p w14:paraId="683153D8" w14:textId="77777777" w:rsidR="006972BA" w:rsidRPr="00FE715A" w:rsidRDefault="006972BA" w:rsidP="00FE715A">
      <w:pPr>
        <w:autoSpaceDE w:val="0"/>
        <w:autoSpaceDN w:val="0"/>
        <w:adjustRightInd w:val="0"/>
        <w:spacing w:before="0" w:after="0"/>
        <w:rPr>
          <w:rFonts w:ascii="Times New Roman" w:eastAsiaTheme="minorHAnsi" w:hAnsi="Times New Roman"/>
          <w:szCs w:val="22"/>
          <w:lang w:eastAsia="en-US"/>
        </w:rPr>
      </w:pPr>
      <w:r>
        <w:rPr>
          <w:rStyle w:val="FootnoteReference"/>
        </w:rPr>
        <w:footnoteRef/>
      </w:r>
      <w:r>
        <w:t xml:space="preserve"> </w:t>
      </w:r>
      <w:r w:rsidRPr="00FE715A">
        <w:rPr>
          <w:sz w:val="20"/>
        </w:rPr>
        <w:t>Mr Rob Whelan, Insurance Council of Australia, 12 April 2017</w:t>
      </w:r>
      <w:r>
        <w:rPr>
          <w:sz w:val="20"/>
        </w:rPr>
        <w:t>,</w:t>
      </w:r>
      <w:r w:rsidRPr="00FE715A">
        <w:rPr>
          <w:sz w:val="20"/>
        </w:rPr>
        <w:t xml:space="preserve"> </w:t>
      </w:r>
      <w:r w:rsidRPr="00FE715A">
        <w:rPr>
          <w:i/>
          <w:sz w:val="20"/>
        </w:rPr>
        <w:t>Proof Committee Hansard</w:t>
      </w:r>
      <w:r w:rsidRPr="00FE715A">
        <w:rPr>
          <w:sz w:val="20"/>
        </w:rPr>
        <w:t xml:space="preserve">, </w:t>
      </w:r>
      <w:r>
        <w:rPr>
          <w:sz w:val="20"/>
        </w:rPr>
        <w:t>page 34, available:</w:t>
      </w:r>
      <w:r w:rsidRPr="00FE715A">
        <w:t xml:space="preserve"> </w:t>
      </w:r>
      <w:hyperlink r:id="rId29" w:history="1">
        <w:r w:rsidRPr="00FE715A">
          <w:rPr>
            <w:rStyle w:val="Hyperlink"/>
            <w:sz w:val="20"/>
            <w:u w:val="single"/>
          </w:rPr>
          <w:t>http://parlinfo.aph.gov.au/parlInfo/download/committees/commsen/a4aef4a6-e49d-4206-88dd-35d94c46b738/toc_pdf/Economics%20References%20Committee_2017_04_12_4970_Official.pdf;fileType=application%2Fpdf</w:t>
        </w:r>
      </w:hyperlink>
      <w:r>
        <w:rPr>
          <w:sz w:val="20"/>
        </w:rPr>
        <w:t xml:space="preserve"> </w:t>
      </w:r>
    </w:p>
  </w:footnote>
  <w:footnote w:id="41">
    <w:p w14:paraId="476A6CCB" w14:textId="77777777" w:rsidR="006972BA" w:rsidRDefault="006972BA">
      <w:pPr>
        <w:pStyle w:val="FootnoteText"/>
      </w:pPr>
      <w:r>
        <w:rPr>
          <w:rStyle w:val="FootnoteReference"/>
        </w:rPr>
        <w:footnoteRef/>
      </w:r>
      <w:r>
        <w:t xml:space="preserve"> Insurance Council of Australia, October 2015, </w:t>
      </w:r>
      <w:r>
        <w:rPr>
          <w:i/>
        </w:rPr>
        <w:t>Too Long Didn’t Read: Enhancing General Insurance Disclosure</w:t>
      </w:r>
      <w:r w:rsidRPr="00912FE7">
        <w:t>,</w:t>
      </w:r>
      <w:r>
        <w:t xml:space="preserve"> page 53,</w:t>
      </w:r>
      <w:r w:rsidRPr="00912FE7">
        <w:t xml:space="preserve"> </w:t>
      </w:r>
      <w:r>
        <w:t xml:space="preserve">available: </w:t>
      </w:r>
      <w:hyperlink r:id="rId30" w:history="1">
        <w:r w:rsidRPr="00912FE7">
          <w:rPr>
            <w:rStyle w:val="Hyperlink"/>
            <w:u w:val="single"/>
          </w:rPr>
          <w:t>http://www.insurancecouncil.com.au/assets/Effective%20Disclosure%20Report.pdf</w:t>
        </w:r>
      </w:hyperlink>
    </w:p>
  </w:footnote>
  <w:footnote w:id="42">
    <w:p w14:paraId="58DC9417" w14:textId="77777777" w:rsidR="006972BA" w:rsidRDefault="006972BA" w:rsidP="007D31C1">
      <w:pPr>
        <w:pStyle w:val="FootnoteText"/>
      </w:pPr>
      <w:r>
        <w:rPr>
          <w:rStyle w:val="FootnoteReference"/>
        </w:rPr>
        <w:footnoteRef/>
      </w:r>
      <w:r>
        <w:t xml:space="preserve"> Insurance Council of Australia, February 2017, </w:t>
      </w:r>
      <w:r w:rsidRPr="001330B0">
        <w:rPr>
          <w:i/>
        </w:rPr>
        <w:t>Consumer Research on General Insurance Product Disclosures: Research findings report</w:t>
      </w:r>
      <w:r>
        <w:t xml:space="preserve">, page 18, available: </w:t>
      </w:r>
      <w:hyperlink r:id="rId31" w:history="1">
        <w:r w:rsidRPr="001330B0">
          <w:rPr>
            <w:rStyle w:val="Hyperlink"/>
            <w:u w:val="single"/>
          </w:rPr>
          <w:t>http://www.insurancecouncil.com.au/assets/report/2017_02_Effective%20Disclosure%20Research%20Report.pdf</w:t>
        </w:r>
      </w:hyperlink>
    </w:p>
  </w:footnote>
  <w:footnote w:id="43">
    <w:p w14:paraId="212A2939" w14:textId="77777777" w:rsidR="006972BA" w:rsidRPr="00312B41" w:rsidRDefault="006972BA" w:rsidP="00D12FDA">
      <w:pPr>
        <w:pStyle w:val="FootnoteText"/>
      </w:pPr>
      <w:r w:rsidRPr="00312B41">
        <w:rPr>
          <w:rStyle w:val="FootnoteReference"/>
        </w:rPr>
        <w:footnoteRef/>
      </w:r>
      <w:r w:rsidRPr="00312B41">
        <w:t xml:space="preserve"> </w:t>
      </w:r>
      <w:proofErr w:type="gramStart"/>
      <w:r>
        <w:t>Ibid.,</w:t>
      </w:r>
      <w:proofErr w:type="gramEnd"/>
      <w:r>
        <w:t xml:space="preserve"> Annex 2 page 22.</w:t>
      </w:r>
    </w:p>
  </w:footnote>
  <w:footnote w:id="44">
    <w:p w14:paraId="697C34A4" w14:textId="77777777" w:rsidR="006972BA" w:rsidRPr="00312B41" w:rsidRDefault="006972BA" w:rsidP="007652E6">
      <w:pPr>
        <w:pStyle w:val="FootnoteText"/>
      </w:pPr>
      <w:r>
        <w:rPr>
          <w:rStyle w:val="FootnoteReference"/>
        </w:rPr>
        <w:footnoteRef/>
      </w:r>
      <w:r>
        <w:t xml:space="preserve"> </w:t>
      </w:r>
      <w:proofErr w:type="gramStart"/>
      <w:r>
        <w:t>Ibid.,</w:t>
      </w:r>
      <w:proofErr w:type="gramEnd"/>
      <w:r>
        <w:t xml:space="preserve"> Annex 2 page 27.</w:t>
      </w:r>
    </w:p>
  </w:footnote>
  <w:footnote w:id="45">
    <w:p w14:paraId="5CFC559D" w14:textId="77777777" w:rsidR="006972BA" w:rsidRPr="00312B41" w:rsidRDefault="006972BA" w:rsidP="007652E6">
      <w:pPr>
        <w:pStyle w:val="FootnoteText"/>
      </w:pPr>
      <w:r w:rsidRPr="00312B41">
        <w:rPr>
          <w:rStyle w:val="FootnoteReference"/>
        </w:rPr>
        <w:footnoteRef/>
      </w:r>
      <w:r w:rsidRPr="00312B41">
        <w:t xml:space="preserve"> </w:t>
      </w:r>
      <w:r>
        <w:t>Ibid.</w:t>
      </w:r>
    </w:p>
  </w:footnote>
  <w:footnote w:id="46">
    <w:p w14:paraId="576D404D" w14:textId="77777777" w:rsidR="006972BA" w:rsidRPr="00312B41" w:rsidRDefault="006972BA">
      <w:pPr>
        <w:pStyle w:val="FootnoteText"/>
      </w:pPr>
      <w:r w:rsidRPr="00312B41">
        <w:rPr>
          <w:rStyle w:val="FootnoteReference"/>
        </w:rPr>
        <w:footnoteRef/>
      </w:r>
      <w:r w:rsidRPr="00312B41">
        <w:t xml:space="preserve"> </w:t>
      </w:r>
      <w:r>
        <w:t xml:space="preserve">Insurance Council of Australia, October 2015, </w:t>
      </w:r>
      <w:r>
        <w:rPr>
          <w:i/>
        </w:rPr>
        <w:t>Too Long Didn’t Read: Enhancing General Insurance Disclosure</w:t>
      </w:r>
      <w:r>
        <w:t xml:space="preserve">, page 49, available: </w:t>
      </w:r>
      <w:hyperlink r:id="rId32" w:history="1">
        <w:r w:rsidRPr="00912FE7">
          <w:rPr>
            <w:rStyle w:val="Hyperlink"/>
            <w:u w:val="single"/>
          </w:rPr>
          <w:t>http://www.insurancecouncil.com.au/assets/Effective%20Disclosure%20Report.pdf</w:t>
        </w:r>
      </w:hyperlink>
    </w:p>
  </w:footnote>
  <w:footnote w:id="47">
    <w:p w14:paraId="1548A2C4" w14:textId="77777777" w:rsidR="006972BA" w:rsidRDefault="006972BA">
      <w:pPr>
        <w:pStyle w:val="FootnoteText"/>
      </w:pPr>
      <w:r>
        <w:rPr>
          <w:rStyle w:val="FootnoteReference"/>
        </w:rPr>
        <w:footnoteRef/>
      </w:r>
      <w:r>
        <w:t xml:space="preserve"> Insurance Council of Australia, February 2017, </w:t>
      </w:r>
      <w:r w:rsidRPr="001330B0">
        <w:rPr>
          <w:i/>
        </w:rPr>
        <w:t>Consumer Research on General Insurance Product Disclosures: Research findings report</w:t>
      </w:r>
      <w:r>
        <w:t>, Annex 2 page 41, available:</w:t>
      </w:r>
      <w:r w:rsidRPr="00E7517A">
        <w:rPr>
          <w:u w:val="single"/>
        </w:rPr>
        <w:t xml:space="preserve"> </w:t>
      </w:r>
      <w:hyperlink r:id="rId33" w:history="1">
        <w:r w:rsidRPr="001330B0">
          <w:rPr>
            <w:rStyle w:val="Hyperlink"/>
            <w:u w:val="single"/>
          </w:rPr>
          <w:t>http://www.insurancecouncil.com.au/assets/report/2017_02_Effective%20Disclosure%20Research%20Report.pdf</w:t>
        </w:r>
      </w:hyperlink>
    </w:p>
  </w:footnote>
  <w:footnote w:id="48">
    <w:p w14:paraId="1E98F60C" w14:textId="77777777" w:rsidR="006972BA" w:rsidRDefault="006972BA">
      <w:pPr>
        <w:pStyle w:val="FootnoteText"/>
      </w:pPr>
      <w:r>
        <w:rPr>
          <w:rStyle w:val="FootnoteReference"/>
        </w:rPr>
        <w:footnoteRef/>
      </w:r>
      <w:r>
        <w:t xml:space="preserve"> </w:t>
      </w:r>
      <w:r w:rsidRPr="006461D9">
        <w:t>J</w:t>
      </w:r>
      <w:r>
        <w:t>.</w:t>
      </w:r>
      <w:r w:rsidRPr="006461D9">
        <w:t xml:space="preserve"> Malbon and H</w:t>
      </w:r>
      <w:r>
        <w:t>.</w:t>
      </w:r>
      <w:r w:rsidRPr="006461D9">
        <w:t xml:space="preserve"> Oppewal</w:t>
      </w:r>
      <w:r>
        <w:t xml:space="preserve">, 2018 (Monash University, Melbourne), </w:t>
      </w:r>
      <w:r w:rsidRPr="006461D9">
        <w:rPr>
          <w:i/>
        </w:rPr>
        <w:t xml:space="preserve">(In)effective </w:t>
      </w:r>
      <w:r>
        <w:rPr>
          <w:i/>
        </w:rPr>
        <w:t>d</w:t>
      </w:r>
      <w:r w:rsidRPr="006461D9">
        <w:rPr>
          <w:i/>
        </w:rPr>
        <w:t>isclosure: A</w:t>
      </w:r>
      <w:r>
        <w:rPr>
          <w:i/>
        </w:rPr>
        <w:t>n</w:t>
      </w:r>
      <w:r w:rsidRPr="006461D9">
        <w:rPr>
          <w:i/>
        </w:rPr>
        <w:t xml:space="preserve"> </w:t>
      </w:r>
      <w:r>
        <w:rPr>
          <w:i/>
        </w:rPr>
        <w:t xml:space="preserve">experimental </w:t>
      </w:r>
      <w:r w:rsidRPr="006461D9">
        <w:rPr>
          <w:i/>
        </w:rPr>
        <w:t>study of consumers purchasing ho</w:t>
      </w:r>
      <w:r>
        <w:rPr>
          <w:i/>
        </w:rPr>
        <w:t>me</w:t>
      </w:r>
      <w:r w:rsidRPr="006461D9">
        <w:rPr>
          <w:i/>
        </w:rPr>
        <w:t xml:space="preserve"> contents insurance</w:t>
      </w:r>
      <w:r>
        <w:t xml:space="preserve">, research report of a study commissioned by the Financial Rights Legal Centre, available: </w:t>
      </w:r>
      <w:hyperlink r:id="rId34" w:history="1">
        <w:r w:rsidRPr="00BD5C23">
          <w:rPr>
            <w:rStyle w:val="Hyperlink"/>
            <w:u w:val="single"/>
          </w:rPr>
          <w:t>https://australiancentre.com.au/publication/ineffectivedisclosure</w:t>
        </w:r>
      </w:hyperlink>
      <w:r>
        <w:t>.</w:t>
      </w:r>
      <w:r w:rsidRPr="006461D9">
        <w:rPr>
          <w:i/>
        </w:rPr>
        <w:t xml:space="preserve"> </w:t>
      </w:r>
    </w:p>
  </w:footnote>
  <w:footnote w:id="49">
    <w:p w14:paraId="6D23F0B7" w14:textId="77777777" w:rsidR="006972BA" w:rsidRDefault="006972BA">
      <w:pPr>
        <w:pStyle w:val="FootnoteText"/>
      </w:pPr>
      <w:r>
        <w:rPr>
          <w:rStyle w:val="FootnoteReference"/>
        </w:rPr>
        <w:footnoteRef/>
      </w:r>
      <w:r>
        <w:t xml:space="preserve"> Insurance Council of Australia, February 2017, Submission by the Insurance Council of Australia to </w:t>
      </w:r>
      <w:r>
        <w:rPr>
          <w:i/>
        </w:rPr>
        <w:t>Australia’s general insurance industry: sapping consumers of the will to compare</w:t>
      </w:r>
      <w:r>
        <w:t>, page 21, available:</w:t>
      </w:r>
      <w:r w:rsidRPr="00C823DF">
        <w:t xml:space="preserve"> </w:t>
      </w:r>
      <w:hyperlink r:id="rId35" w:history="1">
        <w:r w:rsidRPr="00C823DF">
          <w:rPr>
            <w:rStyle w:val="Hyperlink"/>
            <w:u w:val="single"/>
          </w:rPr>
          <w:t>https://www.aph.gov.au/DocumentStore.ashx?id=3747d3b4-e265-42e8-861c-87be3fdc706b&amp;subId=463939</w:t>
        </w:r>
      </w:hyperlink>
      <w:r>
        <w:t xml:space="preserve"> </w:t>
      </w:r>
    </w:p>
  </w:footnote>
  <w:footnote w:id="50">
    <w:p w14:paraId="16D68BD4" w14:textId="77777777" w:rsidR="006972BA" w:rsidRDefault="006972BA">
      <w:pPr>
        <w:pStyle w:val="FootnoteText"/>
      </w:pPr>
      <w:r>
        <w:rPr>
          <w:rStyle w:val="FootnoteReference"/>
        </w:rPr>
        <w:footnoteRef/>
      </w:r>
      <w:r>
        <w:t xml:space="preserve"> </w:t>
      </w:r>
      <w:r w:rsidRPr="00FE715A">
        <w:t xml:space="preserve">Mr </w:t>
      </w:r>
      <w:r>
        <w:t>Dallas Booth</w:t>
      </w:r>
      <w:r w:rsidRPr="00FE715A">
        <w:t xml:space="preserve">, </w:t>
      </w:r>
      <w:r>
        <w:t>National Insurance Brokers Association</w:t>
      </w:r>
      <w:r w:rsidRPr="00FE715A">
        <w:t>, 12 April 2017</w:t>
      </w:r>
      <w:r>
        <w:t>,</w:t>
      </w:r>
      <w:r w:rsidRPr="00FE715A">
        <w:t xml:space="preserve"> </w:t>
      </w:r>
      <w:r w:rsidRPr="00FE715A">
        <w:rPr>
          <w:i/>
        </w:rPr>
        <w:t>Proof Committee Hansard</w:t>
      </w:r>
      <w:r w:rsidRPr="00FE715A">
        <w:t xml:space="preserve">, </w:t>
      </w:r>
      <w:r>
        <w:t>page 10, available:</w:t>
      </w:r>
      <w:r w:rsidRPr="00FE715A">
        <w:t xml:space="preserve"> </w:t>
      </w:r>
      <w:hyperlink r:id="rId36" w:history="1">
        <w:r w:rsidRPr="00FE715A">
          <w:rPr>
            <w:rStyle w:val="Hyperlink"/>
            <w:u w:val="single"/>
          </w:rPr>
          <w:t>http://parlinfo.aph.gov.au/parlInfo/download/committees/commsen/a4aef4a6-e49d-4206-88dd-35d94c46b738/toc_pdf/Economics%20References%20Committee_2017_04_12_4970_Official.pdf;fileType=application%2Fpdf</w:t>
        </w:r>
      </w:hyperlink>
    </w:p>
  </w:footnote>
  <w:footnote w:id="51">
    <w:p w14:paraId="3FBEF458" w14:textId="77777777" w:rsidR="006972BA" w:rsidRDefault="006972BA">
      <w:pPr>
        <w:pStyle w:val="FootnoteText"/>
      </w:pPr>
      <w:r>
        <w:rPr>
          <w:rStyle w:val="FootnoteReference"/>
        </w:rPr>
        <w:footnoteRef/>
      </w:r>
      <w:r>
        <w:t xml:space="preserve"> Ibid.</w:t>
      </w:r>
    </w:p>
  </w:footnote>
  <w:footnote w:id="52">
    <w:p w14:paraId="1BB0B3E1" w14:textId="77777777" w:rsidR="006972BA" w:rsidRDefault="006972BA">
      <w:pPr>
        <w:pStyle w:val="FootnoteText"/>
      </w:pPr>
      <w:r>
        <w:rPr>
          <w:rStyle w:val="FootnoteReference"/>
        </w:rPr>
        <w:footnoteRef/>
      </w:r>
      <w:r>
        <w:t xml:space="preserve"> Ms</w:t>
      </w:r>
      <w:r w:rsidRPr="00FE715A">
        <w:t xml:space="preserve"> </w:t>
      </w:r>
      <w:r>
        <w:t>Alexandra Kelly</w:t>
      </w:r>
      <w:r w:rsidRPr="00FE715A">
        <w:t xml:space="preserve">, </w:t>
      </w:r>
      <w:r>
        <w:t>Financial Rights Legal Centre</w:t>
      </w:r>
      <w:r w:rsidRPr="00FE715A">
        <w:t>, 12 April 2017</w:t>
      </w:r>
      <w:r>
        <w:t>,</w:t>
      </w:r>
      <w:r w:rsidRPr="00FE715A">
        <w:t xml:space="preserve"> </w:t>
      </w:r>
      <w:r w:rsidRPr="00FE715A">
        <w:rPr>
          <w:i/>
        </w:rPr>
        <w:t>Proof Committee Hansard</w:t>
      </w:r>
      <w:r w:rsidRPr="00FE715A">
        <w:t xml:space="preserve">, </w:t>
      </w:r>
      <w:r>
        <w:t>page 17, available:</w:t>
      </w:r>
      <w:r w:rsidRPr="00730762">
        <w:t xml:space="preserve"> </w:t>
      </w:r>
      <w:hyperlink r:id="rId37" w:history="1">
        <w:r w:rsidRPr="00FE715A">
          <w:rPr>
            <w:rStyle w:val="Hyperlink"/>
            <w:u w:val="single"/>
          </w:rPr>
          <w:t>http://parlinfo.aph.gov.au/parlInfo/download/committees/commsen/a4aef4a6-e49d-4206-88dd-35d94c46b738/toc_pdf/Economics%20References%20Committee_2017_04_12_4970_Official.pdf;fileType=application%2Fpdf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1CA5B" w14:textId="77777777" w:rsidR="00F64F6B" w:rsidRDefault="00F64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F609" w14:textId="77777777" w:rsidR="006972BA" w:rsidRDefault="006972BA">
    <w:pPr>
      <w:pStyle w:val="Header"/>
    </w:pPr>
    <w:r>
      <w:rPr>
        <w:noProof/>
      </w:rPr>
      <w:drawing>
        <wp:anchor distT="0" distB="0" distL="114300" distR="114300" simplePos="0" relativeHeight="251658240" behindDoc="1" locked="0" layoutInCell="1" allowOverlap="1" wp14:anchorId="5FD079B8" wp14:editId="5BDA6760">
          <wp:simplePos x="0" y="0"/>
          <wp:positionH relativeFrom="page">
            <wp:align>center</wp:align>
          </wp:positionH>
          <wp:positionV relativeFrom="page">
            <wp:posOffset>180340</wp:posOffset>
          </wp:positionV>
          <wp:extent cx="7199640" cy="1079640"/>
          <wp:effectExtent l="0" t="0" r="127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4385D" w14:textId="77777777" w:rsidR="00F64F6B" w:rsidRDefault="00F64F6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126C" w14:textId="77777777" w:rsidR="006972BA" w:rsidRPr="001F3912" w:rsidRDefault="006972BA"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25E31" w14:textId="77777777" w:rsidR="006972BA" w:rsidRPr="001F3912" w:rsidRDefault="006972BA"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DC6D2" w14:textId="77777777" w:rsidR="006972BA" w:rsidRPr="001F3912" w:rsidRDefault="006972BA"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CA97" w14:textId="141998B3" w:rsidR="006972BA" w:rsidRPr="001F3912" w:rsidRDefault="001E3ED0" w:rsidP="001606CF">
    <w:pPr>
      <w:pStyle w:val="Header"/>
    </w:pPr>
    <w:fldSimple w:instr=" STYLEREF  Title  \* MERGEFORMAT ">
      <w:r w:rsidR="00F64F6B">
        <w:rPr>
          <w:noProof/>
        </w:rPr>
        <w:t>DISCLOSURE IN GENERAL INSURANCE: IMPROVING CONSUMER UNDERSTANDING</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C902A" w14:textId="77777777" w:rsidR="006972BA" w:rsidRDefault="006972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C4E5D"/>
    <w:multiLevelType w:val="multilevel"/>
    <w:tmpl w:val="D10E9CF6"/>
    <w:numStyleLink w:val="OneLevelList"/>
  </w:abstractNum>
  <w:abstractNum w:abstractNumId="5">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CD65140"/>
    <w:multiLevelType w:val="hybridMultilevel"/>
    <w:tmpl w:val="AE6C153A"/>
    <w:lvl w:ilvl="0" w:tplc="591C1BCA">
      <w:start w:val="27"/>
      <w:numFmt w:val="decimal"/>
      <w:lvlText w:val="%1."/>
      <w:lvlJc w:val="left"/>
      <w:pPr>
        <w:ind w:left="360" w:hanging="360"/>
      </w:pPr>
      <w:rPr>
        <w:rFonts w:asciiTheme="minorHAnsi" w:hAnsiTheme="minorHAns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1B6B9C"/>
    <w:multiLevelType w:val="multilevel"/>
    <w:tmpl w:val="6EB0EB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0F77ECF"/>
    <w:multiLevelType w:val="multilevel"/>
    <w:tmpl w:val="49745F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0D2021"/>
    <w:multiLevelType w:val="multilevel"/>
    <w:tmpl w:val="166ECC2E"/>
    <w:lvl w:ilvl="0">
      <w:start w:val="14"/>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A192B78"/>
    <w:multiLevelType w:val="hybridMultilevel"/>
    <w:tmpl w:val="8A38116A"/>
    <w:name w:val="StandardNumberedList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FC95AF0"/>
    <w:multiLevelType w:val="multilevel"/>
    <w:tmpl w:val="49745FB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CE25DC4"/>
    <w:multiLevelType w:val="hybridMultilevel"/>
    <w:tmpl w:val="DF44D882"/>
    <w:name w:val="StandardNumberedList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60326E1"/>
    <w:multiLevelType w:val="multilevel"/>
    <w:tmpl w:val="A0C6566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6491AFD"/>
    <w:multiLevelType w:val="multilevel"/>
    <w:tmpl w:val="91B452CA"/>
    <w:name w:val="StandardNumberedList"/>
    <w:lvl w:ilvl="0">
      <w:start w:val="1"/>
      <w:numFmt w:val="decimal"/>
      <w:pStyle w:val="OutlineNumbered1"/>
      <w:lvlText w:val="%1."/>
      <w:lvlJc w:val="left"/>
      <w:pPr>
        <w:tabs>
          <w:tab w:val="num" w:pos="520"/>
        </w:tabs>
        <w:ind w:left="520" w:hanging="520"/>
      </w:pPr>
      <w:rPr>
        <w:rFonts w:hint="default"/>
      </w:rPr>
    </w:lvl>
    <w:lvl w:ilvl="1">
      <w:start w:val="1"/>
      <w:numFmt w:val="decimal"/>
      <w:pStyle w:val="OutlineNumbered2"/>
      <w:lvlText w:val="%1.%2."/>
      <w:lvlJc w:val="left"/>
      <w:pPr>
        <w:tabs>
          <w:tab w:val="num" w:pos="1040"/>
        </w:tabs>
        <w:ind w:left="1040" w:hanging="520"/>
      </w:pPr>
      <w:rPr>
        <w:rFonts w:hint="default"/>
      </w:rPr>
    </w:lvl>
    <w:lvl w:ilvl="2">
      <w:start w:val="1"/>
      <w:numFmt w:val="decimal"/>
      <w:pStyle w:val="OutlineNumbered3"/>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78C083A"/>
    <w:multiLevelType w:val="hybridMultilevel"/>
    <w:tmpl w:val="300A5262"/>
    <w:name w:val="StandardNumberedList3"/>
    <w:lvl w:ilvl="0" w:tplc="DC264ACC">
      <w:start w:val="22"/>
      <w:numFmt w:val="decimal"/>
      <w:lvlText w:val="%1."/>
      <w:lvlJc w:val="left"/>
      <w:pPr>
        <w:ind w:left="360" w:hanging="360"/>
      </w:pPr>
      <w:rPr>
        <w:rFonts w:asciiTheme="minorHAnsi" w:hAnsiTheme="minorHAnsi"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1"/>
  </w:num>
  <w:num w:numId="3">
    <w:abstractNumId w:val="11"/>
  </w:num>
  <w:num w:numId="4">
    <w:abstractNumId w:val="3"/>
  </w:num>
  <w:num w:numId="5">
    <w:abstractNumId w:val="4"/>
  </w:num>
  <w:num w:numId="6">
    <w:abstractNumId w:val="13"/>
  </w:num>
  <w:num w:numId="7">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5"/>
  </w:num>
  <w:num w:numId="9">
    <w:abstractNumId w:val="2"/>
  </w:num>
  <w:num w:numId="10">
    <w:abstractNumId w:val="6"/>
  </w:num>
  <w:num w:numId="11">
    <w:abstractNumId w:val="20"/>
  </w:num>
  <w:num w:numId="12">
    <w:abstractNumId w:val="13"/>
  </w:num>
  <w:num w:numId="13">
    <w:abstractNumId w:val="6"/>
  </w:num>
  <w:num w:numId="14">
    <w:abstractNumId w:val="10"/>
  </w:num>
  <w:num w:numId="15">
    <w:abstractNumId w:val="0"/>
  </w:num>
  <w:num w:numId="16">
    <w:abstractNumId w:val="18"/>
  </w:num>
  <w:num w:numId="17">
    <w:abstractNumId w:val="17"/>
  </w:num>
  <w:num w:numId="18">
    <w:abstractNumId w:val="1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15"/>
  </w:num>
  <w:num w:numId="24">
    <w:abstractNumId w:val="16"/>
  </w:num>
  <w:num w:numId="25">
    <w:abstractNumId w:val="1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C8"/>
    <w:rsid w:val="00000289"/>
    <w:rsid w:val="00000D7C"/>
    <w:rsid w:val="00001911"/>
    <w:rsid w:val="00001C00"/>
    <w:rsid w:val="00002831"/>
    <w:rsid w:val="00002E5D"/>
    <w:rsid w:val="00004CBE"/>
    <w:rsid w:val="00006D44"/>
    <w:rsid w:val="0000776E"/>
    <w:rsid w:val="000106BD"/>
    <w:rsid w:val="00010C13"/>
    <w:rsid w:val="00011725"/>
    <w:rsid w:val="00011AF6"/>
    <w:rsid w:val="00012C62"/>
    <w:rsid w:val="00013E75"/>
    <w:rsid w:val="00014061"/>
    <w:rsid w:val="00014546"/>
    <w:rsid w:val="00014CFB"/>
    <w:rsid w:val="00014FDE"/>
    <w:rsid w:val="00015106"/>
    <w:rsid w:val="00015BE5"/>
    <w:rsid w:val="00015E8A"/>
    <w:rsid w:val="00016001"/>
    <w:rsid w:val="0001604A"/>
    <w:rsid w:val="00016C33"/>
    <w:rsid w:val="00017FD3"/>
    <w:rsid w:val="0002045D"/>
    <w:rsid w:val="00022C01"/>
    <w:rsid w:val="000239A9"/>
    <w:rsid w:val="00023B42"/>
    <w:rsid w:val="00024C56"/>
    <w:rsid w:val="00024D53"/>
    <w:rsid w:val="0002544D"/>
    <w:rsid w:val="00025CD3"/>
    <w:rsid w:val="000262A6"/>
    <w:rsid w:val="0002733C"/>
    <w:rsid w:val="00030B5B"/>
    <w:rsid w:val="000353CD"/>
    <w:rsid w:val="000374ED"/>
    <w:rsid w:val="00041A8B"/>
    <w:rsid w:val="0004274D"/>
    <w:rsid w:val="00043C88"/>
    <w:rsid w:val="00044C0A"/>
    <w:rsid w:val="00044EBC"/>
    <w:rsid w:val="000557AE"/>
    <w:rsid w:val="00055EC1"/>
    <w:rsid w:val="00056219"/>
    <w:rsid w:val="00056669"/>
    <w:rsid w:val="00056880"/>
    <w:rsid w:val="00056BCE"/>
    <w:rsid w:val="00057782"/>
    <w:rsid w:val="000627D3"/>
    <w:rsid w:val="0006398B"/>
    <w:rsid w:val="0006400E"/>
    <w:rsid w:val="0006513A"/>
    <w:rsid w:val="000675D1"/>
    <w:rsid w:val="000678C5"/>
    <w:rsid w:val="00067D42"/>
    <w:rsid w:val="00070121"/>
    <w:rsid w:val="00070897"/>
    <w:rsid w:val="0007102C"/>
    <w:rsid w:val="0007143F"/>
    <w:rsid w:val="00073521"/>
    <w:rsid w:val="0007400A"/>
    <w:rsid w:val="00075FDA"/>
    <w:rsid w:val="0007613C"/>
    <w:rsid w:val="0007678D"/>
    <w:rsid w:val="0007752A"/>
    <w:rsid w:val="000775DE"/>
    <w:rsid w:val="0008130A"/>
    <w:rsid w:val="000814DA"/>
    <w:rsid w:val="000827ED"/>
    <w:rsid w:val="000830B9"/>
    <w:rsid w:val="000838D0"/>
    <w:rsid w:val="0008446C"/>
    <w:rsid w:val="000847BC"/>
    <w:rsid w:val="000858F2"/>
    <w:rsid w:val="00087FAF"/>
    <w:rsid w:val="00090878"/>
    <w:rsid w:val="00092A03"/>
    <w:rsid w:val="00095A9C"/>
    <w:rsid w:val="000962CA"/>
    <w:rsid w:val="00097B04"/>
    <w:rsid w:val="000A22E6"/>
    <w:rsid w:val="000A3E3E"/>
    <w:rsid w:val="000B1299"/>
    <w:rsid w:val="000B4E07"/>
    <w:rsid w:val="000B4FE5"/>
    <w:rsid w:val="000B5653"/>
    <w:rsid w:val="000B6D90"/>
    <w:rsid w:val="000B7CD4"/>
    <w:rsid w:val="000C2F1E"/>
    <w:rsid w:val="000C4788"/>
    <w:rsid w:val="000C5F40"/>
    <w:rsid w:val="000C734F"/>
    <w:rsid w:val="000D1D86"/>
    <w:rsid w:val="000D2691"/>
    <w:rsid w:val="000D2DBD"/>
    <w:rsid w:val="000D2E0F"/>
    <w:rsid w:val="000D3A75"/>
    <w:rsid w:val="000D6D27"/>
    <w:rsid w:val="000D767E"/>
    <w:rsid w:val="000E0482"/>
    <w:rsid w:val="000E0B74"/>
    <w:rsid w:val="000E2A5F"/>
    <w:rsid w:val="000E2FCB"/>
    <w:rsid w:val="000E41FE"/>
    <w:rsid w:val="000E51B6"/>
    <w:rsid w:val="000E539B"/>
    <w:rsid w:val="000E5EE4"/>
    <w:rsid w:val="000E61BD"/>
    <w:rsid w:val="000E6A49"/>
    <w:rsid w:val="000E6D37"/>
    <w:rsid w:val="000E7C1D"/>
    <w:rsid w:val="000F0BF8"/>
    <w:rsid w:val="000F1F27"/>
    <w:rsid w:val="000F312C"/>
    <w:rsid w:val="000F6C77"/>
    <w:rsid w:val="000F7517"/>
    <w:rsid w:val="000F753D"/>
    <w:rsid w:val="000F7A99"/>
    <w:rsid w:val="00101093"/>
    <w:rsid w:val="001015A5"/>
    <w:rsid w:val="00102133"/>
    <w:rsid w:val="00102676"/>
    <w:rsid w:val="001042A9"/>
    <w:rsid w:val="0010450F"/>
    <w:rsid w:val="001058C3"/>
    <w:rsid w:val="00106DD7"/>
    <w:rsid w:val="00111CAA"/>
    <w:rsid w:val="00113072"/>
    <w:rsid w:val="001143B5"/>
    <w:rsid w:val="001151BE"/>
    <w:rsid w:val="00116203"/>
    <w:rsid w:val="001167A0"/>
    <w:rsid w:val="001173C8"/>
    <w:rsid w:val="00117A09"/>
    <w:rsid w:val="001218E4"/>
    <w:rsid w:val="00123CFF"/>
    <w:rsid w:val="0012450C"/>
    <w:rsid w:val="00126E81"/>
    <w:rsid w:val="00130B6A"/>
    <w:rsid w:val="001313A9"/>
    <w:rsid w:val="00131F3B"/>
    <w:rsid w:val="00132CDA"/>
    <w:rsid w:val="001330B0"/>
    <w:rsid w:val="00135229"/>
    <w:rsid w:val="00136794"/>
    <w:rsid w:val="00137C80"/>
    <w:rsid w:val="0014091C"/>
    <w:rsid w:val="00140E92"/>
    <w:rsid w:val="00141134"/>
    <w:rsid w:val="0014387A"/>
    <w:rsid w:val="00144555"/>
    <w:rsid w:val="001448C3"/>
    <w:rsid w:val="001476EB"/>
    <w:rsid w:val="00147AEC"/>
    <w:rsid w:val="0015003B"/>
    <w:rsid w:val="00151E95"/>
    <w:rsid w:val="00152609"/>
    <w:rsid w:val="001606CF"/>
    <w:rsid w:val="0016128D"/>
    <w:rsid w:val="00162588"/>
    <w:rsid w:val="001645C4"/>
    <w:rsid w:val="00164B0A"/>
    <w:rsid w:val="00165B60"/>
    <w:rsid w:val="00166565"/>
    <w:rsid w:val="001705B1"/>
    <w:rsid w:val="0017089D"/>
    <w:rsid w:val="00170A2D"/>
    <w:rsid w:val="001733A8"/>
    <w:rsid w:val="00175658"/>
    <w:rsid w:val="00176443"/>
    <w:rsid w:val="001765E6"/>
    <w:rsid w:val="00177DFD"/>
    <w:rsid w:val="0018084C"/>
    <w:rsid w:val="00180B5C"/>
    <w:rsid w:val="00181F34"/>
    <w:rsid w:val="00182272"/>
    <w:rsid w:val="0018506F"/>
    <w:rsid w:val="001873EF"/>
    <w:rsid w:val="0019101A"/>
    <w:rsid w:val="00191610"/>
    <w:rsid w:val="00191C88"/>
    <w:rsid w:val="001922B9"/>
    <w:rsid w:val="00194259"/>
    <w:rsid w:val="001953E3"/>
    <w:rsid w:val="001969EA"/>
    <w:rsid w:val="00197309"/>
    <w:rsid w:val="001975AB"/>
    <w:rsid w:val="00197941"/>
    <w:rsid w:val="001A05A6"/>
    <w:rsid w:val="001A0912"/>
    <w:rsid w:val="001A15A0"/>
    <w:rsid w:val="001A15DE"/>
    <w:rsid w:val="001A2106"/>
    <w:rsid w:val="001A3110"/>
    <w:rsid w:val="001A4FBD"/>
    <w:rsid w:val="001A5FD1"/>
    <w:rsid w:val="001A6137"/>
    <w:rsid w:val="001A68C9"/>
    <w:rsid w:val="001B0A25"/>
    <w:rsid w:val="001B0E2F"/>
    <w:rsid w:val="001B7658"/>
    <w:rsid w:val="001B7FD6"/>
    <w:rsid w:val="001C0522"/>
    <w:rsid w:val="001C2CCB"/>
    <w:rsid w:val="001C358D"/>
    <w:rsid w:val="001C389A"/>
    <w:rsid w:val="001C5155"/>
    <w:rsid w:val="001C5A2A"/>
    <w:rsid w:val="001C756F"/>
    <w:rsid w:val="001C7C5A"/>
    <w:rsid w:val="001D119A"/>
    <w:rsid w:val="001D18C4"/>
    <w:rsid w:val="001D4021"/>
    <w:rsid w:val="001D4CCE"/>
    <w:rsid w:val="001D5A78"/>
    <w:rsid w:val="001D6A8D"/>
    <w:rsid w:val="001E291C"/>
    <w:rsid w:val="001E31CF"/>
    <w:rsid w:val="001E37B9"/>
    <w:rsid w:val="001E3ED0"/>
    <w:rsid w:val="001E6FC1"/>
    <w:rsid w:val="001E721C"/>
    <w:rsid w:val="001F2EF7"/>
    <w:rsid w:val="001F5ED5"/>
    <w:rsid w:val="001F6B13"/>
    <w:rsid w:val="001F6C0A"/>
    <w:rsid w:val="001F70E6"/>
    <w:rsid w:val="001F7540"/>
    <w:rsid w:val="00200411"/>
    <w:rsid w:val="0020064C"/>
    <w:rsid w:val="002008DB"/>
    <w:rsid w:val="00200BF1"/>
    <w:rsid w:val="00201243"/>
    <w:rsid w:val="002036F0"/>
    <w:rsid w:val="00203731"/>
    <w:rsid w:val="0020512F"/>
    <w:rsid w:val="00205A2D"/>
    <w:rsid w:val="00207F1E"/>
    <w:rsid w:val="002107D8"/>
    <w:rsid w:val="0021095B"/>
    <w:rsid w:val="00210AD6"/>
    <w:rsid w:val="00210C9D"/>
    <w:rsid w:val="00211429"/>
    <w:rsid w:val="00211DDA"/>
    <w:rsid w:val="00211F25"/>
    <w:rsid w:val="002148D0"/>
    <w:rsid w:val="00214D20"/>
    <w:rsid w:val="0021612F"/>
    <w:rsid w:val="00216D19"/>
    <w:rsid w:val="00216D32"/>
    <w:rsid w:val="0021769D"/>
    <w:rsid w:val="0022190E"/>
    <w:rsid w:val="00223762"/>
    <w:rsid w:val="00223F00"/>
    <w:rsid w:val="002241D3"/>
    <w:rsid w:val="00224579"/>
    <w:rsid w:val="00225D47"/>
    <w:rsid w:val="00225D87"/>
    <w:rsid w:val="002277C2"/>
    <w:rsid w:val="00227B86"/>
    <w:rsid w:val="00230B2D"/>
    <w:rsid w:val="00231049"/>
    <w:rsid w:val="002314D2"/>
    <w:rsid w:val="00235C77"/>
    <w:rsid w:val="00235CE3"/>
    <w:rsid w:val="00235DAA"/>
    <w:rsid w:val="0023719F"/>
    <w:rsid w:val="002372A6"/>
    <w:rsid w:val="00240661"/>
    <w:rsid w:val="00240993"/>
    <w:rsid w:val="00241D52"/>
    <w:rsid w:val="002425D9"/>
    <w:rsid w:val="002437D7"/>
    <w:rsid w:val="00243A70"/>
    <w:rsid w:val="0024522C"/>
    <w:rsid w:val="0024563E"/>
    <w:rsid w:val="00246A0C"/>
    <w:rsid w:val="00246E52"/>
    <w:rsid w:val="00247DD0"/>
    <w:rsid w:val="00250433"/>
    <w:rsid w:val="00251049"/>
    <w:rsid w:val="00251164"/>
    <w:rsid w:val="0025175D"/>
    <w:rsid w:val="0025177E"/>
    <w:rsid w:val="00252F7A"/>
    <w:rsid w:val="00253309"/>
    <w:rsid w:val="00253B0E"/>
    <w:rsid w:val="0025569A"/>
    <w:rsid w:val="0025731E"/>
    <w:rsid w:val="00257AEE"/>
    <w:rsid w:val="00260373"/>
    <w:rsid w:val="002624FB"/>
    <w:rsid w:val="00262FF1"/>
    <w:rsid w:val="00263577"/>
    <w:rsid w:val="00263B6C"/>
    <w:rsid w:val="00263C6B"/>
    <w:rsid w:val="00263E08"/>
    <w:rsid w:val="00264DB9"/>
    <w:rsid w:val="00265445"/>
    <w:rsid w:val="0026630C"/>
    <w:rsid w:val="00267085"/>
    <w:rsid w:val="002715A0"/>
    <w:rsid w:val="00271F4C"/>
    <w:rsid w:val="002747F3"/>
    <w:rsid w:val="0027590B"/>
    <w:rsid w:val="00276AE0"/>
    <w:rsid w:val="00277814"/>
    <w:rsid w:val="00280695"/>
    <w:rsid w:val="00280BE2"/>
    <w:rsid w:val="00280D5C"/>
    <w:rsid w:val="00281ABA"/>
    <w:rsid w:val="002826C5"/>
    <w:rsid w:val="0028489D"/>
    <w:rsid w:val="00285969"/>
    <w:rsid w:val="00285C3F"/>
    <w:rsid w:val="0028635D"/>
    <w:rsid w:val="00286981"/>
    <w:rsid w:val="00293940"/>
    <w:rsid w:val="002940EC"/>
    <w:rsid w:val="0029513C"/>
    <w:rsid w:val="0029552A"/>
    <w:rsid w:val="0029632B"/>
    <w:rsid w:val="00296DB5"/>
    <w:rsid w:val="002A2D10"/>
    <w:rsid w:val="002A3FC6"/>
    <w:rsid w:val="002A67D2"/>
    <w:rsid w:val="002A74E7"/>
    <w:rsid w:val="002B0169"/>
    <w:rsid w:val="002B25FD"/>
    <w:rsid w:val="002B2EB3"/>
    <w:rsid w:val="002B3829"/>
    <w:rsid w:val="002B4A9E"/>
    <w:rsid w:val="002B5C39"/>
    <w:rsid w:val="002B5D10"/>
    <w:rsid w:val="002B721C"/>
    <w:rsid w:val="002C2FFB"/>
    <w:rsid w:val="002C3A26"/>
    <w:rsid w:val="002C3C2B"/>
    <w:rsid w:val="002C4648"/>
    <w:rsid w:val="002C4FC4"/>
    <w:rsid w:val="002C5F37"/>
    <w:rsid w:val="002C6228"/>
    <w:rsid w:val="002C6BE8"/>
    <w:rsid w:val="002C7915"/>
    <w:rsid w:val="002D08D8"/>
    <w:rsid w:val="002D28ED"/>
    <w:rsid w:val="002D2B49"/>
    <w:rsid w:val="002D36A6"/>
    <w:rsid w:val="002D488F"/>
    <w:rsid w:val="002D6783"/>
    <w:rsid w:val="002E0093"/>
    <w:rsid w:val="002E0381"/>
    <w:rsid w:val="002E1DD3"/>
    <w:rsid w:val="002E260B"/>
    <w:rsid w:val="002E2F58"/>
    <w:rsid w:val="002E411C"/>
    <w:rsid w:val="002E62C7"/>
    <w:rsid w:val="002E760F"/>
    <w:rsid w:val="002F3601"/>
    <w:rsid w:val="002F3B3C"/>
    <w:rsid w:val="002F4878"/>
    <w:rsid w:val="002F5F5A"/>
    <w:rsid w:val="002F617F"/>
    <w:rsid w:val="002F716B"/>
    <w:rsid w:val="00301799"/>
    <w:rsid w:val="00305424"/>
    <w:rsid w:val="00306E01"/>
    <w:rsid w:val="00306F64"/>
    <w:rsid w:val="00307044"/>
    <w:rsid w:val="00310D07"/>
    <w:rsid w:val="0031138C"/>
    <w:rsid w:val="003122F4"/>
    <w:rsid w:val="00312B41"/>
    <w:rsid w:val="00312C51"/>
    <w:rsid w:val="00316A9E"/>
    <w:rsid w:val="003268D5"/>
    <w:rsid w:val="00326A2A"/>
    <w:rsid w:val="003276CD"/>
    <w:rsid w:val="003304BF"/>
    <w:rsid w:val="00330833"/>
    <w:rsid w:val="00330D20"/>
    <w:rsid w:val="00330EF4"/>
    <w:rsid w:val="00331BFD"/>
    <w:rsid w:val="003342B9"/>
    <w:rsid w:val="00334BEE"/>
    <w:rsid w:val="00335B23"/>
    <w:rsid w:val="0033724F"/>
    <w:rsid w:val="00340896"/>
    <w:rsid w:val="0034157B"/>
    <w:rsid w:val="00342E8A"/>
    <w:rsid w:val="00344779"/>
    <w:rsid w:val="00346B15"/>
    <w:rsid w:val="00350C3A"/>
    <w:rsid w:val="003515B9"/>
    <w:rsid w:val="00351F60"/>
    <w:rsid w:val="003530C1"/>
    <w:rsid w:val="003534B4"/>
    <w:rsid w:val="00354D27"/>
    <w:rsid w:val="003550EE"/>
    <w:rsid w:val="00356DF5"/>
    <w:rsid w:val="00357B52"/>
    <w:rsid w:val="00357F4B"/>
    <w:rsid w:val="00360062"/>
    <w:rsid w:val="003609A3"/>
    <w:rsid w:val="00361A37"/>
    <w:rsid w:val="00361CB8"/>
    <w:rsid w:val="003625B6"/>
    <w:rsid w:val="00363159"/>
    <w:rsid w:val="00363573"/>
    <w:rsid w:val="00364126"/>
    <w:rsid w:val="00364B0F"/>
    <w:rsid w:val="00364CBE"/>
    <w:rsid w:val="00365970"/>
    <w:rsid w:val="003676BC"/>
    <w:rsid w:val="0037028F"/>
    <w:rsid w:val="00370865"/>
    <w:rsid w:val="003711E5"/>
    <w:rsid w:val="00374217"/>
    <w:rsid w:val="00374918"/>
    <w:rsid w:val="003752CA"/>
    <w:rsid w:val="00375D39"/>
    <w:rsid w:val="00377550"/>
    <w:rsid w:val="00377EC9"/>
    <w:rsid w:val="00381069"/>
    <w:rsid w:val="003825FD"/>
    <w:rsid w:val="003839F0"/>
    <w:rsid w:val="0038407D"/>
    <w:rsid w:val="00384400"/>
    <w:rsid w:val="003858A6"/>
    <w:rsid w:val="00385EB9"/>
    <w:rsid w:val="00386488"/>
    <w:rsid w:val="0038771A"/>
    <w:rsid w:val="0038773A"/>
    <w:rsid w:val="00390991"/>
    <w:rsid w:val="00390D47"/>
    <w:rsid w:val="00391095"/>
    <w:rsid w:val="00391B39"/>
    <w:rsid w:val="003920E2"/>
    <w:rsid w:val="00392DCC"/>
    <w:rsid w:val="00392E9E"/>
    <w:rsid w:val="0039655D"/>
    <w:rsid w:val="003A3BF4"/>
    <w:rsid w:val="003A3E0E"/>
    <w:rsid w:val="003A5C3B"/>
    <w:rsid w:val="003B017B"/>
    <w:rsid w:val="003B055F"/>
    <w:rsid w:val="003B0D0C"/>
    <w:rsid w:val="003B1E80"/>
    <w:rsid w:val="003B549C"/>
    <w:rsid w:val="003B6742"/>
    <w:rsid w:val="003B6D3E"/>
    <w:rsid w:val="003B74DC"/>
    <w:rsid w:val="003C0337"/>
    <w:rsid w:val="003C0AFC"/>
    <w:rsid w:val="003C1603"/>
    <w:rsid w:val="003C2726"/>
    <w:rsid w:val="003C27E8"/>
    <w:rsid w:val="003C33C9"/>
    <w:rsid w:val="003C350E"/>
    <w:rsid w:val="003C3CAC"/>
    <w:rsid w:val="003C6523"/>
    <w:rsid w:val="003C66E7"/>
    <w:rsid w:val="003D1D29"/>
    <w:rsid w:val="003D1DB9"/>
    <w:rsid w:val="003D23F2"/>
    <w:rsid w:val="003D3B46"/>
    <w:rsid w:val="003D3E3A"/>
    <w:rsid w:val="003D4023"/>
    <w:rsid w:val="003D445F"/>
    <w:rsid w:val="003D4756"/>
    <w:rsid w:val="003D5012"/>
    <w:rsid w:val="003D5482"/>
    <w:rsid w:val="003D5CC8"/>
    <w:rsid w:val="003E2199"/>
    <w:rsid w:val="003E28FC"/>
    <w:rsid w:val="003E332B"/>
    <w:rsid w:val="003E3D66"/>
    <w:rsid w:val="003E4D87"/>
    <w:rsid w:val="003E5464"/>
    <w:rsid w:val="003E56A2"/>
    <w:rsid w:val="003E790F"/>
    <w:rsid w:val="003E7A3A"/>
    <w:rsid w:val="003F02CB"/>
    <w:rsid w:val="003F0411"/>
    <w:rsid w:val="003F188F"/>
    <w:rsid w:val="003F1B8B"/>
    <w:rsid w:val="003F28B1"/>
    <w:rsid w:val="003F596A"/>
    <w:rsid w:val="003F5E5B"/>
    <w:rsid w:val="003F623E"/>
    <w:rsid w:val="003F6360"/>
    <w:rsid w:val="003F71F2"/>
    <w:rsid w:val="004003BE"/>
    <w:rsid w:val="00400521"/>
    <w:rsid w:val="00402414"/>
    <w:rsid w:val="00402E0D"/>
    <w:rsid w:val="00404C99"/>
    <w:rsid w:val="00405097"/>
    <w:rsid w:val="0040597A"/>
    <w:rsid w:val="00405D15"/>
    <w:rsid w:val="00406A6F"/>
    <w:rsid w:val="00406BCE"/>
    <w:rsid w:val="004073C5"/>
    <w:rsid w:val="004111FA"/>
    <w:rsid w:val="00411B9C"/>
    <w:rsid w:val="004124B4"/>
    <w:rsid w:val="004134AB"/>
    <w:rsid w:val="00416762"/>
    <w:rsid w:val="00417596"/>
    <w:rsid w:val="00417AF2"/>
    <w:rsid w:val="004223E6"/>
    <w:rsid w:val="004237EA"/>
    <w:rsid w:val="00423B04"/>
    <w:rsid w:val="004243FA"/>
    <w:rsid w:val="00425A8E"/>
    <w:rsid w:val="00425D66"/>
    <w:rsid w:val="00427D82"/>
    <w:rsid w:val="00427F66"/>
    <w:rsid w:val="00427FF2"/>
    <w:rsid w:val="00430543"/>
    <w:rsid w:val="00431674"/>
    <w:rsid w:val="0043423A"/>
    <w:rsid w:val="004358C1"/>
    <w:rsid w:val="004408F0"/>
    <w:rsid w:val="00441190"/>
    <w:rsid w:val="00441579"/>
    <w:rsid w:val="0044158F"/>
    <w:rsid w:val="004418EC"/>
    <w:rsid w:val="00441AFC"/>
    <w:rsid w:val="0044452B"/>
    <w:rsid w:val="00444EFA"/>
    <w:rsid w:val="00445265"/>
    <w:rsid w:val="004452F6"/>
    <w:rsid w:val="004453EB"/>
    <w:rsid w:val="00446C7A"/>
    <w:rsid w:val="0044778A"/>
    <w:rsid w:val="00450095"/>
    <w:rsid w:val="004518D1"/>
    <w:rsid w:val="00451ED9"/>
    <w:rsid w:val="00452E44"/>
    <w:rsid w:val="004530AE"/>
    <w:rsid w:val="00453240"/>
    <w:rsid w:val="00453E85"/>
    <w:rsid w:val="004541F3"/>
    <w:rsid w:val="004559CE"/>
    <w:rsid w:val="00456475"/>
    <w:rsid w:val="004569A6"/>
    <w:rsid w:val="00456D46"/>
    <w:rsid w:val="004605A1"/>
    <w:rsid w:val="0046099C"/>
    <w:rsid w:val="004627BE"/>
    <w:rsid w:val="00464426"/>
    <w:rsid w:val="0046477F"/>
    <w:rsid w:val="0046625D"/>
    <w:rsid w:val="004667E0"/>
    <w:rsid w:val="004678A8"/>
    <w:rsid w:val="00467DA9"/>
    <w:rsid w:val="004707BB"/>
    <w:rsid w:val="0047291B"/>
    <w:rsid w:val="00472D85"/>
    <w:rsid w:val="00475B7B"/>
    <w:rsid w:val="00475F4D"/>
    <w:rsid w:val="004770B6"/>
    <w:rsid w:val="0048051C"/>
    <w:rsid w:val="0048159F"/>
    <w:rsid w:val="00482380"/>
    <w:rsid w:val="00482AD1"/>
    <w:rsid w:val="00483049"/>
    <w:rsid w:val="004834E3"/>
    <w:rsid w:val="0048468E"/>
    <w:rsid w:val="00484841"/>
    <w:rsid w:val="00484F20"/>
    <w:rsid w:val="00485132"/>
    <w:rsid w:val="00487461"/>
    <w:rsid w:val="00491BC9"/>
    <w:rsid w:val="00492239"/>
    <w:rsid w:val="00492FCB"/>
    <w:rsid w:val="004938D1"/>
    <w:rsid w:val="0049392E"/>
    <w:rsid w:val="00494847"/>
    <w:rsid w:val="004951A8"/>
    <w:rsid w:val="00496FB8"/>
    <w:rsid w:val="004979C7"/>
    <w:rsid w:val="004A3479"/>
    <w:rsid w:val="004A3FD6"/>
    <w:rsid w:val="004A512F"/>
    <w:rsid w:val="004A57FD"/>
    <w:rsid w:val="004A6D08"/>
    <w:rsid w:val="004A73DD"/>
    <w:rsid w:val="004B12AA"/>
    <w:rsid w:val="004B2C08"/>
    <w:rsid w:val="004B3B2F"/>
    <w:rsid w:val="004B3E21"/>
    <w:rsid w:val="004B4F73"/>
    <w:rsid w:val="004B60B3"/>
    <w:rsid w:val="004B6B45"/>
    <w:rsid w:val="004B7315"/>
    <w:rsid w:val="004C10C0"/>
    <w:rsid w:val="004C20E4"/>
    <w:rsid w:val="004C5323"/>
    <w:rsid w:val="004C7396"/>
    <w:rsid w:val="004C7B52"/>
    <w:rsid w:val="004C7CF8"/>
    <w:rsid w:val="004D0853"/>
    <w:rsid w:val="004D1DA7"/>
    <w:rsid w:val="004D41A7"/>
    <w:rsid w:val="004D7157"/>
    <w:rsid w:val="004E023E"/>
    <w:rsid w:val="004E1A23"/>
    <w:rsid w:val="004E588F"/>
    <w:rsid w:val="004E5EC0"/>
    <w:rsid w:val="004E6D0D"/>
    <w:rsid w:val="004E7F51"/>
    <w:rsid w:val="004F065D"/>
    <w:rsid w:val="004F0718"/>
    <w:rsid w:val="004F1164"/>
    <w:rsid w:val="004F3B65"/>
    <w:rsid w:val="004F4A5D"/>
    <w:rsid w:val="004F4C58"/>
    <w:rsid w:val="004F52D5"/>
    <w:rsid w:val="004F5C8B"/>
    <w:rsid w:val="004F6E34"/>
    <w:rsid w:val="00506413"/>
    <w:rsid w:val="00511571"/>
    <w:rsid w:val="005159EF"/>
    <w:rsid w:val="0051653B"/>
    <w:rsid w:val="00516785"/>
    <w:rsid w:val="00516E0A"/>
    <w:rsid w:val="0051739F"/>
    <w:rsid w:val="00520001"/>
    <w:rsid w:val="005207FE"/>
    <w:rsid w:val="005220AF"/>
    <w:rsid w:val="0052419D"/>
    <w:rsid w:val="00527F65"/>
    <w:rsid w:val="005301F8"/>
    <w:rsid w:val="005312FC"/>
    <w:rsid w:val="00531E70"/>
    <w:rsid w:val="0053209A"/>
    <w:rsid w:val="005323BC"/>
    <w:rsid w:val="00532763"/>
    <w:rsid w:val="00535ACD"/>
    <w:rsid w:val="00535D00"/>
    <w:rsid w:val="0053603D"/>
    <w:rsid w:val="0053636F"/>
    <w:rsid w:val="00537762"/>
    <w:rsid w:val="005402DE"/>
    <w:rsid w:val="005413A5"/>
    <w:rsid w:val="00541998"/>
    <w:rsid w:val="00543770"/>
    <w:rsid w:val="005458D0"/>
    <w:rsid w:val="005458D8"/>
    <w:rsid w:val="00546584"/>
    <w:rsid w:val="005471C3"/>
    <w:rsid w:val="00547229"/>
    <w:rsid w:val="0054733F"/>
    <w:rsid w:val="0054798A"/>
    <w:rsid w:val="00547C67"/>
    <w:rsid w:val="005506B3"/>
    <w:rsid w:val="00552622"/>
    <w:rsid w:val="00557761"/>
    <w:rsid w:val="00557B08"/>
    <w:rsid w:val="00560038"/>
    <w:rsid w:val="005604A0"/>
    <w:rsid w:val="00562963"/>
    <w:rsid w:val="00563705"/>
    <w:rsid w:val="00564B95"/>
    <w:rsid w:val="00564E53"/>
    <w:rsid w:val="00565DEB"/>
    <w:rsid w:val="005663AD"/>
    <w:rsid w:val="005672A6"/>
    <w:rsid w:val="00567D2E"/>
    <w:rsid w:val="00567E32"/>
    <w:rsid w:val="005702F7"/>
    <w:rsid w:val="00570D7A"/>
    <w:rsid w:val="00573517"/>
    <w:rsid w:val="00573570"/>
    <w:rsid w:val="00574E22"/>
    <w:rsid w:val="00575CF0"/>
    <w:rsid w:val="00581B22"/>
    <w:rsid w:val="005822D8"/>
    <w:rsid w:val="00583935"/>
    <w:rsid w:val="005839E9"/>
    <w:rsid w:val="00584345"/>
    <w:rsid w:val="00584377"/>
    <w:rsid w:val="00584EFF"/>
    <w:rsid w:val="005868DE"/>
    <w:rsid w:val="00586B69"/>
    <w:rsid w:val="00586BFB"/>
    <w:rsid w:val="00591416"/>
    <w:rsid w:val="00592123"/>
    <w:rsid w:val="005923FE"/>
    <w:rsid w:val="005925E7"/>
    <w:rsid w:val="0059601E"/>
    <w:rsid w:val="00596492"/>
    <w:rsid w:val="00596956"/>
    <w:rsid w:val="00596CB8"/>
    <w:rsid w:val="00597AB0"/>
    <w:rsid w:val="005A0AAC"/>
    <w:rsid w:val="005A2577"/>
    <w:rsid w:val="005A3704"/>
    <w:rsid w:val="005A3930"/>
    <w:rsid w:val="005A68DE"/>
    <w:rsid w:val="005A70BE"/>
    <w:rsid w:val="005A7854"/>
    <w:rsid w:val="005B0105"/>
    <w:rsid w:val="005B52F1"/>
    <w:rsid w:val="005C133E"/>
    <w:rsid w:val="005C233B"/>
    <w:rsid w:val="005C3206"/>
    <w:rsid w:val="005C3566"/>
    <w:rsid w:val="005C3FA9"/>
    <w:rsid w:val="005C4A35"/>
    <w:rsid w:val="005C5010"/>
    <w:rsid w:val="005C6F54"/>
    <w:rsid w:val="005D150C"/>
    <w:rsid w:val="005D1E3D"/>
    <w:rsid w:val="005D21D9"/>
    <w:rsid w:val="005D23CA"/>
    <w:rsid w:val="005D3BF6"/>
    <w:rsid w:val="005D6026"/>
    <w:rsid w:val="005D6C71"/>
    <w:rsid w:val="005D7800"/>
    <w:rsid w:val="005E0373"/>
    <w:rsid w:val="005E34C3"/>
    <w:rsid w:val="005E44D3"/>
    <w:rsid w:val="005E472C"/>
    <w:rsid w:val="005E4FB6"/>
    <w:rsid w:val="005E5364"/>
    <w:rsid w:val="005E7170"/>
    <w:rsid w:val="005E747D"/>
    <w:rsid w:val="005E7681"/>
    <w:rsid w:val="005F281D"/>
    <w:rsid w:val="005F3896"/>
    <w:rsid w:val="005F47D7"/>
    <w:rsid w:val="005F5F23"/>
    <w:rsid w:val="005F6C47"/>
    <w:rsid w:val="005F78B9"/>
    <w:rsid w:val="0060030C"/>
    <w:rsid w:val="0060031B"/>
    <w:rsid w:val="00601029"/>
    <w:rsid w:val="00601F65"/>
    <w:rsid w:val="0060236C"/>
    <w:rsid w:val="006029C7"/>
    <w:rsid w:val="006038D0"/>
    <w:rsid w:val="00603DEA"/>
    <w:rsid w:val="0060467F"/>
    <w:rsid w:val="0060595B"/>
    <w:rsid w:val="00605AFD"/>
    <w:rsid w:val="00607C7C"/>
    <w:rsid w:val="006123D4"/>
    <w:rsid w:val="00616016"/>
    <w:rsid w:val="00616FCC"/>
    <w:rsid w:val="00617CCD"/>
    <w:rsid w:val="0062172D"/>
    <w:rsid w:val="0062202D"/>
    <w:rsid w:val="00623C31"/>
    <w:rsid w:val="00624F01"/>
    <w:rsid w:val="00624F49"/>
    <w:rsid w:val="006253B2"/>
    <w:rsid w:val="006257CC"/>
    <w:rsid w:val="00631A0D"/>
    <w:rsid w:val="00631AC1"/>
    <w:rsid w:val="0063213E"/>
    <w:rsid w:val="006329F1"/>
    <w:rsid w:val="0063661C"/>
    <w:rsid w:val="00637C14"/>
    <w:rsid w:val="00637D65"/>
    <w:rsid w:val="0064146F"/>
    <w:rsid w:val="006441A7"/>
    <w:rsid w:val="006447F0"/>
    <w:rsid w:val="00644C94"/>
    <w:rsid w:val="006461D9"/>
    <w:rsid w:val="00646575"/>
    <w:rsid w:val="00646625"/>
    <w:rsid w:val="00646DC1"/>
    <w:rsid w:val="00647DBD"/>
    <w:rsid w:val="00650F35"/>
    <w:rsid w:val="006530F2"/>
    <w:rsid w:val="00654FB2"/>
    <w:rsid w:val="00656356"/>
    <w:rsid w:val="006564C9"/>
    <w:rsid w:val="00657EFC"/>
    <w:rsid w:val="00660750"/>
    <w:rsid w:val="00660DAD"/>
    <w:rsid w:val="00661DBA"/>
    <w:rsid w:val="00662497"/>
    <w:rsid w:val="006643AF"/>
    <w:rsid w:val="00666AA8"/>
    <w:rsid w:val="00666F4F"/>
    <w:rsid w:val="00670481"/>
    <w:rsid w:val="00670F6F"/>
    <w:rsid w:val="00670FA2"/>
    <w:rsid w:val="00670FBE"/>
    <w:rsid w:val="0067141E"/>
    <w:rsid w:val="00673947"/>
    <w:rsid w:val="006739C9"/>
    <w:rsid w:val="006755BF"/>
    <w:rsid w:val="006762C5"/>
    <w:rsid w:val="00680460"/>
    <w:rsid w:val="00680518"/>
    <w:rsid w:val="0068282D"/>
    <w:rsid w:val="00682FDE"/>
    <w:rsid w:val="00683D6C"/>
    <w:rsid w:val="00685FF6"/>
    <w:rsid w:val="00686165"/>
    <w:rsid w:val="006862AA"/>
    <w:rsid w:val="00687E14"/>
    <w:rsid w:val="00691063"/>
    <w:rsid w:val="006913CB"/>
    <w:rsid w:val="00691CB5"/>
    <w:rsid w:val="00692F65"/>
    <w:rsid w:val="006938A8"/>
    <w:rsid w:val="00694C61"/>
    <w:rsid w:val="006950D7"/>
    <w:rsid w:val="00696AAB"/>
    <w:rsid w:val="006972BA"/>
    <w:rsid w:val="0069784E"/>
    <w:rsid w:val="006A0FC4"/>
    <w:rsid w:val="006A2118"/>
    <w:rsid w:val="006A2451"/>
    <w:rsid w:val="006A2FBD"/>
    <w:rsid w:val="006A3ADD"/>
    <w:rsid w:val="006A48DE"/>
    <w:rsid w:val="006A4E6D"/>
    <w:rsid w:val="006A6EE1"/>
    <w:rsid w:val="006A743E"/>
    <w:rsid w:val="006A76D6"/>
    <w:rsid w:val="006B19DE"/>
    <w:rsid w:val="006B2261"/>
    <w:rsid w:val="006B3F4C"/>
    <w:rsid w:val="006B4C61"/>
    <w:rsid w:val="006B5E7C"/>
    <w:rsid w:val="006C08A5"/>
    <w:rsid w:val="006C1F90"/>
    <w:rsid w:val="006C2BD7"/>
    <w:rsid w:val="006C37E7"/>
    <w:rsid w:val="006C3C6F"/>
    <w:rsid w:val="006C6254"/>
    <w:rsid w:val="006C6374"/>
    <w:rsid w:val="006C645D"/>
    <w:rsid w:val="006D1CBB"/>
    <w:rsid w:val="006D1D14"/>
    <w:rsid w:val="006D3A33"/>
    <w:rsid w:val="006D4299"/>
    <w:rsid w:val="006D42C7"/>
    <w:rsid w:val="006E00F7"/>
    <w:rsid w:val="006E07C5"/>
    <w:rsid w:val="006E19F7"/>
    <w:rsid w:val="006E3CC3"/>
    <w:rsid w:val="006E702B"/>
    <w:rsid w:val="006E70D4"/>
    <w:rsid w:val="006E77D4"/>
    <w:rsid w:val="006E7ED7"/>
    <w:rsid w:val="006F07F0"/>
    <w:rsid w:val="006F1423"/>
    <w:rsid w:val="006F6549"/>
    <w:rsid w:val="006F656C"/>
    <w:rsid w:val="006F6824"/>
    <w:rsid w:val="00701D1E"/>
    <w:rsid w:val="007047C9"/>
    <w:rsid w:val="00707014"/>
    <w:rsid w:val="00707991"/>
    <w:rsid w:val="00707D65"/>
    <w:rsid w:val="007103F0"/>
    <w:rsid w:val="00711EA3"/>
    <w:rsid w:val="00711EF1"/>
    <w:rsid w:val="0071314D"/>
    <w:rsid w:val="00713FB5"/>
    <w:rsid w:val="007168F0"/>
    <w:rsid w:val="0072164B"/>
    <w:rsid w:val="00722FFE"/>
    <w:rsid w:val="00725ABC"/>
    <w:rsid w:val="007263E8"/>
    <w:rsid w:val="00726B80"/>
    <w:rsid w:val="00726CC1"/>
    <w:rsid w:val="007276E4"/>
    <w:rsid w:val="00730762"/>
    <w:rsid w:val="00730765"/>
    <w:rsid w:val="00730AB0"/>
    <w:rsid w:val="007319B9"/>
    <w:rsid w:val="00734259"/>
    <w:rsid w:val="00737CFB"/>
    <w:rsid w:val="007405F3"/>
    <w:rsid w:val="00741578"/>
    <w:rsid w:val="00742191"/>
    <w:rsid w:val="00742272"/>
    <w:rsid w:val="0074264E"/>
    <w:rsid w:val="00742662"/>
    <w:rsid w:val="00744EA4"/>
    <w:rsid w:val="00745731"/>
    <w:rsid w:val="00745A87"/>
    <w:rsid w:val="00747BC6"/>
    <w:rsid w:val="00750540"/>
    <w:rsid w:val="00750AF1"/>
    <w:rsid w:val="00750D48"/>
    <w:rsid w:val="00752104"/>
    <w:rsid w:val="00752C41"/>
    <w:rsid w:val="00753DCC"/>
    <w:rsid w:val="00753EE4"/>
    <w:rsid w:val="0075413C"/>
    <w:rsid w:val="00754902"/>
    <w:rsid w:val="007569AF"/>
    <w:rsid w:val="007569B2"/>
    <w:rsid w:val="007609CC"/>
    <w:rsid w:val="00762381"/>
    <w:rsid w:val="00762F2A"/>
    <w:rsid w:val="007647B2"/>
    <w:rsid w:val="007652E6"/>
    <w:rsid w:val="00765A89"/>
    <w:rsid w:val="00766351"/>
    <w:rsid w:val="007665F7"/>
    <w:rsid w:val="00767B7E"/>
    <w:rsid w:val="00770A67"/>
    <w:rsid w:val="00770EB2"/>
    <w:rsid w:val="007714E1"/>
    <w:rsid w:val="007715BA"/>
    <w:rsid w:val="00772B53"/>
    <w:rsid w:val="00773883"/>
    <w:rsid w:val="0077530D"/>
    <w:rsid w:val="00775923"/>
    <w:rsid w:val="00776CBC"/>
    <w:rsid w:val="00780601"/>
    <w:rsid w:val="0078509F"/>
    <w:rsid w:val="007900BC"/>
    <w:rsid w:val="0079120C"/>
    <w:rsid w:val="00791EA8"/>
    <w:rsid w:val="00794499"/>
    <w:rsid w:val="00794B52"/>
    <w:rsid w:val="00795806"/>
    <w:rsid w:val="00795E79"/>
    <w:rsid w:val="007A2A50"/>
    <w:rsid w:val="007A2AB3"/>
    <w:rsid w:val="007A3B94"/>
    <w:rsid w:val="007A7E1C"/>
    <w:rsid w:val="007B010A"/>
    <w:rsid w:val="007B0BF7"/>
    <w:rsid w:val="007B1A80"/>
    <w:rsid w:val="007B1F39"/>
    <w:rsid w:val="007B25E0"/>
    <w:rsid w:val="007B3D7D"/>
    <w:rsid w:val="007B3EDF"/>
    <w:rsid w:val="007B4559"/>
    <w:rsid w:val="007B4CAA"/>
    <w:rsid w:val="007B681F"/>
    <w:rsid w:val="007C0168"/>
    <w:rsid w:val="007C2B9E"/>
    <w:rsid w:val="007C5350"/>
    <w:rsid w:val="007C790B"/>
    <w:rsid w:val="007C7B66"/>
    <w:rsid w:val="007D1397"/>
    <w:rsid w:val="007D31C1"/>
    <w:rsid w:val="007D58D7"/>
    <w:rsid w:val="007D5AA6"/>
    <w:rsid w:val="007E18EE"/>
    <w:rsid w:val="007E2AB9"/>
    <w:rsid w:val="007E4CC1"/>
    <w:rsid w:val="007E6456"/>
    <w:rsid w:val="007F03C6"/>
    <w:rsid w:val="007F1BD7"/>
    <w:rsid w:val="007F1F9E"/>
    <w:rsid w:val="007F213B"/>
    <w:rsid w:val="007F21EF"/>
    <w:rsid w:val="007F3CF7"/>
    <w:rsid w:val="007F77CB"/>
    <w:rsid w:val="0080017D"/>
    <w:rsid w:val="008011C6"/>
    <w:rsid w:val="008016E3"/>
    <w:rsid w:val="0080239D"/>
    <w:rsid w:val="008030B8"/>
    <w:rsid w:val="00804645"/>
    <w:rsid w:val="00804B5F"/>
    <w:rsid w:val="00806FF9"/>
    <w:rsid w:val="0080720E"/>
    <w:rsid w:val="008112E5"/>
    <w:rsid w:val="00811889"/>
    <w:rsid w:val="00812052"/>
    <w:rsid w:val="00812C40"/>
    <w:rsid w:val="00813C84"/>
    <w:rsid w:val="00816A33"/>
    <w:rsid w:val="00817BC3"/>
    <w:rsid w:val="008228AB"/>
    <w:rsid w:val="00823A71"/>
    <w:rsid w:val="00826C4E"/>
    <w:rsid w:val="00830045"/>
    <w:rsid w:val="00831816"/>
    <w:rsid w:val="00834243"/>
    <w:rsid w:val="00834690"/>
    <w:rsid w:val="00834B07"/>
    <w:rsid w:val="0083524F"/>
    <w:rsid w:val="00836F5F"/>
    <w:rsid w:val="00841941"/>
    <w:rsid w:val="00841F85"/>
    <w:rsid w:val="00842726"/>
    <w:rsid w:val="00842EF5"/>
    <w:rsid w:val="00842F35"/>
    <w:rsid w:val="008430F1"/>
    <w:rsid w:val="00843FB6"/>
    <w:rsid w:val="00845685"/>
    <w:rsid w:val="00845C17"/>
    <w:rsid w:val="00847CB5"/>
    <w:rsid w:val="00847E57"/>
    <w:rsid w:val="00851921"/>
    <w:rsid w:val="00852EE6"/>
    <w:rsid w:val="008544BB"/>
    <w:rsid w:val="0085455C"/>
    <w:rsid w:val="0085467B"/>
    <w:rsid w:val="0085501C"/>
    <w:rsid w:val="0085507C"/>
    <w:rsid w:val="00855618"/>
    <w:rsid w:val="00855DD1"/>
    <w:rsid w:val="00857969"/>
    <w:rsid w:val="00864C96"/>
    <w:rsid w:val="00866881"/>
    <w:rsid w:val="008674E4"/>
    <w:rsid w:val="0086765B"/>
    <w:rsid w:val="008758CC"/>
    <w:rsid w:val="00876390"/>
    <w:rsid w:val="00876632"/>
    <w:rsid w:val="00876A4B"/>
    <w:rsid w:val="00877753"/>
    <w:rsid w:val="0088089C"/>
    <w:rsid w:val="00881EB7"/>
    <w:rsid w:val="008827D5"/>
    <w:rsid w:val="00882D34"/>
    <w:rsid w:val="00882E2A"/>
    <w:rsid w:val="0088315E"/>
    <w:rsid w:val="008847A8"/>
    <w:rsid w:val="0088683C"/>
    <w:rsid w:val="0088707E"/>
    <w:rsid w:val="00890244"/>
    <w:rsid w:val="00890F26"/>
    <w:rsid w:val="00892A93"/>
    <w:rsid w:val="00892BCB"/>
    <w:rsid w:val="00893DCA"/>
    <w:rsid w:val="0089472C"/>
    <w:rsid w:val="00897D8A"/>
    <w:rsid w:val="008A0338"/>
    <w:rsid w:val="008A1187"/>
    <w:rsid w:val="008A1663"/>
    <w:rsid w:val="008A24FF"/>
    <w:rsid w:val="008A3D9D"/>
    <w:rsid w:val="008A45E8"/>
    <w:rsid w:val="008A5068"/>
    <w:rsid w:val="008A6AF5"/>
    <w:rsid w:val="008A6C49"/>
    <w:rsid w:val="008B1499"/>
    <w:rsid w:val="008B36BF"/>
    <w:rsid w:val="008B51CD"/>
    <w:rsid w:val="008B547D"/>
    <w:rsid w:val="008C023D"/>
    <w:rsid w:val="008C0E7C"/>
    <w:rsid w:val="008C161F"/>
    <w:rsid w:val="008C29BF"/>
    <w:rsid w:val="008C373B"/>
    <w:rsid w:val="008C375F"/>
    <w:rsid w:val="008C3C93"/>
    <w:rsid w:val="008C7AA4"/>
    <w:rsid w:val="008D001F"/>
    <w:rsid w:val="008D0430"/>
    <w:rsid w:val="008D1290"/>
    <w:rsid w:val="008D27E1"/>
    <w:rsid w:val="008D339F"/>
    <w:rsid w:val="008D4906"/>
    <w:rsid w:val="008D5010"/>
    <w:rsid w:val="008D5086"/>
    <w:rsid w:val="008D5886"/>
    <w:rsid w:val="008D5D6E"/>
    <w:rsid w:val="008D6BF1"/>
    <w:rsid w:val="008D7F38"/>
    <w:rsid w:val="008E2344"/>
    <w:rsid w:val="008E2533"/>
    <w:rsid w:val="008E25FB"/>
    <w:rsid w:val="008E3227"/>
    <w:rsid w:val="008E4BC8"/>
    <w:rsid w:val="008E57B6"/>
    <w:rsid w:val="008E60A4"/>
    <w:rsid w:val="008E6292"/>
    <w:rsid w:val="008E7C99"/>
    <w:rsid w:val="008F0E7B"/>
    <w:rsid w:val="008F59E9"/>
    <w:rsid w:val="008F5F84"/>
    <w:rsid w:val="008F60A5"/>
    <w:rsid w:val="008F7382"/>
    <w:rsid w:val="00906B81"/>
    <w:rsid w:val="009103E4"/>
    <w:rsid w:val="00911072"/>
    <w:rsid w:val="009124C3"/>
    <w:rsid w:val="009127B4"/>
    <w:rsid w:val="00912FE7"/>
    <w:rsid w:val="00913E67"/>
    <w:rsid w:val="00914497"/>
    <w:rsid w:val="00915118"/>
    <w:rsid w:val="0091545D"/>
    <w:rsid w:val="0091629F"/>
    <w:rsid w:val="00920800"/>
    <w:rsid w:val="0092096F"/>
    <w:rsid w:val="00920F04"/>
    <w:rsid w:val="00922156"/>
    <w:rsid w:val="00922ABB"/>
    <w:rsid w:val="00923265"/>
    <w:rsid w:val="009241E2"/>
    <w:rsid w:val="009246AE"/>
    <w:rsid w:val="00925AA5"/>
    <w:rsid w:val="0093057F"/>
    <w:rsid w:val="009305DA"/>
    <w:rsid w:val="00931B3A"/>
    <w:rsid w:val="00932AB9"/>
    <w:rsid w:val="009335B2"/>
    <w:rsid w:val="00934252"/>
    <w:rsid w:val="00934BD7"/>
    <w:rsid w:val="00934DCD"/>
    <w:rsid w:val="00940046"/>
    <w:rsid w:val="0094019D"/>
    <w:rsid w:val="00941CFB"/>
    <w:rsid w:val="00941EDE"/>
    <w:rsid w:val="00942C11"/>
    <w:rsid w:val="00943B3C"/>
    <w:rsid w:val="00943F23"/>
    <w:rsid w:val="00944F2A"/>
    <w:rsid w:val="0094647F"/>
    <w:rsid w:val="009479AE"/>
    <w:rsid w:val="00951A55"/>
    <w:rsid w:val="00954DA5"/>
    <w:rsid w:val="009556DB"/>
    <w:rsid w:val="00955D1B"/>
    <w:rsid w:val="0096198E"/>
    <w:rsid w:val="00962836"/>
    <w:rsid w:val="0096386B"/>
    <w:rsid w:val="00963E90"/>
    <w:rsid w:val="00966E59"/>
    <w:rsid w:val="00967F63"/>
    <w:rsid w:val="009727B0"/>
    <w:rsid w:val="009732AD"/>
    <w:rsid w:val="009732EC"/>
    <w:rsid w:val="009739FE"/>
    <w:rsid w:val="00973EB1"/>
    <w:rsid w:val="009752CE"/>
    <w:rsid w:val="0097569C"/>
    <w:rsid w:val="0097583F"/>
    <w:rsid w:val="0097590F"/>
    <w:rsid w:val="00975D06"/>
    <w:rsid w:val="009766E3"/>
    <w:rsid w:val="009821BE"/>
    <w:rsid w:val="009821CE"/>
    <w:rsid w:val="00982B2B"/>
    <w:rsid w:val="00982D8F"/>
    <w:rsid w:val="009852CF"/>
    <w:rsid w:val="00992DF2"/>
    <w:rsid w:val="0099313F"/>
    <w:rsid w:val="0099351F"/>
    <w:rsid w:val="0099540D"/>
    <w:rsid w:val="00995993"/>
    <w:rsid w:val="00997457"/>
    <w:rsid w:val="009975B1"/>
    <w:rsid w:val="0099798C"/>
    <w:rsid w:val="009A049B"/>
    <w:rsid w:val="009A1D07"/>
    <w:rsid w:val="009A1E83"/>
    <w:rsid w:val="009A2114"/>
    <w:rsid w:val="009A52A5"/>
    <w:rsid w:val="009A6580"/>
    <w:rsid w:val="009A658F"/>
    <w:rsid w:val="009A668A"/>
    <w:rsid w:val="009A72F1"/>
    <w:rsid w:val="009A7E87"/>
    <w:rsid w:val="009B0440"/>
    <w:rsid w:val="009B05DA"/>
    <w:rsid w:val="009B0B78"/>
    <w:rsid w:val="009B1ADE"/>
    <w:rsid w:val="009B405F"/>
    <w:rsid w:val="009B4BCC"/>
    <w:rsid w:val="009B4BF3"/>
    <w:rsid w:val="009C14C6"/>
    <w:rsid w:val="009C2CC8"/>
    <w:rsid w:val="009C2DAC"/>
    <w:rsid w:val="009C2F96"/>
    <w:rsid w:val="009C47E5"/>
    <w:rsid w:val="009C7637"/>
    <w:rsid w:val="009D015C"/>
    <w:rsid w:val="009D0347"/>
    <w:rsid w:val="009D1A3B"/>
    <w:rsid w:val="009D1A9F"/>
    <w:rsid w:val="009D4FB3"/>
    <w:rsid w:val="009D504C"/>
    <w:rsid w:val="009D6D2E"/>
    <w:rsid w:val="009D7A9B"/>
    <w:rsid w:val="009D7AF6"/>
    <w:rsid w:val="009E03E2"/>
    <w:rsid w:val="009E0A90"/>
    <w:rsid w:val="009E1547"/>
    <w:rsid w:val="009E1690"/>
    <w:rsid w:val="009E2526"/>
    <w:rsid w:val="009E3688"/>
    <w:rsid w:val="009E5352"/>
    <w:rsid w:val="009F0D8F"/>
    <w:rsid w:val="009F1EF4"/>
    <w:rsid w:val="009F331A"/>
    <w:rsid w:val="009F3A22"/>
    <w:rsid w:val="009F4808"/>
    <w:rsid w:val="009F63B6"/>
    <w:rsid w:val="009F77BE"/>
    <w:rsid w:val="009F7B09"/>
    <w:rsid w:val="00A02FB9"/>
    <w:rsid w:val="00A033B0"/>
    <w:rsid w:val="00A0422C"/>
    <w:rsid w:val="00A04A3F"/>
    <w:rsid w:val="00A07C85"/>
    <w:rsid w:val="00A11A34"/>
    <w:rsid w:val="00A12EAB"/>
    <w:rsid w:val="00A13F93"/>
    <w:rsid w:val="00A146CA"/>
    <w:rsid w:val="00A15E0F"/>
    <w:rsid w:val="00A160F0"/>
    <w:rsid w:val="00A166A6"/>
    <w:rsid w:val="00A16E03"/>
    <w:rsid w:val="00A25C78"/>
    <w:rsid w:val="00A260CD"/>
    <w:rsid w:val="00A264A2"/>
    <w:rsid w:val="00A268D5"/>
    <w:rsid w:val="00A26ED9"/>
    <w:rsid w:val="00A2744A"/>
    <w:rsid w:val="00A32CD0"/>
    <w:rsid w:val="00A339D3"/>
    <w:rsid w:val="00A33D10"/>
    <w:rsid w:val="00A3420A"/>
    <w:rsid w:val="00A3749B"/>
    <w:rsid w:val="00A4123C"/>
    <w:rsid w:val="00A433F8"/>
    <w:rsid w:val="00A43AD5"/>
    <w:rsid w:val="00A467E9"/>
    <w:rsid w:val="00A468A6"/>
    <w:rsid w:val="00A527DE"/>
    <w:rsid w:val="00A547A8"/>
    <w:rsid w:val="00A56909"/>
    <w:rsid w:val="00A57902"/>
    <w:rsid w:val="00A61F4B"/>
    <w:rsid w:val="00A62D19"/>
    <w:rsid w:val="00A62E42"/>
    <w:rsid w:val="00A64A71"/>
    <w:rsid w:val="00A66047"/>
    <w:rsid w:val="00A66060"/>
    <w:rsid w:val="00A66B7B"/>
    <w:rsid w:val="00A72370"/>
    <w:rsid w:val="00A73825"/>
    <w:rsid w:val="00A741F3"/>
    <w:rsid w:val="00A742C7"/>
    <w:rsid w:val="00A7481D"/>
    <w:rsid w:val="00A74CF0"/>
    <w:rsid w:val="00A76424"/>
    <w:rsid w:val="00A764D0"/>
    <w:rsid w:val="00A87A2C"/>
    <w:rsid w:val="00A9177E"/>
    <w:rsid w:val="00A9290A"/>
    <w:rsid w:val="00A9592F"/>
    <w:rsid w:val="00A97600"/>
    <w:rsid w:val="00A97A4D"/>
    <w:rsid w:val="00AA0C34"/>
    <w:rsid w:val="00AA1EDC"/>
    <w:rsid w:val="00AA2821"/>
    <w:rsid w:val="00AA2A74"/>
    <w:rsid w:val="00AA62AC"/>
    <w:rsid w:val="00AA641A"/>
    <w:rsid w:val="00AA6798"/>
    <w:rsid w:val="00AA6A9E"/>
    <w:rsid w:val="00AA6F4E"/>
    <w:rsid w:val="00AA7543"/>
    <w:rsid w:val="00AB0C4B"/>
    <w:rsid w:val="00AB1ED4"/>
    <w:rsid w:val="00AB216F"/>
    <w:rsid w:val="00AB2254"/>
    <w:rsid w:val="00AB2BD2"/>
    <w:rsid w:val="00AB3DC0"/>
    <w:rsid w:val="00AB5FB3"/>
    <w:rsid w:val="00AB6AC1"/>
    <w:rsid w:val="00AB792A"/>
    <w:rsid w:val="00AB7E84"/>
    <w:rsid w:val="00AB7F5E"/>
    <w:rsid w:val="00AC36D8"/>
    <w:rsid w:val="00AC4367"/>
    <w:rsid w:val="00AC4E9B"/>
    <w:rsid w:val="00AC6059"/>
    <w:rsid w:val="00AC61E4"/>
    <w:rsid w:val="00AC6810"/>
    <w:rsid w:val="00AD0A8A"/>
    <w:rsid w:val="00AD2E96"/>
    <w:rsid w:val="00AD5016"/>
    <w:rsid w:val="00AD6FA1"/>
    <w:rsid w:val="00AD706B"/>
    <w:rsid w:val="00AD725E"/>
    <w:rsid w:val="00AD7B96"/>
    <w:rsid w:val="00AE1628"/>
    <w:rsid w:val="00AE1AB0"/>
    <w:rsid w:val="00AE21E2"/>
    <w:rsid w:val="00AE2604"/>
    <w:rsid w:val="00AE2F90"/>
    <w:rsid w:val="00AE441B"/>
    <w:rsid w:val="00AE57D9"/>
    <w:rsid w:val="00AE6105"/>
    <w:rsid w:val="00AE6B6A"/>
    <w:rsid w:val="00AF0B00"/>
    <w:rsid w:val="00AF0DE1"/>
    <w:rsid w:val="00AF204B"/>
    <w:rsid w:val="00AF2B7F"/>
    <w:rsid w:val="00AF4004"/>
    <w:rsid w:val="00AF4706"/>
    <w:rsid w:val="00AF5A83"/>
    <w:rsid w:val="00AF6F4F"/>
    <w:rsid w:val="00AF70B5"/>
    <w:rsid w:val="00B00DEA"/>
    <w:rsid w:val="00B03790"/>
    <w:rsid w:val="00B03E25"/>
    <w:rsid w:val="00B05DA1"/>
    <w:rsid w:val="00B06963"/>
    <w:rsid w:val="00B07DEC"/>
    <w:rsid w:val="00B07E82"/>
    <w:rsid w:val="00B07F32"/>
    <w:rsid w:val="00B103B2"/>
    <w:rsid w:val="00B107C3"/>
    <w:rsid w:val="00B10819"/>
    <w:rsid w:val="00B10CBD"/>
    <w:rsid w:val="00B13DE3"/>
    <w:rsid w:val="00B140E3"/>
    <w:rsid w:val="00B15FCB"/>
    <w:rsid w:val="00B160B4"/>
    <w:rsid w:val="00B17039"/>
    <w:rsid w:val="00B176F0"/>
    <w:rsid w:val="00B20681"/>
    <w:rsid w:val="00B20813"/>
    <w:rsid w:val="00B21802"/>
    <w:rsid w:val="00B218C8"/>
    <w:rsid w:val="00B21A32"/>
    <w:rsid w:val="00B22D68"/>
    <w:rsid w:val="00B22FEF"/>
    <w:rsid w:val="00B256CB"/>
    <w:rsid w:val="00B26C0E"/>
    <w:rsid w:val="00B312E6"/>
    <w:rsid w:val="00B3149D"/>
    <w:rsid w:val="00B31E21"/>
    <w:rsid w:val="00B3408C"/>
    <w:rsid w:val="00B355EF"/>
    <w:rsid w:val="00B35D8E"/>
    <w:rsid w:val="00B36109"/>
    <w:rsid w:val="00B3700A"/>
    <w:rsid w:val="00B37853"/>
    <w:rsid w:val="00B37B58"/>
    <w:rsid w:val="00B37CAF"/>
    <w:rsid w:val="00B4023D"/>
    <w:rsid w:val="00B40E03"/>
    <w:rsid w:val="00B42F20"/>
    <w:rsid w:val="00B455FB"/>
    <w:rsid w:val="00B46A13"/>
    <w:rsid w:val="00B46ABC"/>
    <w:rsid w:val="00B46DBF"/>
    <w:rsid w:val="00B506CC"/>
    <w:rsid w:val="00B50DB8"/>
    <w:rsid w:val="00B51238"/>
    <w:rsid w:val="00B51EA6"/>
    <w:rsid w:val="00B54942"/>
    <w:rsid w:val="00B54FB5"/>
    <w:rsid w:val="00B57CE7"/>
    <w:rsid w:val="00B57DCA"/>
    <w:rsid w:val="00B6404E"/>
    <w:rsid w:val="00B66C84"/>
    <w:rsid w:val="00B674C3"/>
    <w:rsid w:val="00B70445"/>
    <w:rsid w:val="00B71F44"/>
    <w:rsid w:val="00B72AD9"/>
    <w:rsid w:val="00B73EFE"/>
    <w:rsid w:val="00B770FF"/>
    <w:rsid w:val="00B77232"/>
    <w:rsid w:val="00B778F6"/>
    <w:rsid w:val="00B82EF9"/>
    <w:rsid w:val="00B83B16"/>
    <w:rsid w:val="00B83EF5"/>
    <w:rsid w:val="00B85F47"/>
    <w:rsid w:val="00B87927"/>
    <w:rsid w:val="00B907F5"/>
    <w:rsid w:val="00B90B9E"/>
    <w:rsid w:val="00B92619"/>
    <w:rsid w:val="00B92B2A"/>
    <w:rsid w:val="00B92DE4"/>
    <w:rsid w:val="00B9428F"/>
    <w:rsid w:val="00B956E7"/>
    <w:rsid w:val="00B97A36"/>
    <w:rsid w:val="00BA01CA"/>
    <w:rsid w:val="00BA0BD8"/>
    <w:rsid w:val="00BB0430"/>
    <w:rsid w:val="00BB0AA6"/>
    <w:rsid w:val="00BB311F"/>
    <w:rsid w:val="00BB3922"/>
    <w:rsid w:val="00BB3FEC"/>
    <w:rsid w:val="00BB40EA"/>
    <w:rsid w:val="00BB532B"/>
    <w:rsid w:val="00BB67EE"/>
    <w:rsid w:val="00BB6AE5"/>
    <w:rsid w:val="00BB7E2E"/>
    <w:rsid w:val="00BC6BB5"/>
    <w:rsid w:val="00BC6F98"/>
    <w:rsid w:val="00BC7FC7"/>
    <w:rsid w:val="00BD01C5"/>
    <w:rsid w:val="00BD300B"/>
    <w:rsid w:val="00BD37F9"/>
    <w:rsid w:val="00BD3AA0"/>
    <w:rsid w:val="00BD5650"/>
    <w:rsid w:val="00BD5C23"/>
    <w:rsid w:val="00BD697D"/>
    <w:rsid w:val="00BE15D2"/>
    <w:rsid w:val="00BE37D6"/>
    <w:rsid w:val="00BE4B9F"/>
    <w:rsid w:val="00BE534E"/>
    <w:rsid w:val="00BE6488"/>
    <w:rsid w:val="00BE64B2"/>
    <w:rsid w:val="00BF0054"/>
    <w:rsid w:val="00BF25D6"/>
    <w:rsid w:val="00BF2929"/>
    <w:rsid w:val="00BF2A2F"/>
    <w:rsid w:val="00BF2B92"/>
    <w:rsid w:val="00BF37C6"/>
    <w:rsid w:val="00BF3975"/>
    <w:rsid w:val="00BF6379"/>
    <w:rsid w:val="00C00570"/>
    <w:rsid w:val="00C009BB"/>
    <w:rsid w:val="00C02799"/>
    <w:rsid w:val="00C02D23"/>
    <w:rsid w:val="00C03060"/>
    <w:rsid w:val="00C038EF"/>
    <w:rsid w:val="00C03BA5"/>
    <w:rsid w:val="00C04A74"/>
    <w:rsid w:val="00C073FC"/>
    <w:rsid w:val="00C07F7D"/>
    <w:rsid w:val="00C15424"/>
    <w:rsid w:val="00C15690"/>
    <w:rsid w:val="00C157DD"/>
    <w:rsid w:val="00C17F6D"/>
    <w:rsid w:val="00C23F82"/>
    <w:rsid w:val="00C24540"/>
    <w:rsid w:val="00C24B40"/>
    <w:rsid w:val="00C268DE"/>
    <w:rsid w:val="00C278E2"/>
    <w:rsid w:val="00C27E3F"/>
    <w:rsid w:val="00C30297"/>
    <w:rsid w:val="00C30573"/>
    <w:rsid w:val="00C319E0"/>
    <w:rsid w:val="00C34AD4"/>
    <w:rsid w:val="00C354A9"/>
    <w:rsid w:val="00C356F2"/>
    <w:rsid w:val="00C362D6"/>
    <w:rsid w:val="00C36563"/>
    <w:rsid w:val="00C40827"/>
    <w:rsid w:val="00C413DF"/>
    <w:rsid w:val="00C427E5"/>
    <w:rsid w:val="00C4288D"/>
    <w:rsid w:val="00C43F71"/>
    <w:rsid w:val="00C455E9"/>
    <w:rsid w:val="00C514DF"/>
    <w:rsid w:val="00C545A1"/>
    <w:rsid w:val="00C54926"/>
    <w:rsid w:val="00C54D62"/>
    <w:rsid w:val="00C54DBA"/>
    <w:rsid w:val="00C54E4E"/>
    <w:rsid w:val="00C554B0"/>
    <w:rsid w:val="00C55D98"/>
    <w:rsid w:val="00C56FD3"/>
    <w:rsid w:val="00C57689"/>
    <w:rsid w:val="00C603FD"/>
    <w:rsid w:val="00C663AB"/>
    <w:rsid w:val="00C67AB7"/>
    <w:rsid w:val="00C7050B"/>
    <w:rsid w:val="00C70FF4"/>
    <w:rsid w:val="00C7140E"/>
    <w:rsid w:val="00C7281B"/>
    <w:rsid w:val="00C72914"/>
    <w:rsid w:val="00C73390"/>
    <w:rsid w:val="00C75092"/>
    <w:rsid w:val="00C76782"/>
    <w:rsid w:val="00C7734A"/>
    <w:rsid w:val="00C80F20"/>
    <w:rsid w:val="00C81F52"/>
    <w:rsid w:val="00C823DF"/>
    <w:rsid w:val="00C8278A"/>
    <w:rsid w:val="00C82B98"/>
    <w:rsid w:val="00C838E9"/>
    <w:rsid w:val="00C83A10"/>
    <w:rsid w:val="00C84A82"/>
    <w:rsid w:val="00C85314"/>
    <w:rsid w:val="00C86F9C"/>
    <w:rsid w:val="00C911B3"/>
    <w:rsid w:val="00C916B3"/>
    <w:rsid w:val="00C92308"/>
    <w:rsid w:val="00C92534"/>
    <w:rsid w:val="00C9675B"/>
    <w:rsid w:val="00CA19FA"/>
    <w:rsid w:val="00CA2122"/>
    <w:rsid w:val="00CA272D"/>
    <w:rsid w:val="00CA2BB9"/>
    <w:rsid w:val="00CA46D6"/>
    <w:rsid w:val="00CA4BC0"/>
    <w:rsid w:val="00CA64AD"/>
    <w:rsid w:val="00CA6EB9"/>
    <w:rsid w:val="00CA7616"/>
    <w:rsid w:val="00CA78A5"/>
    <w:rsid w:val="00CB2B32"/>
    <w:rsid w:val="00CB3519"/>
    <w:rsid w:val="00CB37A4"/>
    <w:rsid w:val="00CC170F"/>
    <w:rsid w:val="00CC257F"/>
    <w:rsid w:val="00CC276A"/>
    <w:rsid w:val="00CC2FE6"/>
    <w:rsid w:val="00CC4A53"/>
    <w:rsid w:val="00CC519A"/>
    <w:rsid w:val="00CC559D"/>
    <w:rsid w:val="00CD074A"/>
    <w:rsid w:val="00CD1046"/>
    <w:rsid w:val="00CD2654"/>
    <w:rsid w:val="00CD2710"/>
    <w:rsid w:val="00CD2802"/>
    <w:rsid w:val="00CD5813"/>
    <w:rsid w:val="00CD60FE"/>
    <w:rsid w:val="00CD654B"/>
    <w:rsid w:val="00CD6BD4"/>
    <w:rsid w:val="00CD6CB0"/>
    <w:rsid w:val="00CE04A5"/>
    <w:rsid w:val="00CE0D6D"/>
    <w:rsid w:val="00CE223E"/>
    <w:rsid w:val="00CE5A55"/>
    <w:rsid w:val="00CE67F2"/>
    <w:rsid w:val="00CF0618"/>
    <w:rsid w:val="00CF1F11"/>
    <w:rsid w:val="00CF2F66"/>
    <w:rsid w:val="00CF538B"/>
    <w:rsid w:val="00CF5A64"/>
    <w:rsid w:val="00CF72BD"/>
    <w:rsid w:val="00CF7936"/>
    <w:rsid w:val="00D00228"/>
    <w:rsid w:val="00D01B95"/>
    <w:rsid w:val="00D022A8"/>
    <w:rsid w:val="00D03DA9"/>
    <w:rsid w:val="00D044D0"/>
    <w:rsid w:val="00D0590A"/>
    <w:rsid w:val="00D113AE"/>
    <w:rsid w:val="00D11B80"/>
    <w:rsid w:val="00D11BA4"/>
    <w:rsid w:val="00D12FDA"/>
    <w:rsid w:val="00D14067"/>
    <w:rsid w:val="00D145F5"/>
    <w:rsid w:val="00D14B3A"/>
    <w:rsid w:val="00D15646"/>
    <w:rsid w:val="00D159FF"/>
    <w:rsid w:val="00D165CA"/>
    <w:rsid w:val="00D17201"/>
    <w:rsid w:val="00D17591"/>
    <w:rsid w:val="00D20ABD"/>
    <w:rsid w:val="00D2136F"/>
    <w:rsid w:val="00D222E9"/>
    <w:rsid w:val="00D23B11"/>
    <w:rsid w:val="00D23EE4"/>
    <w:rsid w:val="00D24258"/>
    <w:rsid w:val="00D24B43"/>
    <w:rsid w:val="00D2555B"/>
    <w:rsid w:val="00D25F6C"/>
    <w:rsid w:val="00D27723"/>
    <w:rsid w:val="00D27810"/>
    <w:rsid w:val="00D27992"/>
    <w:rsid w:val="00D30C47"/>
    <w:rsid w:val="00D30D87"/>
    <w:rsid w:val="00D31CB8"/>
    <w:rsid w:val="00D3359D"/>
    <w:rsid w:val="00D33D05"/>
    <w:rsid w:val="00D33DA7"/>
    <w:rsid w:val="00D355F0"/>
    <w:rsid w:val="00D359A0"/>
    <w:rsid w:val="00D36FB1"/>
    <w:rsid w:val="00D37C0F"/>
    <w:rsid w:val="00D42D76"/>
    <w:rsid w:val="00D458AF"/>
    <w:rsid w:val="00D45AF8"/>
    <w:rsid w:val="00D467AB"/>
    <w:rsid w:val="00D474C2"/>
    <w:rsid w:val="00D47BA1"/>
    <w:rsid w:val="00D47D7D"/>
    <w:rsid w:val="00D5101E"/>
    <w:rsid w:val="00D5118F"/>
    <w:rsid w:val="00D515D5"/>
    <w:rsid w:val="00D51C05"/>
    <w:rsid w:val="00D51FFB"/>
    <w:rsid w:val="00D53F90"/>
    <w:rsid w:val="00D56CA2"/>
    <w:rsid w:val="00D57020"/>
    <w:rsid w:val="00D5710D"/>
    <w:rsid w:val="00D57895"/>
    <w:rsid w:val="00D5797B"/>
    <w:rsid w:val="00D57ABD"/>
    <w:rsid w:val="00D60D0A"/>
    <w:rsid w:val="00D61606"/>
    <w:rsid w:val="00D616AC"/>
    <w:rsid w:val="00D61DCF"/>
    <w:rsid w:val="00D62721"/>
    <w:rsid w:val="00D6389D"/>
    <w:rsid w:val="00D63A03"/>
    <w:rsid w:val="00D6495E"/>
    <w:rsid w:val="00D64C7A"/>
    <w:rsid w:val="00D64E52"/>
    <w:rsid w:val="00D6525A"/>
    <w:rsid w:val="00D6535B"/>
    <w:rsid w:val="00D65D94"/>
    <w:rsid w:val="00D70E02"/>
    <w:rsid w:val="00D7133F"/>
    <w:rsid w:val="00D71EA6"/>
    <w:rsid w:val="00D73966"/>
    <w:rsid w:val="00D83281"/>
    <w:rsid w:val="00D83BD9"/>
    <w:rsid w:val="00D83EBA"/>
    <w:rsid w:val="00D856A2"/>
    <w:rsid w:val="00D85F24"/>
    <w:rsid w:val="00D85F34"/>
    <w:rsid w:val="00D86F79"/>
    <w:rsid w:val="00D877C8"/>
    <w:rsid w:val="00D91BFD"/>
    <w:rsid w:val="00D92FB8"/>
    <w:rsid w:val="00D93DF0"/>
    <w:rsid w:val="00D94508"/>
    <w:rsid w:val="00D94EAC"/>
    <w:rsid w:val="00D95FB9"/>
    <w:rsid w:val="00D96838"/>
    <w:rsid w:val="00DA0342"/>
    <w:rsid w:val="00DA26DE"/>
    <w:rsid w:val="00DA26EE"/>
    <w:rsid w:val="00DA3C40"/>
    <w:rsid w:val="00DA5BF7"/>
    <w:rsid w:val="00DA686B"/>
    <w:rsid w:val="00DA6FD9"/>
    <w:rsid w:val="00DA733A"/>
    <w:rsid w:val="00DB03AE"/>
    <w:rsid w:val="00DB198A"/>
    <w:rsid w:val="00DB2420"/>
    <w:rsid w:val="00DB34D5"/>
    <w:rsid w:val="00DB4368"/>
    <w:rsid w:val="00DB4A16"/>
    <w:rsid w:val="00DB4BC8"/>
    <w:rsid w:val="00DB6003"/>
    <w:rsid w:val="00DB69DF"/>
    <w:rsid w:val="00DB7F09"/>
    <w:rsid w:val="00DC00E8"/>
    <w:rsid w:val="00DC3230"/>
    <w:rsid w:val="00DC49F1"/>
    <w:rsid w:val="00DC7147"/>
    <w:rsid w:val="00DD1527"/>
    <w:rsid w:val="00DD1772"/>
    <w:rsid w:val="00DD1B55"/>
    <w:rsid w:val="00DD32C6"/>
    <w:rsid w:val="00DD5E97"/>
    <w:rsid w:val="00DD68C2"/>
    <w:rsid w:val="00DD69A0"/>
    <w:rsid w:val="00DE0D14"/>
    <w:rsid w:val="00DE28C2"/>
    <w:rsid w:val="00DE2E75"/>
    <w:rsid w:val="00DE30B6"/>
    <w:rsid w:val="00DE39BF"/>
    <w:rsid w:val="00DE3DFC"/>
    <w:rsid w:val="00DE48A4"/>
    <w:rsid w:val="00DE687A"/>
    <w:rsid w:val="00DE732B"/>
    <w:rsid w:val="00DE7629"/>
    <w:rsid w:val="00DE7E27"/>
    <w:rsid w:val="00DF13AC"/>
    <w:rsid w:val="00DF3DFB"/>
    <w:rsid w:val="00DF78A6"/>
    <w:rsid w:val="00E039BF"/>
    <w:rsid w:val="00E03D7B"/>
    <w:rsid w:val="00E0489C"/>
    <w:rsid w:val="00E0540E"/>
    <w:rsid w:val="00E056EC"/>
    <w:rsid w:val="00E1040D"/>
    <w:rsid w:val="00E10D39"/>
    <w:rsid w:val="00E111A8"/>
    <w:rsid w:val="00E1136B"/>
    <w:rsid w:val="00E11395"/>
    <w:rsid w:val="00E11CAA"/>
    <w:rsid w:val="00E11CEA"/>
    <w:rsid w:val="00E12E4E"/>
    <w:rsid w:val="00E1346F"/>
    <w:rsid w:val="00E13517"/>
    <w:rsid w:val="00E135F6"/>
    <w:rsid w:val="00E136ED"/>
    <w:rsid w:val="00E13995"/>
    <w:rsid w:val="00E1479D"/>
    <w:rsid w:val="00E14E6D"/>
    <w:rsid w:val="00E15C29"/>
    <w:rsid w:val="00E16844"/>
    <w:rsid w:val="00E17EDD"/>
    <w:rsid w:val="00E216DF"/>
    <w:rsid w:val="00E21EA2"/>
    <w:rsid w:val="00E22D51"/>
    <w:rsid w:val="00E2314C"/>
    <w:rsid w:val="00E25472"/>
    <w:rsid w:val="00E25F61"/>
    <w:rsid w:val="00E2701C"/>
    <w:rsid w:val="00E3012B"/>
    <w:rsid w:val="00E304EF"/>
    <w:rsid w:val="00E31255"/>
    <w:rsid w:val="00E3194C"/>
    <w:rsid w:val="00E32342"/>
    <w:rsid w:val="00E34344"/>
    <w:rsid w:val="00E35AC7"/>
    <w:rsid w:val="00E35FA1"/>
    <w:rsid w:val="00E404ED"/>
    <w:rsid w:val="00E41212"/>
    <w:rsid w:val="00E4336F"/>
    <w:rsid w:val="00E44546"/>
    <w:rsid w:val="00E4509F"/>
    <w:rsid w:val="00E45A55"/>
    <w:rsid w:val="00E47014"/>
    <w:rsid w:val="00E47185"/>
    <w:rsid w:val="00E5001F"/>
    <w:rsid w:val="00E50D04"/>
    <w:rsid w:val="00E50E7C"/>
    <w:rsid w:val="00E51545"/>
    <w:rsid w:val="00E51F62"/>
    <w:rsid w:val="00E54956"/>
    <w:rsid w:val="00E55326"/>
    <w:rsid w:val="00E55A80"/>
    <w:rsid w:val="00E563AD"/>
    <w:rsid w:val="00E563B8"/>
    <w:rsid w:val="00E577A4"/>
    <w:rsid w:val="00E609DD"/>
    <w:rsid w:val="00E61D13"/>
    <w:rsid w:val="00E711D7"/>
    <w:rsid w:val="00E714DE"/>
    <w:rsid w:val="00E71A2E"/>
    <w:rsid w:val="00E73A9D"/>
    <w:rsid w:val="00E7517A"/>
    <w:rsid w:val="00E75524"/>
    <w:rsid w:val="00E81957"/>
    <w:rsid w:val="00E8199E"/>
    <w:rsid w:val="00E8202E"/>
    <w:rsid w:val="00E838BB"/>
    <w:rsid w:val="00E839B3"/>
    <w:rsid w:val="00E83A90"/>
    <w:rsid w:val="00E83D69"/>
    <w:rsid w:val="00E84763"/>
    <w:rsid w:val="00E8555F"/>
    <w:rsid w:val="00E85FA2"/>
    <w:rsid w:val="00E8608C"/>
    <w:rsid w:val="00E902B0"/>
    <w:rsid w:val="00E902E8"/>
    <w:rsid w:val="00E9142F"/>
    <w:rsid w:val="00E91974"/>
    <w:rsid w:val="00E91F21"/>
    <w:rsid w:val="00E9354A"/>
    <w:rsid w:val="00E94A58"/>
    <w:rsid w:val="00E95FC6"/>
    <w:rsid w:val="00E96038"/>
    <w:rsid w:val="00EA1747"/>
    <w:rsid w:val="00EA55DB"/>
    <w:rsid w:val="00EA6440"/>
    <w:rsid w:val="00EA7508"/>
    <w:rsid w:val="00EB030F"/>
    <w:rsid w:val="00EB25C5"/>
    <w:rsid w:val="00EB2F74"/>
    <w:rsid w:val="00EB30BB"/>
    <w:rsid w:val="00EB69A8"/>
    <w:rsid w:val="00EB7598"/>
    <w:rsid w:val="00EB7A5C"/>
    <w:rsid w:val="00EC0DB4"/>
    <w:rsid w:val="00EC1036"/>
    <w:rsid w:val="00EC20FC"/>
    <w:rsid w:val="00EC6B16"/>
    <w:rsid w:val="00EC713A"/>
    <w:rsid w:val="00ED13BD"/>
    <w:rsid w:val="00ED3660"/>
    <w:rsid w:val="00ED3AAD"/>
    <w:rsid w:val="00ED3CB8"/>
    <w:rsid w:val="00ED444C"/>
    <w:rsid w:val="00ED478D"/>
    <w:rsid w:val="00ED58B0"/>
    <w:rsid w:val="00ED7DE6"/>
    <w:rsid w:val="00EE002C"/>
    <w:rsid w:val="00EE0463"/>
    <w:rsid w:val="00EE101E"/>
    <w:rsid w:val="00EE1656"/>
    <w:rsid w:val="00EE21CD"/>
    <w:rsid w:val="00EE3C23"/>
    <w:rsid w:val="00EE4F23"/>
    <w:rsid w:val="00EE629A"/>
    <w:rsid w:val="00EE677F"/>
    <w:rsid w:val="00EE73B2"/>
    <w:rsid w:val="00EF16B1"/>
    <w:rsid w:val="00EF1A83"/>
    <w:rsid w:val="00EF1F79"/>
    <w:rsid w:val="00EF34C1"/>
    <w:rsid w:val="00EF366E"/>
    <w:rsid w:val="00EF3C41"/>
    <w:rsid w:val="00EF45BA"/>
    <w:rsid w:val="00EF6708"/>
    <w:rsid w:val="00F0082D"/>
    <w:rsid w:val="00F01211"/>
    <w:rsid w:val="00F01683"/>
    <w:rsid w:val="00F01D02"/>
    <w:rsid w:val="00F0395D"/>
    <w:rsid w:val="00F03AB5"/>
    <w:rsid w:val="00F03BAD"/>
    <w:rsid w:val="00F04C6D"/>
    <w:rsid w:val="00F04C90"/>
    <w:rsid w:val="00F054A9"/>
    <w:rsid w:val="00F05DCE"/>
    <w:rsid w:val="00F07C90"/>
    <w:rsid w:val="00F10AE4"/>
    <w:rsid w:val="00F11E05"/>
    <w:rsid w:val="00F15435"/>
    <w:rsid w:val="00F20469"/>
    <w:rsid w:val="00F2053C"/>
    <w:rsid w:val="00F209E7"/>
    <w:rsid w:val="00F215D4"/>
    <w:rsid w:val="00F22B78"/>
    <w:rsid w:val="00F233B3"/>
    <w:rsid w:val="00F241F4"/>
    <w:rsid w:val="00F24FAC"/>
    <w:rsid w:val="00F25052"/>
    <w:rsid w:val="00F251B4"/>
    <w:rsid w:val="00F2520A"/>
    <w:rsid w:val="00F2557E"/>
    <w:rsid w:val="00F31AFE"/>
    <w:rsid w:val="00F3323D"/>
    <w:rsid w:val="00F3356F"/>
    <w:rsid w:val="00F35B1E"/>
    <w:rsid w:val="00F36680"/>
    <w:rsid w:val="00F4276C"/>
    <w:rsid w:val="00F44007"/>
    <w:rsid w:val="00F446D4"/>
    <w:rsid w:val="00F45599"/>
    <w:rsid w:val="00F461AD"/>
    <w:rsid w:val="00F51FC4"/>
    <w:rsid w:val="00F52EAA"/>
    <w:rsid w:val="00F52F5E"/>
    <w:rsid w:val="00F5323E"/>
    <w:rsid w:val="00F548D8"/>
    <w:rsid w:val="00F54B62"/>
    <w:rsid w:val="00F56FEA"/>
    <w:rsid w:val="00F57FF9"/>
    <w:rsid w:val="00F60937"/>
    <w:rsid w:val="00F60BC6"/>
    <w:rsid w:val="00F61424"/>
    <w:rsid w:val="00F63A29"/>
    <w:rsid w:val="00F63F53"/>
    <w:rsid w:val="00F64AE3"/>
    <w:rsid w:val="00F64F6B"/>
    <w:rsid w:val="00F64F97"/>
    <w:rsid w:val="00F66B9F"/>
    <w:rsid w:val="00F67418"/>
    <w:rsid w:val="00F70ABB"/>
    <w:rsid w:val="00F714FF"/>
    <w:rsid w:val="00F71A0E"/>
    <w:rsid w:val="00F73683"/>
    <w:rsid w:val="00F745F4"/>
    <w:rsid w:val="00F75204"/>
    <w:rsid w:val="00F814C5"/>
    <w:rsid w:val="00F816DA"/>
    <w:rsid w:val="00F82724"/>
    <w:rsid w:val="00F82C42"/>
    <w:rsid w:val="00F82C70"/>
    <w:rsid w:val="00F83566"/>
    <w:rsid w:val="00F8379F"/>
    <w:rsid w:val="00F83D63"/>
    <w:rsid w:val="00F849D4"/>
    <w:rsid w:val="00F84A0C"/>
    <w:rsid w:val="00F864D0"/>
    <w:rsid w:val="00F873B4"/>
    <w:rsid w:val="00F92279"/>
    <w:rsid w:val="00F9404A"/>
    <w:rsid w:val="00F9525D"/>
    <w:rsid w:val="00F96767"/>
    <w:rsid w:val="00F97ED0"/>
    <w:rsid w:val="00FA0E12"/>
    <w:rsid w:val="00FA1F7D"/>
    <w:rsid w:val="00FA284D"/>
    <w:rsid w:val="00FA59C6"/>
    <w:rsid w:val="00FA6584"/>
    <w:rsid w:val="00FA76E7"/>
    <w:rsid w:val="00FB198A"/>
    <w:rsid w:val="00FB2EF6"/>
    <w:rsid w:val="00FB4DCC"/>
    <w:rsid w:val="00FB57A6"/>
    <w:rsid w:val="00FB5C5C"/>
    <w:rsid w:val="00FB64AA"/>
    <w:rsid w:val="00FB6A6A"/>
    <w:rsid w:val="00FC04D6"/>
    <w:rsid w:val="00FC221D"/>
    <w:rsid w:val="00FC24F4"/>
    <w:rsid w:val="00FC2AB0"/>
    <w:rsid w:val="00FC5E82"/>
    <w:rsid w:val="00FC69F7"/>
    <w:rsid w:val="00FC6A9F"/>
    <w:rsid w:val="00FC6ADA"/>
    <w:rsid w:val="00FD149C"/>
    <w:rsid w:val="00FD18C8"/>
    <w:rsid w:val="00FD2084"/>
    <w:rsid w:val="00FD212F"/>
    <w:rsid w:val="00FD3360"/>
    <w:rsid w:val="00FD506C"/>
    <w:rsid w:val="00FE0B4B"/>
    <w:rsid w:val="00FE5E13"/>
    <w:rsid w:val="00FE690C"/>
    <w:rsid w:val="00FE6E51"/>
    <w:rsid w:val="00FE715A"/>
    <w:rsid w:val="00FF02D7"/>
    <w:rsid w:val="00FF24FE"/>
    <w:rsid w:val="00FF3644"/>
    <w:rsid w:val="00FF5385"/>
    <w:rsid w:val="00FF5653"/>
    <w:rsid w:val="00FF7101"/>
    <w:rsid w:val="00FF710A"/>
    <w:rsid w:val="00FF7D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7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D63A03"/>
    <w:pPr>
      <w:keepNext w:val="0"/>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D63A03"/>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1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16"/>
      </w:numPr>
      <w:spacing w:before="0"/>
    </w:pPr>
  </w:style>
  <w:style w:type="paragraph" w:customStyle="1" w:styleId="OutlineNumbered3">
    <w:name w:val="Outline Numbered 3"/>
    <w:basedOn w:val="Normal"/>
    <w:rsid w:val="000E0B74"/>
    <w:pPr>
      <w:numPr>
        <w:ilvl w:val="2"/>
        <w:numId w:val="1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uiPriority w:val="99"/>
    <w:rsid w:val="0060595B"/>
    <w:pPr>
      <w:spacing w:before="0" w:after="0"/>
    </w:pPr>
    <w:rPr>
      <w:sz w:val="20"/>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DashChar">
    <w:name w:val="Dash Char"/>
    <w:basedOn w:val="DefaultParagraphFont"/>
    <w:link w:val="Dash"/>
    <w:rsid w:val="00CD60FE"/>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CD60FE"/>
    <w:rPr>
      <w:sz w:val="16"/>
      <w:szCs w:val="16"/>
    </w:rPr>
  </w:style>
  <w:style w:type="paragraph" w:styleId="CommentText">
    <w:name w:val="annotation text"/>
    <w:basedOn w:val="Normal"/>
    <w:link w:val="CommentTextChar"/>
    <w:uiPriority w:val="99"/>
    <w:semiHidden/>
    <w:unhideWhenUsed/>
    <w:rsid w:val="00CD60FE"/>
    <w:pPr>
      <w:spacing w:before="0" w:after="200"/>
    </w:pPr>
    <w:rPr>
      <w:rFonts w:ascii="Times New Roman" w:hAnsi="Times New Roman"/>
      <w:sz w:val="20"/>
    </w:rPr>
  </w:style>
  <w:style w:type="character" w:customStyle="1" w:styleId="CommentTextChar">
    <w:name w:val="Comment Text Char"/>
    <w:basedOn w:val="DefaultParagraphFont"/>
    <w:link w:val="CommentText"/>
    <w:uiPriority w:val="99"/>
    <w:semiHidden/>
    <w:rsid w:val="00CD60FE"/>
    <w:rPr>
      <w:rFonts w:ascii="Times New Roman" w:eastAsia="Times New Roman" w:hAnsi="Times New Roman" w:cs="Times New Roman"/>
      <w:sz w:val="20"/>
      <w:szCs w:val="20"/>
      <w:lang w:eastAsia="en-AU"/>
    </w:rPr>
  </w:style>
  <w:style w:type="character" w:customStyle="1" w:styleId="OutlineNumbered1Char">
    <w:name w:val="Outline Numbered 1 Char"/>
    <w:basedOn w:val="DefaultParagraphFont"/>
    <w:link w:val="OutlineNumbered1"/>
    <w:rsid w:val="00680460"/>
    <w:rPr>
      <w:rFonts w:ascii="Calibri" w:eastAsia="Times New Roman" w:hAnsi="Calibri" w:cs="Times New Roman"/>
      <w:szCs w:val="20"/>
      <w:lang w:eastAsia="en-AU"/>
    </w:rPr>
  </w:style>
  <w:style w:type="character" w:customStyle="1" w:styleId="BulletChar">
    <w:name w:val="Bullet Char"/>
    <w:basedOn w:val="DefaultParagraphFont"/>
    <w:link w:val="Bullet"/>
    <w:rsid w:val="00680460"/>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3D23F2"/>
    <w:pPr>
      <w:spacing w:before="120" w:after="120"/>
    </w:pPr>
    <w:rPr>
      <w:rFonts w:ascii="Calibri" w:hAnsi="Calibri"/>
      <w:b/>
      <w:bCs/>
    </w:rPr>
  </w:style>
  <w:style w:type="character" w:customStyle="1" w:styleId="CommentSubjectChar">
    <w:name w:val="Comment Subject Char"/>
    <w:basedOn w:val="CommentTextChar"/>
    <w:link w:val="CommentSubject"/>
    <w:uiPriority w:val="99"/>
    <w:semiHidden/>
    <w:rsid w:val="003D23F2"/>
    <w:rPr>
      <w:rFonts w:ascii="Calibri" w:eastAsia="Times New Roman" w:hAnsi="Calibri" w:cs="Times New Roman"/>
      <w:b/>
      <w:bCs/>
      <w:sz w:val="20"/>
      <w:szCs w:val="20"/>
      <w:lang w:eastAsia="en-AU"/>
    </w:rPr>
  </w:style>
  <w:style w:type="paragraph" w:customStyle="1" w:styleId="Default">
    <w:name w:val="Default"/>
    <w:rsid w:val="0021769D"/>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B1ED4"/>
    <w:pPr>
      <w:spacing w:before="0" w:after="0"/>
    </w:pPr>
    <w:rPr>
      <w:sz w:val="20"/>
    </w:rPr>
  </w:style>
  <w:style w:type="character" w:customStyle="1" w:styleId="EndnoteTextChar">
    <w:name w:val="Endnote Text Char"/>
    <w:basedOn w:val="DefaultParagraphFont"/>
    <w:link w:val="EndnoteText"/>
    <w:uiPriority w:val="99"/>
    <w:semiHidden/>
    <w:rsid w:val="00AB1ED4"/>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AB1ED4"/>
    <w:rPr>
      <w:vertAlign w:val="superscript"/>
    </w:rPr>
  </w:style>
  <w:style w:type="paragraph" w:styleId="Quote">
    <w:name w:val="Quote"/>
    <w:basedOn w:val="Normal"/>
    <w:next w:val="Normal"/>
    <w:link w:val="QuoteChar"/>
    <w:uiPriority w:val="29"/>
    <w:qFormat/>
    <w:rsid w:val="00055EC1"/>
    <w:pPr>
      <w:spacing w:before="0" w:after="240" w:line="280" w:lineRule="exact"/>
      <w:ind w:left="567"/>
    </w:pPr>
    <w:rPr>
      <w:rFonts w:asciiTheme="minorHAnsi" w:eastAsiaTheme="minorEastAsia" w:hAnsiTheme="minorHAnsi" w:cstheme="minorBidi"/>
      <w:i/>
      <w:iCs/>
      <w:color w:val="000000" w:themeColor="text1"/>
      <w:szCs w:val="22"/>
      <w:lang w:eastAsia="zh-CN"/>
    </w:rPr>
  </w:style>
  <w:style w:type="character" w:customStyle="1" w:styleId="QuoteChar">
    <w:name w:val="Quote Char"/>
    <w:basedOn w:val="DefaultParagraphFont"/>
    <w:link w:val="Quote"/>
    <w:uiPriority w:val="29"/>
    <w:rsid w:val="00055EC1"/>
    <w:rPr>
      <w:rFonts w:eastAsiaTheme="minorEastAsia"/>
      <w:i/>
      <w:iCs/>
      <w:color w:val="000000" w:themeColor="text1"/>
      <w:lang w:eastAsia="zh-CN"/>
    </w:rPr>
  </w:style>
  <w:style w:type="character" w:styleId="FollowedHyperlink">
    <w:name w:val="FollowedHyperlink"/>
    <w:basedOn w:val="DefaultParagraphFont"/>
    <w:uiPriority w:val="99"/>
    <w:semiHidden/>
    <w:unhideWhenUsed/>
    <w:rsid w:val="00F75204"/>
    <w:rPr>
      <w:color w:val="954F72" w:themeColor="followedHyperlink"/>
      <w:u w:val="single"/>
    </w:rPr>
  </w:style>
  <w:style w:type="paragraph" w:styleId="ListParagraph">
    <w:name w:val="List Paragraph"/>
    <w:basedOn w:val="Normal"/>
    <w:uiPriority w:val="34"/>
    <w:qFormat/>
    <w:rsid w:val="008430F1"/>
    <w:pPr>
      <w:ind w:left="720"/>
      <w:contextualSpacing/>
    </w:pPr>
  </w:style>
  <w:style w:type="paragraph" w:styleId="Revision">
    <w:name w:val="Revision"/>
    <w:hidden/>
    <w:uiPriority w:val="99"/>
    <w:semiHidden/>
    <w:rsid w:val="00406BCE"/>
    <w:pPr>
      <w:spacing w:after="0" w:line="240" w:lineRule="auto"/>
    </w:pPr>
    <w:rPr>
      <w:rFonts w:ascii="Calibri" w:eastAsia="Times New Roman" w:hAnsi="Calibri" w:cs="Times New Roman"/>
      <w:szCs w:val="20"/>
      <w:lang w:eastAsia="en-AU"/>
    </w:rPr>
  </w:style>
  <w:style w:type="character" w:styleId="Emphasis">
    <w:name w:val="Emphasis"/>
    <w:basedOn w:val="DefaultParagraphFont"/>
    <w:uiPriority w:val="20"/>
    <w:qFormat/>
    <w:rsid w:val="003E790F"/>
    <w:rPr>
      <w:i/>
      <w:iCs/>
    </w:rPr>
  </w:style>
  <w:style w:type="paragraph" w:styleId="NormalWeb">
    <w:name w:val="Normal (Web)"/>
    <w:basedOn w:val="Normal"/>
    <w:uiPriority w:val="99"/>
    <w:unhideWhenUsed/>
    <w:rsid w:val="00AF470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D63A03"/>
    <w:pPr>
      <w:keepNext w:val="0"/>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D63A03"/>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link w:val="OutlineNumbered1Char"/>
    <w:rsid w:val="000E0B74"/>
    <w:pPr>
      <w:numPr>
        <w:numId w:val="1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16"/>
      </w:numPr>
      <w:spacing w:before="0"/>
    </w:pPr>
  </w:style>
  <w:style w:type="paragraph" w:customStyle="1" w:styleId="OutlineNumbered3">
    <w:name w:val="Outline Numbered 3"/>
    <w:basedOn w:val="Normal"/>
    <w:rsid w:val="000E0B74"/>
    <w:pPr>
      <w:numPr>
        <w:ilvl w:val="2"/>
        <w:numId w:val="1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n,ft"/>
    <w:basedOn w:val="Normal"/>
    <w:link w:val="FootnoteTextChar"/>
    <w:uiPriority w:val="99"/>
    <w:rsid w:val="0060595B"/>
    <w:pPr>
      <w:spacing w:before="0" w:after="0"/>
    </w:pPr>
    <w:rPr>
      <w:sz w:val="20"/>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DashChar">
    <w:name w:val="Dash Char"/>
    <w:basedOn w:val="DefaultParagraphFont"/>
    <w:link w:val="Dash"/>
    <w:rsid w:val="00CD60FE"/>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CD60FE"/>
    <w:rPr>
      <w:sz w:val="16"/>
      <w:szCs w:val="16"/>
    </w:rPr>
  </w:style>
  <w:style w:type="paragraph" w:styleId="CommentText">
    <w:name w:val="annotation text"/>
    <w:basedOn w:val="Normal"/>
    <w:link w:val="CommentTextChar"/>
    <w:uiPriority w:val="99"/>
    <w:semiHidden/>
    <w:unhideWhenUsed/>
    <w:rsid w:val="00CD60FE"/>
    <w:pPr>
      <w:spacing w:before="0" w:after="200"/>
    </w:pPr>
    <w:rPr>
      <w:rFonts w:ascii="Times New Roman" w:hAnsi="Times New Roman"/>
      <w:sz w:val="20"/>
    </w:rPr>
  </w:style>
  <w:style w:type="character" w:customStyle="1" w:styleId="CommentTextChar">
    <w:name w:val="Comment Text Char"/>
    <w:basedOn w:val="DefaultParagraphFont"/>
    <w:link w:val="CommentText"/>
    <w:uiPriority w:val="99"/>
    <w:semiHidden/>
    <w:rsid w:val="00CD60FE"/>
    <w:rPr>
      <w:rFonts w:ascii="Times New Roman" w:eastAsia="Times New Roman" w:hAnsi="Times New Roman" w:cs="Times New Roman"/>
      <w:sz w:val="20"/>
      <w:szCs w:val="20"/>
      <w:lang w:eastAsia="en-AU"/>
    </w:rPr>
  </w:style>
  <w:style w:type="character" w:customStyle="1" w:styleId="OutlineNumbered1Char">
    <w:name w:val="Outline Numbered 1 Char"/>
    <w:basedOn w:val="DefaultParagraphFont"/>
    <w:link w:val="OutlineNumbered1"/>
    <w:rsid w:val="00680460"/>
    <w:rPr>
      <w:rFonts w:ascii="Calibri" w:eastAsia="Times New Roman" w:hAnsi="Calibri" w:cs="Times New Roman"/>
      <w:szCs w:val="20"/>
      <w:lang w:eastAsia="en-AU"/>
    </w:rPr>
  </w:style>
  <w:style w:type="character" w:customStyle="1" w:styleId="BulletChar">
    <w:name w:val="Bullet Char"/>
    <w:basedOn w:val="DefaultParagraphFont"/>
    <w:link w:val="Bullet"/>
    <w:rsid w:val="00680460"/>
    <w:rPr>
      <w:rFonts w:ascii="Calibri" w:eastAsia="Times New Roman" w:hAnsi="Calibri" w:cs="Times New Roman"/>
      <w:szCs w:val="20"/>
      <w:lang w:eastAsia="en-AU"/>
    </w:rPr>
  </w:style>
  <w:style w:type="paragraph" w:styleId="CommentSubject">
    <w:name w:val="annotation subject"/>
    <w:basedOn w:val="CommentText"/>
    <w:next w:val="CommentText"/>
    <w:link w:val="CommentSubjectChar"/>
    <w:uiPriority w:val="99"/>
    <w:semiHidden/>
    <w:unhideWhenUsed/>
    <w:rsid w:val="003D23F2"/>
    <w:pPr>
      <w:spacing w:before="120" w:after="120"/>
    </w:pPr>
    <w:rPr>
      <w:rFonts w:ascii="Calibri" w:hAnsi="Calibri"/>
      <w:b/>
      <w:bCs/>
    </w:rPr>
  </w:style>
  <w:style w:type="character" w:customStyle="1" w:styleId="CommentSubjectChar">
    <w:name w:val="Comment Subject Char"/>
    <w:basedOn w:val="CommentTextChar"/>
    <w:link w:val="CommentSubject"/>
    <w:uiPriority w:val="99"/>
    <w:semiHidden/>
    <w:rsid w:val="003D23F2"/>
    <w:rPr>
      <w:rFonts w:ascii="Calibri" w:eastAsia="Times New Roman" w:hAnsi="Calibri" w:cs="Times New Roman"/>
      <w:b/>
      <w:bCs/>
      <w:sz w:val="20"/>
      <w:szCs w:val="20"/>
      <w:lang w:eastAsia="en-AU"/>
    </w:rPr>
  </w:style>
  <w:style w:type="paragraph" w:customStyle="1" w:styleId="Default">
    <w:name w:val="Default"/>
    <w:rsid w:val="0021769D"/>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AB1ED4"/>
    <w:pPr>
      <w:spacing w:before="0" w:after="0"/>
    </w:pPr>
    <w:rPr>
      <w:sz w:val="20"/>
    </w:rPr>
  </w:style>
  <w:style w:type="character" w:customStyle="1" w:styleId="EndnoteTextChar">
    <w:name w:val="Endnote Text Char"/>
    <w:basedOn w:val="DefaultParagraphFont"/>
    <w:link w:val="EndnoteText"/>
    <w:uiPriority w:val="99"/>
    <w:semiHidden/>
    <w:rsid w:val="00AB1ED4"/>
    <w:rPr>
      <w:rFonts w:ascii="Calibri" w:eastAsia="Times New Roman" w:hAnsi="Calibri" w:cs="Times New Roman"/>
      <w:sz w:val="20"/>
      <w:szCs w:val="20"/>
      <w:lang w:eastAsia="en-AU"/>
    </w:rPr>
  </w:style>
  <w:style w:type="character" w:styleId="EndnoteReference">
    <w:name w:val="endnote reference"/>
    <w:basedOn w:val="DefaultParagraphFont"/>
    <w:uiPriority w:val="99"/>
    <w:semiHidden/>
    <w:unhideWhenUsed/>
    <w:rsid w:val="00AB1ED4"/>
    <w:rPr>
      <w:vertAlign w:val="superscript"/>
    </w:rPr>
  </w:style>
  <w:style w:type="paragraph" w:styleId="Quote">
    <w:name w:val="Quote"/>
    <w:basedOn w:val="Normal"/>
    <w:next w:val="Normal"/>
    <w:link w:val="QuoteChar"/>
    <w:uiPriority w:val="29"/>
    <w:qFormat/>
    <w:rsid w:val="00055EC1"/>
    <w:pPr>
      <w:spacing w:before="0" w:after="240" w:line="280" w:lineRule="exact"/>
      <w:ind w:left="567"/>
    </w:pPr>
    <w:rPr>
      <w:rFonts w:asciiTheme="minorHAnsi" w:eastAsiaTheme="minorEastAsia" w:hAnsiTheme="minorHAnsi" w:cstheme="minorBidi"/>
      <w:i/>
      <w:iCs/>
      <w:color w:val="000000" w:themeColor="text1"/>
      <w:szCs w:val="22"/>
      <w:lang w:eastAsia="zh-CN"/>
    </w:rPr>
  </w:style>
  <w:style w:type="character" w:customStyle="1" w:styleId="QuoteChar">
    <w:name w:val="Quote Char"/>
    <w:basedOn w:val="DefaultParagraphFont"/>
    <w:link w:val="Quote"/>
    <w:uiPriority w:val="29"/>
    <w:rsid w:val="00055EC1"/>
    <w:rPr>
      <w:rFonts w:eastAsiaTheme="minorEastAsia"/>
      <w:i/>
      <w:iCs/>
      <w:color w:val="000000" w:themeColor="text1"/>
      <w:lang w:eastAsia="zh-CN"/>
    </w:rPr>
  </w:style>
  <w:style w:type="character" w:styleId="FollowedHyperlink">
    <w:name w:val="FollowedHyperlink"/>
    <w:basedOn w:val="DefaultParagraphFont"/>
    <w:uiPriority w:val="99"/>
    <w:semiHidden/>
    <w:unhideWhenUsed/>
    <w:rsid w:val="00F75204"/>
    <w:rPr>
      <w:color w:val="954F72" w:themeColor="followedHyperlink"/>
      <w:u w:val="single"/>
    </w:rPr>
  </w:style>
  <w:style w:type="paragraph" w:styleId="ListParagraph">
    <w:name w:val="List Paragraph"/>
    <w:basedOn w:val="Normal"/>
    <w:uiPriority w:val="34"/>
    <w:qFormat/>
    <w:rsid w:val="008430F1"/>
    <w:pPr>
      <w:ind w:left="720"/>
      <w:contextualSpacing/>
    </w:pPr>
  </w:style>
  <w:style w:type="paragraph" w:styleId="Revision">
    <w:name w:val="Revision"/>
    <w:hidden/>
    <w:uiPriority w:val="99"/>
    <w:semiHidden/>
    <w:rsid w:val="00406BCE"/>
    <w:pPr>
      <w:spacing w:after="0" w:line="240" w:lineRule="auto"/>
    </w:pPr>
    <w:rPr>
      <w:rFonts w:ascii="Calibri" w:eastAsia="Times New Roman" w:hAnsi="Calibri" w:cs="Times New Roman"/>
      <w:szCs w:val="20"/>
      <w:lang w:eastAsia="en-AU"/>
    </w:rPr>
  </w:style>
  <w:style w:type="character" w:styleId="Emphasis">
    <w:name w:val="Emphasis"/>
    <w:basedOn w:val="DefaultParagraphFont"/>
    <w:uiPriority w:val="20"/>
    <w:qFormat/>
    <w:rsid w:val="003E790F"/>
    <w:rPr>
      <w:i/>
      <w:iCs/>
    </w:rPr>
  </w:style>
  <w:style w:type="paragraph" w:styleId="NormalWeb">
    <w:name w:val="Normal (Web)"/>
    <w:basedOn w:val="Normal"/>
    <w:uiPriority w:val="99"/>
    <w:unhideWhenUsed/>
    <w:rsid w:val="00AF470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hyperlink" Target="http://archive.treasury.gov.au/documents/1995/PDF/clearing_the_waters_april2011.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Insurancedisclosure@treasury.gov.a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download.asic.gov.au/media/2195187/rep416-published-28-october-2014.pdf" TargetMode="External"/><Relationship Id="rId13" Type="http://schemas.openxmlformats.org/officeDocument/2006/relationships/hyperlink" Target="https://search.proquest.com/docview/204912462/fulltextPDF/AF1829123F734556PQ/1?accountid=46495" TargetMode="External"/><Relationship Id="rId18" Type="http://schemas.openxmlformats.org/officeDocument/2006/relationships/hyperlink" Target="http://parlinfo.aph.gov.au/parlInfo/download/committees/commsen/a4aef4a6-e49d-4206-88dd-35d94c46b738/toc_pdf/Economics%20References%20Committee_2017_04_12_4970_Official.pdf;fileType=application%2Fpdf" TargetMode="External"/><Relationship Id="rId26" Type="http://schemas.openxmlformats.org/officeDocument/2006/relationships/hyperlink" Target="http://parlinfo.aph.gov.au/parlInfo/download/committees/commsen/a4aef4a6-e49d-4206-88dd-35d94c46b738/toc_pdf/Economics%20References%20Committee_2017_04_12_4970_Official.pdf;fileType=application%2Fpdf" TargetMode="External"/><Relationship Id="rId3" Type="http://schemas.openxmlformats.org/officeDocument/2006/relationships/hyperlink" Target="http://fsi.gov.au/files/2014/12/FSI_Final_Report_Consolidated20141210.pdf" TargetMode="External"/><Relationship Id="rId21" Type="http://schemas.openxmlformats.org/officeDocument/2006/relationships/hyperlink" Target="https://www.aph.gov.au/DocumentStore.ashx?id=89521621-7af7-44bb-9981-341d1bbf2715&amp;subId=463937" TargetMode="External"/><Relationship Id="rId34" Type="http://schemas.openxmlformats.org/officeDocument/2006/relationships/hyperlink" Target="https://australiancentre.com.au/publication/ineffectivedisclosure" TargetMode="External"/><Relationship Id="rId7" Type="http://schemas.openxmlformats.org/officeDocument/2006/relationships/hyperlink" Target="https://download.asic.gov.au/media/2195188/rep415-published-28-october-2014.pdf" TargetMode="External"/><Relationship Id="rId12" Type="http://schemas.openxmlformats.org/officeDocument/2006/relationships/hyperlink" Target="https://search.proquest.com/docview/204947414/fulltextPDF/A715294F1CFB4661PQ/1?accountid=46495" TargetMode="External"/><Relationship Id="rId17" Type="http://schemas.openxmlformats.org/officeDocument/2006/relationships/hyperlink" Target="http://parlinfo.aph.gov.au/parlInfo/download/committees/commsen/a4aef4a6-e49d-4206-88dd-35d94c46b738/toc_pdf/Economics%20References%20Committee_2017_04_12_4970_Official.pdf;fileType=application%2Fpdf" TargetMode="External"/><Relationship Id="rId25" Type="http://schemas.openxmlformats.org/officeDocument/2006/relationships/hyperlink" Target="https://www.aph.gov.au/DocumentStore.ashx?id=f042c6ba-7e8a-4520-98bf-51e88b5091a5&amp;subId=463585" TargetMode="External"/><Relationship Id="rId33" Type="http://schemas.openxmlformats.org/officeDocument/2006/relationships/hyperlink" Target="http://www.insurancecouncil.com.au/assets/report/2017_02_Effective%20Disclosure%20Research%20Report.pdf" TargetMode="External"/><Relationship Id="rId2" Type="http://schemas.openxmlformats.org/officeDocument/2006/relationships/hyperlink" Target="https://www.aph.gov.au/Parliamentary_Business/Committees/Senate/Economics/Generalinsurance/~/media/Committees/economics_ctte/Generalinsurance/report.pdf" TargetMode="External"/><Relationship Id="rId16" Type="http://schemas.openxmlformats.org/officeDocument/2006/relationships/hyperlink" Target="http://www.insurancecouncil.com.au/assets/report/2017_02_Effective%20Disclosure%20Research%20Report.pdf" TargetMode="External"/><Relationship Id="rId20" Type="http://schemas.openxmlformats.org/officeDocument/2006/relationships/hyperlink" Target="https://www.aph.gov.au/DocumentStore.ashx?id=1dd49fea-5d2a-4b01-a90a-02ee1eca9ea3&amp;subId=509837" TargetMode="External"/><Relationship Id="rId29" Type="http://schemas.openxmlformats.org/officeDocument/2006/relationships/hyperlink" Target="http://parlinfo.aph.gov.au/parlInfo/download/committees/commsen/a4aef4a6-e49d-4206-88dd-35d94c46b738/toc_pdf/Economics%20References%20Committee_2017_04_12_4970_Official.pdf;fileType=application%2Fpdf" TargetMode="External"/><Relationship Id="rId1" Type="http://schemas.openxmlformats.org/officeDocument/2006/relationships/hyperlink" Target="https://www.aph.gov.au/Parliamentary_Business/Committees/Senate/Economics/Generalinsurance/~/media/Committees/economics_ctte/Generalinsurance/report.pdf" TargetMode="External"/><Relationship Id="rId6" Type="http://schemas.openxmlformats.org/officeDocument/2006/relationships/hyperlink" Target="http://www.insurancecouncil.com.au/assets/report/2017_02_Effective%20Disclosure%20Research%20Report.pdf" TargetMode="External"/><Relationship Id="rId11" Type="http://schemas.openxmlformats.org/officeDocument/2006/relationships/hyperlink" Target="https://www.fca.org.uk/publication/occasional-papers/occasional-paper-1.pdf" TargetMode="External"/><Relationship Id="rId24" Type="http://schemas.openxmlformats.org/officeDocument/2006/relationships/hyperlink" Target="https://www.aph.gov.au/DocumentStore.ashx?id=9bc19f14-af86-41ed-a262-19f77a3e4f06&amp;subId=463892" TargetMode="External"/><Relationship Id="rId32" Type="http://schemas.openxmlformats.org/officeDocument/2006/relationships/hyperlink" Target="http://www.insurancecouncil.com.au/assets/Effective%20Disclosure%20Report.pdf" TargetMode="External"/><Relationship Id="rId37" Type="http://schemas.openxmlformats.org/officeDocument/2006/relationships/hyperlink" Target="http://parlinfo.aph.gov.au/parlInfo/download/committees/commsen/a4aef4a6-e49d-4206-88dd-35d94c46b738/toc_pdf/Economics%20References%20Committee_2017_04_12_4970_Official.pdf;fileType=application%2Fpdf" TargetMode="External"/><Relationship Id="rId5" Type="http://schemas.openxmlformats.org/officeDocument/2006/relationships/hyperlink" Target="http://www.insurancecouncil.com.au/assets/Effective%20Disclosure%20Report.pdf" TargetMode="External"/><Relationship Id="rId15" Type="http://schemas.openxmlformats.org/officeDocument/2006/relationships/hyperlink" Target="http://kmo.ministers.treasury.gov.au/media-release/120-2017/" TargetMode="External"/><Relationship Id="rId23" Type="http://schemas.openxmlformats.org/officeDocument/2006/relationships/hyperlink" Target="https://www.legislation.gov.au/Details/C2016C00820" TargetMode="External"/><Relationship Id="rId28" Type="http://schemas.openxmlformats.org/officeDocument/2006/relationships/hyperlink" Target="https://www.legislation.gov.au/Details/C2012A00041" TargetMode="External"/><Relationship Id="rId36" Type="http://schemas.openxmlformats.org/officeDocument/2006/relationships/hyperlink" Target="http://parlinfo.aph.gov.au/parlInfo/download/committees/commsen/a4aef4a6-e49d-4206-88dd-35d94c46b738/toc_pdf/Economics%20References%20Committee_2017_04_12_4970_Official.pdf;fileType=application%2Fpdf" TargetMode="External"/><Relationship Id="rId10" Type="http://schemas.openxmlformats.org/officeDocument/2006/relationships/hyperlink" Target="https://download.asic.gov.au/media/1311553/ASIC-submission-to-the-Financial-System-Inquiry-4-April-2014-1.pdf" TargetMode="External"/><Relationship Id="rId19" Type="http://schemas.openxmlformats.org/officeDocument/2006/relationships/hyperlink" Target="https://www.aph.gov.au/DocumentStore.ashx?id=ef44c758-3b90-455b-a7e9-d30cce644f5f&amp;subId=464165" TargetMode="External"/><Relationship Id="rId31" Type="http://schemas.openxmlformats.org/officeDocument/2006/relationships/hyperlink" Target="http://www.insurancecouncil.com.au/assets/report/2017_02_Effective%20Disclosure%20Research%20Report.pdf" TargetMode="External"/><Relationship Id="rId4" Type="http://schemas.openxmlformats.org/officeDocument/2006/relationships/hyperlink" Target="https://www.aph.gov.au/Parliamentary_Business/Committees/Senate/Economics/Generalinsurance/~/media/Committees/economics_ctte/Generalinsurance/report.pdf" TargetMode="External"/><Relationship Id="rId9" Type="http://schemas.openxmlformats.org/officeDocument/2006/relationships/hyperlink" Target="https://download.asic.gov.au/media/2195188/rep415-published-28-october-2014.pdf" TargetMode="External"/><Relationship Id="rId14" Type="http://schemas.openxmlformats.org/officeDocument/2006/relationships/hyperlink" Target="https://www.econstor.eu/bitstream/10419/44227/1/638491770.pdf" TargetMode="External"/><Relationship Id="rId22" Type="http://schemas.openxmlformats.org/officeDocument/2006/relationships/hyperlink" Target="https://www.fca.org.uk/publications/multi-firm-reviews/firms-falling-short-renewal-expectations" TargetMode="External"/><Relationship Id="rId27" Type="http://schemas.openxmlformats.org/officeDocument/2006/relationships/hyperlink" Target="http://archive.treasury.gov.au/documents/1995/PDF/clearing_the_waters_april2011.pdf" TargetMode="External"/><Relationship Id="rId30" Type="http://schemas.openxmlformats.org/officeDocument/2006/relationships/hyperlink" Target="http://www.insurancecouncil.com.au/assets/Effective%20Disclosure%20Report.pdf" TargetMode="External"/><Relationship Id="rId35" Type="http://schemas.openxmlformats.org/officeDocument/2006/relationships/hyperlink" Target="https://www.aph.gov.au/DocumentStore.ashx?id=3747d3b4-e265-42e8-861c-87be3fdc706b&amp;subId=46393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C125-4E13-45DA-93DB-C396D095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7827</Words>
  <Characters>44616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Discussion Paper - Disclosure in general insurance: improving consumer understanding</vt:lpstr>
    </vt:vector>
  </TitlesOfParts>
  <Company/>
  <LinksUpToDate>false</LinksUpToDate>
  <CharactersWithSpaces>52339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 Disclosure in general insurance: improving consumer understanding</dc:title>
  <dc:subject/>
  <dc:creator/>
  <cp:keywords/>
  <cp:lastModifiedBy/>
  <cp:revision>1</cp:revision>
  <dcterms:created xsi:type="dcterms:W3CDTF">2019-01-16T00:05:00Z</dcterms:created>
  <dcterms:modified xsi:type="dcterms:W3CDTF">2019-01-16T00:06:00Z</dcterms:modified>
</cp:coreProperties>
</file>