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6E2B4" w14:textId="77777777" w:rsidR="00BB27DA" w:rsidRPr="00762F6A" w:rsidRDefault="00BB27DA" w:rsidP="00BB27DA">
      <w:pPr>
        <w:keepNext/>
        <w:spacing w:after="360" w:line="240" w:lineRule="auto"/>
        <w:jc w:val="right"/>
        <w:rPr>
          <w:rFonts w:ascii="Arial" w:hAnsi="Arial"/>
          <w:smallCaps/>
          <w:sz w:val="44"/>
        </w:rPr>
      </w:pPr>
      <w:r w:rsidRPr="00762F6A">
        <w:rPr>
          <w:rFonts w:ascii="Arial" w:hAnsi="Arial"/>
          <w:smallCaps/>
          <w:sz w:val="44"/>
        </w:rPr>
        <w:t>Tax Expenditures Statement</w:t>
      </w:r>
    </w:p>
    <w:p w14:paraId="2086E2B5" w14:textId="77777777" w:rsidR="00BB27DA" w:rsidRPr="00762F6A" w:rsidRDefault="00BB27DA" w:rsidP="00BB27DA">
      <w:pPr>
        <w:keepNext/>
        <w:spacing w:after="360" w:line="240" w:lineRule="auto"/>
        <w:jc w:val="right"/>
        <w:rPr>
          <w:rFonts w:ascii="Arial" w:hAnsi="Arial"/>
          <w:smallCaps/>
          <w:sz w:val="44"/>
        </w:rPr>
      </w:pPr>
      <w:r w:rsidRPr="00762F6A">
        <w:rPr>
          <w:rFonts w:ascii="Arial" w:hAnsi="Arial"/>
          <w:smallCaps/>
          <w:sz w:val="44"/>
        </w:rPr>
        <w:t>201</w:t>
      </w:r>
      <w:r w:rsidR="00C257AC">
        <w:rPr>
          <w:rFonts w:ascii="Arial" w:hAnsi="Arial"/>
          <w:smallCaps/>
          <w:sz w:val="44"/>
        </w:rPr>
        <w:t>6</w:t>
      </w:r>
    </w:p>
    <w:p w14:paraId="2086E2B6" w14:textId="77777777" w:rsidR="00BB27DA" w:rsidRPr="00762F6A" w:rsidRDefault="00BB27DA" w:rsidP="00BB27DA">
      <w:pPr>
        <w:keepNext/>
        <w:spacing w:after="360" w:line="240" w:lineRule="auto"/>
        <w:jc w:val="right"/>
        <w:rPr>
          <w:rFonts w:ascii="Arial" w:hAnsi="Arial"/>
          <w:b/>
          <w:smallCaps/>
          <w:sz w:val="44"/>
        </w:rPr>
      </w:pPr>
    </w:p>
    <w:p w14:paraId="2086E2B7" w14:textId="77777777" w:rsidR="00BB27DA" w:rsidRPr="00762F6A" w:rsidRDefault="00BB27DA" w:rsidP="003B6944">
      <w:pPr>
        <w:keepNext/>
        <w:spacing w:before="1800" w:after="360" w:line="240" w:lineRule="auto"/>
        <w:jc w:val="right"/>
        <w:rPr>
          <w:rFonts w:ascii="Arial" w:hAnsi="Arial"/>
          <w:smallCaps/>
          <w:sz w:val="36"/>
          <w:szCs w:val="36"/>
        </w:rPr>
      </w:pPr>
      <w:r w:rsidRPr="00762F6A">
        <w:rPr>
          <w:rFonts w:ascii="Arial" w:hAnsi="Arial"/>
          <w:smallCaps/>
          <w:sz w:val="36"/>
          <w:szCs w:val="36"/>
        </w:rPr>
        <w:t>January 201</w:t>
      </w:r>
      <w:r w:rsidR="00C257AC">
        <w:rPr>
          <w:rFonts w:ascii="Arial" w:hAnsi="Arial"/>
          <w:smallCaps/>
          <w:sz w:val="36"/>
          <w:szCs w:val="36"/>
        </w:rPr>
        <w:t>7</w:t>
      </w:r>
    </w:p>
    <w:p w14:paraId="2086E2B8" w14:textId="77777777" w:rsidR="00BB27DA" w:rsidRPr="00762F6A" w:rsidRDefault="00BB27DA" w:rsidP="00BB27DA">
      <w:pPr>
        <w:sectPr w:rsidR="00BB27DA" w:rsidRPr="00762F6A" w:rsidSect="00BB27DA">
          <w:footerReference w:type="even" r:id="rId14"/>
          <w:pgSz w:w="11907" w:h="16840" w:code="9"/>
          <w:pgMar w:top="2466" w:right="2098" w:bottom="2466" w:left="2098" w:header="1899" w:footer="1899" w:gutter="0"/>
          <w:pgNumType w:fmt="lowerRoman"/>
          <w:cols w:space="720"/>
          <w:vAlign w:val="center"/>
        </w:sectPr>
      </w:pPr>
    </w:p>
    <w:p w14:paraId="2086E2B9" w14:textId="77777777" w:rsidR="00BB27DA" w:rsidRPr="00093AB8" w:rsidRDefault="00BB27DA" w:rsidP="00394FDC">
      <w:pPr>
        <w:spacing w:after="120"/>
      </w:pPr>
      <w:r w:rsidRPr="00093AB8">
        <w:lastRenderedPageBreak/>
        <w:t>© Commonwealth of Australia 201</w:t>
      </w:r>
      <w:r w:rsidR="00D13D07" w:rsidRPr="00093AB8">
        <w:t>7</w:t>
      </w:r>
    </w:p>
    <w:p w14:paraId="2086E2BA" w14:textId="39676395" w:rsidR="00BB27DA" w:rsidRPr="00394FDC" w:rsidRDefault="00BB27DA" w:rsidP="00394FDC">
      <w:pPr>
        <w:tabs>
          <w:tab w:val="left" w:pos="567"/>
        </w:tabs>
        <w:jc w:val="left"/>
        <w:rPr>
          <w:rFonts w:ascii="Arial" w:hAnsi="Arial" w:cs="Arial"/>
          <w:color w:val="333333"/>
        </w:rPr>
      </w:pPr>
      <w:r w:rsidRPr="00093AB8">
        <w:t>IS</w:t>
      </w:r>
      <w:r w:rsidR="00A30392" w:rsidRPr="00093AB8">
        <w:t>S</w:t>
      </w:r>
      <w:r w:rsidR="00132802" w:rsidRPr="00093AB8">
        <w:t xml:space="preserve">N </w:t>
      </w:r>
      <w:r w:rsidR="00345114" w:rsidRPr="00093AB8">
        <w:t>1031-4121</w:t>
      </w:r>
      <w:r w:rsidR="00132802" w:rsidRPr="00093AB8">
        <w:t xml:space="preserve"> </w:t>
      </w:r>
      <w:r w:rsidR="00345114" w:rsidRPr="00093AB8">
        <w:t>(print</w:t>
      </w:r>
      <w:proofErr w:type="gramStart"/>
      <w:r w:rsidR="00345114" w:rsidRPr="00093AB8">
        <w:t>)</w:t>
      </w:r>
      <w:proofErr w:type="gramEnd"/>
      <w:r w:rsidR="00345114" w:rsidRPr="00093AB8">
        <w:br/>
      </w:r>
      <w:r w:rsidR="00132802" w:rsidRPr="00093AB8">
        <w:t xml:space="preserve">ISSN </w:t>
      </w:r>
      <w:r w:rsidR="00345114" w:rsidRPr="00093AB8">
        <w:t>2204-6615 (online)</w:t>
      </w:r>
    </w:p>
    <w:p w14:paraId="2086E2BB" w14:textId="77777777" w:rsidR="00BB27DA" w:rsidRPr="00394FDC" w:rsidRDefault="00BB27DA" w:rsidP="00394FDC">
      <w:pPr>
        <w:spacing w:after="120"/>
        <w:rPr>
          <w:color w:val="000000"/>
          <w:sz w:val="24"/>
          <w:szCs w:val="24"/>
        </w:rPr>
      </w:pPr>
      <w:r w:rsidRPr="00394FDC">
        <w:t>This publication is available for your use under a</w:t>
      </w:r>
      <w:r w:rsidRPr="00394FDC">
        <w:rPr>
          <w:rFonts w:cs="Calibri"/>
          <w:color w:val="000000"/>
          <w:sz w:val="24"/>
          <w:szCs w:val="24"/>
        </w:rPr>
        <w:t xml:space="preserve"> </w:t>
      </w:r>
      <w:hyperlink r:id="rId15" w:history="1">
        <w:r w:rsidRPr="00394FDC">
          <w:t>Creative Commons Attribution 3.0 Australia</w:t>
        </w:r>
      </w:hyperlink>
      <w:r w:rsidRPr="00394FDC">
        <w:rPr>
          <w:rFonts w:cs="Calibri"/>
          <w:color w:val="000000"/>
          <w:sz w:val="24"/>
          <w:szCs w:val="24"/>
        </w:rPr>
        <w:t xml:space="preserve"> </w:t>
      </w:r>
      <w:r w:rsidRPr="00394FDC">
        <w:t xml:space="preserve">licence, with the exception of the Commonwealth Coat of Arms, the Treasury logo, photographs, images, signatures and where otherwise. The full licence terms are available from </w:t>
      </w:r>
      <w:hyperlink r:id="rId16" w:history="1">
        <w:r w:rsidRPr="00394FDC">
          <w:t>http://creativecommons.org/licenses/by/3.0/au/legalcode</w:t>
        </w:r>
      </w:hyperlink>
      <w:r w:rsidRPr="00394FDC">
        <w:t>.</w:t>
      </w:r>
    </w:p>
    <w:p w14:paraId="2086E2BC" w14:textId="77777777" w:rsidR="00BB27DA" w:rsidRPr="00394FDC" w:rsidRDefault="00BB27DA" w:rsidP="00394FDC">
      <w:pPr>
        <w:tabs>
          <w:tab w:val="left" w:pos="1650"/>
        </w:tabs>
        <w:spacing w:before="240" w:line="240" w:lineRule="auto"/>
        <w:rPr>
          <w:rFonts w:cs="Calibri"/>
          <w:color w:val="000000"/>
          <w:sz w:val="24"/>
          <w:szCs w:val="24"/>
        </w:rPr>
      </w:pPr>
      <w:r w:rsidRPr="00394FDC">
        <w:rPr>
          <w:rFonts w:cs="Calibri"/>
          <w:noProof/>
          <w:color w:val="000000"/>
          <w:sz w:val="24"/>
          <w:szCs w:val="24"/>
        </w:rPr>
        <w:drawing>
          <wp:inline distT="0" distB="0" distL="0" distR="0" wp14:anchorId="20871622" wp14:editId="20871623">
            <wp:extent cx="809625" cy="285750"/>
            <wp:effectExtent l="0" t="0" r="9525" b="0"/>
            <wp:docPr id="15" name="Picture 15"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14:paraId="2086E2BD" w14:textId="77777777" w:rsidR="00BB27DA" w:rsidRPr="00394FDC" w:rsidRDefault="00BB27DA" w:rsidP="00394FDC">
      <w:r w:rsidRPr="00394FDC">
        <w:t>Use of Treasury material under a</w:t>
      </w:r>
      <w:r w:rsidRPr="00394FDC">
        <w:rPr>
          <w:rFonts w:cs="Calibri"/>
          <w:color w:val="000000"/>
          <w:sz w:val="24"/>
          <w:szCs w:val="24"/>
        </w:rPr>
        <w:t xml:space="preserve"> </w:t>
      </w:r>
      <w:hyperlink r:id="rId18" w:history="1">
        <w:r w:rsidRPr="00394FDC">
          <w:t>Creative Commons Attribution 3.0 Australia</w:t>
        </w:r>
      </w:hyperlink>
      <w:r w:rsidRPr="00394FDC">
        <w:t xml:space="preserve"> licence requires you to attribute the work (but not in any way that suggests that the Treasury endorses you or your use of the work).</w:t>
      </w:r>
    </w:p>
    <w:p w14:paraId="2086E2BE" w14:textId="77777777" w:rsidR="00BB27DA" w:rsidRPr="00394FDC" w:rsidRDefault="00BB27DA" w:rsidP="00394FDC">
      <w:pPr>
        <w:spacing w:after="60"/>
        <w:rPr>
          <w:b/>
        </w:rPr>
      </w:pPr>
      <w:r w:rsidRPr="00394FDC">
        <w:rPr>
          <w:b/>
        </w:rPr>
        <w:t xml:space="preserve">Treasury material used </w:t>
      </w:r>
      <w:r w:rsidR="003B6944" w:rsidRPr="00394FDC">
        <w:rPr>
          <w:b/>
        </w:rPr>
        <w:t>‘</w:t>
      </w:r>
      <w:r w:rsidRPr="00394FDC">
        <w:rPr>
          <w:b/>
        </w:rPr>
        <w:t>as supplied</w:t>
      </w:r>
      <w:r w:rsidR="003B6944" w:rsidRPr="00394FDC">
        <w:rPr>
          <w:b/>
        </w:rPr>
        <w:t>’</w:t>
      </w:r>
    </w:p>
    <w:p w14:paraId="2086E2BF" w14:textId="77777777" w:rsidR="00BB27DA" w:rsidRPr="00394FDC" w:rsidRDefault="00BB27DA" w:rsidP="00394FDC">
      <w:pPr>
        <w:spacing w:after="120"/>
      </w:pPr>
      <w:r w:rsidRPr="00394FDC">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2086E2C0" w14:textId="77777777" w:rsidR="00BB27DA" w:rsidRPr="00394FDC" w:rsidRDefault="00BB27DA" w:rsidP="00394FDC">
      <w:pPr>
        <w:spacing w:after="120"/>
        <w:ind w:firstLine="720"/>
      </w:pPr>
      <w:r w:rsidRPr="00394FDC">
        <w:rPr>
          <w:i/>
        </w:rPr>
        <w:t xml:space="preserve">Source: The </w:t>
      </w:r>
      <w:r w:rsidRPr="00394FDC">
        <w:rPr>
          <w:i/>
          <w:iCs/>
        </w:rPr>
        <w:t>Australian Government the Treasury.</w:t>
      </w:r>
    </w:p>
    <w:p w14:paraId="2086E2C1" w14:textId="77777777" w:rsidR="00BB27DA" w:rsidRPr="00394FDC" w:rsidRDefault="00BB27DA" w:rsidP="00394FDC">
      <w:pPr>
        <w:spacing w:after="60"/>
        <w:rPr>
          <w:b/>
        </w:rPr>
      </w:pPr>
      <w:r w:rsidRPr="00394FDC">
        <w:rPr>
          <w:b/>
        </w:rPr>
        <w:t>Derivative material</w:t>
      </w:r>
    </w:p>
    <w:p w14:paraId="2086E2C2" w14:textId="77777777" w:rsidR="00BB27DA" w:rsidRPr="00394FDC" w:rsidRDefault="00BB27DA" w:rsidP="00394FDC">
      <w:pPr>
        <w:spacing w:after="120"/>
      </w:pPr>
      <w:r w:rsidRPr="00394FDC">
        <w:t xml:space="preserve">If you have modified or transformed Treasury material, or derived new material from those of the Treasury in any way, then Treasury prefers the following attribution: </w:t>
      </w:r>
    </w:p>
    <w:p w14:paraId="2086E2C3" w14:textId="77777777" w:rsidR="00BB27DA" w:rsidRPr="00394FDC" w:rsidRDefault="00BB27DA" w:rsidP="00394FDC">
      <w:pPr>
        <w:spacing w:after="120"/>
        <w:ind w:firstLine="720"/>
      </w:pPr>
      <w:r w:rsidRPr="00394FDC">
        <w:rPr>
          <w:i/>
        </w:rPr>
        <w:t>Based on The Australian Government the Treasury data</w:t>
      </w:r>
      <w:r w:rsidRPr="00394FDC">
        <w:t>.</w:t>
      </w:r>
    </w:p>
    <w:p w14:paraId="2086E2C4" w14:textId="77777777" w:rsidR="00BB27DA" w:rsidRPr="00394FDC" w:rsidRDefault="00BB27DA" w:rsidP="00394FDC">
      <w:pPr>
        <w:spacing w:after="60"/>
        <w:rPr>
          <w:b/>
        </w:rPr>
      </w:pPr>
      <w:r w:rsidRPr="00394FDC">
        <w:rPr>
          <w:b/>
        </w:rPr>
        <w:t>Use of the Coat of Arms</w:t>
      </w:r>
    </w:p>
    <w:p w14:paraId="2086E2C5" w14:textId="77777777" w:rsidR="00BB27DA" w:rsidRPr="00394FDC" w:rsidRDefault="00BB27DA" w:rsidP="00394FDC">
      <w:r w:rsidRPr="00394FDC">
        <w:t>The terms under which the Coat of Arms can be used are set out on the It</w:t>
      </w:r>
      <w:r w:rsidR="003B6944" w:rsidRPr="00394FDC">
        <w:t>’</w:t>
      </w:r>
      <w:r w:rsidRPr="00394FDC">
        <w:t xml:space="preserve">s an Honour website (see </w:t>
      </w:r>
      <w:hyperlink r:id="rId19" w:history="1">
        <w:r w:rsidRPr="00394FDC">
          <w:t>www.itsanhonour.gov.au</w:t>
        </w:r>
      </w:hyperlink>
      <w:r w:rsidRPr="00394FDC">
        <w:t>).</w:t>
      </w:r>
    </w:p>
    <w:p w14:paraId="2086E2C6" w14:textId="77777777" w:rsidR="00BB27DA" w:rsidRPr="00394FDC" w:rsidRDefault="00BB27DA" w:rsidP="00394FDC">
      <w:pPr>
        <w:spacing w:after="60"/>
        <w:rPr>
          <w:b/>
        </w:rPr>
      </w:pPr>
      <w:r w:rsidRPr="00394FDC">
        <w:rPr>
          <w:b/>
        </w:rPr>
        <w:t xml:space="preserve">Other </w:t>
      </w:r>
      <w:r w:rsidR="00345114" w:rsidRPr="00394FDC">
        <w:rPr>
          <w:b/>
        </w:rPr>
        <w:t>u</w:t>
      </w:r>
      <w:r w:rsidRPr="00394FDC">
        <w:rPr>
          <w:b/>
        </w:rPr>
        <w:t>ses</w:t>
      </w:r>
    </w:p>
    <w:p w14:paraId="2086E2C7" w14:textId="77777777" w:rsidR="00BB27DA" w:rsidRPr="00394FDC" w:rsidRDefault="00345114" w:rsidP="00394FDC">
      <w:pPr>
        <w:spacing w:after="120"/>
      </w:pPr>
      <w:r w:rsidRPr="00394FDC">
        <w:t>E</w:t>
      </w:r>
      <w:r w:rsidR="00BB27DA" w:rsidRPr="00394FDC">
        <w:t>nquiries regarding this licence and any other use of this document are welcome at:</w:t>
      </w:r>
    </w:p>
    <w:p w14:paraId="2086E2C8" w14:textId="77777777" w:rsidR="00BB27DA" w:rsidRPr="00394FDC" w:rsidRDefault="00BB27DA" w:rsidP="00394FDC">
      <w:pPr>
        <w:spacing w:after="0"/>
        <w:ind w:left="720"/>
      </w:pPr>
      <w:r w:rsidRPr="00394FDC">
        <w:t>Manager</w:t>
      </w:r>
    </w:p>
    <w:p w14:paraId="2086E2C9" w14:textId="77777777" w:rsidR="00BB27DA" w:rsidRPr="00394FDC" w:rsidRDefault="00BB27DA" w:rsidP="00394FDC">
      <w:pPr>
        <w:spacing w:after="0"/>
        <w:ind w:left="720"/>
      </w:pPr>
      <w:r w:rsidRPr="00394FDC">
        <w:t xml:space="preserve">Communications </w:t>
      </w:r>
    </w:p>
    <w:p w14:paraId="2086E2CA" w14:textId="77777777" w:rsidR="00BB27DA" w:rsidRPr="00394FDC" w:rsidRDefault="00BB27DA" w:rsidP="00394FDC">
      <w:pPr>
        <w:spacing w:after="0"/>
        <w:ind w:left="720"/>
      </w:pPr>
      <w:r w:rsidRPr="00394FDC">
        <w:t>The Treasury</w:t>
      </w:r>
    </w:p>
    <w:p w14:paraId="2086E2CB" w14:textId="77777777" w:rsidR="00BB27DA" w:rsidRPr="00394FDC" w:rsidRDefault="00BB27DA" w:rsidP="00394FDC">
      <w:pPr>
        <w:spacing w:after="0"/>
        <w:ind w:left="720"/>
      </w:pPr>
      <w:r w:rsidRPr="00394FDC">
        <w:t xml:space="preserve">Langton Crescent </w:t>
      </w:r>
      <w:proofErr w:type="spellStart"/>
      <w:r w:rsidRPr="00394FDC">
        <w:t>Parkes</w:t>
      </w:r>
      <w:proofErr w:type="spellEnd"/>
      <w:r w:rsidRPr="00394FDC">
        <w:t>  ACT  2600</w:t>
      </w:r>
    </w:p>
    <w:p w14:paraId="2086E2CC" w14:textId="77777777" w:rsidR="00BB27DA" w:rsidRPr="00394FDC" w:rsidRDefault="00BB27DA" w:rsidP="00394FDC">
      <w:pPr>
        <w:ind w:left="720"/>
      </w:pPr>
      <w:r w:rsidRPr="00394FDC">
        <w:t xml:space="preserve">Email: </w:t>
      </w:r>
      <w:hyperlink r:id="rId20" w:history="1">
        <w:r w:rsidRPr="00394FDC">
          <w:t>medialiaison@treasury.gov.au</w:t>
        </w:r>
      </w:hyperlink>
      <w:r w:rsidRPr="00394FDC">
        <w:t xml:space="preserve"> </w:t>
      </w:r>
    </w:p>
    <w:p w14:paraId="2086E2CD" w14:textId="77777777" w:rsidR="00BB27DA" w:rsidRPr="00394FDC" w:rsidRDefault="00BB27DA" w:rsidP="00394FDC">
      <w:r w:rsidRPr="00394FDC">
        <w:t>A copy of this document and other Treasury information appears on the Treasury Website. The Trea</w:t>
      </w:r>
      <w:r w:rsidR="00345114" w:rsidRPr="00394FDC">
        <w:t xml:space="preserve">sury Website address is: </w:t>
      </w:r>
      <w:r w:rsidRPr="00394FDC">
        <w:t>www.treasury.gov.au.</w:t>
      </w:r>
    </w:p>
    <w:p w14:paraId="2086E2CE" w14:textId="77777777" w:rsidR="00BB27DA" w:rsidRPr="00762F6A" w:rsidRDefault="00BB27DA" w:rsidP="00394FDC">
      <w:pPr>
        <w:jc w:val="left"/>
        <w:sectPr w:rsidR="00BB27DA" w:rsidRPr="00762F6A">
          <w:headerReference w:type="default" r:id="rId21"/>
          <w:footerReference w:type="default" r:id="rId22"/>
          <w:headerReference w:type="first" r:id="rId23"/>
          <w:footerReference w:type="first" r:id="rId24"/>
          <w:pgSz w:w="11907" w:h="16840" w:code="9"/>
          <w:pgMar w:top="2466" w:right="2098" w:bottom="2466" w:left="2098" w:header="1899" w:footer="1899" w:gutter="0"/>
          <w:cols w:space="720"/>
          <w:titlePg/>
        </w:sectPr>
      </w:pPr>
      <w:r w:rsidRPr="00394FDC">
        <w:t xml:space="preserve">Printed by </w:t>
      </w:r>
      <w:proofErr w:type="spellStart"/>
      <w:r w:rsidR="00B04C10" w:rsidRPr="00394FDC">
        <w:t>CanPrint</w:t>
      </w:r>
      <w:proofErr w:type="spellEnd"/>
      <w:r w:rsidR="00B04C10" w:rsidRPr="00394FDC">
        <w:t xml:space="preserve"> Communications</w:t>
      </w:r>
      <w:r w:rsidR="00A679E3" w:rsidRPr="00394FDC">
        <w:t xml:space="preserve"> Pty Ltd</w:t>
      </w:r>
      <w:r w:rsidR="00B04C10" w:rsidRPr="00394FDC">
        <w:t>.</w:t>
      </w:r>
    </w:p>
    <w:p w14:paraId="2086E2CF" w14:textId="77777777" w:rsidR="00BB27DA" w:rsidRPr="00762F6A" w:rsidRDefault="00BB27DA" w:rsidP="009057E9">
      <w:pPr>
        <w:pStyle w:val="ContentsHeading"/>
      </w:pPr>
      <w:r w:rsidRPr="00762F6A">
        <w:lastRenderedPageBreak/>
        <w:t>Contents</w:t>
      </w:r>
    </w:p>
    <w:sdt>
      <w:sdtPr>
        <w:rPr>
          <w:rFonts w:ascii="Book Antiqua" w:hAnsi="Book Antiqua"/>
          <w:b w:val="0"/>
          <w:bCs/>
          <w:smallCaps w:val="0"/>
          <w:color w:val="auto"/>
          <w:highlight w:val="yellow"/>
        </w:rPr>
        <w:id w:val="353927558"/>
        <w:docPartObj>
          <w:docPartGallery w:val="Table of Contents"/>
          <w:docPartUnique/>
        </w:docPartObj>
      </w:sdtPr>
      <w:sdtEndPr>
        <w:rPr>
          <w:rFonts w:ascii="Arial" w:hAnsi="Arial"/>
          <w:b/>
          <w:bCs w:val="0"/>
          <w:smallCaps/>
          <w:color w:val="000000"/>
          <w:highlight w:val="none"/>
        </w:rPr>
      </w:sdtEndPr>
      <w:sdtContent>
        <w:p w14:paraId="53793505" w14:textId="77777777" w:rsidR="00CA6C02" w:rsidRDefault="00300652">
          <w:pPr>
            <w:pStyle w:val="TOC1"/>
            <w:rPr>
              <w:rFonts w:asciiTheme="minorHAnsi" w:eastAsiaTheme="minorEastAsia" w:hAnsiTheme="minorHAnsi" w:cstheme="minorBidi"/>
              <w:b w:val="0"/>
              <w:smallCaps w:val="0"/>
              <w:noProof/>
              <w:color w:val="auto"/>
              <w:szCs w:val="22"/>
            </w:rPr>
          </w:pPr>
          <w:r w:rsidRPr="00762F6A">
            <w:rPr>
              <w:rFonts w:asciiTheme="majorHAnsi" w:eastAsiaTheme="majorEastAsia" w:hAnsiTheme="majorHAnsi" w:cstheme="majorBidi"/>
              <w:color w:val="365F91" w:themeColor="accent1" w:themeShade="BF"/>
              <w:sz w:val="28"/>
              <w:szCs w:val="28"/>
              <w:highlight w:val="yellow"/>
              <w:lang w:eastAsia="ja-JP"/>
            </w:rPr>
            <w:fldChar w:fldCharType="begin"/>
          </w:r>
          <w:r w:rsidRPr="00762F6A">
            <w:rPr>
              <w:rFonts w:asciiTheme="majorHAnsi" w:eastAsiaTheme="majorEastAsia" w:hAnsiTheme="majorHAnsi" w:cstheme="majorBidi"/>
              <w:color w:val="365F91" w:themeColor="accent1" w:themeShade="BF"/>
              <w:sz w:val="28"/>
              <w:szCs w:val="28"/>
              <w:highlight w:val="yellow"/>
              <w:lang w:eastAsia="ja-JP"/>
            </w:rPr>
            <w:instrText xml:space="preserve"> TOC \o "1-2" \h \z </w:instrText>
          </w:r>
          <w:r w:rsidRPr="00762F6A">
            <w:rPr>
              <w:rFonts w:asciiTheme="majorHAnsi" w:eastAsiaTheme="majorEastAsia" w:hAnsiTheme="majorHAnsi" w:cstheme="majorBidi"/>
              <w:color w:val="365F91" w:themeColor="accent1" w:themeShade="BF"/>
              <w:sz w:val="28"/>
              <w:szCs w:val="28"/>
              <w:highlight w:val="yellow"/>
              <w:lang w:eastAsia="ja-JP"/>
            </w:rPr>
            <w:fldChar w:fldCharType="separate"/>
          </w:r>
          <w:hyperlink w:anchor="_Toc472604525" w:history="1">
            <w:r w:rsidR="00CA6C02" w:rsidRPr="000A4C1B">
              <w:rPr>
                <w:rStyle w:val="Hyperlink"/>
              </w:rPr>
              <w:t>Major changes from 2015</w:t>
            </w:r>
            <w:r w:rsidR="00CA6C02">
              <w:rPr>
                <w:noProof/>
                <w:webHidden/>
              </w:rPr>
              <w:tab/>
            </w:r>
            <w:r w:rsidR="00CA6C02">
              <w:rPr>
                <w:noProof/>
                <w:webHidden/>
              </w:rPr>
              <w:fldChar w:fldCharType="begin"/>
            </w:r>
            <w:r w:rsidR="00CA6C02">
              <w:rPr>
                <w:noProof/>
                <w:webHidden/>
              </w:rPr>
              <w:instrText xml:space="preserve"> PAGEREF _Toc472604525 \h </w:instrText>
            </w:r>
            <w:r w:rsidR="00CA6C02">
              <w:rPr>
                <w:noProof/>
                <w:webHidden/>
              </w:rPr>
            </w:r>
            <w:r w:rsidR="00CA6C02">
              <w:rPr>
                <w:noProof/>
                <w:webHidden/>
              </w:rPr>
              <w:fldChar w:fldCharType="separate"/>
            </w:r>
            <w:r w:rsidR="00B940BA">
              <w:rPr>
                <w:noProof/>
                <w:webHidden/>
              </w:rPr>
              <w:t>1</w:t>
            </w:r>
            <w:r w:rsidR="00CA6C02">
              <w:rPr>
                <w:noProof/>
                <w:webHidden/>
              </w:rPr>
              <w:fldChar w:fldCharType="end"/>
            </w:r>
          </w:hyperlink>
        </w:p>
        <w:p w14:paraId="6BF3DE40" w14:textId="77777777" w:rsidR="00CA6C02" w:rsidRDefault="00B940BA">
          <w:pPr>
            <w:pStyle w:val="TOC1"/>
            <w:rPr>
              <w:rFonts w:asciiTheme="minorHAnsi" w:eastAsiaTheme="minorEastAsia" w:hAnsiTheme="minorHAnsi" w:cstheme="minorBidi"/>
              <w:b w:val="0"/>
              <w:smallCaps w:val="0"/>
              <w:noProof/>
              <w:color w:val="auto"/>
              <w:szCs w:val="22"/>
            </w:rPr>
          </w:pPr>
          <w:hyperlink w:anchor="_Toc472604526" w:history="1">
            <w:r w:rsidR="00CA6C02" w:rsidRPr="000A4C1B">
              <w:rPr>
                <w:rStyle w:val="Hyperlink"/>
              </w:rPr>
              <w:t>Chapter 1: Introduction</w:t>
            </w:r>
            <w:r w:rsidR="00CA6C02">
              <w:rPr>
                <w:noProof/>
                <w:webHidden/>
              </w:rPr>
              <w:tab/>
            </w:r>
            <w:r w:rsidR="00CA6C02">
              <w:rPr>
                <w:noProof/>
                <w:webHidden/>
              </w:rPr>
              <w:fldChar w:fldCharType="begin"/>
            </w:r>
            <w:r w:rsidR="00CA6C02">
              <w:rPr>
                <w:noProof/>
                <w:webHidden/>
              </w:rPr>
              <w:instrText xml:space="preserve"> PAGEREF _Toc472604526 \h </w:instrText>
            </w:r>
            <w:r w:rsidR="00CA6C02">
              <w:rPr>
                <w:noProof/>
                <w:webHidden/>
              </w:rPr>
            </w:r>
            <w:r w:rsidR="00CA6C02">
              <w:rPr>
                <w:noProof/>
                <w:webHidden/>
              </w:rPr>
              <w:fldChar w:fldCharType="separate"/>
            </w:r>
            <w:r>
              <w:rPr>
                <w:noProof/>
                <w:webHidden/>
              </w:rPr>
              <w:t>3</w:t>
            </w:r>
            <w:r w:rsidR="00CA6C02">
              <w:rPr>
                <w:noProof/>
                <w:webHidden/>
              </w:rPr>
              <w:fldChar w:fldCharType="end"/>
            </w:r>
          </w:hyperlink>
        </w:p>
        <w:p w14:paraId="05A22A80" w14:textId="77777777" w:rsidR="00CA6C02" w:rsidRDefault="00B940BA">
          <w:pPr>
            <w:pStyle w:val="TOC2"/>
            <w:rPr>
              <w:rFonts w:asciiTheme="minorHAnsi" w:eastAsiaTheme="minorEastAsia" w:hAnsiTheme="minorHAnsi" w:cstheme="minorBidi"/>
              <w:color w:val="auto"/>
              <w:sz w:val="22"/>
              <w:szCs w:val="22"/>
            </w:rPr>
          </w:pPr>
          <w:hyperlink w:anchor="_Toc472604527" w:history="1">
            <w:r w:rsidR="00CA6C02" w:rsidRPr="000A4C1B">
              <w:rPr>
                <w:rStyle w:val="Hyperlink"/>
              </w:rPr>
              <w:t>The Tax Expenditures Statement</w:t>
            </w:r>
            <w:r w:rsidR="00CA6C02">
              <w:rPr>
                <w:webHidden/>
              </w:rPr>
              <w:tab/>
            </w:r>
            <w:r w:rsidR="00CA6C02">
              <w:rPr>
                <w:webHidden/>
              </w:rPr>
              <w:fldChar w:fldCharType="begin"/>
            </w:r>
            <w:r w:rsidR="00CA6C02">
              <w:rPr>
                <w:webHidden/>
              </w:rPr>
              <w:instrText xml:space="preserve"> PAGEREF _Toc472604527 \h </w:instrText>
            </w:r>
            <w:r w:rsidR="00CA6C02">
              <w:rPr>
                <w:webHidden/>
              </w:rPr>
            </w:r>
            <w:r w:rsidR="00CA6C02">
              <w:rPr>
                <w:webHidden/>
              </w:rPr>
              <w:fldChar w:fldCharType="separate"/>
            </w:r>
            <w:r>
              <w:rPr>
                <w:webHidden/>
              </w:rPr>
              <w:t>3</w:t>
            </w:r>
            <w:r w:rsidR="00CA6C02">
              <w:rPr>
                <w:webHidden/>
              </w:rPr>
              <w:fldChar w:fldCharType="end"/>
            </w:r>
          </w:hyperlink>
        </w:p>
        <w:p w14:paraId="39451D88" w14:textId="77777777" w:rsidR="00CA6C02" w:rsidRDefault="00B940BA">
          <w:pPr>
            <w:pStyle w:val="TOC2"/>
            <w:rPr>
              <w:rFonts w:asciiTheme="minorHAnsi" w:eastAsiaTheme="minorEastAsia" w:hAnsiTheme="minorHAnsi" w:cstheme="minorBidi"/>
              <w:color w:val="auto"/>
              <w:sz w:val="22"/>
              <w:szCs w:val="22"/>
            </w:rPr>
          </w:pPr>
          <w:hyperlink w:anchor="_Toc472604528" w:history="1">
            <w:r w:rsidR="00CA6C02" w:rsidRPr="000A4C1B">
              <w:rPr>
                <w:rStyle w:val="Hyperlink"/>
              </w:rPr>
              <w:t>Estimating tax expenditures</w:t>
            </w:r>
            <w:r w:rsidR="00CA6C02">
              <w:rPr>
                <w:webHidden/>
              </w:rPr>
              <w:tab/>
            </w:r>
            <w:r w:rsidR="00CA6C02">
              <w:rPr>
                <w:webHidden/>
              </w:rPr>
              <w:fldChar w:fldCharType="begin"/>
            </w:r>
            <w:r w:rsidR="00CA6C02">
              <w:rPr>
                <w:webHidden/>
              </w:rPr>
              <w:instrText xml:space="preserve"> PAGEREF _Toc472604528 \h </w:instrText>
            </w:r>
            <w:r w:rsidR="00CA6C02">
              <w:rPr>
                <w:webHidden/>
              </w:rPr>
            </w:r>
            <w:r w:rsidR="00CA6C02">
              <w:rPr>
                <w:webHidden/>
              </w:rPr>
              <w:fldChar w:fldCharType="separate"/>
            </w:r>
            <w:r>
              <w:rPr>
                <w:webHidden/>
              </w:rPr>
              <w:t>4</w:t>
            </w:r>
            <w:r w:rsidR="00CA6C02">
              <w:rPr>
                <w:webHidden/>
              </w:rPr>
              <w:fldChar w:fldCharType="end"/>
            </w:r>
          </w:hyperlink>
        </w:p>
        <w:p w14:paraId="2B8ACA9E" w14:textId="77777777" w:rsidR="00CA6C02" w:rsidRDefault="00B940BA">
          <w:pPr>
            <w:pStyle w:val="TOC2"/>
            <w:rPr>
              <w:rFonts w:asciiTheme="minorHAnsi" w:eastAsiaTheme="minorEastAsia" w:hAnsiTheme="minorHAnsi" w:cstheme="minorBidi"/>
              <w:color w:val="auto"/>
              <w:sz w:val="22"/>
              <w:szCs w:val="22"/>
            </w:rPr>
          </w:pPr>
          <w:hyperlink w:anchor="_Toc472604529" w:history="1">
            <w:r w:rsidR="00CA6C02" w:rsidRPr="000A4C1B">
              <w:rPr>
                <w:rStyle w:val="Hyperlink"/>
              </w:rPr>
              <w:t>Interpreting tax expenditure estimates</w:t>
            </w:r>
            <w:r w:rsidR="00CA6C02">
              <w:rPr>
                <w:webHidden/>
              </w:rPr>
              <w:tab/>
            </w:r>
            <w:r w:rsidR="00CA6C02">
              <w:rPr>
                <w:webHidden/>
              </w:rPr>
              <w:fldChar w:fldCharType="begin"/>
            </w:r>
            <w:r w:rsidR="00CA6C02">
              <w:rPr>
                <w:webHidden/>
              </w:rPr>
              <w:instrText xml:space="preserve"> PAGEREF _Toc472604529 \h </w:instrText>
            </w:r>
            <w:r w:rsidR="00CA6C02">
              <w:rPr>
                <w:webHidden/>
              </w:rPr>
            </w:r>
            <w:r w:rsidR="00CA6C02">
              <w:rPr>
                <w:webHidden/>
              </w:rPr>
              <w:fldChar w:fldCharType="separate"/>
            </w:r>
            <w:r>
              <w:rPr>
                <w:webHidden/>
              </w:rPr>
              <w:t>6</w:t>
            </w:r>
            <w:r w:rsidR="00CA6C02">
              <w:rPr>
                <w:webHidden/>
              </w:rPr>
              <w:fldChar w:fldCharType="end"/>
            </w:r>
          </w:hyperlink>
        </w:p>
        <w:p w14:paraId="068BCB92" w14:textId="77777777" w:rsidR="00CA6C02" w:rsidRDefault="00B940BA">
          <w:pPr>
            <w:pStyle w:val="TOC2"/>
            <w:rPr>
              <w:rFonts w:asciiTheme="minorHAnsi" w:eastAsiaTheme="minorEastAsia" w:hAnsiTheme="minorHAnsi" w:cstheme="minorBidi"/>
              <w:color w:val="auto"/>
              <w:sz w:val="22"/>
              <w:szCs w:val="22"/>
            </w:rPr>
          </w:pPr>
          <w:hyperlink w:anchor="_Toc472604530" w:history="1">
            <w:r w:rsidR="00CA6C02" w:rsidRPr="000A4C1B">
              <w:rPr>
                <w:rStyle w:val="Hyperlink"/>
              </w:rPr>
              <w:t>Reliability of tax expenditure estimates</w:t>
            </w:r>
            <w:r w:rsidR="00CA6C02">
              <w:rPr>
                <w:webHidden/>
              </w:rPr>
              <w:tab/>
            </w:r>
            <w:r w:rsidR="00CA6C02">
              <w:rPr>
                <w:webHidden/>
              </w:rPr>
              <w:fldChar w:fldCharType="begin"/>
            </w:r>
            <w:r w:rsidR="00CA6C02">
              <w:rPr>
                <w:webHidden/>
              </w:rPr>
              <w:instrText xml:space="preserve"> PAGEREF _Toc472604530 \h </w:instrText>
            </w:r>
            <w:r w:rsidR="00CA6C02">
              <w:rPr>
                <w:webHidden/>
              </w:rPr>
            </w:r>
            <w:r w:rsidR="00CA6C02">
              <w:rPr>
                <w:webHidden/>
              </w:rPr>
              <w:fldChar w:fldCharType="separate"/>
            </w:r>
            <w:r>
              <w:rPr>
                <w:webHidden/>
              </w:rPr>
              <w:t>6</w:t>
            </w:r>
            <w:r w:rsidR="00CA6C02">
              <w:rPr>
                <w:webHidden/>
              </w:rPr>
              <w:fldChar w:fldCharType="end"/>
            </w:r>
          </w:hyperlink>
        </w:p>
        <w:p w14:paraId="3C0D4E0C" w14:textId="77777777" w:rsidR="00CA6C02" w:rsidRDefault="00B940BA">
          <w:pPr>
            <w:pStyle w:val="TOC2"/>
            <w:rPr>
              <w:rFonts w:asciiTheme="minorHAnsi" w:eastAsiaTheme="minorEastAsia" w:hAnsiTheme="minorHAnsi" w:cstheme="minorBidi"/>
              <w:color w:val="auto"/>
              <w:sz w:val="22"/>
              <w:szCs w:val="22"/>
            </w:rPr>
          </w:pPr>
          <w:hyperlink w:anchor="_Toc472604531" w:history="1">
            <w:r w:rsidR="00CA6C02" w:rsidRPr="000A4C1B">
              <w:rPr>
                <w:rStyle w:val="Hyperlink"/>
              </w:rPr>
              <w:t>Unquantifiable estimates</w:t>
            </w:r>
            <w:r w:rsidR="00CA6C02">
              <w:rPr>
                <w:webHidden/>
              </w:rPr>
              <w:tab/>
            </w:r>
            <w:r w:rsidR="00CA6C02">
              <w:rPr>
                <w:webHidden/>
              </w:rPr>
              <w:fldChar w:fldCharType="begin"/>
            </w:r>
            <w:r w:rsidR="00CA6C02">
              <w:rPr>
                <w:webHidden/>
              </w:rPr>
              <w:instrText xml:space="preserve"> PAGEREF _Toc472604531 \h </w:instrText>
            </w:r>
            <w:r w:rsidR="00CA6C02">
              <w:rPr>
                <w:webHidden/>
              </w:rPr>
            </w:r>
            <w:r w:rsidR="00CA6C02">
              <w:rPr>
                <w:webHidden/>
              </w:rPr>
              <w:fldChar w:fldCharType="separate"/>
            </w:r>
            <w:r>
              <w:rPr>
                <w:webHidden/>
              </w:rPr>
              <w:t>7</w:t>
            </w:r>
            <w:r w:rsidR="00CA6C02">
              <w:rPr>
                <w:webHidden/>
              </w:rPr>
              <w:fldChar w:fldCharType="end"/>
            </w:r>
          </w:hyperlink>
        </w:p>
        <w:p w14:paraId="6577EA10" w14:textId="77777777" w:rsidR="00CA6C02" w:rsidRDefault="00B940BA">
          <w:pPr>
            <w:pStyle w:val="TOC2"/>
            <w:rPr>
              <w:rFonts w:asciiTheme="minorHAnsi" w:eastAsiaTheme="minorEastAsia" w:hAnsiTheme="minorHAnsi" w:cstheme="minorBidi"/>
              <w:color w:val="auto"/>
              <w:sz w:val="22"/>
              <w:szCs w:val="22"/>
            </w:rPr>
          </w:pPr>
          <w:hyperlink w:anchor="_Toc472604532" w:history="1">
            <w:r w:rsidR="00CA6C02" w:rsidRPr="000A4C1B">
              <w:rPr>
                <w:rStyle w:val="Hyperlink"/>
              </w:rPr>
              <w:t>Large tax expenditures</w:t>
            </w:r>
            <w:r w:rsidR="00CA6C02">
              <w:rPr>
                <w:webHidden/>
              </w:rPr>
              <w:tab/>
            </w:r>
            <w:r w:rsidR="00CA6C02">
              <w:rPr>
                <w:webHidden/>
              </w:rPr>
              <w:fldChar w:fldCharType="begin"/>
            </w:r>
            <w:r w:rsidR="00CA6C02">
              <w:rPr>
                <w:webHidden/>
              </w:rPr>
              <w:instrText xml:space="preserve"> PAGEREF _Toc472604532 \h </w:instrText>
            </w:r>
            <w:r w:rsidR="00CA6C02">
              <w:rPr>
                <w:webHidden/>
              </w:rPr>
            </w:r>
            <w:r w:rsidR="00CA6C02">
              <w:rPr>
                <w:webHidden/>
              </w:rPr>
              <w:fldChar w:fldCharType="separate"/>
            </w:r>
            <w:r>
              <w:rPr>
                <w:webHidden/>
              </w:rPr>
              <w:t>7</w:t>
            </w:r>
            <w:r w:rsidR="00CA6C02">
              <w:rPr>
                <w:webHidden/>
              </w:rPr>
              <w:fldChar w:fldCharType="end"/>
            </w:r>
          </w:hyperlink>
        </w:p>
        <w:p w14:paraId="445B617F" w14:textId="77777777" w:rsidR="00CA6C02" w:rsidRDefault="00B940BA">
          <w:pPr>
            <w:pStyle w:val="TOC1"/>
            <w:rPr>
              <w:rFonts w:asciiTheme="minorHAnsi" w:eastAsiaTheme="minorEastAsia" w:hAnsiTheme="minorHAnsi" w:cstheme="minorBidi"/>
              <w:b w:val="0"/>
              <w:smallCaps w:val="0"/>
              <w:noProof/>
              <w:color w:val="auto"/>
              <w:szCs w:val="22"/>
            </w:rPr>
          </w:pPr>
          <w:hyperlink w:anchor="_Toc472604533" w:history="1">
            <w:r w:rsidR="00CA6C02" w:rsidRPr="000A4C1B">
              <w:rPr>
                <w:rStyle w:val="Hyperlink"/>
              </w:rPr>
              <w:t>Chapter 2: Tax expenditures</w:t>
            </w:r>
            <w:r w:rsidR="00CA6C02">
              <w:rPr>
                <w:noProof/>
                <w:webHidden/>
              </w:rPr>
              <w:tab/>
            </w:r>
            <w:r w:rsidR="00CA6C02">
              <w:rPr>
                <w:noProof/>
                <w:webHidden/>
              </w:rPr>
              <w:fldChar w:fldCharType="begin"/>
            </w:r>
            <w:r w:rsidR="00CA6C02">
              <w:rPr>
                <w:noProof/>
                <w:webHidden/>
              </w:rPr>
              <w:instrText xml:space="preserve"> PAGEREF _Toc472604533 \h </w:instrText>
            </w:r>
            <w:r w:rsidR="00CA6C02">
              <w:rPr>
                <w:noProof/>
                <w:webHidden/>
              </w:rPr>
            </w:r>
            <w:r w:rsidR="00CA6C02">
              <w:rPr>
                <w:noProof/>
                <w:webHidden/>
              </w:rPr>
              <w:fldChar w:fldCharType="separate"/>
            </w:r>
            <w:r>
              <w:rPr>
                <w:noProof/>
                <w:webHidden/>
              </w:rPr>
              <w:t>11</w:t>
            </w:r>
            <w:r w:rsidR="00CA6C02">
              <w:rPr>
                <w:noProof/>
                <w:webHidden/>
              </w:rPr>
              <w:fldChar w:fldCharType="end"/>
            </w:r>
          </w:hyperlink>
        </w:p>
        <w:p w14:paraId="00B81E61" w14:textId="77777777" w:rsidR="00CA6C02" w:rsidRDefault="00B940BA">
          <w:pPr>
            <w:pStyle w:val="TOC2"/>
            <w:rPr>
              <w:rFonts w:asciiTheme="minorHAnsi" w:eastAsiaTheme="minorEastAsia" w:hAnsiTheme="minorHAnsi" w:cstheme="minorBidi"/>
              <w:color w:val="auto"/>
              <w:sz w:val="22"/>
              <w:szCs w:val="22"/>
            </w:rPr>
          </w:pPr>
          <w:hyperlink w:anchor="_Toc472604534" w:history="1">
            <w:r w:rsidR="00CA6C02" w:rsidRPr="000A4C1B">
              <w:rPr>
                <w:rStyle w:val="Hyperlink"/>
                <w:rFonts w:cs="Arial"/>
              </w:rPr>
              <w:t>2.1</w:t>
            </w:r>
            <w:r w:rsidR="00CA6C02">
              <w:rPr>
                <w:rFonts w:asciiTheme="minorHAnsi" w:eastAsiaTheme="minorEastAsia" w:hAnsiTheme="minorHAnsi" w:cstheme="minorBidi"/>
                <w:color w:val="auto"/>
                <w:sz w:val="22"/>
                <w:szCs w:val="22"/>
              </w:rPr>
              <w:tab/>
            </w:r>
            <w:r w:rsidR="00CA6C02" w:rsidRPr="000A4C1B">
              <w:rPr>
                <w:rStyle w:val="Hyperlink"/>
              </w:rPr>
              <w:t>Guide to tax expenditure descriptions</w:t>
            </w:r>
            <w:r w:rsidR="00CA6C02">
              <w:rPr>
                <w:webHidden/>
              </w:rPr>
              <w:tab/>
            </w:r>
            <w:r w:rsidR="00CA6C02">
              <w:rPr>
                <w:webHidden/>
              </w:rPr>
              <w:fldChar w:fldCharType="begin"/>
            </w:r>
            <w:r w:rsidR="00CA6C02">
              <w:rPr>
                <w:webHidden/>
              </w:rPr>
              <w:instrText xml:space="preserve"> PAGEREF _Toc472604534 \h </w:instrText>
            </w:r>
            <w:r w:rsidR="00CA6C02">
              <w:rPr>
                <w:webHidden/>
              </w:rPr>
            </w:r>
            <w:r w:rsidR="00CA6C02">
              <w:rPr>
                <w:webHidden/>
              </w:rPr>
              <w:fldChar w:fldCharType="separate"/>
            </w:r>
            <w:r>
              <w:rPr>
                <w:webHidden/>
              </w:rPr>
              <w:t>11</w:t>
            </w:r>
            <w:r w:rsidR="00CA6C02">
              <w:rPr>
                <w:webHidden/>
              </w:rPr>
              <w:fldChar w:fldCharType="end"/>
            </w:r>
          </w:hyperlink>
        </w:p>
        <w:p w14:paraId="32722F87" w14:textId="77777777" w:rsidR="00CA6C02" w:rsidRDefault="00B940BA">
          <w:pPr>
            <w:pStyle w:val="TOC2"/>
            <w:rPr>
              <w:rFonts w:asciiTheme="minorHAnsi" w:eastAsiaTheme="minorEastAsia" w:hAnsiTheme="minorHAnsi" w:cstheme="minorBidi"/>
              <w:color w:val="auto"/>
              <w:sz w:val="22"/>
              <w:szCs w:val="22"/>
            </w:rPr>
          </w:pPr>
          <w:hyperlink w:anchor="_Toc472604535" w:history="1">
            <w:r w:rsidR="00CA6C02" w:rsidRPr="000A4C1B">
              <w:rPr>
                <w:rStyle w:val="Hyperlink"/>
              </w:rPr>
              <w:t>2.2</w:t>
            </w:r>
            <w:r w:rsidR="00CA6C02">
              <w:rPr>
                <w:rFonts w:asciiTheme="minorHAnsi" w:eastAsiaTheme="minorEastAsia" w:hAnsiTheme="minorHAnsi" w:cstheme="minorBidi"/>
                <w:color w:val="auto"/>
                <w:sz w:val="22"/>
                <w:szCs w:val="22"/>
              </w:rPr>
              <w:tab/>
            </w:r>
            <w:r w:rsidR="00CA6C02" w:rsidRPr="000A4C1B">
              <w:rPr>
                <w:rStyle w:val="Hyperlink"/>
              </w:rPr>
              <w:t>Tax expenditures</w:t>
            </w:r>
            <w:r w:rsidR="00CA6C02">
              <w:rPr>
                <w:webHidden/>
              </w:rPr>
              <w:tab/>
            </w:r>
            <w:r w:rsidR="00CA6C02">
              <w:rPr>
                <w:webHidden/>
              </w:rPr>
              <w:fldChar w:fldCharType="begin"/>
            </w:r>
            <w:r w:rsidR="00CA6C02">
              <w:rPr>
                <w:webHidden/>
              </w:rPr>
              <w:instrText xml:space="preserve"> PAGEREF _Toc472604535 \h </w:instrText>
            </w:r>
            <w:r w:rsidR="00CA6C02">
              <w:rPr>
                <w:webHidden/>
              </w:rPr>
            </w:r>
            <w:r w:rsidR="00CA6C02">
              <w:rPr>
                <w:webHidden/>
              </w:rPr>
              <w:fldChar w:fldCharType="separate"/>
            </w:r>
            <w:r>
              <w:rPr>
                <w:webHidden/>
              </w:rPr>
              <w:t>12</w:t>
            </w:r>
            <w:r w:rsidR="00CA6C02">
              <w:rPr>
                <w:webHidden/>
              </w:rPr>
              <w:fldChar w:fldCharType="end"/>
            </w:r>
          </w:hyperlink>
        </w:p>
        <w:p w14:paraId="61962209" w14:textId="77777777" w:rsidR="00CA6C02" w:rsidRDefault="00B940BA">
          <w:pPr>
            <w:pStyle w:val="TOC1"/>
            <w:rPr>
              <w:rFonts w:asciiTheme="minorHAnsi" w:eastAsiaTheme="minorEastAsia" w:hAnsiTheme="minorHAnsi" w:cstheme="minorBidi"/>
              <w:b w:val="0"/>
              <w:smallCaps w:val="0"/>
              <w:noProof/>
              <w:color w:val="auto"/>
              <w:szCs w:val="22"/>
            </w:rPr>
          </w:pPr>
          <w:hyperlink w:anchor="_Toc472604536" w:history="1">
            <w:r w:rsidR="00CA6C02" w:rsidRPr="000A4C1B">
              <w:rPr>
                <w:rStyle w:val="Hyperlink"/>
              </w:rPr>
              <w:t>Chapter 3: Revenue gain estimates of tax expenditures</w:t>
            </w:r>
            <w:r w:rsidR="00CA6C02">
              <w:rPr>
                <w:noProof/>
                <w:webHidden/>
              </w:rPr>
              <w:tab/>
            </w:r>
            <w:r w:rsidR="00CA6C02">
              <w:rPr>
                <w:noProof/>
                <w:webHidden/>
              </w:rPr>
              <w:fldChar w:fldCharType="begin"/>
            </w:r>
            <w:r w:rsidR="00CA6C02">
              <w:rPr>
                <w:noProof/>
                <w:webHidden/>
              </w:rPr>
              <w:instrText xml:space="preserve"> PAGEREF _Toc472604536 \h </w:instrText>
            </w:r>
            <w:r w:rsidR="00CA6C02">
              <w:rPr>
                <w:noProof/>
                <w:webHidden/>
              </w:rPr>
            </w:r>
            <w:r w:rsidR="00CA6C02">
              <w:rPr>
                <w:noProof/>
                <w:webHidden/>
              </w:rPr>
              <w:fldChar w:fldCharType="separate"/>
            </w:r>
            <w:r>
              <w:rPr>
                <w:noProof/>
                <w:webHidden/>
              </w:rPr>
              <w:t>121</w:t>
            </w:r>
            <w:r w:rsidR="00CA6C02">
              <w:rPr>
                <w:noProof/>
                <w:webHidden/>
              </w:rPr>
              <w:fldChar w:fldCharType="end"/>
            </w:r>
          </w:hyperlink>
        </w:p>
        <w:p w14:paraId="57A4B05C" w14:textId="77777777" w:rsidR="00CA6C02" w:rsidRDefault="00B940BA">
          <w:pPr>
            <w:pStyle w:val="TOC2"/>
            <w:rPr>
              <w:rFonts w:asciiTheme="minorHAnsi" w:eastAsiaTheme="minorEastAsia" w:hAnsiTheme="minorHAnsi" w:cstheme="minorBidi"/>
              <w:color w:val="auto"/>
              <w:sz w:val="22"/>
              <w:szCs w:val="22"/>
            </w:rPr>
          </w:pPr>
          <w:hyperlink w:anchor="_Toc472604537" w:history="1">
            <w:r w:rsidR="00CA6C02" w:rsidRPr="000A4C1B">
              <w:rPr>
                <w:rStyle w:val="Hyperlink"/>
                <w:rFonts w:cs="Arial"/>
              </w:rPr>
              <w:t>3.1</w:t>
            </w:r>
            <w:r w:rsidR="00CA6C02">
              <w:rPr>
                <w:rFonts w:asciiTheme="minorHAnsi" w:eastAsiaTheme="minorEastAsia" w:hAnsiTheme="minorHAnsi" w:cstheme="minorBidi"/>
                <w:color w:val="auto"/>
                <w:sz w:val="22"/>
                <w:szCs w:val="22"/>
              </w:rPr>
              <w:tab/>
            </w:r>
            <w:r w:rsidR="00CA6C02" w:rsidRPr="000A4C1B">
              <w:rPr>
                <w:rStyle w:val="Hyperlink"/>
              </w:rPr>
              <w:t>Standard assumptions for the revenue gain estimates</w:t>
            </w:r>
            <w:r w:rsidR="00CA6C02">
              <w:rPr>
                <w:webHidden/>
              </w:rPr>
              <w:tab/>
            </w:r>
            <w:r w:rsidR="00CA6C02">
              <w:rPr>
                <w:webHidden/>
              </w:rPr>
              <w:fldChar w:fldCharType="begin"/>
            </w:r>
            <w:r w:rsidR="00CA6C02">
              <w:rPr>
                <w:webHidden/>
              </w:rPr>
              <w:instrText xml:space="preserve"> PAGEREF _Toc472604537 \h </w:instrText>
            </w:r>
            <w:r w:rsidR="00CA6C02">
              <w:rPr>
                <w:webHidden/>
              </w:rPr>
            </w:r>
            <w:r w:rsidR="00CA6C02">
              <w:rPr>
                <w:webHidden/>
              </w:rPr>
              <w:fldChar w:fldCharType="separate"/>
            </w:r>
            <w:r>
              <w:rPr>
                <w:webHidden/>
              </w:rPr>
              <w:t>122</w:t>
            </w:r>
            <w:r w:rsidR="00CA6C02">
              <w:rPr>
                <w:webHidden/>
              </w:rPr>
              <w:fldChar w:fldCharType="end"/>
            </w:r>
          </w:hyperlink>
        </w:p>
        <w:p w14:paraId="640EB008" w14:textId="77777777" w:rsidR="00CA6C02" w:rsidRDefault="00B940BA">
          <w:pPr>
            <w:pStyle w:val="TOC1"/>
            <w:rPr>
              <w:rFonts w:asciiTheme="minorHAnsi" w:eastAsiaTheme="minorEastAsia" w:hAnsiTheme="minorHAnsi" w:cstheme="minorBidi"/>
              <w:b w:val="0"/>
              <w:smallCaps w:val="0"/>
              <w:noProof/>
              <w:color w:val="auto"/>
              <w:szCs w:val="22"/>
            </w:rPr>
          </w:pPr>
          <w:hyperlink w:anchor="_Toc472604538" w:history="1">
            <w:r w:rsidR="00CA6C02" w:rsidRPr="000A4C1B">
              <w:rPr>
                <w:rStyle w:val="Hyperlink"/>
              </w:rPr>
              <w:t>Appendix A: Superannuation Tax Expenditures</w:t>
            </w:r>
            <w:r w:rsidR="00CA6C02">
              <w:rPr>
                <w:noProof/>
                <w:webHidden/>
              </w:rPr>
              <w:tab/>
            </w:r>
            <w:r w:rsidR="00CA6C02">
              <w:rPr>
                <w:noProof/>
                <w:webHidden/>
              </w:rPr>
              <w:fldChar w:fldCharType="begin"/>
            </w:r>
            <w:r w:rsidR="00CA6C02">
              <w:rPr>
                <w:noProof/>
                <w:webHidden/>
              </w:rPr>
              <w:instrText xml:space="preserve"> PAGEREF _Toc472604538 \h </w:instrText>
            </w:r>
            <w:r w:rsidR="00CA6C02">
              <w:rPr>
                <w:noProof/>
                <w:webHidden/>
              </w:rPr>
            </w:r>
            <w:r w:rsidR="00CA6C02">
              <w:rPr>
                <w:noProof/>
                <w:webHidden/>
              </w:rPr>
              <w:fldChar w:fldCharType="separate"/>
            </w:r>
            <w:r>
              <w:rPr>
                <w:noProof/>
                <w:webHidden/>
              </w:rPr>
              <w:t>127</w:t>
            </w:r>
            <w:r w:rsidR="00CA6C02">
              <w:rPr>
                <w:noProof/>
                <w:webHidden/>
              </w:rPr>
              <w:fldChar w:fldCharType="end"/>
            </w:r>
          </w:hyperlink>
        </w:p>
        <w:p w14:paraId="2284115A" w14:textId="77777777" w:rsidR="00CA6C02" w:rsidRDefault="00B940BA">
          <w:pPr>
            <w:pStyle w:val="TOC2"/>
            <w:rPr>
              <w:rFonts w:asciiTheme="minorHAnsi" w:eastAsiaTheme="minorEastAsia" w:hAnsiTheme="minorHAnsi" w:cstheme="minorBidi"/>
              <w:color w:val="auto"/>
              <w:sz w:val="22"/>
              <w:szCs w:val="22"/>
            </w:rPr>
          </w:pPr>
          <w:hyperlink w:anchor="_Toc472604539" w:history="1">
            <w:r w:rsidR="00CA6C02" w:rsidRPr="000A4C1B">
              <w:rPr>
                <w:rStyle w:val="Hyperlink"/>
              </w:rPr>
              <w:t>A.1</w:t>
            </w:r>
            <w:r w:rsidR="00CA6C02">
              <w:rPr>
                <w:rFonts w:asciiTheme="minorHAnsi" w:eastAsiaTheme="minorEastAsia" w:hAnsiTheme="minorHAnsi" w:cstheme="minorBidi"/>
                <w:color w:val="auto"/>
                <w:sz w:val="22"/>
                <w:szCs w:val="22"/>
              </w:rPr>
              <w:tab/>
            </w:r>
            <w:r w:rsidR="00CA6C02" w:rsidRPr="000A4C1B">
              <w:rPr>
                <w:rStyle w:val="Hyperlink"/>
              </w:rPr>
              <w:t>Choice of benchmark</w:t>
            </w:r>
            <w:r w:rsidR="00CA6C02">
              <w:rPr>
                <w:webHidden/>
              </w:rPr>
              <w:tab/>
            </w:r>
            <w:r w:rsidR="00CA6C02">
              <w:rPr>
                <w:webHidden/>
              </w:rPr>
              <w:fldChar w:fldCharType="begin"/>
            </w:r>
            <w:r w:rsidR="00CA6C02">
              <w:rPr>
                <w:webHidden/>
              </w:rPr>
              <w:instrText xml:space="preserve"> PAGEREF _Toc472604539 \h </w:instrText>
            </w:r>
            <w:r w:rsidR="00CA6C02">
              <w:rPr>
                <w:webHidden/>
              </w:rPr>
            </w:r>
            <w:r w:rsidR="00CA6C02">
              <w:rPr>
                <w:webHidden/>
              </w:rPr>
              <w:fldChar w:fldCharType="separate"/>
            </w:r>
            <w:r>
              <w:rPr>
                <w:webHidden/>
              </w:rPr>
              <w:t>127</w:t>
            </w:r>
            <w:r w:rsidR="00CA6C02">
              <w:rPr>
                <w:webHidden/>
              </w:rPr>
              <w:fldChar w:fldCharType="end"/>
            </w:r>
          </w:hyperlink>
        </w:p>
        <w:p w14:paraId="3F9A797F" w14:textId="77777777" w:rsidR="00CA6C02" w:rsidRDefault="00B940BA">
          <w:pPr>
            <w:pStyle w:val="TOC2"/>
            <w:rPr>
              <w:rFonts w:asciiTheme="minorHAnsi" w:eastAsiaTheme="minorEastAsia" w:hAnsiTheme="minorHAnsi" w:cstheme="minorBidi"/>
              <w:color w:val="auto"/>
              <w:sz w:val="22"/>
              <w:szCs w:val="22"/>
            </w:rPr>
          </w:pPr>
          <w:hyperlink w:anchor="_Toc472604540" w:history="1">
            <w:r w:rsidR="00CA6C02" w:rsidRPr="000A4C1B">
              <w:rPr>
                <w:rStyle w:val="Hyperlink"/>
              </w:rPr>
              <w:t>A.2</w:t>
            </w:r>
            <w:r w:rsidR="00CA6C02">
              <w:rPr>
                <w:rFonts w:asciiTheme="minorHAnsi" w:eastAsiaTheme="minorEastAsia" w:hAnsiTheme="minorHAnsi" w:cstheme="minorBidi"/>
                <w:color w:val="auto"/>
                <w:sz w:val="22"/>
                <w:szCs w:val="22"/>
              </w:rPr>
              <w:tab/>
            </w:r>
            <w:r w:rsidR="00CA6C02" w:rsidRPr="000A4C1B">
              <w:rPr>
                <w:rStyle w:val="Hyperlink"/>
              </w:rPr>
              <w:t>Choice of alternative investments</w:t>
            </w:r>
            <w:r w:rsidR="00CA6C02">
              <w:rPr>
                <w:webHidden/>
              </w:rPr>
              <w:tab/>
            </w:r>
            <w:r w:rsidR="00CA6C02">
              <w:rPr>
                <w:webHidden/>
              </w:rPr>
              <w:fldChar w:fldCharType="begin"/>
            </w:r>
            <w:r w:rsidR="00CA6C02">
              <w:rPr>
                <w:webHidden/>
              </w:rPr>
              <w:instrText xml:space="preserve"> PAGEREF _Toc472604540 \h </w:instrText>
            </w:r>
            <w:r w:rsidR="00CA6C02">
              <w:rPr>
                <w:webHidden/>
              </w:rPr>
            </w:r>
            <w:r w:rsidR="00CA6C02">
              <w:rPr>
                <w:webHidden/>
              </w:rPr>
              <w:fldChar w:fldCharType="separate"/>
            </w:r>
            <w:r>
              <w:rPr>
                <w:webHidden/>
              </w:rPr>
              <w:t>128</w:t>
            </w:r>
            <w:r w:rsidR="00CA6C02">
              <w:rPr>
                <w:webHidden/>
              </w:rPr>
              <w:fldChar w:fldCharType="end"/>
            </w:r>
          </w:hyperlink>
        </w:p>
        <w:p w14:paraId="2433C1C6" w14:textId="77777777" w:rsidR="00CA6C02" w:rsidRDefault="00B940BA">
          <w:pPr>
            <w:pStyle w:val="TOC2"/>
            <w:rPr>
              <w:rFonts w:asciiTheme="minorHAnsi" w:eastAsiaTheme="minorEastAsia" w:hAnsiTheme="minorHAnsi" w:cstheme="minorBidi"/>
              <w:color w:val="auto"/>
              <w:sz w:val="22"/>
              <w:szCs w:val="22"/>
            </w:rPr>
          </w:pPr>
          <w:hyperlink w:anchor="_Toc472604541" w:history="1">
            <w:r w:rsidR="00CA6C02" w:rsidRPr="000A4C1B">
              <w:rPr>
                <w:rStyle w:val="Hyperlink"/>
              </w:rPr>
              <w:t>A.3</w:t>
            </w:r>
            <w:r w:rsidR="00CA6C02">
              <w:rPr>
                <w:rFonts w:asciiTheme="minorHAnsi" w:eastAsiaTheme="minorEastAsia" w:hAnsiTheme="minorHAnsi" w:cstheme="minorBidi"/>
                <w:color w:val="auto"/>
                <w:sz w:val="22"/>
                <w:szCs w:val="22"/>
              </w:rPr>
              <w:tab/>
            </w:r>
            <w:r w:rsidR="00CA6C02" w:rsidRPr="000A4C1B">
              <w:rPr>
                <w:rStyle w:val="Hyperlink"/>
              </w:rPr>
              <w:t>Accounting for effects on the Age Pension</w:t>
            </w:r>
            <w:r w:rsidR="00CA6C02">
              <w:rPr>
                <w:webHidden/>
              </w:rPr>
              <w:tab/>
            </w:r>
            <w:r w:rsidR="00CA6C02">
              <w:rPr>
                <w:webHidden/>
              </w:rPr>
              <w:fldChar w:fldCharType="begin"/>
            </w:r>
            <w:r w:rsidR="00CA6C02">
              <w:rPr>
                <w:webHidden/>
              </w:rPr>
              <w:instrText xml:space="preserve"> PAGEREF _Toc472604541 \h </w:instrText>
            </w:r>
            <w:r w:rsidR="00CA6C02">
              <w:rPr>
                <w:webHidden/>
              </w:rPr>
            </w:r>
            <w:r w:rsidR="00CA6C02">
              <w:rPr>
                <w:webHidden/>
              </w:rPr>
              <w:fldChar w:fldCharType="separate"/>
            </w:r>
            <w:r>
              <w:rPr>
                <w:webHidden/>
              </w:rPr>
              <w:t>128</w:t>
            </w:r>
            <w:r w:rsidR="00CA6C02">
              <w:rPr>
                <w:webHidden/>
              </w:rPr>
              <w:fldChar w:fldCharType="end"/>
            </w:r>
          </w:hyperlink>
        </w:p>
        <w:p w14:paraId="709D8B17" w14:textId="77777777" w:rsidR="00CA6C02" w:rsidRDefault="00B940BA">
          <w:pPr>
            <w:pStyle w:val="TOC2"/>
            <w:rPr>
              <w:rFonts w:asciiTheme="minorHAnsi" w:eastAsiaTheme="minorEastAsia" w:hAnsiTheme="minorHAnsi" w:cstheme="minorBidi"/>
              <w:color w:val="auto"/>
              <w:sz w:val="22"/>
              <w:szCs w:val="22"/>
            </w:rPr>
          </w:pPr>
          <w:hyperlink w:anchor="_Toc472604542" w:history="1">
            <w:r w:rsidR="00CA6C02" w:rsidRPr="000A4C1B">
              <w:rPr>
                <w:rStyle w:val="Hyperlink"/>
              </w:rPr>
              <w:t>A.4</w:t>
            </w:r>
            <w:r w:rsidR="00CA6C02">
              <w:rPr>
                <w:rFonts w:asciiTheme="minorHAnsi" w:eastAsiaTheme="minorEastAsia" w:hAnsiTheme="minorHAnsi" w:cstheme="minorBidi"/>
                <w:color w:val="auto"/>
                <w:sz w:val="22"/>
                <w:szCs w:val="22"/>
              </w:rPr>
              <w:tab/>
            </w:r>
            <w:r w:rsidR="00CA6C02" w:rsidRPr="000A4C1B">
              <w:rPr>
                <w:rStyle w:val="Hyperlink"/>
              </w:rPr>
              <w:t>Reliability of estimates</w:t>
            </w:r>
            <w:r w:rsidR="00CA6C02">
              <w:rPr>
                <w:webHidden/>
              </w:rPr>
              <w:tab/>
            </w:r>
            <w:r w:rsidR="00CA6C02">
              <w:rPr>
                <w:webHidden/>
              </w:rPr>
              <w:fldChar w:fldCharType="begin"/>
            </w:r>
            <w:r w:rsidR="00CA6C02">
              <w:rPr>
                <w:webHidden/>
              </w:rPr>
              <w:instrText xml:space="preserve"> PAGEREF _Toc472604542 \h </w:instrText>
            </w:r>
            <w:r w:rsidR="00CA6C02">
              <w:rPr>
                <w:webHidden/>
              </w:rPr>
            </w:r>
            <w:r w:rsidR="00CA6C02">
              <w:rPr>
                <w:webHidden/>
              </w:rPr>
              <w:fldChar w:fldCharType="separate"/>
            </w:r>
            <w:r>
              <w:rPr>
                <w:webHidden/>
              </w:rPr>
              <w:t>128</w:t>
            </w:r>
            <w:r w:rsidR="00CA6C02">
              <w:rPr>
                <w:webHidden/>
              </w:rPr>
              <w:fldChar w:fldCharType="end"/>
            </w:r>
          </w:hyperlink>
        </w:p>
        <w:p w14:paraId="66EDDA1A" w14:textId="77777777" w:rsidR="00CA6C02" w:rsidRDefault="00B940BA">
          <w:pPr>
            <w:pStyle w:val="TOC1"/>
            <w:rPr>
              <w:rFonts w:asciiTheme="minorHAnsi" w:eastAsiaTheme="minorEastAsia" w:hAnsiTheme="minorHAnsi" w:cstheme="minorBidi"/>
              <w:b w:val="0"/>
              <w:smallCaps w:val="0"/>
              <w:noProof/>
              <w:color w:val="auto"/>
              <w:szCs w:val="22"/>
            </w:rPr>
          </w:pPr>
          <w:hyperlink w:anchor="_Toc472604543" w:history="1">
            <w:r w:rsidR="00CA6C02" w:rsidRPr="000A4C1B">
              <w:rPr>
                <w:rStyle w:val="Hyperlink"/>
              </w:rPr>
              <w:t>Appendix B: Technical Notes</w:t>
            </w:r>
            <w:r w:rsidR="00CA6C02">
              <w:rPr>
                <w:noProof/>
                <w:webHidden/>
              </w:rPr>
              <w:tab/>
            </w:r>
            <w:r w:rsidR="00CA6C02">
              <w:rPr>
                <w:noProof/>
                <w:webHidden/>
              </w:rPr>
              <w:fldChar w:fldCharType="begin"/>
            </w:r>
            <w:r w:rsidR="00CA6C02">
              <w:rPr>
                <w:noProof/>
                <w:webHidden/>
              </w:rPr>
              <w:instrText xml:space="preserve"> PAGEREF _Toc472604543 \h </w:instrText>
            </w:r>
            <w:r w:rsidR="00CA6C02">
              <w:rPr>
                <w:noProof/>
                <w:webHidden/>
              </w:rPr>
            </w:r>
            <w:r w:rsidR="00CA6C02">
              <w:rPr>
                <w:noProof/>
                <w:webHidden/>
              </w:rPr>
              <w:fldChar w:fldCharType="separate"/>
            </w:r>
            <w:r>
              <w:rPr>
                <w:noProof/>
                <w:webHidden/>
              </w:rPr>
              <w:t>131</w:t>
            </w:r>
            <w:r w:rsidR="00CA6C02">
              <w:rPr>
                <w:noProof/>
                <w:webHidden/>
              </w:rPr>
              <w:fldChar w:fldCharType="end"/>
            </w:r>
          </w:hyperlink>
        </w:p>
        <w:p w14:paraId="4DD51519" w14:textId="77777777" w:rsidR="00CA6C02" w:rsidRDefault="00B940BA">
          <w:pPr>
            <w:pStyle w:val="TOC2"/>
            <w:rPr>
              <w:rFonts w:asciiTheme="minorHAnsi" w:eastAsiaTheme="minorEastAsia" w:hAnsiTheme="minorHAnsi" w:cstheme="minorBidi"/>
              <w:color w:val="auto"/>
              <w:sz w:val="22"/>
              <w:szCs w:val="22"/>
            </w:rPr>
          </w:pPr>
          <w:hyperlink w:anchor="_Toc472604544" w:history="1">
            <w:r w:rsidR="00CA6C02" w:rsidRPr="000A4C1B">
              <w:rPr>
                <w:rStyle w:val="Hyperlink"/>
              </w:rPr>
              <w:t>B.1</w:t>
            </w:r>
            <w:r w:rsidR="00CA6C02">
              <w:rPr>
                <w:rFonts w:asciiTheme="minorHAnsi" w:eastAsiaTheme="minorEastAsia" w:hAnsiTheme="minorHAnsi" w:cstheme="minorBidi"/>
                <w:color w:val="auto"/>
                <w:sz w:val="22"/>
                <w:szCs w:val="22"/>
              </w:rPr>
              <w:tab/>
            </w:r>
            <w:r w:rsidR="00CA6C02" w:rsidRPr="000A4C1B">
              <w:rPr>
                <w:rStyle w:val="Hyperlink"/>
              </w:rPr>
              <w:t>Reliability</w:t>
            </w:r>
            <w:r w:rsidR="00CA6C02">
              <w:rPr>
                <w:webHidden/>
              </w:rPr>
              <w:tab/>
            </w:r>
            <w:r w:rsidR="00CA6C02">
              <w:rPr>
                <w:webHidden/>
              </w:rPr>
              <w:fldChar w:fldCharType="begin"/>
            </w:r>
            <w:r w:rsidR="00CA6C02">
              <w:rPr>
                <w:webHidden/>
              </w:rPr>
              <w:instrText xml:space="preserve"> PAGEREF _Toc472604544 \h </w:instrText>
            </w:r>
            <w:r w:rsidR="00CA6C02">
              <w:rPr>
                <w:webHidden/>
              </w:rPr>
            </w:r>
            <w:r w:rsidR="00CA6C02">
              <w:rPr>
                <w:webHidden/>
              </w:rPr>
              <w:fldChar w:fldCharType="separate"/>
            </w:r>
            <w:r>
              <w:rPr>
                <w:webHidden/>
              </w:rPr>
              <w:t>131</w:t>
            </w:r>
            <w:r w:rsidR="00CA6C02">
              <w:rPr>
                <w:webHidden/>
              </w:rPr>
              <w:fldChar w:fldCharType="end"/>
            </w:r>
          </w:hyperlink>
        </w:p>
        <w:p w14:paraId="02975161" w14:textId="77777777" w:rsidR="00CA6C02" w:rsidRDefault="00B940BA">
          <w:pPr>
            <w:pStyle w:val="TOC2"/>
            <w:rPr>
              <w:rFonts w:asciiTheme="minorHAnsi" w:eastAsiaTheme="minorEastAsia" w:hAnsiTheme="minorHAnsi" w:cstheme="minorBidi"/>
              <w:color w:val="auto"/>
              <w:sz w:val="22"/>
              <w:szCs w:val="22"/>
            </w:rPr>
          </w:pPr>
          <w:hyperlink w:anchor="_Toc472604545" w:history="1">
            <w:r w:rsidR="00CA6C02" w:rsidRPr="000A4C1B">
              <w:rPr>
                <w:rStyle w:val="Hyperlink"/>
              </w:rPr>
              <w:t>B.2</w:t>
            </w:r>
            <w:r w:rsidR="00CA6C02">
              <w:rPr>
                <w:rFonts w:asciiTheme="minorHAnsi" w:eastAsiaTheme="minorEastAsia" w:hAnsiTheme="minorHAnsi" w:cstheme="minorBidi"/>
                <w:color w:val="auto"/>
                <w:sz w:val="22"/>
                <w:szCs w:val="22"/>
              </w:rPr>
              <w:tab/>
            </w:r>
            <w:r w:rsidR="00CA6C02" w:rsidRPr="000A4C1B">
              <w:rPr>
                <w:rStyle w:val="Hyperlink"/>
              </w:rPr>
              <w:t>Unquantifiable tax expenditures</w:t>
            </w:r>
            <w:r w:rsidR="00CA6C02">
              <w:rPr>
                <w:webHidden/>
              </w:rPr>
              <w:tab/>
            </w:r>
            <w:r w:rsidR="00CA6C02">
              <w:rPr>
                <w:webHidden/>
              </w:rPr>
              <w:fldChar w:fldCharType="begin"/>
            </w:r>
            <w:r w:rsidR="00CA6C02">
              <w:rPr>
                <w:webHidden/>
              </w:rPr>
              <w:instrText xml:space="preserve"> PAGEREF _Toc472604545 \h </w:instrText>
            </w:r>
            <w:r w:rsidR="00CA6C02">
              <w:rPr>
                <w:webHidden/>
              </w:rPr>
            </w:r>
            <w:r w:rsidR="00CA6C02">
              <w:rPr>
                <w:webHidden/>
              </w:rPr>
              <w:fldChar w:fldCharType="separate"/>
            </w:r>
            <w:r>
              <w:rPr>
                <w:webHidden/>
              </w:rPr>
              <w:t>132</w:t>
            </w:r>
            <w:r w:rsidR="00CA6C02">
              <w:rPr>
                <w:webHidden/>
              </w:rPr>
              <w:fldChar w:fldCharType="end"/>
            </w:r>
          </w:hyperlink>
        </w:p>
        <w:p w14:paraId="02199BEE" w14:textId="77777777" w:rsidR="00CA6C02" w:rsidRDefault="00B940BA">
          <w:pPr>
            <w:pStyle w:val="TOC2"/>
            <w:rPr>
              <w:rFonts w:asciiTheme="minorHAnsi" w:eastAsiaTheme="minorEastAsia" w:hAnsiTheme="minorHAnsi" w:cstheme="minorBidi"/>
              <w:color w:val="auto"/>
              <w:sz w:val="22"/>
              <w:szCs w:val="22"/>
            </w:rPr>
          </w:pPr>
          <w:hyperlink w:anchor="_Toc472604546" w:history="1">
            <w:r w:rsidR="00CA6C02" w:rsidRPr="000A4C1B">
              <w:rPr>
                <w:rStyle w:val="Hyperlink"/>
              </w:rPr>
              <w:t>B.3</w:t>
            </w:r>
            <w:r w:rsidR="00CA6C02">
              <w:rPr>
                <w:rFonts w:asciiTheme="minorHAnsi" w:eastAsiaTheme="minorEastAsia" w:hAnsiTheme="minorHAnsi" w:cstheme="minorBidi"/>
                <w:color w:val="auto"/>
                <w:sz w:val="22"/>
                <w:szCs w:val="22"/>
              </w:rPr>
              <w:tab/>
            </w:r>
            <w:r w:rsidR="00CA6C02" w:rsidRPr="000A4C1B">
              <w:rPr>
                <w:rStyle w:val="Hyperlink"/>
              </w:rPr>
              <w:t>Benchmarks</w:t>
            </w:r>
            <w:r w:rsidR="00CA6C02">
              <w:rPr>
                <w:webHidden/>
              </w:rPr>
              <w:tab/>
            </w:r>
            <w:r w:rsidR="00CA6C02">
              <w:rPr>
                <w:webHidden/>
              </w:rPr>
              <w:fldChar w:fldCharType="begin"/>
            </w:r>
            <w:r w:rsidR="00CA6C02">
              <w:rPr>
                <w:webHidden/>
              </w:rPr>
              <w:instrText xml:space="preserve"> PAGEREF _Toc472604546 \h </w:instrText>
            </w:r>
            <w:r w:rsidR="00CA6C02">
              <w:rPr>
                <w:webHidden/>
              </w:rPr>
            </w:r>
            <w:r w:rsidR="00CA6C02">
              <w:rPr>
                <w:webHidden/>
              </w:rPr>
              <w:fldChar w:fldCharType="separate"/>
            </w:r>
            <w:r>
              <w:rPr>
                <w:webHidden/>
              </w:rPr>
              <w:t>132</w:t>
            </w:r>
            <w:r w:rsidR="00CA6C02">
              <w:rPr>
                <w:webHidden/>
              </w:rPr>
              <w:fldChar w:fldCharType="end"/>
            </w:r>
          </w:hyperlink>
        </w:p>
        <w:p w14:paraId="2B7FBAF4" w14:textId="77777777" w:rsidR="00CA6C02" w:rsidRDefault="00B940BA">
          <w:pPr>
            <w:pStyle w:val="TOC2"/>
            <w:rPr>
              <w:rFonts w:asciiTheme="minorHAnsi" w:eastAsiaTheme="minorEastAsia" w:hAnsiTheme="minorHAnsi" w:cstheme="minorBidi"/>
              <w:color w:val="auto"/>
              <w:sz w:val="22"/>
              <w:szCs w:val="22"/>
            </w:rPr>
          </w:pPr>
          <w:hyperlink w:anchor="_Toc472604547" w:history="1">
            <w:r w:rsidR="00CA6C02" w:rsidRPr="000A4C1B">
              <w:rPr>
                <w:rStyle w:val="Hyperlink"/>
              </w:rPr>
              <w:t>B.4</w:t>
            </w:r>
            <w:r w:rsidR="00CA6C02">
              <w:rPr>
                <w:rFonts w:asciiTheme="minorHAnsi" w:eastAsiaTheme="minorEastAsia" w:hAnsiTheme="minorHAnsi" w:cstheme="minorBidi"/>
                <w:color w:val="auto"/>
                <w:sz w:val="22"/>
                <w:szCs w:val="22"/>
              </w:rPr>
              <w:tab/>
            </w:r>
            <w:r w:rsidR="00CA6C02" w:rsidRPr="000A4C1B">
              <w:rPr>
                <w:rStyle w:val="Hyperlink"/>
              </w:rPr>
              <w:t>Modelling tax expenditures</w:t>
            </w:r>
            <w:r w:rsidR="00CA6C02">
              <w:rPr>
                <w:webHidden/>
              </w:rPr>
              <w:tab/>
            </w:r>
            <w:r w:rsidR="00CA6C02">
              <w:rPr>
                <w:webHidden/>
              </w:rPr>
              <w:fldChar w:fldCharType="begin"/>
            </w:r>
            <w:r w:rsidR="00CA6C02">
              <w:rPr>
                <w:webHidden/>
              </w:rPr>
              <w:instrText xml:space="preserve"> PAGEREF _Toc472604547 \h </w:instrText>
            </w:r>
            <w:r w:rsidR="00CA6C02">
              <w:rPr>
                <w:webHidden/>
              </w:rPr>
            </w:r>
            <w:r w:rsidR="00CA6C02">
              <w:rPr>
                <w:webHidden/>
              </w:rPr>
              <w:fldChar w:fldCharType="separate"/>
            </w:r>
            <w:r>
              <w:rPr>
                <w:webHidden/>
              </w:rPr>
              <w:t>142</w:t>
            </w:r>
            <w:r w:rsidR="00CA6C02">
              <w:rPr>
                <w:webHidden/>
              </w:rPr>
              <w:fldChar w:fldCharType="end"/>
            </w:r>
          </w:hyperlink>
        </w:p>
        <w:p w14:paraId="5E33E3AC" w14:textId="77777777" w:rsidR="00CA6C02" w:rsidRDefault="00B940BA">
          <w:pPr>
            <w:pStyle w:val="TOC2"/>
            <w:rPr>
              <w:rFonts w:asciiTheme="minorHAnsi" w:eastAsiaTheme="minorEastAsia" w:hAnsiTheme="minorHAnsi" w:cstheme="minorBidi"/>
              <w:color w:val="auto"/>
              <w:sz w:val="22"/>
              <w:szCs w:val="22"/>
            </w:rPr>
          </w:pPr>
          <w:hyperlink w:anchor="_Toc472604548" w:history="1">
            <w:r w:rsidR="00CA6C02" w:rsidRPr="000A4C1B">
              <w:rPr>
                <w:rStyle w:val="Hyperlink"/>
              </w:rPr>
              <w:t>B.5</w:t>
            </w:r>
            <w:r w:rsidR="00CA6C02">
              <w:rPr>
                <w:rFonts w:asciiTheme="minorHAnsi" w:eastAsiaTheme="minorEastAsia" w:hAnsiTheme="minorHAnsi" w:cstheme="minorBidi"/>
                <w:color w:val="auto"/>
                <w:sz w:val="22"/>
                <w:szCs w:val="22"/>
              </w:rPr>
              <w:tab/>
            </w:r>
            <w:r w:rsidR="00CA6C02" w:rsidRPr="000A4C1B">
              <w:rPr>
                <w:rStyle w:val="Hyperlink"/>
              </w:rPr>
              <w:t>Accrual estimates</w:t>
            </w:r>
            <w:r w:rsidR="00CA6C02">
              <w:rPr>
                <w:webHidden/>
              </w:rPr>
              <w:tab/>
            </w:r>
            <w:r w:rsidR="00CA6C02">
              <w:rPr>
                <w:webHidden/>
              </w:rPr>
              <w:fldChar w:fldCharType="begin"/>
            </w:r>
            <w:r w:rsidR="00CA6C02">
              <w:rPr>
                <w:webHidden/>
              </w:rPr>
              <w:instrText xml:space="preserve"> PAGEREF _Toc472604548 \h </w:instrText>
            </w:r>
            <w:r w:rsidR="00CA6C02">
              <w:rPr>
                <w:webHidden/>
              </w:rPr>
            </w:r>
            <w:r w:rsidR="00CA6C02">
              <w:rPr>
                <w:webHidden/>
              </w:rPr>
              <w:fldChar w:fldCharType="separate"/>
            </w:r>
            <w:r>
              <w:rPr>
                <w:webHidden/>
              </w:rPr>
              <w:t>144</w:t>
            </w:r>
            <w:r w:rsidR="00CA6C02">
              <w:rPr>
                <w:webHidden/>
              </w:rPr>
              <w:fldChar w:fldCharType="end"/>
            </w:r>
          </w:hyperlink>
        </w:p>
        <w:p w14:paraId="07B22929" w14:textId="77777777" w:rsidR="00CA6C02" w:rsidRDefault="00B940BA">
          <w:pPr>
            <w:pStyle w:val="TOC1"/>
            <w:rPr>
              <w:rFonts w:asciiTheme="minorHAnsi" w:eastAsiaTheme="minorEastAsia" w:hAnsiTheme="minorHAnsi" w:cstheme="minorBidi"/>
              <w:b w:val="0"/>
              <w:smallCaps w:val="0"/>
              <w:noProof/>
              <w:color w:val="auto"/>
              <w:szCs w:val="22"/>
            </w:rPr>
          </w:pPr>
          <w:hyperlink w:anchor="_Toc472604549" w:history="1">
            <w:r w:rsidR="00CA6C02" w:rsidRPr="000A4C1B">
              <w:rPr>
                <w:rStyle w:val="Hyperlink"/>
              </w:rPr>
              <w:t>Appendix C: Changes to tax expenditures in 2016</w:t>
            </w:r>
            <w:r w:rsidR="00CA6C02">
              <w:rPr>
                <w:noProof/>
                <w:webHidden/>
              </w:rPr>
              <w:tab/>
            </w:r>
            <w:r w:rsidR="00CA6C02">
              <w:rPr>
                <w:noProof/>
                <w:webHidden/>
              </w:rPr>
              <w:fldChar w:fldCharType="begin"/>
            </w:r>
            <w:r w:rsidR="00CA6C02">
              <w:rPr>
                <w:noProof/>
                <w:webHidden/>
              </w:rPr>
              <w:instrText xml:space="preserve"> PAGEREF _Toc472604549 \h </w:instrText>
            </w:r>
            <w:r w:rsidR="00CA6C02">
              <w:rPr>
                <w:noProof/>
                <w:webHidden/>
              </w:rPr>
            </w:r>
            <w:r w:rsidR="00CA6C02">
              <w:rPr>
                <w:noProof/>
                <w:webHidden/>
              </w:rPr>
              <w:fldChar w:fldCharType="separate"/>
            </w:r>
            <w:r>
              <w:rPr>
                <w:noProof/>
                <w:webHidden/>
              </w:rPr>
              <w:t>145</w:t>
            </w:r>
            <w:r w:rsidR="00CA6C02">
              <w:rPr>
                <w:noProof/>
                <w:webHidden/>
              </w:rPr>
              <w:fldChar w:fldCharType="end"/>
            </w:r>
          </w:hyperlink>
        </w:p>
        <w:p w14:paraId="58E1BE0B" w14:textId="77777777" w:rsidR="00CA6C02" w:rsidRDefault="00B940BA">
          <w:pPr>
            <w:pStyle w:val="TOC2"/>
            <w:rPr>
              <w:rFonts w:asciiTheme="minorHAnsi" w:eastAsiaTheme="minorEastAsia" w:hAnsiTheme="minorHAnsi" w:cstheme="minorBidi"/>
              <w:color w:val="auto"/>
              <w:sz w:val="22"/>
              <w:szCs w:val="22"/>
            </w:rPr>
          </w:pPr>
          <w:hyperlink w:anchor="_Toc472604550" w:history="1">
            <w:r w:rsidR="00CA6C02" w:rsidRPr="000A4C1B">
              <w:rPr>
                <w:rStyle w:val="Hyperlink"/>
                <w:rFonts w:cs="Arial"/>
              </w:rPr>
              <w:t>C.1</w:t>
            </w:r>
            <w:r w:rsidR="00CA6C02">
              <w:rPr>
                <w:rFonts w:asciiTheme="minorHAnsi" w:eastAsiaTheme="minorEastAsia" w:hAnsiTheme="minorHAnsi" w:cstheme="minorBidi"/>
                <w:color w:val="auto"/>
                <w:sz w:val="22"/>
                <w:szCs w:val="22"/>
              </w:rPr>
              <w:tab/>
            </w:r>
            <w:r w:rsidR="00CA6C02" w:rsidRPr="000A4C1B">
              <w:rPr>
                <w:rStyle w:val="Hyperlink"/>
              </w:rPr>
              <w:t>New tax expenditures</w:t>
            </w:r>
            <w:r w:rsidR="00CA6C02">
              <w:rPr>
                <w:webHidden/>
              </w:rPr>
              <w:tab/>
            </w:r>
            <w:r w:rsidR="00CA6C02">
              <w:rPr>
                <w:webHidden/>
              </w:rPr>
              <w:fldChar w:fldCharType="begin"/>
            </w:r>
            <w:r w:rsidR="00CA6C02">
              <w:rPr>
                <w:webHidden/>
              </w:rPr>
              <w:instrText xml:space="preserve"> PAGEREF _Toc472604550 \h </w:instrText>
            </w:r>
            <w:r w:rsidR="00CA6C02">
              <w:rPr>
                <w:webHidden/>
              </w:rPr>
            </w:r>
            <w:r w:rsidR="00CA6C02">
              <w:rPr>
                <w:webHidden/>
              </w:rPr>
              <w:fldChar w:fldCharType="separate"/>
            </w:r>
            <w:r>
              <w:rPr>
                <w:webHidden/>
              </w:rPr>
              <w:t>145</w:t>
            </w:r>
            <w:r w:rsidR="00CA6C02">
              <w:rPr>
                <w:webHidden/>
              </w:rPr>
              <w:fldChar w:fldCharType="end"/>
            </w:r>
          </w:hyperlink>
        </w:p>
        <w:p w14:paraId="67449604" w14:textId="77777777" w:rsidR="00CA6C02" w:rsidRDefault="00B940BA">
          <w:pPr>
            <w:pStyle w:val="TOC2"/>
            <w:rPr>
              <w:rFonts w:asciiTheme="minorHAnsi" w:eastAsiaTheme="minorEastAsia" w:hAnsiTheme="minorHAnsi" w:cstheme="minorBidi"/>
              <w:color w:val="auto"/>
              <w:sz w:val="22"/>
              <w:szCs w:val="22"/>
            </w:rPr>
          </w:pPr>
          <w:hyperlink w:anchor="_Toc472604551" w:history="1">
            <w:r w:rsidR="00CA6C02" w:rsidRPr="000A4C1B">
              <w:rPr>
                <w:rStyle w:val="Hyperlink"/>
                <w:rFonts w:cs="Arial"/>
              </w:rPr>
              <w:t>C.2</w:t>
            </w:r>
            <w:r w:rsidR="00CA6C02">
              <w:rPr>
                <w:rFonts w:asciiTheme="minorHAnsi" w:eastAsiaTheme="minorEastAsia" w:hAnsiTheme="minorHAnsi" w:cstheme="minorBidi"/>
                <w:color w:val="auto"/>
                <w:sz w:val="22"/>
                <w:szCs w:val="22"/>
              </w:rPr>
              <w:tab/>
            </w:r>
            <w:r w:rsidR="00CA6C02" w:rsidRPr="000A4C1B">
              <w:rPr>
                <w:rStyle w:val="Hyperlink"/>
              </w:rPr>
              <w:t>Modified tax expenditures</w:t>
            </w:r>
            <w:r w:rsidR="00CA6C02">
              <w:rPr>
                <w:webHidden/>
              </w:rPr>
              <w:tab/>
            </w:r>
            <w:r w:rsidR="00CA6C02">
              <w:rPr>
                <w:webHidden/>
              </w:rPr>
              <w:fldChar w:fldCharType="begin"/>
            </w:r>
            <w:r w:rsidR="00CA6C02">
              <w:rPr>
                <w:webHidden/>
              </w:rPr>
              <w:instrText xml:space="preserve"> PAGEREF _Toc472604551 \h </w:instrText>
            </w:r>
            <w:r w:rsidR="00CA6C02">
              <w:rPr>
                <w:webHidden/>
              </w:rPr>
            </w:r>
            <w:r w:rsidR="00CA6C02">
              <w:rPr>
                <w:webHidden/>
              </w:rPr>
              <w:fldChar w:fldCharType="separate"/>
            </w:r>
            <w:r>
              <w:rPr>
                <w:webHidden/>
              </w:rPr>
              <w:t>145</w:t>
            </w:r>
            <w:r w:rsidR="00CA6C02">
              <w:rPr>
                <w:webHidden/>
              </w:rPr>
              <w:fldChar w:fldCharType="end"/>
            </w:r>
          </w:hyperlink>
        </w:p>
        <w:p w14:paraId="4D3C187B" w14:textId="77777777" w:rsidR="00CA6C02" w:rsidRDefault="00B940BA">
          <w:pPr>
            <w:pStyle w:val="TOC2"/>
            <w:rPr>
              <w:rFonts w:asciiTheme="minorHAnsi" w:eastAsiaTheme="minorEastAsia" w:hAnsiTheme="minorHAnsi" w:cstheme="minorBidi"/>
              <w:color w:val="auto"/>
              <w:sz w:val="22"/>
              <w:szCs w:val="22"/>
            </w:rPr>
          </w:pPr>
          <w:hyperlink w:anchor="_Toc472604552" w:history="1">
            <w:r w:rsidR="00CA6C02" w:rsidRPr="000A4C1B">
              <w:rPr>
                <w:rStyle w:val="Hyperlink"/>
                <w:rFonts w:cs="Arial"/>
              </w:rPr>
              <w:t>C.3</w:t>
            </w:r>
            <w:r w:rsidR="00CA6C02">
              <w:rPr>
                <w:rFonts w:asciiTheme="minorHAnsi" w:eastAsiaTheme="minorEastAsia" w:hAnsiTheme="minorHAnsi" w:cstheme="minorBidi"/>
                <w:color w:val="auto"/>
                <w:sz w:val="22"/>
                <w:szCs w:val="22"/>
              </w:rPr>
              <w:tab/>
            </w:r>
            <w:r w:rsidR="00CA6C02" w:rsidRPr="000A4C1B">
              <w:rPr>
                <w:rStyle w:val="Hyperlink"/>
              </w:rPr>
              <w:t>Deleted tax expenditures</w:t>
            </w:r>
            <w:r w:rsidR="00CA6C02">
              <w:rPr>
                <w:webHidden/>
              </w:rPr>
              <w:tab/>
            </w:r>
            <w:r w:rsidR="00CA6C02">
              <w:rPr>
                <w:webHidden/>
              </w:rPr>
              <w:fldChar w:fldCharType="begin"/>
            </w:r>
            <w:r w:rsidR="00CA6C02">
              <w:rPr>
                <w:webHidden/>
              </w:rPr>
              <w:instrText xml:space="preserve"> PAGEREF _Toc472604552 \h </w:instrText>
            </w:r>
            <w:r w:rsidR="00CA6C02">
              <w:rPr>
                <w:webHidden/>
              </w:rPr>
            </w:r>
            <w:r w:rsidR="00CA6C02">
              <w:rPr>
                <w:webHidden/>
              </w:rPr>
              <w:fldChar w:fldCharType="separate"/>
            </w:r>
            <w:r>
              <w:rPr>
                <w:webHidden/>
              </w:rPr>
              <w:t>146</w:t>
            </w:r>
            <w:r w:rsidR="00CA6C02">
              <w:rPr>
                <w:webHidden/>
              </w:rPr>
              <w:fldChar w:fldCharType="end"/>
            </w:r>
          </w:hyperlink>
        </w:p>
        <w:p w14:paraId="1583F849" w14:textId="77777777" w:rsidR="00CA6C02" w:rsidRDefault="00B940BA">
          <w:pPr>
            <w:pStyle w:val="TOC2"/>
            <w:rPr>
              <w:rFonts w:asciiTheme="minorHAnsi" w:eastAsiaTheme="minorEastAsia" w:hAnsiTheme="minorHAnsi" w:cstheme="minorBidi"/>
              <w:color w:val="auto"/>
              <w:sz w:val="22"/>
              <w:szCs w:val="22"/>
            </w:rPr>
          </w:pPr>
          <w:hyperlink w:anchor="_Toc472604553" w:history="1">
            <w:r w:rsidR="00CA6C02" w:rsidRPr="000A4C1B">
              <w:rPr>
                <w:rStyle w:val="Hyperlink"/>
                <w:rFonts w:cs="Arial"/>
              </w:rPr>
              <w:t>C.4</w:t>
            </w:r>
            <w:r w:rsidR="00CA6C02">
              <w:rPr>
                <w:rFonts w:asciiTheme="minorHAnsi" w:eastAsiaTheme="minorEastAsia" w:hAnsiTheme="minorHAnsi" w:cstheme="minorBidi"/>
                <w:color w:val="auto"/>
                <w:sz w:val="22"/>
                <w:szCs w:val="22"/>
              </w:rPr>
              <w:tab/>
            </w:r>
            <w:r w:rsidR="00CA6C02" w:rsidRPr="000A4C1B">
              <w:rPr>
                <w:rStyle w:val="Hyperlink"/>
                <w:rFonts w:cs="Arial"/>
              </w:rPr>
              <w:t>Reporting modifications</w:t>
            </w:r>
            <w:r w:rsidR="00CA6C02">
              <w:rPr>
                <w:webHidden/>
              </w:rPr>
              <w:tab/>
            </w:r>
            <w:r w:rsidR="00CA6C02">
              <w:rPr>
                <w:webHidden/>
              </w:rPr>
              <w:fldChar w:fldCharType="begin"/>
            </w:r>
            <w:r w:rsidR="00CA6C02">
              <w:rPr>
                <w:webHidden/>
              </w:rPr>
              <w:instrText xml:space="preserve"> PAGEREF _Toc472604553 \h </w:instrText>
            </w:r>
            <w:r w:rsidR="00CA6C02">
              <w:rPr>
                <w:webHidden/>
              </w:rPr>
            </w:r>
            <w:r w:rsidR="00CA6C02">
              <w:rPr>
                <w:webHidden/>
              </w:rPr>
              <w:fldChar w:fldCharType="separate"/>
            </w:r>
            <w:r>
              <w:rPr>
                <w:webHidden/>
              </w:rPr>
              <w:t>147</w:t>
            </w:r>
            <w:r w:rsidR="00CA6C02">
              <w:rPr>
                <w:webHidden/>
              </w:rPr>
              <w:fldChar w:fldCharType="end"/>
            </w:r>
          </w:hyperlink>
        </w:p>
        <w:p w14:paraId="02D8B495" w14:textId="77777777" w:rsidR="00CA6C02" w:rsidRDefault="00B940BA" w:rsidP="00CA6C02">
          <w:pPr>
            <w:pStyle w:val="TOC1"/>
            <w:ind w:left="0" w:firstLine="0"/>
            <w:rPr>
              <w:rFonts w:asciiTheme="minorHAnsi" w:eastAsiaTheme="minorEastAsia" w:hAnsiTheme="minorHAnsi" w:cstheme="minorBidi"/>
              <w:b w:val="0"/>
              <w:smallCaps w:val="0"/>
              <w:noProof/>
              <w:color w:val="auto"/>
              <w:szCs w:val="22"/>
            </w:rPr>
          </w:pPr>
          <w:hyperlink w:anchor="_Toc472604554" w:history="1">
            <w:r w:rsidR="00CA6C02" w:rsidRPr="000A4C1B">
              <w:rPr>
                <w:rStyle w:val="Hyperlink"/>
              </w:rPr>
              <w:t>Index</w:t>
            </w:r>
            <w:r w:rsidR="00CA6C02">
              <w:rPr>
                <w:noProof/>
                <w:webHidden/>
              </w:rPr>
              <w:tab/>
            </w:r>
            <w:r w:rsidR="00CA6C02">
              <w:rPr>
                <w:noProof/>
                <w:webHidden/>
              </w:rPr>
              <w:fldChar w:fldCharType="begin"/>
            </w:r>
            <w:r w:rsidR="00CA6C02">
              <w:rPr>
                <w:noProof/>
                <w:webHidden/>
              </w:rPr>
              <w:instrText xml:space="preserve"> PAGEREF _Toc472604554 \h </w:instrText>
            </w:r>
            <w:r w:rsidR="00CA6C02">
              <w:rPr>
                <w:noProof/>
                <w:webHidden/>
              </w:rPr>
            </w:r>
            <w:r w:rsidR="00CA6C02">
              <w:rPr>
                <w:noProof/>
                <w:webHidden/>
              </w:rPr>
              <w:fldChar w:fldCharType="separate"/>
            </w:r>
            <w:r>
              <w:rPr>
                <w:noProof/>
                <w:webHidden/>
              </w:rPr>
              <w:t>149</w:t>
            </w:r>
            <w:r w:rsidR="00CA6C02">
              <w:rPr>
                <w:noProof/>
                <w:webHidden/>
              </w:rPr>
              <w:fldChar w:fldCharType="end"/>
            </w:r>
          </w:hyperlink>
        </w:p>
        <w:p w14:paraId="2086E2E8" w14:textId="77777777" w:rsidR="00AF757C" w:rsidRPr="00762F6A" w:rsidRDefault="00300652" w:rsidP="00300652">
          <w:pPr>
            <w:pStyle w:val="TOC1"/>
          </w:pPr>
          <w:r w:rsidRPr="00762F6A">
            <w:rPr>
              <w:rFonts w:asciiTheme="majorHAnsi" w:eastAsiaTheme="majorEastAsia" w:hAnsiTheme="majorHAnsi" w:cstheme="majorBidi"/>
              <w:color w:val="365F91" w:themeColor="accent1" w:themeShade="BF"/>
              <w:sz w:val="28"/>
              <w:szCs w:val="28"/>
              <w:highlight w:val="yellow"/>
              <w:lang w:eastAsia="ja-JP"/>
            </w:rPr>
            <w:fldChar w:fldCharType="end"/>
          </w:r>
        </w:p>
      </w:sdtContent>
    </w:sdt>
    <w:p w14:paraId="2086E2E9" w14:textId="77777777" w:rsidR="00BB27DA" w:rsidRPr="00762F6A" w:rsidRDefault="00BB27DA" w:rsidP="00BB27DA"/>
    <w:p w14:paraId="2086E2EA" w14:textId="77777777" w:rsidR="00BB27DA" w:rsidRPr="00762F6A" w:rsidRDefault="00BB27DA" w:rsidP="00BB27DA">
      <w:pPr>
        <w:sectPr w:rsidR="00BB27DA" w:rsidRPr="00762F6A" w:rsidSect="00BB27DA">
          <w:headerReference w:type="even" r:id="rId25"/>
          <w:headerReference w:type="default" r:id="rId26"/>
          <w:footerReference w:type="even" r:id="rId27"/>
          <w:footerReference w:type="default" r:id="rId28"/>
          <w:footerReference w:type="first" r:id="rId29"/>
          <w:pgSz w:w="11907" w:h="16840" w:code="9"/>
          <w:pgMar w:top="2466" w:right="2098" w:bottom="2466" w:left="2098" w:header="1899" w:footer="1899" w:gutter="0"/>
          <w:pgNumType w:fmt="lowerRoman"/>
          <w:cols w:space="720"/>
          <w:titlePg/>
          <w:docGrid w:linePitch="272"/>
        </w:sectPr>
      </w:pPr>
    </w:p>
    <w:p w14:paraId="2086E2EB" w14:textId="77777777" w:rsidR="009B57DC" w:rsidRPr="00762F6A" w:rsidRDefault="009B57DC" w:rsidP="009B57DC">
      <w:pPr>
        <w:pStyle w:val="Heading1"/>
      </w:pPr>
      <w:bookmarkStart w:id="0" w:name="_Toc466381024"/>
      <w:bookmarkStart w:id="1" w:name="_Toc472604525"/>
      <w:bookmarkStart w:id="2" w:name="_Toc406673236"/>
      <w:r w:rsidRPr="00762F6A">
        <w:lastRenderedPageBreak/>
        <w:t>Major changes from 201</w:t>
      </w:r>
      <w:r>
        <w:t>5</w:t>
      </w:r>
      <w:bookmarkEnd w:id="0"/>
      <w:bookmarkEnd w:id="1"/>
    </w:p>
    <w:p w14:paraId="2086E2EC" w14:textId="77777777" w:rsidR="009B57DC" w:rsidRDefault="009B57DC" w:rsidP="0098392C">
      <w:r>
        <w:t>The 2016 Tax Expenditures Statement (TES) includes a range of superannuation tax expenditures that were modified by the Government’s Superann</w:t>
      </w:r>
      <w:r w:rsidR="00303579">
        <w:t>uation Reform Package.</w:t>
      </w:r>
    </w:p>
    <w:p w14:paraId="2086E2ED" w14:textId="571E206C" w:rsidR="009B57DC" w:rsidRDefault="009B57DC" w:rsidP="0098392C">
      <w:r>
        <w:t>The 2016 TES also includes a new tax expenditure for working holidaymakers, following the passage of legislation taxing them at a rate of 15 cents from their first</w:t>
      </w:r>
      <w:r w:rsidR="00E5312D">
        <w:t> </w:t>
      </w:r>
      <w:r>
        <w:t xml:space="preserve">dollar earned until $37,000, after which </w:t>
      </w:r>
      <w:r w:rsidR="00382E62">
        <w:t>ordinary</w:t>
      </w:r>
      <w:r>
        <w:t xml:space="preserve"> tax rates </w:t>
      </w:r>
      <w:r w:rsidRPr="00F02074">
        <w:t>apply (A35).</w:t>
      </w:r>
    </w:p>
    <w:p w14:paraId="2086E2EE" w14:textId="77777777" w:rsidR="009B57DC" w:rsidRDefault="009B57DC" w:rsidP="0098392C">
      <w:r>
        <w:t>The following tax expenditures have been abolished:</w:t>
      </w:r>
    </w:p>
    <w:p w14:paraId="2086E2EF" w14:textId="77777777" w:rsidR="009B57DC" w:rsidRDefault="009B57DC" w:rsidP="009B57DC">
      <w:pPr>
        <w:pStyle w:val="Bullet"/>
      </w:pPr>
      <w:r>
        <w:t>National Guarantee Fund Payment exemption (previously B2); and</w:t>
      </w:r>
    </w:p>
    <w:p w14:paraId="2086E2F0" w14:textId="77777777" w:rsidR="009B57DC" w:rsidRDefault="009B57DC" w:rsidP="009B57DC">
      <w:pPr>
        <w:pStyle w:val="Bullet"/>
      </w:pPr>
      <w:r>
        <w:t>Regional headquarters set-up cost deduction (previously B17).</w:t>
      </w:r>
    </w:p>
    <w:p w14:paraId="2086E2F1" w14:textId="5E248DCB" w:rsidR="009B57DC" w:rsidRDefault="00F64F73" w:rsidP="0098392C">
      <w:r>
        <w:t>Appendix C</w:t>
      </w:r>
      <w:r w:rsidR="009B57DC">
        <w:t xml:space="preserve"> contains further information on new, modified and expired tax expenditures</w:t>
      </w:r>
      <w:r w:rsidR="002909C1">
        <w:t xml:space="preserve"> and reporting modifications</w:t>
      </w:r>
      <w:r w:rsidR="009B57DC">
        <w:t>.</w:t>
      </w:r>
    </w:p>
    <w:p w14:paraId="2086E2F2" w14:textId="77777777" w:rsidR="009B57DC" w:rsidRDefault="009B57DC" w:rsidP="0098392C">
      <w:r>
        <w:t>There are no significant changes to tax expenditure benchmarks.</w:t>
      </w:r>
    </w:p>
    <w:p w14:paraId="2086E2F3" w14:textId="77777777" w:rsidR="009B57DC" w:rsidRPr="00C041B3" w:rsidRDefault="009B57DC" w:rsidP="009B57DC">
      <w:pPr>
        <w:rPr>
          <w:b/>
        </w:rPr>
      </w:pPr>
      <w:r w:rsidRPr="00C041B3">
        <w:rPr>
          <w:b/>
        </w:rPr>
        <w:t>House of Representatives Standing Committee on Tax and Revenue inquiry into the Tax Expenditures Statement</w:t>
      </w:r>
    </w:p>
    <w:p w14:paraId="2086E2F4" w14:textId="054ECF4C" w:rsidR="009B57DC" w:rsidRDefault="009B57DC" w:rsidP="00441DD6">
      <w:r>
        <w:t xml:space="preserve">On </w:t>
      </w:r>
      <w:r w:rsidRPr="00893902">
        <w:t>29</w:t>
      </w:r>
      <w:r>
        <w:t xml:space="preserve"> November 2016, the Government tabled a response to the </w:t>
      </w:r>
      <w:r w:rsidRPr="00762F6A">
        <w:t xml:space="preserve">House of Representatives Standing Committee on Tax and Revenue report </w:t>
      </w:r>
      <w:r>
        <w:t xml:space="preserve">on </w:t>
      </w:r>
      <w:r w:rsidRPr="00762F6A">
        <w:t xml:space="preserve">the Tax Expenditures Statement. </w:t>
      </w:r>
      <w:r>
        <w:t xml:space="preserve">This response is available at </w:t>
      </w:r>
      <w:hyperlink r:id="rId30" w:history="1">
        <w:r w:rsidR="00E5312D" w:rsidRPr="00441DD6">
          <w:t>http://www.aph.gov.au/</w:t>
        </w:r>
        <w:r w:rsidR="00E5312D" w:rsidRPr="00441DD6">
          <w:br/>
          <w:t>Parliamentary_Business/Committees/House/Tax_and_Revenue/Tax_Expenditures/Government_Response</w:t>
        </w:r>
      </w:hyperlink>
      <w:r w:rsidRPr="00441DD6">
        <w:t>.</w:t>
      </w:r>
    </w:p>
    <w:p w14:paraId="2086E2F5" w14:textId="77777777" w:rsidR="009B57DC" w:rsidRDefault="009B57DC" w:rsidP="009B57DC">
      <w:r>
        <w:t xml:space="preserve">The Government supported or supported-in-part several Committee recommendations, including: </w:t>
      </w:r>
    </w:p>
    <w:p w14:paraId="2086E2F6" w14:textId="77777777" w:rsidR="009B57DC" w:rsidRDefault="009B57DC" w:rsidP="009B57DC">
      <w:pPr>
        <w:pStyle w:val="Bullet"/>
      </w:pPr>
      <w:r>
        <w:t>t</w:t>
      </w:r>
      <w:r w:rsidRPr="00BE268B">
        <w:t>hat Treasury devote fewer resources to estimating smaller, technical tax expenditures</w:t>
      </w:r>
      <w:r>
        <w:t>;</w:t>
      </w:r>
    </w:p>
    <w:p w14:paraId="2086E2F7" w14:textId="33548914" w:rsidR="009B57DC" w:rsidRDefault="009B57DC" w:rsidP="009B57DC">
      <w:pPr>
        <w:pStyle w:val="Bullet"/>
      </w:pPr>
      <w:r>
        <w:t xml:space="preserve">that Treasury </w:t>
      </w:r>
      <w:r w:rsidRPr="000E16CA">
        <w:t>periodically publish an analysis of the long</w:t>
      </w:r>
      <w:r w:rsidR="0038663E">
        <w:t>-</w:t>
      </w:r>
      <w:r w:rsidRPr="000E16CA">
        <w:t xml:space="preserve">run interactions between superannuation and the </w:t>
      </w:r>
      <w:r w:rsidR="0038663E">
        <w:t>A</w:t>
      </w:r>
      <w:r w:rsidR="0038663E" w:rsidRPr="000E16CA">
        <w:t xml:space="preserve">ge </w:t>
      </w:r>
      <w:r w:rsidR="0038663E">
        <w:t>P</w:t>
      </w:r>
      <w:r w:rsidRPr="000E16CA">
        <w:t>ension and estimates of the future costs and benefits of superannuation and its tax concessions</w:t>
      </w:r>
      <w:r>
        <w:t xml:space="preserve">, </w:t>
      </w:r>
      <w:r w:rsidRPr="000E16CA">
        <w:rPr>
          <w:color w:val="auto"/>
        </w:rPr>
        <w:t>broadly every five years</w:t>
      </w:r>
      <w:r>
        <w:rPr>
          <w:color w:val="auto"/>
        </w:rPr>
        <w:t>;</w:t>
      </w:r>
    </w:p>
    <w:p w14:paraId="2086E2F8" w14:textId="77777777" w:rsidR="009B57DC" w:rsidRDefault="009B57DC" w:rsidP="009B57DC">
      <w:pPr>
        <w:pStyle w:val="Bullet"/>
      </w:pPr>
      <w:r>
        <w:t>that Treasury consult with stakeholders on the benchmarks used in the TES;</w:t>
      </w:r>
    </w:p>
    <w:p w14:paraId="2086E2F9" w14:textId="77777777" w:rsidR="009B57DC" w:rsidRDefault="009B57DC" w:rsidP="009B57DC">
      <w:pPr>
        <w:pStyle w:val="Bullet"/>
      </w:pPr>
      <w:r>
        <w:t xml:space="preserve">that </w:t>
      </w:r>
      <w:r w:rsidRPr="00127F19">
        <w:t xml:space="preserve">Treasury consider ways of increasing the visibility of warnings in the </w:t>
      </w:r>
      <w:r>
        <w:t>TES</w:t>
      </w:r>
      <w:r w:rsidRPr="00127F19">
        <w:t xml:space="preserve"> to better draw the attention of readers to the limitations</w:t>
      </w:r>
      <w:r>
        <w:t xml:space="preserve"> of the TES;</w:t>
      </w:r>
    </w:p>
    <w:p w14:paraId="2086E2FA" w14:textId="77777777" w:rsidR="009B57DC" w:rsidRPr="00023EA1" w:rsidRDefault="009B57DC" w:rsidP="009B57DC">
      <w:pPr>
        <w:pStyle w:val="Bullet"/>
      </w:pPr>
      <w:r>
        <w:lastRenderedPageBreak/>
        <w:t>t</w:t>
      </w:r>
      <w:r w:rsidRPr="00023EA1">
        <w:t>hat Treasury retain the comprehensive income tax benchmark for savings in the T</w:t>
      </w:r>
      <w:r>
        <w:t xml:space="preserve">ES – although the Government’s response notes that Treasury should explore </w:t>
      </w:r>
      <w:r w:rsidRPr="006D3968">
        <w:t>reporting savings tax expenditures against an expenditure tax benchmark in future editions of the Tax Expenditures Statement, in addition to an income tax benchmark</w:t>
      </w:r>
      <w:r>
        <w:t>;</w:t>
      </w:r>
    </w:p>
    <w:p w14:paraId="2086E2FB" w14:textId="77777777" w:rsidR="009B57DC" w:rsidRPr="00127F19" w:rsidRDefault="009B57DC" w:rsidP="009B57DC">
      <w:pPr>
        <w:pStyle w:val="Bullet"/>
      </w:pPr>
      <w:r>
        <w:t>th</w:t>
      </w:r>
      <w:r w:rsidRPr="00127F19">
        <w:t xml:space="preserve">at Treasury include in the </w:t>
      </w:r>
      <w:r>
        <w:t>TES</w:t>
      </w:r>
      <w:r w:rsidRPr="00127F19">
        <w:t xml:space="preserve"> an informative explanation of data and methods for large estimates and when estimates are substantially revised, either </w:t>
      </w:r>
      <w:r>
        <w:t>in terms of size or reliability; and</w:t>
      </w:r>
    </w:p>
    <w:p w14:paraId="2086E2FC" w14:textId="77777777" w:rsidR="009B57DC" w:rsidRPr="00127F19" w:rsidRDefault="009B57DC" w:rsidP="009B57DC">
      <w:pPr>
        <w:pStyle w:val="Bullet"/>
      </w:pPr>
      <w:r>
        <w:t>t</w:t>
      </w:r>
      <w:r w:rsidRPr="00127F19">
        <w:t>hat Treasury and the Australian Taxation Office consult with stakeholders on possible data sources and apply a prioritised approach to data improvements.</w:t>
      </w:r>
    </w:p>
    <w:p w14:paraId="2086E2FD" w14:textId="1BCFC614" w:rsidR="009B57DC" w:rsidRDefault="009B57DC" w:rsidP="009B57DC">
      <w:r>
        <w:t>In the time available since the Government response was tabled, it has not been possible to implement the recommendations. They will be implemented in the 2017</w:t>
      </w:r>
      <w:r w:rsidR="000D10E0">
        <w:t> </w:t>
      </w:r>
      <w:r>
        <w:t>TES.</w:t>
      </w:r>
    </w:p>
    <w:p w14:paraId="2086E2FE" w14:textId="77777777" w:rsidR="009B57DC" w:rsidRPr="00762F6A" w:rsidRDefault="009B57DC" w:rsidP="009B57DC"/>
    <w:p w14:paraId="2086E2FF" w14:textId="77777777" w:rsidR="009B57DC" w:rsidRPr="00762F6A" w:rsidRDefault="009B57DC" w:rsidP="009B57DC">
      <w:pPr>
        <w:pStyle w:val="Heading1"/>
        <w:sectPr w:rsidR="009B57DC" w:rsidRPr="00762F6A" w:rsidSect="00D90F54">
          <w:headerReference w:type="even" r:id="rId31"/>
          <w:footerReference w:type="even" r:id="rId32"/>
          <w:type w:val="oddPage"/>
          <w:pgSz w:w="11907" w:h="16840" w:code="9"/>
          <w:pgMar w:top="2466" w:right="2098" w:bottom="2466" w:left="2098" w:header="1899" w:footer="1899" w:gutter="0"/>
          <w:pgNumType w:start="1"/>
          <w:cols w:space="720"/>
          <w:titlePg/>
          <w:docGrid w:linePitch="272"/>
        </w:sectPr>
      </w:pPr>
    </w:p>
    <w:p w14:paraId="2086E300" w14:textId="77777777" w:rsidR="009B57DC" w:rsidRPr="00762F6A" w:rsidRDefault="009B57DC" w:rsidP="009B57DC">
      <w:pPr>
        <w:pStyle w:val="Heading1"/>
      </w:pPr>
      <w:bookmarkStart w:id="3" w:name="_Toc466381025"/>
      <w:bookmarkStart w:id="4" w:name="_Toc472604526"/>
      <w:r w:rsidRPr="00762F6A">
        <w:lastRenderedPageBreak/>
        <w:t>Chapter 1: Introduction</w:t>
      </w:r>
      <w:bookmarkEnd w:id="3"/>
      <w:bookmarkEnd w:id="4"/>
    </w:p>
    <w:p w14:paraId="2086E301" w14:textId="77777777" w:rsidR="009B57DC" w:rsidRPr="00762F6A" w:rsidRDefault="009B57DC" w:rsidP="009B57DC">
      <w:pPr>
        <w:spacing w:after="200"/>
      </w:pPr>
      <w:r w:rsidRPr="00762F6A">
        <w:t xml:space="preserve">A tax expenditure arises where the actual tax treatment of an activity or class of taxpayer differs from the benchmark tax treatment. </w:t>
      </w:r>
    </w:p>
    <w:p w14:paraId="2086E302" w14:textId="77777777" w:rsidR="009B57DC" w:rsidRPr="00762F6A" w:rsidRDefault="009B57DC" w:rsidP="009B57DC">
      <w:pPr>
        <w:pStyle w:val="Bullet"/>
        <w:spacing w:after="200"/>
      </w:pPr>
      <w:r w:rsidRPr="00762F6A">
        <w:t>Tax expenditures typically involve tax exemptions, deductions or offsets, concessional tax rates and deferrals of tax liability.</w:t>
      </w:r>
    </w:p>
    <w:p w14:paraId="2086E303" w14:textId="77777777" w:rsidR="009B57DC" w:rsidRPr="00762F6A" w:rsidRDefault="009B57DC" w:rsidP="009B57DC">
      <w:pPr>
        <w:pStyle w:val="Bullet"/>
      </w:pPr>
      <w:r w:rsidRPr="00762F6A">
        <w:t xml:space="preserve">A positive tax expenditure reduces tax payable relative to the benchmark. A negative tax expenditure increases tax payable relative to the benchmark. </w:t>
      </w:r>
    </w:p>
    <w:p w14:paraId="2086E304" w14:textId="77777777" w:rsidR="009B57DC" w:rsidRPr="00762F6A" w:rsidRDefault="009B57DC" w:rsidP="0098392C">
      <w:r w:rsidRPr="00762F6A">
        <w:t xml:space="preserve">Benchmarks represent a standard taxation treatment that applies to similar taxpayers or types of activity. </w:t>
      </w:r>
    </w:p>
    <w:p w14:paraId="2086E305" w14:textId="77777777" w:rsidR="009B57DC" w:rsidRPr="00762F6A" w:rsidRDefault="009B57DC" w:rsidP="009B57DC">
      <w:pPr>
        <w:pStyle w:val="Bullet"/>
        <w:tabs>
          <w:tab w:val="left" w:pos="283"/>
        </w:tabs>
        <w:spacing w:after="200"/>
      </w:pPr>
      <w:r w:rsidRPr="00762F6A">
        <w:t xml:space="preserve">Benchmarks may also incorporate </w:t>
      </w:r>
      <w:r w:rsidRPr="00762F6A">
        <w:rPr>
          <w:rStyle w:val="NormalItalic"/>
          <w:i w:val="0"/>
        </w:rPr>
        <w:t>structural elements</w:t>
      </w:r>
      <w:r w:rsidRPr="00762F6A">
        <w:t xml:space="preserve"> of the tax system; for example, the progressive income tax rate scale for individual taxpayers.</w:t>
      </w:r>
    </w:p>
    <w:p w14:paraId="2086E306" w14:textId="03EB995B" w:rsidR="009B57DC" w:rsidRDefault="009B57DC" w:rsidP="009B57DC">
      <w:pPr>
        <w:pStyle w:val="Bullet"/>
        <w:tabs>
          <w:tab w:val="left" w:pos="283"/>
        </w:tabs>
        <w:spacing w:before="120" w:after="120"/>
      </w:pPr>
      <w:r w:rsidRPr="00762F6A">
        <w:t>The benchmarks used in the 201</w:t>
      </w:r>
      <w:r>
        <w:t>6</w:t>
      </w:r>
      <w:r w:rsidRPr="00762F6A">
        <w:t xml:space="preserve"> TES are outlined in </w:t>
      </w:r>
      <w:r w:rsidRPr="00C041B3">
        <w:t xml:space="preserve">Appendix </w:t>
      </w:r>
      <w:r w:rsidR="00F64F73">
        <w:t>B</w:t>
      </w:r>
      <w:r w:rsidRPr="00762F6A">
        <w:t>.</w:t>
      </w:r>
    </w:p>
    <w:p w14:paraId="2086E307" w14:textId="4D095ABE" w:rsidR="009B57DC" w:rsidRDefault="009B57DC" w:rsidP="009B57DC">
      <w:r w:rsidRPr="00762F6A">
        <w:t xml:space="preserve">Determining benchmarks involves judgment. Consequently, the choice of benchmark may be contentious and benchmarks may vary over time. </w:t>
      </w:r>
      <w:r w:rsidRPr="00AF58C7">
        <w:t>The choice of benchmark should not be interpreted as indicating a view on how an activity or taxpayer ought to be taxed.</w:t>
      </w:r>
      <w:r>
        <w:t xml:space="preserve"> </w:t>
      </w:r>
    </w:p>
    <w:p w14:paraId="2086E308" w14:textId="77777777" w:rsidR="009B57DC" w:rsidRPr="00762F6A" w:rsidRDefault="009B57DC" w:rsidP="00E5312D">
      <w:pPr>
        <w:pStyle w:val="Heading2-notnumbered"/>
      </w:pPr>
      <w:bookmarkStart w:id="5" w:name="_Toc466381026"/>
      <w:bookmarkStart w:id="6" w:name="_Toc472604527"/>
      <w:r w:rsidRPr="00762F6A">
        <w:t>The Tax Expenditures Statement</w:t>
      </w:r>
      <w:bookmarkEnd w:id="5"/>
      <w:bookmarkEnd w:id="6"/>
    </w:p>
    <w:p w14:paraId="2086E309" w14:textId="77777777" w:rsidR="009B57DC" w:rsidRPr="00762F6A" w:rsidRDefault="009B57DC" w:rsidP="009B57DC">
      <w:r w:rsidRPr="00762F6A">
        <w:t>The annual TES provides a description of Australian Government tax expenditures and, where possible, the estimated value or order of magnitude of the tax expenditure.</w:t>
      </w:r>
    </w:p>
    <w:p w14:paraId="2086E30A" w14:textId="77777777" w:rsidR="009B57DC" w:rsidRPr="00762F6A" w:rsidRDefault="009B57DC" w:rsidP="009B57DC">
      <w:r w:rsidRPr="00762F6A">
        <w:t>The TES is intended to facilitate scrutiny of tax expenditures by Parliament and parliamentary committees, the media and the general public. Transparent reporting of tax expenditures also helps inform debate on the efficiency and equity of the tax system.</w:t>
      </w:r>
    </w:p>
    <w:p w14:paraId="2086E30B" w14:textId="77777777" w:rsidR="009B57DC" w:rsidRDefault="009B57DC" w:rsidP="009B57DC">
      <w:r w:rsidRPr="00762F6A">
        <w:t xml:space="preserve">This TES reflects Australian Government policy up to and including the </w:t>
      </w:r>
      <w:r w:rsidRPr="00C041B3">
        <w:rPr>
          <w:i/>
        </w:rPr>
        <w:t>2016</w:t>
      </w:r>
      <w:r w:rsidRPr="00C041B3">
        <w:rPr>
          <w:i/>
        </w:rPr>
        <w:noBreakHyphen/>
        <w:t>17</w:t>
      </w:r>
      <w:r w:rsidRPr="00762F6A">
        <w:t xml:space="preserve"> </w:t>
      </w:r>
      <w:r w:rsidRPr="00762F6A">
        <w:rPr>
          <w:i/>
        </w:rPr>
        <w:t>Mid</w:t>
      </w:r>
      <w:r w:rsidRPr="00762F6A">
        <w:rPr>
          <w:i/>
        </w:rPr>
        <w:noBreakHyphen/>
        <w:t>Year Economic and Fiscal Outlook</w:t>
      </w:r>
      <w:r w:rsidRPr="00762F6A">
        <w:t>.</w:t>
      </w:r>
      <w:r>
        <w:br w:type="page"/>
      </w:r>
    </w:p>
    <w:p w14:paraId="2086E30C" w14:textId="77777777" w:rsidR="009B57DC" w:rsidRDefault="009B57DC" w:rsidP="009B57DC">
      <w:pPr>
        <w:pStyle w:val="BoxHeading"/>
        <w:keepNext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sz w:val="24"/>
          <w:szCs w:val="24"/>
        </w:rPr>
      </w:pPr>
    </w:p>
    <w:p w14:paraId="2086E30D" w14:textId="77777777" w:rsidR="009B57DC" w:rsidRPr="00E843BE" w:rsidRDefault="009B57DC" w:rsidP="009B57DC">
      <w:pPr>
        <w:pStyle w:val="BoxHeading"/>
        <w:keepNext w:val="0"/>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sz w:val="24"/>
          <w:szCs w:val="24"/>
        </w:rPr>
      </w:pPr>
      <w:r w:rsidRPr="00E843BE">
        <w:rPr>
          <w:sz w:val="24"/>
          <w:szCs w:val="24"/>
        </w:rPr>
        <w:t>The tax treatment of savings</w:t>
      </w:r>
    </w:p>
    <w:p w14:paraId="2086E30E" w14:textId="77777777" w:rsidR="009B57DC" w:rsidRPr="0098392C" w:rsidRDefault="009B57DC" w:rsidP="0098392C">
      <w:pPr>
        <w:pStyle w:val="Box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Book Antiqua" w:hAnsi="Book Antiqua"/>
          <w:lang w:eastAsia="en-AU"/>
        </w:rPr>
      </w:pPr>
      <w:r w:rsidRPr="0098392C">
        <w:rPr>
          <w:rFonts w:ascii="Book Antiqua" w:hAnsi="Book Antiqua"/>
          <w:lang w:eastAsia="en-AU"/>
        </w:rPr>
        <w:t>Consistent with international practice, the current benchmark applied to the tax treatment of savings is the comprehensive income tax benchmark. There is an issue about whether an expenditure tax benchmark would be more appropriate.</w:t>
      </w:r>
    </w:p>
    <w:p w14:paraId="2086E30F" w14:textId="77777777" w:rsidR="009B57DC" w:rsidRPr="006241DA" w:rsidRDefault="009B57DC" w:rsidP="009B57DC">
      <w:pPr>
        <w:pStyle w:val="BoxTextBullet"/>
        <w:pBdr>
          <w:top w:val="single" w:sz="4" w:space="1" w:color="auto"/>
          <w:left w:val="single" w:sz="4" w:space="4" w:color="auto"/>
          <w:bottom w:val="single" w:sz="4" w:space="1" w:color="auto"/>
          <w:right w:val="single" w:sz="4" w:space="4" w:color="auto"/>
        </w:pBdr>
        <w:shd w:val="clear" w:color="auto" w:fill="D9D9D9" w:themeFill="background1" w:themeFillShade="D9"/>
        <w:rPr>
          <w:rFonts w:ascii="Book Antiqua" w:hAnsi="Book Antiqua"/>
        </w:rPr>
      </w:pPr>
      <w:r w:rsidRPr="006241DA">
        <w:rPr>
          <w:rFonts w:ascii="Book Antiqua" w:hAnsi="Book Antiqua"/>
        </w:rPr>
        <w:t>Under a comprehensive income tax benchmark, income from capital is taxed at marginal rates. Under an expenditure tax benchmark, income from capital is exempt from tax.</w:t>
      </w:r>
    </w:p>
    <w:p w14:paraId="2086E310" w14:textId="77777777" w:rsidR="009B57DC" w:rsidRPr="006241DA" w:rsidRDefault="009B57DC" w:rsidP="009B57DC">
      <w:pPr>
        <w:pStyle w:val="Box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Book Antiqua" w:hAnsi="Book Antiqua"/>
          <w:lang w:eastAsia="en-AU"/>
        </w:rPr>
      </w:pPr>
      <w:r w:rsidRPr="006241DA">
        <w:rPr>
          <w:rFonts w:ascii="Book Antiqua" w:hAnsi="Book Antiqua"/>
          <w:lang w:eastAsia="en-AU"/>
        </w:rPr>
        <w:t xml:space="preserve">The 2013 TES </w:t>
      </w:r>
      <w:r>
        <w:rPr>
          <w:rFonts w:ascii="Book Antiqua" w:hAnsi="Book Antiqua"/>
          <w:lang w:eastAsia="en-AU"/>
        </w:rPr>
        <w:t xml:space="preserve">raised this issue and included </w:t>
      </w:r>
      <w:r w:rsidRPr="006241DA">
        <w:rPr>
          <w:rFonts w:ascii="Book Antiqua" w:hAnsi="Book Antiqua"/>
          <w:lang w:eastAsia="en-AU"/>
        </w:rPr>
        <w:t>experimental</w:t>
      </w:r>
      <w:r>
        <w:t xml:space="preserve"> </w:t>
      </w:r>
      <w:r w:rsidRPr="006241DA">
        <w:rPr>
          <w:rFonts w:ascii="Book Antiqua" w:hAnsi="Book Antiqua"/>
          <w:lang w:eastAsia="en-AU"/>
        </w:rPr>
        <w:t xml:space="preserve">estimates </w:t>
      </w:r>
      <w:r>
        <w:rPr>
          <w:rFonts w:ascii="Book Antiqua" w:hAnsi="Book Antiqua"/>
          <w:lang w:eastAsia="en-AU"/>
        </w:rPr>
        <w:t>for</w:t>
      </w:r>
      <w:r w:rsidRPr="006241DA">
        <w:rPr>
          <w:rFonts w:ascii="Book Antiqua" w:hAnsi="Book Antiqua"/>
          <w:lang w:eastAsia="en-AU"/>
        </w:rPr>
        <w:t xml:space="preserve"> a range of superannuation tax expenditures measured against an expenditure tax benchmark.</w:t>
      </w:r>
    </w:p>
    <w:p w14:paraId="2086E311" w14:textId="0DCC17C8" w:rsidR="009B57DC" w:rsidRDefault="00020884" w:rsidP="009B57DC">
      <w:pPr>
        <w:pStyle w:val="BoxText"/>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rsidRPr="00020884">
        <w:rPr>
          <w:rFonts w:ascii="Book Antiqua" w:hAnsi="Book Antiqua"/>
          <w:lang w:eastAsia="en-AU"/>
        </w:rPr>
        <w:t>The Australian Government response to the House of Representatives Standing Committee on Tax and Revenue report on the TES stated that Treasury should explore reporting savings tax expenditures against an expenditure tax benchmark in future editions of the TES, in addition to an income tax benchmark. Treasury will undertake this work in 2017.</w:t>
      </w:r>
    </w:p>
    <w:p w14:paraId="2086E312" w14:textId="77777777" w:rsidR="009B57DC" w:rsidRPr="00804EF5" w:rsidRDefault="009B57DC" w:rsidP="009B57DC">
      <w:pPr>
        <w:pStyle w:val="BoxText"/>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p>
    <w:p w14:paraId="2086E313" w14:textId="77777777" w:rsidR="009B57DC" w:rsidRPr="00762F6A" w:rsidRDefault="009B57DC" w:rsidP="00E5312D">
      <w:pPr>
        <w:pStyle w:val="Heading2-notnumbered"/>
      </w:pPr>
      <w:bookmarkStart w:id="7" w:name="_Toc466381027"/>
      <w:bookmarkStart w:id="8" w:name="_Toc472604528"/>
      <w:r w:rsidRPr="00762F6A">
        <w:t>Estimating tax expenditures</w:t>
      </w:r>
      <w:bookmarkEnd w:id="7"/>
      <w:bookmarkEnd w:id="8"/>
    </w:p>
    <w:p w14:paraId="2086E314" w14:textId="77777777" w:rsidR="009B57DC" w:rsidRPr="00762F6A" w:rsidRDefault="009B57DC" w:rsidP="009B57DC">
      <w:pPr>
        <w:spacing w:after="180"/>
      </w:pPr>
      <w:r w:rsidRPr="00762F6A">
        <w:t>Consistent with most OECD countries, estimates of the size of tax expenditures in the TES reflect the existing utilisation of a tax expenditure, similar to Budget estimates of outlays on demand</w:t>
      </w:r>
      <w:r w:rsidRPr="00762F6A">
        <w:noBreakHyphen/>
        <w:t>driven expenditure programmes. This is known as the ‘revenue forgone’ approach.</w:t>
      </w:r>
    </w:p>
    <w:p w14:paraId="2086E315" w14:textId="491B7D09" w:rsidR="009B57DC" w:rsidRPr="00762F6A" w:rsidRDefault="009B57DC" w:rsidP="009B57DC">
      <w:pPr>
        <w:pStyle w:val="Bullet"/>
      </w:pPr>
      <w:r w:rsidRPr="00762F6A">
        <w:t>For example, Budget Paper No.</w:t>
      </w:r>
      <w:r w:rsidR="0038663E">
        <w:t xml:space="preserve"> </w:t>
      </w:r>
      <w:r w:rsidRPr="00762F6A">
        <w:t xml:space="preserve">1, Budget Statement 5 — Expenses and Net Capital Investment, reports expenditure on the </w:t>
      </w:r>
      <w:r w:rsidR="0038663E">
        <w:t>A</w:t>
      </w:r>
      <w:r w:rsidRPr="00762F6A">
        <w:t xml:space="preserve">ge </w:t>
      </w:r>
      <w:r w:rsidR="0038663E">
        <w:t>P</w:t>
      </w:r>
      <w:r w:rsidRPr="00762F6A">
        <w:t xml:space="preserve">ension. Broadly, the amount reported reflects the number of </w:t>
      </w:r>
      <w:r w:rsidR="0038663E">
        <w:t>A</w:t>
      </w:r>
      <w:r w:rsidRPr="00762F6A">
        <w:t xml:space="preserve">ge </w:t>
      </w:r>
      <w:r w:rsidR="0038663E">
        <w:t>P</w:t>
      </w:r>
      <w:r w:rsidRPr="00762F6A">
        <w:t>ension recipients and the amount of pension each receives. Budget Paper No. 1 does not provide any estimate of the hypothetical saving to the Budget should the expenditure cease.</w:t>
      </w:r>
    </w:p>
    <w:p w14:paraId="2086E316" w14:textId="77777777" w:rsidR="009B57DC" w:rsidRPr="00762F6A" w:rsidRDefault="009B57DC" w:rsidP="009B57DC">
      <w:pPr>
        <w:pStyle w:val="Bullet"/>
      </w:pPr>
      <w:r w:rsidRPr="00762F6A">
        <w:t>Similarly, the estimated size of a tax expenditure reflects the number of taxpayers utilising the tax expenditure and the notional amount of tax expenditure each receives. Revenue forgone estimates do not indicate the hypothetical saving to the Budget should the tax expenditure cease.</w:t>
      </w:r>
    </w:p>
    <w:p w14:paraId="2086E317" w14:textId="77777777" w:rsidR="009B57DC" w:rsidRPr="00762F6A" w:rsidRDefault="009B57DC" w:rsidP="009B57DC">
      <w:r w:rsidRPr="00762F6A">
        <w:t>In practice, the revenue forgone approach involves estimating the difference in revenue between the existing and benchmark tax treatments, but importantly assuming taxpayer behaviour is the same in each circumstance.</w:t>
      </w:r>
    </w:p>
    <w:p w14:paraId="2086E318" w14:textId="77777777" w:rsidR="009B57DC" w:rsidRPr="00762F6A" w:rsidRDefault="009B57DC" w:rsidP="009B57DC">
      <w:pPr>
        <w:spacing w:after="180"/>
      </w:pPr>
      <w:r w:rsidRPr="00762F6A">
        <w:t xml:space="preserve">This approach can be illustrated using the GST exemption for water, sewerage and drainage services </w:t>
      </w:r>
      <w:r w:rsidRPr="00D03CB9">
        <w:t>(H6).</w:t>
      </w:r>
    </w:p>
    <w:p w14:paraId="2086E319" w14:textId="77777777" w:rsidR="009B57DC" w:rsidRPr="00762F6A" w:rsidRDefault="009B57DC" w:rsidP="009B57DC">
      <w:pPr>
        <w:pStyle w:val="Bullet"/>
      </w:pPr>
      <w:r w:rsidRPr="00762F6A">
        <w:lastRenderedPageBreak/>
        <w:t>By definition, no GST revenue is raised under the existing tax treatment. The benchmark treatment is the imposition of GST on water, sewerage and drainage services. The estimated value of the tax expenditure is therefore the amount of GST revenue that would be raised on water, sewerage and drainage services assuming that consumption of these services remained unchanged under a GST.</w:t>
      </w:r>
    </w:p>
    <w:p w14:paraId="2086E31A" w14:textId="77777777" w:rsidR="009B57DC" w:rsidRPr="00762F6A" w:rsidRDefault="009B57DC" w:rsidP="009B57DC">
      <w:pPr>
        <w:spacing w:after="180"/>
      </w:pPr>
      <w:r w:rsidRPr="00762F6A">
        <w:t>An alternative approach involves estimating the impact of abolishing a tax expenditure taking account of the potential changes in taxpayer behaviour, unlike revenue forgone estimates. This is known as the ‘revenue gain’ approach. Because they take account of behavioural responses, revenue gain estimates are often lower than revenue forgone estimates.</w:t>
      </w:r>
    </w:p>
    <w:p w14:paraId="2086E31B" w14:textId="77777777" w:rsidR="009B57DC" w:rsidRPr="00762F6A" w:rsidRDefault="009B57DC" w:rsidP="009B57DC">
      <w:pPr>
        <w:pStyle w:val="Bullet"/>
      </w:pPr>
      <w:r w:rsidRPr="00762F6A">
        <w:t>Introducing a tax expenditure may create incentives for taxpayers to change their behaviour to utilise (or avoid) the new tax provision. Removing the tax expenditure (so that the benchmark tax treatment prevailed) would remove this incentive and may cause a corresponding change in taxpayer behaviour.</w:t>
      </w:r>
    </w:p>
    <w:p w14:paraId="2086E31C" w14:textId="77777777" w:rsidR="009B57DC" w:rsidRPr="00762F6A" w:rsidRDefault="009B57DC" w:rsidP="009B57DC">
      <w:r w:rsidRPr="00762F6A">
        <w:t>In particular, taxpayers may make greater use of other tax expenditures if a particular tax expenditure were to be (hypothetically) abolished.</w:t>
      </w:r>
    </w:p>
    <w:p w14:paraId="2086E31D" w14:textId="77777777" w:rsidR="009B57DC" w:rsidRPr="00762F6A" w:rsidRDefault="009B57DC" w:rsidP="009B57DC">
      <w:pPr>
        <w:pStyle w:val="Bullet"/>
      </w:pPr>
      <w:r w:rsidRPr="00762F6A">
        <w:t>For example, a revenue gain estimate for the concessional treatment of employer superannuation contributions would take account of the potential for voluntary employer contributions to be redirected to other tax</w:t>
      </w:r>
      <w:r w:rsidRPr="00762F6A">
        <w:noBreakHyphen/>
        <w:t>preferred investments.</w:t>
      </w:r>
    </w:p>
    <w:p w14:paraId="2086E31E" w14:textId="77777777" w:rsidR="009B57DC" w:rsidRPr="00762F6A" w:rsidRDefault="009B57DC" w:rsidP="009B57DC">
      <w:pPr>
        <w:spacing w:after="180"/>
      </w:pPr>
      <w:r w:rsidRPr="00762F6A">
        <w:t xml:space="preserve">Revenue gain estimates should be treated with particular caution. </w:t>
      </w:r>
    </w:p>
    <w:p w14:paraId="2086E31F" w14:textId="77777777" w:rsidR="009B57DC" w:rsidRPr="00762F6A" w:rsidRDefault="009B57DC" w:rsidP="009B57DC">
      <w:pPr>
        <w:pStyle w:val="Bullet"/>
      </w:pPr>
      <w:r w:rsidRPr="00762F6A">
        <w:t xml:space="preserve">In practice, the revenue gain can be difficult to estimate as there is usually little, if any, information on how taxpayers might react to the removal of a tax expenditure. Assumptions about taxpayer behavioural responses therefore need to be made, and these assumptions can be difficult to meaningfully substantiate. </w:t>
      </w:r>
    </w:p>
    <w:p w14:paraId="2086E320" w14:textId="3C3CB7C0" w:rsidR="009B57DC" w:rsidRPr="00762F6A" w:rsidRDefault="009B57DC" w:rsidP="009B57DC">
      <w:pPr>
        <w:pStyle w:val="Bullet"/>
      </w:pPr>
      <w:r>
        <w:t xml:space="preserve">Revenue gain estimates </w:t>
      </w:r>
      <w:r w:rsidRPr="00762F6A">
        <w:t>assume that a tax expenditure is abolished</w:t>
      </w:r>
      <w:r>
        <w:t xml:space="preserve"> with immediate effect,</w:t>
      </w:r>
      <w:r w:rsidRPr="00762F6A">
        <w:t xml:space="preserve"> wh</w:t>
      </w:r>
      <w:r>
        <w:t>ereas it may be more plausible on policy grounds to adopt transitional arrangements (for example, grandfathering), or to reduce the size of a tax expenditure rather than abolish it.</w:t>
      </w:r>
    </w:p>
    <w:p w14:paraId="2086E321" w14:textId="77777777" w:rsidR="009B57DC" w:rsidRPr="00762F6A" w:rsidRDefault="009B57DC" w:rsidP="009B57DC">
      <w:pPr>
        <w:pStyle w:val="Bullet"/>
      </w:pPr>
      <w:r w:rsidRPr="00762F6A">
        <w:t>Judgments also need to be made about likely policy settings — for example, whether it is realistic to assess the abolition of a single tax expenditure (for example, a particular GST exemption) while keeping other tax expenditures unchanged (for example, other GST exemptions).</w:t>
      </w:r>
    </w:p>
    <w:p w14:paraId="2086E322" w14:textId="77777777" w:rsidR="009B57DC" w:rsidRPr="00762F6A" w:rsidRDefault="009B57DC" w:rsidP="009B57DC">
      <w:pPr>
        <w:pStyle w:val="Bullet"/>
      </w:pPr>
      <w:r w:rsidRPr="00762F6A">
        <w:t>Revenue gain estimates do not take into account any potential changes in direct expenditure flowing from the removal of a tax expenditure.</w:t>
      </w:r>
    </w:p>
    <w:p w14:paraId="2086E323" w14:textId="39418B55" w:rsidR="009B57DC" w:rsidRPr="00762F6A" w:rsidRDefault="009B57DC" w:rsidP="009B57DC">
      <w:r w:rsidRPr="00762F6A">
        <w:lastRenderedPageBreak/>
        <w:t>Consistent with a recommendation of the Australian National Audit Office in its</w:t>
      </w:r>
      <w:r w:rsidR="000D10E0">
        <w:t> </w:t>
      </w:r>
      <w:r w:rsidRPr="00762F6A">
        <w:t>2007</w:t>
      </w:r>
      <w:r w:rsidRPr="00762F6A">
        <w:noBreakHyphen/>
        <w:t>08 performance audit of the TES, the TES reports revenue gain estimates for 10 large tax expenditures.</w:t>
      </w:r>
      <w:r w:rsidRPr="00762F6A">
        <w:rPr>
          <w:rStyle w:val="FootnoteReference"/>
        </w:rPr>
        <w:footnoteReference w:id="1"/>
      </w:r>
    </w:p>
    <w:p w14:paraId="2086E324" w14:textId="77777777" w:rsidR="009B57DC" w:rsidRPr="00762F6A" w:rsidRDefault="009B57DC" w:rsidP="00E5312D">
      <w:pPr>
        <w:pStyle w:val="Heading2-notnumbered"/>
      </w:pPr>
      <w:bookmarkStart w:id="9" w:name="_Toc466381028"/>
      <w:bookmarkStart w:id="10" w:name="_Toc472604529"/>
      <w:r w:rsidRPr="00762F6A">
        <w:t>Interpreting tax expenditure estimates</w:t>
      </w:r>
      <w:bookmarkEnd w:id="9"/>
      <w:bookmarkEnd w:id="10"/>
    </w:p>
    <w:p w14:paraId="2086E325" w14:textId="77777777" w:rsidR="009B57DC" w:rsidRPr="00762F6A" w:rsidRDefault="009B57DC" w:rsidP="009B57DC">
      <w:pPr>
        <w:spacing w:after="180"/>
      </w:pPr>
      <w:r w:rsidRPr="00762F6A">
        <w:t xml:space="preserve">Readers should exercise care when comparing tax expenditure estimates in different editions of the TES. </w:t>
      </w:r>
    </w:p>
    <w:p w14:paraId="2086E326" w14:textId="77777777" w:rsidR="009B57DC" w:rsidRDefault="009B57DC" w:rsidP="009B57DC">
      <w:pPr>
        <w:pStyle w:val="Bullet"/>
      </w:pPr>
      <w:r w:rsidRPr="00762F6A">
        <w:t xml:space="preserve">Estimates may </w:t>
      </w:r>
      <w:r>
        <w:t xml:space="preserve">not be comparable </w:t>
      </w:r>
      <w:r w:rsidRPr="00762F6A">
        <w:t xml:space="preserve">between editions as benchmarks are modified, tax expenditures are </w:t>
      </w:r>
      <w:r>
        <w:t>modified</w:t>
      </w:r>
      <w:r w:rsidRPr="00762F6A">
        <w:t>, revised or new data becomes available, or changes in modelling methodology are made.</w:t>
      </w:r>
    </w:p>
    <w:p w14:paraId="2086E327" w14:textId="77777777" w:rsidR="009B57DC" w:rsidRPr="00762F6A" w:rsidRDefault="009B57DC" w:rsidP="009B57DC">
      <w:pPr>
        <w:spacing w:after="180"/>
      </w:pPr>
      <w:r w:rsidRPr="00762F6A">
        <w:t xml:space="preserve">Readers should exercise care when comparing tax expenditure estimates with direct expenditure estimates. </w:t>
      </w:r>
    </w:p>
    <w:p w14:paraId="2086E328" w14:textId="77777777" w:rsidR="009B57DC" w:rsidRPr="00762F6A" w:rsidRDefault="009B57DC" w:rsidP="009B57DC">
      <w:pPr>
        <w:pStyle w:val="Bullet"/>
      </w:pPr>
      <w:r w:rsidRPr="00762F6A">
        <w:t xml:space="preserve">Tax and direct expenditure estimates may measure different things. For example, the tax expenditure estimate for the Private Health Insurance </w:t>
      </w:r>
      <w:r w:rsidRPr="00AF78AB">
        <w:t>Rebate (A17</w:t>
      </w:r>
      <w:r w:rsidRPr="00762F6A">
        <w:t>) relates to the tax exemption for the rebate, not the rebate itself.</w:t>
      </w:r>
    </w:p>
    <w:p w14:paraId="2086E329" w14:textId="77777777" w:rsidR="009B57DC" w:rsidRPr="00762F6A" w:rsidRDefault="009B57DC" w:rsidP="0098392C">
      <w:pPr>
        <w:pStyle w:val="Bullet"/>
      </w:pPr>
      <w:r w:rsidRPr="00762F6A">
        <w:t>Direct expenditure estimates of non</w:t>
      </w:r>
      <w:r w:rsidRPr="00762F6A">
        <w:noBreakHyphen/>
        <w:t xml:space="preserve">taxable transfer payments effectively include the value </w:t>
      </w:r>
      <w:r w:rsidRPr="0098392C">
        <w:t>of</w:t>
      </w:r>
      <w:r w:rsidRPr="00762F6A">
        <w:t xml:space="preserve"> the tax exemption for the payments. Summing the direct and tax expenditure estimates would therefore overstate the cost of the government support to the budget.</w:t>
      </w:r>
    </w:p>
    <w:p w14:paraId="2086E32B" w14:textId="77777777" w:rsidR="009B57DC" w:rsidRPr="00762F6A" w:rsidRDefault="009B57DC" w:rsidP="0098392C">
      <w:r w:rsidRPr="00762F6A">
        <w:t>It is not appropriate to aggregate revenue forgone estimates. As indicated above, revenue forgone estimates do not take account of potential changes in taxpayer behaviour following the (hypothetical) removal of a tax expenditure. However, in reality such changes in behaviour would be likely to occur — in particular, the removal of one tax expenditure would often affect the utilisation of other tax expenditures. Aggregating revenue forgone estimates therefore risks significantly amplifying the limitations inherent in this method of estimating the size of tax expenditures.</w:t>
      </w:r>
    </w:p>
    <w:p w14:paraId="2086E32C" w14:textId="77777777" w:rsidR="009B57DC" w:rsidRPr="00762F6A" w:rsidRDefault="009B57DC" w:rsidP="00E5312D">
      <w:pPr>
        <w:pStyle w:val="Heading2-notnumbered"/>
      </w:pPr>
      <w:bookmarkStart w:id="11" w:name="_Toc472604530"/>
      <w:r w:rsidRPr="00762F6A">
        <w:t>Reliability of tax expenditure estimates</w:t>
      </w:r>
      <w:bookmarkEnd w:id="11"/>
    </w:p>
    <w:p w14:paraId="2086E32D" w14:textId="77777777" w:rsidR="009B57DC" w:rsidRPr="00762F6A" w:rsidRDefault="009B57DC" w:rsidP="009B57DC">
      <w:r>
        <w:t>T</w:t>
      </w:r>
      <w:r w:rsidRPr="00762F6A">
        <w:t>ax expenditure estimates vary in reliability depending on the quality, detail and frequency of the underlying data</w:t>
      </w:r>
      <w:r>
        <w:t xml:space="preserve">, </w:t>
      </w:r>
      <w:r w:rsidRPr="00762F6A">
        <w:t>the consequent extent to which calculations must be based on assumptions, and the sensitivity of estimates to those assumptions.</w:t>
      </w:r>
    </w:p>
    <w:p w14:paraId="13C16975" w14:textId="77777777" w:rsidR="009057E9" w:rsidRDefault="009057E9">
      <w:pPr>
        <w:spacing w:after="0" w:line="240" w:lineRule="auto"/>
        <w:jc w:val="left"/>
      </w:pPr>
      <w:r>
        <w:br w:type="page"/>
      </w:r>
    </w:p>
    <w:p w14:paraId="2086E32E" w14:textId="6E42CD0D" w:rsidR="009B57DC" w:rsidRPr="00762F6A" w:rsidRDefault="009B57DC" w:rsidP="009B57DC">
      <w:pPr>
        <w:spacing w:after="360"/>
      </w:pPr>
      <w:r w:rsidRPr="00762F6A">
        <w:lastRenderedPageBreak/>
        <w:t>Importantly, the TES reports estimates for future years. In many cases, this unavoidably reduces their reliability because of the inherent uncertainty around forecasts of future economic conditions.</w:t>
      </w:r>
      <w:r w:rsidRPr="00762F6A">
        <w:rPr>
          <w:vertAlign w:val="superscript"/>
        </w:rPr>
        <w:footnoteReference w:id="2"/>
      </w:r>
      <w:r w:rsidRPr="00762F6A">
        <w:t xml:space="preserve"> Estimates with higher reliability tend to be those where future taxpayer behaviour is relatively more predictable because of longstanding stable trends in the historical data, or where only estimates based on historical data are reported.</w:t>
      </w:r>
    </w:p>
    <w:p w14:paraId="2086E32F" w14:textId="74520129" w:rsidR="009B57DC" w:rsidRDefault="00DC6AE1" w:rsidP="009B57DC">
      <w:bookmarkStart w:id="12" w:name="_Toc466381029"/>
      <w:r>
        <w:t>Appendix B</w:t>
      </w:r>
      <w:r w:rsidR="009B57DC">
        <w:t xml:space="preserve"> contains further information about the reliability of tax expenditure estimates.</w:t>
      </w:r>
    </w:p>
    <w:p w14:paraId="2086E330" w14:textId="77777777" w:rsidR="009B57DC" w:rsidRPr="00762F6A" w:rsidRDefault="009B57DC" w:rsidP="00E5312D">
      <w:pPr>
        <w:pStyle w:val="Heading2-notnumbered"/>
      </w:pPr>
      <w:bookmarkStart w:id="13" w:name="_Toc472604531"/>
      <w:r w:rsidRPr="00762F6A">
        <w:t>Unquantifiable estimates</w:t>
      </w:r>
      <w:bookmarkEnd w:id="12"/>
      <w:bookmarkEnd w:id="13"/>
    </w:p>
    <w:p w14:paraId="2086E331" w14:textId="77777777" w:rsidR="009B57DC" w:rsidRPr="00762F6A" w:rsidRDefault="009B57DC" w:rsidP="009B57DC">
      <w:r w:rsidRPr="00762F6A">
        <w:t>In many cases there is insufficient data to produce a reliable estimate for a tax expenditure item. While Treasury has access to detailed tax data collected by the Australian Taxation Office from tax returns, the scope of this data is limited by the number and nature of questions on the tax return itself. While expanding the tax return could increase the data available for estimating tax expenditures, this would increase compliance costs for taxpayers. Treasury also utilises, for example, Australian Bureau of Statistics data where relevant.</w:t>
      </w:r>
    </w:p>
    <w:p w14:paraId="2086E332" w14:textId="77777777" w:rsidR="009B57DC" w:rsidRPr="00762F6A" w:rsidRDefault="009B57DC" w:rsidP="009B57DC">
      <w:pPr>
        <w:rPr>
          <w:highlight w:val="yellow"/>
        </w:rPr>
      </w:pPr>
      <w:r w:rsidRPr="00762F6A">
        <w:t>In the 201</w:t>
      </w:r>
      <w:r>
        <w:t>6</w:t>
      </w:r>
      <w:r w:rsidRPr="00762F6A">
        <w:t xml:space="preserve"> TES, estimates are not available for 201</w:t>
      </w:r>
      <w:r>
        <w:t>6</w:t>
      </w:r>
      <w:r w:rsidRPr="00762F6A">
        <w:noBreakHyphen/>
        <w:t>1</w:t>
      </w:r>
      <w:r>
        <w:t>7</w:t>
      </w:r>
      <w:r w:rsidRPr="00762F6A">
        <w:t xml:space="preserve"> for around </w:t>
      </w:r>
      <w:r w:rsidRPr="00AF78AB">
        <w:t>49</w:t>
      </w:r>
      <w:r w:rsidRPr="00762F6A">
        <w:t xml:space="preserve"> per cent of tax expenditures — that is, </w:t>
      </w:r>
      <w:r w:rsidRPr="00AF78AB">
        <w:t>14</w:t>
      </w:r>
      <w:r w:rsidR="005E7207">
        <w:t>2</w:t>
      </w:r>
      <w:r w:rsidRPr="00762F6A">
        <w:t xml:space="preserve"> out of </w:t>
      </w:r>
      <w:r w:rsidRPr="00AF78AB">
        <w:t>2</w:t>
      </w:r>
      <w:r w:rsidR="00B81EBB">
        <w:t>89</w:t>
      </w:r>
      <w:r w:rsidRPr="00762F6A">
        <w:t xml:space="preserve"> expenditures. </w:t>
      </w:r>
    </w:p>
    <w:p w14:paraId="2086E333" w14:textId="2C64FEDA" w:rsidR="009B57DC" w:rsidRDefault="00DC6AE1" w:rsidP="009B57DC">
      <w:pPr>
        <w:spacing w:after="480"/>
      </w:pPr>
      <w:r>
        <w:t>Appendix B</w:t>
      </w:r>
      <w:r w:rsidR="009B57DC">
        <w:t xml:space="preserve"> contains further information about unquantifiable tax expenditures.</w:t>
      </w:r>
    </w:p>
    <w:p w14:paraId="2086E334" w14:textId="072D4C64" w:rsidR="009B57DC" w:rsidRPr="00762F6A" w:rsidRDefault="009B57DC" w:rsidP="00E5312D">
      <w:pPr>
        <w:pStyle w:val="Heading2-notnumbered"/>
      </w:pPr>
      <w:bookmarkStart w:id="14" w:name="_Toc472604532"/>
      <w:r w:rsidRPr="00762F6A">
        <w:t>Large tax expenditures</w:t>
      </w:r>
      <w:bookmarkEnd w:id="14"/>
    </w:p>
    <w:p w14:paraId="2086E335" w14:textId="3991C03F" w:rsidR="009B57DC" w:rsidRPr="00762F6A" w:rsidRDefault="009B57DC" w:rsidP="009B57DC">
      <w:r w:rsidRPr="00762F6A">
        <w:t>Table 1.1 lists the largest measured tax expenditures for 201</w:t>
      </w:r>
      <w:r>
        <w:t>6</w:t>
      </w:r>
      <w:r w:rsidRPr="00762F6A">
        <w:noBreakHyphen/>
        <w:t>1</w:t>
      </w:r>
      <w:r>
        <w:t>7</w:t>
      </w:r>
      <w:r w:rsidRPr="00762F6A">
        <w:t>.</w:t>
      </w:r>
    </w:p>
    <w:p w14:paraId="2086E336" w14:textId="77777777" w:rsidR="009B57DC" w:rsidRPr="00762F6A" w:rsidRDefault="009B57DC" w:rsidP="00AF78AB">
      <w:pPr>
        <w:spacing w:after="180"/>
      </w:pPr>
      <w:r w:rsidRPr="00762F6A">
        <w:t>The table includes revenue gain estimates for several of the largest tax expenditure items. These estimates illustrate the points made above that:</w:t>
      </w:r>
    </w:p>
    <w:p w14:paraId="2086E337" w14:textId="77777777" w:rsidR="009B57DC" w:rsidRPr="00762F6A" w:rsidRDefault="009B57DC" w:rsidP="00AF78AB">
      <w:pPr>
        <w:pStyle w:val="Bullet"/>
      </w:pPr>
      <w:r w:rsidRPr="00762F6A">
        <w:t>significant differences can arise between revenue forgone and revenue gain estimates, particularly because the latter attempts to take account of behavioural change by taxpayers; and</w:t>
      </w:r>
    </w:p>
    <w:p w14:paraId="2086E338" w14:textId="77777777" w:rsidR="009B57DC" w:rsidRPr="00762F6A" w:rsidRDefault="009B57DC" w:rsidP="00AF78AB">
      <w:pPr>
        <w:pStyle w:val="Bullet"/>
      </w:pPr>
      <w:r w:rsidRPr="00762F6A">
        <w:t>conversely, in some cases, revenue gain and revenue forgone estimates are identical or very similar as taxpayer behaviour is assumed to be relatively insensitive to a tax expenditure.</w:t>
      </w:r>
    </w:p>
    <w:p w14:paraId="2086E339" w14:textId="77777777" w:rsidR="009B57DC" w:rsidRPr="00762F6A" w:rsidRDefault="009B57DC" w:rsidP="00AF78AB">
      <w:pPr>
        <w:spacing w:after="180"/>
      </w:pPr>
      <w:r w:rsidRPr="00762F6A">
        <w:lastRenderedPageBreak/>
        <w:t xml:space="preserve">Unquantified tax expenditures have been assigned an order of magnitude rather than an estimate of their value. The largest such tax expenditures </w:t>
      </w:r>
      <w:r>
        <w:t>include</w:t>
      </w:r>
      <w:r w:rsidRPr="00762F6A">
        <w:t>:</w:t>
      </w:r>
    </w:p>
    <w:p w14:paraId="2086E33A" w14:textId="77777777" w:rsidR="009B57DC" w:rsidRPr="00762F6A" w:rsidRDefault="00C041B3" w:rsidP="00AF78AB">
      <w:pPr>
        <w:pStyle w:val="Bullet"/>
      </w:pPr>
      <w:r>
        <w:t>I</w:t>
      </w:r>
      <w:r w:rsidR="009B57DC" w:rsidRPr="00762F6A">
        <w:t>ncome tax exemption for prescribed entities (B</w:t>
      </w:r>
      <w:r w:rsidR="009B57DC">
        <w:t>48</w:t>
      </w:r>
      <w:r w:rsidR="009B57DC" w:rsidRPr="00762F6A">
        <w:t>);</w:t>
      </w:r>
    </w:p>
    <w:p w14:paraId="2086E33B" w14:textId="77777777" w:rsidR="009B57DC" w:rsidRPr="00762F6A" w:rsidRDefault="00C041B3" w:rsidP="00AF78AB">
      <w:pPr>
        <w:pStyle w:val="Bullet"/>
      </w:pPr>
      <w:r>
        <w:t>E</w:t>
      </w:r>
      <w:r w:rsidR="009B57DC" w:rsidRPr="00762F6A">
        <w:t>xemption for foreign br</w:t>
      </w:r>
      <w:r w:rsidR="009B57DC">
        <w:t>anch profits from income tax (B9</w:t>
      </w:r>
      <w:r w:rsidR="009B57DC" w:rsidRPr="00762F6A">
        <w:t>);</w:t>
      </w:r>
    </w:p>
    <w:p w14:paraId="2086E33C" w14:textId="77777777" w:rsidR="009B57DC" w:rsidRPr="00762F6A" w:rsidRDefault="00C041B3" w:rsidP="00AF78AB">
      <w:pPr>
        <w:pStyle w:val="Bullet"/>
      </w:pPr>
      <w:r>
        <w:t>O</w:t>
      </w:r>
      <w:r w:rsidR="009B57DC" w:rsidRPr="00762F6A">
        <w:t>ff</w:t>
      </w:r>
      <w:r w:rsidR="009B57DC" w:rsidRPr="00762F6A">
        <w:noBreakHyphen/>
        <w:t>market share buy</w:t>
      </w:r>
      <w:r w:rsidR="009B57DC" w:rsidRPr="00762F6A">
        <w:noBreakHyphen/>
        <w:t>backs (B2</w:t>
      </w:r>
      <w:r w:rsidR="009B57DC">
        <w:t>4</w:t>
      </w:r>
      <w:r w:rsidR="009B57DC" w:rsidRPr="00762F6A">
        <w:t>);</w:t>
      </w:r>
    </w:p>
    <w:p w14:paraId="2086E33D" w14:textId="77777777" w:rsidR="009B57DC" w:rsidRDefault="00C041B3" w:rsidP="00AF78AB">
      <w:pPr>
        <w:pStyle w:val="Bullet"/>
      </w:pPr>
      <w:r>
        <w:t>S</w:t>
      </w:r>
      <w:r w:rsidR="009B57DC" w:rsidRPr="00762F6A">
        <w:t>tatutory effective life caps (B71</w:t>
      </w:r>
      <w:r w:rsidR="009B57DC">
        <w:t>);</w:t>
      </w:r>
    </w:p>
    <w:p w14:paraId="2086E33E" w14:textId="77777777" w:rsidR="009B57DC" w:rsidRPr="00762F6A" w:rsidRDefault="00C041B3" w:rsidP="00AF78AB">
      <w:pPr>
        <w:pStyle w:val="Bullet"/>
      </w:pPr>
      <w:r>
        <w:t>R</w:t>
      </w:r>
      <w:r w:rsidR="009B57DC">
        <w:t>efund of franking credits for certain income tax exempt philanthropic entities (B53); and</w:t>
      </w:r>
    </w:p>
    <w:p w14:paraId="2086E33F" w14:textId="77777777" w:rsidR="009B57DC" w:rsidRPr="00762F6A" w:rsidRDefault="00C041B3" w:rsidP="00AF78AB">
      <w:pPr>
        <w:pStyle w:val="Bullet"/>
      </w:pPr>
      <w:r>
        <w:t>Q</w:t>
      </w:r>
      <w:r w:rsidR="009B57DC" w:rsidRPr="00762F6A">
        <w:t>uarantining of capital losses (E2</w:t>
      </w:r>
      <w:r w:rsidR="009B57DC">
        <w:t>0</w:t>
      </w:r>
      <w:r w:rsidR="009B57DC" w:rsidRPr="00762F6A">
        <w:t>).</w:t>
      </w:r>
    </w:p>
    <w:p w14:paraId="2086E340" w14:textId="77777777" w:rsidR="009B57DC" w:rsidRDefault="009B57DC" w:rsidP="009B57DC">
      <w:pPr>
        <w:spacing w:after="0" w:line="240" w:lineRule="auto"/>
        <w:jc w:val="left"/>
        <w:rPr>
          <w:b/>
        </w:rPr>
      </w:pPr>
      <w:r>
        <w:rPr>
          <w:b/>
        </w:rPr>
        <w:br w:type="page"/>
      </w:r>
    </w:p>
    <w:p w14:paraId="2086E341" w14:textId="77777777" w:rsidR="009B57DC" w:rsidRPr="00B22776" w:rsidRDefault="009B57DC" w:rsidP="0098392C">
      <w:pPr>
        <w:pStyle w:val="TableHeading"/>
      </w:pPr>
      <w:r w:rsidRPr="00B22776">
        <w:lastRenderedPageBreak/>
        <w:t>Table 1.1: Large measured tax expenditures for 201</w:t>
      </w:r>
      <w:r>
        <w:t>6</w:t>
      </w:r>
      <w:r w:rsidRPr="00B22776">
        <w:noBreakHyphen/>
        <w:t>1</w:t>
      </w:r>
      <w:r>
        <w:t>7</w:t>
      </w:r>
    </w:p>
    <w:tbl>
      <w:tblPr>
        <w:tblW w:w="4856"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148"/>
        <w:gridCol w:w="962"/>
        <w:gridCol w:w="962"/>
      </w:tblGrid>
      <w:tr w:rsidR="009B57DC" w:rsidRPr="00762F6A" w14:paraId="2086E344" w14:textId="77777777" w:rsidTr="00244B81">
        <w:trPr>
          <w:trHeight w:val="270"/>
          <w:tblHeader/>
        </w:trPr>
        <w:tc>
          <w:tcPr>
            <w:tcW w:w="3750" w:type="pct"/>
            <w:gridSpan w:val="2"/>
            <w:vMerge w:val="restart"/>
            <w:tcBorders>
              <w:top w:val="single" w:sz="2" w:space="0" w:color="auto"/>
              <w:left w:val="nil"/>
              <w:right w:val="nil"/>
            </w:tcBorders>
            <w:shd w:val="clear" w:color="auto" w:fill="auto"/>
            <w:vAlign w:val="bottom"/>
          </w:tcPr>
          <w:p w14:paraId="2086E342" w14:textId="77777777" w:rsidR="009B57DC" w:rsidRPr="00762F6A" w:rsidRDefault="009B57DC" w:rsidP="00244B81">
            <w:pPr>
              <w:pStyle w:val="TableColumnHeadingLeft"/>
            </w:pPr>
            <w:r w:rsidRPr="00762F6A">
              <w:t>Tax expenditure</w:t>
            </w:r>
          </w:p>
        </w:tc>
        <w:tc>
          <w:tcPr>
            <w:tcW w:w="1250" w:type="pct"/>
            <w:gridSpan w:val="2"/>
            <w:tcBorders>
              <w:top w:val="single" w:sz="2" w:space="0" w:color="auto"/>
              <w:left w:val="nil"/>
              <w:bottom w:val="single" w:sz="2" w:space="0" w:color="auto"/>
              <w:right w:val="nil"/>
            </w:tcBorders>
            <w:shd w:val="clear" w:color="auto" w:fill="auto"/>
            <w:vAlign w:val="center"/>
          </w:tcPr>
          <w:p w14:paraId="2086E343" w14:textId="77777777" w:rsidR="009B57DC" w:rsidRPr="00762F6A" w:rsidRDefault="009B57DC" w:rsidP="00244B81">
            <w:pPr>
              <w:pStyle w:val="TableColumnHeadingRight"/>
              <w:jc w:val="center"/>
            </w:pPr>
            <w:r w:rsidRPr="00762F6A">
              <w:t>Estimate $m</w:t>
            </w:r>
          </w:p>
        </w:tc>
      </w:tr>
      <w:tr w:rsidR="009B57DC" w:rsidRPr="00762F6A" w14:paraId="2086E348" w14:textId="77777777" w:rsidTr="00244B81">
        <w:trPr>
          <w:trHeight w:val="270"/>
          <w:tblHeader/>
        </w:trPr>
        <w:tc>
          <w:tcPr>
            <w:tcW w:w="3750" w:type="pct"/>
            <w:gridSpan w:val="2"/>
            <w:vMerge/>
            <w:tcBorders>
              <w:left w:val="nil"/>
              <w:bottom w:val="single" w:sz="2" w:space="0" w:color="auto"/>
              <w:right w:val="nil"/>
            </w:tcBorders>
            <w:shd w:val="clear" w:color="auto" w:fill="auto"/>
            <w:vAlign w:val="bottom"/>
          </w:tcPr>
          <w:p w14:paraId="2086E345" w14:textId="77777777" w:rsidR="009B57DC" w:rsidRPr="00762F6A" w:rsidRDefault="009B57DC" w:rsidP="00244B81">
            <w:pPr>
              <w:pStyle w:val="TableColumnHeadingLeft"/>
            </w:pPr>
          </w:p>
        </w:tc>
        <w:tc>
          <w:tcPr>
            <w:tcW w:w="625" w:type="pct"/>
            <w:tcBorders>
              <w:top w:val="single" w:sz="2" w:space="0" w:color="auto"/>
              <w:left w:val="nil"/>
              <w:bottom w:val="single" w:sz="2" w:space="0" w:color="auto"/>
              <w:right w:val="nil"/>
            </w:tcBorders>
            <w:shd w:val="clear" w:color="auto" w:fill="auto"/>
            <w:vAlign w:val="bottom"/>
          </w:tcPr>
          <w:p w14:paraId="2086E346" w14:textId="77777777" w:rsidR="009B57DC" w:rsidRPr="00762F6A" w:rsidRDefault="009B57DC" w:rsidP="00244B81">
            <w:pPr>
              <w:pStyle w:val="TableColumnHeadingRight"/>
            </w:pPr>
            <w:r w:rsidRPr="00762F6A">
              <w:t>Revenue</w:t>
            </w:r>
            <w:r w:rsidRPr="00762F6A">
              <w:br/>
              <w:t>forgone</w:t>
            </w:r>
          </w:p>
        </w:tc>
        <w:tc>
          <w:tcPr>
            <w:tcW w:w="625" w:type="pct"/>
            <w:tcBorders>
              <w:top w:val="single" w:sz="2" w:space="0" w:color="auto"/>
              <w:left w:val="nil"/>
              <w:bottom w:val="single" w:sz="2" w:space="0" w:color="auto"/>
              <w:right w:val="nil"/>
            </w:tcBorders>
            <w:shd w:val="clear" w:color="auto" w:fill="auto"/>
          </w:tcPr>
          <w:p w14:paraId="2086E347" w14:textId="77777777" w:rsidR="009B57DC" w:rsidRPr="00762F6A" w:rsidRDefault="009B57DC" w:rsidP="00244B81">
            <w:pPr>
              <w:pStyle w:val="TableColumnHeadingRight"/>
            </w:pPr>
            <w:r w:rsidRPr="00762F6A">
              <w:t>Revenue</w:t>
            </w:r>
            <w:r w:rsidRPr="00762F6A">
              <w:br/>
              <w:t>gain</w:t>
            </w:r>
          </w:p>
        </w:tc>
      </w:tr>
      <w:tr w:rsidR="009B57DC" w:rsidRPr="00762F6A" w14:paraId="2086E34A" w14:textId="77777777" w:rsidTr="00244B81">
        <w:trPr>
          <w:trHeight w:val="270"/>
        </w:trPr>
        <w:tc>
          <w:tcPr>
            <w:tcW w:w="5000" w:type="pct"/>
            <w:gridSpan w:val="4"/>
            <w:tcBorders>
              <w:top w:val="single" w:sz="2" w:space="0" w:color="auto"/>
              <w:left w:val="nil"/>
              <w:bottom w:val="nil"/>
              <w:right w:val="nil"/>
            </w:tcBorders>
            <w:vAlign w:val="center"/>
          </w:tcPr>
          <w:p w14:paraId="2086E349" w14:textId="77777777" w:rsidR="009B57DC" w:rsidRPr="00762F6A" w:rsidRDefault="009B57DC" w:rsidP="00244B81">
            <w:pPr>
              <w:pStyle w:val="TableColumnHeadingLeft"/>
            </w:pPr>
            <w:r w:rsidRPr="00762F6A">
              <w:t>Large positive tax expenditures</w:t>
            </w:r>
          </w:p>
        </w:tc>
      </w:tr>
      <w:tr w:rsidR="009B57DC" w:rsidRPr="00762F6A" w14:paraId="2086E34F" w14:textId="77777777" w:rsidTr="00CF69E5">
        <w:trPr>
          <w:trHeight w:val="270"/>
        </w:trPr>
        <w:tc>
          <w:tcPr>
            <w:tcW w:w="407" w:type="pct"/>
            <w:tcBorders>
              <w:top w:val="nil"/>
              <w:left w:val="nil"/>
              <w:bottom w:val="nil"/>
              <w:right w:val="nil"/>
            </w:tcBorders>
            <w:shd w:val="clear" w:color="auto" w:fill="auto"/>
          </w:tcPr>
          <w:p w14:paraId="2086E34B"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E6</w:t>
            </w:r>
          </w:p>
        </w:tc>
        <w:tc>
          <w:tcPr>
            <w:tcW w:w="3343" w:type="pct"/>
            <w:tcBorders>
              <w:top w:val="nil"/>
              <w:left w:val="nil"/>
              <w:bottom w:val="nil"/>
              <w:right w:val="nil"/>
            </w:tcBorders>
            <w:shd w:val="clear" w:color="auto" w:fill="auto"/>
          </w:tcPr>
          <w:p w14:paraId="2086E34C" w14:textId="77777777" w:rsidR="009B57DC" w:rsidRPr="00762F6A" w:rsidRDefault="00AA3CE3" w:rsidP="00244B81">
            <w:pPr>
              <w:spacing w:before="40" w:after="40" w:line="240" w:lineRule="auto"/>
              <w:jc w:val="left"/>
              <w:rPr>
                <w:rFonts w:ascii="Arial" w:hAnsi="Arial" w:cs="Arial"/>
                <w:color w:val="000000"/>
                <w:sz w:val="16"/>
                <w:szCs w:val="16"/>
              </w:rPr>
            </w:pPr>
            <w:r>
              <w:rPr>
                <w:rFonts w:ascii="Arial" w:hAnsi="Arial" w:cs="Arial"/>
                <w:color w:val="000000"/>
                <w:sz w:val="16"/>
                <w:szCs w:val="16"/>
              </w:rPr>
              <w:t>M</w:t>
            </w:r>
            <w:r w:rsidR="009B57DC" w:rsidRPr="00762F6A">
              <w:rPr>
                <w:rFonts w:ascii="Arial" w:hAnsi="Arial" w:cs="Arial"/>
                <w:color w:val="000000"/>
                <w:sz w:val="16"/>
                <w:szCs w:val="16"/>
              </w:rPr>
              <w:t>ain residence exemption — discount component</w:t>
            </w:r>
          </w:p>
        </w:tc>
        <w:tc>
          <w:tcPr>
            <w:tcW w:w="625" w:type="pct"/>
            <w:tcBorders>
              <w:top w:val="nil"/>
              <w:left w:val="nil"/>
              <w:bottom w:val="nil"/>
              <w:right w:val="nil"/>
            </w:tcBorders>
            <w:shd w:val="clear" w:color="auto" w:fill="auto"/>
          </w:tcPr>
          <w:p w14:paraId="2086E34D"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34,000</w:t>
            </w:r>
          </w:p>
        </w:tc>
        <w:tc>
          <w:tcPr>
            <w:tcW w:w="625" w:type="pct"/>
            <w:tcBorders>
              <w:top w:val="nil"/>
              <w:left w:val="nil"/>
              <w:bottom w:val="nil"/>
              <w:right w:val="nil"/>
            </w:tcBorders>
            <w:shd w:val="clear" w:color="auto" w:fill="auto"/>
          </w:tcPr>
          <w:p w14:paraId="2086E34E" w14:textId="77777777" w:rsidR="009B57DC" w:rsidRPr="00762F6A" w:rsidRDefault="009B57DC" w:rsidP="00244B81">
            <w:pPr>
              <w:spacing w:before="40" w:after="40" w:line="240" w:lineRule="auto"/>
              <w:jc w:val="right"/>
              <w:rPr>
                <w:rFonts w:ascii="Arial" w:hAnsi="Arial" w:cs="Arial"/>
                <w:color w:val="000000"/>
                <w:sz w:val="16"/>
                <w:szCs w:val="16"/>
              </w:rPr>
            </w:pPr>
            <w:r w:rsidRPr="00762F6A">
              <w:rPr>
                <w:rFonts w:ascii="Arial" w:hAnsi="Arial" w:cs="Arial"/>
                <w:color w:val="000000"/>
                <w:sz w:val="16"/>
                <w:szCs w:val="16"/>
              </w:rPr>
              <w:t>n/a</w:t>
            </w:r>
          </w:p>
        </w:tc>
      </w:tr>
      <w:tr w:rsidR="009B57DC" w:rsidRPr="00762F6A" w14:paraId="2086E354" w14:textId="77777777" w:rsidTr="00CF69E5">
        <w:trPr>
          <w:trHeight w:val="270"/>
        </w:trPr>
        <w:tc>
          <w:tcPr>
            <w:tcW w:w="407" w:type="pct"/>
            <w:tcBorders>
              <w:top w:val="nil"/>
              <w:left w:val="nil"/>
              <w:bottom w:val="nil"/>
              <w:right w:val="nil"/>
            </w:tcBorders>
            <w:shd w:val="clear" w:color="auto" w:fill="auto"/>
          </w:tcPr>
          <w:p w14:paraId="2086E350"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E5</w:t>
            </w:r>
          </w:p>
        </w:tc>
        <w:tc>
          <w:tcPr>
            <w:tcW w:w="3343" w:type="pct"/>
            <w:tcBorders>
              <w:top w:val="nil"/>
              <w:left w:val="nil"/>
              <w:bottom w:val="nil"/>
              <w:right w:val="nil"/>
            </w:tcBorders>
            <w:shd w:val="clear" w:color="auto" w:fill="auto"/>
          </w:tcPr>
          <w:p w14:paraId="2086E351" w14:textId="77777777" w:rsidR="009B57DC" w:rsidRPr="00762F6A" w:rsidRDefault="00AA3CE3" w:rsidP="00244B81">
            <w:pPr>
              <w:spacing w:before="40" w:after="40" w:line="240" w:lineRule="auto"/>
              <w:jc w:val="left"/>
              <w:rPr>
                <w:rFonts w:ascii="Arial" w:hAnsi="Arial" w:cs="Arial"/>
                <w:color w:val="000000"/>
                <w:sz w:val="16"/>
                <w:szCs w:val="16"/>
              </w:rPr>
            </w:pPr>
            <w:r>
              <w:rPr>
                <w:rFonts w:ascii="Arial" w:hAnsi="Arial" w:cs="Arial"/>
                <w:color w:val="000000"/>
                <w:sz w:val="16"/>
                <w:szCs w:val="16"/>
              </w:rPr>
              <w:t>M</w:t>
            </w:r>
            <w:r w:rsidR="009B57DC" w:rsidRPr="00762F6A">
              <w:rPr>
                <w:rFonts w:ascii="Arial" w:hAnsi="Arial" w:cs="Arial"/>
                <w:color w:val="000000"/>
                <w:sz w:val="16"/>
                <w:szCs w:val="16"/>
              </w:rPr>
              <w:t>ain residence exemption</w:t>
            </w:r>
          </w:p>
        </w:tc>
        <w:tc>
          <w:tcPr>
            <w:tcW w:w="625" w:type="pct"/>
            <w:tcBorders>
              <w:top w:val="nil"/>
              <w:left w:val="nil"/>
              <w:bottom w:val="nil"/>
              <w:right w:val="nil"/>
            </w:tcBorders>
            <w:shd w:val="clear" w:color="auto" w:fill="auto"/>
          </w:tcPr>
          <w:p w14:paraId="2086E352"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27,500</w:t>
            </w:r>
          </w:p>
        </w:tc>
        <w:tc>
          <w:tcPr>
            <w:tcW w:w="625" w:type="pct"/>
            <w:tcBorders>
              <w:top w:val="nil"/>
              <w:left w:val="nil"/>
              <w:bottom w:val="nil"/>
              <w:right w:val="nil"/>
            </w:tcBorders>
            <w:shd w:val="clear" w:color="auto" w:fill="auto"/>
          </w:tcPr>
          <w:p w14:paraId="2086E353" w14:textId="77777777" w:rsidR="009B57DC" w:rsidRPr="00762F6A" w:rsidRDefault="009B57DC" w:rsidP="00244B81">
            <w:pPr>
              <w:spacing w:before="40" w:after="40" w:line="240" w:lineRule="auto"/>
              <w:jc w:val="right"/>
              <w:rPr>
                <w:rFonts w:ascii="Arial" w:hAnsi="Arial" w:cs="Arial"/>
                <w:color w:val="000000"/>
                <w:sz w:val="16"/>
                <w:szCs w:val="16"/>
              </w:rPr>
            </w:pPr>
            <w:r w:rsidRPr="00762F6A">
              <w:rPr>
                <w:rFonts w:ascii="Arial" w:hAnsi="Arial" w:cs="Arial"/>
                <w:color w:val="000000"/>
                <w:sz w:val="16"/>
                <w:szCs w:val="16"/>
              </w:rPr>
              <w:t>n/a</w:t>
            </w:r>
          </w:p>
        </w:tc>
      </w:tr>
      <w:tr w:rsidR="00240495" w:rsidRPr="00762F6A" w14:paraId="2086E359" w14:textId="77777777" w:rsidTr="00663962">
        <w:trPr>
          <w:trHeight w:val="270"/>
        </w:trPr>
        <w:tc>
          <w:tcPr>
            <w:tcW w:w="407" w:type="pct"/>
            <w:tcBorders>
              <w:top w:val="nil"/>
              <w:left w:val="nil"/>
              <w:bottom w:val="nil"/>
              <w:right w:val="nil"/>
            </w:tcBorders>
            <w:shd w:val="clear" w:color="auto" w:fill="auto"/>
          </w:tcPr>
          <w:p w14:paraId="2086E355" w14:textId="77777777" w:rsidR="00240495" w:rsidRPr="00762F6A" w:rsidRDefault="00240495" w:rsidP="00663962">
            <w:pPr>
              <w:spacing w:before="40" w:after="40" w:line="240" w:lineRule="auto"/>
              <w:rPr>
                <w:rFonts w:ascii="Arial" w:hAnsi="Arial" w:cs="Arial"/>
                <w:color w:val="000000"/>
                <w:sz w:val="16"/>
                <w:szCs w:val="16"/>
              </w:rPr>
            </w:pPr>
            <w:r w:rsidRPr="00762F6A">
              <w:rPr>
                <w:rFonts w:ascii="Arial" w:hAnsi="Arial" w:cs="Arial"/>
                <w:color w:val="000000"/>
                <w:sz w:val="16"/>
                <w:szCs w:val="16"/>
              </w:rPr>
              <w:t>C</w:t>
            </w:r>
            <w:r>
              <w:rPr>
                <w:rFonts w:ascii="Arial" w:hAnsi="Arial" w:cs="Arial"/>
                <w:color w:val="000000"/>
                <w:sz w:val="16"/>
                <w:szCs w:val="16"/>
              </w:rPr>
              <w:t>4</w:t>
            </w:r>
          </w:p>
        </w:tc>
        <w:tc>
          <w:tcPr>
            <w:tcW w:w="3343" w:type="pct"/>
            <w:tcBorders>
              <w:top w:val="nil"/>
              <w:left w:val="nil"/>
              <w:bottom w:val="nil"/>
              <w:right w:val="nil"/>
            </w:tcBorders>
            <w:shd w:val="clear" w:color="auto" w:fill="auto"/>
          </w:tcPr>
          <w:p w14:paraId="2086E356" w14:textId="77777777" w:rsidR="00240495" w:rsidRPr="00762F6A" w:rsidRDefault="00240495" w:rsidP="00663962">
            <w:pPr>
              <w:spacing w:before="40" w:after="40" w:line="240" w:lineRule="auto"/>
              <w:jc w:val="left"/>
              <w:rPr>
                <w:rFonts w:ascii="Arial" w:hAnsi="Arial" w:cs="Arial"/>
                <w:color w:val="000000"/>
                <w:sz w:val="16"/>
                <w:szCs w:val="16"/>
              </w:rPr>
            </w:pPr>
            <w:r w:rsidRPr="00762F6A">
              <w:rPr>
                <w:rFonts w:ascii="Arial" w:hAnsi="Arial" w:cs="Arial"/>
                <w:color w:val="000000"/>
                <w:sz w:val="16"/>
                <w:szCs w:val="16"/>
              </w:rPr>
              <w:t>Concessional taxation of superannuation entity earnings</w:t>
            </w:r>
          </w:p>
        </w:tc>
        <w:tc>
          <w:tcPr>
            <w:tcW w:w="625" w:type="pct"/>
            <w:tcBorders>
              <w:top w:val="nil"/>
              <w:left w:val="nil"/>
              <w:bottom w:val="nil"/>
              <w:right w:val="nil"/>
            </w:tcBorders>
            <w:shd w:val="clear" w:color="auto" w:fill="auto"/>
          </w:tcPr>
          <w:p w14:paraId="2086E357" w14:textId="77777777" w:rsidR="00240495" w:rsidRPr="00762F6A" w:rsidRDefault="00240495" w:rsidP="00663962">
            <w:pPr>
              <w:spacing w:before="40" w:after="40" w:line="240" w:lineRule="auto"/>
              <w:jc w:val="right"/>
              <w:rPr>
                <w:rFonts w:ascii="Arial" w:hAnsi="Arial" w:cs="Arial"/>
                <w:color w:val="000000"/>
                <w:sz w:val="16"/>
                <w:szCs w:val="16"/>
              </w:rPr>
            </w:pPr>
            <w:r>
              <w:rPr>
                <w:rFonts w:ascii="Arial" w:hAnsi="Arial" w:cs="Arial"/>
                <w:color w:val="000000"/>
                <w:sz w:val="16"/>
                <w:szCs w:val="16"/>
              </w:rPr>
              <w:t>16,850</w:t>
            </w:r>
          </w:p>
        </w:tc>
        <w:tc>
          <w:tcPr>
            <w:tcW w:w="625" w:type="pct"/>
            <w:tcBorders>
              <w:top w:val="nil"/>
              <w:left w:val="nil"/>
              <w:bottom w:val="nil"/>
              <w:right w:val="nil"/>
            </w:tcBorders>
            <w:shd w:val="clear" w:color="auto" w:fill="auto"/>
          </w:tcPr>
          <w:p w14:paraId="2086E358" w14:textId="4A07E5CF" w:rsidR="00240495" w:rsidRPr="00762F6A" w:rsidRDefault="00DC6AE1" w:rsidP="00DC6AE1">
            <w:pPr>
              <w:spacing w:before="40" w:after="40" w:line="240" w:lineRule="auto"/>
              <w:jc w:val="right"/>
              <w:rPr>
                <w:rFonts w:ascii="Arial" w:hAnsi="Arial" w:cs="Arial"/>
                <w:color w:val="000000"/>
                <w:sz w:val="16"/>
                <w:szCs w:val="16"/>
              </w:rPr>
            </w:pPr>
            <w:r w:rsidRPr="00DC6AE1">
              <w:rPr>
                <w:rFonts w:ascii="Arial" w:hAnsi="Arial" w:cs="Arial"/>
                <w:color w:val="000000"/>
                <w:sz w:val="16"/>
                <w:szCs w:val="16"/>
              </w:rPr>
              <w:t>15,750</w:t>
            </w:r>
          </w:p>
        </w:tc>
      </w:tr>
      <w:tr w:rsidR="009B57DC" w:rsidRPr="00762F6A" w14:paraId="2086E35E" w14:textId="77777777" w:rsidTr="00CF69E5">
        <w:trPr>
          <w:trHeight w:val="270"/>
        </w:trPr>
        <w:tc>
          <w:tcPr>
            <w:tcW w:w="407" w:type="pct"/>
            <w:tcBorders>
              <w:top w:val="nil"/>
              <w:left w:val="nil"/>
              <w:bottom w:val="nil"/>
              <w:right w:val="nil"/>
            </w:tcBorders>
            <w:shd w:val="clear" w:color="auto" w:fill="auto"/>
          </w:tcPr>
          <w:p w14:paraId="2086E35A"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C</w:t>
            </w:r>
            <w:r>
              <w:rPr>
                <w:rFonts w:ascii="Arial" w:hAnsi="Arial" w:cs="Arial"/>
                <w:color w:val="000000"/>
                <w:sz w:val="16"/>
                <w:szCs w:val="16"/>
              </w:rPr>
              <w:t>2</w:t>
            </w:r>
          </w:p>
        </w:tc>
        <w:tc>
          <w:tcPr>
            <w:tcW w:w="3343" w:type="pct"/>
            <w:tcBorders>
              <w:top w:val="nil"/>
              <w:left w:val="nil"/>
              <w:bottom w:val="nil"/>
              <w:right w:val="nil"/>
            </w:tcBorders>
            <w:shd w:val="clear" w:color="auto" w:fill="auto"/>
          </w:tcPr>
          <w:p w14:paraId="2086E35B" w14:textId="77777777" w:rsidR="009B57DC" w:rsidRPr="00762F6A" w:rsidRDefault="009B57DC" w:rsidP="00244B81">
            <w:pPr>
              <w:spacing w:before="40" w:after="40" w:line="240" w:lineRule="auto"/>
              <w:jc w:val="left"/>
              <w:rPr>
                <w:rFonts w:ascii="Arial" w:hAnsi="Arial" w:cs="Arial"/>
                <w:color w:val="000000"/>
                <w:sz w:val="16"/>
                <w:szCs w:val="16"/>
              </w:rPr>
            </w:pPr>
            <w:r w:rsidRPr="00762F6A">
              <w:rPr>
                <w:rFonts w:ascii="Arial" w:hAnsi="Arial" w:cs="Arial"/>
                <w:color w:val="000000"/>
                <w:sz w:val="16"/>
                <w:szCs w:val="16"/>
              </w:rPr>
              <w:t>Concessional taxation of employer superannuation contributions</w:t>
            </w:r>
          </w:p>
        </w:tc>
        <w:tc>
          <w:tcPr>
            <w:tcW w:w="625" w:type="pct"/>
            <w:tcBorders>
              <w:top w:val="nil"/>
              <w:left w:val="nil"/>
              <w:bottom w:val="nil"/>
              <w:right w:val="nil"/>
            </w:tcBorders>
            <w:shd w:val="clear" w:color="auto" w:fill="auto"/>
          </w:tcPr>
          <w:p w14:paraId="2086E35C"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16,250</w:t>
            </w:r>
          </w:p>
        </w:tc>
        <w:tc>
          <w:tcPr>
            <w:tcW w:w="625" w:type="pct"/>
            <w:tcBorders>
              <w:top w:val="nil"/>
              <w:left w:val="nil"/>
              <w:bottom w:val="nil"/>
              <w:right w:val="nil"/>
            </w:tcBorders>
            <w:shd w:val="clear" w:color="auto" w:fill="auto"/>
          </w:tcPr>
          <w:p w14:paraId="2086E35D" w14:textId="77777777" w:rsidR="009B57DC" w:rsidRPr="00762F6A" w:rsidRDefault="00984EED" w:rsidP="00984EED">
            <w:pPr>
              <w:spacing w:before="40" w:after="40" w:line="240" w:lineRule="auto"/>
              <w:jc w:val="right"/>
              <w:rPr>
                <w:rFonts w:ascii="Arial" w:hAnsi="Arial" w:cs="Arial"/>
                <w:color w:val="000000"/>
                <w:sz w:val="16"/>
                <w:szCs w:val="16"/>
              </w:rPr>
            </w:pPr>
            <w:r>
              <w:rPr>
                <w:rFonts w:ascii="Arial" w:hAnsi="Arial" w:cs="Arial"/>
                <w:color w:val="000000"/>
                <w:sz w:val="16"/>
                <w:szCs w:val="16"/>
              </w:rPr>
              <w:t>15,600</w:t>
            </w:r>
          </w:p>
        </w:tc>
      </w:tr>
      <w:tr w:rsidR="009B57DC" w:rsidRPr="00762F6A" w14:paraId="2086E363" w14:textId="77777777" w:rsidTr="00CF69E5">
        <w:trPr>
          <w:trHeight w:val="270"/>
        </w:trPr>
        <w:tc>
          <w:tcPr>
            <w:tcW w:w="407" w:type="pct"/>
            <w:tcBorders>
              <w:top w:val="nil"/>
              <w:left w:val="nil"/>
              <w:bottom w:val="nil"/>
              <w:right w:val="nil"/>
            </w:tcBorders>
            <w:shd w:val="clear" w:color="auto" w:fill="auto"/>
          </w:tcPr>
          <w:p w14:paraId="2086E35F"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E1</w:t>
            </w:r>
            <w:r>
              <w:rPr>
                <w:rFonts w:ascii="Arial" w:hAnsi="Arial" w:cs="Arial"/>
                <w:color w:val="000000"/>
                <w:sz w:val="16"/>
                <w:szCs w:val="16"/>
              </w:rPr>
              <w:t>3</w:t>
            </w:r>
          </w:p>
        </w:tc>
        <w:tc>
          <w:tcPr>
            <w:tcW w:w="3343" w:type="pct"/>
            <w:tcBorders>
              <w:top w:val="nil"/>
              <w:left w:val="nil"/>
              <w:bottom w:val="nil"/>
              <w:right w:val="nil"/>
            </w:tcBorders>
            <w:shd w:val="clear" w:color="auto" w:fill="auto"/>
          </w:tcPr>
          <w:p w14:paraId="2086E360" w14:textId="77777777" w:rsidR="009B57DC" w:rsidRPr="00762F6A" w:rsidRDefault="009B57DC" w:rsidP="00244B81">
            <w:pPr>
              <w:spacing w:before="40" w:after="40" w:line="240" w:lineRule="auto"/>
              <w:jc w:val="left"/>
              <w:rPr>
                <w:rFonts w:ascii="Arial" w:hAnsi="Arial" w:cs="Arial"/>
                <w:color w:val="000000"/>
                <w:sz w:val="16"/>
                <w:szCs w:val="16"/>
              </w:rPr>
            </w:pPr>
            <w:r w:rsidRPr="00762F6A">
              <w:rPr>
                <w:rFonts w:ascii="Arial" w:hAnsi="Arial" w:cs="Arial"/>
                <w:color w:val="000000"/>
                <w:sz w:val="16"/>
                <w:szCs w:val="16"/>
              </w:rPr>
              <w:t>Capital gains tax discount for individuals and trusts</w:t>
            </w:r>
          </w:p>
        </w:tc>
        <w:tc>
          <w:tcPr>
            <w:tcW w:w="625" w:type="pct"/>
            <w:tcBorders>
              <w:top w:val="nil"/>
              <w:left w:val="nil"/>
              <w:bottom w:val="nil"/>
              <w:right w:val="nil"/>
            </w:tcBorders>
            <w:shd w:val="clear" w:color="auto" w:fill="auto"/>
          </w:tcPr>
          <w:p w14:paraId="2086E361"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9,610</w:t>
            </w:r>
          </w:p>
        </w:tc>
        <w:tc>
          <w:tcPr>
            <w:tcW w:w="625" w:type="pct"/>
            <w:tcBorders>
              <w:top w:val="nil"/>
              <w:left w:val="nil"/>
              <w:bottom w:val="nil"/>
              <w:right w:val="nil"/>
            </w:tcBorders>
            <w:shd w:val="clear" w:color="auto" w:fill="auto"/>
          </w:tcPr>
          <w:p w14:paraId="2086E362" w14:textId="77777777" w:rsidR="009B57DC" w:rsidRPr="00762F6A" w:rsidRDefault="009B57DC" w:rsidP="00244B81">
            <w:pPr>
              <w:spacing w:before="40" w:after="40" w:line="240" w:lineRule="auto"/>
              <w:jc w:val="right"/>
              <w:rPr>
                <w:rFonts w:ascii="Arial" w:hAnsi="Arial" w:cs="Arial"/>
                <w:color w:val="000000"/>
                <w:sz w:val="16"/>
                <w:szCs w:val="16"/>
              </w:rPr>
            </w:pPr>
            <w:r w:rsidRPr="00762F6A">
              <w:rPr>
                <w:rFonts w:ascii="Arial" w:hAnsi="Arial" w:cs="Arial"/>
                <w:color w:val="000000"/>
                <w:sz w:val="16"/>
                <w:szCs w:val="16"/>
              </w:rPr>
              <w:t>n/a</w:t>
            </w:r>
          </w:p>
        </w:tc>
      </w:tr>
      <w:tr w:rsidR="009B57DC" w:rsidRPr="00762F6A" w14:paraId="2086E368" w14:textId="77777777" w:rsidTr="00CF69E5">
        <w:trPr>
          <w:trHeight w:val="270"/>
        </w:trPr>
        <w:tc>
          <w:tcPr>
            <w:tcW w:w="407" w:type="pct"/>
            <w:tcBorders>
              <w:top w:val="nil"/>
              <w:left w:val="nil"/>
              <w:bottom w:val="nil"/>
              <w:right w:val="nil"/>
            </w:tcBorders>
            <w:shd w:val="clear" w:color="auto" w:fill="auto"/>
          </w:tcPr>
          <w:p w14:paraId="2086E364"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H28</w:t>
            </w:r>
          </w:p>
        </w:tc>
        <w:tc>
          <w:tcPr>
            <w:tcW w:w="3343" w:type="pct"/>
            <w:tcBorders>
              <w:top w:val="nil"/>
              <w:left w:val="nil"/>
              <w:bottom w:val="nil"/>
              <w:right w:val="nil"/>
            </w:tcBorders>
            <w:shd w:val="clear" w:color="auto" w:fill="auto"/>
          </w:tcPr>
          <w:p w14:paraId="2086E365" w14:textId="77777777" w:rsidR="009B57DC" w:rsidRPr="00762F6A" w:rsidRDefault="009B57DC" w:rsidP="00244B81">
            <w:pPr>
              <w:spacing w:before="40" w:after="40" w:line="240" w:lineRule="auto"/>
              <w:jc w:val="left"/>
              <w:rPr>
                <w:rFonts w:ascii="Arial" w:hAnsi="Arial" w:cs="Arial"/>
                <w:color w:val="000000"/>
                <w:sz w:val="16"/>
                <w:szCs w:val="16"/>
              </w:rPr>
            </w:pPr>
            <w:r w:rsidRPr="00762F6A">
              <w:rPr>
                <w:rFonts w:ascii="Arial" w:hAnsi="Arial" w:cs="Arial"/>
                <w:color w:val="000000"/>
                <w:sz w:val="16"/>
                <w:szCs w:val="16"/>
              </w:rPr>
              <w:t xml:space="preserve">Food </w:t>
            </w:r>
          </w:p>
        </w:tc>
        <w:tc>
          <w:tcPr>
            <w:tcW w:w="625" w:type="pct"/>
            <w:tcBorders>
              <w:top w:val="nil"/>
              <w:left w:val="nil"/>
              <w:bottom w:val="nil"/>
              <w:right w:val="nil"/>
            </w:tcBorders>
            <w:shd w:val="clear" w:color="auto" w:fill="auto"/>
          </w:tcPr>
          <w:p w14:paraId="2086E366"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6,900</w:t>
            </w:r>
          </w:p>
        </w:tc>
        <w:tc>
          <w:tcPr>
            <w:tcW w:w="625" w:type="pct"/>
            <w:tcBorders>
              <w:top w:val="nil"/>
              <w:left w:val="nil"/>
              <w:bottom w:val="nil"/>
              <w:right w:val="nil"/>
            </w:tcBorders>
            <w:shd w:val="clear" w:color="auto" w:fill="auto"/>
          </w:tcPr>
          <w:p w14:paraId="2086E367" w14:textId="77777777" w:rsidR="009B57DC" w:rsidRPr="00762F6A" w:rsidRDefault="009B57DC" w:rsidP="00244B81">
            <w:pPr>
              <w:spacing w:before="40" w:after="40" w:line="240" w:lineRule="auto"/>
              <w:jc w:val="right"/>
              <w:rPr>
                <w:rFonts w:ascii="Arial" w:hAnsi="Arial" w:cs="Arial"/>
                <w:color w:val="000000"/>
                <w:sz w:val="16"/>
                <w:szCs w:val="16"/>
              </w:rPr>
            </w:pPr>
            <w:r w:rsidRPr="00492A06">
              <w:rPr>
                <w:rFonts w:ascii="Arial" w:hAnsi="Arial" w:cs="Arial"/>
                <w:color w:val="000000"/>
                <w:sz w:val="16"/>
                <w:szCs w:val="16"/>
              </w:rPr>
              <w:t>6,800</w:t>
            </w:r>
          </w:p>
        </w:tc>
      </w:tr>
      <w:tr w:rsidR="009B57DC" w:rsidRPr="00762F6A" w14:paraId="2086E36D" w14:textId="77777777" w:rsidTr="00CF69E5">
        <w:trPr>
          <w:trHeight w:val="270"/>
        </w:trPr>
        <w:tc>
          <w:tcPr>
            <w:tcW w:w="407" w:type="pct"/>
            <w:tcBorders>
              <w:top w:val="nil"/>
              <w:left w:val="nil"/>
              <w:bottom w:val="nil"/>
              <w:right w:val="nil"/>
            </w:tcBorders>
            <w:shd w:val="clear" w:color="auto" w:fill="auto"/>
          </w:tcPr>
          <w:p w14:paraId="2086E369"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H16</w:t>
            </w:r>
          </w:p>
        </w:tc>
        <w:tc>
          <w:tcPr>
            <w:tcW w:w="3343" w:type="pct"/>
            <w:tcBorders>
              <w:top w:val="nil"/>
              <w:left w:val="nil"/>
              <w:bottom w:val="nil"/>
              <w:right w:val="nil"/>
            </w:tcBorders>
            <w:shd w:val="clear" w:color="auto" w:fill="auto"/>
          </w:tcPr>
          <w:p w14:paraId="2086E36A" w14:textId="77777777" w:rsidR="009B57DC" w:rsidRPr="00762F6A" w:rsidRDefault="009B57DC" w:rsidP="00244B81">
            <w:pPr>
              <w:spacing w:before="40" w:after="40" w:line="240" w:lineRule="auto"/>
              <w:jc w:val="left"/>
              <w:rPr>
                <w:rFonts w:ascii="Arial" w:hAnsi="Arial" w:cs="Arial"/>
                <w:color w:val="000000"/>
                <w:sz w:val="16"/>
                <w:szCs w:val="16"/>
              </w:rPr>
            </w:pPr>
            <w:r w:rsidRPr="00762F6A">
              <w:rPr>
                <w:rFonts w:ascii="Arial" w:hAnsi="Arial" w:cs="Arial"/>
                <w:color w:val="000000"/>
                <w:sz w:val="16"/>
                <w:szCs w:val="16"/>
              </w:rPr>
              <w:t xml:space="preserve">Education </w:t>
            </w:r>
          </w:p>
        </w:tc>
        <w:tc>
          <w:tcPr>
            <w:tcW w:w="625" w:type="pct"/>
            <w:tcBorders>
              <w:top w:val="nil"/>
              <w:left w:val="nil"/>
              <w:bottom w:val="nil"/>
              <w:right w:val="nil"/>
            </w:tcBorders>
            <w:shd w:val="clear" w:color="auto" w:fill="auto"/>
          </w:tcPr>
          <w:p w14:paraId="2086E36B"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4,500</w:t>
            </w:r>
          </w:p>
        </w:tc>
        <w:tc>
          <w:tcPr>
            <w:tcW w:w="625" w:type="pct"/>
            <w:tcBorders>
              <w:top w:val="nil"/>
              <w:left w:val="nil"/>
              <w:bottom w:val="nil"/>
              <w:right w:val="nil"/>
            </w:tcBorders>
            <w:shd w:val="clear" w:color="auto" w:fill="auto"/>
          </w:tcPr>
          <w:p w14:paraId="2086E36C" w14:textId="77777777" w:rsidR="009B57DC" w:rsidRPr="00762F6A" w:rsidRDefault="009B57DC" w:rsidP="00244B81">
            <w:pPr>
              <w:spacing w:before="40" w:after="40" w:line="240" w:lineRule="auto"/>
              <w:jc w:val="right"/>
              <w:rPr>
                <w:rFonts w:ascii="Arial" w:hAnsi="Arial" w:cs="Arial"/>
                <w:color w:val="000000"/>
                <w:sz w:val="16"/>
                <w:szCs w:val="16"/>
              </w:rPr>
            </w:pPr>
            <w:r w:rsidRPr="00492A06">
              <w:rPr>
                <w:rFonts w:ascii="Arial" w:hAnsi="Arial" w:cs="Arial"/>
                <w:color w:val="000000"/>
                <w:sz w:val="16"/>
                <w:szCs w:val="16"/>
              </w:rPr>
              <w:t>4,050</w:t>
            </w:r>
          </w:p>
        </w:tc>
      </w:tr>
      <w:tr w:rsidR="009B57DC" w:rsidRPr="00762F6A" w14:paraId="2086E372" w14:textId="77777777" w:rsidTr="00CF69E5">
        <w:trPr>
          <w:trHeight w:val="270"/>
        </w:trPr>
        <w:tc>
          <w:tcPr>
            <w:tcW w:w="407" w:type="pct"/>
            <w:tcBorders>
              <w:top w:val="nil"/>
              <w:left w:val="nil"/>
              <w:bottom w:val="nil"/>
              <w:right w:val="nil"/>
            </w:tcBorders>
            <w:shd w:val="clear" w:color="auto" w:fill="auto"/>
          </w:tcPr>
          <w:p w14:paraId="2086E36E"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H19</w:t>
            </w:r>
          </w:p>
        </w:tc>
        <w:tc>
          <w:tcPr>
            <w:tcW w:w="3343" w:type="pct"/>
            <w:tcBorders>
              <w:top w:val="nil"/>
              <w:left w:val="nil"/>
              <w:bottom w:val="nil"/>
              <w:right w:val="nil"/>
            </w:tcBorders>
            <w:shd w:val="clear" w:color="auto" w:fill="auto"/>
          </w:tcPr>
          <w:p w14:paraId="2086E36F" w14:textId="77777777" w:rsidR="009B57DC" w:rsidRPr="00762F6A" w:rsidRDefault="009B57DC" w:rsidP="00244B81">
            <w:pPr>
              <w:spacing w:before="40" w:after="40" w:line="240" w:lineRule="auto"/>
              <w:jc w:val="left"/>
              <w:rPr>
                <w:rFonts w:ascii="Arial" w:hAnsi="Arial" w:cs="Arial"/>
                <w:color w:val="000000"/>
                <w:sz w:val="16"/>
                <w:szCs w:val="16"/>
              </w:rPr>
            </w:pPr>
            <w:r w:rsidRPr="00762F6A">
              <w:rPr>
                <w:rFonts w:ascii="Arial" w:hAnsi="Arial" w:cs="Arial"/>
                <w:color w:val="000000"/>
                <w:sz w:val="16"/>
                <w:szCs w:val="16"/>
              </w:rPr>
              <w:t>Health — medical and health services</w:t>
            </w:r>
          </w:p>
        </w:tc>
        <w:tc>
          <w:tcPr>
            <w:tcW w:w="625" w:type="pct"/>
            <w:tcBorders>
              <w:top w:val="nil"/>
              <w:left w:val="nil"/>
              <w:bottom w:val="nil"/>
              <w:right w:val="nil"/>
            </w:tcBorders>
            <w:shd w:val="clear" w:color="auto" w:fill="auto"/>
          </w:tcPr>
          <w:p w14:paraId="2086E370"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4,000</w:t>
            </w:r>
          </w:p>
        </w:tc>
        <w:tc>
          <w:tcPr>
            <w:tcW w:w="625" w:type="pct"/>
            <w:tcBorders>
              <w:top w:val="nil"/>
              <w:left w:val="nil"/>
              <w:bottom w:val="nil"/>
              <w:right w:val="nil"/>
            </w:tcBorders>
            <w:shd w:val="clear" w:color="auto" w:fill="auto"/>
          </w:tcPr>
          <w:p w14:paraId="2086E371" w14:textId="77777777" w:rsidR="009B57DC" w:rsidRPr="00762F6A" w:rsidRDefault="009B57DC" w:rsidP="00244B81">
            <w:pPr>
              <w:spacing w:before="40" w:after="40" w:line="240" w:lineRule="auto"/>
              <w:jc w:val="right"/>
              <w:rPr>
                <w:rFonts w:ascii="Arial" w:hAnsi="Arial" w:cs="Arial"/>
                <w:color w:val="000000"/>
                <w:sz w:val="16"/>
                <w:szCs w:val="16"/>
              </w:rPr>
            </w:pPr>
            <w:r w:rsidRPr="00492A06">
              <w:rPr>
                <w:rFonts w:ascii="Arial" w:hAnsi="Arial" w:cs="Arial"/>
                <w:color w:val="000000"/>
                <w:sz w:val="16"/>
                <w:szCs w:val="16"/>
              </w:rPr>
              <w:t>3,950</w:t>
            </w:r>
          </w:p>
        </w:tc>
      </w:tr>
      <w:tr w:rsidR="009B57DC" w:rsidRPr="00762F6A" w14:paraId="2086E377" w14:textId="77777777" w:rsidTr="00CF69E5">
        <w:trPr>
          <w:trHeight w:val="270"/>
        </w:trPr>
        <w:tc>
          <w:tcPr>
            <w:tcW w:w="407" w:type="pct"/>
            <w:tcBorders>
              <w:top w:val="nil"/>
              <w:left w:val="nil"/>
              <w:bottom w:val="nil"/>
              <w:right w:val="nil"/>
            </w:tcBorders>
            <w:shd w:val="clear" w:color="auto" w:fill="auto"/>
          </w:tcPr>
          <w:p w14:paraId="2086E373"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H2</w:t>
            </w:r>
          </w:p>
        </w:tc>
        <w:tc>
          <w:tcPr>
            <w:tcW w:w="3343" w:type="pct"/>
            <w:tcBorders>
              <w:top w:val="nil"/>
              <w:left w:val="nil"/>
              <w:bottom w:val="nil"/>
              <w:right w:val="nil"/>
            </w:tcBorders>
            <w:shd w:val="clear" w:color="auto" w:fill="auto"/>
          </w:tcPr>
          <w:p w14:paraId="2086E374" w14:textId="77777777" w:rsidR="009B57DC" w:rsidRPr="00762F6A" w:rsidRDefault="009B57DC" w:rsidP="00244B81">
            <w:pPr>
              <w:spacing w:before="40" w:after="40" w:line="240" w:lineRule="auto"/>
              <w:jc w:val="left"/>
              <w:rPr>
                <w:rFonts w:ascii="Arial" w:hAnsi="Arial" w:cs="Arial"/>
                <w:color w:val="000000"/>
                <w:sz w:val="16"/>
                <w:szCs w:val="16"/>
              </w:rPr>
            </w:pPr>
            <w:r w:rsidRPr="00762F6A">
              <w:rPr>
                <w:rFonts w:ascii="Arial" w:hAnsi="Arial" w:cs="Arial"/>
                <w:color w:val="000000"/>
                <w:sz w:val="16"/>
                <w:szCs w:val="16"/>
              </w:rPr>
              <w:t>Financial supplies — input taxed treatment</w:t>
            </w:r>
          </w:p>
        </w:tc>
        <w:tc>
          <w:tcPr>
            <w:tcW w:w="625" w:type="pct"/>
            <w:tcBorders>
              <w:top w:val="nil"/>
              <w:left w:val="nil"/>
              <w:bottom w:val="nil"/>
              <w:right w:val="nil"/>
            </w:tcBorders>
            <w:shd w:val="clear" w:color="auto" w:fill="auto"/>
          </w:tcPr>
          <w:p w14:paraId="2086E375"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3,450</w:t>
            </w:r>
          </w:p>
        </w:tc>
        <w:tc>
          <w:tcPr>
            <w:tcW w:w="625" w:type="pct"/>
            <w:tcBorders>
              <w:top w:val="nil"/>
              <w:left w:val="nil"/>
              <w:bottom w:val="nil"/>
              <w:right w:val="nil"/>
            </w:tcBorders>
            <w:shd w:val="clear" w:color="auto" w:fill="auto"/>
          </w:tcPr>
          <w:p w14:paraId="2086E376"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3,450</w:t>
            </w:r>
          </w:p>
        </w:tc>
      </w:tr>
      <w:tr w:rsidR="009B57DC" w:rsidRPr="00762F6A" w14:paraId="2086E37C" w14:textId="77777777" w:rsidTr="00CF69E5">
        <w:trPr>
          <w:trHeight w:val="270"/>
        </w:trPr>
        <w:tc>
          <w:tcPr>
            <w:tcW w:w="407" w:type="pct"/>
            <w:tcBorders>
              <w:top w:val="nil"/>
              <w:left w:val="nil"/>
              <w:bottom w:val="nil"/>
              <w:right w:val="nil"/>
            </w:tcBorders>
            <w:shd w:val="clear" w:color="auto" w:fill="auto"/>
          </w:tcPr>
          <w:p w14:paraId="2086E378" w14:textId="77777777" w:rsidR="009B57DC" w:rsidRPr="00762F6A" w:rsidRDefault="009B57DC" w:rsidP="00244B81">
            <w:pPr>
              <w:spacing w:before="40" w:after="40" w:line="240" w:lineRule="auto"/>
              <w:rPr>
                <w:rFonts w:ascii="Arial" w:hAnsi="Arial" w:cs="Arial"/>
                <w:color w:val="000000"/>
                <w:sz w:val="16"/>
                <w:szCs w:val="22"/>
              </w:rPr>
            </w:pPr>
            <w:r>
              <w:rPr>
                <w:rFonts w:ascii="Arial" w:hAnsi="Arial" w:cs="Arial"/>
                <w:color w:val="000000"/>
                <w:sz w:val="16"/>
                <w:szCs w:val="22"/>
              </w:rPr>
              <w:t>A24</w:t>
            </w:r>
          </w:p>
        </w:tc>
        <w:tc>
          <w:tcPr>
            <w:tcW w:w="3343" w:type="pct"/>
            <w:tcBorders>
              <w:top w:val="nil"/>
              <w:left w:val="nil"/>
              <w:bottom w:val="nil"/>
              <w:right w:val="nil"/>
            </w:tcBorders>
            <w:shd w:val="clear" w:color="auto" w:fill="auto"/>
          </w:tcPr>
          <w:p w14:paraId="2086E379" w14:textId="77777777" w:rsidR="009B57DC" w:rsidRPr="00762F6A" w:rsidRDefault="009B57DC" w:rsidP="00244B81">
            <w:pPr>
              <w:spacing w:before="40" w:after="40" w:line="240" w:lineRule="auto"/>
              <w:jc w:val="left"/>
              <w:rPr>
                <w:rFonts w:ascii="Arial" w:hAnsi="Arial" w:cs="Arial"/>
                <w:color w:val="000000"/>
                <w:sz w:val="16"/>
                <w:szCs w:val="22"/>
              </w:rPr>
            </w:pPr>
            <w:r w:rsidRPr="00762F6A">
              <w:rPr>
                <w:rFonts w:ascii="Arial" w:hAnsi="Arial" w:cs="Arial"/>
                <w:color w:val="000000"/>
                <w:sz w:val="16"/>
                <w:szCs w:val="22"/>
              </w:rPr>
              <w:t>Concessional taxation of non</w:t>
            </w:r>
            <w:r w:rsidRPr="00762F6A">
              <w:rPr>
                <w:rFonts w:ascii="Arial" w:hAnsi="Arial" w:cs="Arial"/>
                <w:color w:val="000000"/>
                <w:sz w:val="16"/>
                <w:szCs w:val="22"/>
              </w:rPr>
              <w:noBreakHyphen/>
              <w:t>superannuation termination benefits</w:t>
            </w:r>
          </w:p>
        </w:tc>
        <w:tc>
          <w:tcPr>
            <w:tcW w:w="625" w:type="pct"/>
            <w:tcBorders>
              <w:top w:val="nil"/>
              <w:left w:val="nil"/>
              <w:bottom w:val="nil"/>
              <w:right w:val="nil"/>
            </w:tcBorders>
            <w:shd w:val="clear" w:color="auto" w:fill="auto"/>
          </w:tcPr>
          <w:p w14:paraId="2086E37A" w14:textId="77777777" w:rsidR="009B57DC" w:rsidRPr="00762F6A" w:rsidRDefault="009B57DC" w:rsidP="00244B81">
            <w:pPr>
              <w:spacing w:before="40" w:after="40" w:line="240" w:lineRule="auto"/>
              <w:jc w:val="right"/>
              <w:rPr>
                <w:rFonts w:ascii="Arial" w:hAnsi="Arial" w:cs="Arial"/>
                <w:color w:val="000000"/>
                <w:sz w:val="16"/>
                <w:szCs w:val="22"/>
              </w:rPr>
            </w:pPr>
            <w:r>
              <w:rPr>
                <w:rFonts w:ascii="Arial" w:hAnsi="Arial" w:cs="Arial"/>
                <w:color w:val="000000"/>
                <w:sz w:val="16"/>
                <w:szCs w:val="22"/>
              </w:rPr>
              <w:t>2,600</w:t>
            </w:r>
          </w:p>
        </w:tc>
        <w:tc>
          <w:tcPr>
            <w:tcW w:w="625" w:type="pct"/>
            <w:tcBorders>
              <w:top w:val="nil"/>
              <w:left w:val="nil"/>
              <w:bottom w:val="nil"/>
              <w:right w:val="nil"/>
            </w:tcBorders>
            <w:shd w:val="clear" w:color="auto" w:fill="auto"/>
          </w:tcPr>
          <w:p w14:paraId="2086E37B"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22"/>
              </w:rPr>
              <w:t>2,600</w:t>
            </w:r>
          </w:p>
        </w:tc>
      </w:tr>
      <w:tr w:rsidR="009B57DC" w:rsidRPr="00762F6A" w14:paraId="2086E381" w14:textId="77777777" w:rsidTr="00CF69E5">
        <w:trPr>
          <w:trHeight w:val="270"/>
        </w:trPr>
        <w:tc>
          <w:tcPr>
            <w:tcW w:w="407" w:type="pct"/>
            <w:tcBorders>
              <w:top w:val="nil"/>
              <w:left w:val="nil"/>
              <w:bottom w:val="nil"/>
              <w:right w:val="nil"/>
            </w:tcBorders>
            <w:shd w:val="clear" w:color="auto" w:fill="auto"/>
          </w:tcPr>
          <w:p w14:paraId="2086E37D" w14:textId="77777777" w:rsidR="009B57DC" w:rsidRPr="00762F6A" w:rsidRDefault="009B57DC" w:rsidP="00244B81">
            <w:pPr>
              <w:spacing w:before="40" w:after="40" w:line="240" w:lineRule="auto"/>
              <w:rPr>
                <w:rFonts w:ascii="Arial" w:hAnsi="Arial" w:cs="Arial"/>
                <w:color w:val="000000"/>
                <w:sz w:val="16"/>
                <w:szCs w:val="22"/>
              </w:rPr>
            </w:pPr>
            <w:r w:rsidRPr="00762F6A">
              <w:rPr>
                <w:rFonts w:ascii="Arial" w:hAnsi="Arial" w:cs="Arial"/>
                <w:color w:val="000000"/>
                <w:sz w:val="16"/>
                <w:szCs w:val="22"/>
              </w:rPr>
              <w:t>B1</w:t>
            </w:r>
            <w:r>
              <w:rPr>
                <w:rFonts w:ascii="Arial" w:hAnsi="Arial" w:cs="Arial"/>
                <w:color w:val="000000"/>
                <w:sz w:val="16"/>
                <w:szCs w:val="22"/>
              </w:rPr>
              <w:t>2</w:t>
            </w:r>
          </w:p>
        </w:tc>
        <w:tc>
          <w:tcPr>
            <w:tcW w:w="3343" w:type="pct"/>
            <w:tcBorders>
              <w:top w:val="nil"/>
              <w:left w:val="nil"/>
              <w:bottom w:val="nil"/>
              <w:right w:val="nil"/>
            </w:tcBorders>
            <w:shd w:val="clear" w:color="auto" w:fill="auto"/>
          </w:tcPr>
          <w:p w14:paraId="2086E37E" w14:textId="77777777" w:rsidR="009B57DC" w:rsidRPr="00762F6A" w:rsidRDefault="009B57DC" w:rsidP="00244B81">
            <w:pPr>
              <w:spacing w:before="40" w:after="40" w:line="240" w:lineRule="auto"/>
              <w:jc w:val="left"/>
              <w:rPr>
                <w:rFonts w:ascii="Arial" w:hAnsi="Arial" w:cs="Arial"/>
                <w:color w:val="000000"/>
                <w:sz w:val="16"/>
                <w:szCs w:val="22"/>
              </w:rPr>
            </w:pPr>
            <w:r w:rsidRPr="00762F6A">
              <w:rPr>
                <w:rFonts w:ascii="Arial" w:hAnsi="Arial" w:cs="Arial"/>
                <w:color w:val="000000"/>
                <w:sz w:val="16"/>
                <w:szCs w:val="22"/>
              </w:rPr>
              <w:t>Exemption from interest withholding tax on certain securities</w:t>
            </w:r>
          </w:p>
        </w:tc>
        <w:tc>
          <w:tcPr>
            <w:tcW w:w="625" w:type="pct"/>
            <w:tcBorders>
              <w:top w:val="nil"/>
              <w:left w:val="nil"/>
              <w:bottom w:val="nil"/>
              <w:right w:val="nil"/>
            </w:tcBorders>
            <w:shd w:val="clear" w:color="auto" w:fill="auto"/>
          </w:tcPr>
          <w:p w14:paraId="2086E37F" w14:textId="77777777" w:rsidR="009B57DC" w:rsidRPr="00762F6A" w:rsidRDefault="009B57DC" w:rsidP="00244B81">
            <w:pPr>
              <w:spacing w:before="40" w:after="40" w:line="240" w:lineRule="auto"/>
              <w:jc w:val="right"/>
              <w:rPr>
                <w:rFonts w:ascii="Arial" w:hAnsi="Arial" w:cs="Arial"/>
                <w:color w:val="000000"/>
                <w:sz w:val="16"/>
                <w:szCs w:val="22"/>
              </w:rPr>
            </w:pPr>
            <w:r>
              <w:rPr>
                <w:rFonts w:ascii="Arial" w:hAnsi="Arial" w:cs="Arial"/>
                <w:color w:val="000000"/>
                <w:sz w:val="16"/>
                <w:szCs w:val="22"/>
              </w:rPr>
              <w:t>2,310</w:t>
            </w:r>
          </w:p>
        </w:tc>
        <w:tc>
          <w:tcPr>
            <w:tcW w:w="625" w:type="pct"/>
            <w:tcBorders>
              <w:top w:val="nil"/>
              <w:left w:val="nil"/>
              <w:bottom w:val="nil"/>
              <w:right w:val="nil"/>
            </w:tcBorders>
            <w:shd w:val="clear" w:color="auto" w:fill="auto"/>
          </w:tcPr>
          <w:p w14:paraId="2086E380" w14:textId="77777777" w:rsidR="009B57DC" w:rsidRPr="00762F6A" w:rsidRDefault="009B57DC" w:rsidP="00244B81">
            <w:pPr>
              <w:spacing w:before="40" w:after="40" w:line="240" w:lineRule="auto"/>
              <w:jc w:val="right"/>
              <w:rPr>
                <w:rFonts w:ascii="Arial" w:hAnsi="Arial" w:cs="Arial"/>
                <w:color w:val="000000"/>
                <w:sz w:val="16"/>
                <w:szCs w:val="22"/>
              </w:rPr>
            </w:pPr>
            <w:r w:rsidRPr="00492A06">
              <w:rPr>
                <w:rFonts w:ascii="Arial" w:hAnsi="Arial" w:cs="Arial"/>
                <w:color w:val="000000"/>
                <w:sz w:val="16"/>
                <w:szCs w:val="22"/>
              </w:rPr>
              <w:t>1,630</w:t>
            </w:r>
          </w:p>
        </w:tc>
      </w:tr>
      <w:tr w:rsidR="009B57DC" w:rsidRPr="00762F6A" w14:paraId="2086E386" w14:textId="77777777" w:rsidTr="00CF69E5">
        <w:trPr>
          <w:trHeight w:val="270"/>
        </w:trPr>
        <w:tc>
          <w:tcPr>
            <w:tcW w:w="407" w:type="pct"/>
            <w:tcBorders>
              <w:top w:val="nil"/>
              <w:left w:val="nil"/>
              <w:bottom w:val="nil"/>
              <w:right w:val="nil"/>
            </w:tcBorders>
            <w:shd w:val="clear" w:color="auto" w:fill="auto"/>
          </w:tcPr>
          <w:p w14:paraId="2086E382" w14:textId="77777777" w:rsidR="009B57DC" w:rsidRPr="00762F6A" w:rsidRDefault="009B57DC" w:rsidP="00244B81">
            <w:pPr>
              <w:spacing w:before="40" w:after="40" w:line="240" w:lineRule="auto"/>
              <w:rPr>
                <w:rFonts w:ascii="Arial" w:hAnsi="Arial" w:cs="Arial"/>
                <w:color w:val="000000"/>
                <w:sz w:val="16"/>
                <w:szCs w:val="22"/>
              </w:rPr>
            </w:pPr>
            <w:r w:rsidRPr="00762F6A">
              <w:rPr>
                <w:rFonts w:ascii="Arial" w:hAnsi="Arial" w:cs="Arial"/>
                <w:color w:val="000000"/>
                <w:sz w:val="16"/>
                <w:szCs w:val="22"/>
              </w:rPr>
              <w:t>A</w:t>
            </w:r>
            <w:r>
              <w:rPr>
                <w:rFonts w:ascii="Arial" w:hAnsi="Arial" w:cs="Arial"/>
                <w:color w:val="000000"/>
                <w:sz w:val="16"/>
                <w:szCs w:val="22"/>
              </w:rPr>
              <w:t>40</w:t>
            </w:r>
          </w:p>
        </w:tc>
        <w:tc>
          <w:tcPr>
            <w:tcW w:w="3343" w:type="pct"/>
            <w:tcBorders>
              <w:top w:val="nil"/>
              <w:left w:val="nil"/>
              <w:bottom w:val="nil"/>
              <w:right w:val="nil"/>
            </w:tcBorders>
            <w:shd w:val="clear" w:color="auto" w:fill="auto"/>
          </w:tcPr>
          <w:p w14:paraId="2086E383" w14:textId="77777777" w:rsidR="009B57DC" w:rsidRPr="00762F6A" w:rsidRDefault="009B57DC" w:rsidP="00244B81">
            <w:pPr>
              <w:spacing w:before="40" w:after="40" w:line="240" w:lineRule="auto"/>
              <w:jc w:val="left"/>
              <w:rPr>
                <w:rFonts w:ascii="Arial" w:hAnsi="Arial" w:cs="Arial"/>
                <w:color w:val="000000"/>
                <w:sz w:val="16"/>
                <w:szCs w:val="22"/>
              </w:rPr>
            </w:pPr>
            <w:r w:rsidRPr="00762F6A">
              <w:rPr>
                <w:rFonts w:ascii="Arial" w:hAnsi="Arial" w:cs="Arial"/>
                <w:color w:val="000000"/>
                <w:sz w:val="16"/>
                <w:szCs w:val="22"/>
              </w:rPr>
              <w:t>Exemption of Family Tax Benefit payments</w:t>
            </w:r>
          </w:p>
        </w:tc>
        <w:tc>
          <w:tcPr>
            <w:tcW w:w="625" w:type="pct"/>
            <w:tcBorders>
              <w:top w:val="nil"/>
              <w:left w:val="nil"/>
              <w:bottom w:val="nil"/>
              <w:right w:val="nil"/>
            </w:tcBorders>
            <w:shd w:val="clear" w:color="auto" w:fill="auto"/>
          </w:tcPr>
          <w:p w14:paraId="2086E384" w14:textId="77777777" w:rsidR="009B57DC" w:rsidRPr="00762F6A" w:rsidRDefault="009B57DC" w:rsidP="00244B81">
            <w:pPr>
              <w:spacing w:before="40" w:after="40" w:line="240" w:lineRule="auto"/>
              <w:jc w:val="right"/>
              <w:rPr>
                <w:rFonts w:ascii="Arial" w:hAnsi="Arial" w:cs="Arial"/>
                <w:color w:val="000000"/>
                <w:sz w:val="16"/>
                <w:szCs w:val="22"/>
              </w:rPr>
            </w:pPr>
            <w:r>
              <w:rPr>
                <w:rFonts w:ascii="Arial" w:hAnsi="Arial" w:cs="Arial"/>
                <w:color w:val="000000"/>
                <w:sz w:val="16"/>
                <w:szCs w:val="22"/>
              </w:rPr>
              <w:t>2,200</w:t>
            </w:r>
          </w:p>
        </w:tc>
        <w:tc>
          <w:tcPr>
            <w:tcW w:w="625" w:type="pct"/>
            <w:tcBorders>
              <w:top w:val="nil"/>
              <w:left w:val="nil"/>
              <w:bottom w:val="nil"/>
              <w:right w:val="nil"/>
            </w:tcBorders>
            <w:shd w:val="clear" w:color="auto" w:fill="auto"/>
          </w:tcPr>
          <w:p w14:paraId="2086E385" w14:textId="77777777" w:rsidR="009B57DC" w:rsidRPr="00762F6A" w:rsidRDefault="009B57DC" w:rsidP="00244B81">
            <w:pPr>
              <w:spacing w:before="40" w:after="40" w:line="240" w:lineRule="auto"/>
              <w:jc w:val="right"/>
              <w:rPr>
                <w:rFonts w:ascii="Arial" w:hAnsi="Arial" w:cs="Arial"/>
                <w:color w:val="000000"/>
                <w:sz w:val="16"/>
                <w:szCs w:val="22"/>
              </w:rPr>
            </w:pPr>
            <w:r>
              <w:rPr>
                <w:rFonts w:ascii="Arial" w:hAnsi="Arial" w:cs="Arial"/>
                <w:color w:val="000000"/>
                <w:sz w:val="16"/>
                <w:szCs w:val="22"/>
              </w:rPr>
              <w:t>2,200</w:t>
            </w:r>
          </w:p>
        </w:tc>
      </w:tr>
      <w:tr w:rsidR="009B57DC" w:rsidRPr="00762F6A" w14:paraId="2086E38B" w14:textId="77777777" w:rsidTr="00CF69E5">
        <w:trPr>
          <w:trHeight w:val="270"/>
        </w:trPr>
        <w:tc>
          <w:tcPr>
            <w:tcW w:w="407" w:type="pct"/>
            <w:tcBorders>
              <w:top w:val="nil"/>
              <w:left w:val="nil"/>
              <w:bottom w:val="nil"/>
              <w:right w:val="nil"/>
            </w:tcBorders>
            <w:shd w:val="clear" w:color="auto" w:fill="auto"/>
          </w:tcPr>
          <w:p w14:paraId="2086E387" w14:textId="77777777" w:rsidR="009B57DC" w:rsidRPr="00762F6A" w:rsidRDefault="009B57DC" w:rsidP="00244B81">
            <w:pPr>
              <w:spacing w:before="40" w:after="40" w:line="240" w:lineRule="auto"/>
              <w:rPr>
                <w:rFonts w:ascii="Arial" w:hAnsi="Arial" w:cs="Arial"/>
                <w:color w:val="000000"/>
                <w:sz w:val="16"/>
                <w:szCs w:val="22"/>
              </w:rPr>
            </w:pPr>
            <w:r w:rsidRPr="00762F6A">
              <w:rPr>
                <w:rFonts w:ascii="Arial" w:hAnsi="Arial" w:cs="Arial"/>
                <w:color w:val="000000"/>
                <w:sz w:val="16"/>
                <w:szCs w:val="22"/>
              </w:rPr>
              <w:t>A19</w:t>
            </w:r>
          </w:p>
        </w:tc>
        <w:tc>
          <w:tcPr>
            <w:tcW w:w="3343" w:type="pct"/>
            <w:tcBorders>
              <w:top w:val="nil"/>
              <w:left w:val="nil"/>
              <w:bottom w:val="nil"/>
              <w:right w:val="nil"/>
            </w:tcBorders>
            <w:shd w:val="clear" w:color="auto" w:fill="auto"/>
          </w:tcPr>
          <w:p w14:paraId="2086E388" w14:textId="77777777" w:rsidR="009B57DC" w:rsidRPr="00762F6A" w:rsidRDefault="009B57DC" w:rsidP="00244B81">
            <w:pPr>
              <w:spacing w:before="40" w:after="40" w:line="240" w:lineRule="auto"/>
              <w:jc w:val="left"/>
              <w:rPr>
                <w:rFonts w:ascii="Arial" w:hAnsi="Arial" w:cs="Arial"/>
                <w:color w:val="000000"/>
                <w:sz w:val="16"/>
                <w:szCs w:val="22"/>
              </w:rPr>
            </w:pPr>
            <w:r w:rsidRPr="00762F6A">
              <w:rPr>
                <w:rFonts w:ascii="Arial" w:hAnsi="Arial" w:cs="Arial"/>
                <w:color w:val="000000"/>
                <w:sz w:val="16"/>
                <w:szCs w:val="22"/>
              </w:rPr>
              <w:t>Medicare levy exemption for residents with taxable income below the low</w:t>
            </w:r>
            <w:r w:rsidRPr="00762F6A">
              <w:rPr>
                <w:rFonts w:ascii="Arial" w:hAnsi="Arial" w:cs="Arial"/>
                <w:color w:val="000000"/>
                <w:sz w:val="16"/>
                <w:szCs w:val="22"/>
              </w:rPr>
              <w:noBreakHyphen/>
              <w:t>income thresholds</w:t>
            </w:r>
          </w:p>
        </w:tc>
        <w:tc>
          <w:tcPr>
            <w:tcW w:w="625" w:type="pct"/>
            <w:tcBorders>
              <w:top w:val="nil"/>
              <w:left w:val="nil"/>
              <w:bottom w:val="nil"/>
              <w:right w:val="nil"/>
            </w:tcBorders>
            <w:shd w:val="clear" w:color="auto" w:fill="auto"/>
          </w:tcPr>
          <w:p w14:paraId="2086E389" w14:textId="77777777" w:rsidR="009B57DC" w:rsidRPr="00762F6A" w:rsidRDefault="009B57DC" w:rsidP="00244B81">
            <w:pPr>
              <w:spacing w:before="40" w:after="40" w:line="240" w:lineRule="auto"/>
              <w:jc w:val="right"/>
              <w:rPr>
                <w:rFonts w:ascii="Arial" w:hAnsi="Arial" w:cs="Arial"/>
                <w:color w:val="000000"/>
                <w:sz w:val="16"/>
                <w:szCs w:val="22"/>
              </w:rPr>
            </w:pPr>
            <w:r>
              <w:rPr>
                <w:rFonts w:ascii="Arial" w:hAnsi="Arial" w:cs="Arial"/>
                <w:color w:val="000000"/>
                <w:sz w:val="16"/>
                <w:szCs w:val="22"/>
              </w:rPr>
              <w:t>2,060</w:t>
            </w:r>
          </w:p>
        </w:tc>
        <w:tc>
          <w:tcPr>
            <w:tcW w:w="625" w:type="pct"/>
            <w:tcBorders>
              <w:top w:val="nil"/>
              <w:left w:val="nil"/>
              <w:bottom w:val="nil"/>
              <w:right w:val="nil"/>
            </w:tcBorders>
            <w:shd w:val="clear" w:color="auto" w:fill="auto"/>
          </w:tcPr>
          <w:p w14:paraId="2086E38A" w14:textId="77777777" w:rsidR="009B57DC" w:rsidRPr="00762F6A" w:rsidRDefault="009B57DC" w:rsidP="00244B81">
            <w:pPr>
              <w:spacing w:before="40" w:after="40" w:line="240" w:lineRule="auto"/>
              <w:jc w:val="right"/>
              <w:rPr>
                <w:rFonts w:ascii="Arial" w:hAnsi="Arial" w:cs="Arial"/>
                <w:color w:val="000000"/>
                <w:sz w:val="16"/>
                <w:szCs w:val="22"/>
              </w:rPr>
            </w:pPr>
            <w:r w:rsidRPr="00762F6A">
              <w:rPr>
                <w:rFonts w:ascii="Arial" w:hAnsi="Arial" w:cs="Arial"/>
                <w:color w:val="000000"/>
                <w:sz w:val="16"/>
                <w:szCs w:val="22"/>
              </w:rPr>
              <w:t>n/a</w:t>
            </w:r>
          </w:p>
        </w:tc>
      </w:tr>
      <w:tr w:rsidR="009B57DC" w:rsidRPr="00762F6A" w14:paraId="2086E390" w14:textId="77777777" w:rsidTr="00CF69E5">
        <w:trPr>
          <w:trHeight w:val="270"/>
        </w:trPr>
        <w:tc>
          <w:tcPr>
            <w:tcW w:w="407" w:type="pct"/>
            <w:tcBorders>
              <w:top w:val="nil"/>
              <w:left w:val="nil"/>
              <w:bottom w:val="nil"/>
              <w:right w:val="nil"/>
            </w:tcBorders>
            <w:shd w:val="clear" w:color="auto" w:fill="auto"/>
          </w:tcPr>
          <w:p w14:paraId="2086E38C" w14:textId="77777777" w:rsidR="009B57DC" w:rsidRPr="00762F6A" w:rsidRDefault="009B57DC" w:rsidP="00244B81">
            <w:pPr>
              <w:spacing w:before="40" w:after="40" w:line="240" w:lineRule="auto"/>
              <w:rPr>
                <w:rFonts w:ascii="Arial" w:hAnsi="Arial" w:cs="Arial"/>
                <w:color w:val="000000"/>
                <w:sz w:val="16"/>
                <w:szCs w:val="22"/>
              </w:rPr>
            </w:pPr>
            <w:r>
              <w:rPr>
                <w:rFonts w:ascii="Arial" w:hAnsi="Arial" w:cs="Arial"/>
                <w:color w:val="000000"/>
                <w:sz w:val="16"/>
                <w:szCs w:val="22"/>
              </w:rPr>
              <w:t>B2</w:t>
            </w:r>
          </w:p>
        </w:tc>
        <w:tc>
          <w:tcPr>
            <w:tcW w:w="3343" w:type="pct"/>
            <w:tcBorders>
              <w:top w:val="nil"/>
              <w:left w:val="nil"/>
              <w:bottom w:val="nil"/>
              <w:right w:val="nil"/>
            </w:tcBorders>
            <w:shd w:val="clear" w:color="auto" w:fill="auto"/>
          </w:tcPr>
          <w:p w14:paraId="2086E38D" w14:textId="77777777" w:rsidR="009B57DC" w:rsidRPr="00762F6A" w:rsidRDefault="009B57DC" w:rsidP="00244B81">
            <w:pPr>
              <w:spacing w:before="40" w:after="40" w:line="240" w:lineRule="auto"/>
              <w:jc w:val="left"/>
              <w:rPr>
                <w:rFonts w:ascii="Arial" w:hAnsi="Arial" w:cs="Arial"/>
                <w:color w:val="000000"/>
                <w:sz w:val="16"/>
                <w:szCs w:val="22"/>
              </w:rPr>
            </w:pPr>
            <w:r w:rsidRPr="00762F6A">
              <w:rPr>
                <w:rFonts w:ascii="Arial" w:hAnsi="Arial" w:cs="Arial"/>
                <w:color w:val="000000"/>
                <w:sz w:val="16"/>
                <w:szCs w:val="22"/>
              </w:rPr>
              <w:t>Local government bodies income tax exemption</w:t>
            </w:r>
          </w:p>
        </w:tc>
        <w:tc>
          <w:tcPr>
            <w:tcW w:w="625" w:type="pct"/>
            <w:tcBorders>
              <w:top w:val="nil"/>
              <w:left w:val="nil"/>
              <w:bottom w:val="nil"/>
              <w:right w:val="nil"/>
            </w:tcBorders>
            <w:shd w:val="clear" w:color="auto" w:fill="auto"/>
          </w:tcPr>
          <w:p w14:paraId="2086E38E" w14:textId="77777777" w:rsidR="009B57DC" w:rsidRPr="00762F6A" w:rsidRDefault="009B57DC" w:rsidP="00244B81">
            <w:pPr>
              <w:spacing w:before="40" w:after="40" w:line="240" w:lineRule="auto"/>
              <w:jc w:val="right"/>
              <w:rPr>
                <w:rFonts w:ascii="Arial" w:hAnsi="Arial" w:cs="Arial"/>
                <w:color w:val="000000"/>
                <w:sz w:val="16"/>
                <w:szCs w:val="22"/>
              </w:rPr>
            </w:pPr>
            <w:r>
              <w:rPr>
                <w:rFonts w:ascii="Arial" w:hAnsi="Arial" w:cs="Arial"/>
                <w:color w:val="000000"/>
                <w:sz w:val="16"/>
                <w:szCs w:val="22"/>
              </w:rPr>
              <w:t>1,880</w:t>
            </w:r>
          </w:p>
        </w:tc>
        <w:tc>
          <w:tcPr>
            <w:tcW w:w="625" w:type="pct"/>
            <w:tcBorders>
              <w:top w:val="nil"/>
              <w:left w:val="nil"/>
              <w:bottom w:val="nil"/>
              <w:right w:val="nil"/>
            </w:tcBorders>
            <w:shd w:val="clear" w:color="auto" w:fill="auto"/>
          </w:tcPr>
          <w:p w14:paraId="2086E38F" w14:textId="77777777" w:rsidR="009B57DC" w:rsidRPr="00762F6A" w:rsidRDefault="009B57DC" w:rsidP="00244B81">
            <w:pPr>
              <w:spacing w:before="40" w:after="40" w:line="240" w:lineRule="auto"/>
              <w:jc w:val="right"/>
              <w:rPr>
                <w:rFonts w:ascii="Arial" w:hAnsi="Arial" w:cs="Arial"/>
                <w:color w:val="000000"/>
                <w:sz w:val="16"/>
                <w:szCs w:val="22"/>
              </w:rPr>
            </w:pPr>
            <w:r w:rsidRPr="00762F6A">
              <w:rPr>
                <w:rFonts w:ascii="Arial" w:hAnsi="Arial" w:cs="Arial"/>
                <w:color w:val="000000"/>
                <w:sz w:val="16"/>
                <w:szCs w:val="22"/>
              </w:rPr>
              <w:t>n/a</w:t>
            </w:r>
          </w:p>
        </w:tc>
      </w:tr>
      <w:tr w:rsidR="009B57DC" w:rsidRPr="00762F6A" w14:paraId="2086E395" w14:textId="77777777" w:rsidTr="00CF69E5">
        <w:trPr>
          <w:trHeight w:val="270"/>
        </w:trPr>
        <w:tc>
          <w:tcPr>
            <w:tcW w:w="407" w:type="pct"/>
            <w:tcBorders>
              <w:top w:val="nil"/>
              <w:left w:val="nil"/>
              <w:bottom w:val="nil"/>
              <w:right w:val="nil"/>
            </w:tcBorders>
            <w:shd w:val="clear" w:color="auto" w:fill="auto"/>
          </w:tcPr>
          <w:p w14:paraId="2086E391" w14:textId="77777777" w:rsidR="009B57DC" w:rsidRPr="00762F6A" w:rsidRDefault="009B57DC" w:rsidP="00244B81">
            <w:pPr>
              <w:spacing w:before="40" w:after="40" w:line="240" w:lineRule="auto"/>
              <w:rPr>
                <w:rFonts w:ascii="Arial" w:hAnsi="Arial" w:cs="Arial"/>
                <w:color w:val="000000"/>
                <w:sz w:val="16"/>
                <w:szCs w:val="22"/>
              </w:rPr>
            </w:pPr>
            <w:r w:rsidRPr="00762F6A">
              <w:rPr>
                <w:rFonts w:ascii="Arial" w:hAnsi="Arial" w:cs="Arial"/>
                <w:color w:val="000000"/>
                <w:sz w:val="16"/>
                <w:szCs w:val="22"/>
              </w:rPr>
              <w:t>A17</w:t>
            </w:r>
          </w:p>
        </w:tc>
        <w:tc>
          <w:tcPr>
            <w:tcW w:w="3343" w:type="pct"/>
            <w:tcBorders>
              <w:top w:val="nil"/>
              <w:left w:val="nil"/>
              <w:bottom w:val="nil"/>
              <w:right w:val="nil"/>
            </w:tcBorders>
            <w:shd w:val="clear" w:color="auto" w:fill="auto"/>
          </w:tcPr>
          <w:p w14:paraId="2086E392" w14:textId="77777777" w:rsidR="009B57DC" w:rsidRPr="00762F6A" w:rsidRDefault="009B57DC" w:rsidP="00244B81">
            <w:pPr>
              <w:spacing w:before="40" w:after="40" w:line="240" w:lineRule="auto"/>
              <w:jc w:val="left"/>
              <w:rPr>
                <w:rFonts w:ascii="Arial" w:hAnsi="Arial" w:cs="Arial"/>
                <w:color w:val="000000"/>
                <w:sz w:val="16"/>
                <w:szCs w:val="22"/>
              </w:rPr>
            </w:pPr>
            <w:r w:rsidRPr="00762F6A">
              <w:rPr>
                <w:rFonts w:ascii="Arial" w:hAnsi="Arial" w:cs="Arial"/>
                <w:color w:val="000000"/>
                <w:sz w:val="16"/>
                <w:szCs w:val="22"/>
              </w:rPr>
              <w:t>Exemption of the Private Health Insurance Rebate</w:t>
            </w:r>
          </w:p>
        </w:tc>
        <w:tc>
          <w:tcPr>
            <w:tcW w:w="625" w:type="pct"/>
            <w:tcBorders>
              <w:top w:val="nil"/>
              <w:left w:val="nil"/>
              <w:bottom w:val="nil"/>
              <w:right w:val="nil"/>
            </w:tcBorders>
            <w:shd w:val="clear" w:color="auto" w:fill="auto"/>
          </w:tcPr>
          <w:p w14:paraId="2086E393" w14:textId="1BBEFA8F" w:rsidR="009B57DC" w:rsidRPr="00762F6A" w:rsidRDefault="009B57DC" w:rsidP="008B3D0F">
            <w:pPr>
              <w:spacing w:before="40" w:after="40" w:line="240" w:lineRule="auto"/>
              <w:jc w:val="right"/>
              <w:rPr>
                <w:rFonts w:ascii="Arial" w:hAnsi="Arial" w:cs="Arial"/>
                <w:color w:val="000000"/>
                <w:sz w:val="16"/>
                <w:szCs w:val="22"/>
              </w:rPr>
            </w:pPr>
            <w:r>
              <w:rPr>
                <w:rFonts w:ascii="Arial" w:hAnsi="Arial" w:cs="Arial"/>
                <w:color w:val="000000"/>
                <w:sz w:val="16"/>
                <w:szCs w:val="22"/>
              </w:rPr>
              <w:t>1,</w:t>
            </w:r>
            <w:r w:rsidR="008B3D0F">
              <w:rPr>
                <w:rFonts w:ascii="Arial" w:hAnsi="Arial" w:cs="Arial"/>
                <w:color w:val="000000"/>
                <w:sz w:val="16"/>
                <w:szCs w:val="22"/>
              </w:rPr>
              <w:t>500</w:t>
            </w:r>
          </w:p>
        </w:tc>
        <w:tc>
          <w:tcPr>
            <w:tcW w:w="625" w:type="pct"/>
            <w:tcBorders>
              <w:top w:val="nil"/>
              <w:left w:val="nil"/>
              <w:bottom w:val="nil"/>
              <w:right w:val="nil"/>
            </w:tcBorders>
            <w:shd w:val="clear" w:color="auto" w:fill="auto"/>
          </w:tcPr>
          <w:p w14:paraId="2086E394" w14:textId="77777777" w:rsidR="009B57DC" w:rsidRPr="00762F6A" w:rsidRDefault="009B57DC" w:rsidP="00244B81">
            <w:pPr>
              <w:spacing w:before="40" w:after="40" w:line="240" w:lineRule="auto"/>
              <w:jc w:val="right"/>
              <w:rPr>
                <w:rFonts w:ascii="Arial" w:hAnsi="Arial" w:cs="Arial"/>
                <w:color w:val="000000"/>
                <w:sz w:val="16"/>
                <w:szCs w:val="22"/>
              </w:rPr>
            </w:pPr>
            <w:r w:rsidRPr="00762F6A">
              <w:rPr>
                <w:rFonts w:ascii="Arial" w:hAnsi="Arial" w:cs="Arial"/>
                <w:color w:val="000000"/>
                <w:sz w:val="16"/>
                <w:szCs w:val="22"/>
              </w:rPr>
              <w:t>n/a</w:t>
            </w:r>
          </w:p>
        </w:tc>
      </w:tr>
      <w:tr w:rsidR="009B57DC" w:rsidRPr="00762F6A" w14:paraId="2086E39A" w14:textId="77777777" w:rsidTr="00CF69E5">
        <w:trPr>
          <w:trHeight w:val="270"/>
        </w:trPr>
        <w:tc>
          <w:tcPr>
            <w:tcW w:w="407" w:type="pct"/>
            <w:tcBorders>
              <w:top w:val="nil"/>
              <w:left w:val="nil"/>
              <w:bottom w:val="nil"/>
              <w:right w:val="nil"/>
            </w:tcBorders>
            <w:shd w:val="clear" w:color="auto" w:fill="auto"/>
          </w:tcPr>
          <w:p w14:paraId="2086E396" w14:textId="77777777" w:rsidR="009B57DC" w:rsidRPr="00762F6A" w:rsidRDefault="009B57DC" w:rsidP="00244B81">
            <w:pPr>
              <w:spacing w:before="40" w:after="40" w:line="240" w:lineRule="auto"/>
              <w:rPr>
                <w:rFonts w:ascii="Arial" w:hAnsi="Arial" w:cs="Arial"/>
                <w:color w:val="000000"/>
                <w:sz w:val="16"/>
                <w:szCs w:val="22"/>
              </w:rPr>
            </w:pPr>
            <w:r w:rsidRPr="00762F6A">
              <w:rPr>
                <w:rFonts w:ascii="Arial" w:hAnsi="Arial" w:cs="Arial"/>
                <w:color w:val="000000"/>
                <w:sz w:val="16"/>
                <w:szCs w:val="22"/>
              </w:rPr>
              <w:t>A2</w:t>
            </w:r>
            <w:r>
              <w:rPr>
                <w:rFonts w:ascii="Arial" w:hAnsi="Arial" w:cs="Arial"/>
                <w:color w:val="000000"/>
                <w:sz w:val="16"/>
                <w:szCs w:val="22"/>
              </w:rPr>
              <w:t>7</w:t>
            </w:r>
          </w:p>
        </w:tc>
        <w:tc>
          <w:tcPr>
            <w:tcW w:w="3343" w:type="pct"/>
            <w:tcBorders>
              <w:top w:val="nil"/>
              <w:left w:val="nil"/>
              <w:bottom w:val="nil"/>
              <w:right w:val="nil"/>
            </w:tcBorders>
            <w:shd w:val="clear" w:color="auto" w:fill="auto"/>
          </w:tcPr>
          <w:p w14:paraId="2086E397" w14:textId="77777777" w:rsidR="009B57DC" w:rsidRPr="00762F6A" w:rsidRDefault="009B57DC" w:rsidP="00244B81">
            <w:pPr>
              <w:spacing w:before="40" w:after="40" w:line="240" w:lineRule="auto"/>
              <w:jc w:val="left"/>
              <w:rPr>
                <w:rFonts w:ascii="Arial" w:hAnsi="Arial" w:cs="Arial"/>
                <w:color w:val="000000"/>
                <w:sz w:val="16"/>
                <w:szCs w:val="22"/>
              </w:rPr>
            </w:pPr>
            <w:r w:rsidRPr="00762F6A">
              <w:rPr>
                <w:rFonts w:ascii="Arial" w:hAnsi="Arial" w:cs="Arial"/>
                <w:color w:val="000000"/>
                <w:sz w:val="16"/>
                <w:szCs w:val="22"/>
              </w:rPr>
              <w:t>Exemption of Child Care Assistance payments</w:t>
            </w:r>
          </w:p>
        </w:tc>
        <w:tc>
          <w:tcPr>
            <w:tcW w:w="625" w:type="pct"/>
            <w:tcBorders>
              <w:top w:val="nil"/>
              <w:left w:val="nil"/>
              <w:bottom w:val="nil"/>
              <w:right w:val="nil"/>
            </w:tcBorders>
            <w:shd w:val="clear" w:color="auto" w:fill="auto"/>
          </w:tcPr>
          <w:p w14:paraId="2086E398" w14:textId="77777777" w:rsidR="009B57DC" w:rsidRPr="00762F6A" w:rsidRDefault="009B57DC" w:rsidP="00244B81">
            <w:pPr>
              <w:spacing w:before="40" w:after="40" w:line="240" w:lineRule="auto"/>
              <w:jc w:val="right"/>
              <w:rPr>
                <w:rFonts w:ascii="Arial" w:hAnsi="Arial" w:cs="Arial"/>
                <w:color w:val="000000"/>
                <w:sz w:val="16"/>
                <w:szCs w:val="22"/>
              </w:rPr>
            </w:pPr>
            <w:r>
              <w:rPr>
                <w:rFonts w:ascii="Arial" w:hAnsi="Arial" w:cs="Arial"/>
                <w:color w:val="000000"/>
                <w:sz w:val="16"/>
                <w:szCs w:val="22"/>
              </w:rPr>
              <w:t>1,590</w:t>
            </w:r>
          </w:p>
        </w:tc>
        <w:tc>
          <w:tcPr>
            <w:tcW w:w="625" w:type="pct"/>
            <w:tcBorders>
              <w:top w:val="nil"/>
              <w:left w:val="nil"/>
              <w:bottom w:val="nil"/>
              <w:right w:val="nil"/>
            </w:tcBorders>
            <w:shd w:val="clear" w:color="auto" w:fill="auto"/>
          </w:tcPr>
          <w:p w14:paraId="2086E399" w14:textId="77777777" w:rsidR="009B57DC" w:rsidRPr="00762F6A" w:rsidRDefault="009B57DC" w:rsidP="00244B81">
            <w:pPr>
              <w:spacing w:before="40" w:after="40" w:line="240" w:lineRule="auto"/>
              <w:jc w:val="right"/>
              <w:rPr>
                <w:rFonts w:ascii="Arial" w:hAnsi="Arial" w:cs="Arial"/>
                <w:color w:val="000000"/>
                <w:sz w:val="16"/>
                <w:szCs w:val="22"/>
              </w:rPr>
            </w:pPr>
            <w:r w:rsidRPr="00762F6A">
              <w:rPr>
                <w:rFonts w:ascii="Arial" w:hAnsi="Arial" w:cs="Arial"/>
                <w:color w:val="000000"/>
                <w:sz w:val="16"/>
                <w:szCs w:val="22"/>
              </w:rPr>
              <w:t>n/a</w:t>
            </w:r>
          </w:p>
        </w:tc>
      </w:tr>
      <w:tr w:rsidR="009B57DC" w:rsidRPr="00762F6A" w14:paraId="2086E39F" w14:textId="77777777" w:rsidTr="00CF69E5">
        <w:trPr>
          <w:trHeight w:val="270"/>
        </w:trPr>
        <w:tc>
          <w:tcPr>
            <w:tcW w:w="407" w:type="pct"/>
            <w:tcBorders>
              <w:top w:val="nil"/>
              <w:left w:val="nil"/>
              <w:bottom w:val="nil"/>
              <w:right w:val="nil"/>
            </w:tcBorders>
            <w:shd w:val="clear" w:color="auto" w:fill="auto"/>
          </w:tcPr>
          <w:p w14:paraId="2086E39B" w14:textId="77777777" w:rsidR="009B57DC" w:rsidRPr="00762F6A" w:rsidRDefault="009B57DC" w:rsidP="00244B81">
            <w:pPr>
              <w:spacing w:before="40" w:after="40" w:line="240" w:lineRule="auto"/>
              <w:rPr>
                <w:rFonts w:ascii="Arial" w:hAnsi="Arial" w:cs="Arial"/>
                <w:color w:val="000000"/>
                <w:sz w:val="16"/>
                <w:szCs w:val="22"/>
              </w:rPr>
            </w:pPr>
            <w:r w:rsidRPr="00762F6A">
              <w:rPr>
                <w:rFonts w:ascii="Arial" w:hAnsi="Arial" w:cs="Arial"/>
                <w:color w:val="000000"/>
                <w:sz w:val="16"/>
                <w:szCs w:val="22"/>
              </w:rPr>
              <w:t>D14</w:t>
            </w:r>
          </w:p>
        </w:tc>
        <w:tc>
          <w:tcPr>
            <w:tcW w:w="3343" w:type="pct"/>
            <w:tcBorders>
              <w:top w:val="nil"/>
              <w:left w:val="nil"/>
              <w:bottom w:val="nil"/>
              <w:right w:val="nil"/>
            </w:tcBorders>
            <w:shd w:val="clear" w:color="auto" w:fill="auto"/>
          </w:tcPr>
          <w:p w14:paraId="2086E39C" w14:textId="77777777" w:rsidR="009B57DC" w:rsidRPr="00762F6A" w:rsidRDefault="009B57DC" w:rsidP="00AA3CE3">
            <w:pPr>
              <w:spacing w:before="40" w:after="40" w:line="240" w:lineRule="auto"/>
              <w:jc w:val="left"/>
              <w:rPr>
                <w:rFonts w:ascii="Arial" w:hAnsi="Arial" w:cs="Arial"/>
                <w:color w:val="000000"/>
                <w:sz w:val="16"/>
                <w:szCs w:val="22"/>
              </w:rPr>
            </w:pPr>
            <w:r w:rsidRPr="00762F6A">
              <w:rPr>
                <w:rFonts w:ascii="Arial" w:hAnsi="Arial" w:cs="Arial"/>
                <w:color w:val="000000"/>
                <w:sz w:val="16"/>
                <w:szCs w:val="22"/>
              </w:rPr>
              <w:t>Exemption for public benevolent institutions (excluding hospitals)</w:t>
            </w:r>
          </w:p>
        </w:tc>
        <w:tc>
          <w:tcPr>
            <w:tcW w:w="625" w:type="pct"/>
            <w:tcBorders>
              <w:top w:val="nil"/>
              <w:left w:val="nil"/>
              <w:bottom w:val="nil"/>
              <w:right w:val="nil"/>
            </w:tcBorders>
            <w:shd w:val="clear" w:color="auto" w:fill="auto"/>
          </w:tcPr>
          <w:p w14:paraId="2086E39D" w14:textId="77777777" w:rsidR="009B57DC" w:rsidRPr="00762F6A" w:rsidRDefault="009B57DC" w:rsidP="00244B81">
            <w:pPr>
              <w:spacing w:before="40" w:after="40" w:line="240" w:lineRule="auto"/>
              <w:jc w:val="right"/>
              <w:rPr>
                <w:rFonts w:ascii="Arial" w:hAnsi="Arial" w:cs="Arial"/>
                <w:color w:val="000000"/>
                <w:sz w:val="16"/>
                <w:szCs w:val="22"/>
              </w:rPr>
            </w:pPr>
            <w:r>
              <w:rPr>
                <w:rFonts w:ascii="Arial" w:hAnsi="Arial" w:cs="Arial"/>
                <w:color w:val="000000"/>
                <w:sz w:val="16"/>
                <w:szCs w:val="22"/>
              </w:rPr>
              <w:t>1,550</w:t>
            </w:r>
          </w:p>
        </w:tc>
        <w:tc>
          <w:tcPr>
            <w:tcW w:w="625" w:type="pct"/>
            <w:tcBorders>
              <w:top w:val="nil"/>
              <w:left w:val="nil"/>
              <w:bottom w:val="nil"/>
              <w:right w:val="nil"/>
            </w:tcBorders>
            <w:shd w:val="clear" w:color="auto" w:fill="auto"/>
          </w:tcPr>
          <w:p w14:paraId="2086E39E" w14:textId="77777777" w:rsidR="009B57DC" w:rsidRPr="00762F6A" w:rsidRDefault="009B57DC" w:rsidP="00244B81">
            <w:pPr>
              <w:spacing w:before="40" w:after="40" w:line="240" w:lineRule="auto"/>
              <w:jc w:val="right"/>
              <w:rPr>
                <w:rFonts w:ascii="Arial" w:hAnsi="Arial" w:cs="Arial"/>
                <w:color w:val="000000"/>
                <w:sz w:val="16"/>
                <w:szCs w:val="22"/>
              </w:rPr>
            </w:pPr>
            <w:r w:rsidRPr="00762F6A">
              <w:rPr>
                <w:rFonts w:ascii="Arial" w:hAnsi="Arial" w:cs="Arial"/>
                <w:color w:val="000000"/>
                <w:sz w:val="16"/>
                <w:szCs w:val="22"/>
              </w:rPr>
              <w:t>n/a</w:t>
            </w:r>
          </w:p>
        </w:tc>
      </w:tr>
      <w:tr w:rsidR="009B57DC" w:rsidRPr="00762F6A" w14:paraId="2086E3A4" w14:textId="77777777" w:rsidTr="00CF69E5">
        <w:trPr>
          <w:trHeight w:val="270"/>
        </w:trPr>
        <w:tc>
          <w:tcPr>
            <w:tcW w:w="407" w:type="pct"/>
            <w:tcBorders>
              <w:top w:val="nil"/>
              <w:left w:val="nil"/>
              <w:bottom w:val="nil"/>
              <w:right w:val="nil"/>
            </w:tcBorders>
            <w:shd w:val="clear" w:color="auto" w:fill="auto"/>
          </w:tcPr>
          <w:p w14:paraId="2086E3A0" w14:textId="77777777" w:rsidR="009B57DC" w:rsidRPr="00762F6A" w:rsidRDefault="009B57DC" w:rsidP="00244B81">
            <w:pPr>
              <w:spacing w:before="40" w:after="40" w:line="240" w:lineRule="auto"/>
              <w:rPr>
                <w:rFonts w:ascii="Arial" w:hAnsi="Arial" w:cs="Arial"/>
                <w:color w:val="000000"/>
                <w:sz w:val="16"/>
                <w:szCs w:val="22"/>
              </w:rPr>
            </w:pPr>
            <w:r w:rsidRPr="00762F6A">
              <w:rPr>
                <w:rFonts w:ascii="Arial" w:hAnsi="Arial" w:cs="Arial"/>
                <w:color w:val="000000"/>
                <w:sz w:val="16"/>
                <w:szCs w:val="22"/>
              </w:rPr>
              <w:t>D10</w:t>
            </w:r>
          </w:p>
        </w:tc>
        <w:tc>
          <w:tcPr>
            <w:tcW w:w="3343" w:type="pct"/>
            <w:tcBorders>
              <w:top w:val="nil"/>
              <w:left w:val="nil"/>
              <w:bottom w:val="nil"/>
              <w:right w:val="nil"/>
            </w:tcBorders>
            <w:shd w:val="clear" w:color="auto" w:fill="auto"/>
          </w:tcPr>
          <w:p w14:paraId="2086E3A1" w14:textId="77777777" w:rsidR="009B57DC" w:rsidRPr="00762F6A" w:rsidRDefault="009B57DC" w:rsidP="00244B81">
            <w:pPr>
              <w:spacing w:before="40" w:after="40" w:line="240" w:lineRule="auto"/>
              <w:jc w:val="left"/>
              <w:rPr>
                <w:rFonts w:ascii="Arial" w:hAnsi="Arial" w:cs="Arial"/>
                <w:color w:val="000000"/>
                <w:sz w:val="16"/>
                <w:szCs w:val="22"/>
              </w:rPr>
            </w:pPr>
            <w:r w:rsidRPr="00762F6A">
              <w:rPr>
                <w:rFonts w:ascii="Arial" w:hAnsi="Arial" w:cs="Arial"/>
                <w:color w:val="000000"/>
                <w:sz w:val="16"/>
                <w:szCs w:val="22"/>
              </w:rPr>
              <w:t>Exemption for public and not</w:t>
            </w:r>
            <w:r w:rsidRPr="00762F6A">
              <w:rPr>
                <w:rFonts w:ascii="Arial" w:hAnsi="Arial" w:cs="Arial"/>
                <w:color w:val="000000"/>
                <w:sz w:val="16"/>
                <w:szCs w:val="22"/>
              </w:rPr>
              <w:noBreakHyphen/>
              <w:t>for</w:t>
            </w:r>
            <w:r w:rsidRPr="00762F6A">
              <w:rPr>
                <w:rFonts w:ascii="Arial" w:hAnsi="Arial" w:cs="Arial"/>
                <w:color w:val="000000"/>
                <w:sz w:val="16"/>
                <w:szCs w:val="22"/>
              </w:rPr>
              <w:noBreakHyphen/>
              <w:t>profit hospitals and public ambulance services</w:t>
            </w:r>
          </w:p>
        </w:tc>
        <w:tc>
          <w:tcPr>
            <w:tcW w:w="625" w:type="pct"/>
            <w:tcBorders>
              <w:top w:val="nil"/>
              <w:left w:val="nil"/>
              <w:bottom w:val="nil"/>
              <w:right w:val="nil"/>
            </w:tcBorders>
            <w:shd w:val="clear" w:color="auto" w:fill="auto"/>
          </w:tcPr>
          <w:p w14:paraId="2086E3A2" w14:textId="77777777" w:rsidR="009B57DC" w:rsidRPr="00762F6A" w:rsidRDefault="009B57DC" w:rsidP="00244B81">
            <w:pPr>
              <w:spacing w:before="40" w:after="40" w:line="240" w:lineRule="auto"/>
              <w:jc w:val="right"/>
              <w:rPr>
                <w:rFonts w:ascii="Arial" w:hAnsi="Arial" w:cs="Arial"/>
                <w:color w:val="000000"/>
                <w:sz w:val="16"/>
                <w:szCs w:val="22"/>
              </w:rPr>
            </w:pPr>
            <w:r>
              <w:rPr>
                <w:rFonts w:ascii="Arial" w:hAnsi="Arial" w:cs="Arial"/>
                <w:color w:val="000000"/>
                <w:sz w:val="16"/>
                <w:szCs w:val="22"/>
              </w:rPr>
              <w:t>1,450</w:t>
            </w:r>
          </w:p>
        </w:tc>
        <w:tc>
          <w:tcPr>
            <w:tcW w:w="625" w:type="pct"/>
            <w:tcBorders>
              <w:top w:val="nil"/>
              <w:left w:val="nil"/>
              <w:bottom w:val="nil"/>
              <w:right w:val="nil"/>
            </w:tcBorders>
            <w:shd w:val="clear" w:color="auto" w:fill="auto"/>
          </w:tcPr>
          <w:p w14:paraId="2086E3A3" w14:textId="77777777" w:rsidR="009B57DC" w:rsidRPr="00762F6A" w:rsidRDefault="009B57DC" w:rsidP="00244B81">
            <w:pPr>
              <w:spacing w:before="40" w:after="40" w:line="240" w:lineRule="auto"/>
              <w:jc w:val="right"/>
              <w:rPr>
                <w:rFonts w:ascii="Arial" w:hAnsi="Arial" w:cs="Arial"/>
                <w:color w:val="000000"/>
                <w:sz w:val="16"/>
                <w:szCs w:val="22"/>
              </w:rPr>
            </w:pPr>
            <w:r w:rsidRPr="00762F6A">
              <w:rPr>
                <w:rFonts w:ascii="Arial" w:hAnsi="Arial" w:cs="Arial"/>
                <w:color w:val="000000"/>
                <w:sz w:val="16"/>
                <w:szCs w:val="22"/>
              </w:rPr>
              <w:t>n/a</w:t>
            </w:r>
          </w:p>
        </w:tc>
      </w:tr>
      <w:tr w:rsidR="009B57DC" w:rsidRPr="00762F6A" w14:paraId="2086E3A9" w14:textId="77777777" w:rsidTr="00CF69E5">
        <w:trPr>
          <w:trHeight w:val="270"/>
        </w:trPr>
        <w:tc>
          <w:tcPr>
            <w:tcW w:w="407" w:type="pct"/>
            <w:tcBorders>
              <w:top w:val="nil"/>
              <w:left w:val="nil"/>
              <w:bottom w:val="nil"/>
              <w:right w:val="nil"/>
            </w:tcBorders>
            <w:shd w:val="clear" w:color="auto" w:fill="auto"/>
          </w:tcPr>
          <w:p w14:paraId="2086E3A5" w14:textId="77777777" w:rsidR="009B57DC" w:rsidRPr="00762F6A" w:rsidRDefault="009B57DC" w:rsidP="00244B81">
            <w:pPr>
              <w:spacing w:before="40" w:after="40" w:line="240" w:lineRule="auto"/>
              <w:rPr>
                <w:rFonts w:ascii="Arial" w:hAnsi="Arial" w:cs="Arial"/>
                <w:color w:val="000000"/>
                <w:sz w:val="16"/>
                <w:szCs w:val="22"/>
              </w:rPr>
            </w:pPr>
            <w:r w:rsidRPr="00762F6A">
              <w:rPr>
                <w:rFonts w:ascii="Arial" w:hAnsi="Arial" w:cs="Arial"/>
                <w:color w:val="000000"/>
                <w:sz w:val="16"/>
                <w:szCs w:val="22"/>
              </w:rPr>
              <w:t>H5</w:t>
            </w:r>
          </w:p>
        </w:tc>
        <w:tc>
          <w:tcPr>
            <w:tcW w:w="3343" w:type="pct"/>
            <w:tcBorders>
              <w:top w:val="nil"/>
              <w:left w:val="nil"/>
              <w:bottom w:val="nil"/>
              <w:right w:val="nil"/>
            </w:tcBorders>
            <w:shd w:val="clear" w:color="auto" w:fill="auto"/>
          </w:tcPr>
          <w:p w14:paraId="2086E3A6" w14:textId="77777777" w:rsidR="009B57DC" w:rsidRPr="00762F6A" w:rsidRDefault="009B57DC" w:rsidP="00244B81">
            <w:pPr>
              <w:spacing w:before="40" w:after="40" w:line="240" w:lineRule="auto"/>
              <w:jc w:val="left"/>
              <w:rPr>
                <w:rFonts w:ascii="Arial" w:hAnsi="Arial" w:cs="Arial"/>
                <w:color w:val="000000"/>
                <w:sz w:val="16"/>
                <w:szCs w:val="22"/>
              </w:rPr>
            </w:pPr>
            <w:r w:rsidRPr="00762F6A">
              <w:rPr>
                <w:rFonts w:ascii="Arial" w:hAnsi="Arial" w:cs="Arial"/>
                <w:color w:val="000000"/>
                <w:sz w:val="16"/>
                <w:szCs w:val="22"/>
              </w:rPr>
              <w:t>Child care services</w:t>
            </w:r>
          </w:p>
        </w:tc>
        <w:tc>
          <w:tcPr>
            <w:tcW w:w="625" w:type="pct"/>
            <w:tcBorders>
              <w:top w:val="nil"/>
              <w:left w:val="nil"/>
              <w:bottom w:val="nil"/>
              <w:right w:val="nil"/>
            </w:tcBorders>
            <w:shd w:val="clear" w:color="auto" w:fill="auto"/>
          </w:tcPr>
          <w:p w14:paraId="2086E3A7" w14:textId="77777777" w:rsidR="009B57DC" w:rsidRPr="00762F6A" w:rsidRDefault="009B57DC" w:rsidP="00244B81">
            <w:pPr>
              <w:spacing w:before="40" w:after="40" w:line="240" w:lineRule="auto"/>
              <w:jc w:val="right"/>
              <w:rPr>
                <w:rFonts w:ascii="Arial" w:hAnsi="Arial" w:cs="Arial"/>
                <w:color w:val="000000"/>
                <w:sz w:val="16"/>
                <w:szCs w:val="22"/>
              </w:rPr>
            </w:pPr>
            <w:r>
              <w:rPr>
                <w:rFonts w:ascii="Arial" w:hAnsi="Arial" w:cs="Arial"/>
                <w:color w:val="000000"/>
                <w:sz w:val="16"/>
                <w:szCs w:val="22"/>
              </w:rPr>
              <w:t>1,430</w:t>
            </w:r>
          </w:p>
        </w:tc>
        <w:tc>
          <w:tcPr>
            <w:tcW w:w="625" w:type="pct"/>
            <w:tcBorders>
              <w:top w:val="nil"/>
              <w:left w:val="nil"/>
              <w:bottom w:val="nil"/>
              <w:right w:val="nil"/>
            </w:tcBorders>
            <w:shd w:val="clear" w:color="auto" w:fill="auto"/>
          </w:tcPr>
          <w:p w14:paraId="2086E3A8" w14:textId="77777777" w:rsidR="009B57DC" w:rsidRPr="00762F6A" w:rsidRDefault="009B57DC" w:rsidP="00244B81">
            <w:pPr>
              <w:spacing w:before="40" w:after="40" w:line="240" w:lineRule="auto"/>
              <w:jc w:val="right"/>
              <w:rPr>
                <w:rFonts w:ascii="Arial" w:hAnsi="Arial" w:cs="Arial"/>
                <w:color w:val="000000"/>
                <w:sz w:val="16"/>
                <w:szCs w:val="22"/>
              </w:rPr>
            </w:pPr>
            <w:r w:rsidRPr="00762F6A">
              <w:rPr>
                <w:rFonts w:ascii="Arial" w:hAnsi="Arial" w:cs="Arial"/>
                <w:color w:val="000000"/>
                <w:sz w:val="16"/>
                <w:szCs w:val="22"/>
              </w:rPr>
              <w:t>n/a</w:t>
            </w:r>
          </w:p>
        </w:tc>
      </w:tr>
      <w:tr w:rsidR="009B57DC" w:rsidRPr="00762F6A" w14:paraId="2086E3AE" w14:textId="77777777" w:rsidTr="00CF69E5">
        <w:trPr>
          <w:trHeight w:val="270"/>
        </w:trPr>
        <w:tc>
          <w:tcPr>
            <w:tcW w:w="407" w:type="pct"/>
            <w:tcBorders>
              <w:top w:val="nil"/>
              <w:left w:val="nil"/>
              <w:bottom w:val="nil"/>
              <w:right w:val="nil"/>
            </w:tcBorders>
            <w:shd w:val="clear" w:color="auto" w:fill="auto"/>
          </w:tcPr>
          <w:p w14:paraId="2086E3AA"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A</w:t>
            </w:r>
            <w:r>
              <w:rPr>
                <w:rFonts w:ascii="Arial" w:hAnsi="Arial" w:cs="Arial"/>
                <w:color w:val="000000"/>
                <w:sz w:val="16"/>
                <w:szCs w:val="16"/>
              </w:rPr>
              <w:t>5</w:t>
            </w:r>
            <w:r w:rsidRPr="00762F6A">
              <w:rPr>
                <w:rFonts w:ascii="Arial" w:hAnsi="Arial" w:cs="Arial"/>
                <w:color w:val="000000"/>
                <w:sz w:val="16"/>
                <w:szCs w:val="16"/>
              </w:rPr>
              <w:t>4</w:t>
            </w:r>
          </w:p>
        </w:tc>
        <w:tc>
          <w:tcPr>
            <w:tcW w:w="3343" w:type="pct"/>
            <w:tcBorders>
              <w:top w:val="nil"/>
              <w:left w:val="nil"/>
              <w:bottom w:val="nil"/>
              <w:right w:val="nil"/>
            </w:tcBorders>
            <w:shd w:val="clear" w:color="auto" w:fill="auto"/>
          </w:tcPr>
          <w:p w14:paraId="2086E3AB" w14:textId="77777777" w:rsidR="009B57DC" w:rsidRPr="00762F6A" w:rsidRDefault="009B57DC" w:rsidP="00244B81">
            <w:pPr>
              <w:spacing w:before="40" w:after="40" w:line="240" w:lineRule="auto"/>
              <w:jc w:val="left"/>
              <w:rPr>
                <w:rFonts w:ascii="Arial" w:hAnsi="Arial" w:cs="Arial"/>
                <w:color w:val="000000"/>
                <w:sz w:val="16"/>
                <w:szCs w:val="16"/>
              </w:rPr>
            </w:pPr>
            <w:r w:rsidRPr="00762F6A">
              <w:rPr>
                <w:rFonts w:ascii="Arial" w:hAnsi="Arial" w:cs="Arial"/>
                <w:color w:val="000000"/>
                <w:sz w:val="16"/>
                <w:szCs w:val="16"/>
              </w:rPr>
              <w:t>Philanthropy — deduction for gifts to deductible gift recipients</w:t>
            </w:r>
          </w:p>
        </w:tc>
        <w:tc>
          <w:tcPr>
            <w:tcW w:w="625" w:type="pct"/>
            <w:tcBorders>
              <w:top w:val="nil"/>
              <w:left w:val="nil"/>
              <w:bottom w:val="nil"/>
              <w:right w:val="nil"/>
            </w:tcBorders>
            <w:shd w:val="clear" w:color="auto" w:fill="auto"/>
          </w:tcPr>
          <w:p w14:paraId="2086E3AC"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1,310</w:t>
            </w:r>
          </w:p>
        </w:tc>
        <w:tc>
          <w:tcPr>
            <w:tcW w:w="625" w:type="pct"/>
            <w:tcBorders>
              <w:top w:val="nil"/>
              <w:left w:val="nil"/>
              <w:bottom w:val="nil"/>
              <w:right w:val="nil"/>
            </w:tcBorders>
            <w:shd w:val="clear" w:color="auto" w:fill="auto"/>
          </w:tcPr>
          <w:p w14:paraId="2086E3AD" w14:textId="77777777" w:rsidR="009B57DC" w:rsidRPr="00762F6A" w:rsidRDefault="009B57DC" w:rsidP="00244B81">
            <w:pPr>
              <w:spacing w:before="40" w:after="40" w:line="240" w:lineRule="auto"/>
              <w:jc w:val="right"/>
              <w:rPr>
                <w:rFonts w:ascii="Arial" w:hAnsi="Arial" w:cs="Arial"/>
                <w:color w:val="000000"/>
                <w:sz w:val="16"/>
                <w:szCs w:val="16"/>
              </w:rPr>
            </w:pPr>
            <w:r w:rsidRPr="00762F6A">
              <w:rPr>
                <w:rFonts w:ascii="Arial" w:hAnsi="Arial" w:cs="Arial"/>
                <w:color w:val="000000"/>
                <w:sz w:val="16"/>
                <w:szCs w:val="16"/>
              </w:rPr>
              <w:t>n/a</w:t>
            </w:r>
          </w:p>
        </w:tc>
      </w:tr>
      <w:tr w:rsidR="009B57DC" w:rsidRPr="00762F6A" w14:paraId="2086E3B3" w14:textId="77777777" w:rsidTr="00CF69E5">
        <w:trPr>
          <w:trHeight w:val="270"/>
        </w:trPr>
        <w:tc>
          <w:tcPr>
            <w:tcW w:w="407" w:type="pct"/>
            <w:tcBorders>
              <w:top w:val="nil"/>
              <w:left w:val="nil"/>
              <w:bottom w:val="nil"/>
              <w:right w:val="nil"/>
            </w:tcBorders>
            <w:shd w:val="clear" w:color="auto" w:fill="auto"/>
          </w:tcPr>
          <w:p w14:paraId="2086E3AF"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F7</w:t>
            </w:r>
          </w:p>
        </w:tc>
        <w:tc>
          <w:tcPr>
            <w:tcW w:w="3343" w:type="pct"/>
            <w:tcBorders>
              <w:top w:val="nil"/>
              <w:left w:val="nil"/>
              <w:bottom w:val="nil"/>
              <w:right w:val="nil"/>
            </w:tcBorders>
            <w:shd w:val="clear" w:color="auto" w:fill="auto"/>
          </w:tcPr>
          <w:p w14:paraId="2086E3B0" w14:textId="77777777" w:rsidR="009B57DC" w:rsidRPr="00762F6A" w:rsidRDefault="009B57DC" w:rsidP="00244B81">
            <w:pPr>
              <w:spacing w:before="40" w:after="40" w:line="240" w:lineRule="auto"/>
              <w:jc w:val="left"/>
              <w:rPr>
                <w:rFonts w:ascii="Arial" w:hAnsi="Arial" w:cs="Arial"/>
                <w:color w:val="000000"/>
                <w:sz w:val="16"/>
                <w:szCs w:val="16"/>
              </w:rPr>
            </w:pPr>
            <w:r w:rsidRPr="00762F6A">
              <w:rPr>
                <w:rFonts w:ascii="Arial" w:hAnsi="Arial" w:cs="Arial"/>
                <w:color w:val="000000"/>
                <w:sz w:val="16"/>
                <w:szCs w:val="16"/>
              </w:rPr>
              <w:t>Concessional rate of excise levied on aviation gasoline and aviation turbine fuel</w:t>
            </w:r>
          </w:p>
        </w:tc>
        <w:tc>
          <w:tcPr>
            <w:tcW w:w="625" w:type="pct"/>
            <w:tcBorders>
              <w:top w:val="nil"/>
              <w:left w:val="nil"/>
              <w:bottom w:val="nil"/>
              <w:right w:val="nil"/>
            </w:tcBorders>
            <w:shd w:val="clear" w:color="auto" w:fill="auto"/>
          </w:tcPr>
          <w:p w14:paraId="2086E3B1"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1,250</w:t>
            </w:r>
          </w:p>
        </w:tc>
        <w:tc>
          <w:tcPr>
            <w:tcW w:w="625" w:type="pct"/>
            <w:tcBorders>
              <w:top w:val="nil"/>
              <w:left w:val="nil"/>
              <w:bottom w:val="nil"/>
              <w:right w:val="nil"/>
            </w:tcBorders>
            <w:shd w:val="clear" w:color="auto" w:fill="auto"/>
          </w:tcPr>
          <w:p w14:paraId="2086E3B2" w14:textId="77777777" w:rsidR="009B57DC" w:rsidRPr="00762F6A" w:rsidRDefault="009B57DC" w:rsidP="00244B81">
            <w:pPr>
              <w:spacing w:before="40" w:after="40" w:line="240" w:lineRule="auto"/>
              <w:jc w:val="right"/>
              <w:rPr>
                <w:rFonts w:ascii="Arial" w:hAnsi="Arial" w:cs="Arial"/>
                <w:color w:val="000000"/>
                <w:sz w:val="16"/>
                <w:szCs w:val="16"/>
              </w:rPr>
            </w:pPr>
            <w:r w:rsidRPr="00762F6A">
              <w:rPr>
                <w:rFonts w:ascii="Arial" w:hAnsi="Arial" w:cs="Arial"/>
                <w:color w:val="000000"/>
                <w:sz w:val="16"/>
                <w:szCs w:val="16"/>
              </w:rPr>
              <w:t>n/a</w:t>
            </w:r>
          </w:p>
        </w:tc>
      </w:tr>
      <w:tr w:rsidR="009B57DC" w:rsidRPr="00762F6A" w14:paraId="2086E3B8" w14:textId="77777777" w:rsidTr="00CF69E5">
        <w:trPr>
          <w:trHeight w:val="270"/>
        </w:trPr>
        <w:tc>
          <w:tcPr>
            <w:tcW w:w="407" w:type="pct"/>
            <w:tcBorders>
              <w:top w:val="nil"/>
              <w:left w:val="nil"/>
              <w:bottom w:val="nil"/>
              <w:right w:val="nil"/>
            </w:tcBorders>
            <w:shd w:val="clear" w:color="auto" w:fill="auto"/>
          </w:tcPr>
          <w:p w14:paraId="2086E3B4"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B73</w:t>
            </w:r>
          </w:p>
        </w:tc>
        <w:tc>
          <w:tcPr>
            <w:tcW w:w="3343" w:type="pct"/>
            <w:tcBorders>
              <w:top w:val="nil"/>
              <w:left w:val="nil"/>
              <w:bottom w:val="nil"/>
              <w:right w:val="nil"/>
            </w:tcBorders>
            <w:shd w:val="clear" w:color="auto" w:fill="auto"/>
          </w:tcPr>
          <w:p w14:paraId="2086E3B5" w14:textId="77777777" w:rsidR="009B57DC" w:rsidRPr="00762F6A" w:rsidRDefault="009B57DC" w:rsidP="00244B81">
            <w:pPr>
              <w:spacing w:before="40" w:after="40" w:line="240" w:lineRule="auto"/>
              <w:jc w:val="left"/>
              <w:rPr>
                <w:rFonts w:ascii="Arial" w:hAnsi="Arial" w:cs="Arial"/>
                <w:color w:val="000000"/>
                <w:sz w:val="16"/>
                <w:szCs w:val="16"/>
              </w:rPr>
            </w:pPr>
            <w:r w:rsidRPr="00762F6A">
              <w:rPr>
                <w:rFonts w:ascii="Arial" w:hAnsi="Arial" w:cs="Arial"/>
                <w:color w:val="000000"/>
                <w:sz w:val="16"/>
                <w:szCs w:val="16"/>
              </w:rPr>
              <w:t>Capital works expenditure deduction</w:t>
            </w:r>
          </w:p>
        </w:tc>
        <w:tc>
          <w:tcPr>
            <w:tcW w:w="625" w:type="pct"/>
            <w:tcBorders>
              <w:top w:val="nil"/>
              <w:left w:val="nil"/>
              <w:bottom w:val="nil"/>
              <w:right w:val="nil"/>
            </w:tcBorders>
            <w:shd w:val="clear" w:color="auto" w:fill="auto"/>
          </w:tcPr>
          <w:p w14:paraId="2086E3B6"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1,165</w:t>
            </w:r>
          </w:p>
        </w:tc>
        <w:tc>
          <w:tcPr>
            <w:tcW w:w="625" w:type="pct"/>
            <w:tcBorders>
              <w:top w:val="nil"/>
              <w:left w:val="nil"/>
              <w:bottom w:val="nil"/>
              <w:right w:val="nil"/>
            </w:tcBorders>
            <w:shd w:val="clear" w:color="auto" w:fill="auto"/>
          </w:tcPr>
          <w:p w14:paraId="2086E3B7" w14:textId="77777777" w:rsidR="009B57DC" w:rsidRPr="00762F6A" w:rsidRDefault="009B57DC" w:rsidP="00244B81">
            <w:pPr>
              <w:spacing w:before="40" w:after="40" w:line="240" w:lineRule="auto"/>
              <w:jc w:val="right"/>
              <w:rPr>
                <w:rFonts w:ascii="Arial" w:hAnsi="Arial" w:cs="Arial"/>
                <w:color w:val="000000"/>
                <w:sz w:val="16"/>
                <w:szCs w:val="16"/>
              </w:rPr>
            </w:pPr>
            <w:r w:rsidRPr="00762F6A">
              <w:rPr>
                <w:rFonts w:ascii="Arial" w:hAnsi="Arial" w:cs="Arial"/>
                <w:color w:val="000000"/>
                <w:sz w:val="16"/>
                <w:szCs w:val="16"/>
              </w:rPr>
              <w:t>n/a</w:t>
            </w:r>
          </w:p>
        </w:tc>
      </w:tr>
      <w:tr w:rsidR="009B57DC" w:rsidRPr="00762F6A" w14:paraId="2086E3BD" w14:textId="77777777" w:rsidTr="00CF69E5">
        <w:trPr>
          <w:trHeight w:val="270"/>
        </w:trPr>
        <w:tc>
          <w:tcPr>
            <w:tcW w:w="407" w:type="pct"/>
            <w:tcBorders>
              <w:top w:val="nil"/>
              <w:left w:val="nil"/>
              <w:bottom w:val="nil"/>
              <w:right w:val="nil"/>
            </w:tcBorders>
            <w:shd w:val="clear" w:color="auto" w:fill="auto"/>
          </w:tcPr>
          <w:p w14:paraId="2086E3B9"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H20</w:t>
            </w:r>
          </w:p>
        </w:tc>
        <w:tc>
          <w:tcPr>
            <w:tcW w:w="3343" w:type="pct"/>
            <w:tcBorders>
              <w:top w:val="nil"/>
              <w:left w:val="nil"/>
              <w:bottom w:val="nil"/>
              <w:right w:val="nil"/>
            </w:tcBorders>
            <w:shd w:val="clear" w:color="auto" w:fill="auto"/>
          </w:tcPr>
          <w:p w14:paraId="2086E3BA" w14:textId="77777777" w:rsidR="009B57DC" w:rsidRPr="00762F6A" w:rsidRDefault="009B57DC" w:rsidP="00244B81">
            <w:pPr>
              <w:spacing w:before="40" w:after="40" w:line="240" w:lineRule="auto"/>
              <w:jc w:val="left"/>
              <w:rPr>
                <w:rFonts w:ascii="Arial" w:hAnsi="Arial" w:cs="Arial"/>
                <w:color w:val="000000"/>
                <w:sz w:val="16"/>
                <w:szCs w:val="16"/>
              </w:rPr>
            </w:pPr>
            <w:r w:rsidRPr="00762F6A">
              <w:rPr>
                <w:rFonts w:ascii="Arial" w:hAnsi="Arial" w:cs="Arial"/>
                <w:color w:val="000000"/>
                <w:sz w:val="16"/>
                <w:szCs w:val="16"/>
              </w:rPr>
              <w:t>Health — residential care, community care and other care services</w:t>
            </w:r>
          </w:p>
        </w:tc>
        <w:tc>
          <w:tcPr>
            <w:tcW w:w="625" w:type="pct"/>
            <w:tcBorders>
              <w:top w:val="nil"/>
              <w:left w:val="nil"/>
              <w:bottom w:val="nil"/>
              <w:right w:val="nil"/>
            </w:tcBorders>
            <w:shd w:val="clear" w:color="auto" w:fill="auto"/>
          </w:tcPr>
          <w:p w14:paraId="2086E3BB"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1,150</w:t>
            </w:r>
          </w:p>
        </w:tc>
        <w:tc>
          <w:tcPr>
            <w:tcW w:w="625" w:type="pct"/>
            <w:tcBorders>
              <w:top w:val="nil"/>
              <w:left w:val="nil"/>
              <w:bottom w:val="nil"/>
              <w:right w:val="nil"/>
            </w:tcBorders>
            <w:shd w:val="clear" w:color="auto" w:fill="auto"/>
          </w:tcPr>
          <w:p w14:paraId="2086E3BC" w14:textId="77777777" w:rsidR="009B57DC" w:rsidRPr="00762F6A" w:rsidRDefault="009B57DC" w:rsidP="00244B81">
            <w:pPr>
              <w:spacing w:before="40" w:after="40" w:line="240" w:lineRule="auto"/>
              <w:jc w:val="right"/>
              <w:rPr>
                <w:rFonts w:ascii="Arial" w:hAnsi="Arial" w:cs="Arial"/>
                <w:color w:val="000000"/>
                <w:sz w:val="16"/>
                <w:szCs w:val="16"/>
              </w:rPr>
            </w:pPr>
            <w:r w:rsidRPr="00762F6A">
              <w:rPr>
                <w:rFonts w:ascii="Arial" w:hAnsi="Arial" w:cs="Arial"/>
                <w:color w:val="000000"/>
                <w:sz w:val="16"/>
                <w:szCs w:val="16"/>
              </w:rPr>
              <w:t>n/a</w:t>
            </w:r>
          </w:p>
        </w:tc>
      </w:tr>
      <w:tr w:rsidR="009B57DC" w:rsidRPr="00762F6A" w14:paraId="2086E3C2" w14:textId="77777777" w:rsidTr="00CF69E5">
        <w:trPr>
          <w:trHeight w:val="270"/>
        </w:trPr>
        <w:tc>
          <w:tcPr>
            <w:tcW w:w="407" w:type="pct"/>
            <w:tcBorders>
              <w:top w:val="nil"/>
              <w:left w:val="nil"/>
              <w:bottom w:val="nil"/>
              <w:right w:val="nil"/>
            </w:tcBorders>
            <w:shd w:val="clear" w:color="auto" w:fill="auto"/>
          </w:tcPr>
          <w:p w14:paraId="2086E3BE" w14:textId="77777777" w:rsidR="009B57DC" w:rsidRPr="00762F6A" w:rsidRDefault="009B57DC" w:rsidP="00244B81">
            <w:pPr>
              <w:spacing w:before="40" w:after="40" w:line="240" w:lineRule="auto"/>
              <w:rPr>
                <w:rFonts w:ascii="Arial" w:hAnsi="Arial" w:cs="Arial"/>
                <w:color w:val="000000"/>
                <w:sz w:val="16"/>
                <w:szCs w:val="16"/>
              </w:rPr>
            </w:pPr>
            <w:r>
              <w:rPr>
                <w:rFonts w:ascii="Arial" w:hAnsi="Arial" w:cs="Arial"/>
                <w:color w:val="000000"/>
                <w:sz w:val="16"/>
                <w:szCs w:val="16"/>
              </w:rPr>
              <w:t>B50</w:t>
            </w:r>
          </w:p>
        </w:tc>
        <w:tc>
          <w:tcPr>
            <w:tcW w:w="3343" w:type="pct"/>
            <w:tcBorders>
              <w:top w:val="nil"/>
              <w:left w:val="nil"/>
              <w:bottom w:val="nil"/>
              <w:right w:val="nil"/>
            </w:tcBorders>
            <w:shd w:val="clear" w:color="auto" w:fill="auto"/>
          </w:tcPr>
          <w:p w14:paraId="2086E3BF" w14:textId="77777777" w:rsidR="009B57DC" w:rsidRPr="00762F6A" w:rsidRDefault="009B57DC" w:rsidP="00244B81">
            <w:pPr>
              <w:spacing w:before="40" w:after="40" w:line="240" w:lineRule="auto"/>
              <w:jc w:val="left"/>
              <w:rPr>
                <w:rFonts w:ascii="Arial" w:hAnsi="Arial" w:cs="Arial"/>
                <w:color w:val="000000"/>
                <w:sz w:val="16"/>
                <w:szCs w:val="16"/>
              </w:rPr>
            </w:pPr>
            <w:r>
              <w:rPr>
                <w:rFonts w:ascii="Arial" w:hAnsi="Arial" w:cs="Arial"/>
                <w:color w:val="000000"/>
                <w:sz w:val="16"/>
                <w:szCs w:val="16"/>
              </w:rPr>
              <w:t>Lower company tax rate</w:t>
            </w:r>
          </w:p>
        </w:tc>
        <w:tc>
          <w:tcPr>
            <w:tcW w:w="625" w:type="pct"/>
            <w:tcBorders>
              <w:top w:val="nil"/>
              <w:left w:val="nil"/>
              <w:bottom w:val="nil"/>
              <w:right w:val="nil"/>
            </w:tcBorders>
            <w:shd w:val="clear" w:color="auto" w:fill="auto"/>
          </w:tcPr>
          <w:p w14:paraId="2086E3C0"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1,100</w:t>
            </w:r>
          </w:p>
        </w:tc>
        <w:tc>
          <w:tcPr>
            <w:tcW w:w="625" w:type="pct"/>
            <w:tcBorders>
              <w:top w:val="nil"/>
              <w:left w:val="nil"/>
              <w:bottom w:val="nil"/>
              <w:right w:val="nil"/>
            </w:tcBorders>
            <w:shd w:val="clear" w:color="auto" w:fill="auto"/>
          </w:tcPr>
          <w:p w14:paraId="2086E3C1" w14:textId="77777777" w:rsidR="009B57DC" w:rsidRPr="00762F6A" w:rsidRDefault="009B57DC" w:rsidP="00244B81">
            <w:pPr>
              <w:spacing w:before="40" w:after="40" w:line="240" w:lineRule="auto"/>
              <w:jc w:val="right"/>
              <w:rPr>
                <w:rFonts w:ascii="Arial" w:hAnsi="Arial" w:cs="Arial"/>
                <w:color w:val="000000"/>
                <w:sz w:val="16"/>
                <w:szCs w:val="16"/>
              </w:rPr>
            </w:pPr>
            <w:r w:rsidRPr="00762F6A">
              <w:rPr>
                <w:rFonts w:ascii="Arial" w:hAnsi="Arial" w:cs="Arial"/>
                <w:color w:val="000000"/>
                <w:sz w:val="16"/>
                <w:szCs w:val="16"/>
              </w:rPr>
              <w:t>n/a</w:t>
            </w:r>
          </w:p>
        </w:tc>
      </w:tr>
      <w:tr w:rsidR="009B57DC" w:rsidRPr="00762F6A" w14:paraId="2086E3C7" w14:textId="77777777" w:rsidTr="00CF69E5">
        <w:trPr>
          <w:trHeight w:val="270"/>
        </w:trPr>
        <w:tc>
          <w:tcPr>
            <w:tcW w:w="407" w:type="pct"/>
            <w:tcBorders>
              <w:top w:val="nil"/>
              <w:left w:val="nil"/>
              <w:bottom w:val="nil"/>
              <w:right w:val="nil"/>
            </w:tcBorders>
            <w:shd w:val="clear" w:color="auto" w:fill="auto"/>
          </w:tcPr>
          <w:p w14:paraId="2086E3C3"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B7</w:t>
            </w:r>
            <w:r>
              <w:rPr>
                <w:rFonts w:ascii="Arial" w:hAnsi="Arial" w:cs="Arial"/>
                <w:color w:val="000000"/>
                <w:sz w:val="16"/>
                <w:szCs w:val="16"/>
              </w:rPr>
              <w:t>9</w:t>
            </w:r>
          </w:p>
        </w:tc>
        <w:tc>
          <w:tcPr>
            <w:tcW w:w="3343" w:type="pct"/>
            <w:tcBorders>
              <w:top w:val="nil"/>
              <w:left w:val="nil"/>
              <w:bottom w:val="nil"/>
              <w:right w:val="nil"/>
            </w:tcBorders>
            <w:shd w:val="clear" w:color="auto" w:fill="auto"/>
          </w:tcPr>
          <w:p w14:paraId="2086E3C4" w14:textId="77777777" w:rsidR="009B57DC" w:rsidRPr="00762F6A" w:rsidRDefault="009B57DC" w:rsidP="00244B81">
            <w:pPr>
              <w:spacing w:before="40" w:after="40" w:line="240" w:lineRule="auto"/>
              <w:jc w:val="left"/>
              <w:rPr>
                <w:rFonts w:ascii="Arial" w:hAnsi="Arial" w:cs="Arial"/>
                <w:color w:val="000000"/>
                <w:sz w:val="16"/>
                <w:szCs w:val="16"/>
              </w:rPr>
            </w:pPr>
            <w:r>
              <w:rPr>
                <w:rFonts w:ascii="Arial" w:hAnsi="Arial" w:cs="Arial"/>
                <w:color w:val="000000"/>
                <w:sz w:val="16"/>
                <w:szCs w:val="16"/>
              </w:rPr>
              <w:t>Small business simplified depreciation rules</w:t>
            </w:r>
          </w:p>
        </w:tc>
        <w:tc>
          <w:tcPr>
            <w:tcW w:w="625" w:type="pct"/>
            <w:tcBorders>
              <w:top w:val="nil"/>
              <w:left w:val="nil"/>
              <w:bottom w:val="nil"/>
              <w:right w:val="nil"/>
            </w:tcBorders>
            <w:shd w:val="clear" w:color="auto" w:fill="auto"/>
          </w:tcPr>
          <w:p w14:paraId="2086E3C5"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1,020</w:t>
            </w:r>
          </w:p>
        </w:tc>
        <w:tc>
          <w:tcPr>
            <w:tcW w:w="625" w:type="pct"/>
            <w:tcBorders>
              <w:top w:val="nil"/>
              <w:left w:val="nil"/>
              <w:bottom w:val="nil"/>
              <w:right w:val="nil"/>
            </w:tcBorders>
            <w:shd w:val="clear" w:color="auto" w:fill="auto"/>
          </w:tcPr>
          <w:p w14:paraId="2086E3C6" w14:textId="77777777" w:rsidR="009B57DC" w:rsidRPr="00762F6A" w:rsidRDefault="009B57DC" w:rsidP="00244B81">
            <w:pPr>
              <w:spacing w:before="40" w:after="40" w:line="240" w:lineRule="auto"/>
              <w:jc w:val="right"/>
              <w:rPr>
                <w:rFonts w:ascii="Arial" w:hAnsi="Arial" w:cs="Arial"/>
                <w:color w:val="000000"/>
                <w:sz w:val="16"/>
                <w:szCs w:val="16"/>
              </w:rPr>
            </w:pPr>
            <w:r w:rsidRPr="00762F6A">
              <w:rPr>
                <w:rFonts w:ascii="Arial" w:hAnsi="Arial" w:cs="Arial"/>
                <w:color w:val="000000"/>
                <w:sz w:val="16"/>
                <w:szCs w:val="16"/>
              </w:rPr>
              <w:t>n/a</w:t>
            </w:r>
          </w:p>
        </w:tc>
      </w:tr>
      <w:tr w:rsidR="009B57DC" w:rsidRPr="00762F6A" w14:paraId="2086E3C9" w14:textId="77777777" w:rsidTr="00CF69E5">
        <w:trPr>
          <w:trHeight w:val="270"/>
        </w:trPr>
        <w:tc>
          <w:tcPr>
            <w:tcW w:w="5000" w:type="pct"/>
            <w:gridSpan w:val="4"/>
            <w:tcBorders>
              <w:top w:val="nil"/>
              <w:left w:val="nil"/>
              <w:bottom w:val="nil"/>
              <w:right w:val="nil"/>
            </w:tcBorders>
            <w:shd w:val="clear" w:color="auto" w:fill="auto"/>
            <w:vAlign w:val="center"/>
          </w:tcPr>
          <w:p w14:paraId="2086E3C8" w14:textId="77777777" w:rsidR="009B57DC" w:rsidRPr="00762F6A" w:rsidRDefault="009B57DC" w:rsidP="00244B81">
            <w:pPr>
              <w:pStyle w:val="TableColumnHeadingLeft"/>
            </w:pPr>
            <w:r w:rsidRPr="00762F6A">
              <w:t>Large negative tax expenditures</w:t>
            </w:r>
          </w:p>
        </w:tc>
      </w:tr>
      <w:tr w:rsidR="009B57DC" w:rsidRPr="00762F6A" w14:paraId="2086E3CE" w14:textId="77777777" w:rsidTr="00CF69E5">
        <w:trPr>
          <w:trHeight w:val="270"/>
        </w:trPr>
        <w:tc>
          <w:tcPr>
            <w:tcW w:w="407" w:type="pct"/>
            <w:tcBorders>
              <w:top w:val="nil"/>
              <w:left w:val="nil"/>
              <w:bottom w:val="nil"/>
              <w:right w:val="nil"/>
            </w:tcBorders>
            <w:shd w:val="clear" w:color="auto" w:fill="auto"/>
          </w:tcPr>
          <w:p w14:paraId="2086E3CA"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F11</w:t>
            </w:r>
          </w:p>
        </w:tc>
        <w:tc>
          <w:tcPr>
            <w:tcW w:w="3343" w:type="pct"/>
            <w:tcBorders>
              <w:top w:val="nil"/>
              <w:left w:val="nil"/>
              <w:bottom w:val="nil"/>
              <w:right w:val="nil"/>
            </w:tcBorders>
            <w:shd w:val="clear" w:color="auto" w:fill="auto"/>
          </w:tcPr>
          <w:p w14:paraId="2086E3CB"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Higher rate of excise levied on cigarettes not exceeding 0.8 grams of tobacco</w:t>
            </w:r>
          </w:p>
        </w:tc>
        <w:tc>
          <w:tcPr>
            <w:tcW w:w="625" w:type="pct"/>
            <w:tcBorders>
              <w:top w:val="nil"/>
              <w:left w:val="nil"/>
              <w:bottom w:val="nil"/>
              <w:right w:val="nil"/>
            </w:tcBorders>
            <w:shd w:val="clear" w:color="auto" w:fill="auto"/>
          </w:tcPr>
          <w:p w14:paraId="2086E3CC"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-2,235</w:t>
            </w:r>
          </w:p>
        </w:tc>
        <w:tc>
          <w:tcPr>
            <w:tcW w:w="625" w:type="pct"/>
            <w:tcBorders>
              <w:top w:val="nil"/>
              <w:left w:val="nil"/>
              <w:bottom w:val="nil"/>
              <w:right w:val="nil"/>
            </w:tcBorders>
            <w:shd w:val="clear" w:color="auto" w:fill="auto"/>
          </w:tcPr>
          <w:p w14:paraId="2086E3CD" w14:textId="77777777" w:rsidR="009B57DC" w:rsidRPr="00762F6A" w:rsidRDefault="009B57DC" w:rsidP="00244B81">
            <w:pPr>
              <w:spacing w:before="40" w:after="40" w:line="240" w:lineRule="auto"/>
              <w:jc w:val="right"/>
              <w:rPr>
                <w:rFonts w:ascii="Arial" w:hAnsi="Arial" w:cs="Arial"/>
                <w:color w:val="000000"/>
                <w:sz w:val="16"/>
                <w:szCs w:val="16"/>
              </w:rPr>
            </w:pPr>
            <w:r w:rsidRPr="00762F6A">
              <w:rPr>
                <w:rFonts w:ascii="Arial" w:hAnsi="Arial" w:cs="Arial"/>
                <w:color w:val="000000"/>
                <w:sz w:val="16"/>
                <w:szCs w:val="16"/>
              </w:rPr>
              <w:t>n/a</w:t>
            </w:r>
          </w:p>
        </w:tc>
      </w:tr>
      <w:tr w:rsidR="009B57DC" w:rsidRPr="00762F6A" w14:paraId="2086E3D3" w14:textId="77777777" w:rsidTr="00CF69E5">
        <w:trPr>
          <w:trHeight w:val="270"/>
        </w:trPr>
        <w:tc>
          <w:tcPr>
            <w:tcW w:w="407" w:type="pct"/>
            <w:tcBorders>
              <w:top w:val="nil"/>
              <w:left w:val="nil"/>
              <w:bottom w:val="single" w:sz="4" w:space="0" w:color="auto"/>
              <w:right w:val="nil"/>
            </w:tcBorders>
            <w:shd w:val="clear" w:color="auto" w:fill="auto"/>
          </w:tcPr>
          <w:p w14:paraId="2086E3CF"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F23</w:t>
            </w:r>
          </w:p>
        </w:tc>
        <w:tc>
          <w:tcPr>
            <w:tcW w:w="3343" w:type="pct"/>
            <w:tcBorders>
              <w:top w:val="nil"/>
              <w:left w:val="nil"/>
              <w:bottom w:val="single" w:sz="4" w:space="0" w:color="auto"/>
              <w:right w:val="nil"/>
            </w:tcBorders>
            <w:shd w:val="clear" w:color="auto" w:fill="auto"/>
          </w:tcPr>
          <w:p w14:paraId="2086E3D0" w14:textId="77777777" w:rsidR="009B57DC" w:rsidRPr="00762F6A" w:rsidRDefault="009B57DC" w:rsidP="00244B81">
            <w:pPr>
              <w:spacing w:before="40" w:after="40" w:line="240" w:lineRule="auto"/>
              <w:rPr>
                <w:rFonts w:ascii="Arial" w:hAnsi="Arial" w:cs="Arial"/>
                <w:color w:val="000000"/>
                <w:sz w:val="16"/>
                <w:szCs w:val="16"/>
              </w:rPr>
            </w:pPr>
            <w:r w:rsidRPr="00762F6A">
              <w:rPr>
                <w:rFonts w:ascii="Arial" w:hAnsi="Arial" w:cs="Arial"/>
                <w:color w:val="000000"/>
                <w:sz w:val="16"/>
                <w:szCs w:val="16"/>
              </w:rPr>
              <w:t>Customs duty</w:t>
            </w:r>
          </w:p>
        </w:tc>
        <w:tc>
          <w:tcPr>
            <w:tcW w:w="625" w:type="pct"/>
            <w:tcBorders>
              <w:top w:val="nil"/>
              <w:left w:val="nil"/>
              <w:bottom w:val="single" w:sz="4" w:space="0" w:color="auto"/>
              <w:right w:val="nil"/>
            </w:tcBorders>
            <w:shd w:val="clear" w:color="auto" w:fill="auto"/>
          </w:tcPr>
          <w:p w14:paraId="2086E3D1"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-1,450</w:t>
            </w:r>
          </w:p>
        </w:tc>
        <w:tc>
          <w:tcPr>
            <w:tcW w:w="625" w:type="pct"/>
            <w:tcBorders>
              <w:top w:val="nil"/>
              <w:left w:val="nil"/>
              <w:bottom w:val="single" w:sz="4" w:space="0" w:color="auto"/>
              <w:right w:val="nil"/>
            </w:tcBorders>
            <w:shd w:val="clear" w:color="auto" w:fill="auto"/>
          </w:tcPr>
          <w:p w14:paraId="2086E3D2" w14:textId="77777777" w:rsidR="009B57DC" w:rsidRPr="00762F6A" w:rsidRDefault="009B57DC" w:rsidP="00244B81">
            <w:pPr>
              <w:spacing w:before="40" w:after="40" w:line="240" w:lineRule="auto"/>
              <w:jc w:val="right"/>
              <w:rPr>
                <w:rFonts w:ascii="Arial" w:hAnsi="Arial" w:cs="Arial"/>
                <w:color w:val="000000"/>
                <w:sz w:val="16"/>
                <w:szCs w:val="16"/>
              </w:rPr>
            </w:pPr>
            <w:r>
              <w:rPr>
                <w:rFonts w:ascii="Arial" w:hAnsi="Arial" w:cs="Arial"/>
                <w:color w:val="000000"/>
                <w:sz w:val="16"/>
                <w:szCs w:val="16"/>
              </w:rPr>
              <w:t>-1,450</w:t>
            </w:r>
          </w:p>
        </w:tc>
      </w:tr>
    </w:tbl>
    <w:bookmarkEnd w:id="2"/>
    <w:p w14:paraId="2086E3D7" w14:textId="77777777" w:rsidR="009B57DC" w:rsidRPr="00A96CE4" w:rsidRDefault="009B57DC" w:rsidP="009B57DC">
      <w:pPr>
        <w:pStyle w:val="HeaderEven"/>
        <w:spacing w:before="300" w:after="240"/>
        <w:rPr>
          <w:sz w:val="27"/>
        </w:rPr>
      </w:pPr>
      <w:r w:rsidRPr="00A96CE4">
        <w:rPr>
          <w:rFonts w:ascii="Arial" w:hAnsi="Arial"/>
          <w:b/>
          <w:i w:val="0"/>
          <w:color w:val="000000"/>
          <w:sz w:val="27"/>
        </w:rPr>
        <w:t>Other</w:t>
      </w:r>
    </w:p>
    <w:p w14:paraId="2086E3D8" w14:textId="243DF03B" w:rsidR="009B57DC" w:rsidRPr="00762F6A" w:rsidRDefault="009B57DC" w:rsidP="009B57DC">
      <w:r w:rsidRPr="00762F6A">
        <w:t>Consistent with Australian Government budget procedures, tax expenditure estimates are in nominal dollars. For example, 2015</w:t>
      </w:r>
      <w:r w:rsidRPr="00762F6A">
        <w:noBreakHyphen/>
        <w:t>16 estimates are in 2015</w:t>
      </w:r>
      <w:r w:rsidRPr="00762F6A">
        <w:noBreakHyphen/>
        <w:t>16 dollars and</w:t>
      </w:r>
      <w:r w:rsidR="000D10E0">
        <w:t> </w:t>
      </w:r>
      <w:r w:rsidRPr="00762F6A">
        <w:t>2016</w:t>
      </w:r>
      <w:r w:rsidRPr="00762F6A">
        <w:noBreakHyphen/>
        <w:t>17 estimates are in 2016</w:t>
      </w:r>
      <w:r w:rsidRPr="00762F6A">
        <w:noBreakHyphen/>
        <w:t>17 dollars.</w:t>
      </w:r>
    </w:p>
    <w:p w14:paraId="2086E400" w14:textId="16EC52E6" w:rsidR="00802D3E" w:rsidRDefault="009B57DC" w:rsidP="009057E9">
      <w:pPr>
        <w:spacing w:after="360"/>
      </w:pPr>
      <w:r w:rsidRPr="00762F6A">
        <w:t>Tax expenditure estimates are prepared on an accruals basis</w:t>
      </w:r>
      <w:r>
        <w:t xml:space="preserve"> (See Appendix </w:t>
      </w:r>
      <w:r w:rsidR="00413A52">
        <w:t>B</w:t>
      </w:r>
      <w:r>
        <w:t>)</w:t>
      </w:r>
      <w:r w:rsidRPr="00762F6A">
        <w:t>.</w:t>
      </w:r>
    </w:p>
    <w:p w14:paraId="2086E401" w14:textId="77777777" w:rsidR="00CB1A57" w:rsidRDefault="00CB1A57" w:rsidP="0012132D">
      <w:pPr>
        <w:pStyle w:val="Heading1"/>
        <w:sectPr w:rsidR="00CB1A57" w:rsidSect="00F9108A">
          <w:headerReference w:type="default" r:id="rId33"/>
          <w:pgSz w:w="11907" w:h="16840" w:code="9"/>
          <w:pgMar w:top="2466" w:right="2098" w:bottom="2466" w:left="2098" w:header="1899" w:footer="1899" w:gutter="0"/>
          <w:cols w:space="720"/>
          <w:titlePg/>
          <w:docGrid w:linePitch="360"/>
        </w:sectPr>
      </w:pPr>
      <w:bookmarkStart w:id="15" w:name="_Toc441066982"/>
    </w:p>
    <w:p w14:paraId="2086E402" w14:textId="77777777" w:rsidR="0012132D" w:rsidRPr="00762F6A" w:rsidRDefault="0012132D" w:rsidP="0012132D">
      <w:pPr>
        <w:pStyle w:val="Heading1"/>
      </w:pPr>
      <w:bookmarkStart w:id="16" w:name="_Toc472604533"/>
      <w:r w:rsidRPr="00762F6A">
        <w:lastRenderedPageBreak/>
        <w:t>Chapter 2: Tax expenditures</w:t>
      </w:r>
      <w:bookmarkEnd w:id="15"/>
      <w:bookmarkEnd w:id="16"/>
    </w:p>
    <w:p w14:paraId="2086E403" w14:textId="77777777" w:rsidR="0012132D" w:rsidRPr="00762F6A" w:rsidRDefault="0012132D" w:rsidP="0012132D">
      <w:pPr>
        <w:pStyle w:val="Heading2"/>
        <w:numPr>
          <w:ilvl w:val="0"/>
          <w:numId w:val="0"/>
        </w:numPr>
        <w:ind w:left="850" w:hanging="850"/>
      </w:pPr>
      <w:bookmarkStart w:id="17" w:name="_Toc441066983"/>
      <w:bookmarkStart w:id="18" w:name="_Toc472604534"/>
      <w:r w:rsidRPr="00762F6A">
        <w:rPr>
          <w:rFonts w:cs="Arial"/>
        </w:rPr>
        <w:t>2.1</w:t>
      </w:r>
      <w:r w:rsidRPr="00762F6A">
        <w:rPr>
          <w:rFonts w:cs="Arial"/>
        </w:rPr>
        <w:tab/>
      </w:r>
      <w:r w:rsidRPr="00762F6A">
        <w:t>Guide to tax expenditure descriptions</w:t>
      </w:r>
      <w:bookmarkEnd w:id="17"/>
      <w:bookmarkEnd w:id="18"/>
    </w:p>
    <w:p w14:paraId="2086E404" w14:textId="0EE5BA31" w:rsidR="0012132D" w:rsidRPr="00762F6A" w:rsidRDefault="009057E9" w:rsidP="0012132D">
      <w:pPr>
        <w:spacing w:after="360"/>
        <w:rPr>
          <w:snapToGrid w:val="0"/>
          <w:lang w:eastAsia="en-US"/>
        </w:rPr>
      </w:pPr>
      <w:r w:rsidRPr="00762F6A">
        <w:rPr>
          <w:b/>
          <w:noProof/>
        </w:rPr>
        <mc:AlternateContent>
          <mc:Choice Requires="wpg">
            <w:drawing>
              <wp:anchor distT="0" distB="0" distL="114300" distR="114300" simplePos="0" relativeHeight="251659264" behindDoc="0" locked="0" layoutInCell="1" allowOverlap="1" wp14:anchorId="20871624" wp14:editId="06CEC692">
                <wp:simplePos x="0" y="0"/>
                <wp:positionH relativeFrom="column">
                  <wp:posOffset>-10160</wp:posOffset>
                </wp:positionH>
                <wp:positionV relativeFrom="paragraph">
                  <wp:posOffset>529259</wp:posOffset>
                </wp:positionV>
                <wp:extent cx="1179195" cy="623570"/>
                <wp:effectExtent l="0" t="0" r="20955" b="62230"/>
                <wp:wrapNone/>
                <wp:docPr id="4" name="Group 4"/>
                <wp:cNvGraphicFramePr/>
                <a:graphic xmlns:a="http://schemas.openxmlformats.org/drawingml/2006/main">
                  <a:graphicData uri="http://schemas.microsoft.com/office/word/2010/wordprocessingGroup">
                    <wpg:wgp>
                      <wpg:cNvGrpSpPr/>
                      <wpg:grpSpPr>
                        <a:xfrm>
                          <a:off x="0" y="0"/>
                          <a:ext cx="1179195" cy="623570"/>
                          <a:chOff x="-8313" y="0"/>
                          <a:chExt cx="1179195" cy="623801"/>
                        </a:xfrm>
                      </wpg:grpSpPr>
                      <wps:wsp>
                        <wps:cNvPr id="24" name="Text Box 24"/>
                        <wps:cNvSpPr txBox="1">
                          <a:spLocks noChangeArrowheads="1"/>
                        </wps:cNvSpPr>
                        <wps:spPr bwMode="auto">
                          <a:xfrm>
                            <a:off x="-8313" y="0"/>
                            <a:ext cx="1179195" cy="298450"/>
                          </a:xfrm>
                          <a:prstGeom prst="rect">
                            <a:avLst/>
                          </a:prstGeom>
                          <a:solidFill>
                            <a:schemeClr val="bg1">
                              <a:lumMod val="95000"/>
                            </a:schemeClr>
                          </a:solidFill>
                          <a:ln w="3175">
                            <a:solidFill>
                              <a:srgbClr val="000000"/>
                            </a:solidFill>
                            <a:miter lim="800000"/>
                            <a:headEnd/>
                            <a:tailEnd/>
                          </a:ln>
                        </wps:spPr>
                        <wps:txbx>
                          <w:txbxContent>
                            <w:p w14:paraId="2087164A" w14:textId="77777777" w:rsidR="009057E9" w:rsidRDefault="009057E9" w:rsidP="0012132D">
                              <w:pPr>
                                <w:spacing w:after="0"/>
                              </w:pPr>
                              <w:r>
                                <w:t>Reference code</w:t>
                              </w:r>
                            </w:p>
                            <w:p w14:paraId="2087164B" w14:textId="77777777" w:rsidR="009057E9" w:rsidRDefault="009057E9" w:rsidP="0012132D">
                              <w:pPr>
                                <w:spacing w:after="0"/>
                              </w:pPr>
                            </w:p>
                          </w:txbxContent>
                        </wps:txbx>
                        <wps:bodyPr rot="0" vert="horz" wrap="square" lIns="91440" tIns="45720" rIns="91440" bIns="45720" anchor="t" anchorCtr="0" upright="1">
                          <a:noAutofit/>
                        </wps:bodyPr>
                      </wps:wsp>
                      <wps:wsp>
                        <wps:cNvPr id="23" name="Straight Connector 23"/>
                        <wps:cNvCnPr>
                          <a:cxnSpLocks noChangeShapeType="1"/>
                        </wps:cNvCnPr>
                        <wps:spPr bwMode="auto">
                          <a:xfrm flipH="1">
                            <a:off x="91440" y="307571"/>
                            <a:ext cx="0" cy="316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4" o:spid="_x0000_s1026" style="position:absolute;left:0;text-align:left;margin-left:-.8pt;margin-top:41.65pt;width:92.85pt;height:49.1pt;z-index:251659264" coordorigin="-83" coordsize="11791,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">
                <v:shapetype id="_x0000_t202" coordsize="21600,21600" o:spt="202" path="m,l,21600r21600,l21600,xe">
                  <v:stroke joinstyle="miter"/>
                  <v:path gradientshapeok="t" o:connecttype="rect"/>
                </v:shapetype>
                <v:shape id="Text Box 24" o:spid="_x0000_s1027" type="#_x0000_t202" style="position:absolute;left:-83;width:11791;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18MA&#10;AADbAAAADwAAAGRycy9kb3ducmV2LnhtbESPQWvCQBSE7wX/w/IEb82mppUSs4qIglfTlNLbI/tM&#10;Qnffhuxq4r93C4Ueh5n5him2kzXiRoPvHCt4SVIQxLXTHTcKqo/j8zsIH5A1Gsek4E4etpvZU4G5&#10;diOf6VaGRkQI+xwVtCH0uZS+bsmiT1xPHL2LGyyGKIdG6gHHCLdGLtN0JS12HBda7GnfUv1TXq0C&#10;XZ2773uW7cu3/jCZA39+VSuj1GI+7dYgAk3hP/zXPmkFy1f4/R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mz18MAAADbAAAADwAAAAAAAAAAAAAAAACYAgAAZHJzL2Rv&#10;d25yZXYueG1sUEsFBgAAAAAEAAQA9QAAAIgDAAAAAA==&#10;" fillcolor="#f2f2f2 [3052]" strokeweight=".25pt">
                  <v:textbox>
                    <w:txbxContent>
                      <w:p w14:paraId="2087164A" w14:textId="77777777" w:rsidR="009057E9" w:rsidRDefault="009057E9" w:rsidP="0012132D">
                        <w:pPr>
                          <w:spacing w:after="0"/>
                        </w:pPr>
                        <w:r>
                          <w:t>Reference code</w:t>
                        </w:r>
                      </w:p>
                      <w:p w14:paraId="2087164B" w14:textId="77777777" w:rsidR="009057E9" w:rsidRDefault="009057E9" w:rsidP="0012132D">
                        <w:pPr>
                          <w:spacing w:after="0"/>
                        </w:pPr>
                      </w:p>
                    </w:txbxContent>
                  </v:textbox>
                </v:shape>
                <v:line id="Straight Connector 23" o:spid="_x0000_s1028" style="position:absolute;flip:x;visibility:visible;mso-wrap-style:square" from="914,3075" to="914,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group>
            </w:pict>
          </mc:Fallback>
        </mc:AlternateContent>
      </w:r>
      <w:r w:rsidR="0012132D" w:rsidRPr="00762F6A">
        <w:rPr>
          <w:snapToGrid w:val="0"/>
          <w:lang w:eastAsia="en-US"/>
        </w:rPr>
        <w:t xml:space="preserve">This chapter provides information on all Australian Government tax expenditures in the following format. </w:t>
      </w:r>
    </w:p>
    <w:p w14:paraId="2086E405" w14:textId="2852E346" w:rsidR="0012132D" w:rsidRPr="00762F6A" w:rsidRDefault="0012132D" w:rsidP="0012132D">
      <w:pPr>
        <w:rPr>
          <w:b/>
          <w:snapToGrid w:val="0"/>
          <w:lang w:eastAsia="en-US"/>
        </w:rPr>
      </w:pPr>
    </w:p>
    <w:p w14:paraId="2086E406" w14:textId="021958CB" w:rsidR="0012132D" w:rsidRPr="00762F6A" w:rsidRDefault="0012132D" w:rsidP="0012132D">
      <w:pPr>
        <w:rPr>
          <w:snapToGrid w:val="0"/>
          <w:lang w:eastAsia="en-US"/>
        </w:rPr>
      </w:pPr>
    </w:p>
    <w:p w14:paraId="2086E407" w14:textId="4DB6552E" w:rsidR="0012132D" w:rsidRPr="00762F6A" w:rsidRDefault="00441DD6" w:rsidP="000D10E0">
      <w:pPr>
        <w:pStyle w:val="TESHeading5"/>
        <w:spacing w:after="240"/>
        <w:rPr>
          <w:snapToGrid w:val="0"/>
          <w:lang w:eastAsia="en-US"/>
        </w:rPr>
      </w:pPr>
      <w:r w:rsidRPr="00762F6A">
        <w:rPr>
          <w:noProof/>
        </w:rPr>
        <mc:AlternateContent>
          <mc:Choice Requires="wpg">
            <w:drawing>
              <wp:anchor distT="0" distB="0" distL="114300" distR="114300" simplePos="0" relativeHeight="251661312" behindDoc="0" locked="0" layoutInCell="1" allowOverlap="1" wp14:anchorId="20871628" wp14:editId="7E9D481D">
                <wp:simplePos x="0" y="0"/>
                <wp:positionH relativeFrom="column">
                  <wp:posOffset>597204</wp:posOffset>
                </wp:positionH>
                <wp:positionV relativeFrom="paragraph">
                  <wp:posOffset>246380</wp:posOffset>
                </wp:positionV>
                <wp:extent cx="1685290" cy="260350"/>
                <wp:effectExtent l="38100" t="0" r="10160" b="63500"/>
                <wp:wrapNone/>
                <wp:docPr id="3" name="Group 3"/>
                <wp:cNvGraphicFramePr/>
                <a:graphic xmlns:a="http://schemas.openxmlformats.org/drawingml/2006/main">
                  <a:graphicData uri="http://schemas.microsoft.com/office/word/2010/wordprocessingGroup">
                    <wpg:wgp>
                      <wpg:cNvGrpSpPr/>
                      <wpg:grpSpPr>
                        <a:xfrm>
                          <a:off x="0" y="0"/>
                          <a:ext cx="1685290" cy="260350"/>
                          <a:chOff x="0" y="115888"/>
                          <a:chExt cx="1685290" cy="260350"/>
                        </a:xfrm>
                      </wpg:grpSpPr>
                      <wps:wsp>
                        <wps:cNvPr id="21" name="Text Box 21"/>
                        <wps:cNvSpPr txBox="1">
                          <a:spLocks noChangeArrowheads="1"/>
                        </wps:cNvSpPr>
                        <wps:spPr bwMode="auto">
                          <a:xfrm>
                            <a:off x="361315" y="115888"/>
                            <a:ext cx="1323975" cy="260350"/>
                          </a:xfrm>
                          <a:prstGeom prst="rect">
                            <a:avLst/>
                          </a:prstGeom>
                          <a:solidFill>
                            <a:schemeClr val="bg1">
                              <a:lumMod val="95000"/>
                            </a:schemeClr>
                          </a:solidFill>
                          <a:ln w="3175">
                            <a:solidFill>
                              <a:srgbClr val="000000"/>
                            </a:solidFill>
                            <a:miter lim="800000"/>
                            <a:headEnd/>
                            <a:tailEnd/>
                          </a:ln>
                        </wps:spPr>
                        <wps:txbx>
                          <w:txbxContent>
                            <w:p w14:paraId="2087164D" w14:textId="77777777" w:rsidR="009057E9" w:rsidRDefault="009057E9" w:rsidP="0012132D">
                              <w:pPr>
                                <w:spacing w:after="0"/>
                              </w:pPr>
                              <w:r>
                                <w:t>Functional category</w:t>
                              </w:r>
                            </w:p>
                          </w:txbxContent>
                        </wps:txbx>
                        <wps:bodyPr rot="0" vert="horz" wrap="square" lIns="91440" tIns="45720" rIns="91440" bIns="45720" anchor="t" anchorCtr="0" upright="1">
                          <a:noAutofit/>
                        </wps:bodyPr>
                      </wps:wsp>
                      <wps:wsp>
                        <wps:cNvPr id="19" name="Straight Connector 19"/>
                        <wps:cNvCnPr>
                          <a:cxnSpLocks noChangeShapeType="1"/>
                        </wps:cNvCnPr>
                        <wps:spPr bwMode="auto">
                          <a:xfrm flipH="1">
                            <a:off x="0" y="343347"/>
                            <a:ext cx="361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3" o:spid="_x0000_s1029" style="position:absolute;left:0;text-align:left;margin-left:47pt;margin-top:19.4pt;width:132.7pt;height:20.5pt;z-index:251661312" coordorigin=",1158" coordsize="16852,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">
                <v:shape id="Text Box 21" o:spid="_x0000_s1030" type="#_x0000_t202" style="position:absolute;left:3613;top:1158;width:13239;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QT8IA&#10;AADbAAAADwAAAGRycy9kb3ducmV2LnhtbESPQWvCQBSE7wX/w/KE3uomSkVSVylBoVdjSvH2yL4m&#10;obtvQ3ZN4r93hYLHYWa+Ybb7yRoxUO9bxwrSRQKCuHK65VpBeT6+bUD4gKzROCYFN/Kw381etphp&#10;N/KJhiLUIkLYZ6igCaHLpPRVQxb9wnXE0ft1vcUQZV9L3eMY4dbIZZKspcWW40KDHeUNVX/F1SrQ&#10;5am93FarvHjvDpM58PdPuTZKvc6nzw8QgabwDP+3v7SCZQqPL/EH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rhBPwgAAANsAAAAPAAAAAAAAAAAAAAAAAJgCAABkcnMvZG93&#10;bnJldi54bWxQSwUGAAAAAAQABAD1AAAAhwMAAAAA&#10;" fillcolor="#f2f2f2 [3052]" strokeweight=".25pt">
                  <v:textbox>
                    <w:txbxContent>
                      <w:p w14:paraId="2087164D" w14:textId="77777777" w:rsidR="009057E9" w:rsidRDefault="009057E9" w:rsidP="0012132D">
                        <w:pPr>
                          <w:spacing w:after="0"/>
                        </w:pPr>
                        <w:r>
                          <w:t>Functional category</w:t>
                        </w:r>
                      </w:p>
                    </w:txbxContent>
                  </v:textbox>
                </v:shape>
                <v:line id="Straight Connector 19" o:spid="_x0000_s1031" style="position:absolute;flip:x;visibility:visible;mso-wrap-style:square" from="0,3433" to="3613,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group>
            </w:pict>
          </mc:Fallback>
        </mc:AlternateContent>
      </w:r>
      <w:r w:rsidR="009057E9" w:rsidRPr="00762F6A">
        <w:rPr>
          <w:noProof/>
        </w:rPr>
        <mc:AlternateContent>
          <mc:Choice Requires="wpg">
            <w:drawing>
              <wp:anchor distT="0" distB="0" distL="114300" distR="114300" simplePos="0" relativeHeight="251660288" behindDoc="0" locked="0" layoutInCell="1" allowOverlap="1" wp14:anchorId="20871626" wp14:editId="66EE9848">
                <wp:simplePos x="0" y="0"/>
                <wp:positionH relativeFrom="column">
                  <wp:posOffset>2776524</wp:posOffset>
                </wp:positionH>
                <wp:positionV relativeFrom="paragraph">
                  <wp:posOffset>0</wp:posOffset>
                </wp:positionV>
                <wp:extent cx="1681480" cy="818515"/>
                <wp:effectExtent l="0" t="0" r="13970" b="57785"/>
                <wp:wrapNone/>
                <wp:docPr id="2" name="Group 2"/>
                <wp:cNvGraphicFramePr/>
                <a:graphic xmlns:a="http://schemas.openxmlformats.org/drawingml/2006/main">
                  <a:graphicData uri="http://schemas.microsoft.com/office/word/2010/wordprocessingGroup">
                    <wpg:wgp>
                      <wpg:cNvGrpSpPr/>
                      <wpg:grpSpPr>
                        <a:xfrm>
                          <a:off x="0" y="0"/>
                          <a:ext cx="1681480" cy="818515"/>
                          <a:chOff x="0" y="0"/>
                          <a:chExt cx="1681480" cy="918916"/>
                        </a:xfrm>
                      </wpg:grpSpPr>
                      <wps:wsp>
                        <wps:cNvPr id="22" name="Straight Connector 22"/>
                        <wps:cNvCnPr>
                          <a:cxnSpLocks noChangeShapeType="1"/>
                        </wps:cNvCnPr>
                        <wps:spPr bwMode="auto">
                          <a:xfrm>
                            <a:off x="831273" y="299258"/>
                            <a:ext cx="0" cy="6196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0"/>
                        <wps:cNvSpPr txBox="1">
                          <a:spLocks noChangeArrowheads="1"/>
                        </wps:cNvSpPr>
                        <wps:spPr bwMode="auto">
                          <a:xfrm>
                            <a:off x="0" y="0"/>
                            <a:ext cx="1681480" cy="300990"/>
                          </a:xfrm>
                          <a:prstGeom prst="rect">
                            <a:avLst/>
                          </a:prstGeom>
                          <a:solidFill>
                            <a:schemeClr val="bg1">
                              <a:lumMod val="95000"/>
                            </a:schemeClr>
                          </a:solidFill>
                          <a:ln w="3175">
                            <a:solidFill>
                              <a:srgbClr val="000000"/>
                            </a:solidFill>
                            <a:miter lim="800000"/>
                            <a:headEnd/>
                            <a:tailEnd/>
                          </a:ln>
                        </wps:spPr>
                        <wps:txbx>
                          <w:txbxContent>
                            <w:p w14:paraId="2087164C" w14:textId="77777777" w:rsidR="009057E9" w:rsidRDefault="009057E9" w:rsidP="0012132D">
                              <w:pPr>
                                <w:spacing w:after="0"/>
                              </w:pPr>
                              <w:r>
                                <w:t>Tax expenditure estimates</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2" o:spid="_x0000_s1032" style="position:absolute;left:0;text-align:left;margin-left:218.6pt;margin-top:0;width:132.4pt;height:64.45pt;z-index:251660288;mso-height-relative:margin" coordsize="16814,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">
                <v:line id="Straight Connector 22" o:spid="_x0000_s1033" style="position:absolute;visibility:visible;mso-wrap-style:square" from="8312,2992" to="8312,9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shape id="Text Box 20" o:spid="_x0000_s1034" type="#_x0000_t202" style="position:absolute;width:16814;height:3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1L0A&#10;AADbAAAADwAAAGRycy9kb3ducmV2LnhtbERPy6rCMBDdC/5DGMGdpiqKVKOIKLi19nJxNzRjW0wm&#10;pYla/94sBJeH815vO2vEk1pfO1YwGScgiAunay4V5JfjaAnCB2SNxjEpeJOH7abfW2Oq3YvP9MxC&#10;KWII+xQVVCE0qZS+qMiiH7uGOHI311oMEbal1C2+Yrg1cpokC2mx5thQYUP7iop79rAKdH6ur+/Z&#10;bJ/Nm0NnDvz3ny+MUsNBt1uBCNSFn/jrPmkF07g+fok/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K11L0AAADbAAAADwAAAAAAAAAAAAAAAACYAgAAZHJzL2Rvd25yZXYu&#10;eG1sUEsFBgAAAAAEAAQA9QAAAIIDAAAAAA==&#10;" fillcolor="#f2f2f2 [3052]" strokeweight=".25pt">
                  <v:textbox>
                    <w:txbxContent>
                      <w:p w14:paraId="2087164C" w14:textId="77777777" w:rsidR="009057E9" w:rsidRDefault="009057E9" w:rsidP="0012132D">
                        <w:pPr>
                          <w:spacing w:after="0"/>
                        </w:pPr>
                        <w:r>
                          <w:t>Tax expenditure estimates</w:t>
                        </w:r>
                      </w:p>
                    </w:txbxContent>
                  </v:textbox>
                </v:shape>
              </v:group>
            </w:pict>
          </mc:Fallback>
        </mc:AlternateContent>
      </w:r>
      <w:r w:rsidR="0012132D" w:rsidRPr="00762F6A">
        <w:rPr>
          <w:snapToGrid w:val="0"/>
          <w:lang w:eastAsia="en-US"/>
        </w:rPr>
        <w:t>A1 Title of the tax expenditure</w:t>
      </w:r>
    </w:p>
    <w:p w14:paraId="2282B570" w14:textId="77777777" w:rsidR="000D10E0" w:rsidRDefault="000D10E0" w:rsidP="0012132D">
      <w:pPr>
        <w:keepNext/>
        <w:spacing w:after="0" w:line="240" w:lineRule="auto"/>
        <w:jc w:val="left"/>
        <w:rPr>
          <w:rFonts w:ascii="Arial" w:hAnsi="Arial"/>
          <w:sz w:val="16"/>
        </w:rPr>
      </w:pPr>
    </w:p>
    <w:p w14:paraId="2086E408" w14:textId="77777777" w:rsidR="0012132D" w:rsidRPr="00762F6A" w:rsidRDefault="0012132D" w:rsidP="0012132D">
      <w:pPr>
        <w:keepNext/>
        <w:spacing w:after="0" w:line="240" w:lineRule="auto"/>
        <w:jc w:val="left"/>
        <w:rPr>
          <w:rFonts w:ascii="Arial" w:hAnsi="Arial"/>
          <w:sz w:val="16"/>
        </w:rPr>
      </w:pPr>
      <w:r w:rsidRPr="00762F6A">
        <w:rPr>
          <w:rFonts w:ascii="Arial" w:hAnsi="Arial"/>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12132D" w:rsidRPr="00762F6A" w14:paraId="2086E411" w14:textId="77777777" w:rsidTr="00F6032C">
        <w:trPr>
          <w:cantSplit/>
          <w:jc w:val="center"/>
        </w:trPr>
        <w:tc>
          <w:tcPr>
            <w:tcW w:w="967" w:type="dxa"/>
            <w:tcBorders>
              <w:top w:val="single" w:sz="2" w:space="0" w:color="auto"/>
              <w:left w:val="nil"/>
              <w:bottom w:val="single" w:sz="2" w:space="0" w:color="auto"/>
              <w:right w:val="nil"/>
            </w:tcBorders>
            <w:hideMark/>
          </w:tcPr>
          <w:p w14:paraId="2086E409" w14:textId="77777777" w:rsidR="0012132D" w:rsidRPr="00762F6A" w:rsidRDefault="0012132D" w:rsidP="00410B35">
            <w:pPr>
              <w:keepNext/>
              <w:spacing w:before="60" w:after="60" w:line="240" w:lineRule="auto"/>
              <w:jc w:val="center"/>
              <w:rPr>
                <w:rFonts w:ascii="Arial" w:hAnsi="Arial"/>
                <w:sz w:val="16"/>
              </w:rPr>
            </w:pPr>
            <w:r w:rsidRPr="00762F6A">
              <w:rPr>
                <w:rFonts w:ascii="Arial" w:hAnsi="Arial"/>
                <w:sz w:val="16"/>
              </w:rPr>
              <w:t>201</w:t>
            </w:r>
            <w:r w:rsidR="00410B35">
              <w:rPr>
                <w:rFonts w:ascii="Arial" w:hAnsi="Arial"/>
                <w:sz w:val="16"/>
              </w:rPr>
              <w:t>2</w:t>
            </w:r>
            <w:r w:rsidRPr="00762F6A">
              <w:rPr>
                <w:rFonts w:ascii="Arial" w:hAnsi="Arial"/>
                <w:sz w:val="16"/>
              </w:rPr>
              <w:noBreakHyphen/>
            </w:r>
            <w:r w:rsidR="00410B35">
              <w:rPr>
                <w:rFonts w:ascii="Arial" w:hAnsi="Arial"/>
                <w:sz w:val="16"/>
              </w:rPr>
              <w:t>13</w:t>
            </w:r>
          </w:p>
        </w:tc>
        <w:tc>
          <w:tcPr>
            <w:tcW w:w="967" w:type="dxa"/>
            <w:tcBorders>
              <w:top w:val="single" w:sz="2" w:space="0" w:color="auto"/>
              <w:left w:val="nil"/>
              <w:bottom w:val="single" w:sz="2" w:space="0" w:color="auto"/>
              <w:right w:val="nil"/>
            </w:tcBorders>
          </w:tcPr>
          <w:p w14:paraId="2086E40A" w14:textId="77777777" w:rsidR="0012132D" w:rsidRPr="00762F6A" w:rsidRDefault="0012132D" w:rsidP="00410B35">
            <w:pPr>
              <w:keepNext/>
              <w:spacing w:before="60" w:after="60" w:line="240" w:lineRule="auto"/>
              <w:jc w:val="center"/>
              <w:rPr>
                <w:rFonts w:ascii="Arial" w:hAnsi="Arial"/>
                <w:sz w:val="16"/>
              </w:rPr>
            </w:pPr>
            <w:r w:rsidRPr="00762F6A">
              <w:rPr>
                <w:rFonts w:ascii="Arial" w:hAnsi="Arial"/>
                <w:sz w:val="16"/>
              </w:rPr>
              <w:t>201</w:t>
            </w:r>
            <w:r w:rsidR="00410B35">
              <w:rPr>
                <w:rFonts w:ascii="Arial" w:hAnsi="Arial"/>
                <w:sz w:val="16"/>
              </w:rPr>
              <w:t>3</w:t>
            </w:r>
            <w:r w:rsidRPr="00762F6A">
              <w:rPr>
                <w:rFonts w:ascii="Arial" w:hAnsi="Arial"/>
                <w:sz w:val="16"/>
              </w:rPr>
              <w:noBreakHyphen/>
              <w:t>1</w:t>
            </w:r>
            <w:r w:rsidR="00410B35">
              <w:rPr>
                <w:rFonts w:ascii="Arial" w:hAnsi="Arial"/>
                <w:sz w:val="16"/>
              </w:rPr>
              <w:t>4</w:t>
            </w:r>
          </w:p>
        </w:tc>
        <w:tc>
          <w:tcPr>
            <w:tcW w:w="967" w:type="dxa"/>
            <w:tcBorders>
              <w:top w:val="single" w:sz="2" w:space="0" w:color="auto"/>
              <w:left w:val="nil"/>
              <w:bottom w:val="single" w:sz="2" w:space="0" w:color="auto"/>
              <w:right w:val="nil"/>
            </w:tcBorders>
          </w:tcPr>
          <w:p w14:paraId="2086E40B" w14:textId="77777777" w:rsidR="0012132D" w:rsidRPr="00762F6A" w:rsidRDefault="0012132D" w:rsidP="00410B35">
            <w:pPr>
              <w:keepNext/>
              <w:spacing w:before="60" w:after="60" w:line="240" w:lineRule="auto"/>
              <w:jc w:val="center"/>
              <w:rPr>
                <w:rFonts w:ascii="Arial" w:hAnsi="Arial"/>
                <w:sz w:val="16"/>
              </w:rPr>
            </w:pPr>
            <w:r w:rsidRPr="00762F6A">
              <w:rPr>
                <w:rFonts w:ascii="Arial" w:hAnsi="Arial"/>
                <w:sz w:val="16"/>
              </w:rPr>
              <w:t>201</w:t>
            </w:r>
            <w:r w:rsidR="00410B35">
              <w:rPr>
                <w:rFonts w:ascii="Arial" w:hAnsi="Arial"/>
                <w:sz w:val="16"/>
              </w:rPr>
              <w:t>4</w:t>
            </w:r>
            <w:r w:rsidRPr="00762F6A">
              <w:rPr>
                <w:rFonts w:ascii="Arial" w:hAnsi="Arial"/>
                <w:sz w:val="16"/>
              </w:rPr>
              <w:noBreakHyphen/>
              <w:t>1</w:t>
            </w:r>
            <w:r w:rsidR="00410B35">
              <w:rPr>
                <w:rFonts w:ascii="Arial" w:hAnsi="Arial"/>
                <w:sz w:val="16"/>
              </w:rPr>
              <w:t>5</w:t>
            </w:r>
          </w:p>
        </w:tc>
        <w:tc>
          <w:tcPr>
            <w:tcW w:w="967" w:type="dxa"/>
            <w:tcBorders>
              <w:top w:val="single" w:sz="2" w:space="0" w:color="auto"/>
              <w:left w:val="nil"/>
              <w:bottom w:val="single" w:sz="2" w:space="0" w:color="auto"/>
              <w:right w:val="nil"/>
            </w:tcBorders>
          </w:tcPr>
          <w:p w14:paraId="2086E40C" w14:textId="77777777" w:rsidR="0012132D" w:rsidRPr="00762F6A" w:rsidRDefault="0012132D" w:rsidP="00410B35">
            <w:pPr>
              <w:keepNext/>
              <w:spacing w:before="60" w:after="60" w:line="240" w:lineRule="auto"/>
              <w:jc w:val="center"/>
              <w:rPr>
                <w:rFonts w:ascii="Arial" w:hAnsi="Arial"/>
                <w:sz w:val="16"/>
              </w:rPr>
            </w:pPr>
            <w:r w:rsidRPr="00762F6A">
              <w:rPr>
                <w:rFonts w:ascii="Arial" w:hAnsi="Arial"/>
                <w:sz w:val="16"/>
              </w:rPr>
              <w:t>201</w:t>
            </w:r>
            <w:r w:rsidR="00410B35">
              <w:rPr>
                <w:rFonts w:ascii="Arial" w:hAnsi="Arial"/>
                <w:sz w:val="16"/>
              </w:rPr>
              <w:t>5</w:t>
            </w:r>
            <w:r w:rsidRPr="00762F6A">
              <w:rPr>
                <w:rFonts w:ascii="Arial" w:hAnsi="Arial"/>
                <w:sz w:val="16"/>
              </w:rPr>
              <w:noBreakHyphen/>
              <w:t>1</w:t>
            </w:r>
            <w:r w:rsidR="00410B35">
              <w:rPr>
                <w:rFonts w:ascii="Arial" w:hAnsi="Arial"/>
                <w:sz w:val="16"/>
              </w:rPr>
              <w:t>6</w:t>
            </w:r>
          </w:p>
        </w:tc>
        <w:tc>
          <w:tcPr>
            <w:tcW w:w="967" w:type="dxa"/>
            <w:tcBorders>
              <w:top w:val="single" w:sz="2" w:space="0" w:color="auto"/>
              <w:left w:val="nil"/>
              <w:bottom w:val="single" w:sz="2" w:space="0" w:color="auto"/>
              <w:right w:val="nil"/>
            </w:tcBorders>
          </w:tcPr>
          <w:p w14:paraId="2086E40D" w14:textId="77777777" w:rsidR="0012132D" w:rsidRPr="00762F6A" w:rsidRDefault="0012132D" w:rsidP="00410B35">
            <w:pPr>
              <w:keepNext/>
              <w:spacing w:before="60" w:after="60" w:line="240" w:lineRule="auto"/>
              <w:jc w:val="center"/>
              <w:rPr>
                <w:rFonts w:ascii="Arial" w:hAnsi="Arial"/>
                <w:sz w:val="16"/>
              </w:rPr>
            </w:pPr>
            <w:r w:rsidRPr="00762F6A">
              <w:rPr>
                <w:rFonts w:ascii="Arial" w:hAnsi="Arial"/>
                <w:sz w:val="16"/>
              </w:rPr>
              <w:t>201</w:t>
            </w:r>
            <w:r w:rsidR="00410B35">
              <w:rPr>
                <w:rFonts w:ascii="Arial" w:hAnsi="Arial"/>
                <w:sz w:val="16"/>
              </w:rPr>
              <w:t>6</w:t>
            </w:r>
            <w:r w:rsidRPr="00762F6A">
              <w:rPr>
                <w:rFonts w:ascii="Arial" w:hAnsi="Arial"/>
                <w:sz w:val="16"/>
              </w:rPr>
              <w:noBreakHyphen/>
              <w:t>1</w:t>
            </w:r>
            <w:r w:rsidR="00410B35">
              <w:rPr>
                <w:rFonts w:ascii="Arial" w:hAnsi="Arial"/>
                <w:sz w:val="16"/>
              </w:rPr>
              <w:t>7</w:t>
            </w:r>
          </w:p>
        </w:tc>
        <w:tc>
          <w:tcPr>
            <w:tcW w:w="967" w:type="dxa"/>
            <w:gridSpan w:val="2"/>
            <w:tcBorders>
              <w:top w:val="single" w:sz="2" w:space="0" w:color="auto"/>
              <w:left w:val="nil"/>
              <w:bottom w:val="single" w:sz="2" w:space="0" w:color="auto"/>
              <w:right w:val="nil"/>
            </w:tcBorders>
          </w:tcPr>
          <w:p w14:paraId="2086E40E" w14:textId="77777777" w:rsidR="0012132D" w:rsidRPr="00762F6A" w:rsidRDefault="0012132D" w:rsidP="00410B35">
            <w:pPr>
              <w:keepNext/>
              <w:spacing w:before="60" w:after="60" w:line="240" w:lineRule="auto"/>
              <w:jc w:val="center"/>
              <w:rPr>
                <w:rFonts w:ascii="Arial" w:hAnsi="Arial"/>
                <w:sz w:val="16"/>
              </w:rPr>
            </w:pPr>
            <w:r w:rsidRPr="00762F6A">
              <w:rPr>
                <w:rFonts w:ascii="Arial" w:hAnsi="Arial"/>
                <w:sz w:val="16"/>
              </w:rPr>
              <w:t>201</w:t>
            </w:r>
            <w:r w:rsidR="00410B35">
              <w:rPr>
                <w:rFonts w:ascii="Arial" w:hAnsi="Arial"/>
                <w:sz w:val="16"/>
              </w:rPr>
              <w:t>7</w:t>
            </w:r>
            <w:r w:rsidRPr="00762F6A">
              <w:rPr>
                <w:rFonts w:ascii="Arial" w:hAnsi="Arial"/>
                <w:sz w:val="16"/>
              </w:rPr>
              <w:noBreakHyphen/>
              <w:t>1</w:t>
            </w:r>
            <w:r w:rsidR="00410B35">
              <w:rPr>
                <w:rFonts w:ascii="Arial" w:hAnsi="Arial"/>
                <w:sz w:val="16"/>
              </w:rPr>
              <w:t>8</w:t>
            </w:r>
          </w:p>
        </w:tc>
        <w:tc>
          <w:tcPr>
            <w:tcW w:w="967" w:type="dxa"/>
            <w:gridSpan w:val="2"/>
            <w:tcBorders>
              <w:top w:val="single" w:sz="2" w:space="0" w:color="auto"/>
              <w:left w:val="nil"/>
              <w:bottom w:val="single" w:sz="2" w:space="0" w:color="auto"/>
              <w:right w:val="nil"/>
            </w:tcBorders>
          </w:tcPr>
          <w:p w14:paraId="2086E40F" w14:textId="77777777" w:rsidR="0012132D" w:rsidRPr="00762F6A" w:rsidRDefault="0012132D" w:rsidP="00410B35">
            <w:pPr>
              <w:keepNext/>
              <w:spacing w:before="60" w:after="60" w:line="240" w:lineRule="auto"/>
              <w:jc w:val="center"/>
              <w:rPr>
                <w:rFonts w:ascii="Arial" w:hAnsi="Arial"/>
                <w:sz w:val="16"/>
              </w:rPr>
            </w:pPr>
            <w:r w:rsidRPr="00762F6A">
              <w:rPr>
                <w:rFonts w:ascii="Arial" w:hAnsi="Arial"/>
                <w:sz w:val="16"/>
              </w:rPr>
              <w:t>201</w:t>
            </w:r>
            <w:r w:rsidR="00410B35">
              <w:rPr>
                <w:rFonts w:ascii="Arial" w:hAnsi="Arial"/>
                <w:sz w:val="16"/>
              </w:rPr>
              <w:t>8</w:t>
            </w:r>
            <w:r w:rsidRPr="00762F6A">
              <w:rPr>
                <w:rFonts w:ascii="Arial" w:hAnsi="Arial"/>
                <w:sz w:val="16"/>
              </w:rPr>
              <w:noBreakHyphen/>
              <w:t>1</w:t>
            </w:r>
            <w:r w:rsidR="00410B35">
              <w:rPr>
                <w:rFonts w:ascii="Arial" w:hAnsi="Arial"/>
                <w:sz w:val="16"/>
              </w:rPr>
              <w:t>9</w:t>
            </w:r>
          </w:p>
        </w:tc>
        <w:tc>
          <w:tcPr>
            <w:tcW w:w="968" w:type="dxa"/>
            <w:tcBorders>
              <w:top w:val="single" w:sz="2" w:space="0" w:color="auto"/>
              <w:left w:val="nil"/>
              <w:bottom w:val="single" w:sz="2" w:space="0" w:color="auto"/>
              <w:right w:val="nil"/>
            </w:tcBorders>
          </w:tcPr>
          <w:p w14:paraId="2086E410" w14:textId="77777777" w:rsidR="0012132D" w:rsidRPr="00762F6A" w:rsidRDefault="0012132D" w:rsidP="00410B35">
            <w:pPr>
              <w:keepNext/>
              <w:spacing w:before="60" w:after="60" w:line="240" w:lineRule="auto"/>
              <w:jc w:val="center"/>
              <w:rPr>
                <w:rFonts w:ascii="Arial" w:hAnsi="Arial"/>
                <w:sz w:val="16"/>
              </w:rPr>
            </w:pPr>
            <w:r w:rsidRPr="00762F6A">
              <w:rPr>
                <w:rFonts w:ascii="Arial" w:hAnsi="Arial"/>
                <w:sz w:val="16"/>
              </w:rPr>
              <w:t>201</w:t>
            </w:r>
            <w:r w:rsidR="00410B35">
              <w:rPr>
                <w:rFonts w:ascii="Arial" w:hAnsi="Arial"/>
                <w:sz w:val="16"/>
              </w:rPr>
              <w:t>9</w:t>
            </w:r>
            <w:r w:rsidRPr="00762F6A">
              <w:rPr>
                <w:rFonts w:ascii="Arial" w:hAnsi="Arial"/>
                <w:sz w:val="16"/>
              </w:rPr>
              <w:noBreakHyphen/>
            </w:r>
            <w:r w:rsidR="00410B35">
              <w:rPr>
                <w:rFonts w:ascii="Arial" w:hAnsi="Arial"/>
                <w:sz w:val="16"/>
              </w:rPr>
              <w:t>20</w:t>
            </w:r>
          </w:p>
        </w:tc>
      </w:tr>
      <w:tr w:rsidR="0012132D" w:rsidRPr="00762F6A" w14:paraId="2086E41A" w14:textId="77777777" w:rsidTr="00F6032C">
        <w:trPr>
          <w:cantSplit/>
          <w:jc w:val="center"/>
        </w:trPr>
        <w:tc>
          <w:tcPr>
            <w:tcW w:w="967" w:type="dxa"/>
            <w:tcBorders>
              <w:top w:val="single" w:sz="2" w:space="0" w:color="auto"/>
              <w:left w:val="nil"/>
              <w:bottom w:val="single" w:sz="2" w:space="0" w:color="auto"/>
              <w:right w:val="nil"/>
            </w:tcBorders>
            <w:hideMark/>
          </w:tcPr>
          <w:p w14:paraId="2086E412" w14:textId="77777777" w:rsidR="0012132D" w:rsidRPr="00762F6A" w:rsidRDefault="0012132D" w:rsidP="00F6032C">
            <w:pPr>
              <w:keepNext/>
              <w:spacing w:before="60" w:after="60" w:line="240" w:lineRule="auto"/>
              <w:jc w:val="center"/>
              <w:rPr>
                <w:rFonts w:ascii="Arial" w:hAnsi="Arial"/>
                <w:sz w:val="16"/>
              </w:rPr>
            </w:pPr>
            <w:r w:rsidRPr="00762F6A">
              <w:rPr>
                <w:rFonts w:ascii="Arial" w:hAnsi="Arial"/>
                <w:sz w:val="16"/>
              </w:rPr>
              <w:t>1</w:t>
            </w:r>
          </w:p>
        </w:tc>
        <w:tc>
          <w:tcPr>
            <w:tcW w:w="967" w:type="dxa"/>
            <w:tcBorders>
              <w:top w:val="single" w:sz="2" w:space="0" w:color="auto"/>
              <w:left w:val="nil"/>
              <w:bottom w:val="single" w:sz="2" w:space="0" w:color="auto"/>
              <w:right w:val="nil"/>
            </w:tcBorders>
            <w:hideMark/>
          </w:tcPr>
          <w:p w14:paraId="2086E413" w14:textId="77777777" w:rsidR="0012132D" w:rsidRPr="00762F6A" w:rsidRDefault="0012132D" w:rsidP="00F6032C">
            <w:pPr>
              <w:keepNext/>
              <w:spacing w:before="60" w:after="60" w:line="240" w:lineRule="auto"/>
              <w:jc w:val="center"/>
              <w:rPr>
                <w:rFonts w:ascii="Arial" w:hAnsi="Arial"/>
                <w:sz w:val="16"/>
              </w:rPr>
            </w:pPr>
            <w:r w:rsidRPr="00762F6A">
              <w:rPr>
                <w:rFonts w:ascii="Arial" w:hAnsi="Arial"/>
                <w:sz w:val="16"/>
              </w:rPr>
              <w:t>2</w:t>
            </w:r>
          </w:p>
        </w:tc>
        <w:tc>
          <w:tcPr>
            <w:tcW w:w="967" w:type="dxa"/>
            <w:tcBorders>
              <w:top w:val="single" w:sz="2" w:space="0" w:color="auto"/>
              <w:left w:val="nil"/>
              <w:bottom w:val="single" w:sz="2" w:space="0" w:color="auto"/>
              <w:right w:val="nil"/>
            </w:tcBorders>
            <w:vAlign w:val="bottom"/>
            <w:hideMark/>
          </w:tcPr>
          <w:p w14:paraId="2086E414" w14:textId="77777777" w:rsidR="0012132D" w:rsidRPr="00762F6A" w:rsidRDefault="0012132D" w:rsidP="00F6032C">
            <w:pPr>
              <w:keepNext/>
              <w:spacing w:before="60" w:after="60" w:line="240" w:lineRule="auto"/>
              <w:jc w:val="center"/>
              <w:rPr>
                <w:rFonts w:ascii="Arial" w:hAnsi="Arial"/>
                <w:sz w:val="16"/>
              </w:rPr>
            </w:pPr>
            <w:r w:rsidRPr="00762F6A">
              <w:rPr>
                <w:rFonts w:ascii="Arial" w:hAnsi="Arial"/>
                <w:sz w:val="16"/>
              </w:rPr>
              <w:t>3</w:t>
            </w:r>
          </w:p>
        </w:tc>
        <w:tc>
          <w:tcPr>
            <w:tcW w:w="967" w:type="dxa"/>
            <w:tcBorders>
              <w:top w:val="single" w:sz="2" w:space="0" w:color="auto"/>
              <w:left w:val="nil"/>
              <w:bottom w:val="single" w:sz="2" w:space="0" w:color="auto"/>
              <w:right w:val="nil"/>
            </w:tcBorders>
            <w:vAlign w:val="bottom"/>
            <w:hideMark/>
          </w:tcPr>
          <w:p w14:paraId="2086E415" w14:textId="77777777" w:rsidR="0012132D" w:rsidRPr="00762F6A" w:rsidRDefault="0012132D" w:rsidP="00F6032C">
            <w:pPr>
              <w:keepNext/>
              <w:spacing w:before="60" w:after="60" w:line="240" w:lineRule="auto"/>
              <w:jc w:val="center"/>
              <w:rPr>
                <w:rFonts w:ascii="Arial" w:hAnsi="Arial"/>
                <w:sz w:val="16"/>
              </w:rPr>
            </w:pPr>
            <w:r w:rsidRPr="00762F6A">
              <w:rPr>
                <w:rFonts w:ascii="Arial" w:hAnsi="Arial"/>
                <w:sz w:val="16"/>
              </w:rPr>
              <w:t>4</w:t>
            </w:r>
          </w:p>
        </w:tc>
        <w:tc>
          <w:tcPr>
            <w:tcW w:w="967" w:type="dxa"/>
            <w:tcBorders>
              <w:top w:val="single" w:sz="2" w:space="0" w:color="auto"/>
              <w:left w:val="nil"/>
              <w:bottom w:val="single" w:sz="2" w:space="0" w:color="auto"/>
              <w:right w:val="nil"/>
            </w:tcBorders>
            <w:vAlign w:val="bottom"/>
            <w:hideMark/>
          </w:tcPr>
          <w:p w14:paraId="2086E416" w14:textId="77777777" w:rsidR="0012132D" w:rsidRPr="00762F6A" w:rsidRDefault="0012132D" w:rsidP="00F6032C">
            <w:pPr>
              <w:keepNext/>
              <w:spacing w:before="60" w:after="60" w:line="240" w:lineRule="auto"/>
              <w:jc w:val="center"/>
              <w:rPr>
                <w:rFonts w:ascii="Arial" w:hAnsi="Arial"/>
                <w:sz w:val="16"/>
              </w:rPr>
            </w:pPr>
            <w:r w:rsidRPr="00762F6A">
              <w:rPr>
                <w:rFonts w:ascii="Arial" w:hAnsi="Arial"/>
                <w:sz w:val="16"/>
              </w:rPr>
              <w:t>5</w:t>
            </w:r>
          </w:p>
        </w:tc>
        <w:tc>
          <w:tcPr>
            <w:tcW w:w="967" w:type="dxa"/>
            <w:gridSpan w:val="2"/>
            <w:tcBorders>
              <w:top w:val="single" w:sz="2" w:space="0" w:color="auto"/>
              <w:left w:val="nil"/>
              <w:bottom w:val="single" w:sz="2" w:space="0" w:color="auto"/>
              <w:right w:val="nil"/>
            </w:tcBorders>
            <w:vAlign w:val="bottom"/>
            <w:hideMark/>
          </w:tcPr>
          <w:p w14:paraId="2086E417" w14:textId="77777777" w:rsidR="0012132D" w:rsidRPr="00762F6A" w:rsidRDefault="0012132D" w:rsidP="00F6032C">
            <w:pPr>
              <w:keepNext/>
              <w:spacing w:before="60" w:after="60" w:line="240" w:lineRule="auto"/>
              <w:jc w:val="center"/>
              <w:rPr>
                <w:rFonts w:ascii="Arial" w:hAnsi="Arial"/>
                <w:sz w:val="16"/>
              </w:rPr>
            </w:pPr>
            <w:r w:rsidRPr="00762F6A">
              <w:rPr>
                <w:rFonts w:ascii="Arial" w:hAnsi="Arial"/>
                <w:sz w:val="16"/>
              </w:rPr>
              <w:t>6</w:t>
            </w:r>
          </w:p>
        </w:tc>
        <w:tc>
          <w:tcPr>
            <w:tcW w:w="967" w:type="dxa"/>
            <w:gridSpan w:val="2"/>
            <w:tcBorders>
              <w:top w:val="single" w:sz="2" w:space="0" w:color="auto"/>
              <w:left w:val="nil"/>
              <w:bottom w:val="single" w:sz="2" w:space="0" w:color="auto"/>
              <w:right w:val="nil"/>
            </w:tcBorders>
            <w:vAlign w:val="bottom"/>
            <w:hideMark/>
          </w:tcPr>
          <w:p w14:paraId="2086E418" w14:textId="77777777" w:rsidR="0012132D" w:rsidRPr="00762F6A" w:rsidRDefault="0012132D" w:rsidP="00F6032C">
            <w:pPr>
              <w:keepNext/>
              <w:spacing w:before="60" w:after="60" w:line="240" w:lineRule="auto"/>
              <w:jc w:val="center"/>
              <w:rPr>
                <w:rFonts w:ascii="Arial" w:hAnsi="Arial"/>
                <w:sz w:val="16"/>
              </w:rPr>
            </w:pPr>
            <w:r w:rsidRPr="00762F6A">
              <w:rPr>
                <w:rFonts w:ascii="Arial" w:hAnsi="Arial"/>
                <w:sz w:val="16"/>
              </w:rPr>
              <w:t>7</w:t>
            </w:r>
          </w:p>
        </w:tc>
        <w:tc>
          <w:tcPr>
            <w:tcW w:w="968" w:type="dxa"/>
            <w:tcBorders>
              <w:top w:val="single" w:sz="2" w:space="0" w:color="auto"/>
              <w:left w:val="nil"/>
              <w:bottom w:val="single" w:sz="2" w:space="0" w:color="auto"/>
              <w:right w:val="nil"/>
            </w:tcBorders>
            <w:vAlign w:val="bottom"/>
            <w:hideMark/>
          </w:tcPr>
          <w:p w14:paraId="2086E419" w14:textId="77777777" w:rsidR="0012132D" w:rsidRPr="00762F6A" w:rsidRDefault="0012132D" w:rsidP="00F6032C">
            <w:pPr>
              <w:keepNext/>
              <w:spacing w:before="60" w:after="60" w:line="240" w:lineRule="auto"/>
              <w:jc w:val="center"/>
              <w:rPr>
                <w:rFonts w:ascii="Arial" w:hAnsi="Arial"/>
                <w:sz w:val="16"/>
              </w:rPr>
            </w:pPr>
            <w:r w:rsidRPr="00762F6A">
              <w:rPr>
                <w:rFonts w:ascii="Arial" w:hAnsi="Arial"/>
                <w:sz w:val="16"/>
              </w:rPr>
              <w:t>8</w:t>
            </w:r>
          </w:p>
        </w:tc>
      </w:tr>
      <w:tr w:rsidR="0012132D" w:rsidRPr="00762F6A" w14:paraId="2086E41F" w14:textId="77777777" w:rsidTr="00F6032C">
        <w:trPr>
          <w:cantSplit/>
          <w:jc w:val="center"/>
        </w:trPr>
        <w:tc>
          <w:tcPr>
            <w:tcW w:w="1934" w:type="dxa"/>
            <w:gridSpan w:val="2"/>
            <w:tcBorders>
              <w:top w:val="single" w:sz="2" w:space="0" w:color="auto"/>
              <w:left w:val="nil"/>
              <w:bottom w:val="nil"/>
              <w:right w:val="nil"/>
            </w:tcBorders>
            <w:hideMark/>
          </w:tcPr>
          <w:p w14:paraId="2086E41B" w14:textId="77777777" w:rsidR="0012132D" w:rsidRPr="00762F6A" w:rsidRDefault="0012132D" w:rsidP="00F6032C">
            <w:pPr>
              <w:keepNext/>
              <w:spacing w:before="20" w:after="20" w:line="240" w:lineRule="auto"/>
              <w:jc w:val="left"/>
              <w:rPr>
                <w:rFonts w:ascii="Arial" w:hAnsi="Arial"/>
                <w:i/>
                <w:color w:val="000000"/>
                <w:sz w:val="16"/>
              </w:rPr>
            </w:pPr>
            <w:r w:rsidRPr="00762F6A">
              <w:rPr>
                <w:rFonts w:ascii="Arial" w:hAnsi="Arial"/>
                <w:i/>
                <w:color w:val="000000"/>
                <w:sz w:val="16"/>
              </w:rPr>
              <w:t>Tax expenditure type:</w:t>
            </w:r>
          </w:p>
        </w:tc>
        <w:tc>
          <w:tcPr>
            <w:tcW w:w="3179" w:type="dxa"/>
            <w:gridSpan w:val="4"/>
            <w:tcBorders>
              <w:top w:val="single" w:sz="2" w:space="0" w:color="auto"/>
              <w:left w:val="nil"/>
              <w:bottom w:val="nil"/>
              <w:right w:val="nil"/>
            </w:tcBorders>
            <w:hideMark/>
          </w:tcPr>
          <w:p w14:paraId="2086E41C" w14:textId="77777777" w:rsidR="0012132D" w:rsidRPr="00762F6A" w:rsidRDefault="0012132D" w:rsidP="00F6032C">
            <w:pPr>
              <w:keepNext/>
              <w:spacing w:after="20" w:line="240" w:lineRule="auto"/>
              <w:jc w:val="left"/>
              <w:rPr>
                <w:rFonts w:ascii="Arial" w:hAnsi="Arial"/>
                <w:color w:val="000000"/>
                <w:sz w:val="16"/>
              </w:rPr>
            </w:pPr>
            <w:r w:rsidRPr="00762F6A">
              <w:rPr>
                <w:rFonts w:ascii="Arial" w:hAnsi="Arial"/>
                <w:noProof/>
                <w:color w:val="000000"/>
                <w:sz w:val="16"/>
              </w:rPr>
              <mc:AlternateContent>
                <mc:Choice Requires="wps">
                  <w:drawing>
                    <wp:anchor distT="0" distB="0" distL="114300" distR="114300" simplePos="0" relativeHeight="251662336" behindDoc="0" locked="0" layoutInCell="1" allowOverlap="1" wp14:anchorId="2087162A" wp14:editId="1344ED04">
                      <wp:simplePos x="0" y="0"/>
                      <wp:positionH relativeFrom="column">
                        <wp:posOffset>301625</wp:posOffset>
                      </wp:positionH>
                      <wp:positionV relativeFrom="paragraph">
                        <wp:posOffset>93980</wp:posOffset>
                      </wp:positionV>
                      <wp:extent cx="1460500" cy="304800"/>
                      <wp:effectExtent l="0" t="0" r="2540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304800"/>
                              </a:xfrm>
                              <a:prstGeom prst="rect">
                                <a:avLst/>
                              </a:prstGeom>
                              <a:solidFill>
                                <a:schemeClr val="bg1">
                                  <a:lumMod val="95000"/>
                                </a:schemeClr>
                              </a:solidFill>
                              <a:ln w="3175">
                                <a:solidFill>
                                  <a:srgbClr val="000000"/>
                                </a:solidFill>
                                <a:miter lim="800000"/>
                                <a:headEnd/>
                                <a:tailEnd/>
                              </a:ln>
                            </wps:spPr>
                            <wps:txbx>
                              <w:txbxContent>
                                <w:p w14:paraId="2087164E" w14:textId="77777777" w:rsidR="009057E9" w:rsidRDefault="009057E9" w:rsidP="0012132D">
                                  <w:r>
                                    <w:t>Reference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23.75pt;margin-top:7.4pt;width:11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" fillcolor="#f2f2f2 [3052]" strokeweight=".25pt">
                      <v:textbox>
                        <w:txbxContent>
                          <w:p w14:paraId="2087164E" w14:textId="77777777" w:rsidR="009057E9" w:rsidRDefault="009057E9" w:rsidP="0012132D">
                            <w:r>
                              <w:t>Reference information</w:t>
                            </w:r>
                          </w:p>
                        </w:txbxContent>
                      </v:textbox>
                    </v:shape>
                  </w:pict>
                </mc:Fallback>
              </mc:AlternateContent>
            </w:r>
          </w:p>
        </w:tc>
        <w:tc>
          <w:tcPr>
            <w:tcW w:w="1500" w:type="dxa"/>
            <w:gridSpan w:val="2"/>
            <w:tcBorders>
              <w:top w:val="single" w:sz="2" w:space="0" w:color="auto"/>
              <w:left w:val="nil"/>
              <w:bottom w:val="nil"/>
              <w:right w:val="nil"/>
            </w:tcBorders>
            <w:hideMark/>
          </w:tcPr>
          <w:p w14:paraId="2086E41D" w14:textId="77777777" w:rsidR="0012132D" w:rsidRPr="00762F6A" w:rsidRDefault="0012132D" w:rsidP="00410B35">
            <w:pPr>
              <w:keepNext/>
              <w:spacing w:before="20" w:after="20" w:line="240" w:lineRule="auto"/>
              <w:jc w:val="left"/>
              <w:rPr>
                <w:rFonts w:ascii="Arial" w:hAnsi="Arial"/>
                <w:i/>
                <w:color w:val="000000"/>
                <w:sz w:val="16"/>
              </w:rPr>
            </w:pPr>
            <w:r w:rsidRPr="00762F6A">
              <w:rPr>
                <w:rFonts w:ascii="Arial" w:hAnsi="Arial"/>
                <w:i/>
                <w:color w:val="000000"/>
                <w:sz w:val="16"/>
              </w:rPr>
              <w:t>201</w:t>
            </w:r>
            <w:r w:rsidR="00410B35">
              <w:rPr>
                <w:rFonts w:ascii="Arial" w:hAnsi="Arial"/>
                <w:i/>
                <w:color w:val="000000"/>
                <w:sz w:val="16"/>
              </w:rPr>
              <w:t>5</w:t>
            </w:r>
            <w:r w:rsidRPr="00762F6A">
              <w:rPr>
                <w:rFonts w:ascii="Arial" w:hAnsi="Arial"/>
                <w:i/>
                <w:color w:val="000000"/>
                <w:sz w:val="16"/>
              </w:rPr>
              <w:t xml:space="preserve"> TES code:</w:t>
            </w:r>
          </w:p>
        </w:tc>
        <w:tc>
          <w:tcPr>
            <w:tcW w:w="1124" w:type="dxa"/>
            <w:gridSpan w:val="2"/>
            <w:tcBorders>
              <w:top w:val="single" w:sz="2" w:space="0" w:color="auto"/>
              <w:left w:val="nil"/>
              <w:bottom w:val="nil"/>
              <w:right w:val="nil"/>
            </w:tcBorders>
          </w:tcPr>
          <w:p w14:paraId="2086E41E" w14:textId="77777777" w:rsidR="0012132D" w:rsidRPr="00762F6A" w:rsidRDefault="0012132D" w:rsidP="00F6032C">
            <w:pPr>
              <w:keepNext/>
              <w:spacing w:before="20" w:after="20" w:line="240" w:lineRule="auto"/>
              <w:jc w:val="left"/>
              <w:rPr>
                <w:rFonts w:ascii="Arial" w:hAnsi="Arial"/>
                <w:color w:val="000000"/>
                <w:sz w:val="16"/>
              </w:rPr>
            </w:pPr>
          </w:p>
        </w:tc>
      </w:tr>
      <w:tr w:rsidR="0012132D" w:rsidRPr="00762F6A" w14:paraId="2086E424" w14:textId="77777777" w:rsidTr="00F6032C">
        <w:trPr>
          <w:cantSplit/>
          <w:jc w:val="center"/>
        </w:trPr>
        <w:tc>
          <w:tcPr>
            <w:tcW w:w="1934" w:type="dxa"/>
            <w:gridSpan w:val="2"/>
            <w:tcBorders>
              <w:top w:val="nil"/>
              <w:left w:val="nil"/>
              <w:bottom w:val="nil"/>
              <w:right w:val="nil"/>
            </w:tcBorders>
            <w:hideMark/>
          </w:tcPr>
          <w:p w14:paraId="2086E420" w14:textId="77777777" w:rsidR="0012132D" w:rsidRPr="00762F6A" w:rsidRDefault="0012132D" w:rsidP="00F6032C">
            <w:pPr>
              <w:keepNext/>
              <w:spacing w:before="20" w:after="20" w:line="240" w:lineRule="auto"/>
              <w:jc w:val="left"/>
              <w:rPr>
                <w:rFonts w:ascii="Arial" w:hAnsi="Arial"/>
                <w:i/>
                <w:color w:val="000000"/>
                <w:sz w:val="16"/>
              </w:rPr>
            </w:pPr>
            <w:r w:rsidRPr="00762F6A">
              <w:rPr>
                <w:rFonts w:ascii="Arial" w:hAnsi="Arial"/>
                <w:i/>
                <w:color w:val="000000"/>
                <w:sz w:val="16"/>
              </w:rPr>
              <w:t>Estimate Reliability:</w:t>
            </w:r>
          </w:p>
        </w:tc>
        <w:tc>
          <w:tcPr>
            <w:tcW w:w="3179" w:type="dxa"/>
            <w:gridSpan w:val="4"/>
            <w:tcBorders>
              <w:top w:val="nil"/>
              <w:left w:val="nil"/>
              <w:bottom w:val="nil"/>
              <w:right w:val="nil"/>
            </w:tcBorders>
          </w:tcPr>
          <w:p w14:paraId="2086E421" w14:textId="77777777" w:rsidR="0012132D" w:rsidRPr="00762F6A" w:rsidRDefault="0012132D" w:rsidP="00F6032C">
            <w:pPr>
              <w:keepNext/>
              <w:spacing w:before="20" w:after="20" w:line="240" w:lineRule="auto"/>
              <w:jc w:val="left"/>
              <w:rPr>
                <w:rFonts w:ascii="Arial" w:hAnsi="Arial"/>
                <w:color w:val="000000"/>
                <w:sz w:val="16"/>
              </w:rPr>
            </w:pPr>
          </w:p>
        </w:tc>
        <w:tc>
          <w:tcPr>
            <w:tcW w:w="1500" w:type="dxa"/>
            <w:gridSpan w:val="2"/>
            <w:tcBorders>
              <w:top w:val="nil"/>
              <w:left w:val="nil"/>
              <w:bottom w:val="nil"/>
              <w:right w:val="nil"/>
            </w:tcBorders>
            <w:hideMark/>
          </w:tcPr>
          <w:p w14:paraId="2086E422" w14:textId="77777777" w:rsidR="0012132D" w:rsidRPr="00762F6A" w:rsidRDefault="0012132D" w:rsidP="00F6032C">
            <w:pPr>
              <w:keepNext/>
              <w:spacing w:before="20" w:after="20" w:line="240" w:lineRule="auto"/>
              <w:jc w:val="left"/>
              <w:rPr>
                <w:rFonts w:ascii="Arial" w:hAnsi="Arial"/>
                <w:i/>
                <w:color w:val="000000"/>
                <w:sz w:val="16"/>
              </w:rPr>
            </w:pPr>
            <w:r w:rsidRPr="00762F6A">
              <w:rPr>
                <w:rFonts w:ascii="Arial" w:hAnsi="Arial"/>
                <w:i/>
                <w:color w:val="000000"/>
                <w:sz w:val="16"/>
              </w:rPr>
              <w:t>* Category:</w:t>
            </w:r>
          </w:p>
        </w:tc>
        <w:tc>
          <w:tcPr>
            <w:tcW w:w="1124" w:type="dxa"/>
            <w:gridSpan w:val="2"/>
            <w:tcBorders>
              <w:top w:val="nil"/>
              <w:left w:val="nil"/>
              <w:bottom w:val="nil"/>
              <w:right w:val="nil"/>
            </w:tcBorders>
          </w:tcPr>
          <w:p w14:paraId="2086E423" w14:textId="77777777" w:rsidR="0012132D" w:rsidRPr="00762F6A" w:rsidRDefault="0012132D" w:rsidP="00F6032C">
            <w:pPr>
              <w:keepNext/>
              <w:spacing w:before="20" w:after="20" w:line="240" w:lineRule="auto"/>
              <w:jc w:val="left"/>
              <w:rPr>
                <w:rFonts w:ascii="Arial" w:hAnsi="Arial"/>
                <w:color w:val="000000"/>
                <w:sz w:val="16"/>
              </w:rPr>
            </w:pPr>
          </w:p>
        </w:tc>
      </w:tr>
      <w:tr w:rsidR="0012132D" w:rsidRPr="00762F6A" w14:paraId="2086E429" w14:textId="77777777" w:rsidTr="00F6032C">
        <w:trPr>
          <w:cantSplit/>
          <w:jc w:val="center"/>
        </w:trPr>
        <w:tc>
          <w:tcPr>
            <w:tcW w:w="1934" w:type="dxa"/>
            <w:gridSpan w:val="2"/>
            <w:tcBorders>
              <w:top w:val="nil"/>
              <w:left w:val="nil"/>
              <w:bottom w:val="nil"/>
              <w:right w:val="nil"/>
            </w:tcBorders>
            <w:hideMark/>
          </w:tcPr>
          <w:p w14:paraId="2086E425" w14:textId="77777777" w:rsidR="0012132D" w:rsidRPr="00762F6A" w:rsidRDefault="0012132D" w:rsidP="00F6032C">
            <w:pPr>
              <w:keepNext/>
              <w:spacing w:before="20" w:after="20" w:line="240" w:lineRule="auto"/>
              <w:jc w:val="left"/>
              <w:rPr>
                <w:rFonts w:ascii="Arial" w:hAnsi="Arial"/>
                <w:i/>
                <w:color w:val="000000"/>
                <w:sz w:val="16"/>
              </w:rPr>
            </w:pPr>
            <w:r w:rsidRPr="00762F6A">
              <w:rPr>
                <w:rFonts w:ascii="Arial" w:hAnsi="Arial"/>
                <w:i/>
                <w:color w:val="000000"/>
                <w:sz w:val="16"/>
              </w:rPr>
              <w:t>Commencement date:</w:t>
            </w:r>
          </w:p>
        </w:tc>
        <w:tc>
          <w:tcPr>
            <w:tcW w:w="3179" w:type="dxa"/>
            <w:gridSpan w:val="4"/>
            <w:tcBorders>
              <w:top w:val="nil"/>
              <w:left w:val="nil"/>
              <w:bottom w:val="nil"/>
              <w:right w:val="nil"/>
            </w:tcBorders>
          </w:tcPr>
          <w:p w14:paraId="2086E426" w14:textId="77777777" w:rsidR="0012132D" w:rsidRPr="00762F6A" w:rsidRDefault="0012132D" w:rsidP="00F6032C">
            <w:pPr>
              <w:keepNext/>
              <w:spacing w:before="20" w:after="20" w:line="240" w:lineRule="auto"/>
              <w:jc w:val="left"/>
              <w:rPr>
                <w:rFonts w:ascii="Arial" w:hAnsi="Arial"/>
                <w:color w:val="000000"/>
                <w:sz w:val="16"/>
              </w:rPr>
            </w:pPr>
          </w:p>
        </w:tc>
        <w:tc>
          <w:tcPr>
            <w:tcW w:w="1500" w:type="dxa"/>
            <w:gridSpan w:val="2"/>
            <w:tcBorders>
              <w:top w:val="nil"/>
              <w:left w:val="nil"/>
              <w:bottom w:val="nil"/>
              <w:right w:val="nil"/>
            </w:tcBorders>
            <w:hideMark/>
          </w:tcPr>
          <w:p w14:paraId="2086E427" w14:textId="77777777" w:rsidR="0012132D" w:rsidRPr="00762F6A" w:rsidRDefault="0012132D" w:rsidP="00F6032C">
            <w:pPr>
              <w:keepNext/>
              <w:spacing w:before="20" w:after="20" w:line="240" w:lineRule="auto"/>
              <w:jc w:val="left"/>
              <w:rPr>
                <w:rFonts w:ascii="Arial" w:hAnsi="Arial"/>
                <w:i/>
                <w:color w:val="000000"/>
                <w:sz w:val="16"/>
              </w:rPr>
            </w:pPr>
            <w:r w:rsidRPr="00762F6A">
              <w:rPr>
                <w:rFonts w:ascii="Arial" w:hAnsi="Arial"/>
                <w:i/>
                <w:color w:val="000000"/>
                <w:sz w:val="16"/>
              </w:rPr>
              <w:t>Expiry date:</w:t>
            </w:r>
          </w:p>
        </w:tc>
        <w:tc>
          <w:tcPr>
            <w:tcW w:w="1124" w:type="dxa"/>
            <w:gridSpan w:val="2"/>
            <w:tcBorders>
              <w:top w:val="nil"/>
              <w:left w:val="nil"/>
              <w:bottom w:val="nil"/>
              <w:right w:val="nil"/>
            </w:tcBorders>
          </w:tcPr>
          <w:p w14:paraId="2086E428" w14:textId="77777777" w:rsidR="0012132D" w:rsidRPr="00762F6A" w:rsidRDefault="0012132D" w:rsidP="00F6032C">
            <w:pPr>
              <w:keepNext/>
              <w:spacing w:before="20" w:after="20" w:line="240" w:lineRule="auto"/>
              <w:jc w:val="left"/>
              <w:rPr>
                <w:rFonts w:ascii="Arial" w:hAnsi="Arial"/>
                <w:color w:val="000000"/>
                <w:sz w:val="16"/>
              </w:rPr>
            </w:pPr>
          </w:p>
        </w:tc>
      </w:tr>
      <w:tr w:rsidR="0012132D" w:rsidRPr="00762F6A" w14:paraId="2086E42C" w14:textId="77777777" w:rsidTr="00F6032C">
        <w:trPr>
          <w:cantSplit/>
          <w:jc w:val="center"/>
        </w:trPr>
        <w:tc>
          <w:tcPr>
            <w:tcW w:w="1934" w:type="dxa"/>
            <w:gridSpan w:val="2"/>
            <w:tcBorders>
              <w:top w:val="nil"/>
              <w:left w:val="nil"/>
              <w:bottom w:val="single" w:sz="2" w:space="0" w:color="auto"/>
              <w:right w:val="nil"/>
            </w:tcBorders>
            <w:hideMark/>
          </w:tcPr>
          <w:p w14:paraId="2086E42A" w14:textId="77777777" w:rsidR="0012132D" w:rsidRPr="00762F6A" w:rsidRDefault="0012132D" w:rsidP="00F6032C">
            <w:pPr>
              <w:keepNext/>
              <w:spacing w:before="20" w:after="20" w:line="240" w:lineRule="auto"/>
              <w:jc w:val="left"/>
              <w:rPr>
                <w:rFonts w:ascii="Arial" w:hAnsi="Arial"/>
                <w:i/>
                <w:color w:val="000000"/>
                <w:sz w:val="16"/>
              </w:rPr>
            </w:pPr>
            <w:r w:rsidRPr="00762F6A">
              <w:rPr>
                <w:rFonts w:ascii="Arial" w:hAnsi="Arial"/>
                <w:i/>
                <w:color w:val="000000"/>
                <w:sz w:val="16"/>
              </w:rPr>
              <w:t>Legislative reference:</w:t>
            </w:r>
          </w:p>
        </w:tc>
        <w:tc>
          <w:tcPr>
            <w:tcW w:w="5803" w:type="dxa"/>
            <w:gridSpan w:val="8"/>
            <w:tcBorders>
              <w:top w:val="nil"/>
              <w:left w:val="nil"/>
              <w:bottom w:val="single" w:sz="2" w:space="0" w:color="auto"/>
              <w:right w:val="nil"/>
            </w:tcBorders>
          </w:tcPr>
          <w:p w14:paraId="2086E42B" w14:textId="77777777" w:rsidR="0012132D" w:rsidRPr="00762F6A" w:rsidRDefault="0012132D" w:rsidP="00F6032C">
            <w:pPr>
              <w:keepNext/>
              <w:spacing w:before="20" w:after="20" w:line="240" w:lineRule="auto"/>
              <w:jc w:val="left"/>
              <w:rPr>
                <w:rFonts w:ascii="Arial" w:hAnsi="Arial"/>
                <w:color w:val="000000"/>
                <w:sz w:val="16"/>
              </w:rPr>
            </w:pPr>
          </w:p>
        </w:tc>
      </w:tr>
    </w:tbl>
    <w:p w14:paraId="2086E42D" w14:textId="77777777" w:rsidR="0012132D" w:rsidRPr="00762F6A" w:rsidRDefault="0012132D" w:rsidP="0012132D">
      <w:pPr>
        <w:spacing w:before="240" w:after="120"/>
        <w:rPr>
          <w:snapToGrid w:val="0"/>
          <w:lang w:eastAsia="en-US"/>
        </w:rPr>
      </w:pPr>
      <w:r w:rsidRPr="00762F6A">
        <w:rPr>
          <w:snapToGrid w:val="0"/>
          <w:lang w:eastAsia="en-US"/>
        </w:rPr>
        <w:t>Reference codes use the following system:</w:t>
      </w:r>
    </w:p>
    <w:p w14:paraId="2086E42E" w14:textId="77777777" w:rsidR="0012132D" w:rsidRPr="00762F6A" w:rsidRDefault="0012132D" w:rsidP="0012132D">
      <w:pPr>
        <w:spacing w:after="0"/>
        <w:ind w:left="720"/>
      </w:pPr>
      <w:r w:rsidRPr="00762F6A">
        <w:t>A</w:t>
      </w:r>
      <w:r w:rsidRPr="00762F6A">
        <w:tab/>
        <w:t>Personal income</w:t>
      </w:r>
    </w:p>
    <w:p w14:paraId="2086E42F" w14:textId="77777777" w:rsidR="0012132D" w:rsidRPr="00762F6A" w:rsidRDefault="0012132D" w:rsidP="0012132D">
      <w:pPr>
        <w:spacing w:after="0"/>
        <w:ind w:left="720"/>
      </w:pPr>
      <w:r w:rsidRPr="00762F6A">
        <w:t>B</w:t>
      </w:r>
      <w:r w:rsidRPr="00762F6A">
        <w:tab/>
        <w:t>Business income</w:t>
      </w:r>
    </w:p>
    <w:p w14:paraId="2086E430" w14:textId="77777777" w:rsidR="0012132D" w:rsidRPr="00762F6A" w:rsidRDefault="0012132D" w:rsidP="0012132D">
      <w:pPr>
        <w:spacing w:after="0"/>
        <w:ind w:left="720"/>
      </w:pPr>
      <w:r w:rsidRPr="00762F6A">
        <w:t>C</w:t>
      </w:r>
      <w:r w:rsidRPr="00762F6A">
        <w:tab/>
        <w:t xml:space="preserve">Retirement </w:t>
      </w:r>
      <w:r w:rsidR="00AA3CE3">
        <w:t>savings</w:t>
      </w:r>
    </w:p>
    <w:p w14:paraId="2086E431" w14:textId="77777777" w:rsidR="0012132D" w:rsidRPr="00762F6A" w:rsidRDefault="0012132D" w:rsidP="0012132D">
      <w:pPr>
        <w:spacing w:after="0"/>
        <w:ind w:left="720"/>
      </w:pPr>
      <w:r w:rsidRPr="00762F6A">
        <w:t>D</w:t>
      </w:r>
      <w:r w:rsidRPr="00762F6A">
        <w:tab/>
        <w:t>Fringe benefits tax</w:t>
      </w:r>
    </w:p>
    <w:p w14:paraId="2086E432" w14:textId="77777777" w:rsidR="0012132D" w:rsidRPr="00762F6A" w:rsidRDefault="0012132D" w:rsidP="0012132D">
      <w:pPr>
        <w:spacing w:after="0"/>
        <w:ind w:left="720"/>
      </w:pPr>
      <w:r w:rsidRPr="00762F6A">
        <w:t>E</w:t>
      </w:r>
      <w:r w:rsidRPr="00762F6A">
        <w:tab/>
        <w:t>Capital gains tax</w:t>
      </w:r>
    </w:p>
    <w:p w14:paraId="2086E433" w14:textId="77777777" w:rsidR="0012132D" w:rsidRPr="00762F6A" w:rsidRDefault="0012132D" w:rsidP="0012132D">
      <w:pPr>
        <w:spacing w:after="0"/>
        <w:ind w:left="720"/>
      </w:pPr>
      <w:r w:rsidRPr="00762F6A">
        <w:t>F</w:t>
      </w:r>
      <w:r w:rsidRPr="00762F6A">
        <w:tab/>
        <w:t>Commodity and other indirect taxes</w:t>
      </w:r>
    </w:p>
    <w:p w14:paraId="2086E434" w14:textId="77777777" w:rsidR="0012132D" w:rsidRPr="00762F6A" w:rsidRDefault="0012132D" w:rsidP="0012132D">
      <w:pPr>
        <w:spacing w:after="0"/>
        <w:ind w:left="720"/>
      </w:pPr>
      <w:r w:rsidRPr="00762F6A">
        <w:t>G</w:t>
      </w:r>
      <w:r w:rsidRPr="00762F6A">
        <w:tab/>
        <w:t>Natural resources taxes</w:t>
      </w:r>
    </w:p>
    <w:p w14:paraId="2086E435" w14:textId="77777777" w:rsidR="0012132D" w:rsidRPr="00762F6A" w:rsidRDefault="0012132D" w:rsidP="0012132D">
      <w:pPr>
        <w:spacing w:after="0"/>
        <w:ind w:left="720"/>
      </w:pPr>
      <w:r w:rsidRPr="00762F6A">
        <w:t>H</w:t>
      </w:r>
      <w:r w:rsidRPr="00762F6A">
        <w:tab/>
        <w:t>Goods and services tax</w:t>
      </w:r>
    </w:p>
    <w:p w14:paraId="2086E436" w14:textId="77777777" w:rsidR="0012132D" w:rsidRPr="00762F6A" w:rsidRDefault="0012132D" w:rsidP="0012132D">
      <w:pPr>
        <w:pStyle w:val="SingleParagraph"/>
      </w:pPr>
    </w:p>
    <w:p w14:paraId="2086E437" w14:textId="77777777" w:rsidR="0012132D" w:rsidRPr="00762F6A" w:rsidRDefault="0012132D" w:rsidP="0098392C">
      <w:r w:rsidRPr="00762F6A">
        <w:t>Positive estimates indicate a positive tax expenditure — that is, where a tax provision reduces tax payable relative to the benchmark. Negative estimates indicate a negative tax expenditure — that is, a tax provision that increases tax payable relative to the benchmark.</w:t>
      </w:r>
    </w:p>
    <w:p w14:paraId="2086E438" w14:textId="77777777" w:rsidR="0012132D" w:rsidRPr="00762F6A" w:rsidRDefault="0012132D" w:rsidP="0012132D">
      <w:pPr>
        <w:spacing w:after="120"/>
        <w:rPr>
          <w:snapToGrid w:val="0"/>
          <w:lang w:eastAsia="en-US"/>
        </w:rPr>
      </w:pPr>
      <w:r w:rsidRPr="00762F6A">
        <w:rPr>
          <w:snapToGrid w:val="0"/>
          <w:lang w:eastAsia="en-US"/>
        </w:rPr>
        <w:t>The following codes apply where tax expenditure estimates are not quantified:</w:t>
      </w:r>
    </w:p>
    <w:p w14:paraId="2086E439" w14:textId="77777777" w:rsidR="0012132D" w:rsidRPr="00762F6A" w:rsidRDefault="0012132D" w:rsidP="0012132D">
      <w:pPr>
        <w:spacing w:after="0"/>
        <w:ind w:left="720"/>
      </w:pPr>
      <w:r w:rsidRPr="00762F6A">
        <w:noBreakHyphen/>
      </w:r>
      <w:r w:rsidRPr="00762F6A">
        <w:rPr>
          <w:i/>
        </w:rPr>
        <w:t xml:space="preserve">  </w:t>
      </w:r>
      <w:r w:rsidRPr="00762F6A">
        <w:tab/>
        <w:t>nil</w:t>
      </w:r>
    </w:p>
    <w:p w14:paraId="2086E43A" w14:textId="77777777" w:rsidR="0012132D" w:rsidRPr="00762F6A" w:rsidRDefault="0012132D" w:rsidP="0012132D">
      <w:pPr>
        <w:spacing w:after="0"/>
        <w:ind w:left="720"/>
      </w:pPr>
      <w:r w:rsidRPr="00762F6A">
        <w:t xml:space="preserve">.. </w:t>
      </w:r>
      <w:r w:rsidRPr="00762F6A">
        <w:tab/>
        <w:t>not zero, but rounded to zero</w:t>
      </w:r>
    </w:p>
    <w:p w14:paraId="2086E43B" w14:textId="77777777" w:rsidR="0012132D" w:rsidRPr="00762F6A" w:rsidRDefault="0012132D" w:rsidP="0012132D">
      <w:pPr>
        <w:spacing w:after="0"/>
        <w:ind w:left="720"/>
      </w:pPr>
      <w:r w:rsidRPr="00762F6A">
        <w:t>*</w:t>
      </w:r>
      <w:r w:rsidRPr="00762F6A">
        <w:rPr>
          <w:i/>
        </w:rPr>
        <w:t xml:space="preserve">  </w:t>
      </w:r>
      <w:r w:rsidRPr="00762F6A">
        <w:tab/>
        <w:t>estimate is not available</w:t>
      </w:r>
    </w:p>
    <w:p w14:paraId="2086E43C" w14:textId="77777777" w:rsidR="0012132D" w:rsidRPr="00762F6A" w:rsidRDefault="0012132D" w:rsidP="0012132D">
      <w:pPr>
        <w:spacing w:after="0"/>
        <w:ind w:left="720"/>
      </w:pPr>
      <w:proofErr w:type="spellStart"/>
      <w:r w:rsidRPr="00762F6A">
        <w:rPr>
          <w:sz w:val="18"/>
          <w:szCs w:val="18"/>
        </w:rPr>
        <w:t>nfp</w:t>
      </w:r>
      <w:proofErr w:type="spellEnd"/>
      <w:r w:rsidRPr="00762F6A">
        <w:t xml:space="preserve"> </w:t>
      </w:r>
      <w:r w:rsidRPr="00762F6A">
        <w:tab/>
        <w:t>not for publication</w:t>
      </w:r>
    </w:p>
    <w:p w14:paraId="2086E43D" w14:textId="77777777" w:rsidR="0012132D" w:rsidRPr="00762F6A" w:rsidRDefault="0012132D" w:rsidP="0012132D">
      <w:pPr>
        <w:pStyle w:val="Heading2"/>
        <w:numPr>
          <w:ilvl w:val="0"/>
          <w:numId w:val="0"/>
        </w:numPr>
        <w:ind w:left="850" w:hanging="850"/>
      </w:pPr>
      <w:bookmarkStart w:id="19" w:name="_Toc441066984"/>
      <w:bookmarkStart w:id="20" w:name="_Toc472604535"/>
      <w:r w:rsidRPr="00762F6A">
        <w:lastRenderedPageBreak/>
        <w:t>2.2</w:t>
      </w:r>
      <w:r w:rsidRPr="00762F6A">
        <w:tab/>
        <w:t>Tax expenditures</w:t>
      </w:r>
      <w:bookmarkEnd w:id="19"/>
      <w:bookmarkEnd w:id="20"/>
    </w:p>
    <w:p w14:paraId="2086E43E" w14:textId="77777777" w:rsidR="00802D3E" w:rsidRDefault="00802D3E" w:rsidP="00802D3E">
      <w:pPr>
        <w:pStyle w:val="Heading3"/>
      </w:pPr>
      <w:r>
        <w:t>Personal income</w:t>
      </w:r>
    </w:p>
    <w:p w14:paraId="2086E43F" w14:textId="77777777" w:rsidR="00802D3E" w:rsidRDefault="00802D3E" w:rsidP="00802D3E">
      <w:pPr>
        <w:pStyle w:val="TESHeading5"/>
        <w:ind w:left="0" w:firstLine="0"/>
      </w:pPr>
      <w:r>
        <w:t>A1</w:t>
      </w:r>
      <w:r>
        <w:tab/>
        <w:t>Deduction for expenses incurred by election candidates</w:t>
      </w:r>
    </w:p>
    <w:p w14:paraId="2086E440" w14:textId="77777777" w:rsidR="00802D3E" w:rsidRDefault="00802D3E" w:rsidP="00802D3E">
      <w:pPr>
        <w:pStyle w:val="MeasureTableHeading"/>
      </w:pPr>
      <w:r>
        <w:t xml:space="preserve">General public services </w:t>
      </w:r>
      <w:r w:rsidR="00C853A0">
        <w:t>–</w:t>
      </w:r>
      <w:r>
        <w:t xml:space="preserve"> Legislative</w:t>
      </w:r>
      <w:r w:rsidR="00C853A0">
        <w:t xml:space="preserve"> </w:t>
      </w:r>
      <w:r>
        <w:t>and executive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449" w14:textId="77777777" w:rsidTr="00802D3E">
        <w:trPr>
          <w:cantSplit/>
          <w:jc w:val="center"/>
        </w:trPr>
        <w:tc>
          <w:tcPr>
            <w:tcW w:w="967" w:type="dxa"/>
            <w:tcBorders>
              <w:top w:val="single" w:sz="2" w:space="0" w:color="auto"/>
              <w:left w:val="nil"/>
              <w:bottom w:val="single" w:sz="2" w:space="0" w:color="auto"/>
              <w:right w:val="nil"/>
            </w:tcBorders>
            <w:hideMark/>
          </w:tcPr>
          <w:p w14:paraId="2086E44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44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44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44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44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44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44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448" w14:textId="77777777" w:rsidR="00802D3E" w:rsidRDefault="00802D3E">
            <w:pPr>
              <w:pStyle w:val="MeasureTableTextRightAligned"/>
            </w:pPr>
            <w:r>
              <w:t>2019-20</w:t>
            </w:r>
          </w:p>
        </w:tc>
      </w:tr>
      <w:tr w:rsidR="00802D3E" w14:paraId="2086E452" w14:textId="77777777" w:rsidTr="00802D3E">
        <w:trPr>
          <w:cantSplit/>
          <w:jc w:val="center"/>
        </w:trPr>
        <w:tc>
          <w:tcPr>
            <w:tcW w:w="967" w:type="dxa"/>
            <w:tcBorders>
              <w:top w:val="single" w:sz="2" w:space="0" w:color="auto"/>
              <w:left w:val="nil"/>
              <w:bottom w:val="single" w:sz="2" w:space="0" w:color="auto"/>
              <w:right w:val="nil"/>
            </w:tcBorders>
            <w:hideMark/>
          </w:tcPr>
          <w:p w14:paraId="2086E44A" w14:textId="77777777" w:rsidR="00802D3E" w:rsidRDefault="00802D3E">
            <w:pPr>
              <w:pStyle w:val="MeasureTableTextRightAligned"/>
            </w:pPr>
            <w:r>
              <w:t>2</w:t>
            </w:r>
          </w:p>
        </w:tc>
        <w:tc>
          <w:tcPr>
            <w:tcW w:w="967" w:type="dxa"/>
            <w:tcBorders>
              <w:top w:val="single" w:sz="2" w:space="0" w:color="auto"/>
              <w:left w:val="nil"/>
              <w:bottom w:val="single" w:sz="2" w:space="0" w:color="auto"/>
              <w:right w:val="nil"/>
            </w:tcBorders>
            <w:hideMark/>
          </w:tcPr>
          <w:p w14:paraId="2086E44B"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vAlign w:val="bottom"/>
            <w:hideMark/>
          </w:tcPr>
          <w:p w14:paraId="2086E44C"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vAlign w:val="bottom"/>
            <w:hideMark/>
          </w:tcPr>
          <w:p w14:paraId="2086E44D"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vAlign w:val="bottom"/>
            <w:hideMark/>
          </w:tcPr>
          <w:p w14:paraId="2086E44E" w14:textId="77777777" w:rsidR="00802D3E" w:rsidRDefault="00802D3E">
            <w:pPr>
              <w:pStyle w:val="MeasureTableTextRightAligned"/>
            </w:pPr>
            <w:r>
              <w:t>3</w:t>
            </w:r>
          </w:p>
        </w:tc>
        <w:tc>
          <w:tcPr>
            <w:tcW w:w="967" w:type="dxa"/>
            <w:gridSpan w:val="2"/>
            <w:tcBorders>
              <w:top w:val="single" w:sz="2" w:space="0" w:color="auto"/>
              <w:left w:val="nil"/>
              <w:bottom w:val="single" w:sz="2" w:space="0" w:color="auto"/>
              <w:right w:val="nil"/>
            </w:tcBorders>
            <w:vAlign w:val="bottom"/>
            <w:hideMark/>
          </w:tcPr>
          <w:p w14:paraId="2086E44F" w14:textId="77777777" w:rsidR="00802D3E" w:rsidRDefault="00802D3E">
            <w:pPr>
              <w:pStyle w:val="MeasureTableTextRightAligned"/>
            </w:pPr>
            <w:r>
              <w:t>3</w:t>
            </w:r>
          </w:p>
        </w:tc>
        <w:tc>
          <w:tcPr>
            <w:tcW w:w="967" w:type="dxa"/>
            <w:gridSpan w:val="2"/>
            <w:tcBorders>
              <w:top w:val="single" w:sz="2" w:space="0" w:color="auto"/>
              <w:left w:val="nil"/>
              <w:bottom w:val="single" w:sz="2" w:space="0" w:color="auto"/>
              <w:right w:val="nil"/>
            </w:tcBorders>
            <w:vAlign w:val="bottom"/>
            <w:hideMark/>
          </w:tcPr>
          <w:p w14:paraId="2086E450" w14:textId="77777777" w:rsidR="00802D3E" w:rsidRDefault="00802D3E">
            <w:pPr>
              <w:pStyle w:val="MeasureTableTextRightAligned"/>
            </w:pPr>
            <w:r>
              <w:t>4</w:t>
            </w:r>
          </w:p>
        </w:tc>
        <w:tc>
          <w:tcPr>
            <w:tcW w:w="968" w:type="dxa"/>
            <w:tcBorders>
              <w:top w:val="single" w:sz="2" w:space="0" w:color="auto"/>
              <w:left w:val="nil"/>
              <w:bottom w:val="single" w:sz="2" w:space="0" w:color="auto"/>
              <w:right w:val="nil"/>
            </w:tcBorders>
            <w:vAlign w:val="bottom"/>
            <w:hideMark/>
          </w:tcPr>
          <w:p w14:paraId="2086E451" w14:textId="77777777" w:rsidR="00802D3E" w:rsidRDefault="00802D3E">
            <w:pPr>
              <w:pStyle w:val="MeasureTableTextRightAligned"/>
            </w:pPr>
            <w:r>
              <w:t>4</w:t>
            </w:r>
          </w:p>
        </w:tc>
      </w:tr>
      <w:tr w:rsidR="00802D3E" w:rsidRPr="00733979" w14:paraId="2086E457" w14:textId="77777777" w:rsidTr="00802D3E">
        <w:trPr>
          <w:cantSplit/>
          <w:jc w:val="center"/>
        </w:trPr>
        <w:tc>
          <w:tcPr>
            <w:tcW w:w="1934" w:type="dxa"/>
            <w:gridSpan w:val="2"/>
            <w:tcBorders>
              <w:top w:val="single" w:sz="2" w:space="0" w:color="auto"/>
              <w:left w:val="nil"/>
              <w:bottom w:val="nil"/>
              <w:right w:val="nil"/>
            </w:tcBorders>
            <w:hideMark/>
          </w:tcPr>
          <w:p w14:paraId="2086E453" w14:textId="77777777" w:rsidR="00802D3E" w:rsidRPr="00733979" w:rsidRDefault="00802D3E">
            <w:pPr>
              <w:pStyle w:val="MeasureTableTextItalic"/>
              <w:rPr>
                <w:rFonts w:cs="Arial"/>
                <w:szCs w:val="16"/>
              </w:rPr>
            </w:pPr>
            <w:r w:rsidRPr="00733979">
              <w:rPr>
                <w:rFonts w:cs="Arial"/>
                <w:szCs w:val="16"/>
              </w:rPr>
              <w:t>Tax expenditure type:</w:t>
            </w:r>
          </w:p>
        </w:tc>
        <w:tc>
          <w:tcPr>
            <w:tcW w:w="3179" w:type="dxa"/>
            <w:gridSpan w:val="4"/>
            <w:tcBorders>
              <w:top w:val="single" w:sz="2" w:space="0" w:color="auto"/>
              <w:left w:val="nil"/>
              <w:bottom w:val="nil"/>
              <w:right w:val="nil"/>
            </w:tcBorders>
            <w:hideMark/>
          </w:tcPr>
          <w:p w14:paraId="2086E454" w14:textId="77777777" w:rsidR="00802D3E" w:rsidRPr="00733979" w:rsidRDefault="00802D3E">
            <w:pPr>
              <w:pStyle w:val="MeasureTableTextLeftAligned"/>
              <w:rPr>
                <w:rFonts w:cs="Arial"/>
                <w:szCs w:val="16"/>
              </w:rPr>
            </w:pPr>
            <w:r w:rsidRPr="00733979">
              <w:rPr>
                <w:rFonts w:cs="Arial"/>
                <w:szCs w:val="16"/>
              </w:rPr>
              <w:t>Deduction</w:t>
            </w:r>
          </w:p>
        </w:tc>
        <w:tc>
          <w:tcPr>
            <w:tcW w:w="1500" w:type="dxa"/>
            <w:gridSpan w:val="2"/>
            <w:tcBorders>
              <w:top w:val="single" w:sz="2" w:space="0" w:color="auto"/>
              <w:left w:val="nil"/>
              <w:bottom w:val="nil"/>
              <w:right w:val="nil"/>
            </w:tcBorders>
            <w:hideMark/>
          </w:tcPr>
          <w:p w14:paraId="2086E455" w14:textId="77777777" w:rsidR="00802D3E" w:rsidRPr="00733979" w:rsidRDefault="00802D3E">
            <w:pPr>
              <w:pStyle w:val="MeasureTableTextItalic"/>
              <w:rPr>
                <w:rFonts w:cs="Arial"/>
                <w:szCs w:val="16"/>
              </w:rPr>
            </w:pPr>
            <w:r w:rsidRPr="00733979">
              <w:rPr>
                <w:rFonts w:cs="Arial"/>
                <w:szCs w:val="16"/>
              </w:rPr>
              <w:t>2015 TES code:</w:t>
            </w:r>
          </w:p>
        </w:tc>
        <w:tc>
          <w:tcPr>
            <w:tcW w:w="1124" w:type="dxa"/>
            <w:gridSpan w:val="2"/>
            <w:tcBorders>
              <w:top w:val="single" w:sz="2" w:space="0" w:color="auto"/>
              <w:left w:val="nil"/>
              <w:bottom w:val="nil"/>
              <w:right w:val="nil"/>
            </w:tcBorders>
            <w:hideMark/>
          </w:tcPr>
          <w:p w14:paraId="2086E456" w14:textId="77777777" w:rsidR="00802D3E" w:rsidRPr="00733979" w:rsidRDefault="00802D3E">
            <w:pPr>
              <w:pStyle w:val="MeasureTableTextLeftAligned"/>
              <w:rPr>
                <w:rFonts w:cs="Arial"/>
                <w:szCs w:val="16"/>
              </w:rPr>
            </w:pPr>
            <w:r w:rsidRPr="00733979">
              <w:rPr>
                <w:rFonts w:cs="Arial"/>
                <w:szCs w:val="16"/>
              </w:rPr>
              <w:t>A1</w:t>
            </w:r>
          </w:p>
        </w:tc>
      </w:tr>
      <w:tr w:rsidR="00802D3E" w:rsidRPr="00733979" w14:paraId="2086E45C" w14:textId="77777777" w:rsidTr="00802D3E">
        <w:trPr>
          <w:cantSplit/>
          <w:jc w:val="center"/>
        </w:trPr>
        <w:tc>
          <w:tcPr>
            <w:tcW w:w="1934" w:type="dxa"/>
            <w:gridSpan w:val="2"/>
            <w:tcBorders>
              <w:top w:val="nil"/>
              <w:left w:val="nil"/>
              <w:bottom w:val="nil"/>
              <w:right w:val="nil"/>
            </w:tcBorders>
            <w:hideMark/>
          </w:tcPr>
          <w:p w14:paraId="2086E458" w14:textId="77777777" w:rsidR="00802D3E" w:rsidRPr="00733979" w:rsidRDefault="00802D3E">
            <w:pPr>
              <w:pStyle w:val="MeasureTableTextItalic"/>
              <w:rPr>
                <w:rFonts w:cs="Arial"/>
                <w:szCs w:val="16"/>
              </w:rPr>
            </w:pPr>
            <w:r w:rsidRPr="00733979">
              <w:rPr>
                <w:rFonts w:cs="Arial"/>
                <w:szCs w:val="16"/>
              </w:rPr>
              <w:t>Estimate Reliability:</w:t>
            </w:r>
          </w:p>
        </w:tc>
        <w:tc>
          <w:tcPr>
            <w:tcW w:w="3179" w:type="dxa"/>
            <w:gridSpan w:val="4"/>
            <w:tcBorders>
              <w:top w:val="nil"/>
              <w:left w:val="nil"/>
              <w:bottom w:val="nil"/>
              <w:right w:val="nil"/>
            </w:tcBorders>
            <w:hideMark/>
          </w:tcPr>
          <w:p w14:paraId="2086E459" w14:textId="77777777" w:rsidR="00802D3E" w:rsidRPr="00733979" w:rsidRDefault="00802D3E">
            <w:pPr>
              <w:pStyle w:val="MeasureTableTextLeftAligned"/>
              <w:rPr>
                <w:rFonts w:cs="Arial"/>
                <w:szCs w:val="16"/>
              </w:rPr>
            </w:pPr>
            <w:r w:rsidRPr="00733979">
              <w:rPr>
                <w:rFonts w:cs="Arial"/>
                <w:szCs w:val="16"/>
              </w:rPr>
              <w:t>Medium</w:t>
            </w:r>
          </w:p>
        </w:tc>
        <w:tc>
          <w:tcPr>
            <w:tcW w:w="1500" w:type="dxa"/>
            <w:gridSpan w:val="2"/>
            <w:tcBorders>
              <w:top w:val="nil"/>
              <w:left w:val="nil"/>
              <w:bottom w:val="nil"/>
              <w:right w:val="nil"/>
            </w:tcBorders>
          </w:tcPr>
          <w:p w14:paraId="2086E45A" w14:textId="77777777" w:rsidR="00802D3E" w:rsidRPr="00733979" w:rsidRDefault="00802D3E">
            <w:pPr>
              <w:pStyle w:val="MeasureTableTextItalic"/>
              <w:rPr>
                <w:rFonts w:cs="Arial"/>
                <w:szCs w:val="16"/>
              </w:rPr>
            </w:pPr>
          </w:p>
        </w:tc>
        <w:tc>
          <w:tcPr>
            <w:tcW w:w="1124" w:type="dxa"/>
            <w:gridSpan w:val="2"/>
            <w:tcBorders>
              <w:top w:val="nil"/>
              <w:left w:val="nil"/>
              <w:bottom w:val="nil"/>
              <w:right w:val="nil"/>
            </w:tcBorders>
          </w:tcPr>
          <w:p w14:paraId="2086E45B" w14:textId="77777777" w:rsidR="00802D3E" w:rsidRPr="00733979" w:rsidRDefault="00802D3E">
            <w:pPr>
              <w:pStyle w:val="MeasureTableTextLeftAligned"/>
              <w:rPr>
                <w:rFonts w:cs="Arial"/>
                <w:szCs w:val="16"/>
              </w:rPr>
            </w:pPr>
          </w:p>
        </w:tc>
      </w:tr>
      <w:tr w:rsidR="00802D3E" w:rsidRPr="00733979" w14:paraId="2086E461" w14:textId="77777777" w:rsidTr="00802D3E">
        <w:trPr>
          <w:cantSplit/>
          <w:jc w:val="center"/>
        </w:trPr>
        <w:tc>
          <w:tcPr>
            <w:tcW w:w="1934" w:type="dxa"/>
            <w:gridSpan w:val="2"/>
            <w:tcBorders>
              <w:top w:val="nil"/>
              <w:left w:val="nil"/>
              <w:bottom w:val="nil"/>
              <w:right w:val="nil"/>
            </w:tcBorders>
            <w:hideMark/>
          </w:tcPr>
          <w:p w14:paraId="2086E45D" w14:textId="77777777" w:rsidR="00802D3E" w:rsidRPr="00733979" w:rsidRDefault="00802D3E">
            <w:pPr>
              <w:pStyle w:val="MeasureTableTextItalic"/>
              <w:rPr>
                <w:rFonts w:cs="Arial"/>
                <w:szCs w:val="16"/>
              </w:rPr>
            </w:pPr>
            <w:r w:rsidRPr="00733979">
              <w:rPr>
                <w:rFonts w:cs="Arial"/>
                <w:szCs w:val="16"/>
              </w:rPr>
              <w:t>Commencement date:</w:t>
            </w:r>
          </w:p>
        </w:tc>
        <w:tc>
          <w:tcPr>
            <w:tcW w:w="3179" w:type="dxa"/>
            <w:gridSpan w:val="4"/>
            <w:tcBorders>
              <w:top w:val="nil"/>
              <w:left w:val="nil"/>
              <w:bottom w:val="nil"/>
              <w:right w:val="nil"/>
            </w:tcBorders>
            <w:hideMark/>
          </w:tcPr>
          <w:p w14:paraId="2086E45E" w14:textId="77777777" w:rsidR="00802D3E" w:rsidRPr="00733979" w:rsidRDefault="00802D3E">
            <w:pPr>
              <w:pStyle w:val="MeasureTableTextLeftAligned"/>
              <w:rPr>
                <w:rFonts w:cs="Arial"/>
                <w:szCs w:val="16"/>
              </w:rPr>
            </w:pPr>
            <w:r w:rsidRPr="00733979">
              <w:rPr>
                <w:rFonts w:cs="Arial"/>
                <w:szCs w:val="16"/>
              </w:rPr>
              <w:t>Introduced before 1985</w:t>
            </w:r>
          </w:p>
        </w:tc>
        <w:tc>
          <w:tcPr>
            <w:tcW w:w="1500" w:type="dxa"/>
            <w:gridSpan w:val="2"/>
            <w:tcBorders>
              <w:top w:val="nil"/>
              <w:left w:val="nil"/>
              <w:bottom w:val="nil"/>
              <w:right w:val="nil"/>
            </w:tcBorders>
            <w:hideMark/>
          </w:tcPr>
          <w:p w14:paraId="2086E45F" w14:textId="77777777" w:rsidR="00802D3E" w:rsidRPr="00733979" w:rsidRDefault="00802D3E">
            <w:pPr>
              <w:pStyle w:val="MeasureTableTextItalic"/>
              <w:rPr>
                <w:rFonts w:cs="Arial"/>
                <w:szCs w:val="16"/>
              </w:rPr>
            </w:pPr>
            <w:r w:rsidRPr="00733979">
              <w:rPr>
                <w:rFonts w:cs="Arial"/>
                <w:szCs w:val="16"/>
              </w:rPr>
              <w:t>Expiry date:</w:t>
            </w:r>
          </w:p>
        </w:tc>
        <w:tc>
          <w:tcPr>
            <w:tcW w:w="1124" w:type="dxa"/>
            <w:gridSpan w:val="2"/>
            <w:tcBorders>
              <w:top w:val="nil"/>
              <w:left w:val="nil"/>
              <w:bottom w:val="nil"/>
              <w:right w:val="nil"/>
            </w:tcBorders>
          </w:tcPr>
          <w:p w14:paraId="2086E460" w14:textId="77777777" w:rsidR="00802D3E" w:rsidRPr="00733979" w:rsidRDefault="00802D3E">
            <w:pPr>
              <w:pStyle w:val="MeasureTableTextLeftAligned"/>
              <w:rPr>
                <w:rFonts w:cs="Arial"/>
                <w:szCs w:val="16"/>
              </w:rPr>
            </w:pPr>
          </w:p>
        </w:tc>
      </w:tr>
      <w:tr w:rsidR="00802D3E" w:rsidRPr="00733979" w14:paraId="2086E464" w14:textId="77777777" w:rsidTr="00802D3E">
        <w:trPr>
          <w:cantSplit/>
          <w:jc w:val="center"/>
        </w:trPr>
        <w:tc>
          <w:tcPr>
            <w:tcW w:w="1934" w:type="dxa"/>
            <w:gridSpan w:val="2"/>
            <w:tcBorders>
              <w:top w:val="nil"/>
              <w:left w:val="nil"/>
              <w:bottom w:val="single" w:sz="2" w:space="0" w:color="auto"/>
              <w:right w:val="nil"/>
            </w:tcBorders>
            <w:hideMark/>
          </w:tcPr>
          <w:p w14:paraId="2086E462" w14:textId="77777777" w:rsidR="00802D3E" w:rsidRPr="00733979" w:rsidRDefault="00802D3E">
            <w:pPr>
              <w:pStyle w:val="MeasureTableTextItalic"/>
              <w:rPr>
                <w:rFonts w:cs="Arial"/>
                <w:szCs w:val="16"/>
              </w:rPr>
            </w:pPr>
            <w:r w:rsidRPr="00733979">
              <w:rPr>
                <w:rFonts w:cs="Arial"/>
                <w:szCs w:val="16"/>
              </w:rPr>
              <w:t>Legislative reference:</w:t>
            </w:r>
          </w:p>
        </w:tc>
        <w:tc>
          <w:tcPr>
            <w:tcW w:w="5803" w:type="dxa"/>
            <w:gridSpan w:val="8"/>
            <w:tcBorders>
              <w:top w:val="nil"/>
              <w:left w:val="nil"/>
              <w:bottom w:val="single" w:sz="2" w:space="0" w:color="auto"/>
              <w:right w:val="nil"/>
            </w:tcBorders>
            <w:hideMark/>
          </w:tcPr>
          <w:p w14:paraId="2086E463" w14:textId="77777777" w:rsidR="00802D3E" w:rsidRPr="00733979" w:rsidRDefault="00802D3E" w:rsidP="00733979">
            <w:pPr>
              <w:widowControl w:val="0"/>
              <w:autoSpaceDE w:val="0"/>
              <w:autoSpaceDN w:val="0"/>
              <w:adjustRightInd w:val="0"/>
              <w:spacing w:after="0" w:line="240" w:lineRule="auto"/>
              <w:jc w:val="left"/>
              <w:rPr>
                <w:rFonts w:ascii="Arial" w:hAnsi="Arial" w:cs="Arial"/>
                <w:sz w:val="16"/>
                <w:szCs w:val="16"/>
              </w:rPr>
            </w:pPr>
            <w:r w:rsidRPr="00733979">
              <w:rPr>
                <w:rFonts w:ascii="Arial" w:hAnsi="Arial" w:cs="Arial"/>
                <w:sz w:val="16"/>
                <w:szCs w:val="16"/>
              </w:rPr>
              <w:t xml:space="preserve">Sections 25-60, 25-65 and 25-70 of the </w:t>
            </w:r>
            <w:r w:rsidRPr="00733979">
              <w:rPr>
                <w:rFonts w:ascii="Arial" w:hAnsi="Arial" w:cs="Arial"/>
                <w:i/>
                <w:iCs/>
                <w:color w:val="000000"/>
                <w:sz w:val="16"/>
                <w:szCs w:val="16"/>
              </w:rPr>
              <w:t>Income Tax Assessment Act 1997</w:t>
            </w:r>
          </w:p>
        </w:tc>
      </w:tr>
    </w:tbl>
    <w:p w14:paraId="2086E465" w14:textId="77777777" w:rsidR="00802D3E" w:rsidRDefault="00802D3E" w:rsidP="0098392C">
      <w:pPr>
        <w:pStyle w:val="SingleParagraph"/>
      </w:pPr>
    </w:p>
    <w:p w14:paraId="2086E466" w14:textId="2DC54A87" w:rsidR="00802D3E" w:rsidRDefault="00802D3E" w:rsidP="00802D3E">
      <w:r>
        <w:t>Certain expenses incurred by candidates</w:t>
      </w:r>
      <w:r>
        <w:fldChar w:fldCharType="begin"/>
      </w:r>
      <w:r>
        <w:instrText xml:space="preserve"> XE "Election candidates" </w:instrText>
      </w:r>
      <w:r>
        <w:fldChar w:fldCharType="end"/>
      </w:r>
      <w:r>
        <w:t xml:space="preserve"> contesting federal, state and territory government elections are tax deductible, irrespective of whether they are successful or not. For local government elections, candidates can deduct expenses of up to $1,000</w:t>
      </w:r>
      <w:r w:rsidR="009057E9">
        <w:t> </w:t>
      </w:r>
      <w:r>
        <w:t xml:space="preserve">per election. </w:t>
      </w:r>
    </w:p>
    <w:p w14:paraId="2086E467" w14:textId="77777777" w:rsidR="00802D3E" w:rsidRDefault="00802D3E" w:rsidP="00802D3E">
      <w:pPr>
        <w:pStyle w:val="TESHeading5"/>
        <w:ind w:left="0" w:firstLine="0"/>
      </w:pPr>
      <w:r>
        <w:t>A2</w:t>
      </w:r>
      <w:r>
        <w:tab/>
        <w:t>Exemption of certain income earned by Australians working overseas</w:t>
      </w:r>
    </w:p>
    <w:p w14:paraId="2086E468" w14:textId="77777777" w:rsidR="00802D3E" w:rsidRDefault="00802D3E" w:rsidP="00802D3E">
      <w:pPr>
        <w:pStyle w:val="MeasureTableHeading"/>
      </w:pPr>
      <w:r>
        <w:t xml:space="preserve">General public services </w:t>
      </w:r>
      <w:r w:rsidR="00C853A0">
        <w:t>–</w:t>
      </w:r>
      <w:r>
        <w:t xml:space="preserve"> Foreign</w:t>
      </w:r>
      <w:r w:rsidR="00C853A0">
        <w:t xml:space="preserve"> </w:t>
      </w:r>
      <w:r>
        <w:t>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471" w14:textId="77777777" w:rsidTr="00802D3E">
        <w:trPr>
          <w:cantSplit/>
          <w:jc w:val="center"/>
        </w:trPr>
        <w:tc>
          <w:tcPr>
            <w:tcW w:w="967" w:type="dxa"/>
            <w:tcBorders>
              <w:top w:val="single" w:sz="2" w:space="0" w:color="auto"/>
              <w:left w:val="nil"/>
              <w:bottom w:val="single" w:sz="2" w:space="0" w:color="auto"/>
              <w:right w:val="nil"/>
            </w:tcBorders>
            <w:hideMark/>
          </w:tcPr>
          <w:p w14:paraId="2086E46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46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46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46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46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46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46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470" w14:textId="77777777" w:rsidR="00802D3E" w:rsidRDefault="00802D3E">
            <w:pPr>
              <w:pStyle w:val="MeasureTableTextRightAligned"/>
            </w:pPr>
            <w:r>
              <w:t>2019-20</w:t>
            </w:r>
          </w:p>
        </w:tc>
      </w:tr>
      <w:tr w:rsidR="00802D3E" w14:paraId="2086E47A" w14:textId="77777777" w:rsidTr="00802D3E">
        <w:trPr>
          <w:cantSplit/>
          <w:jc w:val="center"/>
        </w:trPr>
        <w:tc>
          <w:tcPr>
            <w:tcW w:w="967" w:type="dxa"/>
            <w:tcBorders>
              <w:top w:val="single" w:sz="2" w:space="0" w:color="auto"/>
              <w:left w:val="nil"/>
              <w:bottom w:val="single" w:sz="2" w:space="0" w:color="auto"/>
              <w:right w:val="nil"/>
            </w:tcBorders>
            <w:hideMark/>
          </w:tcPr>
          <w:p w14:paraId="2086E472" w14:textId="77777777" w:rsidR="00802D3E" w:rsidRDefault="00802D3E">
            <w:pPr>
              <w:pStyle w:val="MeasureTableTextRightAligned"/>
            </w:pPr>
            <w:r>
              <w:t>60</w:t>
            </w:r>
          </w:p>
        </w:tc>
        <w:tc>
          <w:tcPr>
            <w:tcW w:w="967" w:type="dxa"/>
            <w:tcBorders>
              <w:top w:val="single" w:sz="2" w:space="0" w:color="auto"/>
              <w:left w:val="nil"/>
              <w:bottom w:val="single" w:sz="2" w:space="0" w:color="auto"/>
              <w:right w:val="nil"/>
            </w:tcBorders>
            <w:hideMark/>
          </w:tcPr>
          <w:p w14:paraId="2086E473" w14:textId="77777777" w:rsidR="00802D3E" w:rsidRDefault="00802D3E">
            <w:pPr>
              <w:pStyle w:val="MeasureTableTextRightAligned"/>
            </w:pPr>
            <w:r>
              <w:t>50</w:t>
            </w:r>
          </w:p>
        </w:tc>
        <w:tc>
          <w:tcPr>
            <w:tcW w:w="967" w:type="dxa"/>
            <w:tcBorders>
              <w:top w:val="single" w:sz="2" w:space="0" w:color="auto"/>
              <w:left w:val="nil"/>
              <w:bottom w:val="single" w:sz="2" w:space="0" w:color="auto"/>
              <w:right w:val="nil"/>
            </w:tcBorders>
            <w:vAlign w:val="bottom"/>
            <w:hideMark/>
          </w:tcPr>
          <w:p w14:paraId="2086E474" w14:textId="77777777" w:rsidR="00802D3E" w:rsidRDefault="00802D3E">
            <w:pPr>
              <w:pStyle w:val="MeasureTableTextRightAligned"/>
            </w:pPr>
            <w:r>
              <w:t>45</w:t>
            </w:r>
          </w:p>
        </w:tc>
        <w:tc>
          <w:tcPr>
            <w:tcW w:w="967" w:type="dxa"/>
            <w:tcBorders>
              <w:top w:val="single" w:sz="2" w:space="0" w:color="auto"/>
              <w:left w:val="nil"/>
              <w:bottom w:val="single" w:sz="2" w:space="0" w:color="auto"/>
              <w:right w:val="nil"/>
            </w:tcBorders>
            <w:vAlign w:val="bottom"/>
            <w:hideMark/>
          </w:tcPr>
          <w:p w14:paraId="2086E475" w14:textId="77777777" w:rsidR="00802D3E" w:rsidRDefault="00802D3E">
            <w:pPr>
              <w:pStyle w:val="MeasureTableTextRightAligned"/>
            </w:pPr>
            <w:r>
              <w:t>45</w:t>
            </w:r>
          </w:p>
        </w:tc>
        <w:tc>
          <w:tcPr>
            <w:tcW w:w="967" w:type="dxa"/>
            <w:tcBorders>
              <w:top w:val="single" w:sz="2" w:space="0" w:color="auto"/>
              <w:left w:val="nil"/>
              <w:bottom w:val="single" w:sz="2" w:space="0" w:color="auto"/>
              <w:right w:val="nil"/>
            </w:tcBorders>
            <w:vAlign w:val="bottom"/>
            <w:hideMark/>
          </w:tcPr>
          <w:p w14:paraId="2086E476" w14:textId="77777777" w:rsidR="00802D3E" w:rsidRDefault="00802D3E">
            <w:pPr>
              <w:pStyle w:val="MeasureTableTextRightAligned"/>
            </w:pPr>
            <w:r>
              <w:t>40</w:t>
            </w:r>
          </w:p>
        </w:tc>
        <w:tc>
          <w:tcPr>
            <w:tcW w:w="967" w:type="dxa"/>
            <w:gridSpan w:val="2"/>
            <w:tcBorders>
              <w:top w:val="single" w:sz="2" w:space="0" w:color="auto"/>
              <w:left w:val="nil"/>
              <w:bottom w:val="single" w:sz="2" w:space="0" w:color="auto"/>
              <w:right w:val="nil"/>
            </w:tcBorders>
            <w:vAlign w:val="bottom"/>
            <w:hideMark/>
          </w:tcPr>
          <w:p w14:paraId="2086E477" w14:textId="77777777" w:rsidR="00802D3E" w:rsidRDefault="00802D3E">
            <w:pPr>
              <w:pStyle w:val="MeasureTableTextRightAligned"/>
            </w:pPr>
            <w:r>
              <w:t>35</w:t>
            </w:r>
          </w:p>
        </w:tc>
        <w:tc>
          <w:tcPr>
            <w:tcW w:w="967" w:type="dxa"/>
            <w:gridSpan w:val="2"/>
            <w:tcBorders>
              <w:top w:val="single" w:sz="2" w:space="0" w:color="auto"/>
              <w:left w:val="nil"/>
              <w:bottom w:val="single" w:sz="2" w:space="0" w:color="auto"/>
              <w:right w:val="nil"/>
            </w:tcBorders>
            <w:vAlign w:val="bottom"/>
            <w:hideMark/>
          </w:tcPr>
          <w:p w14:paraId="2086E478" w14:textId="77777777" w:rsidR="00802D3E" w:rsidRDefault="00802D3E">
            <w:pPr>
              <w:pStyle w:val="MeasureTableTextRightAligned"/>
            </w:pPr>
            <w:r>
              <w:t>35</w:t>
            </w:r>
          </w:p>
        </w:tc>
        <w:tc>
          <w:tcPr>
            <w:tcW w:w="968" w:type="dxa"/>
            <w:tcBorders>
              <w:top w:val="single" w:sz="2" w:space="0" w:color="auto"/>
              <w:left w:val="nil"/>
              <w:bottom w:val="single" w:sz="2" w:space="0" w:color="auto"/>
              <w:right w:val="nil"/>
            </w:tcBorders>
            <w:vAlign w:val="bottom"/>
            <w:hideMark/>
          </w:tcPr>
          <w:p w14:paraId="2086E479" w14:textId="77777777" w:rsidR="00802D3E" w:rsidRDefault="00802D3E">
            <w:pPr>
              <w:pStyle w:val="MeasureTableTextRightAligned"/>
            </w:pPr>
            <w:r>
              <w:t>40</w:t>
            </w:r>
          </w:p>
        </w:tc>
      </w:tr>
      <w:tr w:rsidR="00802D3E" w14:paraId="2086E47F" w14:textId="77777777" w:rsidTr="00802D3E">
        <w:trPr>
          <w:cantSplit/>
          <w:jc w:val="center"/>
        </w:trPr>
        <w:tc>
          <w:tcPr>
            <w:tcW w:w="1934" w:type="dxa"/>
            <w:gridSpan w:val="2"/>
            <w:tcBorders>
              <w:top w:val="single" w:sz="2" w:space="0" w:color="auto"/>
              <w:left w:val="nil"/>
              <w:bottom w:val="nil"/>
              <w:right w:val="nil"/>
            </w:tcBorders>
            <w:hideMark/>
          </w:tcPr>
          <w:p w14:paraId="2086E47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47C"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47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47E" w14:textId="77777777" w:rsidR="00802D3E" w:rsidRDefault="00802D3E">
            <w:pPr>
              <w:pStyle w:val="MeasureTableTextLeftAligned"/>
            </w:pPr>
            <w:r>
              <w:t>A2</w:t>
            </w:r>
          </w:p>
        </w:tc>
      </w:tr>
      <w:tr w:rsidR="00802D3E" w14:paraId="2086E484" w14:textId="77777777" w:rsidTr="00802D3E">
        <w:trPr>
          <w:cantSplit/>
          <w:jc w:val="center"/>
        </w:trPr>
        <w:tc>
          <w:tcPr>
            <w:tcW w:w="1934" w:type="dxa"/>
            <w:gridSpan w:val="2"/>
            <w:tcBorders>
              <w:top w:val="nil"/>
              <w:left w:val="nil"/>
              <w:bottom w:val="nil"/>
              <w:right w:val="nil"/>
            </w:tcBorders>
            <w:hideMark/>
          </w:tcPr>
          <w:p w14:paraId="2086E48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481"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482" w14:textId="77777777" w:rsidR="00802D3E" w:rsidRDefault="00802D3E">
            <w:pPr>
              <w:pStyle w:val="MeasureTableTextItalic"/>
            </w:pPr>
          </w:p>
        </w:tc>
        <w:tc>
          <w:tcPr>
            <w:tcW w:w="1124" w:type="dxa"/>
            <w:gridSpan w:val="2"/>
            <w:tcBorders>
              <w:top w:val="nil"/>
              <w:left w:val="nil"/>
              <w:bottom w:val="nil"/>
              <w:right w:val="nil"/>
            </w:tcBorders>
          </w:tcPr>
          <w:p w14:paraId="2086E483" w14:textId="77777777" w:rsidR="00802D3E" w:rsidRDefault="00802D3E">
            <w:pPr>
              <w:pStyle w:val="MeasureTableTextLeftAligned"/>
            </w:pPr>
          </w:p>
        </w:tc>
      </w:tr>
      <w:tr w:rsidR="00802D3E" w14:paraId="2086E489" w14:textId="77777777" w:rsidTr="00802D3E">
        <w:trPr>
          <w:cantSplit/>
          <w:jc w:val="center"/>
        </w:trPr>
        <w:tc>
          <w:tcPr>
            <w:tcW w:w="1934" w:type="dxa"/>
            <w:gridSpan w:val="2"/>
            <w:tcBorders>
              <w:top w:val="nil"/>
              <w:left w:val="nil"/>
              <w:bottom w:val="nil"/>
              <w:right w:val="nil"/>
            </w:tcBorders>
            <w:hideMark/>
          </w:tcPr>
          <w:p w14:paraId="2086E48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486"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E487"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488" w14:textId="77777777" w:rsidR="00802D3E" w:rsidRDefault="00802D3E">
            <w:pPr>
              <w:pStyle w:val="MeasureTableTextLeftAligned"/>
            </w:pPr>
          </w:p>
        </w:tc>
      </w:tr>
      <w:tr w:rsidR="00802D3E" w14:paraId="2086E48C" w14:textId="77777777" w:rsidTr="00802D3E">
        <w:trPr>
          <w:cantSplit/>
          <w:jc w:val="center"/>
        </w:trPr>
        <w:tc>
          <w:tcPr>
            <w:tcW w:w="1934" w:type="dxa"/>
            <w:gridSpan w:val="2"/>
            <w:tcBorders>
              <w:top w:val="nil"/>
              <w:left w:val="nil"/>
              <w:bottom w:val="single" w:sz="2" w:space="0" w:color="auto"/>
              <w:right w:val="nil"/>
            </w:tcBorders>
            <w:hideMark/>
          </w:tcPr>
          <w:p w14:paraId="2086E48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48B" w14:textId="77777777" w:rsidR="00802D3E" w:rsidRPr="00733979" w:rsidRDefault="00802D3E" w:rsidP="00733979">
            <w:pPr>
              <w:widowControl w:val="0"/>
              <w:autoSpaceDE w:val="0"/>
              <w:autoSpaceDN w:val="0"/>
              <w:adjustRightInd w:val="0"/>
              <w:spacing w:after="0" w:line="240" w:lineRule="auto"/>
              <w:jc w:val="left"/>
              <w:rPr>
                <w:rFonts w:ascii="Arial" w:hAnsi="Arial" w:cs="Arial"/>
                <w:sz w:val="16"/>
                <w:szCs w:val="16"/>
              </w:rPr>
            </w:pPr>
            <w:r w:rsidRPr="00733979">
              <w:rPr>
                <w:rFonts w:ascii="Arial" w:hAnsi="Arial" w:cs="Arial"/>
                <w:sz w:val="16"/>
                <w:szCs w:val="16"/>
              </w:rPr>
              <w:t xml:space="preserve">Sections 23AF and 23AG of the </w:t>
            </w:r>
            <w:r w:rsidRPr="00733979">
              <w:rPr>
                <w:rFonts w:ascii="Arial" w:hAnsi="Arial" w:cs="Arial"/>
                <w:i/>
                <w:iCs/>
                <w:color w:val="000000"/>
                <w:sz w:val="16"/>
                <w:szCs w:val="16"/>
              </w:rPr>
              <w:t>Income Tax Assessment Act 1936</w:t>
            </w:r>
          </w:p>
        </w:tc>
      </w:tr>
    </w:tbl>
    <w:p w14:paraId="2086E48D" w14:textId="77777777" w:rsidR="00802D3E" w:rsidRDefault="00802D3E" w:rsidP="0098392C">
      <w:pPr>
        <w:pStyle w:val="SingleParagraph"/>
      </w:pPr>
    </w:p>
    <w:p w14:paraId="2086E48E" w14:textId="77777777" w:rsidR="00802D3E" w:rsidRDefault="00802D3E" w:rsidP="00802D3E">
      <w:r>
        <w:t>Income earned by Australians working overseas for a continuous period of 91 days or more may be exempt from income tax if they are employed to work on certain approved overseas projects or if their foreign employment is directly attributable to:</w:t>
      </w:r>
    </w:p>
    <w:p w14:paraId="2086E48F" w14:textId="2A1910FD" w:rsidR="00802D3E" w:rsidRDefault="00802D3E" w:rsidP="0098392C">
      <w:pPr>
        <w:pStyle w:val="Bullet"/>
      </w:pPr>
      <w:r>
        <w:t>the delivery of Australia’s overseas aid program by the individual’s employer (since 1 July 2016, Australian government employees have been ineligible for this</w:t>
      </w:r>
      <w:r w:rsidR="000D10E0">
        <w:t> </w:t>
      </w:r>
      <w:r>
        <w:t>exemption);</w:t>
      </w:r>
    </w:p>
    <w:p w14:paraId="2086E490" w14:textId="77777777" w:rsidR="00802D3E" w:rsidRDefault="00802D3E" w:rsidP="0098392C">
      <w:pPr>
        <w:pStyle w:val="Bullet"/>
      </w:pPr>
      <w:r>
        <w:t>the activities of the individual’s employer in operating a developing country relief fund or a public disaster relief fund;</w:t>
      </w:r>
    </w:p>
    <w:p w14:paraId="2086E491" w14:textId="77777777" w:rsidR="00802D3E" w:rsidRDefault="00802D3E" w:rsidP="0098392C">
      <w:pPr>
        <w:pStyle w:val="Bullet"/>
      </w:pPr>
      <w:r>
        <w:t>the activities of the individual’s employer being a prescribed institution that is exempt from Australian income tax;</w:t>
      </w:r>
    </w:p>
    <w:p w14:paraId="2086E492" w14:textId="77777777" w:rsidR="00802D3E" w:rsidRDefault="00802D3E" w:rsidP="0098392C">
      <w:pPr>
        <w:pStyle w:val="Bullet"/>
      </w:pPr>
      <w:r>
        <w:t>the individual’s deployment outside Australia by an Australian government (or an authority thereof) as a member of a disciplined force; or</w:t>
      </w:r>
    </w:p>
    <w:p w14:paraId="2086E493" w14:textId="77777777" w:rsidR="00802D3E" w:rsidRDefault="00802D3E" w:rsidP="0098392C">
      <w:pPr>
        <w:pStyle w:val="Bullet"/>
      </w:pPr>
      <w:r>
        <w:t>an activity of a kind specified in the regulations.</w:t>
      </w:r>
    </w:p>
    <w:p w14:paraId="2086E494" w14:textId="77777777" w:rsidR="00802D3E" w:rsidRDefault="00802D3E" w:rsidP="00802D3E">
      <w:r>
        <w:lastRenderedPageBreak/>
        <w:t xml:space="preserve">This exemption may not apply where the foreign earnings are exempt from income tax in the foreign country. </w:t>
      </w:r>
    </w:p>
    <w:p w14:paraId="2086E495" w14:textId="77777777" w:rsidR="00802D3E" w:rsidRDefault="00802D3E" w:rsidP="00802D3E">
      <w:pPr>
        <w:pStyle w:val="TESHeading5"/>
        <w:ind w:left="0" w:firstLine="0"/>
      </w:pPr>
      <w:r>
        <w:t>A3</w:t>
      </w:r>
      <w:r>
        <w:tab/>
        <w:t>Exemption of income of certain visitors to Australia</w:t>
      </w:r>
    </w:p>
    <w:p w14:paraId="2086E496" w14:textId="77777777" w:rsidR="00802D3E" w:rsidRDefault="00802D3E" w:rsidP="00802D3E">
      <w:pPr>
        <w:pStyle w:val="MeasureTableHeading"/>
      </w:pPr>
      <w:r>
        <w:t xml:space="preserve">General public services </w:t>
      </w:r>
      <w:r w:rsidR="00C853A0">
        <w:t>–</w:t>
      </w:r>
      <w:r>
        <w:t xml:space="preserve"> Foreign</w:t>
      </w:r>
      <w:r w:rsidR="00C853A0">
        <w:t xml:space="preserve"> </w:t>
      </w:r>
      <w:r>
        <w:t>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49F" w14:textId="77777777" w:rsidTr="00802D3E">
        <w:trPr>
          <w:cantSplit/>
          <w:jc w:val="center"/>
        </w:trPr>
        <w:tc>
          <w:tcPr>
            <w:tcW w:w="967" w:type="dxa"/>
            <w:tcBorders>
              <w:top w:val="single" w:sz="2" w:space="0" w:color="auto"/>
              <w:left w:val="nil"/>
              <w:bottom w:val="single" w:sz="2" w:space="0" w:color="auto"/>
              <w:right w:val="nil"/>
            </w:tcBorders>
            <w:hideMark/>
          </w:tcPr>
          <w:p w14:paraId="2086E49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49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49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49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49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49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49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49E" w14:textId="77777777" w:rsidR="00802D3E" w:rsidRDefault="00802D3E">
            <w:pPr>
              <w:pStyle w:val="MeasureTableTextRightAligned"/>
            </w:pPr>
            <w:r>
              <w:t>2019-20</w:t>
            </w:r>
          </w:p>
        </w:tc>
      </w:tr>
      <w:tr w:rsidR="00802D3E" w14:paraId="2086E4A8" w14:textId="77777777" w:rsidTr="00802D3E">
        <w:trPr>
          <w:cantSplit/>
          <w:jc w:val="center"/>
        </w:trPr>
        <w:tc>
          <w:tcPr>
            <w:tcW w:w="967" w:type="dxa"/>
            <w:tcBorders>
              <w:top w:val="single" w:sz="2" w:space="0" w:color="auto"/>
              <w:left w:val="nil"/>
              <w:bottom w:val="single" w:sz="2" w:space="0" w:color="auto"/>
              <w:right w:val="nil"/>
            </w:tcBorders>
            <w:hideMark/>
          </w:tcPr>
          <w:p w14:paraId="2086E4A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4A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4A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4A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4A4"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4A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4A6"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4A7" w14:textId="77777777" w:rsidR="00802D3E" w:rsidRDefault="00802D3E">
            <w:pPr>
              <w:pStyle w:val="MeasureTableTextRightAligned"/>
            </w:pPr>
            <w:r>
              <w:t>*</w:t>
            </w:r>
          </w:p>
        </w:tc>
      </w:tr>
      <w:tr w:rsidR="00802D3E" w14:paraId="2086E4AD" w14:textId="77777777" w:rsidTr="00802D3E">
        <w:trPr>
          <w:cantSplit/>
          <w:jc w:val="center"/>
        </w:trPr>
        <w:tc>
          <w:tcPr>
            <w:tcW w:w="1934" w:type="dxa"/>
            <w:gridSpan w:val="2"/>
            <w:tcBorders>
              <w:top w:val="single" w:sz="2" w:space="0" w:color="auto"/>
              <w:left w:val="nil"/>
              <w:bottom w:val="nil"/>
              <w:right w:val="nil"/>
            </w:tcBorders>
            <w:hideMark/>
          </w:tcPr>
          <w:p w14:paraId="2086E4A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4AA"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4A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4AC" w14:textId="77777777" w:rsidR="00802D3E" w:rsidRDefault="00802D3E">
            <w:pPr>
              <w:pStyle w:val="MeasureTableTextLeftAligned"/>
            </w:pPr>
            <w:r>
              <w:t>A3</w:t>
            </w:r>
          </w:p>
        </w:tc>
      </w:tr>
      <w:tr w:rsidR="00802D3E" w14:paraId="2086E4B2" w14:textId="77777777" w:rsidTr="00802D3E">
        <w:trPr>
          <w:cantSplit/>
          <w:jc w:val="center"/>
        </w:trPr>
        <w:tc>
          <w:tcPr>
            <w:tcW w:w="1934" w:type="dxa"/>
            <w:gridSpan w:val="2"/>
            <w:tcBorders>
              <w:top w:val="nil"/>
              <w:left w:val="nil"/>
              <w:bottom w:val="nil"/>
              <w:right w:val="nil"/>
            </w:tcBorders>
            <w:hideMark/>
          </w:tcPr>
          <w:p w14:paraId="2086E4A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4AF"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4B0"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4B1" w14:textId="77777777" w:rsidR="00802D3E" w:rsidRDefault="00802D3E">
            <w:pPr>
              <w:pStyle w:val="MeasureTableTextLeftAligned"/>
            </w:pPr>
            <w:r>
              <w:t>1+</w:t>
            </w:r>
          </w:p>
        </w:tc>
      </w:tr>
      <w:tr w:rsidR="00802D3E" w14:paraId="2086E4B7" w14:textId="77777777" w:rsidTr="00802D3E">
        <w:trPr>
          <w:cantSplit/>
          <w:jc w:val="center"/>
        </w:trPr>
        <w:tc>
          <w:tcPr>
            <w:tcW w:w="1934" w:type="dxa"/>
            <w:gridSpan w:val="2"/>
            <w:tcBorders>
              <w:top w:val="nil"/>
              <w:left w:val="nil"/>
              <w:bottom w:val="nil"/>
              <w:right w:val="nil"/>
            </w:tcBorders>
            <w:hideMark/>
          </w:tcPr>
          <w:p w14:paraId="2086E4B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4B4"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4B5"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4B6" w14:textId="77777777" w:rsidR="00802D3E" w:rsidRDefault="00802D3E">
            <w:pPr>
              <w:pStyle w:val="MeasureTableTextLeftAligned"/>
            </w:pPr>
          </w:p>
        </w:tc>
      </w:tr>
      <w:tr w:rsidR="00802D3E" w14:paraId="2086E4BA" w14:textId="77777777" w:rsidTr="00802D3E">
        <w:trPr>
          <w:cantSplit/>
          <w:jc w:val="center"/>
        </w:trPr>
        <w:tc>
          <w:tcPr>
            <w:tcW w:w="1934" w:type="dxa"/>
            <w:gridSpan w:val="2"/>
            <w:tcBorders>
              <w:top w:val="nil"/>
              <w:left w:val="nil"/>
              <w:bottom w:val="single" w:sz="2" w:space="0" w:color="auto"/>
              <w:right w:val="nil"/>
            </w:tcBorders>
            <w:hideMark/>
          </w:tcPr>
          <w:p w14:paraId="2086E4B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4B9" w14:textId="77777777" w:rsidR="00802D3E" w:rsidRDefault="00802D3E" w:rsidP="00733979">
            <w:pPr>
              <w:widowControl w:val="0"/>
              <w:autoSpaceDE w:val="0"/>
              <w:autoSpaceDN w:val="0"/>
              <w:adjustRightInd w:val="0"/>
              <w:spacing w:after="0" w:line="240" w:lineRule="auto"/>
              <w:jc w:val="left"/>
            </w:pPr>
            <w:r>
              <w:rPr>
                <w:rFonts w:ascii="Arial" w:hAnsi="Arial" w:cs="Arial"/>
                <w:color w:val="000000"/>
                <w:sz w:val="16"/>
                <w:szCs w:val="16"/>
              </w:rPr>
              <w:t>Sections 842-105 and 768-100 of the</w:t>
            </w:r>
            <w:r>
              <w:rPr>
                <w:rFonts w:ascii="Arial" w:hAnsi="Arial" w:cs="Arial"/>
                <w:i/>
                <w:iCs/>
                <w:color w:val="000000"/>
                <w:sz w:val="16"/>
                <w:szCs w:val="16"/>
              </w:rPr>
              <w:t xml:space="preserve"> Income Tax Assessment Act 1997</w:t>
            </w:r>
          </w:p>
        </w:tc>
      </w:tr>
    </w:tbl>
    <w:p w14:paraId="2086E4BB" w14:textId="77777777" w:rsidR="00802D3E" w:rsidRDefault="00802D3E" w:rsidP="0098392C">
      <w:pPr>
        <w:pStyle w:val="SingleParagraph"/>
      </w:pPr>
    </w:p>
    <w:p w14:paraId="2086E4BC" w14:textId="77777777" w:rsidR="00802D3E" w:rsidRDefault="00802D3E" w:rsidP="00802D3E">
      <w:r>
        <w:t xml:space="preserve">The Australian-sourced income of certain visitors to Australia (for example, visiting foreign government representatives and their entourages) is exempt from income tax. In addition, the official salary and foreign-sourced income of, for example, foreign government representatives visiting Australia when the Vienna Conventions on Consular or Diplomatic Relations do not apply, are exempt from income tax where their home countries provide a reciprocal exemption. </w:t>
      </w:r>
      <w:r>
        <w:fldChar w:fldCharType="begin"/>
      </w:r>
      <w:r>
        <w:instrText xml:space="preserve"> XE "Visitors to Australia" </w:instrText>
      </w:r>
      <w:r>
        <w:fldChar w:fldCharType="end"/>
      </w:r>
      <w:r>
        <w:fldChar w:fldCharType="begin"/>
      </w:r>
      <w:r>
        <w:instrText xml:space="preserve"> XE "Foreign forces" </w:instrText>
      </w:r>
      <w:r>
        <w:fldChar w:fldCharType="end"/>
      </w:r>
    </w:p>
    <w:p w14:paraId="2086E4BD" w14:textId="77777777" w:rsidR="00802D3E" w:rsidRDefault="00802D3E" w:rsidP="00802D3E">
      <w:pPr>
        <w:pStyle w:val="TESHeading5"/>
        <w:ind w:left="0" w:firstLine="0"/>
      </w:pPr>
      <w:r>
        <w:t>A4</w:t>
      </w:r>
      <w:r>
        <w:tab/>
        <w:t>Exemption of official remuneration of officials of prescribed international organisations</w:t>
      </w:r>
    </w:p>
    <w:p w14:paraId="2086E4BE" w14:textId="77777777" w:rsidR="00802D3E" w:rsidRDefault="00802D3E" w:rsidP="00802D3E">
      <w:pPr>
        <w:pStyle w:val="MeasureTableHeading"/>
      </w:pPr>
      <w:r>
        <w:t xml:space="preserve">General public services </w:t>
      </w:r>
      <w:r w:rsidR="00C853A0">
        <w:t>–</w:t>
      </w:r>
      <w:r>
        <w:t xml:space="preserve"> Foreign</w:t>
      </w:r>
      <w:r w:rsidR="00C853A0">
        <w:t xml:space="preserve"> </w:t>
      </w:r>
      <w:r>
        <w:t>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4C7" w14:textId="77777777" w:rsidTr="00802D3E">
        <w:trPr>
          <w:cantSplit/>
          <w:jc w:val="center"/>
        </w:trPr>
        <w:tc>
          <w:tcPr>
            <w:tcW w:w="967" w:type="dxa"/>
            <w:tcBorders>
              <w:top w:val="single" w:sz="2" w:space="0" w:color="auto"/>
              <w:left w:val="nil"/>
              <w:bottom w:val="single" w:sz="2" w:space="0" w:color="auto"/>
              <w:right w:val="nil"/>
            </w:tcBorders>
            <w:hideMark/>
          </w:tcPr>
          <w:p w14:paraId="2086E4B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4C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4C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4C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4C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4C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4C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4C6" w14:textId="77777777" w:rsidR="00802D3E" w:rsidRDefault="00802D3E">
            <w:pPr>
              <w:pStyle w:val="MeasureTableTextRightAligned"/>
            </w:pPr>
            <w:r>
              <w:t>2019-20</w:t>
            </w:r>
          </w:p>
        </w:tc>
      </w:tr>
      <w:tr w:rsidR="00802D3E" w14:paraId="2086E4D0" w14:textId="77777777" w:rsidTr="00802D3E">
        <w:trPr>
          <w:cantSplit/>
          <w:jc w:val="center"/>
        </w:trPr>
        <w:tc>
          <w:tcPr>
            <w:tcW w:w="967" w:type="dxa"/>
            <w:tcBorders>
              <w:top w:val="single" w:sz="2" w:space="0" w:color="auto"/>
              <w:left w:val="nil"/>
              <w:bottom w:val="single" w:sz="2" w:space="0" w:color="auto"/>
              <w:right w:val="nil"/>
            </w:tcBorders>
            <w:hideMark/>
          </w:tcPr>
          <w:p w14:paraId="2086E4C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4C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4C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4C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4CC"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4C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4CE"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4CF" w14:textId="77777777" w:rsidR="00802D3E" w:rsidRDefault="00802D3E">
            <w:pPr>
              <w:pStyle w:val="MeasureTableTextRightAligned"/>
            </w:pPr>
            <w:r>
              <w:t>*</w:t>
            </w:r>
          </w:p>
        </w:tc>
      </w:tr>
      <w:tr w:rsidR="00802D3E" w14:paraId="2086E4D5" w14:textId="77777777" w:rsidTr="00802D3E">
        <w:trPr>
          <w:cantSplit/>
          <w:jc w:val="center"/>
        </w:trPr>
        <w:tc>
          <w:tcPr>
            <w:tcW w:w="1934" w:type="dxa"/>
            <w:gridSpan w:val="2"/>
            <w:tcBorders>
              <w:top w:val="single" w:sz="2" w:space="0" w:color="auto"/>
              <w:left w:val="nil"/>
              <w:bottom w:val="nil"/>
              <w:right w:val="nil"/>
            </w:tcBorders>
            <w:hideMark/>
          </w:tcPr>
          <w:p w14:paraId="2086E4D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4D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4D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4D4" w14:textId="77777777" w:rsidR="00802D3E" w:rsidRDefault="00802D3E">
            <w:pPr>
              <w:pStyle w:val="MeasureTableTextLeftAligned"/>
            </w:pPr>
            <w:r>
              <w:t>A4</w:t>
            </w:r>
          </w:p>
        </w:tc>
      </w:tr>
      <w:tr w:rsidR="00802D3E" w14:paraId="2086E4DA" w14:textId="77777777" w:rsidTr="00802D3E">
        <w:trPr>
          <w:cantSplit/>
          <w:jc w:val="center"/>
        </w:trPr>
        <w:tc>
          <w:tcPr>
            <w:tcW w:w="1934" w:type="dxa"/>
            <w:gridSpan w:val="2"/>
            <w:tcBorders>
              <w:top w:val="nil"/>
              <w:left w:val="nil"/>
              <w:bottom w:val="nil"/>
              <w:right w:val="nil"/>
            </w:tcBorders>
            <w:hideMark/>
          </w:tcPr>
          <w:p w14:paraId="2086E4D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4D7"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4D8"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4D9" w14:textId="77777777" w:rsidR="00802D3E" w:rsidRDefault="00802D3E">
            <w:pPr>
              <w:pStyle w:val="MeasureTableTextLeftAligned"/>
            </w:pPr>
            <w:r>
              <w:t>2+</w:t>
            </w:r>
          </w:p>
        </w:tc>
      </w:tr>
      <w:tr w:rsidR="00802D3E" w14:paraId="2086E4DF" w14:textId="77777777" w:rsidTr="00802D3E">
        <w:trPr>
          <w:cantSplit/>
          <w:jc w:val="center"/>
        </w:trPr>
        <w:tc>
          <w:tcPr>
            <w:tcW w:w="1934" w:type="dxa"/>
            <w:gridSpan w:val="2"/>
            <w:tcBorders>
              <w:top w:val="nil"/>
              <w:left w:val="nil"/>
              <w:bottom w:val="nil"/>
              <w:right w:val="nil"/>
            </w:tcBorders>
            <w:hideMark/>
          </w:tcPr>
          <w:p w14:paraId="2086E4D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4DC"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4DD"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4DE" w14:textId="77777777" w:rsidR="00802D3E" w:rsidRDefault="00802D3E">
            <w:pPr>
              <w:pStyle w:val="MeasureTableTextLeftAligned"/>
            </w:pPr>
          </w:p>
        </w:tc>
      </w:tr>
      <w:tr w:rsidR="00802D3E" w14:paraId="2086E4E2" w14:textId="77777777" w:rsidTr="00802D3E">
        <w:trPr>
          <w:cantSplit/>
          <w:jc w:val="center"/>
        </w:trPr>
        <w:tc>
          <w:tcPr>
            <w:tcW w:w="1934" w:type="dxa"/>
            <w:gridSpan w:val="2"/>
            <w:tcBorders>
              <w:top w:val="nil"/>
              <w:left w:val="nil"/>
              <w:bottom w:val="single" w:sz="2" w:space="0" w:color="auto"/>
              <w:right w:val="nil"/>
            </w:tcBorders>
            <w:hideMark/>
          </w:tcPr>
          <w:p w14:paraId="2086E4E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4E1" w14:textId="77777777" w:rsidR="00802D3E" w:rsidRDefault="00802D3E" w:rsidP="00733979">
            <w:pPr>
              <w:widowControl w:val="0"/>
              <w:autoSpaceDE w:val="0"/>
              <w:autoSpaceDN w:val="0"/>
              <w:adjustRightInd w:val="0"/>
              <w:spacing w:after="0" w:line="240" w:lineRule="auto"/>
              <w:jc w:val="left"/>
            </w:pPr>
            <w:r>
              <w:rPr>
                <w:rFonts w:ascii="Arial" w:hAnsi="Arial" w:cs="Arial"/>
                <w:i/>
                <w:iCs/>
                <w:color w:val="000000"/>
                <w:sz w:val="16"/>
                <w:szCs w:val="16"/>
              </w:rPr>
              <w:t>International Organisations (Privileges and Immunities) Act 1963</w:t>
            </w:r>
          </w:p>
        </w:tc>
      </w:tr>
    </w:tbl>
    <w:p w14:paraId="2086E4E3" w14:textId="77777777" w:rsidR="00802D3E" w:rsidRDefault="00802D3E" w:rsidP="0098392C">
      <w:pPr>
        <w:pStyle w:val="SingleParagraph"/>
      </w:pPr>
    </w:p>
    <w:p w14:paraId="2086E4E4" w14:textId="77777777" w:rsidR="00802D3E" w:rsidRDefault="00802D3E" w:rsidP="00802D3E">
      <w:r>
        <w:t>The official remuneration of officials of prescribed international organisations (such as the Organisation for Economic Cooperation and Development)</w:t>
      </w:r>
      <w:r>
        <w:fldChar w:fldCharType="begin"/>
      </w:r>
      <w:r>
        <w:instrText xml:space="preserve"> XE "International organisations" </w:instrText>
      </w:r>
      <w:r>
        <w:fldChar w:fldCharType="end"/>
      </w:r>
      <w:r>
        <w:t xml:space="preserve"> may be exempt from income tax as part of the privileges and immunities required under the terms of certain international agreements. </w:t>
      </w:r>
    </w:p>
    <w:p w14:paraId="2086E4E5" w14:textId="02CDD2E8" w:rsidR="00802D3E" w:rsidRDefault="00802D3E" w:rsidP="00802D3E">
      <w:pPr>
        <w:pStyle w:val="TESHeading5"/>
        <w:ind w:left="0" w:firstLine="0"/>
      </w:pPr>
      <w:r>
        <w:lastRenderedPageBreak/>
        <w:t>A5</w:t>
      </w:r>
      <w:r>
        <w:tab/>
        <w:t>Exemption from income tax and the Medicare levy for residents of Norfolk</w:t>
      </w:r>
      <w:r w:rsidR="000D10E0">
        <w:t> </w:t>
      </w:r>
      <w:r>
        <w:t>Island</w:t>
      </w:r>
    </w:p>
    <w:p w14:paraId="2086E4E6" w14:textId="77777777" w:rsidR="00802D3E" w:rsidRDefault="00802D3E" w:rsidP="00802D3E">
      <w:pPr>
        <w:pStyle w:val="MeasureTableHeading"/>
      </w:pPr>
      <w:r>
        <w:t xml:space="preserve">General public services </w:t>
      </w:r>
      <w:r w:rsidR="00C853A0">
        <w:t>–</w:t>
      </w:r>
      <w:r>
        <w:t xml:space="preserve"> General</w:t>
      </w:r>
      <w:r w:rsidR="00C853A0">
        <w:t xml:space="preserve"> </w:t>
      </w:r>
      <w:r>
        <w:t>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4EF" w14:textId="77777777" w:rsidTr="00802D3E">
        <w:trPr>
          <w:cantSplit/>
          <w:jc w:val="center"/>
        </w:trPr>
        <w:tc>
          <w:tcPr>
            <w:tcW w:w="967" w:type="dxa"/>
            <w:tcBorders>
              <w:top w:val="single" w:sz="2" w:space="0" w:color="auto"/>
              <w:left w:val="nil"/>
              <w:bottom w:val="single" w:sz="2" w:space="0" w:color="auto"/>
              <w:right w:val="nil"/>
            </w:tcBorders>
            <w:hideMark/>
          </w:tcPr>
          <w:p w14:paraId="2086E4E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4E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4E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4E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4E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4E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4E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4EE" w14:textId="77777777" w:rsidR="00802D3E" w:rsidRDefault="00802D3E">
            <w:pPr>
              <w:pStyle w:val="MeasureTableTextRightAligned"/>
            </w:pPr>
            <w:r>
              <w:t>2019-20</w:t>
            </w:r>
          </w:p>
        </w:tc>
      </w:tr>
      <w:tr w:rsidR="00802D3E" w14:paraId="2086E4F8" w14:textId="77777777" w:rsidTr="00802D3E">
        <w:trPr>
          <w:cantSplit/>
          <w:jc w:val="center"/>
        </w:trPr>
        <w:tc>
          <w:tcPr>
            <w:tcW w:w="967" w:type="dxa"/>
            <w:tcBorders>
              <w:top w:val="single" w:sz="2" w:space="0" w:color="auto"/>
              <w:left w:val="nil"/>
              <w:bottom w:val="single" w:sz="2" w:space="0" w:color="auto"/>
              <w:right w:val="nil"/>
            </w:tcBorders>
            <w:hideMark/>
          </w:tcPr>
          <w:p w14:paraId="2086E4F0" w14:textId="77777777" w:rsidR="00802D3E" w:rsidRDefault="00802D3E">
            <w:pPr>
              <w:pStyle w:val="MeasureTableTextRightAligned"/>
            </w:pPr>
            <w:r>
              <w:t>6</w:t>
            </w:r>
          </w:p>
        </w:tc>
        <w:tc>
          <w:tcPr>
            <w:tcW w:w="967" w:type="dxa"/>
            <w:tcBorders>
              <w:top w:val="single" w:sz="2" w:space="0" w:color="auto"/>
              <w:left w:val="nil"/>
              <w:bottom w:val="single" w:sz="2" w:space="0" w:color="auto"/>
              <w:right w:val="nil"/>
            </w:tcBorders>
            <w:hideMark/>
          </w:tcPr>
          <w:p w14:paraId="2086E4F1" w14:textId="77777777" w:rsidR="00802D3E" w:rsidRDefault="00802D3E">
            <w:pPr>
              <w:pStyle w:val="MeasureTableTextRightAligned"/>
            </w:pPr>
            <w:r>
              <w:t>7</w:t>
            </w:r>
          </w:p>
        </w:tc>
        <w:tc>
          <w:tcPr>
            <w:tcW w:w="967" w:type="dxa"/>
            <w:tcBorders>
              <w:top w:val="single" w:sz="2" w:space="0" w:color="auto"/>
              <w:left w:val="nil"/>
              <w:bottom w:val="single" w:sz="2" w:space="0" w:color="auto"/>
              <w:right w:val="nil"/>
            </w:tcBorders>
            <w:vAlign w:val="bottom"/>
            <w:hideMark/>
          </w:tcPr>
          <w:p w14:paraId="2086E4F2" w14:textId="77777777" w:rsidR="00802D3E" w:rsidRDefault="00802D3E">
            <w:pPr>
              <w:pStyle w:val="MeasureTableTextRightAligned"/>
            </w:pPr>
            <w:r>
              <w:t>7</w:t>
            </w:r>
          </w:p>
        </w:tc>
        <w:tc>
          <w:tcPr>
            <w:tcW w:w="967" w:type="dxa"/>
            <w:tcBorders>
              <w:top w:val="single" w:sz="2" w:space="0" w:color="auto"/>
              <w:left w:val="nil"/>
              <w:bottom w:val="single" w:sz="2" w:space="0" w:color="auto"/>
              <w:right w:val="nil"/>
            </w:tcBorders>
            <w:vAlign w:val="bottom"/>
            <w:hideMark/>
          </w:tcPr>
          <w:p w14:paraId="2086E4F3" w14:textId="77777777" w:rsidR="00802D3E" w:rsidRDefault="00802D3E">
            <w:pPr>
              <w:pStyle w:val="MeasureTableTextRightAligned"/>
            </w:pPr>
            <w:r>
              <w:t>7</w:t>
            </w:r>
          </w:p>
        </w:tc>
        <w:tc>
          <w:tcPr>
            <w:tcW w:w="967" w:type="dxa"/>
            <w:tcBorders>
              <w:top w:val="single" w:sz="2" w:space="0" w:color="auto"/>
              <w:left w:val="nil"/>
              <w:bottom w:val="single" w:sz="2" w:space="0" w:color="auto"/>
              <w:right w:val="nil"/>
            </w:tcBorders>
            <w:vAlign w:val="bottom"/>
            <w:hideMark/>
          </w:tcPr>
          <w:p w14:paraId="2086E4F4"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4F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4F6"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4F7" w14:textId="77777777" w:rsidR="00802D3E" w:rsidRDefault="00802D3E">
            <w:pPr>
              <w:pStyle w:val="MeasureTableTextRightAligned"/>
            </w:pPr>
            <w:r>
              <w:t>..</w:t>
            </w:r>
          </w:p>
        </w:tc>
      </w:tr>
      <w:tr w:rsidR="00802D3E" w14:paraId="2086E4FD" w14:textId="77777777" w:rsidTr="00802D3E">
        <w:trPr>
          <w:cantSplit/>
          <w:jc w:val="center"/>
        </w:trPr>
        <w:tc>
          <w:tcPr>
            <w:tcW w:w="1934" w:type="dxa"/>
            <w:gridSpan w:val="2"/>
            <w:tcBorders>
              <w:top w:val="single" w:sz="2" w:space="0" w:color="auto"/>
              <w:left w:val="nil"/>
              <w:bottom w:val="nil"/>
              <w:right w:val="nil"/>
            </w:tcBorders>
            <w:hideMark/>
          </w:tcPr>
          <w:p w14:paraId="2086E4F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4FA"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4F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4FC" w14:textId="77777777" w:rsidR="00802D3E" w:rsidRDefault="00802D3E">
            <w:pPr>
              <w:pStyle w:val="MeasureTableTextLeftAligned"/>
            </w:pPr>
            <w:r>
              <w:t>A5</w:t>
            </w:r>
          </w:p>
        </w:tc>
      </w:tr>
      <w:tr w:rsidR="00802D3E" w14:paraId="2086E502" w14:textId="77777777" w:rsidTr="00802D3E">
        <w:trPr>
          <w:cantSplit/>
          <w:jc w:val="center"/>
        </w:trPr>
        <w:tc>
          <w:tcPr>
            <w:tcW w:w="1934" w:type="dxa"/>
            <w:gridSpan w:val="2"/>
            <w:tcBorders>
              <w:top w:val="nil"/>
              <w:left w:val="nil"/>
              <w:bottom w:val="nil"/>
              <w:right w:val="nil"/>
            </w:tcBorders>
            <w:hideMark/>
          </w:tcPr>
          <w:p w14:paraId="2086E4F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4FF" w14:textId="77777777" w:rsidR="00802D3E" w:rsidRDefault="00802D3E">
            <w:pPr>
              <w:pStyle w:val="MeasureTableTextLeftAligned"/>
            </w:pPr>
            <w:r>
              <w:t>Low</w:t>
            </w:r>
          </w:p>
        </w:tc>
        <w:tc>
          <w:tcPr>
            <w:tcW w:w="1500" w:type="dxa"/>
            <w:gridSpan w:val="2"/>
            <w:tcBorders>
              <w:top w:val="nil"/>
              <w:left w:val="nil"/>
              <w:bottom w:val="nil"/>
              <w:right w:val="nil"/>
            </w:tcBorders>
          </w:tcPr>
          <w:p w14:paraId="2086E500" w14:textId="77777777" w:rsidR="00802D3E" w:rsidRDefault="00802D3E">
            <w:pPr>
              <w:pStyle w:val="MeasureTableTextItalic"/>
            </w:pPr>
          </w:p>
        </w:tc>
        <w:tc>
          <w:tcPr>
            <w:tcW w:w="1124" w:type="dxa"/>
            <w:gridSpan w:val="2"/>
            <w:tcBorders>
              <w:top w:val="nil"/>
              <w:left w:val="nil"/>
              <w:bottom w:val="nil"/>
              <w:right w:val="nil"/>
            </w:tcBorders>
          </w:tcPr>
          <w:p w14:paraId="2086E501" w14:textId="77777777" w:rsidR="00802D3E" w:rsidRDefault="00802D3E">
            <w:pPr>
              <w:pStyle w:val="MeasureTableTextLeftAligned"/>
            </w:pPr>
          </w:p>
        </w:tc>
      </w:tr>
      <w:tr w:rsidR="00802D3E" w14:paraId="2086E507" w14:textId="77777777" w:rsidTr="00802D3E">
        <w:trPr>
          <w:cantSplit/>
          <w:jc w:val="center"/>
        </w:trPr>
        <w:tc>
          <w:tcPr>
            <w:tcW w:w="1934" w:type="dxa"/>
            <w:gridSpan w:val="2"/>
            <w:tcBorders>
              <w:top w:val="nil"/>
              <w:left w:val="nil"/>
              <w:bottom w:val="nil"/>
              <w:right w:val="nil"/>
            </w:tcBorders>
            <w:hideMark/>
          </w:tcPr>
          <w:p w14:paraId="2086E50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504"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505" w14:textId="77777777" w:rsidR="00802D3E" w:rsidRDefault="00802D3E">
            <w:pPr>
              <w:pStyle w:val="MeasureTableTextItalic"/>
            </w:pPr>
            <w:r>
              <w:t>Expiry date:</w:t>
            </w:r>
          </w:p>
        </w:tc>
        <w:tc>
          <w:tcPr>
            <w:tcW w:w="1124" w:type="dxa"/>
            <w:gridSpan w:val="2"/>
            <w:tcBorders>
              <w:top w:val="nil"/>
              <w:left w:val="nil"/>
              <w:bottom w:val="nil"/>
              <w:right w:val="nil"/>
            </w:tcBorders>
            <w:hideMark/>
          </w:tcPr>
          <w:p w14:paraId="2086E506" w14:textId="77777777" w:rsidR="00802D3E" w:rsidRDefault="00802D3E" w:rsidP="00A25100">
            <w:pPr>
              <w:pStyle w:val="MeasureTableTextLeftAligned"/>
            </w:pPr>
            <w:r>
              <w:t>30 Jun 2016</w:t>
            </w:r>
          </w:p>
        </w:tc>
      </w:tr>
      <w:tr w:rsidR="00802D3E" w14:paraId="2086E50A" w14:textId="77777777" w:rsidTr="00802D3E">
        <w:trPr>
          <w:cantSplit/>
          <w:jc w:val="center"/>
        </w:trPr>
        <w:tc>
          <w:tcPr>
            <w:tcW w:w="1934" w:type="dxa"/>
            <w:gridSpan w:val="2"/>
            <w:tcBorders>
              <w:top w:val="nil"/>
              <w:left w:val="nil"/>
              <w:bottom w:val="single" w:sz="2" w:space="0" w:color="auto"/>
              <w:right w:val="nil"/>
            </w:tcBorders>
            <w:hideMark/>
          </w:tcPr>
          <w:p w14:paraId="2086E50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509" w14:textId="77777777" w:rsidR="00802D3E" w:rsidRDefault="00802D3E" w:rsidP="00D258A5">
            <w:pPr>
              <w:widowControl w:val="0"/>
              <w:autoSpaceDE w:val="0"/>
              <w:autoSpaceDN w:val="0"/>
              <w:adjustRightInd w:val="0"/>
              <w:spacing w:after="0" w:line="240" w:lineRule="auto"/>
              <w:jc w:val="left"/>
            </w:pPr>
            <w:r>
              <w:rPr>
                <w:rFonts w:ascii="Arial" w:hAnsi="Arial" w:cs="Arial"/>
                <w:color w:val="000000"/>
                <w:sz w:val="16"/>
                <w:szCs w:val="16"/>
              </w:rPr>
              <w:t xml:space="preserve">Division 1A of Part III and Sections 251T and 251U of the </w:t>
            </w:r>
            <w:r>
              <w:rPr>
                <w:rFonts w:ascii="Arial" w:hAnsi="Arial" w:cs="Arial"/>
                <w:i/>
                <w:iCs/>
                <w:color w:val="000000"/>
                <w:sz w:val="16"/>
                <w:szCs w:val="16"/>
              </w:rPr>
              <w:t>Income Tax Assessment Act 1936</w:t>
            </w:r>
          </w:p>
        </w:tc>
      </w:tr>
    </w:tbl>
    <w:p w14:paraId="2086E50B" w14:textId="77777777" w:rsidR="00802D3E" w:rsidRDefault="00802D3E" w:rsidP="0098392C">
      <w:pPr>
        <w:pStyle w:val="SingleParagraph"/>
      </w:pPr>
    </w:p>
    <w:p w14:paraId="2086E50C" w14:textId="77777777" w:rsidR="00802D3E" w:rsidRDefault="00802D3E" w:rsidP="00802D3E">
      <w:r>
        <w:t>Prior to 1 July 2016, income earned by residents of Norfolk Island</w:t>
      </w:r>
      <w:r>
        <w:fldChar w:fldCharType="begin"/>
      </w:r>
      <w:r>
        <w:instrText xml:space="preserve"> XE "Norfolk Island residents" </w:instrText>
      </w:r>
      <w:r>
        <w:fldChar w:fldCharType="end"/>
      </w:r>
      <w:r>
        <w:t xml:space="preserve"> was exempt from income tax and the Medicare levy. Assets acquired by Norfolk Island residents before 24 October 2015 generally remain exempt from capital gains tax. </w:t>
      </w:r>
    </w:p>
    <w:p w14:paraId="2086E50D" w14:textId="77777777" w:rsidR="00802D3E" w:rsidRDefault="00802D3E" w:rsidP="00802D3E">
      <w:pPr>
        <w:pStyle w:val="TESHeading5"/>
        <w:ind w:left="0" w:firstLine="0"/>
      </w:pPr>
      <w:r>
        <w:t>A6</w:t>
      </w:r>
      <w:r>
        <w:tab/>
        <w:t>Australian Defence Force personnel — exemption of certain allowances</w:t>
      </w:r>
    </w:p>
    <w:p w14:paraId="2086E50E"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517" w14:textId="77777777" w:rsidTr="00802D3E">
        <w:trPr>
          <w:cantSplit/>
          <w:jc w:val="center"/>
        </w:trPr>
        <w:tc>
          <w:tcPr>
            <w:tcW w:w="967" w:type="dxa"/>
            <w:tcBorders>
              <w:top w:val="single" w:sz="2" w:space="0" w:color="auto"/>
              <w:left w:val="nil"/>
              <w:bottom w:val="single" w:sz="2" w:space="0" w:color="auto"/>
              <w:right w:val="nil"/>
            </w:tcBorders>
            <w:hideMark/>
          </w:tcPr>
          <w:p w14:paraId="2086E50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51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51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51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51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51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51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516" w14:textId="77777777" w:rsidR="00802D3E" w:rsidRDefault="00802D3E">
            <w:pPr>
              <w:pStyle w:val="MeasureTableTextRightAligned"/>
            </w:pPr>
            <w:r>
              <w:t>2019-20</w:t>
            </w:r>
          </w:p>
        </w:tc>
      </w:tr>
      <w:tr w:rsidR="00802D3E" w14:paraId="2086E520" w14:textId="77777777" w:rsidTr="00802D3E">
        <w:trPr>
          <w:cantSplit/>
          <w:jc w:val="center"/>
        </w:trPr>
        <w:tc>
          <w:tcPr>
            <w:tcW w:w="967" w:type="dxa"/>
            <w:tcBorders>
              <w:top w:val="single" w:sz="2" w:space="0" w:color="auto"/>
              <w:left w:val="nil"/>
              <w:bottom w:val="single" w:sz="2" w:space="0" w:color="auto"/>
              <w:right w:val="nil"/>
            </w:tcBorders>
            <w:hideMark/>
          </w:tcPr>
          <w:p w14:paraId="2086E518" w14:textId="77777777" w:rsidR="00802D3E" w:rsidRDefault="00802D3E">
            <w:pPr>
              <w:pStyle w:val="MeasureTableTextRightAligned"/>
            </w:pPr>
            <w:r>
              <w:t>85</w:t>
            </w:r>
          </w:p>
        </w:tc>
        <w:tc>
          <w:tcPr>
            <w:tcW w:w="967" w:type="dxa"/>
            <w:tcBorders>
              <w:top w:val="single" w:sz="2" w:space="0" w:color="auto"/>
              <w:left w:val="nil"/>
              <w:bottom w:val="single" w:sz="2" w:space="0" w:color="auto"/>
              <w:right w:val="nil"/>
            </w:tcBorders>
            <w:hideMark/>
          </w:tcPr>
          <w:p w14:paraId="2086E519"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6E51A" w14:textId="77777777" w:rsidR="00802D3E" w:rsidRDefault="00802D3E">
            <w:pPr>
              <w:pStyle w:val="MeasureTableTextRightAligned"/>
            </w:pPr>
            <w:r>
              <w:t>35</w:t>
            </w:r>
          </w:p>
        </w:tc>
        <w:tc>
          <w:tcPr>
            <w:tcW w:w="967" w:type="dxa"/>
            <w:tcBorders>
              <w:top w:val="single" w:sz="2" w:space="0" w:color="auto"/>
              <w:left w:val="nil"/>
              <w:bottom w:val="single" w:sz="2" w:space="0" w:color="auto"/>
              <w:right w:val="nil"/>
            </w:tcBorders>
            <w:vAlign w:val="bottom"/>
            <w:hideMark/>
          </w:tcPr>
          <w:p w14:paraId="2086E51B" w14:textId="77777777" w:rsidR="00802D3E" w:rsidRDefault="00802D3E">
            <w:pPr>
              <w:pStyle w:val="MeasureTableTextRightAligned"/>
            </w:pPr>
            <w:r>
              <w:t>40</w:t>
            </w:r>
          </w:p>
        </w:tc>
        <w:tc>
          <w:tcPr>
            <w:tcW w:w="967" w:type="dxa"/>
            <w:tcBorders>
              <w:top w:val="single" w:sz="2" w:space="0" w:color="auto"/>
              <w:left w:val="nil"/>
              <w:bottom w:val="single" w:sz="2" w:space="0" w:color="auto"/>
              <w:right w:val="nil"/>
            </w:tcBorders>
            <w:vAlign w:val="bottom"/>
            <w:hideMark/>
          </w:tcPr>
          <w:p w14:paraId="2086E51C" w14:textId="77777777" w:rsidR="00802D3E" w:rsidRDefault="00802D3E">
            <w:pPr>
              <w:pStyle w:val="MeasureTableTextRightAligned"/>
            </w:pPr>
            <w:r>
              <w:t>40</w:t>
            </w:r>
          </w:p>
        </w:tc>
        <w:tc>
          <w:tcPr>
            <w:tcW w:w="967" w:type="dxa"/>
            <w:gridSpan w:val="2"/>
            <w:tcBorders>
              <w:top w:val="single" w:sz="2" w:space="0" w:color="auto"/>
              <w:left w:val="nil"/>
              <w:bottom w:val="single" w:sz="2" w:space="0" w:color="auto"/>
              <w:right w:val="nil"/>
            </w:tcBorders>
            <w:vAlign w:val="bottom"/>
            <w:hideMark/>
          </w:tcPr>
          <w:p w14:paraId="2086E51D" w14:textId="77777777" w:rsidR="00802D3E" w:rsidRDefault="00802D3E">
            <w:pPr>
              <w:pStyle w:val="MeasureTableTextRightAligned"/>
            </w:pPr>
            <w:r>
              <w:t>40</w:t>
            </w:r>
          </w:p>
        </w:tc>
        <w:tc>
          <w:tcPr>
            <w:tcW w:w="967" w:type="dxa"/>
            <w:gridSpan w:val="2"/>
            <w:tcBorders>
              <w:top w:val="single" w:sz="2" w:space="0" w:color="auto"/>
              <w:left w:val="nil"/>
              <w:bottom w:val="single" w:sz="2" w:space="0" w:color="auto"/>
              <w:right w:val="nil"/>
            </w:tcBorders>
            <w:vAlign w:val="bottom"/>
            <w:hideMark/>
          </w:tcPr>
          <w:p w14:paraId="2086E51E" w14:textId="77777777" w:rsidR="00802D3E" w:rsidRDefault="00802D3E">
            <w:pPr>
              <w:pStyle w:val="MeasureTableTextRightAligned"/>
            </w:pPr>
            <w:r>
              <w:t>40</w:t>
            </w:r>
          </w:p>
        </w:tc>
        <w:tc>
          <w:tcPr>
            <w:tcW w:w="968" w:type="dxa"/>
            <w:tcBorders>
              <w:top w:val="single" w:sz="2" w:space="0" w:color="auto"/>
              <w:left w:val="nil"/>
              <w:bottom w:val="single" w:sz="2" w:space="0" w:color="auto"/>
              <w:right w:val="nil"/>
            </w:tcBorders>
            <w:vAlign w:val="bottom"/>
            <w:hideMark/>
          </w:tcPr>
          <w:p w14:paraId="2086E51F" w14:textId="77777777" w:rsidR="00802D3E" w:rsidRDefault="00802D3E">
            <w:pPr>
              <w:pStyle w:val="MeasureTableTextRightAligned"/>
            </w:pPr>
            <w:r>
              <w:t>45</w:t>
            </w:r>
          </w:p>
        </w:tc>
      </w:tr>
      <w:tr w:rsidR="00802D3E" w14:paraId="2086E525" w14:textId="77777777" w:rsidTr="00802D3E">
        <w:trPr>
          <w:cantSplit/>
          <w:jc w:val="center"/>
        </w:trPr>
        <w:tc>
          <w:tcPr>
            <w:tcW w:w="1934" w:type="dxa"/>
            <w:gridSpan w:val="2"/>
            <w:tcBorders>
              <w:top w:val="single" w:sz="2" w:space="0" w:color="auto"/>
              <w:left w:val="nil"/>
              <w:bottom w:val="nil"/>
              <w:right w:val="nil"/>
            </w:tcBorders>
            <w:hideMark/>
          </w:tcPr>
          <w:p w14:paraId="2086E52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52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52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524" w14:textId="77777777" w:rsidR="00802D3E" w:rsidRDefault="00802D3E">
            <w:pPr>
              <w:pStyle w:val="MeasureTableTextLeftAligned"/>
            </w:pPr>
            <w:r>
              <w:t>A7</w:t>
            </w:r>
          </w:p>
        </w:tc>
      </w:tr>
      <w:tr w:rsidR="00802D3E" w14:paraId="2086E52A" w14:textId="77777777" w:rsidTr="00802D3E">
        <w:trPr>
          <w:cantSplit/>
          <w:jc w:val="center"/>
        </w:trPr>
        <w:tc>
          <w:tcPr>
            <w:tcW w:w="1934" w:type="dxa"/>
            <w:gridSpan w:val="2"/>
            <w:tcBorders>
              <w:top w:val="nil"/>
              <w:left w:val="nil"/>
              <w:bottom w:val="nil"/>
              <w:right w:val="nil"/>
            </w:tcBorders>
            <w:hideMark/>
          </w:tcPr>
          <w:p w14:paraId="2086E52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527"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528" w14:textId="77777777" w:rsidR="00802D3E" w:rsidRDefault="00802D3E">
            <w:pPr>
              <w:pStyle w:val="MeasureTableTextItalic"/>
            </w:pPr>
          </w:p>
        </w:tc>
        <w:tc>
          <w:tcPr>
            <w:tcW w:w="1124" w:type="dxa"/>
            <w:gridSpan w:val="2"/>
            <w:tcBorders>
              <w:top w:val="nil"/>
              <w:left w:val="nil"/>
              <w:bottom w:val="nil"/>
              <w:right w:val="nil"/>
            </w:tcBorders>
          </w:tcPr>
          <w:p w14:paraId="2086E529" w14:textId="77777777" w:rsidR="00802D3E" w:rsidRDefault="00802D3E">
            <w:pPr>
              <w:pStyle w:val="MeasureTableTextLeftAligned"/>
            </w:pPr>
          </w:p>
        </w:tc>
      </w:tr>
      <w:tr w:rsidR="00802D3E" w14:paraId="2086E52F" w14:textId="77777777" w:rsidTr="00802D3E">
        <w:trPr>
          <w:cantSplit/>
          <w:jc w:val="center"/>
        </w:trPr>
        <w:tc>
          <w:tcPr>
            <w:tcW w:w="1934" w:type="dxa"/>
            <w:gridSpan w:val="2"/>
            <w:tcBorders>
              <w:top w:val="nil"/>
              <w:left w:val="nil"/>
              <w:bottom w:val="nil"/>
              <w:right w:val="nil"/>
            </w:tcBorders>
            <w:hideMark/>
          </w:tcPr>
          <w:p w14:paraId="2086E52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52C"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52D"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52E" w14:textId="77777777" w:rsidR="00802D3E" w:rsidRDefault="00802D3E">
            <w:pPr>
              <w:pStyle w:val="MeasureTableTextLeftAligned"/>
            </w:pPr>
          </w:p>
        </w:tc>
      </w:tr>
      <w:tr w:rsidR="00802D3E" w14:paraId="2086E532" w14:textId="77777777" w:rsidTr="00802D3E">
        <w:trPr>
          <w:cantSplit/>
          <w:jc w:val="center"/>
        </w:trPr>
        <w:tc>
          <w:tcPr>
            <w:tcW w:w="1934" w:type="dxa"/>
            <w:gridSpan w:val="2"/>
            <w:tcBorders>
              <w:top w:val="nil"/>
              <w:left w:val="nil"/>
              <w:bottom w:val="single" w:sz="2" w:space="0" w:color="auto"/>
              <w:right w:val="nil"/>
            </w:tcBorders>
            <w:hideMark/>
          </w:tcPr>
          <w:p w14:paraId="2086E53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531" w14:textId="77777777" w:rsidR="00802D3E" w:rsidRDefault="00802D3E" w:rsidP="00D258A5">
            <w:pPr>
              <w:widowControl w:val="0"/>
              <w:autoSpaceDE w:val="0"/>
              <w:autoSpaceDN w:val="0"/>
              <w:adjustRightInd w:val="0"/>
              <w:spacing w:after="0" w:line="240" w:lineRule="auto"/>
              <w:jc w:val="left"/>
            </w:pPr>
            <w:r>
              <w:rPr>
                <w:rFonts w:ascii="Arial" w:hAnsi="Arial" w:cs="Arial"/>
                <w:color w:val="000000"/>
                <w:sz w:val="16"/>
                <w:szCs w:val="16"/>
              </w:rPr>
              <w:t xml:space="preserve">Section 51-5 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Regulation 51-5.01 of the </w:t>
            </w:r>
            <w:r>
              <w:rPr>
                <w:rFonts w:ascii="Arial" w:hAnsi="Arial" w:cs="Arial"/>
                <w:i/>
                <w:iCs/>
                <w:color w:val="000000"/>
                <w:sz w:val="16"/>
                <w:szCs w:val="16"/>
              </w:rPr>
              <w:t>Income Tax Assessment Regulations 1997</w:t>
            </w:r>
          </w:p>
        </w:tc>
      </w:tr>
    </w:tbl>
    <w:p w14:paraId="2086E533" w14:textId="77777777" w:rsidR="00802D3E" w:rsidRDefault="00802D3E" w:rsidP="0098392C">
      <w:pPr>
        <w:pStyle w:val="SingleParagraph"/>
      </w:pPr>
    </w:p>
    <w:p w14:paraId="2086E534" w14:textId="77777777" w:rsidR="00802D3E" w:rsidRDefault="00802D3E" w:rsidP="00802D3E">
      <w:r>
        <w:t>Certain allowances payable to Australian Defence Force personnel</w:t>
      </w:r>
      <w:r>
        <w:fldChar w:fldCharType="begin"/>
      </w:r>
      <w:r>
        <w:instrText xml:space="preserve"> XE "Australian Defence Force personnel" </w:instrText>
      </w:r>
      <w:r>
        <w:fldChar w:fldCharType="end"/>
      </w:r>
      <w:r>
        <w:t xml:space="preserve"> are exempt from income tax. These include separation allowance, disturbance allowance, transfer allowance, deployment allowance and prescribed parts of rent allowance. </w:t>
      </w:r>
    </w:p>
    <w:p w14:paraId="2086E535" w14:textId="77777777" w:rsidR="00802D3E" w:rsidRDefault="00802D3E" w:rsidP="00802D3E">
      <w:pPr>
        <w:pStyle w:val="TESHeading5"/>
        <w:ind w:left="0" w:firstLine="0"/>
      </w:pPr>
      <w:r>
        <w:t>A7</w:t>
      </w:r>
      <w:r>
        <w:tab/>
        <w:t>Australian Defence Force personnel — exemption of compensation for lost deployment allowance</w:t>
      </w:r>
    </w:p>
    <w:p w14:paraId="2086E536"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53F" w14:textId="77777777" w:rsidTr="00802D3E">
        <w:trPr>
          <w:cantSplit/>
          <w:jc w:val="center"/>
        </w:trPr>
        <w:tc>
          <w:tcPr>
            <w:tcW w:w="967" w:type="dxa"/>
            <w:tcBorders>
              <w:top w:val="single" w:sz="2" w:space="0" w:color="auto"/>
              <w:left w:val="nil"/>
              <w:bottom w:val="single" w:sz="2" w:space="0" w:color="auto"/>
              <w:right w:val="nil"/>
            </w:tcBorders>
            <w:hideMark/>
          </w:tcPr>
          <w:p w14:paraId="2086E53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53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53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53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53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53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53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53E" w14:textId="77777777" w:rsidR="00802D3E" w:rsidRDefault="00802D3E">
            <w:pPr>
              <w:pStyle w:val="MeasureTableTextRightAligned"/>
            </w:pPr>
            <w:r>
              <w:t>2019-20</w:t>
            </w:r>
          </w:p>
        </w:tc>
      </w:tr>
      <w:tr w:rsidR="00802D3E" w14:paraId="2086E548" w14:textId="77777777" w:rsidTr="00802D3E">
        <w:trPr>
          <w:cantSplit/>
          <w:jc w:val="center"/>
        </w:trPr>
        <w:tc>
          <w:tcPr>
            <w:tcW w:w="967" w:type="dxa"/>
            <w:tcBorders>
              <w:top w:val="single" w:sz="2" w:space="0" w:color="auto"/>
              <w:left w:val="nil"/>
              <w:bottom w:val="single" w:sz="2" w:space="0" w:color="auto"/>
              <w:right w:val="nil"/>
            </w:tcBorders>
            <w:hideMark/>
          </w:tcPr>
          <w:p w14:paraId="2086E540"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hideMark/>
          </w:tcPr>
          <w:p w14:paraId="2086E541"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6E54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54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544"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54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546"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547" w14:textId="77777777" w:rsidR="00802D3E" w:rsidRDefault="00802D3E">
            <w:pPr>
              <w:pStyle w:val="MeasureTableTextRightAligned"/>
            </w:pPr>
            <w:r>
              <w:t>*</w:t>
            </w:r>
          </w:p>
        </w:tc>
      </w:tr>
      <w:tr w:rsidR="00802D3E" w14:paraId="2086E54D" w14:textId="77777777" w:rsidTr="00802D3E">
        <w:trPr>
          <w:cantSplit/>
          <w:jc w:val="center"/>
        </w:trPr>
        <w:tc>
          <w:tcPr>
            <w:tcW w:w="1934" w:type="dxa"/>
            <w:gridSpan w:val="2"/>
            <w:tcBorders>
              <w:top w:val="single" w:sz="2" w:space="0" w:color="auto"/>
              <w:left w:val="nil"/>
              <w:bottom w:val="nil"/>
              <w:right w:val="nil"/>
            </w:tcBorders>
            <w:hideMark/>
          </w:tcPr>
          <w:p w14:paraId="2086E54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54A"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54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54C" w14:textId="77777777" w:rsidR="00802D3E" w:rsidRDefault="00802D3E">
            <w:pPr>
              <w:pStyle w:val="MeasureTableTextLeftAligned"/>
            </w:pPr>
            <w:r>
              <w:t>A8</w:t>
            </w:r>
          </w:p>
        </w:tc>
      </w:tr>
      <w:tr w:rsidR="00802D3E" w14:paraId="2086E552" w14:textId="77777777" w:rsidTr="00802D3E">
        <w:trPr>
          <w:cantSplit/>
          <w:jc w:val="center"/>
        </w:trPr>
        <w:tc>
          <w:tcPr>
            <w:tcW w:w="1934" w:type="dxa"/>
            <w:gridSpan w:val="2"/>
            <w:tcBorders>
              <w:top w:val="nil"/>
              <w:left w:val="nil"/>
              <w:bottom w:val="nil"/>
              <w:right w:val="nil"/>
            </w:tcBorders>
            <w:hideMark/>
          </w:tcPr>
          <w:p w14:paraId="2086E54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54F" w14:textId="77777777" w:rsidR="00802D3E" w:rsidRDefault="00802D3E">
            <w:pPr>
              <w:pStyle w:val="MeasureTableTextLeftAligned"/>
            </w:pPr>
            <w:r>
              <w:t>Medium</w:t>
            </w:r>
          </w:p>
        </w:tc>
        <w:tc>
          <w:tcPr>
            <w:tcW w:w="1500" w:type="dxa"/>
            <w:gridSpan w:val="2"/>
            <w:tcBorders>
              <w:top w:val="nil"/>
              <w:left w:val="nil"/>
              <w:bottom w:val="nil"/>
              <w:right w:val="nil"/>
            </w:tcBorders>
            <w:hideMark/>
          </w:tcPr>
          <w:p w14:paraId="2086E550"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551" w14:textId="77777777" w:rsidR="00802D3E" w:rsidRDefault="00802D3E">
            <w:pPr>
              <w:pStyle w:val="MeasureTableTextLeftAligned"/>
            </w:pPr>
            <w:r>
              <w:t>1+</w:t>
            </w:r>
          </w:p>
        </w:tc>
      </w:tr>
      <w:tr w:rsidR="00802D3E" w14:paraId="2086E557" w14:textId="77777777" w:rsidTr="00802D3E">
        <w:trPr>
          <w:cantSplit/>
          <w:jc w:val="center"/>
        </w:trPr>
        <w:tc>
          <w:tcPr>
            <w:tcW w:w="1934" w:type="dxa"/>
            <w:gridSpan w:val="2"/>
            <w:tcBorders>
              <w:top w:val="nil"/>
              <w:left w:val="nil"/>
              <w:bottom w:val="nil"/>
              <w:right w:val="nil"/>
            </w:tcBorders>
            <w:hideMark/>
          </w:tcPr>
          <w:p w14:paraId="2086E55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554" w14:textId="77777777" w:rsidR="00802D3E" w:rsidRDefault="00802D3E">
            <w:pPr>
              <w:pStyle w:val="MeasureTableTextLeftAligned"/>
            </w:pPr>
            <w:r>
              <w:t>1996</w:t>
            </w:r>
          </w:p>
        </w:tc>
        <w:tc>
          <w:tcPr>
            <w:tcW w:w="1500" w:type="dxa"/>
            <w:gridSpan w:val="2"/>
            <w:tcBorders>
              <w:top w:val="nil"/>
              <w:left w:val="nil"/>
              <w:bottom w:val="nil"/>
              <w:right w:val="nil"/>
            </w:tcBorders>
            <w:hideMark/>
          </w:tcPr>
          <w:p w14:paraId="2086E555"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556" w14:textId="77777777" w:rsidR="00802D3E" w:rsidRDefault="00802D3E">
            <w:pPr>
              <w:pStyle w:val="MeasureTableTextLeftAligned"/>
            </w:pPr>
          </w:p>
        </w:tc>
      </w:tr>
      <w:tr w:rsidR="00802D3E" w14:paraId="2086E55A" w14:textId="77777777" w:rsidTr="00802D3E">
        <w:trPr>
          <w:cantSplit/>
          <w:jc w:val="center"/>
        </w:trPr>
        <w:tc>
          <w:tcPr>
            <w:tcW w:w="1934" w:type="dxa"/>
            <w:gridSpan w:val="2"/>
            <w:tcBorders>
              <w:top w:val="nil"/>
              <w:left w:val="nil"/>
              <w:bottom w:val="single" w:sz="2" w:space="0" w:color="auto"/>
              <w:right w:val="nil"/>
            </w:tcBorders>
            <w:hideMark/>
          </w:tcPr>
          <w:p w14:paraId="2086E55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559" w14:textId="77777777" w:rsidR="00802D3E" w:rsidRDefault="00802D3E" w:rsidP="00733979">
            <w:pPr>
              <w:widowControl w:val="0"/>
              <w:autoSpaceDE w:val="0"/>
              <w:autoSpaceDN w:val="0"/>
              <w:adjustRightInd w:val="0"/>
              <w:spacing w:after="0" w:line="240" w:lineRule="auto"/>
              <w:jc w:val="left"/>
            </w:pPr>
            <w:r>
              <w:rPr>
                <w:rFonts w:ascii="Arial" w:hAnsi="Arial" w:cs="Arial"/>
                <w:color w:val="000000"/>
                <w:sz w:val="16"/>
                <w:szCs w:val="16"/>
              </w:rPr>
              <w:t xml:space="preserve">Sections 51-5 and 51-32 of the </w:t>
            </w:r>
            <w:r>
              <w:rPr>
                <w:rFonts w:ascii="Arial" w:hAnsi="Arial" w:cs="Arial"/>
                <w:i/>
                <w:iCs/>
                <w:color w:val="000000"/>
                <w:sz w:val="16"/>
                <w:szCs w:val="16"/>
              </w:rPr>
              <w:t>Income Tax Assessment Act 1997</w:t>
            </w:r>
          </w:p>
        </w:tc>
      </w:tr>
    </w:tbl>
    <w:p w14:paraId="2086E55B" w14:textId="77777777" w:rsidR="00802D3E" w:rsidRDefault="00802D3E" w:rsidP="0098392C">
      <w:pPr>
        <w:pStyle w:val="SingleParagraph"/>
      </w:pPr>
    </w:p>
    <w:p w14:paraId="2086E55C" w14:textId="77777777" w:rsidR="00802D3E" w:rsidRDefault="00802D3E" w:rsidP="00802D3E">
      <w:r>
        <w:t>Australian Defence Force personnel</w:t>
      </w:r>
      <w:r>
        <w:fldChar w:fldCharType="begin"/>
      </w:r>
      <w:r>
        <w:instrText xml:space="preserve"> XE "Australian Defence Force personnel" </w:instrText>
      </w:r>
      <w:r>
        <w:fldChar w:fldCharType="end"/>
      </w:r>
      <w:r>
        <w:t xml:space="preserve"> may receive compensation for the loss of deployment allowance where the deployment allowance ceases to be paid upon repatriation to Australia due to injuries sustained in a warlike situation. Such compensation payments are exempt from income tax. </w:t>
      </w:r>
    </w:p>
    <w:p w14:paraId="2086E55D" w14:textId="77777777" w:rsidR="00802D3E" w:rsidRDefault="00802D3E" w:rsidP="00802D3E">
      <w:pPr>
        <w:pStyle w:val="TESHeading5"/>
        <w:ind w:left="0" w:firstLine="0"/>
      </w:pPr>
      <w:r>
        <w:lastRenderedPageBreak/>
        <w:t>A8</w:t>
      </w:r>
      <w:r>
        <w:tab/>
        <w:t>Australian Defence Force personnel — exemption of pay and allowances earned while on eligible overseas duty</w:t>
      </w:r>
    </w:p>
    <w:p w14:paraId="2086E55E"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567" w14:textId="77777777" w:rsidTr="00802D3E">
        <w:trPr>
          <w:cantSplit/>
          <w:jc w:val="center"/>
        </w:trPr>
        <w:tc>
          <w:tcPr>
            <w:tcW w:w="967" w:type="dxa"/>
            <w:tcBorders>
              <w:top w:val="single" w:sz="2" w:space="0" w:color="auto"/>
              <w:left w:val="nil"/>
              <w:bottom w:val="single" w:sz="2" w:space="0" w:color="auto"/>
              <w:right w:val="nil"/>
            </w:tcBorders>
            <w:hideMark/>
          </w:tcPr>
          <w:p w14:paraId="2086E55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56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56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56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56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56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56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566" w14:textId="77777777" w:rsidR="00802D3E" w:rsidRDefault="00802D3E">
            <w:pPr>
              <w:pStyle w:val="MeasureTableTextRightAligned"/>
            </w:pPr>
            <w:r>
              <w:t>2019-20</w:t>
            </w:r>
          </w:p>
        </w:tc>
      </w:tr>
      <w:tr w:rsidR="00802D3E" w14:paraId="2086E570" w14:textId="77777777" w:rsidTr="00802D3E">
        <w:trPr>
          <w:cantSplit/>
          <w:jc w:val="center"/>
        </w:trPr>
        <w:tc>
          <w:tcPr>
            <w:tcW w:w="967" w:type="dxa"/>
            <w:tcBorders>
              <w:top w:val="single" w:sz="2" w:space="0" w:color="auto"/>
              <w:left w:val="nil"/>
              <w:bottom w:val="single" w:sz="2" w:space="0" w:color="auto"/>
              <w:right w:val="nil"/>
            </w:tcBorders>
            <w:hideMark/>
          </w:tcPr>
          <w:p w14:paraId="2086E568" w14:textId="77777777" w:rsidR="00802D3E" w:rsidRDefault="00802D3E">
            <w:pPr>
              <w:pStyle w:val="MeasureTableTextRightAligned"/>
            </w:pPr>
            <w:r>
              <w:t>95</w:t>
            </w:r>
          </w:p>
        </w:tc>
        <w:tc>
          <w:tcPr>
            <w:tcW w:w="967" w:type="dxa"/>
            <w:tcBorders>
              <w:top w:val="single" w:sz="2" w:space="0" w:color="auto"/>
              <w:left w:val="nil"/>
              <w:bottom w:val="single" w:sz="2" w:space="0" w:color="auto"/>
              <w:right w:val="nil"/>
            </w:tcBorders>
            <w:hideMark/>
          </w:tcPr>
          <w:p w14:paraId="2086E569" w14:textId="77777777" w:rsidR="00802D3E" w:rsidRDefault="00802D3E">
            <w:pPr>
              <w:pStyle w:val="MeasureTableTextRightAligned"/>
            </w:pPr>
            <w:r>
              <w:t>65</w:t>
            </w:r>
          </w:p>
        </w:tc>
        <w:tc>
          <w:tcPr>
            <w:tcW w:w="967" w:type="dxa"/>
            <w:tcBorders>
              <w:top w:val="single" w:sz="2" w:space="0" w:color="auto"/>
              <w:left w:val="nil"/>
              <w:bottom w:val="single" w:sz="2" w:space="0" w:color="auto"/>
              <w:right w:val="nil"/>
            </w:tcBorders>
            <w:vAlign w:val="bottom"/>
            <w:hideMark/>
          </w:tcPr>
          <w:p w14:paraId="2086E56A"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6E56B" w14:textId="77777777" w:rsidR="00802D3E" w:rsidRDefault="00802D3E">
            <w:pPr>
              <w:pStyle w:val="MeasureTableTextRightAligned"/>
            </w:pPr>
            <w:r>
              <w:t>70</w:t>
            </w:r>
          </w:p>
        </w:tc>
        <w:tc>
          <w:tcPr>
            <w:tcW w:w="967" w:type="dxa"/>
            <w:tcBorders>
              <w:top w:val="single" w:sz="2" w:space="0" w:color="auto"/>
              <w:left w:val="nil"/>
              <w:bottom w:val="single" w:sz="2" w:space="0" w:color="auto"/>
              <w:right w:val="nil"/>
            </w:tcBorders>
            <w:vAlign w:val="bottom"/>
            <w:hideMark/>
          </w:tcPr>
          <w:p w14:paraId="2086E56C"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56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56E"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56F" w14:textId="77777777" w:rsidR="00802D3E" w:rsidRDefault="00802D3E">
            <w:pPr>
              <w:pStyle w:val="MeasureTableTextRightAligned"/>
            </w:pPr>
            <w:r>
              <w:t>*</w:t>
            </w:r>
          </w:p>
        </w:tc>
      </w:tr>
      <w:tr w:rsidR="00802D3E" w14:paraId="2086E575" w14:textId="77777777" w:rsidTr="00802D3E">
        <w:trPr>
          <w:cantSplit/>
          <w:jc w:val="center"/>
        </w:trPr>
        <w:tc>
          <w:tcPr>
            <w:tcW w:w="1934" w:type="dxa"/>
            <w:gridSpan w:val="2"/>
            <w:tcBorders>
              <w:top w:val="single" w:sz="2" w:space="0" w:color="auto"/>
              <w:left w:val="nil"/>
              <w:bottom w:val="nil"/>
              <w:right w:val="nil"/>
            </w:tcBorders>
            <w:hideMark/>
          </w:tcPr>
          <w:p w14:paraId="2086E57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57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57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574" w14:textId="77777777" w:rsidR="00802D3E" w:rsidRDefault="00802D3E">
            <w:pPr>
              <w:pStyle w:val="MeasureTableTextLeftAligned"/>
            </w:pPr>
            <w:r>
              <w:t>A9</w:t>
            </w:r>
          </w:p>
        </w:tc>
      </w:tr>
      <w:tr w:rsidR="00802D3E" w14:paraId="2086E57A" w14:textId="77777777" w:rsidTr="00802D3E">
        <w:trPr>
          <w:cantSplit/>
          <w:jc w:val="center"/>
        </w:trPr>
        <w:tc>
          <w:tcPr>
            <w:tcW w:w="1934" w:type="dxa"/>
            <w:gridSpan w:val="2"/>
            <w:tcBorders>
              <w:top w:val="nil"/>
              <w:left w:val="nil"/>
              <w:bottom w:val="nil"/>
              <w:right w:val="nil"/>
            </w:tcBorders>
            <w:hideMark/>
          </w:tcPr>
          <w:p w14:paraId="2086E57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577" w14:textId="77777777" w:rsidR="00802D3E" w:rsidRDefault="00802D3E">
            <w:pPr>
              <w:pStyle w:val="MeasureTableTextLeftAligned"/>
            </w:pPr>
            <w:r>
              <w:t>Medium</w:t>
            </w:r>
          </w:p>
        </w:tc>
        <w:tc>
          <w:tcPr>
            <w:tcW w:w="1500" w:type="dxa"/>
            <w:gridSpan w:val="2"/>
            <w:tcBorders>
              <w:top w:val="nil"/>
              <w:left w:val="nil"/>
              <w:bottom w:val="nil"/>
              <w:right w:val="nil"/>
            </w:tcBorders>
            <w:hideMark/>
          </w:tcPr>
          <w:p w14:paraId="2086E578"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579" w14:textId="77777777" w:rsidR="00802D3E" w:rsidRDefault="00802D3E">
            <w:pPr>
              <w:pStyle w:val="MeasureTableTextLeftAligned"/>
            </w:pPr>
            <w:r>
              <w:t>2+</w:t>
            </w:r>
          </w:p>
        </w:tc>
      </w:tr>
      <w:tr w:rsidR="00802D3E" w14:paraId="2086E57F" w14:textId="77777777" w:rsidTr="00802D3E">
        <w:trPr>
          <w:cantSplit/>
          <w:jc w:val="center"/>
        </w:trPr>
        <w:tc>
          <w:tcPr>
            <w:tcW w:w="1934" w:type="dxa"/>
            <w:gridSpan w:val="2"/>
            <w:tcBorders>
              <w:top w:val="nil"/>
              <w:left w:val="nil"/>
              <w:bottom w:val="nil"/>
              <w:right w:val="nil"/>
            </w:tcBorders>
            <w:hideMark/>
          </w:tcPr>
          <w:p w14:paraId="2086E57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57C"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57D"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57E" w14:textId="77777777" w:rsidR="00802D3E" w:rsidRDefault="00802D3E">
            <w:pPr>
              <w:pStyle w:val="MeasureTableTextLeftAligned"/>
            </w:pPr>
          </w:p>
        </w:tc>
      </w:tr>
      <w:tr w:rsidR="00802D3E" w14:paraId="2086E582" w14:textId="77777777" w:rsidTr="00802D3E">
        <w:trPr>
          <w:cantSplit/>
          <w:jc w:val="center"/>
        </w:trPr>
        <w:tc>
          <w:tcPr>
            <w:tcW w:w="1934" w:type="dxa"/>
            <w:gridSpan w:val="2"/>
            <w:tcBorders>
              <w:top w:val="nil"/>
              <w:left w:val="nil"/>
              <w:bottom w:val="single" w:sz="2" w:space="0" w:color="auto"/>
              <w:right w:val="nil"/>
            </w:tcBorders>
            <w:hideMark/>
          </w:tcPr>
          <w:p w14:paraId="2086E58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581" w14:textId="77777777" w:rsidR="00802D3E" w:rsidRPr="00733979" w:rsidRDefault="00802D3E" w:rsidP="00733979">
            <w:pPr>
              <w:widowControl w:val="0"/>
              <w:autoSpaceDE w:val="0"/>
              <w:autoSpaceDN w:val="0"/>
              <w:adjustRightInd w:val="0"/>
              <w:spacing w:after="0" w:line="240" w:lineRule="auto"/>
              <w:jc w:val="left"/>
              <w:rPr>
                <w:rFonts w:ascii="Arial" w:hAnsi="Arial" w:cs="Arial"/>
                <w:sz w:val="16"/>
                <w:szCs w:val="16"/>
              </w:rPr>
            </w:pPr>
            <w:r w:rsidRPr="00733979">
              <w:rPr>
                <w:rFonts w:ascii="Arial" w:hAnsi="Arial" w:cs="Arial"/>
                <w:sz w:val="16"/>
                <w:szCs w:val="16"/>
              </w:rPr>
              <w:t xml:space="preserve">Section 23AD of the </w:t>
            </w:r>
            <w:r w:rsidRPr="00733979">
              <w:rPr>
                <w:rFonts w:ascii="Arial" w:hAnsi="Arial" w:cs="Arial"/>
                <w:i/>
                <w:iCs/>
                <w:color w:val="000000"/>
                <w:sz w:val="16"/>
                <w:szCs w:val="16"/>
              </w:rPr>
              <w:t>Income Tax Assessment Act 1936</w:t>
            </w:r>
          </w:p>
        </w:tc>
      </w:tr>
    </w:tbl>
    <w:p w14:paraId="2086E583" w14:textId="77777777" w:rsidR="00802D3E" w:rsidRDefault="00802D3E" w:rsidP="0098392C">
      <w:pPr>
        <w:pStyle w:val="SingleParagraph"/>
      </w:pPr>
    </w:p>
    <w:p w14:paraId="2086E584" w14:textId="77777777" w:rsidR="00802D3E" w:rsidRDefault="00802D3E" w:rsidP="00802D3E">
      <w:r>
        <w:t>Base pay and allowances made to Australian Defence Force personnel</w:t>
      </w:r>
      <w:r>
        <w:fldChar w:fldCharType="begin"/>
      </w:r>
      <w:r>
        <w:instrText xml:space="preserve"> XE "Australian Defence Force personnel" </w:instrText>
      </w:r>
      <w:r>
        <w:fldChar w:fldCharType="end"/>
      </w:r>
      <w:r>
        <w:t xml:space="preserve"> while on eligible overseas duty are exempt from income tax (provided they are not exempt from income tax under another provision of the income tax law). </w:t>
      </w:r>
    </w:p>
    <w:p w14:paraId="2086E585" w14:textId="77777777" w:rsidR="00802D3E" w:rsidRDefault="00802D3E" w:rsidP="00802D3E">
      <w:pPr>
        <w:pStyle w:val="TESHeading5"/>
        <w:ind w:left="0" w:firstLine="0"/>
      </w:pPr>
      <w:r>
        <w:t>A9</w:t>
      </w:r>
      <w:r>
        <w:tab/>
        <w:t>Australian Defence Force personnel — exemption of pay and allowances for part-time personnel</w:t>
      </w:r>
    </w:p>
    <w:p w14:paraId="2086E586"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58F" w14:textId="77777777" w:rsidTr="00802D3E">
        <w:trPr>
          <w:cantSplit/>
          <w:jc w:val="center"/>
        </w:trPr>
        <w:tc>
          <w:tcPr>
            <w:tcW w:w="967" w:type="dxa"/>
            <w:tcBorders>
              <w:top w:val="single" w:sz="2" w:space="0" w:color="auto"/>
              <w:left w:val="nil"/>
              <w:bottom w:val="single" w:sz="2" w:space="0" w:color="auto"/>
              <w:right w:val="nil"/>
            </w:tcBorders>
            <w:hideMark/>
          </w:tcPr>
          <w:p w14:paraId="2086E58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58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58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58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58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58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58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58E" w14:textId="77777777" w:rsidR="00802D3E" w:rsidRDefault="00802D3E">
            <w:pPr>
              <w:pStyle w:val="MeasureTableTextRightAligned"/>
            </w:pPr>
            <w:r>
              <w:t>2019-20</w:t>
            </w:r>
          </w:p>
        </w:tc>
      </w:tr>
      <w:tr w:rsidR="00802D3E" w14:paraId="2086E598" w14:textId="77777777" w:rsidTr="00802D3E">
        <w:trPr>
          <w:cantSplit/>
          <w:jc w:val="center"/>
        </w:trPr>
        <w:tc>
          <w:tcPr>
            <w:tcW w:w="967" w:type="dxa"/>
            <w:tcBorders>
              <w:top w:val="single" w:sz="2" w:space="0" w:color="auto"/>
              <w:left w:val="nil"/>
              <w:bottom w:val="single" w:sz="2" w:space="0" w:color="auto"/>
              <w:right w:val="nil"/>
            </w:tcBorders>
            <w:hideMark/>
          </w:tcPr>
          <w:p w14:paraId="2086E590" w14:textId="77777777" w:rsidR="00802D3E" w:rsidRDefault="00802D3E">
            <w:pPr>
              <w:pStyle w:val="MeasureTableTextRightAligned"/>
            </w:pPr>
            <w:r>
              <w:t>60</w:t>
            </w:r>
          </w:p>
        </w:tc>
        <w:tc>
          <w:tcPr>
            <w:tcW w:w="967" w:type="dxa"/>
            <w:tcBorders>
              <w:top w:val="single" w:sz="2" w:space="0" w:color="auto"/>
              <w:left w:val="nil"/>
              <w:bottom w:val="single" w:sz="2" w:space="0" w:color="auto"/>
              <w:right w:val="nil"/>
            </w:tcBorders>
            <w:hideMark/>
          </w:tcPr>
          <w:p w14:paraId="2086E591" w14:textId="77777777" w:rsidR="00802D3E" w:rsidRDefault="00802D3E">
            <w:pPr>
              <w:pStyle w:val="MeasureTableTextRightAligned"/>
            </w:pPr>
            <w:r>
              <w:t>65</w:t>
            </w:r>
          </w:p>
        </w:tc>
        <w:tc>
          <w:tcPr>
            <w:tcW w:w="967" w:type="dxa"/>
            <w:tcBorders>
              <w:top w:val="single" w:sz="2" w:space="0" w:color="auto"/>
              <w:left w:val="nil"/>
              <w:bottom w:val="single" w:sz="2" w:space="0" w:color="auto"/>
              <w:right w:val="nil"/>
            </w:tcBorders>
            <w:vAlign w:val="bottom"/>
            <w:hideMark/>
          </w:tcPr>
          <w:p w14:paraId="2086E592" w14:textId="77777777" w:rsidR="00802D3E" w:rsidRDefault="00802D3E">
            <w:pPr>
              <w:pStyle w:val="MeasureTableTextRightAligned"/>
            </w:pPr>
            <w:r>
              <w:t>75</w:t>
            </w:r>
          </w:p>
        </w:tc>
        <w:tc>
          <w:tcPr>
            <w:tcW w:w="967" w:type="dxa"/>
            <w:tcBorders>
              <w:top w:val="single" w:sz="2" w:space="0" w:color="auto"/>
              <w:left w:val="nil"/>
              <w:bottom w:val="single" w:sz="2" w:space="0" w:color="auto"/>
              <w:right w:val="nil"/>
            </w:tcBorders>
            <w:vAlign w:val="bottom"/>
            <w:hideMark/>
          </w:tcPr>
          <w:p w14:paraId="2086E593" w14:textId="77777777" w:rsidR="00802D3E" w:rsidRDefault="00802D3E">
            <w:pPr>
              <w:pStyle w:val="MeasureTableTextRightAligned"/>
            </w:pPr>
            <w:r>
              <w:t>85</w:t>
            </w:r>
          </w:p>
        </w:tc>
        <w:tc>
          <w:tcPr>
            <w:tcW w:w="967" w:type="dxa"/>
            <w:tcBorders>
              <w:top w:val="single" w:sz="2" w:space="0" w:color="auto"/>
              <w:left w:val="nil"/>
              <w:bottom w:val="single" w:sz="2" w:space="0" w:color="auto"/>
              <w:right w:val="nil"/>
            </w:tcBorders>
            <w:vAlign w:val="bottom"/>
            <w:hideMark/>
          </w:tcPr>
          <w:p w14:paraId="2086E594" w14:textId="77777777" w:rsidR="00802D3E" w:rsidRDefault="00802D3E">
            <w:pPr>
              <w:pStyle w:val="MeasureTableTextRightAligned"/>
            </w:pPr>
            <w:r>
              <w:t>85</w:t>
            </w:r>
          </w:p>
        </w:tc>
        <w:tc>
          <w:tcPr>
            <w:tcW w:w="967" w:type="dxa"/>
            <w:gridSpan w:val="2"/>
            <w:tcBorders>
              <w:top w:val="single" w:sz="2" w:space="0" w:color="auto"/>
              <w:left w:val="nil"/>
              <w:bottom w:val="single" w:sz="2" w:space="0" w:color="auto"/>
              <w:right w:val="nil"/>
            </w:tcBorders>
            <w:vAlign w:val="bottom"/>
            <w:hideMark/>
          </w:tcPr>
          <w:p w14:paraId="2086E595" w14:textId="77777777" w:rsidR="00802D3E" w:rsidRDefault="00802D3E">
            <w:pPr>
              <w:pStyle w:val="MeasureTableTextRightAligned"/>
            </w:pPr>
            <w:r>
              <w:t>85</w:t>
            </w:r>
          </w:p>
        </w:tc>
        <w:tc>
          <w:tcPr>
            <w:tcW w:w="967" w:type="dxa"/>
            <w:gridSpan w:val="2"/>
            <w:tcBorders>
              <w:top w:val="single" w:sz="2" w:space="0" w:color="auto"/>
              <w:left w:val="nil"/>
              <w:bottom w:val="single" w:sz="2" w:space="0" w:color="auto"/>
              <w:right w:val="nil"/>
            </w:tcBorders>
            <w:vAlign w:val="bottom"/>
            <w:hideMark/>
          </w:tcPr>
          <w:p w14:paraId="2086E596" w14:textId="77777777" w:rsidR="00802D3E" w:rsidRDefault="00802D3E">
            <w:pPr>
              <w:pStyle w:val="MeasureTableTextRightAligned"/>
            </w:pPr>
            <w:r>
              <w:t>90</w:t>
            </w:r>
          </w:p>
        </w:tc>
        <w:tc>
          <w:tcPr>
            <w:tcW w:w="968" w:type="dxa"/>
            <w:tcBorders>
              <w:top w:val="single" w:sz="2" w:space="0" w:color="auto"/>
              <w:left w:val="nil"/>
              <w:bottom w:val="single" w:sz="2" w:space="0" w:color="auto"/>
              <w:right w:val="nil"/>
            </w:tcBorders>
            <w:vAlign w:val="bottom"/>
            <w:hideMark/>
          </w:tcPr>
          <w:p w14:paraId="2086E597" w14:textId="77777777" w:rsidR="00802D3E" w:rsidRDefault="00802D3E">
            <w:pPr>
              <w:pStyle w:val="MeasureTableTextRightAligned"/>
            </w:pPr>
            <w:r>
              <w:t>90</w:t>
            </w:r>
          </w:p>
        </w:tc>
      </w:tr>
      <w:tr w:rsidR="00802D3E" w14:paraId="2086E59D" w14:textId="77777777" w:rsidTr="00802D3E">
        <w:trPr>
          <w:cantSplit/>
          <w:jc w:val="center"/>
        </w:trPr>
        <w:tc>
          <w:tcPr>
            <w:tcW w:w="1934" w:type="dxa"/>
            <w:gridSpan w:val="2"/>
            <w:tcBorders>
              <w:top w:val="single" w:sz="2" w:space="0" w:color="auto"/>
              <w:left w:val="nil"/>
              <w:bottom w:val="nil"/>
              <w:right w:val="nil"/>
            </w:tcBorders>
            <w:hideMark/>
          </w:tcPr>
          <w:p w14:paraId="2086E59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59A"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59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59C" w14:textId="77777777" w:rsidR="00802D3E" w:rsidRDefault="00802D3E">
            <w:pPr>
              <w:pStyle w:val="MeasureTableTextLeftAligned"/>
            </w:pPr>
            <w:r>
              <w:t>A10</w:t>
            </w:r>
          </w:p>
        </w:tc>
      </w:tr>
      <w:tr w:rsidR="00802D3E" w14:paraId="2086E5A2" w14:textId="77777777" w:rsidTr="00802D3E">
        <w:trPr>
          <w:cantSplit/>
          <w:jc w:val="center"/>
        </w:trPr>
        <w:tc>
          <w:tcPr>
            <w:tcW w:w="1934" w:type="dxa"/>
            <w:gridSpan w:val="2"/>
            <w:tcBorders>
              <w:top w:val="nil"/>
              <w:left w:val="nil"/>
              <w:bottom w:val="nil"/>
              <w:right w:val="nil"/>
            </w:tcBorders>
            <w:hideMark/>
          </w:tcPr>
          <w:p w14:paraId="2086E59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59F"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5A0" w14:textId="77777777" w:rsidR="00802D3E" w:rsidRDefault="00802D3E">
            <w:pPr>
              <w:pStyle w:val="MeasureTableTextItalic"/>
            </w:pPr>
          </w:p>
        </w:tc>
        <w:tc>
          <w:tcPr>
            <w:tcW w:w="1124" w:type="dxa"/>
            <w:gridSpan w:val="2"/>
            <w:tcBorders>
              <w:top w:val="nil"/>
              <w:left w:val="nil"/>
              <w:bottom w:val="nil"/>
              <w:right w:val="nil"/>
            </w:tcBorders>
          </w:tcPr>
          <w:p w14:paraId="2086E5A1" w14:textId="77777777" w:rsidR="00802D3E" w:rsidRDefault="00802D3E">
            <w:pPr>
              <w:pStyle w:val="MeasureTableTextLeftAligned"/>
            </w:pPr>
          </w:p>
        </w:tc>
      </w:tr>
      <w:tr w:rsidR="00802D3E" w14:paraId="2086E5A7" w14:textId="77777777" w:rsidTr="00802D3E">
        <w:trPr>
          <w:cantSplit/>
          <w:jc w:val="center"/>
        </w:trPr>
        <w:tc>
          <w:tcPr>
            <w:tcW w:w="1934" w:type="dxa"/>
            <w:gridSpan w:val="2"/>
            <w:tcBorders>
              <w:top w:val="nil"/>
              <w:left w:val="nil"/>
              <w:bottom w:val="nil"/>
              <w:right w:val="nil"/>
            </w:tcBorders>
            <w:hideMark/>
          </w:tcPr>
          <w:p w14:paraId="2086E5A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5A4"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5A5"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5A6" w14:textId="77777777" w:rsidR="00802D3E" w:rsidRDefault="00802D3E">
            <w:pPr>
              <w:pStyle w:val="MeasureTableTextLeftAligned"/>
            </w:pPr>
          </w:p>
        </w:tc>
      </w:tr>
      <w:tr w:rsidR="00802D3E" w14:paraId="2086E5AA" w14:textId="77777777" w:rsidTr="00802D3E">
        <w:trPr>
          <w:cantSplit/>
          <w:jc w:val="center"/>
        </w:trPr>
        <w:tc>
          <w:tcPr>
            <w:tcW w:w="1934" w:type="dxa"/>
            <w:gridSpan w:val="2"/>
            <w:tcBorders>
              <w:top w:val="nil"/>
              <w:left w:val="nil"/>
              <w:bottom w:val="single" w:sz="2" w:space="0" w:color="auto"/>
              <w:right w:val="nil"/>
            </w:tcBorders>
            <w:hideMark/>
          </w:tcPr>
          <w:p w14:paraId="2086E5A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5A9" w14:textId="77777777" w:rsidR="00802D3E" w:rsidRPr="00733979" w:rsidRDefault="00802D3E" w:rsidP="00733979">
            <w:pPr>
              <w:widowControl w:val="0"/>
              <w:autoSpaceDE w:val="0"/>
              <w:autoSpaceDN w:val="0"/>
              <w:adjustRightInd w:val="0"/>
              <w:spacing w:after="0" w:line="240" w:lineRule="auto"/>
              <w:jc w:val="left"/>
              <w:rPr>
                <w:rFonts w:ascii="Arial" w:hAnsi="Arial" w:cs="Arial"/>
                <w:sz w:val="16"/>
                <w:szCs w:val="16"/>
              </w:rPr>
            </w:pPr>
            <w:r w:rsidRPr="00733979">
              <w:rPr>
                <w:rFonts w:ascii="Arial" w:hAnsi="Arial" w:cs="Arial"/>
                <w:sz w:val="16"/>
                <w:szCs w:val="16"/>
              </w:rPr>
              <w:t xml:space="preserve">Section 51-5 of the </w:t>
            </w:r>
            <w:r w:rsidRPr="00733979">
              <w:rPr>
                <w:rFonts w:ascii="Arial" w:hAnsi="Arial" w:cs="Arial"/>
                <w:i/>
                <w:iCs/>
                <w:color w:val="000000"/>
                <w:sz w:val="16"/>
                <w:szCs w:val="16"/>
              </w:rPr>
              <w:t>Income Tax Assessment Act 1997</w:t>
            </w:r>
          </w:p>
        </w:tc>
      </w:tr>
    </w:tbl>
    <w:p w14:paraId="2086E5AB" w14:textId="77777777" w:rsidR="00802D3E" w:rsidRDefault="00802D3E" w:rsidP="0098392C">
      <w:pPr>
        <w:pStyle w:val="SingleParagraph"/>
      </w:pPr>
    </w:p>
    <w:p w14:paraId="2086E5AC" w14:textId="77777777" w:rsidR="00802D3E" w:rsidRDefault="00802D3E" w:rsidP="00802D3E">
      <w:r>
        <w:t>The pay and allowances of part</w:t>
      </w:r>
      <w:r>
        <w:noBreakHyphen/>
        <w:t>time Australian Defence Force Reserve personnel</w:t>
      </w:r>
      <w:r>
        <w:fldChar w:fldCharType="begin"/>
      </w:r>
      <w:r>
        <w:instrText xml:space="preserve"> XE "Australian Defence Force Reserve personnel" </w:instrText>
      </w:r>
      <w:r>
        <w:fldChar w:fldCharType="end"/>
      </w:r>
      <w:r>
        <w:t xml:space="preserve"> are exempt from income tax. </w:t>
      </w:r>
    </w:p>
    <w:p w14:paraId="2086E5AD" w14:textId="77777777" w:rsidR="00802D3E" w:rsidRDefault="00802D3E" w:rsidP="00802D3E">
      <w:pPr>
        <w:pStyle w:val="TESHeading5"/>
        <w:ind w:left="0" w:firstLine="0"/>
      </w:pPr>
      <w:r>
        <w:t>A10</w:t>
      </w:r>
      <w:r>
        <w:tab/>
        <w:t>Australian Defence Force Reserve personnel — exemption of compensation for loss of pay and allowances</w:t>
      </w:r>
    </w:p>
    <w:p w14:paraId="2086E5AE"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5B7" w14:textId="77777777" w:rsidTr="00802D3E">
        <w:trPr>
          <w:cantSplit/>
          <w:jc w:val="center"/>
        </w:trPr>
        <w:tc>
          <w:tcPr>
            <w:tcW w:w="967" w:type="dxa"/>
            <w:tcBorders>
              <w:top w:val="single" w:sz="2" w:space="0" w:color="auto"/>
              <w:left w:val="nil"/>
              <w:bottom w:val="single" w:sz="2" w:space="0" w:color="auto"/>
              <w:right w:val="nil"/>
            </w:tcBorders>
            <w:hideMark/>
          </w:tcPr>
          <w:p w14:paraId="2086E5A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5B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5B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5B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5B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5B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5B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5B6" w14:textId="77777777" w:rsidR="00802D3E" w:rsidRDefault="00802D3E">
            <w:pPr>
              <w:pStyle w:val="MeasureTableTextRightAligned"/>
            </w:pPr>
            <w:r>
              <w:t>2019-20</w:t>
            </w:r>
          </w:p>
        </w:tc>
      </w:tr>
      <w:tr w:rsidR="00802D3E" w14:paraId="2086E5C0" w14:textId="77777777" w:rsidTr="00802D3E">
        <w:trPr>
          <w:cantSplit/>
          <w:jc w:val="center"/>
        </w:trPr>
        <w:tc>
          <w:tcPr>
            <w:tcW w:w="967" w:type="dxa"/>
            <w:tcBorders>
              <w:top w:val="single" w:sz="2" w:space="0" w:color="auto"/>
              <w:left w:val="nil"/>
              <w:bottom w:val="single" w:sz="2" w:space="0" w:color="auto"/>
              <w:right w:val="nil"/>
            </w:tcBorders>
            <w:hideMark/>
          </w:tcPr>
          <w:p w14:paraId="2086E5B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5B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5B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5B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5BC"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5B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5BE"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5BF" w14:textId="77777777" w:rsidR="00802D3E" w:rsidRDefault="00802D3E">
            <w:pPr>
              <w:pStyle w:val="MeasureTableTextRightAligned"/>
            </w:pPr>
            <w:r>
              <w:t>..</w:t>
            </w:r>
          </w:p>
        </w:tc>
      </w:tr>
      <w:tr w:rsidR="00802D3E" w14:paraId="2086E5C5" w14:textId="77777777" w:rsidTr="00802D3E">
        <w:trPr>
          <w:cantSplit/>
          <w:jc w:val="center"/>
        </w:trPr>
        <w:tc>
          <w:tcPr>
            <w:tcW w:w="1934" w:type="dxa"/>
            <w:gridSpan w:val="2"/>
            <w:tcBorders>
              <w:top w:val="single" w:sz="2" w:space="0" w:color="auto"/>
              <w:left w:val="nil"/>
              <w:bottom w:val="nil"/>
              <w:right w:val="nil"/>
            </w:tcBorders>
            <w:hideMark/>
          </w:tcPr>
          <w:p w14:paraId="2086E5C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5C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5C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5C4" w14:textId="77777777" w:rsidR="00802D3E" w:rsidRDefault="00802D3E">
            <w:pPr>
              <w:pStyle w:val="MeasureTableTextLeftAligned"/>
            </w:pPr>
            <w:r>
              <w:t>A11</w:t>
            </w:r>
          </w:p>
        </w:tc>
      </w:tr>
      <w:tr w:rsidR="00802D3E" w14:paraId="2086E5CA" w14:textId="77777777" w:rsidTr="00802D3E">
        <w:trPr>
          <w:cantSplit/>
          <w:jc w:val="center"/>
        </w:trPr>
        <w:tc>
          <w:tcPr>
            <w:tcW w:w="1934" w:type="dxa"/>
            <w:gridSpan w:val="2"/>
            <w:tcBorders>
              <w:top w:val="nil"/>
              <w:left w:val="nil"/>
              <w:bottom w:val="nil"/>
              <w:right w:val="nil"/>
            </w:tcBorders>
            <w:hideMark/>
          </w:tcPr>
          <w:p w14:paraId="2086E5C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5C7"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5C8" w14:textId="77777777" w:rsidR="00802D3E" w:rsidRDefault="00802D3E">
            <w:pPr>
              <w:pStyle w:val="MeasureTableTextItalic"/>
            </w:pPr>
          </w:p>
        </w:tc>
        <w:tc>
          <w:tcPr>
            <w:tcW w:w="1124" w:type="dxa"/>
            <w:gridSpan w:val="2"/>
            <w:tcBorders>
              <w:top w:val="nil"/>
              <w:left w:val="nil"/>
              <w:bottom w:val="nil"/>
              <w:right w:val="nil"/>
            </w:tcBorders>
          </w:tcPr>
          <w:p w14:paraId="2086E5C9" w14:textId="77777777" w:rsidR="00802D3E" w:rsidRDefault="00802D3E">
            <w:pPr>
              <w:pStyle w:val="MeasureTableTextLeftAligned"/>
            </w:pPr>
          </w:p>
        </w:tc>
      </w:tr>
      <w:tr w:rsidR="00802D3E" w14:paraId="2086E5CF" w14:textId="77777777" w:rsidTr="00802D3E">
        <w:trPr>
          <w:cantSplit/>
          <w:jc w:val="center"/>
        </w:trPr>
        <w:tc>
          <w:tcPr>
            <w:tcW w:w="1934" w:type="dxa"/>
            <w:gridSpan w:val="2"/>
            <w:tcBorders>
              <w:top w:val="nil"/>
              <w:left w:val="nil"/>
              <w:bottom w:val="nil"/>
              <w:right w:val="nil"/>
            </w:tcBorders>
            <w:hideMark/>
          </w:tcPr>
          <w:p w14:paraId="2086E5C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5CC"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5CD"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5CE" w14:textId="77777777" w:rsidR="00802D3E" w:rsidRDefault="00802D3E">
            <w:pPr>
              <w:pStyle w:val="MeasureTableTextLeftAligned"/>
            </w:pPr>
          </w:p>
        </w:tc>
      </w:tr>
      <w:tr w:rsidR="00802D3E" w14:paraId="2086E5D2" w14:textId="77777777" w:rsidTr="00802D3E">
        <w:trPr>
          <w:cantSplit/>
          <w:jc w:val="center"/>
        </w:trPr>
        <w:tc>
          <w:tcPr>
            <w:tcW w:w="1934" w:type="dxa"/>
            <w:gridSpan w:val="2"/>
            <w:tcBorders>
              <w:top w:val="nil"/>
              <w:left w:val="nil"/>
              <w:bottom w:val="single" w:sz="2" w:space="0" w:color="auto"/>
              <w:right w:val="nil"/>
            </w:tcBorders>
            <w:hideMark/>
          </w:tcPr>
          <w:p w14:paraId="2086E5D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5D1" w14:textId="77777777" w:rsidR="00802D3E" w:rsidRDefault="00802D3E" w:rsidP="00733979">
            <w:pPr>
              <w:widowControl w:val="0"/>
              <w:autoSpaceDE w:val="0"/>
              <w:autoSpaceDN w:val="0"/>
              <w:adjustRightInd w:val="0"/>
              <w:spacing w:after="0" w:line="240" w:lineRule="auto"/>
              <w:jc w:val="left"/>
            </w:pPr>
            <w:r>
              <w:rPr>
                <w:rFonts w:ascii="Arial" w:hAnsi="Arial" w:cs="Arial"/>
                <w:color w:val="000000"/>
                <w:sz w:val="16"/>
                <w:szCs w:val="16"/>
              </w:rPr>
              <w:t xml:space="preserve">Sections 51-5 and 51-33 of the </w:t>
            </w:r>
            <w:r>
              <w:rPr>
                <w:rFonts w:ascii="Arial" w:hAnsi="Arial" w:cs="Arial"/>
                <w:i/>
                <w:iCs/>
                <w:color w:val="000000"/>
                <w:sz w:val="16"/>
                <w:szCs w:val="16"/>
              </w:rPr>
              <w:t>Income Tax Assessment Act 1997</w:t>
            </w:r>
          </w:p>
        </w:tc>
      </w:tr>
    </w:tbl>
    <w:p w14:paraId="2086E5D3" w14:textId="77777777" w:rsidR="00802D3E" w:rsidRDefault="00802D3E" w:rsidP="0098392C">
      <w:pPr>
        <w:pStyle w:val="SingleParagraph"/>
      </w:pPr>
    </w:p>
    <w:p w14:paraId="2086E5D4" w14:textId="77777777" w:rsidR="00802D3E" w:rsidRDefault="00802D3E" w:rsidP="00802D3E">
      <w:r>
        <w:t>Australian Defence Force Reserve personnel</w:t>
      </w:r>
      <w:r>
        <w:fldChar w:fldCharType="begin"/>
      </w:r>
      <w:r>
        <w:instrText xml:space="preserve"> XE "Australian Defence Force Reserve personnel" </w:instrText>
      </w:r>
      <w:r>
        <w:fldChar w:fldCharType="end"/>
      </w:r>
      <w:r>
        <w:t xml:space="preserve"> not engaged in continuous full</w:t>
      </w:r>
      <w:r>
        <w:noBreakHyphen/>
        <w:t xml:space="preserve">time service who are forced to resign due to injuries sustained while employed by the Reserves may receive compensation for the loss of pay and allowances. Such compensation payments are exempt from income tax. </w:t>
      </w:r>
    </w:p>
    <w:p w14:paraId="2086E5D5" w14:textId="77777777" w:rsidR="00802D3E" w:rsidRDefault="00802D3E" w:rsidP="00802D3E">
      <w:pPr>
        <w:pStyle w:val="TESHeading5"/>
        <w:ind w:left="0" w:firstLine="0"/>
      </w:pPr>
      <w:r>
        <w:lastRenderedPageBreak/>
        <w:t>A11</w:t>
      </w:r>
      <w:r>
        <w:tab/>
        <w:t>Exemption of some payments to Australian Federal Police and civilian personnel on service with an armed force of the United Nations</w:t>
      </w:r>
    </w:p>
    <w:p w14:paraId="2086E5D6"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5DF" w14:textId="77777777" w:rsidTr="00802D3E">
        <w:trPr>
          <w:cantSplit/>
          <w:jc w:val="center"/>
        </w:trPr>
        <w:tc>
          <w:tcPr>
            <w:tcW w:w="967" w:type="dxa"/>
            <w:tcBorders>
              <w:top w:val="single" w:sz="2" w:space="0" w:color="auto"/>
              <w:left w:val="nil"/>
              <w:bottom w:val="single" w:sz="2" w:space="0" w:color="auto"/>
              <w:right w:val="nil"/>
            </w:tcBorders>
            <w:hideMark/>
          </w:tcPr>
          <w:p w14:paraId="2086E5D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5D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5D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5D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5D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5D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5D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5DE" w14:textId="77777777" w:rsidR="00802D3E" w:rsidRDefault="00802D3E">
            <w:pPr>
              <w:pStyle w:val="MeasureTableTextRightAligned"/>
            </w:pPr>
            <w:r>
              <w:t>2019-20</w:t>
            </w:r>
          </w:p>
        </w:tc>
      </w:tr>
      <w:tr w:rsidR="00802D3E" w14:paraId="2086E5E8" w14:textId="77777777" w:rsidTr="00802D3E">
        <w:trPr>
          <w:cantSplit/>
          <w:jc w:val="center"/>
        </w:trPr>
        <w:tc>
          <w:tcPr>
            <w:tcW w:w="967" w:type="dxa"/>
            <w:tcBorders>
              <w:top w:val="single" w:sz="2" w:space="0" w:color="auto"/>
              <w:left w:val="nil"/>
              <w:bottom w:val="single" w:sz="2" w:space="0" w:color="auto"/>
              <w:right w:val="nil"/>
            </w:tcBorders>
            <w:hideMark/>
          </w:tcPr>
          <w:p w14:paraId="2086E5E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5E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5E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5E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5E4"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5E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5E6"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5E7" w14:textId="77777777" w:rsidR="00802D3E" w:rsidRDefault="00802D3E">
            <w:pPr>
              <w:pStyle w:val="MeasureTableTextRightAligned"/>
            </w:pPr>
            <w:r>
              <w:t>..</w:t>
            </w:r>
          </w:p>
        </w:tc>
      </w:tr>
      <w:tr w:rsidR="00802D3E" w14:paraId="2086E5ED" w14:textId="77777777" w:rsidTr="00802D3E">
        <w:trPr>
          <w:cantSplit/>
          <w:jc w:val="center"/>
        </w:trPr>
        <w:tc>
          <w:tcPr>
            <w:tcW w:w="1934" w:type="dxa"/>
            <w:gridSpan w:val="2"/>
            <w:tcBorders>
              <w:top w:val="single" w:sz="2" w:space="0" w:color="auto"/>
              <w:left w:val="nil"/>
              <w:bottom w:val="nil"/>
              <w:right w:val="nil"/>
            </w:tcBorders>
            <w:hideMark/>
          </w:tcPr>
          <w:p w14:paraId="2086E5E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5EA"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5E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5EC" w14:textId="77777777" w:rsidR="00802D3E" w:rsidRDefault="00802D3E">
            <w:pPr>
              <w:pStyle w:val="MeasureTableTextLeftAligned"/>
            </w:pPr>
            <w:r>
              <w:t>A12</w:t>
            </w:r>
          </w:p>
        </w:tc>
      </w:tr>
      <w:tr w:rsidR="00802D3E" w14:paraId="2086E5F2" w14:textId="77777777" w:rsidTr="00802D3E">
        <w:trPr>
          <w:cantSplit/>
          <w:jc w:val="center"/>
        </w:trPr>
        <w:tc>
          <w:tcPr>
            <w:tcW w:w="1934" w:type="dxa"/>
            <w:gridSpan w:val="2"/>
            <w:tcBorders>
              <w:top w:val="nil"/>
              <w:left w:val="nil"/>
              <w:bottom w:val="nil"/>
              <w:right w:val="nil"/>
            </w:tcBorders>
            <w:hideMark/>
          </w:tcPr>
          <w:p w14:paraId="2086E5E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5EF" w14:textId="77777777" w:rsidR="00802D3E" w:rsidRDefault="00802D3E">
            <w:pPr>
              <w:pStyle w:val="MeasureTableTextLeftAligned"/>
            </w:pPr>
            <w:r>
              <w:t>Very Low</w:t>
            </w:r>
          </w:p>
        </w:tc>
        <w:tc>
          <w:tcPr>
            <w:tcW w:w="1500" w:type="dxa"/>
            <w:gridSpan w:val="2"/>
            <w:tcBorders>
              <w:top w:val="nil"/>
              <w:left w:val="nil"/>
              <w:bottom w:val="nil"/>
              <w:right w:val="nil"/>
            </w:tcBorders>
          </w:tcPr>
          <w:p w14:paraId="2086E5F0" w14:textId="77777777" w:rsidR="00802D3E" w:rsidRDefault="00802D3E">
            <w:pPr>
              <w:pStyle w:val="MeasureTableTextItalic"/>
            </w:pPr>
          </w:p>
        </w:tc>
        <w:tc>
          <w:tcPr>
            <w:tcW w:w="1124" w:type="dxa"/>
            <w:gridSpan w:val="2"/>
            <w:tcBorders>
              <w:top w:val="nil"/>
              <w:left w:val="nil"/>
              <w:bottom w:val="nil"/>
              <w:right w:val="nil"/>
            </w:tcBorders>
          </w:tcPr>
          <w:p w14:paraId="2086E5F1" w14:textId="77777777" w:rsidR="00802D3E" w:rsidRDefault="00802D3E">
            <w:pPr>
              <w:pStyle w:val="MeasureTableTextLeftAligned"/>
            </w:pPr>
          </w:p>
        </w:tc>
      </w:tr>
      <w:tr w:rsidR="00802D3E" w14:paraId="2086E5F7" w14:textId="77777777" w:rsidTr="00802D3E">
        <w:trPr>
          <w:cantSplit/>
          <w:jc w:val="center"/>
        </w:trPr>
        <w:tc>
          <w:tcPr>
            <w:tcW w:w="1934" w:type="dxa"/>
            <w:gridSpan w:val="2"/>
            <w:tcBorders>
              <w:top w:val="nil"/>
              <w:left w:val="nil"/>
              <w:bottom w:val="nil"/>
              <w:right w:val="nil"/>
            </w:tcBorders>
            <w:hideMark/>
          </w:tcPr>
          <w:p w14:paraId="2086E5F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5F4"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5F5"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5F6" w14:textId="77777777" w:rsidR="00802D3E" w:rsidRDefault="00802D3E">
            <w:pPr>
              <w:pStyle w:val="MeasureTableTextLeftAligned"/>
            </w:pPr>
          </w:p>
        </w:tc>
      </w:tr>
      <w:tr w:rsidR="00802D3E" w14:paraId="2086E5FA" w14:textId="77777777" w:rsidTr="00802D3E">
        <w:trPr>
          <w:cantSplit/>
          <w:jc w:val="center"/>
        </w:trPr>
        <w:tc>
          <w:tcPr>
            <w:tcW w:w="1934" w:type="dxa"/>
            <w:gridSpan w:val="2"/>
            <w:tcBorders>
              <w:top w:val="nil"/>
              <w:left w:val="nil"/>
              <w:bottom w:val="single" w:sz="2" w:space="0" w:color="auto"/>
              <w:right w:val="nil"/>
            </w:tcBorders>
            <w:hideMark/>
          </w:tcPr>
          <w:p w14:paraId="2086E5F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5F9" w14:textId="77777777" w:rsidR="00802D3E" w:rsidRDefault="00802D3E" w:rsidP="00733979">
            <w:pPr>
              <w:widowControl w:val="0"/>
              <w:autoSpaceDE w:val="0"/>
              <w:autoSpaceDN w:val="0"/>
              <w:adjustRightInd w:val="0"/>
              <w:spacing w:after="0" w:line="240" w:lineRule="auto"/>
              <w:jc w:val="left"/>
            </w:pPr>
            <w:r>
              <w:rPr>
                <w:rFonts w:ascii="Arial" w:hAnsi="Arial" w:cs="Arial"/>
                <w:color w:val="000000"/>
                <w:sz w:val="16"/>
                <w:szCs w:val="16"/>
              </w:rPr>
              <w:t xml:space="preserve">Section 23AB of the </w:t>
            </w:r>
            <w:r>
              <w:rPr>
                <w:rFonts w:ascii="Arial" w:hAnsi="Arial" w:cs="Arial"/>
                <w:i/>
                <w:iCs/>
                <w:color w:val="000000"/>
                <w:sz w:val="16"/>
                <w:szCs w:val="16"/>
              </w:rPr>
              <w:t>Income Tax Assessment Act 1936</w:t>
            </w:r>
          </w:p>
        </w:tc>
      </w:tr>
    </w:tbl>
    <w:p w14:paraId="2086E5FB" w14:textId="77777777" w:rsidR="00802D3E" w:rsidRDefault="00802D3E" w:rsidP="0098392C">
      <w:pPr>
        <w:pStyle w:val="SingleParagraph"/>
      </w:pPr>
    </w:p>
    <w:p w14:paraId="2086E5FC" w14:textId="2BA01A31" w:rsidR="00802D3E" w:rsidRDefault="00802D3E" w:rsidP="00802D3E">
      <w:r>
        <w:t>Australian Federal Police</w:t>
      </w:r>
      <w:r>
        <w:fldChar w:fldCharType="begin"/>
      </w:r>
      <w:r>
        <w:instrText xml:space="preserve"> XE "Australian Federal Police personnel" </w:instrText>
      </w:r>
      <w:r>
        <w:fldChar w:fldCharType="end"/>
      </w:r>
      <w:r>
        <w:t xml:space="preserve"> and civilian personnel contributed by Australia to a United</w:t>
      </w:r>
      <w:r w:rsidR="009057E9">
        <w:t> </w:t>
      </w:r>
      <w:r>
        <w:t xml:space="preserve">Nations armed force may receive compensation for death, impairment or incapacity resulting from their service. Such payments are exempt from income tax. Associated payments, including to the estate of a deceased civilian, may also receive tax relief. </w:t>
      </w:r>
      <w:r>
        <w:fldChar w:fldCharType="begin"/>
      </w:r>
      <w:r>
        <w:instrText xml:space="preserve"> XE "United Nations service" </w:instrText>
      </w:r>
      <w:r>
        <w:fldChar w:fldCharType="end"/>
      </w:r>
    </w:p>
    <w:p w14:paraId="2086E5FD" w14:textId="77777777" w:rsidR="00802D3E" w:rsidRDefault="00802D3E" w:rsidP="00802D3E">
      <w:pPr>
        <w:pStyle w:val="TESHeading5"/>
        <w:ind w:left="0" w:firstLine="0"/>
      </w:pPr>
      <w:r>
        <w:t>A12</w:t>
      </w:r>
      <w:r>
        <w:tab/>
        <w:t>Medicare levy exemption for current and veteran Australian Defence Force personnel and their relatives and associates</w:t>
      </w:r>
    </w:p>
    <w:p w14:paraId="2086E5FE"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607" w14:textId="77777777" w:rsidTr="00802D3E">
        <w:trPr>
          <w:cantSplit/>
          <w:jc w:val="center"/>
        </w:trPr>
        <w:tc>
          <w:tcPr>
            <w:tcW w:w="967" w:type="dxa"/>
            <w:tcBorders>
              <w:top w:val="single" w:sz="2" w:space="0" w:color="auto"/>
              <w:left w:val="nil"/>
              <w:bottom w:val="single" w:sz="2" w:space="0" w:color="auto"/>
              <w:right w:val="nil"/>
            </w:tcBorders>
            <w:hideMark/>
          </w:tcPr>
          <w:p w14:paraId="2086E5F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60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60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60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60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60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60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606" w14:textId="77777777" w:rsidR="00802D3E" w:rsidRDefault="00802D3E">
            <w:pPr>
              <w:pStyle w:val="MeasureTableTextRightAligned"/>
            </w:pPr>
            <w:r>
              <w:t>2019-20</w:t>
            </w:r>
          </w:p>
        </w:tc>
      </w:tr>
      <w:tr w:rsidR="00802D3E" w14:paraId="2086E610" w14:textId="77777777" w:rsidTr="00802D3E">
        <w:trPr>
          <w:cantSplit/>
          <w:jc w:val="center"/>
        </w:trPr>
        <w:tc>
          <w:tcPr>
            <w:tcW w:w="967" w:type="dxa"/>
            <w:tcBorders>
              <w:top w:val="single" w:sz="2" w:space="0" w:color="auto"/>
              <w:left w:val="nil"/>
              <w:bottom w:val="single" w:sz="2" w:space="0" w:color="auto"/>
              <w:right w:val="nil"/>
            </w:tcBorders>
            <w:hideMark/>
          </w:tcPr>
          <w:p w14:paraId="2086E608"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hideMark/>
          </w:tcPr>
          <w:p w14:paraId="2086E609"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6E60A" w14:textId="77777777" w:rsidR="00802D3E" w:rsidRDefault="00802D3E">
            <w:pPr>
              <w:pStyle w:val="MeasureTableTextRightAligned"/>
            </w:pPr>
            <w:r>
              <w:t>80</w:t>
            </w:r>
          </w:p>
        </w:tc>
        <w:tc>
          <w:tcPr>
            <w:tcW w:w="967" w:type="dxa"/>
            <w:tcBorders>
              <w:top w:val="single" w:sz="2" w:space="0" w:color="auto"/>
              <w:left w:val="nil"/>
              <w:bottom w:val="single" w:sz="2" w:space="0" w:color="auto"/>
              <w:right w:val="nil"/>
            </w:tcBorders>
            <w:vAlign w:val="bottom"/>
            <w:hideMark/>
          </w:tcPr>
          <w:p w14:paraId="2086E60B" w14:textId="77777777" w:rsidR="00802D3E" w:rsidRDefault="00802D3E">
            <w:pPr>
              <w:pStyle w:val="MeasureTableTextRightAligned"/>
            </w:pPr>
            <w:r>
              <w:t>80</w:t>
            </w:r>
          </w:p>
        </w:tc>
        <w:tc>
          <w:tcPr>
            <w:tcW w:w="967" w:type="dxa"/>
            <w:tcBorders>
              <w:top w:val="single" w:sz="2" w:space="0" w:color="auto"/>
              <w:left w:val="nil"/>
              <w:bottom w:val="single" w:sz="2" w:space="0" w:color="auto"/>
              <w:right w:val="nil"/>
            </w:tcBorders>
            <w:vAlign w:val="bottom"/>
            <w:hideMark/>
          </w:tcPr>
          <w:p w14:paraId="2086E60C" w14:textId="77777777" w:rsidR="00802D3E" w:rsidRDefault="00802D3E">
            <w:pPr>
              <w:pStyle w:val="MeasureTableTextRightAligned"/>
            </w:pPr>
            <w:r>
              <w:t>85</w:t>
            </w:r>
          </w:p>
        </w:tc>
        <w:tc>
          <w:tcPr>
            <w:tcW w:w="967" w:type="dxa"/>
            <w:gridSpan w:val="2"/>
            <w:tcBorders>
              <w:top w:val="single" w:sz="2" w:space="0" w:color="auto"/>
              <w:left w:val="nil"/>
              <w:bottom w:val="single" w:sz="2" w:space="0" w:color="auto"/>
              <w:right w:val="nil"/>
            </w:tcBorders>
            <w:vAlign w:val="bottom"/>
            <w:hideMark/>
          </w:tcPr>
          <w:p w14:paraId="2086E60D" w14:textId="77777777" w:rsidR="00802D3E" w:rsidRDefault="00802D3E">
            <w:pPr>
              <w:pStyle w:val="MeasureTableTextRightAligned"/>
            </w:pPr>
            <w:r>
              <w:t>85</w:t>
            </w:r>
          </w:p>
        </w:tc>
        <w:tc>
          <w:tcPr>
            <w:tcW w:w="967" w:type="dxa"/>
            <w:gridSpan w:val="2"/>
            <w:tcBorders>
              <w:top w:val="single" w:sz="2" w:space="0" w:color="auto"/>
              <w:left w:val="nil"/>
              <w:bottom w:val="single" w:sz="2" w:space="0" w:color="auto"/>
              <w:right w:val="nil"/>
            </w:tcBorders>
            <w:vAlign w:val="bottom"/>
            <w:hideMark/>
          </w:tcPr>
          <w:p w14:paraId="2086E60E" w14:textId="77777777" w:rsidR="00802D3E" w:rsidRDefault="00802D3E">
            <w:pPr>
              <w:pStyle w:val="MeasureTableTextRightAligned"/>
            </w:pPr>
            <w:r>
              <w:t>85</w:t>
            </w:r>
          </w:p>
        </w:tc>
        <w:tc>
          <w:tcPr>
            <w:tcW w:w="968" w:type="dxa"/>
            <w:tcBorders>
              <w:top w:val="single" w:sz="2" w:space="0" w:color="auto"/>
              <w:left w:val="nil"/>
              <w:bottom w:val="single" w:sz="2" w:space="0" w:color="auto"/>
              <w:right w:val="nil"/>
            </w:tcBorders>
            <w:vAlign w:val="bottom"/>
            <w:hideMark/>
          </w:tcPr>
          <w:p w14:paraId="2086E60F" w14:textId="77777777" w:rsidR="00802D3E" w:rsidRDefault="00802D3E">
            <w:pPr>
              <w:pStyle w:val="MeasureTableTextRightAligned"/>
            </w:pPr>
            <w:r>
              <w:t>90</w:t>
            </w:r>
          </w:p>
        </w:tc>
      </w:tr>
      <w:tr w:rsidR="00802D3E" w14:paraId="2086E615" w14:textId="77777777" w:rsidTr="00802D3E">
        <w:trPr>
          <w:cantSplit/>
          <w:jc w:val="center"/>
        </w:trPr>
        <w:tc>
          <w:tcPr>
            <w:tcW w:w="1934" w:type="dxa"/>
            <w:gridSpan w:val="2"/>
            <w:tcBorders>
              <w:top w:val="single" w:sz="2" w:space="0" w:color="auto"/>
              <w:left w:val="nil"/>
              <w:bottom w:val="nil"/>
              <w:right w:val="nil"/>
            </w:tcBorders>
            <w:hideMark/>
          </w:tcPr>
          <w:p w14:paraId="2086E61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61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61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614" w14:textId="77777777" w:rsidR="00802D3E" w:rsidRDefault="00802D3E">
            <w:pPr>
              <w:pStyle w:val="MeasureTableTextLeftAligned"/>
            </w:pPr>
            <w:r>
              <w:t>A6</w:t>
            </w:r>
          </w:p>
        </w:tc>
      </w:tr>
      <w:tr w:rsidR="00802D3E" w14:paraId="2086E61A" w14:textId="77777777" w:rsidTr="00802D3E">
        <w:trPr>
          <w:cantSplit/>
          <w:jc w:val="center"/>
        </w:trPr>
        <w:tc>
          <w:tcPr>
            <w:tcW w:w="1934" w:type="dxa"/>
            <w:gridSpan w:val="2"/>
            <w:tcBorders>
              <w:top w:val="nil"/>
              <w:left w:val="nil"/>
              <w:bottom w:val="nil"/>
              <w:right w:val="nil"/>
            </w:tcBorders>
            <w:hideMark/>
          </w:tcPr>
          <w:p w14:paraId="2086E61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617"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6E618" w14:textId="77777777" w:rsidR="00802D3E" w:rsidRDefault="00802D3E">
            <w:pPr>
              <w:pStyle w:val="MeasureTableTextItalic"/>
            </w:pPr>
          </w:p>
        </w:tc>
        <w:tc>
          <w:tcPr>
            <w:tcW w:w="1124" w:type="dxa"/>
            <w:gridSpan w:val="2"/>
            <w:tcBorders>
              <w:top w:val="nil"/>
              <w:left w:val="nil"/>
              <w:bottom w:val="nil"/>
              <w:right w:val="nil"/>
            </w:tcBorders>
          </w:tcPr>
          <w:p w14:paraId="2086E619" w14:textId="77777777" w:rsidR="00802D3E" w:rsidRDefault="00802D3E">
            <w:pPr>
              <w:pStyle w:val="MeasureTableTextLeftAligned"/>
            </w:pPr>
          </w:p>
        </w:tc>
      </w:tr>
      <w:tr w:rsidR="00802D3E" w14:paraId="2086E61F" w14:textId="77777777" w:rsidTr="00802D3E">
        <w:trPr>
          <w:cantSplit/>
          <w:jc w:val="center"/>
        </w:trPr>
        <w:tc>
          <w:tcPr>
            <w:tcW w:w="1934" w:type="dxa"/>
            <w:gridSpan w:val="2"/>
            <w:tcBorders>
              <w:top w:val="nil"/>
              <w:left w:val="nil"/>
              <w:bottom w:val="nil"/>
              <w:right w:val="nil"/>
            </w:tcBorders>
            <w:hideMark/>
          </w:tcPr>
          <w:p w14:paraId="2086E61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61C"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61D"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61E" w14:textId="77777777" w:rsidR="00802D3E" w:rsidRDefault="00802D3E">
            <w:pPr>
              <w:pStyle w:val="MeasureTableTextLeftAligned"/>
            </w:pPr>
          </w:p>
        </w:tc>
      </w:tr>
      <w:tr w:rsidR="00802D3E" w14:paraId="2086E622" w14:textId="77777777" w:rsidTr="00802D3E">
        <w:trPr>
          <w:cantSplit/>
          <w:jc w:val="center"/>
        </w:trPr>
        <w:tc>
          <w:tcPr>
            <w:tcW w:w="1934" w:type="dxa"/>
            <w:gridSpan w:val="2"/>
            <w:tcBorders>
              <w:top w:val="nil"/>
              <w:left w:val="nil"/>
              <w:bottom w:val="single" w:sz="2" w:space="0" w:color="auto"/>
              <w:right w:val="nil"/>
            </w:tcBorders>
            <w:hideMark/>
          </w:tcPr>
          <w:p w14:paraId="2086E62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621" w14:textId="77777777" w:rsidR="00802D3E" w:rsidRDefault="00802D3E" w:rsidP="00733979">
            <w:pPr>
              <w:widowControl w:val="0"/>
              <w:autoSpaceDE w:val="0"/>
              <w:autoSpaceDN w:val="0"/>
              <w:adjustRightInd w:val="0"/>
              <w:spacing w:after="0" w:line="240" w:lineRule="auto"/>
              <w:jc w:val="left"/>
            </w:pPr>
            <w:r>
              <w:rPr>
                <w:rFonts w:ascii="Arial" w:hAnsi="Arial" w:cs="Arial"/>
                <w:color w:val="000000"/>
                <w:sz w:val="16"/>
                <w:szCs w:val="16"/>
              </w:rPr>
              <w:t xml:space="preserve">Sections 251T and 251U of the </w:t>
            </w:r>
            <w:r>
              <w:rPr>
                <w:rFonts w:ascii="Arial" w:hAnsi="Arial" w:cs="Arial"/>
                <w:i/>
                <w:iCs/>
                <w:color w:val="000000"/>
                <w:sz w:val="16"/>
                <w:szCs w:val="16"/>
              </w:rPr>
              <w:t>Income Tax Assessment Act 1936</w:t>
            </w:r>
          </w:p>
        </w:tc>
      </w:tr>
    </w:tbl>
    <w:p w14:paraId="2086E623" w14:textId="77777777" w:rsidR="00802D3E" w:rsidRDefault="00802D3E" w:rsidP="0098392C">
      <w:pPr>
        <w:pStyle w:val="SingleParagraph"/>
      </w:pPr>
    </w:p>
    <w:p w14:paraId="2086E624" w14:textId="77777777" w:rsidR="00802D3E" w:rsidRDefault="00802D3E" w:rsidP="00802D3E">
      <w:r>
        <w:t>A Medicare levy exemption applies to income earned by current and veteran Australian Defence Force personnel</w:t>
      </w:r>
      <w:r>
        <w:fldChar w:fldCharType="begin"/>
      </w:r>
      <w:r>
        <w:instrText xml:space="preserve"> XE "Australian Defence Force personnel" </w:instrText>
      </w:r>
      <w:r>
        <w:fldChar w:fldCharType="end"/>
      </w:r>
      <w:r>
        <w:t xml:space="preserve"> and certain others, for example, relatives of ADF personnel who are entitled to free medical treatment</w:t>
      </w:r>
      <w:r>
        <w:fldChar w:fldCharType="begin"/>
      </w:r>
      <w:r>
        <w:instrText xml:space="preserve"> XE "Medicare</w:instrText>
      </w:r>
      <w:r w:rsidR="00F07C59">
        <w:instrText xml:space="preserve"> Levy</w:instrText>
      </w:r>
      <w:r>
        <w:instrText>:</w:instrText>
      </w:r>
      <w:r w:rsidR="00F07C59">
        <w:instrText>E</w:instrText>
      </w:r>
      <w:r>
        <w:instrText xml:space="preserve">xemption" </w:instrText>
      </w:r>
      <w:r>
        <w:fldChar w:fldCharType="end"/>
      </w:r>
      <w:r>
        <w:t>.</w:t>
      </w:r>
    </w:p>
    <w:p w14:paraId="2086E625" w14:textId="77777777" w:rsidR="00802D3E" w:rsidRDefault="00802D3E" w:rsidP="00802D3E">
      <w:pPr>
        <w:pStyle w:val="TESHeading5"/>
        <w:ind w:left="0" w:firstLine="0"/>
      </w:pPr>
      <w:r>
        <w:t>A13</w:t>
      </w:r>
      <w:r>
        <w:tab/>
        <w:t>Tax offsets for Australian Defence Force personnel serving overseas and for Australian Federal Police and civilians serving with United Nations forces</w:t>
      </w:r>
    </w:p>
    <w:p w14:paraId="2086E626"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62F" w14:textId="77777777" w:rsidTr="00802D3E">
        <w:trPr>
          <w:cantSplit/>
          <w:jc w:val="center"/>
        </w:trPr>
        <w:tc>
          <w:tcPr>
            <w:tcW w:w="967" w:type="dxa"/>
            <w:tcBorders>
              <w:top w:val="single" w:sz="2" w:space="0" w:color="auto"/>
              <w:left w:val="nil"/>
              <w:bottom w:val="single" w:sz="2" w:space="0" w:color="auto"/>
              <w:right w:val="nil"/>
            </w:tcBorders>
            <w:hideMark/>
          </w:tcPr>
          <w:p w14:paraId="2086E62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62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62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62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62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62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62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62E" w14:textId="77777777" w:rsidR="00802D3E" w:rsidRDefault="00802D3E">
            <w:pPr>
              <w:pStyle w:val="MeasureTableTextRightAligned"/>
            </w:pPr>
            <w:r>
              <w:t>2019-20</w:t>
            </w:r>
          </w:p>
        </w:tc>
      </w:tr>
      <w:tr w:rsidR="00802D3E" w14:paraId="2086E631" w14:textId="77777777" w:rsidTr="00802D3E">
        <w:trPr>
          <w:cantSplit/>
          <w:jc w:val="center"/>
        </w:trPr>
        <w:tc>
          <w:tcPr>
            <w:tcW w:w="7737" w:type="dxa"/>
            <w:gridSpan w:val="10"/>
            <w:tcBorders>
              <w:top w:val="single" w:sz="2" w:space="0" w:color="auto"/>
              <w:left w:val="nil"/>
              <w:bottom w:val="single" w:sz="2" w:space="0" w:color="auto"/>
              <w:right w:val="nil"/>
            </w:tcBorders>
            <w:hideMark/>
          </w:tcPr>
          <w:p w14:paraId="2086E630" w14:textId="77777777" w:rsidR="00802D3E" w:rsidRDefault="00802D3E">
            <w:pPr>
              <w:pStyle w:val="MeasureTableTextRightAligned"/>
              <w:jc w:val="center"/>
            </w:pPr>
            <w:r>
              <w:t>Included in A43</w:t>
            </w:r>
          </w:p>
        </w:tc>
      </w:tr>
      <w:tr w:rsidR="00802D3E" w14:paraId="2086E636" w14:textId="77777777" w:rsidTr="00802D3E">
        <w:trPr>
          <w:cantSplit/>
          <w:jc w:val="center"/>
        </w:trPr>
        <w:tc>
          <w:tcPr>
            <w:tcW w:w="1934" w:type="dxa"/>
            <w:gridSpan w:val="2"/>
            <w:tcBorders>
              <w:top w:val="single" w:sz="2" w:space="0" w:color="auto"/>
              <w:left w:val="nil"/>
              <w:bottom w:val="nil"/>
              <w:right w:val="nil"/>
            </w:tcBorders>
            <w:hideMark/>
          </w:tcPr>
          <w:p w14:paraId="2086E63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633"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E63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635" w14:textId="77777777" w:rsidR="00802D3E" w:rsidRDefault="00802D3E">
            <w:pPr>
              <w:pStyle w:val="MeasureTableTextLeftAligned"/>
            </w:pPr>
            <w:r>
              <w:t>A13</w:t>
            </w:r>
          </w:p>
        </w:tc>
      </w:tr>
      <w:tr w:rsidR="00802D3E" w14:paraId="2086E63B" w14:textId="77777777" w:rsidTr="00802D3E">
        <w:trPr>
          <w:cantSplit/>
          <w:jc w:val="center"/>
        </w:trPr>
        <w:tc>
          <w:tcPr>
            <w:tcW w:w="1934" w:type="dxa"/>
            <w:gridSpan w:val="2"/>
            <w:tcBorders>
              <w:top w:val="nil"/>
              <w:left w:val="nil"/>
              <w:bottom w:val="nil"/>
              <w:right w:val="nil"/>
            </w:tcBorders>
            <w:hideMark/>
          </w:tcPr>
          <w:p w14:paraId="2086E637" w14:textId="77777777" w:rsidR="00802D3E" w:rsidRDefault="00802D3E">
            <w:pPr>
              <w:pStyle w:val="MeasureTableTextItalic"/>
            </w:pPr>
            <w:r>
              <w:t>Estimate Reliability:</w:t>
            </w:r>
          </w:p>
        </w:tc>
        <w:tc>
          <w:tcPr>
            <w:tcW w:w="3179" w:type="dxa"/>
            <w:gridSpan w:val="4"/>
            <w:tcBorders>
              <w:top w:val="nil"/>
              <w:left w:val="nil"/>
              <w:bottom w:val="nil"/>
              <w:right w:val="nil"/>
            </w:tcBorders>
          </w:tcPr>
          <w:p w14:paraId="2086E638" w14:textId="77777777" w:rsidR="00802D3E" w:rsidRDefault="00802D3E">
            <w:pPr>
              <w:pStyle w:val="MeasureTableTextLeftAligned"/>
            </w:pPr>
          </w:p>
        </w:tc>
        <w:tc>
          <w:tcPr>
            <w:tcW w:w="1500" w:type="dxa"/>
            <w:gridSpan w:val="2"/>
            <w:tcBorders>
              <w:top w:val="nil"/>
              <w:left w:val="nil"/>
              <w:bottom w:val="nil"/>
              <w:right w:val="nil"/>
            </w:tcBorders>
          </w:tcPr>
          <w:p w14:paraId="2086E639" w14:textId="77777777" w:rsidR="00802D3E" w:rsidRDefault="00802D3E">
            <w:pPr>
              <w:pStyle w:val="MeasureTableTextItalic"/>
            </w:pPr>
          </w:p>
        </w:tc>
        <w:tc>
          <w:tcPr>
            <w:tcW w:w="1124" w:type="dxa"/>
            <w:gridSpan w:val="2"/>
            <w:tcBorders>
              <w:top w:val="nil"/>
              <w:left w:val="nil"/>
              <w:bottom w:val="nil"/>
              <w:right w:val="nil"/>
            </w:tcBorders>
          </w:tcPr>
          <w:p w14:paraId="2086E63A" w14:textId="77777777" w:rsidR="00802D3E" w:rsidRDefault="00802D3E">
            <w:pPr>
              <w:pStyle w:val="MeasureTableTextLeftAligned"/>
            </w:pPr>
          </w:p>
        </w:tc>
      </w:tr>
      <w:tr w:rsidR="00802D3E" w14:paraId="2086E640" w14:textId="77777777" w:rsidTr="00802D3E">
        <w:trPr>
          <w:cantSplit/>
          <w:jc w:val="center"/>
        </w:trPr>
        <w:tc>
          <w:tcPr>
            <w:tcW w:w="1934" w:type="dxa"/>
            <w:gridSpan w:val="2"/>
            <w:tcBorders>
              <w:top w:val="nil"/>
              <w:left w:val="nil"/>
              <w:bottom w:val="nil"/>
              <w:right w:val="nil"/>
            </w:tcBorders>
            <w:hideMark/>
          </w:tcPr>
          <w:p w14:paraId="2086E63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63D"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63E"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63F" w14:textId="77777777" w:rsidR="00802D3E" w:rsidRDefault="00802D3E">
            <w:pPr>
              <w:pStyle w:val="MeasureTableTextLeftAligned"/>
            </w:pPr>
          </w:p>
        </w:tc>
      </w:tr>
      <w:tr w:rsidR="00802D3E" w14:paraId="2086E643" w14:textId="77777777" w:rsidTr="00802D3E">
        <w:trPr>
          <w:cantSplit/>
          <w:jc w:val="center"/>
        </w:trPr>
        <w:tc>
          <w:tcPr>
            <w:tcW w:w="1934" w:type="dxa"/>
            <w:gridSpan w:val="2"/>
            <w:tcBorders>
              <w:top w:val="nil"/>
              <w:left w:val="nil"/>
              <w:bottom w:val="single" w:sz="2" w:space="0" w:color="auto"/>
              <w:right w:val="nil"/>
            </w:tcBorders>
            <w:hideMark/>
          </w:tcPr>
          <w:p w14:paraId="2086E64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642" w14:textId="77777777" w:rsidR="00802D3E" w:rsidRPr="00733979" w:rsidRDefault="00802D3E" w:rsidP="00733979">
            <w:pPr>
              <w:widowControl w:val="0"/>
              <w:autoSpaceDE w:val="0"/>
              <w:autoSpaceDN w:val="0"/>
              <w:adjustRightInd w:val="0"/>
              <w:spacing w:after="0" w:line="240" w:lineRule="auto"/>
              <w:jc w:val="left"/>
              <w:rPr>
                <w:rFonts w:ascii="Arial" w:hAnsi="Arial" w:cs="Arial"/>
                <w:sz w:val="16"/>
                <w:szCs w:val="16"/>
              </w:rPr>
            </w:pPr>
            <w:r w:rsidRPr="00733979">
              <w:rPr>
                <w:rFonts w:ascii="Arial" w:hAnsi="Arial" w:cs="Arial"/>
                <w:sz w:val="16"/>
                <w:szCs w:val="16"/>
              </w:rPr>
              <w:t xml:space="preserve">Sections 79B and 23AB(7) of the </w:t>
            </w:r>
            <w:r w:rsidRPr="00733979">
              <w:rPr>
                <w:rFonts w:ascii="Arial" w:hAnsi="Arial" w:cs="Arial"/>
                <w:i/>
                <w:iCs/>
                <w:color w:val="000000"/>
                <w:sz w:val="16"/>
                <w:szCs w:val="16"/>
              </w:rPr>
              <w:t>Income Tax Assessment Act 1936</w:t>
            </w:r>
          </w:p>
        </w:tc>
      </w:tr>
    </w:tbl>
    <w:p w14:paraId="2086E644" w14:textId="77777777" w:rsidR="00802D3E" w:rsidRDefault="00802D3E" w:rsidP="0098392C">
      <w:pPr>
        <w:pStyle w:val="SingleParagraph"/>
      </w:pPr>
    </w:p>
    <w:p w14:paraId="2086E645" w14:textId="77777777" w:rsidR="00802D3E" w:rsidRDefault="00802D3E" w:rsidP="00802D3E">
      <w:r>
        <w:t>Australian Defence Force personnel</w:t>
      </w:r>
      <w:r>
        <w:fldChar w:fldCharType="begin"/>
      </w:r>
      <w:r>
        <w:instrText xml:space="preserve"> XE "Australian Defence Force personnel" </w:instrText>
      </w:r>
      <w:r>
        <w:fldChar w:fldCharType="end"/>
      </w:r>
      <w:r>
        <w:t xml:space="preserve"> who serve overseas in a locality specified by the Minister (because of its isolation and uncongenial nature), as well as civilian and Australian Federal Police personnel contributed by Australia to an armed force of the United Nations,</w:t>
      </w:r>
      <w:r>
        <w:fldChar w:fldCharType="begin"/>
      </w:r>
      <w:r>
        <w:instrText xml:space="preserve"> XE "United Nations service" </w:instrText>
      </w:r>
      <w:r>
        <w:fldChar w:fldCharType="end"/>
      </w:r>
      <w:r>
        <w:t xml:space="preserve"> may be eligible for a tax offset. The offset includes additional entitlements for individuals who maintain dependants. </w:t>
      </w:r>
    </w:p>
    <w:p w14:paraId="2086E646" w14:textId="77777777" w:rsidR="00802D3E" w:rsidRDefault="00802D3E" w:rsidP="00802D3E">
      <w:pPr>
        <w:pStyle w:val="TESHeading5"/>
        <w:ind w:left="0" w:firstLine="0"/>
      </w:pPr>
      <w:r>
        <w:lastRenderedPageBreak/>
        <w:t>A14</w:t>
      </w:r>
      <w:r>
        <w:tab/>
        <w:t>Denial of deductibility for HECS-HELP expenses</w:t>
      </w:r>
    </w:p>
    <w:p w14:paraId="2086E647" w14:textId="77777777" w:rsidR="00802D3E" w:rsidRDefault="00802D3E" w:rsidP="00802D3E">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650" w14:textId="77777777" w:rsidTr="00802D3E">
        <w:trPr>
          <w:cantSplit/>
          <w:jc w:val="center"/>
        </w:trPr>
        <w:tc>
          <w:tcPr>
            <w:tcW w:w="967" w:type="dxa"/>
            <w:tcBorders>
              <w:top w:val="single" w:sz="2" w:space="0" w:color="auto"/>
              <w:left w:val="nil"/>
              <w:bottom w:val="single" w:sz="2" w:space="0" w:color="auto"/>
              <w:right w:val="nil"/>
            </w:tcBorders>
            <w:hideMark/>
          </w:tcPr>
          <w:p w14:paraId="2086E64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64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64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64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64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64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64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64F" w14:textId="77777777" w:rsidR="00802D3E" w:rsidRDefault="00802D3E">
            <w:pPr>
              <w:pStyle w:val="MeasureTableTextRightAligned"/>
            </w:pPr>
            <w:r>
              <w:t>2019-20</w:t>
            </w:r>
          </w:p>
        </w:tc>
      </w:tr>
      <w:tr w:rsidR="00802D3E" w14:paraId="2086E659" w14:textId="77777777" w:rsidTr="00802D3E">
        <w:trPr>
          <w:cantSplit/>
          <w:jc w:val="center"/>
        </w:trPr>
        <w:tc>
          <w:tcPr>
            <w:tcW w:w="967" w:type="dxa"/>
            <w:tcBorders>
              <w:top w:val="single" w:sz="2" w:space="0" w:color="auto"/>
              <w:left w:val="nil"/>
              <w:bottom w:val="single" w:sz="2" w:space="0" w:color="auto"/>
              <w:right w:val="nil"/>
            </w:tcBorders>
            <w:hideMark/>
          </w:tcPr>
          <w:p w14:paraId="2086E65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65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65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65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65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65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657"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658" w14:textId="77777777" w:rsidR="00802D3E" w:rsidRDefault="00802D3E">
            <w:pPr>
              <w:pStyle w:val="MeasureTableTextRightAligned"/>
            </w:pPr>
            <w:r>
              <w:t>*</w:t>
            </w:r>
          </w:p>
        </w:tc>
      </w:tr>
      <w:tr w:rsidR="00802D3E" w14:paraId="2086E65E" w14:textId="77777777" w:rsidTr="00802D3E">
        <w:trPr>
          <w:cantSplit/>
          <w:jc w:val="center"/>
        </w:trPr>
        <w:tc>
          <w:tcPr>
            <w:tcW w:w="1934" w:type="dxa"/>
            <w:gridSpan w:val="2"/>
            <w:tcBorders>
              <w:top w:val="single" w:sz="2" w:space="0" w:color="auto"/>
              <w:left w:val="nil"/>
              <w:bottom w:val="nil"/>
              <w:right w:val="nil"/>
            </w:tcBorders>
            <w:hideMark/>
          </w:tcPr>
          <w:p w14:paraId="2086E65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65B" w14:textId="77777777" w:rsidR="00802D3E" w:rsidRDefault="00802D3E">
            <w:pPr>
              <w:pStyle w:val="MeasureTableTextLeftAligned"/>
            </w:pPr>
            <w:r>
              <w:t>Denial of deduction</w:t>
            </w:r>
          </w:p>
        </w:tc>
        <w:tc>
          <w:tcPr>
            <w:tcW w:w="1500" w:type="dxa"/>
            <w:gridSpan w:val="2"/>
            <w:tcBorders>
              <w:top w:val="single" w:sz="2" w:space="0" w:color="auto"/>
              <w:left w:val="nil"/>
              <w:bottom w:val="nil"/>
              <w:right w:val="nil"/>
            </w:tcBorders>
            <w:hideMark/>
          </w:tcPr>
          <w:p w14:paraId="2086E65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65D" w14:textId="77777777" w:rsidR="00802D3E" w:rsidRDefault="00802D3E">
            <w:pPr>
              <w:pStyle w:val="MeasureTableTextLeftAligned"/>
            </w:pPr>
            <w:r>
              <w:t>A14</w:t>
            </w:r>
          </w:p>
        </w:tc>
      </w:tr>
      <w:tr w:rsidR="00802D3E" w14:paraId="2086E663" w14:textId="77777777" w:rsidTr="00802D3E">
        <w:trPr>
          <w:cantSplit/>
          <w:jc w:val="center"/>
        </w:trPr>
        <w:tc>
          <w:tcPr>
            <w:tcW w:w="1934" w:type="dxa"/>
            <w:gridSpan w:val="2"/>
            <w:tcBorders>
              <w:top w:val="nil"/>
              <w:left w:val="nil"/>
              <w:bottom w:val="nil"/>
              <w:right w:val="nil"/>
            </w:tcBorders>
            <w:hideMark/>
          </w:tcPr>
          <w:p w14:paraId="2086E65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660"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661"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662" w14:textId="77777777" w:rsidR="00802D3E" w:rsidRDefault="00802D3E">
            <w:pPr>
              <w:pStyle w:val="MeasureTableTextLeftAligned"/>
            </w:pPr>
            <w:r>
              <w:t>3-</w:t>
            </w:r>
          </w:p>
        </w:tc>
      </w:tr>
      <w:tr w:rsidR="00802D3E" w14:paraId="2086E668" w14:textId="77777777" w:rsidTr="00802D3E">
        <w:trPr>
          <w:cantSplit/>
          <w:jc w:val="center"/>
        </w:trPr>
        <w:tc>
          <w:tcPr>
            <w:tcW w:w="1934" w:type="dxa"/>
            <w:gridSpan w:val="2"/>
            <w:tcBorders>
              <w:top w:val="nil"/>
              <w:left w:val="nil"/>
              <w:bottom w:val="nil"/>
              <w:right w:val="nil"/>
            </w:tcBorders>
            <w:hideMark/>
          </w:tcPr>
          <w:p w14:paraId="2086E66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665" w14:textId="77777777" w:rsidR="00802D3E" w:rsidRDefault="00802D3E">
            <w:pPr>
              <w:pStyle w:val="MeasureTableTextLeftAligned"/>
            </w:pPr>
            <w:r>
              <w:t>1997</w:t>
            </w:r>
          </w:p>
        </w:tc>
        <w:tc>
          <w:tcPr>
            <w:tcW w:w="1500" w:type="dxa"/>
            <w:gridSpan w:val="2"/>
            <w:tcBorders>
              <w:top w:val="nil"/>
              <w:left w:val="nil"/>
              <w:bottom w:val="nil"/>
              <w:right w:val="nil"/>
            </w:tcBorders>
            <w:hideMark/>
          </w:tcPr>
          <w:p w14:paraId="2086E666"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667" w14:textId="77777777" w:rsidR="00802D3E" w:rsidRDefault="00802D3E">
            <w:pPr>
              <w:pStyle w:val="MeasureTableTextLeftAligned"/>
            </w:pPr>
          </w:p>
        </w:tc>
      </w:tr>
      <w:tr w:rsidR="00802D3E" w14:paraId="2086E66B" w14:textId="77777777" w:rsidTr="00802D3E">
        <w:trPr>
          <w:cantSplit/>
          <w:jc w:val="center"/>
        </w:trPr>
        <w:tc>
          <w:tcPr>
            <w:tcW w:w="1934" w:type="dxa"/>
            <w:gridSpan w:val="2"/>
            <w:tcBorders>
              <w:top w:val="nil"/>
              <w:left w:val="nil"/>
              <w:bottom w:val="single" w:sz="2" w:space="0" w:color="auto"/>
              <w:right w:val="nil"/>
            </w:tcBorders>
            <w:hideMark/>
          </w:tcPr>
          <w:p w14:paraId="2086E66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66A" w14:textId="77777777" w:rsidR="00802D3E" w:rsidRPr="00E119BC" w:rsidRDefault="00802D3E" w:rsidP="00E119BC">
            <w:pPr>
              <w:widowControl w:val="0"/>
              <w:autoSpaceDE w:val="0"/>
              <w:autoSpaceDN w:val="0"/>
              <w:adjustRightInd w:val="0"/>
              <w:spacing w:after="0" w:line="240" w:lineRule="auto"/>
              <w:jc w:val="left"/>
              <w:rPr>
                <w:rFonts w:ascii="Arial" w:hAnsi="Arial" w:cs="Arial"/>
                <w:sz w:val="16"/>
                <w:szCs w:val="16"/>
              </w:rPr>
            </w:pPr>
            <w:r w:rsidRPr="00E119BC">
              <w:rPr>
                <w:rFonts w:ascii="Arial" w:hAnsi="Arial" w:cs="Arial"/>
                <w:sz w:val="16"/>
                <w:szCs w:val="16"/>
              </w:rPr>
              <w:t xml:space="preserve">Section 26-20 of the </w:t>
            </w:r>
            <w:r w:rsidRPr="00E119BC">
              <w:rPr>
                <w:rFonts w:ascii="Arial" w:hAnsi="Arial" w:cs="Arial"/>
                <w:i/>
                <w:iCs/>
                <w:color w:val="000000"/>
                <w:sz w:val="16"/>
                <w:szCs w:val="16"/>
              </w:rPr>
              <w:t>Income Tax Assessment Act 1997</w:t>
            </w:r>
          </w:p>
        </w:tc>
      </w:tr>
    </w:tbl>
    <w:p w14:paraId="2086E66C" w14:textId="77777777" w:rsidR="00802D3E" w:rsidRPr="009057E9" w:rsidRDefault="00802D3E" w:rsidP="0098392C">
      <w:pPr>
        <w:pStyle w:val="SingleParagraph"/>
        <w:rPr>
          <w:sz w:val="18"/>
        </w:rPr>
      </w:pPr>
    </w:p>
    <w:p w14:paraId="2086E66D" w14:textId="77777777" w:rsidR="00802D3E" w:rsidRDefault="00802D3E" w:rsidP="00802D3E">
      <w:r>
        <w:t xml:space="preserve">Course fees and repayments for a Higher Education Contribution Scheme Higher Education Loan </w:t>
      </w:r>
      <w:r>
        <w:fldChar w:fldCharType="begin"/>
      </w:r>
      <w:r>
        <w:instrText xml:space="preserve"> XE "Higher Education Contribution Scheme Higher Education Loan Program" </w:instrText>
      </w:r>
      <w:r>
        <w:fldChar w:fldCharType="end"/>
      </w:r>
      <w:r>
        <w:t xml:space="preserve">Program (HECS-HELP) place funded by the individual and some other loan schemes are not tax deductible, even for the proportion that relates to income earning activities. </w:t>
      </w:r>
    </w:p>
    <w:p w14:paraId="2086E66E" w14:textId="77777777" w:rsidR="00802D3E" w:rsidRDefault="00802D3E" w:rsidP="00802D3E">
      <w:pPr>
        <w:pStyle w:val="TESHeading5"/>
        <w:ind w:left="0" w:firstLine="0"/>
      </w:pPr>
      <w:r>
        <w:t>A15</w:t>
      </w:r>
      <w:r>
        <w:tab/>
        <w:t>Exemption of income from certain educational scholarships, payments to apprentices or similar forms of assistance</w:t>
      </w:r>
    </w:p>
    <w:p w14:paraId="2086E66F" w14:textId="77777777" w:rsidR="00802D3E" w:rsidRDefault="00802D3E" w:rsidP="00802D3E">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678" w14:textId="77777777" w:rsidTr="00802D3E">
        <w:trPr>
          <w:cantSplit/>
          <w:jc w:val="center"/>
        </w:trPr>
        <w:tc>
          <w:tcPr>
            <w:tcW w:w="967" w:type="dxa"/>
            <w:tcBorders>
              <w:top w:val="single" w:sz="2" w:space="0" w:color="auto"/>
              <w:left w:val="nil"/>
              <w:bottom w:val="single" w:sz="2" w:space="0" w:color="auto"/>
              <w:right w:val="nil"/>
            </w:tcBorders>
            <w:hideMark/>
          </w:tcPr>
          <w:p w14:paraId="2086E67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67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67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67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67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67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67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677" w14:textId="77777777" w:rsidR="00802D3E" w:rsidRDefault="00802D3E">
            <w:pPr>
              <w:pStyle w:val="MeasureTableTextRightAligned"/>
            </w:pPr>
            <w:r>
              <w:t>2019-20</w:t>
            </w:r>
          </w:p>
        </w:tc>
      </w:tr>
      <w:tr w:rsidR="00802D3E" w14:paraId="2086E681" w14:textId="77777777" w:rsidTr="00802D3E">
        <w:trPr>
          <w:cantSplit/>
          <w:jc w:val="center"/>
        </w:trPr>
        <w:tc>
          <w:tcPr>
            <w:tcW w:w="967" w:type="dxa"/>
            <w:tcBorders>
              <w:top w:val="single" w:sz="2" w:space="0" w:color="auto"/>
              <w:left w:val="nil"/>
              <w:bottom w:val="single" w:sz="2" w:space="0" w:color="auto"/>
              <w:right w:val="nil"/>
            </w:tcBorders>
            <w:hideMark/>
          </w:tcPr>
          <w:p w14:paraId="2086E67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67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67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67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67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67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67F"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680" w14:textId="77777777" w:rsidR="00802D3E" w:rsidRDefault="00802D3E">
            <w:pPr>
              <w:pStyle w:val="MeasureTableTextRightAligned"/>
            </w:pPr>
            <w:r>
              <w:t>*</w:t>
            </w:r>
          </w:p>
        </w:tc>
      </w:tr>
      <w:tr w:rsidR="00802D3E" w14:paraId="2086E686" w14:textId="77777777" w:rsidTr="00802D3E">
        <w:trPr>
          <w:cantSplit/>
          <w:jc w:val="center"/>
        </w:trPr>
        <w:tc>
          <w:tcPr>
            <w:tcW w:w="1934" w:type="dxa"/>
            <w:gridSpan w:val="2"/>
            <w:tcBorders>
              <w:top w:val="single" w:sz="2" w:space="0" w:color="auto"/>
              <w:left w:val="nil"/>
              <w:bottom w:val="nil"/>
              <w:right w:val="nil"/>
            </w:tcBorders>
            <w:hideMark/>
          </w:tcPr>
          <w:p w14:paraId="2086E68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683"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68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685" w14:textId="77777777" w:rsidR="00802D3E" w:rsidRDefault="00802D3E">
            <w:pPr>
              <w:pStyle w:val="MeasureTableTextLeftAligned"/>
            </w:pPr>
            <w:r>
              <w:t>A15</w:t>
            </w:r>
          </w:p>
        </w:tc>
      </w:tr>
      <w:tr w:rsidR="00802D3E" w14:paraId="2086E68B" w14:textId="77777777" w:rsidTr="00802D3E">
        <w:trPr>
          <w:cantSplit/>
          <w:jc w:val="center"/>
        </w:trPr>
        <w:tc>
          <w:tcPr>
            <w:tcW w:w="1934" w:type="dxa"/>
            <w:gridSpan w:val="2"/>
            <w:tcBorders>
              <w:top w:val="nil"/>
              <w:left w:val="nil"/>
              <w:bottom w:val="nil"/>
              <w:right w:val="nil"/>
            </w:tcBorders>
            <w:hideMark/>
          </w:tcPr>
          <w:p w14:paraId="2086E68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688"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689"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68A" w14:textId="77777777" w:rsidR="00802D3E" w:rsidRDefault="00802D3E">
            <w:pPr>
              <w:pStyle w:val="MeasureTableTextLeftAligned"/>
            </w:pPr>
            <w:r>
              <w:t>2+</w:t>
            </w:r>
          </w:p>
        </w:tc>
      </w:tr>
      <w:tr w:rsidR="00802D3E" w14:paraId="2086E690" w14:textId="77777777" w:rsidTr="00802D3E">
        <w:trPr>
          <w:cantSplit/>
          <w:jc w:val="center"/>
        </w:trPr>
        <w:tc>
          <w:tcPr>
            <w:tcW w:w="1934" w:type="dxa"/>
            <w:gridSpan w:val="2"/>
            <w:tcBorders>
              <w:top w:val="nil"/>
              <w:left w:val="nil"/>
              <w:bottom w:val="nil"/>
              <w:right w:val="nil"/>
            </w:tcBorders>
            <w:hideMark/>
          </w:tcPr>
          <w:p w14:paraId="2086E68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68D"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68E"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68F" w14:textId="77777777" w:rsidR="00802D3E" w:rsidRDefault="00802D3E">
            <w:pPr>
              <w:pStyle w:val="MeasureTableTextLeftAligned"/>
            </w:pPr>
          </w:p>
        </w:tc>
      </w:tr>
      <w:tr w:rsidR="00802D3E" w14:paraId="2086E693" w14:textId="77777777" w:rsidTr="00802D3E">
        <w:trPr>
          <w:cantSplit/>
          <w:jc w:val="center"/>
        </w:trPr>
        <w:tc>
          <w:tcPr>
            <w:tcW w:w="1934" w:type="dxa"/>
            <w:gridSpan w:val="2"/>
            <w:tcBorders>
              <w:top w:val="nil"/>
              <w:left w:val="nil"/>
              <w:bottom w:val="single" w:sz="2" w:space="0" w:color="auto"/>
              <w:right w:val="nil"/>
            </w:tcBorders>
            <w:hideMark/>
          </w:tcPr>
          <w:p w14:paraId="2086E69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692" w14:textId="77777777" w:rsidR="00802D3E" w:rsidRDefault="00802D3E" w:rsidP="00E119BC">
            <w:pPr>
              <w:widowControl w:val="0"/>
              <w:autoSpaceDE w:val="0"/>
              <w:autoSpaceDN w:val="0"/>
              <w:adjustRightInd w:val="0"/>
              <w:spacing w:after="0" w:line="240" w:lineRule="auto"/>
              <w:jc w:val="left"/>
            </w:pPr>
            <w:r>
              <w:rPr>
                <w:rFonts w:ascii="Arial" w:hAnsi="Arial" w:cs="Arial"/>
                <w:color w:val="000000"/>
                <w:sz w:val="16"/>
                <w:szCs w:val="16"/>
              </w:rPr>
              <w:t xml:space="preserve">Sections 51-10, 51-35, 51-40, 51-42 and 842-105 of the </w:t>
            </w:r>
            <w:r>
              <w:rPr>
                <w:rFonts w:ascii="Arial" w:hAnsi="Arial" w:cs="Arial"/>
                <w:i/>
                <w:iCs/>
                <w:color w:val="000000"/>
                <w:sz w:val="16"/>
                <w:szCs w:val="16"/>
              </w:rPr>
              <w:t>Income Tax Assessment Act 1997</w:t>
            </w:r>
          </w:p>
        </w:tc>
      </w:tr>
    </w:tbl>
    <w:p w14:paraId="2086E694" w14:textId="77777777" w:rsidR="00802D3E" w:rsidRPr="009057E9" w:rsidRDefault="00802D3E" w:rsidP="0098392C">
      <w:pPr>
        <w:pStyle w:val="SingleParagraph"/>
        <w:rPr>
          <w:sz w:val="18"/>
        </w:rPr>
      </w:pPr>
    </w:p>
    <w:p w14:paraId="2086E695" w14:textId="6ADFA71F" w:rsidR="00802D3E" w:rsidRDefault="00802D3E" w:rsidP="00802D3E">
      <w:r>
        <w:t>Scholarships and other education allowances paid to full-time</w:t>
      </w:r>
      <w:r>
        <w:fldChar w:fldCharType="begin"/>
      </w:r>
      <w:r>
        <w:instrText xml:space="preserve"> XE "Educational allowance income" </w:instrText>
      </w:r>
      <w:r>
        <w:fldChar w:fldCharType="end"/>
      </w:r>
      <w:r>
        <w:t xml:space="preserve"> students at a school, college or university may be exempt from inco</w:t>
      </w:r>
      <w:r w:rsidR="000D700A">
        <w:t xml:space="preserve">me tax. </w:t>
      </w:r>
      <w:r>
        <w:t xml:space="preserve">Income derived as part of an Australian Government scheme to assist secondary education or the education of isolated children is exempt from income tax (excluding federal education, training or education entry payments provided under the </w:t>
      </w:r>
      <w:r>
        <w:rPr>
          <w:i/>
        </w:rPr>
        <w:t>Social Security Act 1991</w:t>
      </w:r>
      <w:r>
        <w:t>)</w:t>
      </w:r>
      <w:r>
        <w:rPr>
          <w:i/>
        </w:rPr>
        <w:t>.</w:t>
      </w:r>
      <w:r w:rsidR="000D700A">
        <w:t xml:space="preserve"> </w:t>
      </w:r>
      <w:r>
        <w:t xml:space="preserve">A number of other exempt educational payments are listed in the </w:t>
      </w:r>
      <w:r>
        <w:rPr>
          <w:i/>
          <w:iCs/>
        </w:rPr>
        <w:t>Income Tax Assessment Act 1997.</w:t>
      </w:r>
      <w:r>
        <w:t xml:space="preserve"> </w:t>
      </w:r>
    </w:p>
    <w:p w14:paraId="2086E696" w14:textId="77777777" w:rsidR="00802D3E" w:rsidRDefault="00802D3E" w:rsidP="00802D3E">
      <w:pPr>
        <w:pStyle w:val="TESHeading5"/>
        <w:ind w:left="0" w:firstLine="0"/>
      </w:pPr>
      <w:r>
        <w:t>A16</w:t>
      </w:r>
      <w:r>
        <w:tab/>
        <w:t>Threshold for the deductibility of self-education expenses</w:t>
      </w:r>
    </w:p>
    <w:p w14:paraId="2086E697" w14:textId="77777777" w:rsidR="00802D3E" w:rsidRDefault="00802D3E" w:rsidP="00802D3E">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6A0" w14:textId="77777777" w:rsidTr="00802D3E">
        <w:trPr>
          <w:cantSplit/>
          <w:jc w:val="center"/>
        </w:trPr>
        <w:tc>
          <w:tcPr>
            <w:tcW w:w="967" w:type="dxa"/>
            <w:tcBorders>
              <w:top w:val="single" w:sz="2" w:space="0" w:color="auto"/>
              <w:left w:val="nil"/>
              <w:bottom w:val="single" w:sz="2" w:space="0" w:color="auto"/>
              <w:right w:val="nil"/>
            </w:tcBorders>
            <w:hideMark/>
          </w:tcPr>
          <w:p w14:paraId="2086E69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69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69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69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69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69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69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69F" w14:textId="77777777" w:rsidR="00802D3E" w:rsidRDefault="00802D3E">
            <w:pPr>
              <w:pStyle w:val="MeasureTableTextRightAligned"/>
            </w:pPr>
            <w:r>
              <w:t>2019-20</w:t>
            </w:r>
          </w:p>
        </w:tc>
      </w:tr>
      <w:tr w:rsidR="00802D3E" w14:paraId="2086E6A9" w14:textId="77777777" w:rsidTr="00802D3E">
        <w:trPr>
          <w:cantSplit/>
          <w:jc w:val="center"/>
        </w:trPr>
        <w:tc>
          <w:tcPr>
            <w:tcW w:w="967" w:type="dxa"/>
            <w:tcBorders>
              <w:top w:val="single" w:sz="2" w:space="0" w:color="auto"/>
              <w:left w:val="nil"/>
              <w:bottom w:val="single" w:sz="2" w:space="0" w:color="auto"/>
              <w:right w:val="nil"/>
            </w:tcBorders>
            <w:hideMark/>
          </w:tcPr>
          <w:p w14:paraId="2086E6A1"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hideMark/>
          </w:tcPr>
          <w:p w14:paraId="2086E6A2"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vAlign w:val="bottom"/>
            <w:hideMark/>
          </w:tcPr>
          <w:p w14:paraId="2086E6A3"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vAlign w:val="bottom"/>
            <w:hideMark/>
          </w:tcPr>
          <w:p w14:paraId="2086E6A4"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vAlign w:val="bottom"/>
            <w:hideMark/>
          </w:tcPr>
          <w:p w14:paraId="2086E6A5" w14:textId="77777777" w:rsidR="00802D3E" w:rsidRDefault="00802D3E">
            <w:pPr>
              <w:pStyle w:val="MeasureTableTextRightAligned"/>
            </w:pPr>
            <w:r>
              <w:t>-3</w:t>
            </w:r>
          </w:p>
        </w:tc>
        <w:tc>
          <w:tcPr>
            <w:tcW w:w="967" w:type="dxa"/>
            <w:gridSpan w:val="2"/>
            <w:tcBorders>
              <w:top w:val="single" w:sz="2" w:space="0" w:color="auto"/>
              <w:left w:val="nil"/>
              <w:bottom w:val="single" w:sz="2" w:space="0" w:color="auto"/>
              <w:right w:val="nil"/>
            </w:tcBorders>
            <w:vAlign w:val="bottom"/>
            <w:hideMark/>
          </w:tcPr>
          <w:p w14:paraId="2086E6A6" w14:textId="77777777" w:rsidR="00802D3E" w:rsidRDefault="00802D3E">
            <w:pPr>
              <w:pStyle w:val="MeasureTableTextRightAligned"/>
            </w:pPr>
            <w:r>
              <w:t>-3</w:t>
            </w:r>
          </w:p>
        </w:tc>
        <w:tc>
          <w:tcPr>
            <w:tcW w:w="967" w:type="dxa"/>
            <w:gridSpan w:val="2"/>
            <w:tcBorders>
              <w:top w:val="single" w:sz="2" w:space="0" w:color="auto"/>
              <w:left w:val="nil"/>
              <w:bottom w:val="single" w:sz="2" w:space="0" w:color="auto"/>
              <w:right w:val="nil"/>
            </w:tcBorders>
            <w:vAlign w:val="bottom"/>
            <w:hideMark/>
          </w:tcPr>
          <w:p w14:paraId="2086E6A7" w14:textId="77777777" w:rsidR="00802D3E" w:rsidRDefault="00802D3E">
            <w:pPr>
              <w:pStyle w:val="MeasureTableTextRightAligned"/>
            </w:pPr>
            <w:r>
              <w:t>-3</w:t>
            </w:r>
          </w:p>
        </w:tc>
        <w:tc>
          <w:tcPr>
            <w:tcW w:w="968" w:type="dxa"/>
            <w:tcBorders>
              <w:top w:val="single" w:sz="2" w:space="0" w:color="auto"/>
              <w:left w:val="nil"/>
              <w:bottom w:val="single" w:sz="2" w:space="0" w:color="auto"/>
              <w:right w:val="nil"/>
            </w:tcBorders>
            <w:vAlign w:val="bottom"/>
            <w:hideMark/>
          </w:tcPr>
          <w:p w14:paraId="2086E6A8" w14:textId="77777777" w:rsidR="00802D3E" w:rsidRDefault="00802D3E">
            <w:pPr>
              <w:pStyle w:val="MeasureTableTextRightAligned"/>
            </w:pPr>
            <w:r>
              <w:t>-3</w:t>
            </w:r>
          </w:p>
        </w:tc>
      </w:tr>
      <w:tr w:rsidR="00802D3E" w14:paraId="2086E6AE" w14:textId="77777777" w:rsidTr="00802D3E">
        <w:trPr>
          <w:cantSplit/>
          <w:jc w:val="center"/>
        </w:trPr>
        <w:tc>
          <w:tcPr>
            <w:tcW w:w="1934" w:type="dxa"/>
            <w:gridSpan w:val="2"/>
            <w:tcBorders>
              <w:top w:val="single" w:sz="2" w:space="0" w:color="auto"/>
              <w:left w:val="nil"/>
              <w:bottom w:val="nil"/>
              <w:right w:val="nil"/>
            </w:tcBorders>
            <w:hideMark/>
          </w:tcPr>
          <w:p w14:paraId="2086E6A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6AB" w14:textId="77777777" w:rsidR="00802D3E" w:rsidRDefault="00802D3E">
            <w:pPr>
              <w:pStyle w:val="MeasureTableTextLeftAligned"/>
            </w:pPr>
            <w:r>
              <w:t>Denial of deduction</w:t>
            </w:r>
          </w:p>
        </w:tc>
        <w:tc>
          <w:tcPr>
            <w:tcW w:w="1500" w:type="dxa"/>
            <w:gridSpan w:val="2"/>
            <w:tcBorders>
              <w:top w:val="single" w:sz="2" w:space="0" w:color="auto"/>
              <w:left w:val="nil"/>
              <w:bottom w:val="nil"/>
              <w:right w:val="nil"/>
            </w:tcBorders>
            <w:hideMark/>
          </w:tcPr>
          <w:p w14:paraId="2086E6A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6AD" w14:textId="77777777" w:rsidR="00802D3E" w:rsidRDefault="00802D3E">
            <w:pPr>
              <w:pStyle w:val="MeasureTableTextLeftAligned"/>
            </w:pPr>
            <w:r>
              <w:t>A16</w:t>
            </w:r>
          </w:p>
        </w:tc>
      </w:tr>
      <w:tr w:rsidR="00802D3E" w14:paraId="2086E6B3" w14:textId="77777777" w:rsidTr="00802D3E">
        <w:trPr>
          <w:cantSplit/>
          <w:jc w:val="center"/>
        </w:trPr>
        <w:tc>
          <w:tcPr>
            <w:tcW w:w="1934" w:type="dxa"/>
            <w:gridSpan w:val="2"/>
            <w:tcBorders>
              <w:top w:val="nil"/>
              <w:left w:val="nil"/>
              <w:bottom w:val="nil"/>
              <w:right w:val="nil"/>
            </w:tcBorders>
            <w:hideMark/>
          </w:tcPr>
          <w:p w14:paraId="2086E6A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6B0" w14:textId="77777777" w:rsidR="00802D3E" w:rsidRDefault="00802D3E">
            <w:pPr>
              <w:pStyle w:val="MeasureTableTextLeftAligned"/>
            </w:pPr>
            <w:r>
              <w:t>Low</w:t>
            </w:r>
          </w:p>
        </w:tc>
        <w:tc>
          <w:tcPr>
            <w:tcW w:w="1500" w:type="dxa"/>
            <w:gridSpan w:val="2"/>
            <w:tcBorders>
              <w:top w:val="nil"/>
              <w:left w:val="nil"/>
              <w:bottom w:val="nil"/>
              <w:right w:val="nil"/>
            </w:tcBorders>
          </w:tcPr>
          <w:p w14:paraId="2086E6B1" w14:textId="77777777" w:rsidR="00802D3E" w:rsidRDefault="00802D3E">
            <w:pPr>
              <w:pStyle w:val="MeasureTableTextItalic"/>
            </w:pPr>
          </w:p>
        </w:tc>
        <w:tc>
          <w:tcPr>
            <w:tcW w:w="1124" w:type="dxa"/>
            <w:gridSpan w:val="2"/>
            <w:tcBorders>
              <w:top w:val="nil"/>
              <w:left w:val="nil"/>
              <w:bottom w:val="nil"/>
              <w:right w:val="nil"/>
            </w:tcBorders>
          </w:tcPr>
          <w:p w14:paraId="2086E6B2" w14:textId="77777777" w:rsidR="00802D3E" w:rsidRDefault="00802D3E">
            <w:pPr>
              <w:pStyle w:val="MeasureTableTextLeftAligned"/>
            </w:pPr>
          </w:p>
        </w:tc>
      </w:tr>
      <w:tr w:rsidR="00802D3E" w14:paraId="2086E6B8" w14:textId="77777777" w:rsidTr="00802D3E">
        <w:trPr>
          <w:cantSplit/>
          <w:jc w:val="center"/>
        </w:trPr>
        <w:tc>
          <w:tcPr>
            <w:tcW w:w="1934" w:type="dxa"/>
            <w:gridSpan w:val="2"/>
            <w:tcBorders>
              <w:top w:val="nil"/>
              <w:left w:val="nil"/>
              <w:bottom w:val="nil"/>
              <w:right w:val="nil"/>
            </w:tcBorders>
            <w:hideMark/>
          </w:tcPr>
          <w:p w14:paraId="2086E6B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6B5"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6B6"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6B7" w14:textId="77777777" w:rsidR="00802D3E" w:rsidRDefault="00802D3E">
            <w:pPr>
              <w:pStyle w:val="MeasureTableTextLeftAligned"/>
            </w:pPr>
          </w:p>
        </w:tc>
      </w:tr>
      <w:tr w:rsidR="00802D3E" w14:paraId="2086E6BB" w14:textId="77777777" w:rsidTr="00802D3E">
        <w:trPr>
          <w:cantSplit/>
          <w:jc w:val="center"/>
        </w:trPr>
        <w:tc>
          <w:tcPr>
            <w:tcW w:w="1934" w:type="dxa"/>
            <w:gridSpan w:val="2"/>
            <w:tcBorders>
              <w:top w:val="nil"/>
              <w:left w:val="nil"/>
              <w:bottom w:val="single" w:sz="2" w:space="0" w:color="auto"/>
              <w:right w:val="nil"/>
            </w:tcBorders>
            <w:hideMark/>
          </w:tcPr>
          <w:p w14:paraId="2086E6B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6BA" w14:textId="77777777" w:rsidR="00802D3E" w:rsidRPr="00E119BC" w:rsidRDefault="00802D3E" w:rsidP="00E119BC">
            <w:pPr>
              <w:widowControl w:val="0"/>
              <w:autoSpaceDE w:val="0"/>
              <w:autoSpaceDN w:val="0"/>
              <w:adjustRightInd w:val="0"/>
              <w:spacing w:after="0" w:line="240" w:lineRule="auto"/>
              <w:jc w:val="left"/>
              <w:rPr>
                <w:rFonts w:ascii="Arial" w:hAnsi="Arial" w:cs="Arial"/>
                <w:sz w:val="16"/>
                <w:szCs w:val="16"/>
              </w:rPr>
            </w:pPr>
            <w:r w:rsidRPr="00E119BC">
              <w:rPr>
                <w:rFonts w:ascii="Arial" w:hAnsi="Arial" w:cs="Arial"/>
                <w:sz w:val="16"/>
                <w:szCs w:val="16"/>
              </w:rPr>
              <w:t xml:space="preserve">Section 82A of the </w:t>
            </w:r>
            <w:r w:rsidRPr="00E119BC">
              <w:rPr>
                <w:rFonts w:ascii="Arial" w:hAnsi="Arial" w:cs="Arial"/>
                <w:i/>
                <w:iCs/>
                <w:color w:val="000000"/>
                <w:sz w:val="16"/>
                <w:szCs w:val="16"/>
              </w:rPr>
              <w:t>Income Tax Assessment Act 1936</w:t>
            </w:r>
          </w:p>
        </w:tc>
      </w:tr>
    </w:tbl>
    <w:p w14:paraId="2086E6BC" w14:textId="77777777" w:rsidR="00802D3E" w:rsidRPr="009057E9" w:rsidRDefault="00802D3E" w:rsidP="0098392C">
      <w:pPr>
        <w:pStyle w:val="SingleParagraph"/>
        <w:rPr>
          <w:sz w:val="18"/>
        </w:rPr>
      </w:pPr>
    </w:p>
    <w:p w14:paraId="2086E6BD" w14:textId="1F4D8ECE" w:rsidR="00802D3E" w:rsidRDefault="00802D3E" w:rsidP="00802D3E">
      <w:r>
        <w:t>Self-education expenses</w:t>
      </w:r>
      <w:r>
        <w:fldChar w:fldCharType="begin"/>
      </w:r>
      <w:r>
        <w:instrText xml:space="preserve"> XE "Self-education expenses" </w:instrText>
      </w:r>
      <w:r>
        <w:fldChar w:fldCharType="end"/>
      </w:r>
      <w:r>
        <w:t xml:space="preserve"> for the purpose of maintaining or improving skills or knowledge which the taxpayer uses in income earn</w:t>
      </w:r>
      <w:r w:rsidR="000D700A">
        <w:t xml:space="preserve">ing activities are deductible. </w:t>
      </w:r>
      <w:r>
        <w:t>In certain circumstances taxpayers are not able to claim a deduction for the first $250 of an education expense. However, taxpayers can use certain other self-education expenses that are non-deductible, such as child care costs, to redu</w:t>
      </w:r>
      <w:r w:rsidR="00A1526E">
        <w:t>ce the $250 no-claim threshold.</w:t>
      </w:r>
    </w:p>
    <w:p w14:paraId="2086E6BE" w14:textId="77777777" w:rsidR="00802D3E" w:rsidRDefault="00802D3E" w:rsidP="00802D3E">
      <w:pPr>
        <w:pStyle w:val="TESHeading5"/>
        <w:ind w:left="0" w:firstLine="0"/>
      </w:pPr>
      <w:r>
        <w:lastRenderedPageBreak/>
        <w:t>A17</w:t>
      </w:r>
      <w:r>
        <w:tab/>
        <w:t>Exemption of the Private Health Insurance Rebate</w:t>
      </w:r>
    </w:p>
    <w:p w14:paraId="2086E6BF"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6C8" w14:textId="77777777" w:rsidTr="00802D3E">
        <w:trPr>
          <w:cantSplit/>
          <w:jc w:val="center"/>
        </w:trPr>
        <w:tc>
          <w:tcPr>
            <w:tcW w:w="967" w:type="dxa"/>
            <w:tcBorders>
              <w:top w:val="single" w:sz="2" w:space="0" w:color="auto"/>
              <w:left w:val="nil"/>
              <w:bottom w:val="single" w:sz="2" w:space="0" w:color="auto"/>
              <w:right w:val="nil"/>
            </w:tcBorders>
            <w:hideMark/>
          </w:tcPr>
          <w:p w14:paraId="2086E6C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6C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6C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6C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6C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6C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6C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6C7" w14:textId="77777777" w:rsidR="00802D3E" w:rsidRDefault="00802D3E">
            <w:pPr>
              <w:pStyle w:val="MeasureTableTextRightAligned"/>
            </w:pPr>
            <w:r>
              <w:t>2019-20</w:t>
            </w:r>
          </w:p>
        </w:tc>
      </w:tr>
      <w:tr w:rsidR="00D258A5" w14:paraId="2086E6D1" w14:textId="77777777" w:rsidTr="007128CF">
        <w:trPr>
          <w:cantSplit/>
          <w:jc w:val="center"/>
        </w:trPr>
        <w:tc>
          <w:tcPr>
            <w:tcW w:w="967" w:type="dxa"/>
            <w:tcBorders>
              <w:top w:val="single" w:sz="2" w:space="0" w:color="auto"/>
              <w:left w:val="nil"/>
              <w:bottom w:val="single" w:sz="2" w:space="0" w:color="auto"/>
              <w:right w:val="nil"/>
            </w:tcBorders>
            <w:hideMark/>
          </w:tcPr>
          <w:p w14:paraId="2086E6C9" w14:textId="77777777" w:rsidR="00D258A5" w:rsidRPr="00EB77A8" w:rsidRDefault="00D258A5" w:rsidP="00D258A5">
            <w:pPr>
              <w:pStyle w:val="MeasureTableTextRightAligned"/>
            </w:pPr>
            <w:r w:rsidRPr="00EB77A8">
              <w:t>1</w:t>
            </w:r>
            <w:r>
              <w:t>,</w:t>
            </w:r>
            <w:r w:rsidRPr="00EB77A8">
              <w:t>600</w:t>
            </w:r>
          </w:p>
        </w:tc>
        <w:tc>
          <w:tcPr>
            <w:tcW w:w="967" w:type="dxa"/>
            <w:tcBorders>
              <w:top w:val="single" w:sz="2" w:space="0" w:color="auto"/>
              <w:left w:val="nil"/>
              <w:bottom w:val="single" w:sz="2" w:space="0" w:color="auto"/>
              <w:right w:val="nil"/>
            </w:tcBorders>
            <w:hideMark/>
          </w:tcPr>
          <w:p w14:paraId="2086E6CA" w14:textId="77777777" w:rsidR="00D258A5" w:rsidRPr="00EB77A8" w:rsidRDefault="00D258A5" w:rsidP="00D258A5">
            <w:pPr>
              <w:pStyle w:val="MeasureTableTextRightAligned"/>
            </w:pPr>
            <w:r w:rsidRPr="00EB77A8">
              <w:t>1</w:t>
            </w:r>
            <w:r>
              <w:t>,</w:t>
            </w:r>
            <w:r w:rsidRPr="00EB77A8">
              <w:t>470</w:t>
            </w:r>
          </w:p>
        </w:tc>
        <w:tc>
          <w:tcPr>
            <w:tcW w:w="967" w:type="dxa"/>
            <w:tcBorders>
              <w:top w:val="single" w:sz="2" w:space="0" w:color="auto"/>
              <w:left w:val="nil"/>
              <w:bottom w:val="single" w:sz="2" w:space="0" w:color="auto"/>
              <w:right w:val="nil"/>
            </w:tcBorders>
            <w:hideMark/>
          </w:tcPr>
          <w:p w14:paraId="2086E6CB" w14:textId="77777777" w:rsidR="00D258A5" w:rsidRPr="00EB77A8" w:rsidRDefault="00D258A5" w:rsidP="00D258A5">
            <w:pPr>
              <w:pStyle w:val="MeasureTableTextRightAligned"/>
            </w:pPr>
            <w:r w:rsidRPr="00EB77A8">
              <w:t>1</w:t>
            </w:r>
            <w:r>
              <w:t>,</w:t>
            </w:r>
            <w:r w:rsidRPr="00EB77A8">
              <w:t>450</w:t>
            </w:r>
          </w:p>
        </w:tc>
        <w:tc>
          <w:tcPr>
            <w:tcW w:w="967" w:type="dxa"/>
            <w:tcBorders>
              <w:top w:val="single" w:sz="2" w:space="0" w:color="auto"/>
              <w:left w:val="nil"/>
              <w:bottom w:val="single" w:sz="2" w:space="0" w:color="auto"/>
              <w:right w:val="nil"/>
            </w:tcBorders>
            <w:hideMark/>
          </w:tcPr>
          <w:p w14:paraId="2086E6CC" w14:textId="77777777" w:rsidR="00D258A5" w:rsidRPr="00EB77A8" w:rsidRDefault="00D258A5" w:rsidP="00D258A5">
            <w:pPr>
              <w:pStyle w:val="MeasureTableTextRightAligned"/>
            </w:pPr>
            <w:r w:rsidRPr="00EB77A8">
              <w:t>1</w:t>
            </w:r>
            <w:r>
              <w:t>,</w:t>
            </w:r>
            <w:r w:rsidRPr="00EB77A8">
              <w:t>480</w:t>
            </w:r>
          </w:p>
        </w:tc>
        <w:tc>
          <w:tcPr>
            <w:tcW w:w="967" w:type="dxa"/>
            <w:tcBorders>
              <w:top w:val="single" w:sz="2" w:space="0" w:color="auto"/>
              <w:left w:val="nil"/>
              <w:bottom w:val="single" w:sz="2" w:space="0" w:color="auto"/>
              <w:right w:val="nil"/>
            </w:tcBorders>
            <w:hideMark/>
          </w:tcPr>
          <w:p w14:paraId="2086E6CD" w14:textId="77777777" w:rsidR="00D258A5" w:rsidRPr="00EB77A8" w:rsidRDefault="00D258A5" w:rsidP="00D258A5">
            <w:pPr>
              <w:pStyle w:val="MeasureTableTextRightAligned"/>
            </w:pPr>
            <w:r w:rsidRPr="00EB77A8">
              <w:t>1</w:t>
            </w:r>
            <w:r>
              <w:t>,</w:t>
            </w:r>
            <w:r w:rsidRPr="00EB77A8">
              <w:t>500</w:t>
            </w:r>
          </w:p>
        </w:tc>
        <w:tc>
          <w:tcPr>
            <w:tcW w:w="967" w:type="dxa"/>
            <w:gridSpan w:val="2"/>
            <w:tcBorders>
              <w:top w:val="single" w:sz="2" w:space="0" w:color="auto"/>
              <w:left w:val="nil"/>
              <w:bottom w:val="single" w:sz="2" w:space="0" w:color="auto"/>
              <w:right w:val="nil"/>
            </w:tcBorders>
            <w:hideMark/>
          </w:tcPr>
          <w:p w14:paraId="2086E6CE" w14:textId="77777777" w:rsidR="00D258A5" w:rsidRPr="00EB77A8" w:rsidRDefault="00D258A5" w:rsidP="00D258A5">
            <w:pPr>
              <w:pStyle w:val="MeasureTableTextRightAligned"/>
            </w:pPr>
            <w:r w:rsidRPr="00EB77A8">
              <w:t>1</w:t>
            </w:r>
            <w:r>
              <w:t>,</w:t>
            </w:r>
            <w:r w:rsidRPr="00EB77A8">
              <w:t>580</w:t>
            </w:r>
          </w:p>
        </w:tc>
        <w:tc>
          <w:tcPr>
            <w:tcW w:w="967" w:type="dxa"/>
            <w:gridSpan w:val="2"/>
            <w:tcBorders>
              <w:top w:val="single" w:sz="2" w:space="0" w:color="auto"/>
              <w:left w:val="nil"/>
              <w:bottom w:val="single" w:sz="2" w:space="0" w:color="auto"/>
              <w:right w:val="nil"/>
            </w:tcBorders>
            <w:hideMark/>
          </w:tcPr>
          <w:p w14:paraId="2086E6CF" w14:textId="77777777" w:rsidR="00D258A5" w:rsidRPr="00EB77A8" w:rsidRDefault="00D258A5" w:rsidP="00D258A5">
            <w:pPr>
              <w:pStyle w:val="MeasureTableTextRightAligned"/>
            </w:pPr>
            <w:r w:rsidRPr="00EB77A8">
              <w:t>1</w:t>
            </w:r>
            <w:r>
              <w:t>,</w:t>
            </w:r>
            <w:r w:rsidRPr="00EB77A8">
              <w:t>650</w:t>
            </w:r>
          </w:p>
        </w:tc>
        <w:tc>
          <w:tcPr>
            <w:tcW w:w="968" w:type="dxa"/>
            <w:tcBorders>
              <w:top w:val="single" w:sz="2" w:space="0" w:color="auto"/>
              <w:left w:val="nil"/>
              <w:bottom w:val="single" w:sz="2" w:space="0" w:color="auto"/>
              <w:right w:val="nil"/>
            </w:tcBorders>
            <w:hideMark/>
          </w:tcPr>
          <w:p w14:paraId="2086E6D0" w14:textId="77777777" w:rsidR="00D258A5" w:rsidRDefault="00D258A5" w:rsidP="00D258A5">
            <w:pPr>
              <w:pStyle w:val="MeasureTableTextRightAligned"/>
            </w:pPr>
            <w:r w:rsidRPr="00EB77A8">
              <w:t>1</w:t>
            </w:r>
            <w:r>
              <w:t>,</w:t>
            </w:r>
            <w:r w:rsidRPr="00EB77A8">
              <w:t>750</w:t>
            </w:r>
          </w:p>
        </w:tc>
      </w:tr>
      <w:tr w:rsidR="00802D3E" w14:paraId="2086E6D6" w14:textId="77777777" w:rsidTr="00802D3E">
        <w:trPr>
          <w:cantSplit/>
          <w:jc w:val="center"/>
        </w:trPr>
        <w:tc>
          <w:tcPr>
            <w:tcW w:w="1934" w:type="dxa"/>
            <w:gridSpan w:val="2"/>
            <w:tcBorders>
              <w:top w:val="single" w:sz="2" w:space="0" w:color="auto"/>
              <w:left w:val="nil"/>
              <w:bottom w:val="nil"/>
              <w:right w:val="nil"/>
            </w:tcBorders>
            <w:hideMark/>
          </w:tcPr>
          <w:p w14:paraId="2086E6D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6D3"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6D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6D5" w14:textId="77777777" w:rsidR="00802D3E" w:rsidRDefault="00802D3E">
            <w:pPr>
              <w:pStyle w:val="MeasureTableTextLeftAligned"/>
            </w:pPr>
            <w:r>
              <w:t>A17</w:t>
            </w:r>
          </w:p>
        </w:tc>
      </w:tr>
      <w:tr w:rsidR="00802D3E" w14:paraId="2086E6DB" w14:textId="77777777" w:rsidTr="00802D3E">
        <w:trPr>
          <w:cantSplit/>
          <w:jc w:val="center"/>
        </w:trPr>
        <w:tc>
          <w:tcPr>
            <w:tcW w:w="1934" w:type="dxa"/>
            <w:gridSpan w:val="2"/>
            <w:tcBorders>
              <w:top w:val="nil"/>
              <w:left w:val="nil"/>
              <w:bottom w:val="nil"/>
              <w:right w:val="nil"/>
            </w:tcBorders>
            <w:hideMark/>
          </w:tcPr>
          <w:p w14:paraId="2086E6D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6D8"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6D9" w14:textId="77777777" w:rsidR="00802D3E" w:rsidRDefault="00802D3E">
            <w:pPr>
              <w:pStyle w:val="MeasureTableTextItalic"/>
            </w:pPr>
          </w:p>
        </w:tc>
        <w:tc>
          <w:tcPr>
            <w:tcW w:w="1124" w:type="dxa"/>
            <w:gridSpan w:val="2"/>
            <w:tcBorders>
              <w:top w:val="nil"/>
              <w:left w:val="nil"/>
              <w:bottom w:val="nil"/>
              <w:right w:val="nil"/>
            </w:tcBorders>
          </w:tcPr>
          <w:p w14:paraId="2086E6DA" w14:textId="77777777" w:rsidR="00802D3E" w:rsidRDefault="00802D3E">
            <w:pPr>
              <w:pStyle w:val="MeasureTableTextLeftAligned"/>
            </w:pPr>
          </w:p>
        </w:tc>
      </w:tr>
      <w:tr w:rsidR="00802D3E" w14:paraId="2086E6E0" w14:textId="77777777" w:rsidTr="00802D3E">
        <w:trPr>
          <w:cantSplit/>
          <w:jc w:val="center"/>
        </w:trPr>
        <w:tc>
          <w:tcPr>
            <w:tcW w:w="1934" w:type="dxa"/>
            <w:gridSpan w:val="2"/>
            <w:tcBorders>
              <w:top w:val="nil"/>
              <w:left w:val="nil"/>
              <w:bottom w:val="nil"/>
              <w:right w:val="nil"/>
            </w:tcBorders>
            <w:hideMark/>
          </w:tcPr>
          <w:p w14:paraId="2086E6D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6DD" w14:textId="77777777" w:rsidR="00802D3E" w:rsidRDefault="00802D3E">
            <w:pPr>
              <w:pStyle w:val="MeasureTableTextLeftAligned"/>
            </w:pPr>
            <w:r>
              <w:t>1998</w:t>
            </w:r>
          </w:p>
        </w:tc>
        <w:tc>
          <w:tcPr>
            <w:tcW w:w="1500" w:type="dxa"/>
            <w:gridSpan w:val="2"/>
            <w:tcBorders>
              <w:top w:val="nil"/>
              <w:left w:val="nil"/>
              <w:bottom w:val="nil"/>
              <w:right w:val="nil"/>
            </w:tcBorders>
            <w:hideMark/>
          </w:tcPr>
          <w:p w14:paraId="2086E6DE"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6DF" w14:textId="77777777" w:rsidR="00802D3E" w:rsidRDefault="00802D3E">
            <w:pPr>
              <w:pStyle w:val="MeasureTableTextLeftAligned"/>
            </w:pPr>
          </w:p>
        </w:tc>
      </w:tr>
      <w:tr w:rsidR="00802D3E" w14:paraId="2086E6E4" w14:textId="77777777" w:rsidTr="00802D3E">
        <w:trPr>
          <w:cantSplit/>
          <w:jc w:val="center"/>
        </w:trPr>
        <w:tc>
          <w:tcPr>
            <w:tcW w:w="1934" w:type="dxa"/>
            <w:gridSpan w:val="2"/>
            <w:tcBorders>
              <w:top w:val="nil"/>
              <w:left w:val="nil"/>
              <w:bottom w:val="single" w:sz="2" w:space="0" w:color="auto"/>
              <w:right w:val="nil"/>
            </w:tcBorders>
            <w:hideMark/>
          </w:tcPr>
          <w:p w14:paraId="2086E6E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6E2" w14:textId="77777777" w:rsidR="00802D3E" w:rsidRDefault="00802D3E" w:rsidP="00E119BC">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Subdivision 61-G of the </w:t>
            </w:r>
            <w:r>
              <w:rPr>
                <w:rFonts w:ascii="Arial" w:hAnsi="Arial" w:cs="Arial"/>
                <w:i/>
                <w:iCs/>
                <w:color w:val="000000"/>
                <w:sz w:val="16"/>
                <w:szCs w:val="16"/>
              </w:rPr>
              <w:t>Income Tax Assessment Act 1997</w:t>
            </w:r>
          </w:p>
          <w:p w14:paraId="2086E6E3" w14:textId="77777777" w:rsidR="00802D3E" w:rsidRDefault="00802D3E" w:rsidP="00E119BC">
            <w:pPr>
              <w:widowControl w:val="0"/>
              <w:autoSpaceDE w:val="0"/>
              <w:autoSpaceDN w:val="0"/>
              <w:adjustRightInd w:val="0"/>
              <w:spacing w:after="0" w:line="240" w:lineRule="auto"/>
              <w:jc w:val="left"/>
            </w:pPr>
            <w:r>
              <w:rPr>
                <w:rFonts w:ascii="Arial" w:hAnsi="Arial" w:cs="Arial"/>
                <w:color w:val="000000"/>
                <w:sz w:val="16"/>
                <w:szCs w:val="16"/>
              </w:rPr>
              <w:t xml:space="preserve">Part 2-2 of the </w:t>
            </w:r>
            <w:r>
              <w:rPr>
                <w:rFonts w:ascii="Arial" w:hAnsi="Arial" w:cs="Arial"/>
                <w:i/>
                <w:iCs/>
                <w:color w:val="000000"/>
                <w:sz w:val="16"/>
                <w:szCs w:val="16"/>
              </w:rPr>
              <w:t>Private Health Insurance Act 2007</w:t>
            </w:r>
          </w:p>
        </w:tc>
      </w:tr>
    </w:tbl>
    <w:p w14:paraId="2086E6E5" w14:textId="77777777" w:rsidR="00802D3E" w:rsidRDefault="00802D3E" w:rsidP="0098392C">
      <w:pPr>
        <w:pStyle w:val="SingleParagraph"/>
      </w:pPr>
    </w:p>
    <w:p w14:paraId="2086E6E6" w14:textId="77777777" w:rsidR="00802D3E" w:rsidRDefault="00802D3E" w:rsidP="00802D3E">
      <w:r>
        <w:t xml:space="preserve">The Private Health Insurance Rebate is exempt from income tax. </w:t>
      </w:r>
      <w:r>
        <w:fldChar w:fldCharType="begin"/>
      </w:r>
      <w:r>
        <w:instrText xml:space="preserve"> XE "Private health insurance" </w:instrText>
      </w:r>
      <w:r>
        <w:fldChar w:fldCharType="end"/>
      </w:r>
      <w:r>
        <w:t xml:space="preserve"> </w:t>
      </w:r>
    </w:p>
    <w:p w14:paraId="2086E6E7" w14:textId="77777777" w:rsidR="00802D3E" w:rsidRDefault="00802D3E" w:rsidP="00802D3E">
      <w:pPr>
        <w:pStyle w:val="TESHeading5"/>
        <w:ind w:left="0" w:firstLine="0"/>
      </w:pPr>
      <w:r>
        <w:t>A18</w:t>
      </w:r>
      <w:r>
        <w:tab/>
        <w:t>Medicare levy exemption for blind pensioners, sickness allowance recipients, persons not entitled to Medicare benefits and foreign government representatives</w:t>
      </w:r>
    </w:p>
    <w:p w14:paraId="2086E6E8"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6F1" w14:textId="77777777" w:rsidTr="00802D3E">
        <w:trPr>
          <w:cantSplit/>
          <w:jc w:val="center"/>
        </w:trPr>
        <w:tc>
          <w:tcPr>
            <w:tcW w:w="967" w:type="dxa"/>
            <w:tcBorders>
              <w:top w:val="single" w:sz="2" w:space="0" w:color="auto"/>
              <w:left w:val="nil"/>
              <w:bottom w:val="single" w:sz="2" w:space="0" w:color="auto"/>
              <w:right w:val="nil"/>
            </w:tcBorders>
            <w:hideMark/>
          </w:tcPr>
          <w:p w14:paraId="2086E6E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6E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6E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6E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6E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6E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6E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6F0" w14:textId="77777777" w:rsidR="00802D3E" w:rsidRDefault="00802D3E">
            <w:pPr>
              <w:pStyle w:val="MeasureTableTextRightAligned"/>
            </w:pPr>
            <w:r>
              <w:t>2019-20</w:t>
            </w:r>
          </w:p>
        </w:tc>
      </w:tr>
      <w:tr w:rsidR="00802D3E" w14:paraId="2086E6FA" w14:textId="77777777" w:rsidTr="00802D3E">
        <w:trPr>
          <w:cantSplit/>
          <w:jc w:val="center"/>
        </w:trPr>
        <w:tc>
          <w:tcPr>
            <w:tcW w:w="967" w:type="dxa"/>
            <w:tcBorders>
              <w:top w:val="single" w:sz="2" w:space="0" w:color="auto"/>
              <w:left w:val="nil"/>
              <w:bottom w:val="single" w:sz="2" w:space="0" w:color="auto"/>
              <w:right w:val="nil"/>
            </w:tcBorders>
            <w:hideMark/>
          </w:tcPr>
          <w:p w14:paraId="2086E6F2" w14:textId="77777777" w:rsidR="00802D3E" w:rsidRDefault="00802D3E">
            <w:pPr>
              <w:pStyle w:val="MeasureTableTextRightAligned"/>
            </w:pPr>
            <w:r>
              <w:t>175</w:t>
            </w:r>
          </w:p>
        </w:tc>
        <w:tc>
          <w:tcPr>
            <w:tcW w:w="967" w:type="dxa"/>
            <w:tcBorders>
              <w:top w:val="single" w:sz="2" w:space="0" w:color="auto"/>
              <w:left w:val="nil"/>
              <w:bottom w:val="single" w:sz="2" w:space="0" w:color="auto"/>
              <w:right w:val="nil"/>
            </w:tcBorders>
            <w:hideMark/>
          </w:tcPr>
          <w:p w14:paraId="2086E6F3" w14:textId="77777777" w:rsidR="00802D3E" w:rsidRDefault="00802D3E">
            <w:pPr>
              <w:pStyle w:val="MeasureTableTextRightAligned"/>
            </w:pPr>
            <w:r>
              <w:t>195</w:t>
            </w:r>
          </w:p>
        </w:tc>
        <w:tc>
          <w:tcPr>
            <w:tcW w:w="967" w:type="dxa"/>
            <w:tcBorders>
              <w:top w:val="single" w:sz="2" w:space="0" w:color="auto"/>
              <w:left w:val="nil"/>
              <w:bottom w:val="single" w:sz="2" w:space="0" w:color="auto"/>
              <w:right w:val="nil"/>
            </w:tcBorders>
            <w:vAlign w:val="bottom"/>
            <w:hideMark/>
          </w:tcPr>
          <w:p w14:paraId="2086E6F4" w14:textId="77777777" w:rsidR="00802D3E" w:rsidRDefault="00802D3E">
            <w:pPr>
              <w:pStyle w:val="MeasureTableTextRightAligned"/>
            </w:pPr>
            <w:r>
              <w:t>255</w:t>
            </w:r>
          </w:p>
        </w:tc>
        <w:tc>
          <w:tcPr>
            <w:tcW w:w="967" w:type="dxa"/>
            <w:tcBorders>
              <w:top w:val="single" w:sz="2" w:space="0" w:color="auto"/>
              <w:left w:val="nil"/>
              <w:bottom w:val="single" w:sz="2" w:space="0" w:color="auto"/>
              <w:right w:val="nil"/>
            </w:tcBorders>
            <w:vAlign w:val="bottom"/>
            <w:hideMark/>
          </w:tcPr>
          <w:p w14:paraId="2086E6F5" w14:textId="77777777" w:rsidR="00802D3E" w:rsidRDefault="00802D3E">
            <w:pPr>
              <w:pStyle w:val="MeasureTableTextRightAligned"/>
            </w:pPr>
            <w:r>
              <w:t>275</w:t>
            </w:r>
          </w:p>
        </w:tc>
        <w:tc>
          <w:tcPr>
            <w:tcW w:w="967" w:type="dxa"/>
            <w:tcBorders>
              <w:top w:val="single" w:sz="2" w:space="0" w:color="auto"/>
              <w:left w:val="nil"/>
              <w:bottom w:val="single" w:sz="2" w:space="0" w:color="auto"/>
              <w:right w:val="nil"/>
            </w:tcBorders>
            <w:vAlign w:val="bottom"/>
            <w:hideMark/>
          </w:tcPr>
          <w:p w14:paraId="2086E6F6" w14:textId="77777777" w:rsidR="00802D3E" w:rsidRDefault="00802D3E">
            <w:pPr>
              <w:pStyle w:val="MeasureTableTextRightAligned"/>
            </w:pPr>
            <w:r>
              <w:t>300</w:t>
            </w:r>
          </w:p>
        </w:tc>
        <w:tc>
          <w:tcPr>
            <w:tcW w:w="967" w:type="dxa"/>
            <w:gridSpan w:val="2"/>
            <w:tcBorders>
              <w:top w:val="single" w:sz="2" w:space="0" w:color="auto"/>
              <w:left w:val="nil"/>
              <w:bottom w:val="single" w:sz="2" w:space="0" w:color="auto"/>
              <w:right w:val="nil"/>
            </w:tcBorders>
            <w:vAlign w:val="bottom"/>
            <w:hideMark/>
          </w:tcPr>
          <w:p w14:paraId="2086E6F7" w14:textId="77777777" w:rsidR="00802D3E" w:rsidRDefault="00802D3E">
            <w:pPr>
              <w:pStyle w:val="MeasureTableTextRightAligned"/>
            </w:pPr>
            <w:r>
              <w:t>325</w:t>
            </w:r>
          </w:p>
        </w:tc>
        <w:tc>
          <w:tcPr>
            <w:tcW w:w="967" w:type="dxa"/>
            <w:gridSpan w:val="2"/>
            <w:tcBorders>
              <w:top w:val="single" w:sz="2" w:space="0" w:color="auto"/>
              <w:left w:val="nil"/>
              <w:bottom w:val="single" w:sz="2" w:space="0" w:color="auto"/>
              <w:right w:val="nil"/>
            </w:tcBorders>
            <w:vAlign w:val="bottom"/>
            <w:hideMark/>
          </w:tcPr>
          <w:p w14:paraId="2086E6F8" w14:textId="77777777" w:rsidR="00802D3E" w:rsidRDefault="00802D3E">
            <w:pPr>
              <w:pStyle w:val="MeasureTableTextRightAligned"/>
            </w:pPr>
            <w:r>
              <w:t>340</w:t>
            </w:r>
          </w:p>
        </w:tc>
        <w:tc>
          <w:tcPr>
            <w:tcW w:w="968" w:type="dxa"/>
            <w:tcBorders>
              <w:top w:val="single" w:sz="2" w:space="0" w:color="auto"/>
              <w:left w:val="nil"/>
              <w:bottom w:val="single" w:sz="2" w:space="0" w:color="auto"/>
              <w:right w:val="nil"/>
            </w:tcBorders>
            <w:vAlign w:val="bottom"/>
            <w:hideMark/>
          </w:tcPr>
          <w:p w14:paraId="2086E6F9" w14:textId="77777777" w:rsidR="00802D3E" w:rsidRDefault="00802D3E">
            <w:pPr>
              <w:pStyle w:val="MeasureTableTextRightAligned"/>
            </w:pPr>
            <w:r>
              <w:t>360</w:t>
            </w:r>
          </w:p>
        </w:tc>
      </w:tr>
      <w:tr w:rsidR="00802D3E" w14:paraId="2086E6FF" w14:textId="77777777" w:rsidTr="00802D3E">
        <w:trPr>
          <w:cantSplit/>
          <w:jc w:val="center"/>
        </w:trPr>
        <w:tc>
          <w:tcPr>
            <w:tcW w:w="1934" w:type="dxa"/>
            <w:gridSpan w:val="2"/>
            <w:tcBorders>
              <w:top w:val="single" w:sz="2" w:space="0" w:color="auto"/>
              <w:left w:val="nil"/>
              <w:bottom w:val="nil"/>
              <w:right w:val="nil"/>
            </w:tcBorders>
            <w:hideMark/>
          </w:tcPr>
          <w:p w14:paraId="2086E6F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6FC"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6F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6FE" w14:textId="77777777" w:rsidR="00802D3E" w:rsidRDefault="00802D3E">
            <w:pPr>
              <w:pStyle w:val="MeasureTableTextLeftAligned"/>
            </w:pPr>
            <w:r>
              <w:t>A18</w:t>
            </w:r>
          </w:p>
        </w:tc>
      </w:tr>
      <w:tr w:rsidR="00802D3E" w14:paraId="2086E704" w14:textId="77777777" w:rsidTr="00802D3E">
        <w:trPr>
          <w:cantSplit/>
          <w:jc w:val="center"/>
        </w:trPr>
        <w:tc>
          <w:tcPr>
            <w:tcW w:w="1934" w:type="dxa"/>
            <w:gridSpan w:val="2"/>
            <w:tcBorders>
              <w:top w:val="nil"/>
              <w:left w:val="nil"/>
              <w:bottom w:val="nil"/>
              <w:right w:val="nil"/>
            </w:tcBorders>
            <w:hideMark/>
          </w:tcPr>
          <w:p w14:paraId="2086E70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701"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6E702" w14:textId="77777777" w:rsidR="00802D3E" w:rsidRDefault="00802D3E">
            <w:pPr>
              <w:pStyle w:val="MeasureTableTextItalic"/>
            </w:pPr>
          </w:p>
        </w:tc>
        <w:tc>
          <w:tcPr>
            <w:tcW w:w="1124" w:type="dxa"/>
            <w:gridSpan w:val="2"/>
            <w:tcBorders>
              <w:top w:val="nil"/>
              <w:left w:val="nil"/>
              <w:bottom w:val="nil"/>
              <w:right w:val="nil"/>
            </w:tcBorders>
          </w:tcPr>
          <w:p w14:paraId="2086E703" w14:textId="77777777" w:rsidR="00802D3E" w:rsidRDefault="00802D3E">
            <w:pPr>
              <w:pStyle w:val="MeasureTableTextLeftAligned"/>
            </w:pPr>
          </w:p>
        </w:tc>
      </w:tr>
      <w:tr w:rsidR="00802D3E" w14:paraId="2086E709" w14:textId="77777777" w:rsidTr="00802D3E">
        <w:trPr>
          <w:cantSplit/>
          <w:jc w:val="center"/>
        </w:trPr>
        <w:tc>
          <w:tcPr>
            <w:tcW w:w="1934" w:type="dxa"/>
            <w:gridSpan w:val="2"/>
            <w:tcBorders>
              <w:top w:val="nil"/>
              <w:left w:val="nil"/>
              <w:bottom w:val="nil"/>
              <w:right w:val="nil"/>
            </w:tcBorders>
            <w:hideMark/>
          </w:tcPr>
          <w:p w14:paraId="2086E70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706"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707"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708" w14:textId="77777777" w:rsidR="00802D3E" w:rsidRDefault="00802D3E">
            <w:pPr>
              <w:pStyle w:val="MeasureTableTextLeftAligned"/>
            </w:pPr>
          </w:p>
        </w:tc>
      </w:tr>
      <w:tr w:rsidR="00802D3E" w14:paraId="2086E70C" w14:textId="77777777" w:rsidTr="00802D3E">
        <w:trPr>
          <w:cantSplit/>
          <w:jc w:val="center"/>
        </w:trPr>
        <w:tc>
          <w:tcPr>
            <w:tcW w:w="1934" w:type="dxa"/>
            <w:gridSpan w:val="2"/>
            <w:tcBorders>
              <w:top w:val="nil"/>
              <w:left w:val="nil"/>
              <w:bottom w:val="single" w:sz="2" w:space="0" w:color="auto"/>
              <w:right w:val="nil"/>
            </w:tcBorders>
            <w:hideMark/>
          </w:tcPr>
          <w:p w14:paraId="2086E70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70B" w14:textId="77777777" w:rsidR="00802D3E" w:rsidRDefault="00802D3E" w:rsidP="00E119BC">
            <w:pPr>
              <w:widowControl w:val="0"/>
              <w:autoSpaceDE w:val="0"/>
              <w:autoSpaceDN w:val="0"/>
              <w:adjustRightInd w:val="0"/>
              <w:spacing w:after="0" w:line="240" w:lineRule="auto"/>
              <w:jc w:val="left"/>
            </w:pPr>
            <w:r>
              <w:rPr>
                <w:rFonts w:ascii="Arial" w:hAnsi="Arial" w:cs="Arial"/>
                <w:color w:val="000000"/>
                <w:sz w:val="16"/>
                <w:szCs w:val="16"/>
              </w:rPr>
              <w:t xml:space="preserve">Sections 251T and 251U of the </w:t>
            </w:r>
            <w:r>
              <w:rPr>
                <w:rFonts w:ascii="Arial" w:hAnsi="Arial" w:cs="Arial"/>
                <w:i/>
                <w:iCs/>
                <w:color w:val="000000"/>
                <w:sz w:val="16"/>
                <w:szCs w:val="16"/>
              </w:rPr>
              <w:t>Income Tax Assessment Act 1936</w:t>
            </w:r>
          </w:p>
        </w:tc>
      </w:tr>
    </w:tbl>
    <w:p w14:paraId="2086E70D" w14:textId="77777777" w:rsidR="00802D3E" w:rsidRDefault="00802D3E" w:rsidP="0098392C">
      <w:pPr>
        <w:pStyle w:val="SingleParagraph"/>
      </w:pPr>
    </w:p>
    <w:p w14:paraId="2086E70E" w14:textId="77777777" w:rsidR="00802D3E" w:rsidRDefault="00802D3E" w:rsidP="00802D3E">
      <w:r>
        <w:t xml:space="preserve">The income of certain prescribed persons is exempt from the Medicare levy. The list of prescribed persons includes recipients of specified payments made under the </w:t>
      </w:r>
      <w:r>
        <w:rPr>
          <w:i/>
        </w:rPr>
        <w:t>Social Security Act 1991</w:t>
      </w:r>
      <w:r w:rsidRPr="005251CE">
        <w:t>,</w:t>
      </w:r>
      <w:r>
        <w:rPr>
          <w:i/>
        </w:rPr>
        <w:t xml:space="preserve"> </w:t>
      </w:r>
      <w:r>
        <w:t>certain permanent residents who qualify for an exemption due to their absence from Australia, temporary residents whose home country does not have a Reciprocal Health Care Agreement with Australia and foreign government representatives</w:t>
      </w:r>
      <w:r>
        <w:fldChar w:fldCharType="begin"/>
      </w:r>
      <w:r>
        <w:instrText xml:space="preserve"> XE "Medicare</w:instrText>
      </w:r>
      <w:r w:rsidR="00F07C59">
        <w:instrText xml:space="preserve"> Levy</w:instrText>
      </w:r>
      <w:r>
        <w:instrText>:</w:instrText>
      </w:r>
      <w:r w:rsidR="00F07C59">
        <w:instrText>E</w:instrText>
      </w:r>
      <w:r>
        <w:instrText xml:space="preserve">xemption" </w:instrText>
      </w:r>
      <w:r>
        <w:fldChar w:fldCharType="end"/>
      </w:r>
      <w:r>
        <w:t xml:space="preserve">. </w:t>
      </w:r>
    </w:p>
    <w:p w14:paraId="2086E70F" w14:textId="77777777" w:rsidR="00802D3E" w:rsidRDefault="00802D3E" w:rsidP="00802D3E">
      <w:pPr>
        <w:pStyle w:val="TESHeading5"/>
        <w:ind w:left="0" w:firstLine="0"/>
      </w:pPr>
      <w:r>
        <w:t>A19</w:t>
      </w:r>
      <w:r>
        <w:tab/>
        <w:t>Medicare levy exemption for residents with taxable income below the low</w:t>
      </w:r>
      <w:r w:rsidR="00CA1B50">
        <w:noBreakHyphen/>
      </w:r>
      <w:r>
        <w:t>income thresholds</w:t>
      </w:r>
    </w:p>
    <w:p w14:paraId="2086E710"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719" w14:textId="77777777" w:rsidTr="00802D3E">
        <w:trPr>
          <w:cantSplit/>
          <w:jc w:val="center"/>
        </w:trPr>
        <w:tc>
          <w:tcPr>
            <w:tcW w:w="967" w:type="dxa"/>
            <w:tcBorders>
              <w:top w:val="single" w:sz="2" w:space="0" w:color="auto"/>
              <w:left w:val="nil"/>
              <w:bottom w:val="single" w:sz="2" w:space="0" w:color="auto"/>
              <w:right w:val="nil"/>
            </w:tcBorders>
            <w:hideMark/>
          </w:tcPr>
          <w:p w14:paraId="2086E71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71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71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71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71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71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71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718" w14:textId="77777777" w:rsidR="00802D3E" w:rsidRDefault="00802D3E">
            <w:pPr>
              <w:pStyle w:val="MeasureTableTextRightAligned"/>
            </w:pPr>
            <w:r>
              <w:t>2019-20</w:t>
            </w:r>
          </w:p>
        </w:tc>
      </w:tr>
      <w:tr w:rsidR="00802D3E" w14:paraId="2086E722" w14:textId="77777777" w:rsidTr="00802D3E">
        <w:trPr>
          <w:cantSplit/>
          <w:jc w:val="center"/>
        </w:trPr>
        <w:tc>
          <w:tcPr>
            <w:tcW w:w="967" w:type="dxa"/>
            <w:tcBorders>
              <w:top w:val="single" w:sz="2" w:space="0" w:color="auto"/>
              <w:left w:val="nil"/>
              <w:bottom w:val="single" w:sz="2" w:space="0" w:color="auto"/>
              <w:right w:val="nil"/>
            </w:tcBorders>
            <w:hideMark/>
          </w:tcPr>
          <w:p w14:paraId="2086E71A" w14:textId="77777777" w:rsidR="00802D3E" w:rsidRDefault="00802D3E">
            <w:pPr>
              <w:pStyle w:val="MeasureTableTextRightAligned"/>
            </w:pPr>
            <w:r>
              <w:t>1,250</w:t>
            </w:r>
          </w:p>
        </w:tc>
        <w:tc>
          <w:tcPr>
            <w:tcW w:w="967" w:type="dxa"/>
            <w:tcBorders>
              <w:top w:val="single" w:sz="2" w:space="0" w:color="auto"/>
              <w:left w:val="nil"/>
              <w:bottom w:val="single" w:sz="2" w:space="0" w:color="auto"/>
              <w:right w:val="nil"/>
            </w:tcBorders>
            <w:hideMark/>
          </w:tcPr>
          <w:p w14:paraId="2086E71B" w14:textId="77777777" w:rsidR="00802D3E" w:rsidRDefault="00802D3E">
            <w:pPr>
              <w:pStyle w:val="MeasureTableTextRightAligned"/>
            </w:pPr>
            <w:r>
              <w:t>1,290</w:t>
            </w:r>
          </w:p>
        </w:tc>
        <w:tc>
          <w:tcPr>
            <w:tcW w:w="967" w:type="dxa"/>
            <w:tcBorders>
              <w:top w:val="single" w:sz="2" w:space="0" w:color="auto"/>
              <w:left w:val="nil"/>
              <w:bottom w:val="single" w:sz="2" w:space="0" w:color="auto"/>
              <w:right w:val="nil"/>
            </w:tcBorders>
            <w:vAlign w:val="bottom"/>
            <w:hideMark/>
          </w:tcPr>
          <w:p w14:paraId="2086E71C" w14:textId="77777777" w:rsidR="00802D3E" w:rsidRDefault="00802D3E">
            <w:pPr>
              <w:pStyle w:val="MeasureTableTextRightAligned"/>
            </w:pPr>
            <w:r>
              <w:t>1,740</w:t>
            </w:r>
          </w:p>
        </w:tc>
        <w:tc>
          <w:tcPr>
            <w:tcW w:w="967" w:type="dxa"/>
            <w:tcBorders>
              <w:top w:val="single" w:sz="2" w:space="0" w:color="auto"/>
              <w:left w:val="nil"/>
              <w:bottom w:val="single" w:sz="2" w:space="0" w:color="auto"/>
              <w:right w:val="nil"/>
            </w:tcBorders>
            <w:vAlign w:val="bottom"/>
            <w:hideMark/>
          </w:tcPr>
          <w:p w14:paraId="2086E71D" w14:textId="77777777" w:rsidR="00802D3E" w:rsidRDefault="00802D3E">
            <w:pPr>
              <w:pStyle w:val="MeasureTableTextRightAligned"/>
            </w:pPr>
            <w:r>
              <w:t>1,900</w:t>
            </w:r>
          </w:p>
        </w:tc>
        <w:tc>
          <w:tcPr>
            <w:tcW w:w="967" w:type="dxa"/>
            <w:tcBorders>
              <w:top w:val="single" w:sz="2" w:space="0" w:color="auto"/>
              <w:left w:val="nil"/>
              <w:bottom w:val="single" w:sz="2" w:space="0" w:color="auto"/>
              <w:right w:val="nil"/>
            </w:tcBorders>
            <w:vAlign w:val="bottom"/>
            <w:hideMark/>
          </w:tcPr>
          <w:p w14:paraId="2086E71E" w14:textId="77777777" w:rsidR="00802D3E" w:rsidRDefault="00802D3E">
            <w:pPr>
              <w:pStyle w:val="MeasureTableTextRightAligned"/>
            </w:pPr>
            <w:r>
              <w:t>2,060</w:t>
            </w:r>
          </w:p>
        </w:tc>
        <w:tc>
          <w:tcPr>
            <w:tcW w:w="967" w:type="dxa"/>
            <w:gridSpan w:val="2"/>
            <w:tcBorders>
              <w:top w:val="single" w:sz="2" w:space="0" w:color="auto"/>
              <w:left w:val="nil"/>
              <w:bottom w:val="single" w:sz="2" w:space="0" w:color="auto"/>
              <w:right w:val="nil"/>
            </w:tcBorders>
            <w:vAlign w:val="bottom"/>
            <w:hideMark/>
          </w:tcPr>
          <w:p w14:paraId="2086E71F" w14:textId="77777777" w:rsidR="00802D3E" w:rsidRDefault="00802D3E">
            <w:pPr>
              <w:pStyle w:val="MeasureTableTextRightAligned"/>
            </w:pPr>
            <w:r>
              <w:t>2,090</w:t>
            </w:r>
          </w:p>
        </w:tc>
        <w:tc>
          <w:tcPr>
            <w:tcW w:w="967" w:type="dxa"/>
            <w:gridSpan w:val="2"/>
            <w:tcBorders>
              <w:top w:val="single" w:sz="2" w:space="0" w:color="auto"/>
              <w:left w:val="nil"/>
              <w:bottom w:val="single" w:sz="2" w:space="0" w:color="auto"/>
              <w:right w:val="nil"/>
            </w:tcBorders>
            <w:vAlign w:val="bottom"/>
            <w:hideMark/>
          </w:tcPr>
          <w:p w14:paraId="2086E720" w14:textId="77777777" w:rsidR="00802D3E" w:rsidRDefault="00802D3E">
            <w:pPr>
              <w:pStyle w:val="MeasureTableTextRightAligned"/>
            </w:pPr>
            <w:r>
              <w:t>2,160</w:t>
            </w:r>
          </w:p>
        </w:tc>
        <w:tc>
          <w:tcPr>
            <w:tcW w:w="968" w:type="dxa"/>
            <w:tcBorders>
              <w:top w:val="single" w:sz="2" w:space="0" w:color="auto"/>
              <w:left w:val="nil"/>
              <w:bottom w:val="single" w:sz="2" w:space="0" w:color="auto"/>
              <w:right w:val="nil"/>
            </w:tcBorders>
            <w:vAlign w:val="bottom"/>
            <w:hideMark/>
          </w:tcPr>
          <w:p w14:paraId="2086E721" w14:textId="77777777" w:rsidR="00802D3E" w:rsidRDefault="00802D3E">
            <w:pPr>
              <w:pStyle w:val="MeasureTableTextRightAligned"/>
            </w:pPr>
            <w:r>
              <w:t>2,230</w:t>
            </w:r>
          </w:p>
        </w:tc>
      </w:tr>
      <w:tr w:rsidR="00802D3E" w14:paraId="2086E727" w14:textId="77777777" w:rsidTr="00802D3E">
        <w:trPr>
          <w:cantSplit/>
          <w:jc w:val="center"/>
        </w:trPr>
        <w:tc>
          <w:tcPr>
            <w:tcW w:w="1934" w:type="dxa"/>
            <w:gridSpan w:val="2"/>
            <w:tcBorders>
              <w:top w:val="single" w:sz="2" w:space="0" w:color="auto"/>
              <w:left w:val="nil"/>
              <w:bottom w:val="nil"/>
              <w:right w:val="nil"/>
            </w:tcBorders>
            <w:hideMark/>
          </w:tcPr>
          <w:p w14:paraId="2086E72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724"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72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726" w14:textId="77777777" w:rsidR="00802D3E" w:rsidRDefault="00802D3E">
            <w:pPr>
              <w:pStyle w:val="MeasureTableTextLeftAligned"/>
            </w:pPr>
            <w:r>
              <w:t>A19</w:t>
            </w:r>
          </w:p>
        </w:tc>
      </w:tr>
      <w:tr w:rsidR="00802D3E" w14:paraId="2086E72C" w14:textId="77777777" w:rsidTr="00802D3E">
        <w:trPr>
          <w:cantSplit/>
          <w:jc w:val="center"/>
        </w:trPr>
        <w:tc>
          <w:tcPr>
            <w:tcW w:w="1934" w:type="dxa"/>
            <w:gridSpan w:val="2"/>
            <w:tcBorders>
              <w:top w:val="nil"/>
              <w:left w:val="nil"/>
              <w:bottom w:val="nil"/>
              <w:right w:val="nil"/>
            </w:tcBorders>
            <w:hideMark/>
          </w:tcPr>
          <w:p w14:paraId="2086E72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729"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72A" w14:textId="77777777" w:rsidR="00802D3E" w:rsidRDefault="00802D3E">
            <w:pPr>
              <w:pStyle w:val="MeasureTableTextItalic"/>
            </w:pPr>
          </w:p>
        </w:tc>
        <w:tc>
          <w:tcPr>
            <w:tcW w:w="1124" w:type="dxa"/>
            <w:gridSpan w:val="2"/>
            <w:tcBorders>
              <w:top w:val="nil"/>
              <w:left w:val="nil"/>
              <w:bottom w:val="nil"/>
              <w:right w:val="nil"/>
            </w:tcBorders>
          </w:tcPr>
          <w:p w14:paraId="2086E72B" w14:textId="77777777" w:rsidR="00802D3E" w:rsidRDefault="00802D3E">
            <w:pPr>
              <w:pStyle w:val="MeasureTableTextLeftAligned"/>
            </w:pPr>
          </w:p>
        </w:tc>
      </w:tr>
      <w:tr w:rsidR="00802D3E" w14:paraId="2086E731" w14:textId="77777777" w:rsidTr="00802D3E">
        <w:trPr>
          <w:cantSplit/>
          <w:jc w:val="center"/>
        </w:trPr>
        <w:tc>
          <w:tcPr>
            <w:tcW w:w="1934" w:type="dxa"/>
            <w:gridSpan w:val="2"/>
            <w:tcBorders>
              <w:top w:val="nil"/>
              <w:left w:val="nil"/>
              <w:bottom w:val="nil"/>
              <w:right w:val="nil"/>
            </w:tcBorders>
            <w:hideMark/>
          </w:tcPr>
          <w:p w14:paraId="2086E72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72E"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E72F"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730" w14:textId="77777777" w:rsidR="00802D3E" w:rsidRDefault="00802D3E">
            <w:pPr>
              <w:pStyle w:val="MeasureTableTextLeftAligned"/>
            </w:pPr>
          </w:p>
        </w:tc>
      </w:tr>
      <w:tr w:rsidR="00802D3E" w14:paraId="2086E734" w14:textId="77777777" w:rsidTr="00802D3E">
        <w:trPr>
          <w:cantSplit/>
          <w:jc w:val="center"/>
        </w:trPr>
        <w:tc>
          <w:tcPr>
            <w:tcW w:w="1934" w:type="dxa"/>
            <w:gridSpan w:val="2"/>
            <w:tcBorders>
              <w:top w:val="nil"/>
              <w:left w:val="nil"/>
              <w:bottom w:val="single" w:sz="2" w:space="0" w:color="auto"/>
              <w:right w:val="nil"/>
            </w:tcBorders>
            <w:hideMark/>
          </w:tcPr>
          <w:p w14:paraId="2086E73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733" w14:textId="77777777" w:rsidR="00802D3E" w:rsidRPr="00E119BC" w:rsidRDefault="00802D3E" w:rsidP="00E119BC">
            <w:pPr>
              <w:widowControl w:val="0"/>
              <w:autoSpaceDE w:val="0"/>
              <w:autoSpaceDN w:val="0"/>
              <w:adjustRightInd w:val="0"/>
              <w:spacing w:after="0" w:line="240" w:lineRule="auto"/>
              <w:jc w:val="left"/>
              <w:rPr>
                <w:rFonts w:ascii="Arial" w:hAnsi="Arial" w:cs="Arial"/>
                <w:sz w:val="16"/>
                <w:szCs w:val="16"/>
              </w:rPr>
            </w:pPr>
            <w:r w:rsidRPr="00E119BC">
              <w:rPr>
                <w:rFonts w:ascii="Arial" w:hAnsi="Arial" w:cs="Arial"/>
                <w:sz w:val="16"/>
                <w:szCs w:val="16"/>
              </w:rPr>
              <w:t xml:space="preserve">Section 7 of the </w:t>
            </w:r>
            <w:r w:rsidRPr="00E119BC">
              <w:rPr>
                <w:rFonts w:ascii="Arial" w:hAnsi="Arial" w:cs="Arial"/>
                <w:i/>
                <w:iCs/>
                <w:color w:val="000000"/>
                <w:sz w:val="16"/>
                <w:szCs w:val="16"/>
              </w:rPr>
              <w:t>Medicare Levy Act 1986</w:t>
            </w:r>
          </w:p>
        </w:tc>
      </w:tr>
    </w:tbl>
    <w:p w14:paraId="2086E735" w14:textId="77777777" w:rsidR="00802D3E" w:rsidRDefault="00802D3E" w:rsidP="0098392C">
      <w:pPr>
        <w:pStyle w:val="SingleParagraph"/>
      </w:pPr>
    </w:p>
    <w:p w14:paraId="2086E736" w14:textId="77777777" w:rsidR="00802D3E" w:rsidRDefault="00802D3E" w:rsidP="00802D3E">
      <w:r>
        <w:fldChar w:fldCharType="begin"/>
      </w:r>
      <w:r>
        <w:instrText xml:space="preserve"> XE "Medicare</w:instrText>
      </w:r>
      <w:r w:rsidR="00F07C59">
        <w:instrText xml:space="preserve"> Levy</w:instrText>
      </w:r>
      <w:r>
        <w:instrText>:</w:instrText>
      </w:r>
      <w:r w:rsidR="00F07C59">
        <w:instrText>T</w:instrText>
      </w:r>
      <w:r>
        <w:instrText xml:space="preserve">hreshold" </w:instrText>
      </w:r>
      <w:r>
        <w:fldChar w:fldCharType="end"/>
      </w:r>
      <w:r>
        <w:t xml:space="preserve">Residents whose taxable income falls below prescribed thresholds are exempt from the Medicare levy, with the levy phased in once their income exceeds these thresholds. Different thresholds apply for individuals, families with children and seniors and pensioners. </w:t>
      </w:r>
    </w:p>
    <w:p w14:paraId="2086E737" w14:textId="77777777" w:rsidR="00802D3E" w:rsidRDefault="00802D3E" w:rsidP="00802D3E">
      <w:pPr>
        <w:pStyle w:val="TESHeading5"/>
        <w:ind w:left="0" w:firstLine="0"/>
      </w:pPr>
      <w:r>
        <w:lastRenderedPageBreak/>
        <w:t>A20</w:t>
      </w:r>
      <w:r>
        <w:tab/>
        <w:t>Medicare levy surcharge</w:t>
      </w:r>
    </w:p>
    <w:p w14:paraId="2086E738"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741" w14:textId="77777777" w:rsidTr="00802D3E">
        <w:trPr>
          <w:cantSplit/>
          <w:jc w:val="center"/>
        </w:trPr>
        <w:tc>
          <w:tcPr>
            <w:tcW w:w="967" w:type="dxa"/>
            <w:tcBorders>
              <w:top w:val="single" w:sz="2" w:space="0" w:color="auto"/>
              <w:left w:val="nil"/>
              <w:bottom w:val="single" w:sz="2" w:space="0" w:color="auto"/>
              <w:right w:val="nil"/>
            </w:tcBorders>
            <w:hideMark/>
          </w:tcPr>
          <w:p w14:paraId="2086E73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73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73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73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73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73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73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740" w14:textId="77777777" w:rsidR="00802D3E" w:rsidRDefault="00802D3E">
            <w:pPr>
              <w:pStyle w:val="MeasureTableTextRightAligned"/>
            </w:pPr>
            <w:r>
              <w:t>2019-20</w:t>
            </w:r>
          </w:p>
        </w:tc>
      </w:tr>
      <w:tr w:rsidR="00802D3E" w14:paraId="2086E74A" w14:textId="77777777" w:rsidTr="00802D3E">
        <w:trPr>
          <w:cantSplit/>
          <w:jc w:val="center"/>
        </w:trPr>
        <w:tc>
          <w:tcPr>
            <w:tcW w:w="967" w:type="dxa"/>
            <w:tcBorders>
              <w:top w:val="single" w:sz="2" w:space="0" w:color="auto"/>
              <w:left w:val="nil"/>
              <w:bottom w:val="single" w:sz="2" w:space="0" w:color="auto"/>
              <w:right w:val="nil"/>
            </w:tcBorders>
            <w:hideMark/>
          </w:tcPr>
          <w:p w14:paraId="2086E742" w14:textId="77777777" w:rsidR="00802D3E" w:rsidRDefault="00802D3E">
            <w:pPr>
              <w:pStyle w:val="MeasureTableTextRightAligned"/>
            </w:pPr>
            <w:r>
              <w:t>-240</w:t>
            </w:r>
          </w:p>
        </w:tc>
        <w:tc>
          <w:tcPr>
            <w:tcW w:w="967" w:type="dxa"/>
            <w:tcBorders>
              <w:top w:val="single" w:sz="2" w:space="0" w:color="auto"/>
              <w:left w:val="nil"/>
              <w:bottom w:val="single" w:sz="2" w:space="0" w:color="auto"/>
              <w:right w:val="nil"/>
            </w:tcBorders>
            <w:hideMark/>
          </w:tcPr>
          <w:p w14:paraId="2086E743" w14:textId="77777777" w:rsidR="00802D3E" w:rsidRDefault="00802D3E">
            <w:pPr>
              <w:pStyle w:val="MeasureTableTextRightAligned"/>
            </w:pPr>
            <w:r>
              <w:t>-270</w:t>
            </w:r>
          </w:p>
        </w:tc>
        <w:tc>
          <w:tcPr>
            <w:tcW w:w="967" w:type="dxa"/>
            <w:tcBorders>
              <w:top w:val="single" w:sz="2" w:space="0" w:color="auto"/>
              <w:left w:val="nil"/>
              <w:bottom w:val="single" w:sz="2" w:space="0" w:color="auto"/>
              <w:right w:val="nil"/>
            </w:tcBorders>
            <w:vAlign w:val="bottom"/>
            <w:hideMark/>
          </w:tcPr>
          <w:p w14:paraId="2086E744" w14:textId="77777777" w:rsidR="00802D3E" w:rsidRDefault="00802D3E">
            <w:pPr>
              <w:pStyle w:val="MeasureTableTextRightAligned"/>
            </w:pPr>
            <w:r>
              <w:t>-270</w:t>
            </w:r>
          </w:p>
        </w:tc>
        <w:tc>
          <w:tcPr>
            <w:tcW w:w="967" w:type="dxa"/>
            <w:tcBorders>
              <w:top w:val="single" w:sz="2" w:space="0" w:color="auto"/>
              <w:left w:val="nil"/>
              <w:bottom w:val="single" w:sz="2" w:space="0" w:color="auto"/>
              <w:right w:val="nil"/>
            </w:tcBorders>
            <w:vAlign w:val="bottom"/>
            <w:hideMark/>
          </w:tcPr>
          <w:p w14:paraId="2086E745" w14:textId="77777777" w:rsidR="00802D3E" w:rsidRDefault="00802D3E">
            <w:pPr>
              <w:pStyle w:val="MeasureTableTextRightAligned"/>
            </w:pPr>
            <w:r>
              <w:t>-240</w:t>
            </w:r>
          </w:p>
        </w:tc>
        <w:tc>
          <w:tcPr>
            <w:tcW w:w="967" w:type="dxa"/>
            <w:tcBorders>
              <w:top w:val="single" w:sz="2" w:space="0" w:color="auto"/>
              <w:left w:val="nil"/>
              <w:bottom w:val="single" w:sz="2" w:space="0" w:color="auto"/>
              <w:right w:val="nil"/>
            </w:tcBorders>
            <w:vAlign w:val="bottom"/>
            <w:hideMark/>
          </w:tcPr>
          <w:p w14:paraId="2086E746" w14:textId="77777777" w:rsidR="00802D3E" w:rsidRDefault="00802D3E">
            <w:pPr>
              <w:pStyle w:val="MeasureTableTextRightAligned"/>
            </w:pPr>
            <w:r>
              <w:t>-240</w:t>
            </w:r>
          </w:p>
        </w:tc>
        <w:tc>
          <w:tcPr>
            <w:tcW w:w="967" w:type="dxa"/>
            <w:gridSpan w:val="2"/>
            <w:tcBorders>
              <w:top w:val="single" w:sz="2" w:space="0" w:color="auto"/>
              <w:left w:val="nil"/>
              <w:bottom w:val="single" w:sz="2" w:space="0" w:color="auto"/>
              <w:right w:val="nil"/>
            </w:tcBorders>
            <w:vAlign w:val="bottom"/>
            <w:hideMark/>
          </w:tcPr>
          <w:p w14:paraId="2086E747" w14:textId="77777777" w:rsidR="00802D3E" w:rsidRDefault="00802D3E">
            <w:pPr>
              <w:pStyle w:val="MeasureTableTextRightAligned"/>
            </w:pPr>
            <w:r>
              <w:t>-250</w:t>
            </w:r>
          </w:p>
        </w:tc>
        <w:tc>
          <w:tcPr>
            <w:tcW w:w="967" w:type="dxa"/>
            <w:gridSpan w:val="2"/>
            <w:tcBorders>
              <w:top w:val="single" w:sz="2" w:space="0" w:color="auto"/>
              <w:left w:val="nil"/>
              <w:bottom w:val="single" w:sz="2" w:space="0" w:color="auto"/>
              <w:right w:val="nil"/>
            </w:tcBorders>
            <w:vAlign w:val="bottom"/>
            <w:hideMark/>
          </w:tcPr>
          <w:p w14:paraId="2086E748" w14:textId="77777777" w:rsidR="00802D3E" w:rsidRDefault="00802D3E">
            <w:pPr>
              <w:pStyle w:val="MeasureTableTextRightAligned"/>
            </w:pPr>
            <w:r>
              <w:t>-260</w:t>
            </w:r>
          </w:p>
        </w:tc>
        <w:tc>
          <w:tcPr>
            <w:tcW w:w="968" w:type="dxa"/>
            <w:tcBorders>
              <w:top w:val="single" w:sz="2" w:space="0" w:color="auto"/>
              <w:left w:val="nil"/>
              <w:bottom w:val="single" w:sz="2" w:space="0" w:color="auto"/>
              <w:right w:val="nil"/>
            </w:tcBorders>
            <w:vAlign w:val="bottom"/>
            <w:hideMark/>
          </w:tcPr>
          <w:p w14:paraId="2086E749" w14:textId="77777777" w:rsidR="00802D3E" w:rsidRDefault="00802D3E">
            <w:pPr>
              <w:pStyle w:val="MeasureTableTextRightAligned"/>
            </w:pPr>
            <w:r>
              <w:t>-270</w:t>
            </w:r>
          </w:p>
        </w:tc>
      </w:tr>
      <w:tr w:rsidR="00802D3E" w14:paraId="2086E74F" w14:textId="77777777" w:rsidTr="00802D3E">
        <w:trPr>
          <w:cantSplit/>
          <w:jc w:val="center"/>
        </w:trPr>
        <w:tc>
          <w:tcPr>
            <w:tcW w:w="1934" w:type="dxa"/>
            <w:gridSpan w:val="2"/>
            <w:tcBorders>
              <w:top w:val="single" w:sz="2" w:space="0" w:color="auto"/>
              <w:left w:val="nil"/>
              <w:bottom w:val="nil"/>
              <w:right w:val="nil"/>
            </w:tcBorders>
            <w:hideMark/>
          </w:tcPr>
          <w:p w14:paraId="2086E74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74C" w14:textId="77777777" w:rsidR="00802D3E" w:rsidRDefault="00802D3E">
            <w:pPr>
              <w:pStyle w:val="MeasureTableTextLeftAligned"/>
            </w:pPr>
            <w:r>
              <w:t>Increased rate</w:t>
            </w:r>
          </w:p>
        </w:tc>
        <w:tc>
          <w:tcPr>
            <w:tcW w:w="1500" w:type="dxa"/>
            <w:gridSpan w:val="2"/>
            <w:tcBorders>
              <w:top w:val="single" w:sz="2" w:space="0" w:color="auto"/>
              <w:left w:val="nil"/>
              <w:bottom w:val="nil"/>
              <w:right w:val="nil"/>
            </w:tcBorders>
            <w:hideMark/>
          </w:tcPr>
          <w:p w14:paraId="2086E74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74E" w14:textId="77777777" w:rsidR="00802D3E" w:rsidRDefault="00802D3E">
            <w:pPr>
              <w:pStyle w:val="MeasureTableTextLeftAligned"/>
            </w:pPr>
            <w:r>
              <w:t>A20</w:t>
            </w:r>
          </w:p>
        </w:tc>
      </w:tr>
      <w:tr w:rsidR="00802D3E" w14:paraId="2086E754" w14:textId="77777777" w:rsidTr="00802D3E">
        <w:trPr>
          <w:cantSplit/>
          <w:jc w:val="center"/>
        </w:trPr>
        <w:tc>
          <w:tcPr>
            <w:tcW w:w="1934" w:type="dxa"/>
            <w:gridSpan w:val="2"/>
            <w:tcBorders>
              <w:top w:val="nil"/>
              <w:left w:val="nil"/>
              <w:bottom w:val="nil"/>
              <w:right w:val="nil"/>
            </w:tcBorders>
            <w:hideMark/>
          </w:tcPr>
          <w:p w14:paraId="2086E75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751"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752" w14:textId="77777777" w:rsidR="00802D3E" w:rsidRDefault="00802D3E">
            <w:pPr>
              <w:pStyle w:val="MeasureTableTextItalic"/>
            </w:pPr>
          </w:p>
        </w:tc>
        <w:tc>
          <w:tcPr>
            <w:tcW w:w="1124" w:type="dxa"/>
            <w:gridSpan w:val="2"/>
            <w:tcBorders>
              <w:top w:val="nil"/>
              <w:left w:val="nil"/>
              <w:bottom w:val="nil"/>
              <w:right w:val="nil"/>
            </w:tcBorders>
          </w:tcPr>
          <w:p w14:paraId="2086E753" w14:textId="77777777" w:rsidR="00802D3E" w:rsidRDefault="00802D3E">
            <w:pPr>
              <w:pStyle w:val="MeasureTableTextLeftAligned"/>
            </w:pPr>
          </w:p>
        </w:tc>
      </w:tr>
      <w:tr w:rsidR="00802D3E" w14:paraId="2086E759" w14:textId="77777777" w:rsidTr="00802D3E">
        <w:trPr>
          <w:cantSplit/>
          <w:jc w:val="center"/>
        </w:trPr>
        <w:tc>
          <w:tcPr>
            <w:tcW w:w="1934" w:type="dxa"/>
            <w:gridSpan w:val="2"/>
            <w:tcBorders>
              <w:top w:val="nil"/>
              <w:left w:val="nil"/>
              <w:bottom w:val="nil"/>
              <w:right w:val="nil"/>
            </w:tcBorders>
            <w:hideMark/>
          </w:tcPr>
          <w:p w14:paraId="2086E75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756" w14:textId="77777777" w:rsidR="00802D3E" w:rsidRDefault="00802D3E">
            <w:pPr>
              <w:pStyle w:val="MeasureTableTextLeftAligned"/>
            </w:pPr>
            <w:r>
              <w:t>1997</w:t>
            </w:r>
          </w:p>
        </w:tc>
        <w:tc>
          <w:tcPr>
            <w:tcW w:w="1500" w:type="dxa"/>
            <w:gridSpan w:val="2"/>
            <w:tcBorders>
              <w:top w:val="nil"/>
              <w:left w:val="nil"/>
              <w:bottom w:val="nil"/>
              <w:right w:val="nil"/>
            </w:tcBorders>
            <w:hideMark/>
          </w:tcPr>
          <w:p w14:paraId="2086E757"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758" w14:textId="77777777" w:rsidR="00802D3E" w:rsidRDefault="00802D3E">
            <w:pPr>
              <w:pStyle w:val="MeasureTableTextLeftAligned"/>
            </w:pPr>
          </w:p>
        </w:tc>
      </w:tr>
      <w:tr w:rsidR="00802D3E" w14:paraId="2086E75C" w14:textId="77777777" w:rsidTr="00802D3E">
        <w:trPr>
          <w:cantSplit/>
          <w:jc w:val="center"/>
        </w:trPr>
        <w:tc>
          <w:tcPr>
            <w:tcW w:w="1934" w:type="dxa"/>
            <w:gridSpan w:val="2"/>
            <w:tcBorders>
              <w:top w:val="nil"/>
              <w:left w:val="nil"/>
              <w:bottom w:val="single" w:sz="2" w:space="0" w:color="auto"/>
              <w:right w:val="nil"/>
            </w:tcBorders>
            <w:hideMark/>
          </w:tcPr>
          <w:p w14:paraId="2086E75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75B" w14:textId="77777777" w:rsidR="00802D3E" w:rsidRDefault="00802D3E" w:rsidP="00CA1B50">
            <w:pPr>
              <w:widowControl w:val="0"/>
              <w:autoSpaceDE w:val="0"/>
              <w:autoSpaceDN w:val="0"/>
              <w:adjustRightInd w:val="0"/>
              <w:spacing w:after="0" w:line="240" w:lineRule="auto"/>
              <w:jc w:val="left"/>
            </w:pPr>
            <w:r>
              <w:rPr>
                <w:rFonts w:ascii="Arial" w:hAnsi="Arial" w:cs="Arial"/>
                <w:color w:val="000000"/>
                <w:sz w:val="16"/>
                <w:szCs w:val="16"/>
              </w:rPr>
              <w:t xml:space="preserve">Sections 8B to 8D of the </w:t>
            </w:r>
            <w:r>
              <w:rPr>
                <w:rFonts w:ascii="Arial" w:hAnsi="Arial" w:cs="Arial"/>
                <w:i/>
                <w:iCs/>
                <w:color w:val="000000"/>
                <w:sz w:val="16"/>
                <w:szCs w:val="16"/>
              </w:rPr>
              <w:t>Medicare Levy Act 1986</w:t>
            </w:r>
            <w:r>
              <w:rPr>
                <w:rFonts w:ascii="Arial" w:hAnsi="Arial" w:cs="Arial"/>
                <w:i/>
                <w:iCs/>
                <w:color w:val="000000"/>
                <w:sz w:val="16"/>
                <w:szCs w:val="16"/>
              </w:rPr>
              <w:br/>
              <w:t>A New Tax System (Medicare Levy Surcharge - Fringe Benefits) Act 1999</w:t>
            </w:r>
          </w:p>
        </w:tc>
      </w:tr>
    </w:tbl>
    <w:p w14:paraId="2086E75D" w14:textId="77777777" w:rsidR="00802D3E" w:rsidRDefault="00802D3E" w:rsidP="0098392C">
      <w:pPr>
        <w:pStyle w:val="SingleParagraph"/>
      </w:pPr>
    </w:p>
    <w:p w14:paraId="2086E75E" w14:textId="7D6C3725" w:rsidR="00802D3E" w:rsidRDefault="00802D3E" w:rsidP="00802D3E">
      <w:r>
        <w:t>Individuals and couples who do not have a specified level of private health insurance and whose income exceeds certain thresholds are subject to an increased Medicare levy, known as the Medicare levy surcharge.</w:t>
      </w:r>
      <w:r>
        <w:fldChar w:fldCharType="begin"/>
      </w:r>
      <w:r>
        <w:instrText xml:space="preserve"> XE "Medicare</w:instrText>
      </w:r>
      <w:r w:rsidR="00F07C59">
        <w:instrText xml:space="preserve"> Levy</w:instrText>
      </w:r>
      <w:r>
        <w:instrText>:</w:instrText>
      </w:r>
      <w:r w:rsidR="00F07C59">
        <w:instrText>S</w:instrText>
      </w:r>
      <w:r>
        <w:instrText xml:space="preserve">urcharge" </w:instrText>
      </w:r>
      <w:r>
        <w:fldChar w:fldCharType="end"/>
      </w:r>
    </w:p>
    <w:p w14:paraId="2086E75F" w14:textId="77777777" w:rsidR="00802D3E" w:rsidRDefault="00802D3E" w:rsidP="00802D3E">
      <w:pPr>
        <w:pStyle w:val="TESHeading5"/>
        <w:ind w:left="0" w:firstLine="0"/>
      </w:pPr>
      <w:r>
        <w:t>A21</w:t>
      </w:r>
      <w:r>
        <w:tab/>
        <w:t>Medicare levy surcharge lump sum payment in arrears tax offset</w:t>
      </w:r>
    </w:p>
    <w:p w14:paraId="2086E760"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769" w14:textId="77777777" w:rsidTr="00802D3E">
        <w:trPr>
          <w:cantSplit/>
          <w:jc w:val="center"/>
        </w:trPr>
        <w:tc>
          <w:tcPr>
            <w:tcW w:w="967" w:type="dxa"/>
            <w:tcBorders>
              <w:top w:val="single" w:sz="2" w:space="0" w:color="auto"/>
              <w:left w:val="nil"/>
              <w:bottom w:val="single" w:sz="2" w:space="0" w:color="auto"/>
              <w:right w:val="nil"/>
            </w:tcBorders>
            <w:hideMark/>
          </w:tcPr>
          <w:p w14:paraId="2086E76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76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76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76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76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76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76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768" w14:textId="77777777" w:rsidR="00802D3E" w:rsidRDefault="00802D3E">
            <w:pPr>
              <w:pStyle w:val="MeasureTableTextRightAligned"/>
            </w:pPr>
            <w:r>
              <w:t>2019-20</w:t>
            </w:r>
          </w:p>
        </w:tc>
      </w:tr>
      <w:tr w:rsidR="00802D3E" w14:paraId="2086E772" w14:textId="77777777" w:rsidTr="00802D3E">
        <w:trPr>
          <w:cantSplit/>
          <w:jc w:val="center"/>
        </w:trPr>
        <w:tc>
          <w:tcPr>
            <w:tcW w:w="967" w:type="dxa"/>
            <w:tcBorders>
              <w:top w:val="single" w:sz="2" w:space="0" w:color="auto"/>
              <w:left w:val="nil"/>
              <w:bottom w:val="single" w:sz="2" w:space="0" w:color="auto"/>
              <w:right w:val="nil"/>
            </w:tcBorders>
            <w:hideMark/>
          </w:tcPr>
          <w:p w14:paraId="2086E76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76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76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76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76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76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770"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771" w14:textId="77777777" w:rsidR="00802D3E" w:rsidRDefault="00802D3E">
            <w:pPr>
              <w:pStyle w:val="MeasureTableTextRightAligned"/>
            </w:pPr>
            <w:r>
              <w:t>..</w:t>
            </w:r>
          </w:p>
        </w:tc>
      </w:tr>
      <w:tr w:rsidR="00802D3E" w14:paraId="2086E777" w14:textId="77777777" w:rsidTr="00802D3E">
        <w:trPr>
          <w:cantSplit/>
          <w:jc w:val="center"/>
        </w:trPr>
        <w:tc>
          <w:tcPr>
            <w:tcW w:w="1934" w:type="dxa"/>
            <w:gridSpan w:val="2"/>
            <w:tcBorders>
              <w:top w:val="single" w:sz="2" w:space="0" w:color="auto"/>
              <w:left w:val="nil"/>
              <w:bottom w:val="nil"/>
              <w:right w:val="nil"/>
            </w:tcBorders>
            <w:hideMark/>
          </w:tcPr>
          <w:p w14:paraId="2086E77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774"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E77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776" w14:textId="77777777" w:rsidR="00802D3E" w:rsidRDefault="00802D3E">
            <w:pPr>
              <w:pStyle w:val="MeasureTableTextLeftAligned"/>
            </w:pPr>
            <w:r>
              <w:t>A21</w:t>
            </w:r>
          </w:p>
        </w:tc>
      </w:tr>
      <w:tr w:rsidR="00802D3E" w14:paraId="2086E77C" w14:textId="77777777" w:rsidTr="00802D3E">
        <w:trPr>
          <w:cantSplit/>
          <w:jc w:val="center"/>
        </w:trPr>
        <w:tc>
          <w:tcPr>
            <w:tcW w:w="1934" w:type="dxa"/>
            <w:gridSpan w:val="2"/>
            <w:tcBorders>
              <w:top w:val="nil"/>
              <w:left w:val="nil"/>
              <w:bottom w:val="nil"/>
              <w:right w:val="nil"/>
            </w:tcBorders>
            <w:hideMark/>
          </w:tcPr>
          <w:p w14:paraId="2086E77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779" w14:textId="77777777" w:rsidR="00802D3E" w:rsidRDefault="00802D3E">
            <w:pPr>
              <w:pStyle w:val="MeasureTableTextLeftAligned"/>
            </w:pPr>
            <w:r>
              <w:t>High</w:t>
            </w:r>
          </w:p>
        </w:tc>
        <w:tc>
          <w:tcPr>
            <w:tcW w:w="1500" w:type="dxa"/>
            <w:gridSpan w:val="2"/>
            <w:tcBorders>
              <w:top w:val="nil"/>
              <w:left w:val="nil"/>
              <w:bottom w:val="nil"/>
              <w:right w:val="nil"/>
            </w:tcBorders>
          </w:tcPr>
          <w:p w14:paraId="2086E77A" w14:textId="77777777" w:rsidR="00802D3E" w:rsidRDefault="00802D3E">
            <w:pPr>
              <w:pStyle w:val="MeasureTableTextItalic"/>
            </w:pPr>
          </w:p>
        </w:tc>
        <w:tc>
          <w:tcPr>
            <w:tcW w:w="1124" w:type="dxa"/>
            <w:gridSpan w:val="2"/>
            <w:tcBorders>
              <w:top w:val="nil"/>
              <w:left w:val="nil"/>
              <w:bottom w:val="nil"/>
              <w:right w:val="nil"/>
            </w:tcBorders>
          </w:tcPr>
          <w:p w14:paraId="2086E77B" w14:textId="77777777" w:rsidR="00802D3E" w:rsidRDefault="00802D3E">
            <w:pPr>
              <w:pStyle w:val="MeasureTableTextLeftAligned"/>
            </w:pPr>
          </w:p>
        </w:tc>
      </w:tr>
      <w:tr w:rsidR="00802D3E" w14:paraId="2086E781" w14:textId="77777777" w:rsidTr="00802D3E">
        <w:trPr>
          <w:cantSplit/>
          <w:jc w:val="center"/>
        </w:trPr>
        <w:tc>
          <w:tcPr>
            <w:tcW w:w="1934" w:type="dxa"/>
            <w:gridSpan w:val="2"/>
            <w:tcBorders>
              <w:top w:val="nil"/>
              <w:left w:val="nil"/>
              <w:bottom w:val="nil"/>
              <w:right w:val="nil"/>
            </w:tcBorders>
            <w:hideMark/>
          </w:tcPr>
          <w:p w14:paraId="2086E77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77E" w14:textId="77777777" w:rsidR="00802D3E" w:rsidRDefault="00802D3E">
            <w:pPr>
              <w:pStyle w:val="MeasureTableTextLeftAligned"/>
            </w:pPr>
            <w:r>
              <w:t>1 July 2005</w:t>
            </w:r>
          </w:p>
        </w:tc>
        <w:tc>
          <w:tcPr>
            <w:tcW w:w="1500" w:type="dxa"/>
            <w:gridSpan w:val="2"/>
            <w:tcBorders>
              <w:top w:val="nil"/>
              <w:left w:val="nil"/>
              <w:bottom w:val="nil"/>
              <w:right w:val="nil"/>
            </w:tcBorders>
            <w:hideMark/>
          </w:tcPr>
          <w:p w14:paraId="2086E77F"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780" w14:textId="77777777" w:rsidR="00802D3E" w:rsidRDefault="00802D3E">
            <w:pPr>
              <w:pStyle w:val="MeasureTableTextLeftAligned"/>
            </w:pPr>
          </w:p>
        </w:tc>
      </w:tr>
      <w:tr w:rsidR="00802D3E" w14:paraId="2086E784" w14:textId="77777777" w:rsidTr="00802D3E">
        <w:trPr>
          <w:cantSplit/>
          <w:jc w:val="center"/>
        </w:trPr>
        <w:tc>
          <w:tcPr>
            <w:tcW w:w="1934" w:type="dxa"/>
            <w:gridSpan w:val="2"/>
            <w:tcBorders>
              <w:top w:val="nil"/>
              <w:left w:val="nil"/>
              <w:bottom w:val="single" w:sz="2" w:space="0" w:color="auto"/>
              <w:right w:val="nil"/>
            </w:tcBorders>
            <w:hideMark/>
          </w:tcPr>
          <w:p w14:paraId="2086E78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783" w14:textId="77777777" w:rsidR="00802D3E" w:rsidRPr="00E119BC" w:rsidRDefault="00802D3E" w:rsidP="00E119BC">
            <w:pPr>
              <w:widowControl w:val="0"/>
              <w:autoSpaceDE w:val="0"/>
              <w:autoSpaceDN w:val="0"/>
              <w:adjustRightInd w:val="0"/>
              <w:spacing w:after="0" w:line="240" w:lineRule="auto"/>
              <w:jc w:val="left"/>
              <w:rPr>
                <w:rFonts w:ascii="Arial" w:hAnsi="Arial" w:cs="Arial"/>
                <w:sz w:val="16"/>
                <w:szCs w:val="16"/>
              </w:rPr>
            </w:pPr>
            <w:r w:rsidRPr="00E119BC">
              <w:rPr>
                <w:rFonts w:ascii="Arial" w:hAnsi="Arial" w:cs="Arial"/>
                <w:sz w:val="16"/>
                <w:szCs w:val="16"/>
              </w:rPr>
              <w:t xml:space="preserve">Subdivision 61L of the </w:t>
            </w:r>
            <w:r w:rsidRPr="00E119BC">
              <w:rPr>
                <w:rFonts w:ascii="Arial" w:hAnsi="Arial" w:cs="Arial"/>
                <w:i/>
                <w:iCs/>
                <w:color w:val="000000"/>
                <w:sz w:val="16"/>
                <w:szCs w:val="16"/>
              </w:rPr>
              <w:t>Income Tax Assessment Act 1997</w:t>
            </w:r>
          </w:p>
        </w:tc>
      </w:tr>
    </w:tbl>
    <w:p w14:paraId="2086E785" w14:textId="77777777" w:rsidR="00802D3E" w:rsidRDefault="00802D3E" w:rsidP="0098392C">
      <w:pPr>
        <w:pStyle w:val="SingleParagraph"/>
      </w:pPr>
    </w:p>
    <w:p w14:paraId="2086E786" w14:textId="77777777" w:rsidR="00802D3E" w:rsidRDefault="00802D3E" w:rsidP="00802D3E">
      <w:r>
        <w:t xml:space="preserve">Eligible taxpayers who incur a Medicare levy surcharge liability, or an increased liability, as a result of certain lump sum payments in arrears, for example, a Commonwealth education payment, receive concessional treatment in respect of their surcharge liability. </w:t>
      </w:r>
      <w:r>
        <w:fldChar w:fldCharType="begin"/>
      </w:r>
      <w:r>
        <w:instrText xml:space="preserve"> XE "Medicare</w:instrText>
      </w:r>
      <w:r w:rsidR="00F07C59">
        <w:instrText xml:space="preserve"> Levy</w:instrText>
      </w:r>
      <w:r>
        <w:instrText>:</w:instrText>
      </w:r>
      <w:r w:rsidR="00F07C59">
        <w:instrText>Su</w:instrText>
      </w:r>
      <w:r>
        <w:instrText xml:space="preserve">rcharge" </w:instrText>
      </w:r>
      <w:r>
        <w:fldChar w:fldCharType="end"/>
      </w:r>
    </w:p>
    <w:p w14:paraId="2086E787" w14:textId="77777777" w:rsidR="00802D3E" w:rsidRDefault="00802D3E" w:rsidP="00802D3E">
      <w:pPr>
        <w:pStyle w:val="TESHeading5"/>
        <w:ind w:left="0" w:firstLine="0"/>
      </w:pPr>
      <w:r>
        <w:t>A22</w:t>
      </w:r>
      <w:r>
        <w:tab/>
        <w:t>Net medical expenses tax offset</w:t>
      </w:r>
    </w:p>
    <w:p w14:paraId="2086E788"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791" w14:textId="77777777" w:rsidTr="00802D3E">
        <w:trPr>
          <w:cantSplit/>
          <w:jc w:val="center"/>
        </w:trPr>
        <w:tc>
          <w:tcPr>
            <w:tcW w:w="967" w:type="dxa"/>
            <w:tcBorders>
              <w:top w:val="single" w:sz="2" w:space="0" w:color="auto"/>
              <w:left w:val="nil"/>
              <w:bottom w:val="single" w:sz="2" w:space="0" w:color="auto"/>
              <w:right w:val="nil"/>
            </w:tcBorders>
            <w:hideMark/>
          </w:tcPr>
          <w:p w14:paraId="2086E78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78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78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78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78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78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78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790" w14:textId="77777777" w:rsidR="00802D3E" w:rsidRDefault="00802D3E">
            <w:pPr>
              <w:pStyle w:val="MeasureTableTextRightAligned"/>
            </w:pPr>
            <w:r>
              <w:t>2019-20</w:t>
            </w:r>
          </w:p>
        </w:tc>
      </w:tr>
      <w:tr w:rsidR="00802D3E" w14:paraId="2086E79A" w14:textId="77777777" w:rsidTr="00802D3E">
        <w:trPr>
          <w:cantSplit/>
          <w:jc w:val="center"/>
        </w:trPr>
        <w:tc>
          <w:tcPr>
            <w:tcW w:w="967" w:type="dxa"/>
            <w:tcBorders>
              <w:top w:val="single" w:sz="2" w:space="0" w:color="auto"/>
              <w:left w:val="nil"/>
              <w:bottom w:val="single" w:sz="2" w:space="0" w:color="auto"/>
              <w:right w:val="nil"/>
            </w:tcBorders>
            <w:hideMark/>
          </w:tcPr>
          <w:p w14:paraId="2086E792" w14:textId="77777777" w:rsidR="00802D3E" w:rsidRDefault="00802D3E">
            <w:pPr>
              <w:pStyle w:val="MeasureTableTextRightAligned"/>
            </w:pPr>
            <w:r>
              <w:t>540</w:t>
            </w:r>
          </w:p>
        </w:tc>
        <w:tc>
          <w:tcPr>
            <w:tcW w:w="967" w:type="dxa"/>
            <w:tcBorders>
              <w:top w:val="single" w:sz="2" w:space="0" w:color="auto"/>
              <w:left w:val="nil"/>
              <w:bottom w:val="single" w:sz="2" w:space="0" w:color="auto"/>
              <w:right w:val="nil"/>
            </w:tcBorders>
            <w:hideMark/>
          </w:tcPr>
          <w:p w14:paraId="2086E793" w14:textId="77777777" w:rsidR="00802D3E" w:rsidRDefault="00802D3E">
            <w:pPr>
              <w:pStyle w:val="MeasureTableTextRightAligned"/>
            </w:pPr>
            <w:r>
              <w:t>410</w:t>
            </w:r>
          </w:p>
        </w:tc>
        <w:tc>
          <w:tcPr>
            <w:tcW w:w="967" w:type="dxa"/>
            <w:tcBorders>
              <w:top w:val="single" w:sz="2" w:space="0" w:color="auto"/>
              <w:left w:val="nil"/>
              <w:bottom w:val="single" w:sz="2" w:space="0" w:color="auto"/>
              <w:right w:val="nil"/>
            </w:tcBorders>
            <w:vAlign w:val="bottom"/>
            <w:hideMark/>
          </w:tcPr>
          <w:p w14:paraId="2086E794" w14:textId="77777777" w:rsidR="00802D3E" w:rsidRDefault="00802D3E">
            <w:pPr>
              <w:pStyle w:val="MeasureTableTextRightAligned"/>
            </w:pPr>
            <w:r>
              <w:t>235</w:t>
            </w:r>
          </w:p>
        </w:tc>
        <w:tc>
          <w:tcPr>
            <w:tcW w:w="967" w:type="dxa"/>
            <w:tcBorders>
              <w:top w:val="single" w:sz="2" w:space="0" w:color="auto"/>
              <w:left w:val="nil"/>
              <w:bottom w:val="single" w:sz="2" w:space="0" w:color="auto"/>
              <w:right w:val="nil"/>
            </w:tcBorders>
            <w:vAlign w:val="bottom"/>
            <w:hideMark/>
          </w:tcPr>
          <w:p w14:paraId="2086E795" w14:textId="77777777" w:rsidR="00802D3E" w:rsidRDefault="00802D3E">
            <w:pPr>
              <w:pStyle w:val="MeasureTableTextRightAligned"/>
            </w:pPr>
            <w:r>
              <w:t>155</w:t>
            </w:r>
          </w:p>
        </w:tc>
        <w:tc>
          <w:tcPr>
            <w:tcW w:w="967" w:type="dxa"/>
            <w:tcBorders>
              <w:top w:val="single" w:sz="2" w:space="0" w:color="auto"/>
              <w:left w:val="nil"/>
              <w:bottom w:val="single" w:sz="2" w:space="0" w:color="auto"/>
              <w:right w:val="nil"/>
            </w:tcBorders>
            <w:vAlign w:val="bottom"/>
            <w:hideMark/>
          </w:tcPr>
          <w:p w14:paraId="2086E796" w14:textId="77777777" w:rsidR="00802D3E" w:rsidRDefault="00802D3E">
            <w:pPr>
              <w:pStyle w:val="MeasureTableTextRightAligned"/>
            </w:pPr>
            <w:r>
              <w:t>36</w:t>
            </w:r>
          </w:p>
        </w:tc>
        <w:tc>
          <w:tcPr>
            <w:tcW w:w="967" w:type="dxa"/>
            <w:gridSpan w:val="2"/>
            <w:tcBorders>
              <w:top w:val="single" w:sz="2" w:space="0" w:color="auto"/>
              <w:left w:val="nil"/>
              <w:bottom w:val="single" w:sz="2" w:space="0" w:color="auto"/>
              <w:right w:val="nil"/>
            </w:tcBorders>
            <w:vAlign w:val="bottom"/>
            <w:hideMark/>
          </w:tcPr>
          <w:p w14:paraId="2086E797" w14:textId="77777777" w:rsidR="00802D3E" w:rsidRDefault="00802D3E">
            <w:pPr>
              <w:pStyle w:val="MeasureTableTextRightAligned"/>
            </w:pPr>
            <w:r>
              <w:t>21</w:t>
            </w:r>
          </w:p>
        </w:tc>
        <w:tc>
          <w:tcPr>
            <w:tcW w:w="967" w:type="dxa"/>
            <w:gridSpan w:val="2"/>
            <w:tcBorders>
              <w:top w:val="single" w:sz="2" w:space="0" w:color="auto"/>
              <w:left w:val="nil"/>
              <w:bottom w:val="single" w:sz="2" w:space="0" w:color="auto"/>
              <w:right w:val="nil"/>
            </w:tcBorders>
            <w:vAlign w:val="bottom"/>
            <w:hideMark/>
          </w:tcPr>
          <w:p w14:paraId="2086E798" w14:textId="77777777" w:rsidR="00802D3E" w:rsidRDefault="00802D3E">
            <w:pPr>
              <w:pStyle w:val="MeasureTableTextRightAligned"/>
            </w:pPr>
            <w:r>
              <w:t>9</w:t>
            </w:r>
          </w:p>
        </w:tc>
        <w:tc>
          <w:tcPr>
            <w:tcW w:w="968" w:type="dxa"/>
            <w:tcBorders>
              <w:top w:val="single" w:sz="2" w:space="0" w:color="auto"/>
              <w:left w:val="nil"/>
              <w:bottom w:val="single" w:sz="2" w:space="0" w:color="auto"/>
              <w:right w:val="nil"/>
            </w:tcBorders>
            <w:vAlign w:val="bottom"/>
            <w:hideMark/>
          </w:tcPr>
          <w:p w14:paraId="2086E799" w14:textId="77777777" w:rsidR="00802D3E" w:rsidRDefault="00802D3E">
            <w:pPr>
              <w:pStyle w:val="MeasureTableTextRightAligned"/>
            </w:pPr>
            <w:r>
              <w:t>1</w:t>
            </w:r>
          </w:p>
        </w:tc>
      </w:tr>
      <w:tr w:rsidR="00802D3E" w14:paraId="2086E79F" w14:textId="77777777" w:rsidTr="00802D3E">
        <w:trPr>
          <w:cantSplit/>
          <w:jc w:val="center"/>
        </w:trPr>
        <w:tc>
          <w:tcPr>
            <w:tcW w:w="1934" w:type="dxa"/>
            <w:gridSpan w:val="2"/>
            <w:tcBorders>
              <w:top w:val="single" w:sz="2" w:space="0" w:color="auto"/>
              <w:left w:val="nil"/>
              <w:bottom w:val="nil"/>
              <w:right w:val="nil"/>
            </w:tcBorders>
            <w:hideMark/>
          </w:tcPr>
          <w:p w14:paraId="2086E79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79C"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E79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79E" w14:textId="77777777" w:rsidR="00802D3E" w:rsidRDefault="00802D3E">
            <w:pPr>
              <w:pStyle w:val="MeasureTableTextLeftAligned"/>
            </w:pPr>
            <w:r>
              <w:t>A22</w:t>
            </w:r>
          </w:p>
        </w:tc>
      </w:tr>
      <w:tr w:rsidR="00802D3E" w14:paraId="2086E7A4" w14:textId="77777777" w:rsidTr="00802D3E">
        <w:trPr>
          <w:cantSplit/>
          <w:jc w:val="center"/>
        </w:trPr>
        <w:tc>
          <w:tcPr>
            <w:tcW w:w="1934" w:type="dxa"/>
            <w:gridSpan w:val="2"/>
            <w:tcBorders>
              <w:top w:val="nil"/>
              <w:left w:val="nil"/>
              <w:bottom w:val="nil"/>
              <w:right w:val="nil"/>
            </w:tcBorders>
            <w:hideMark/>
          </w:tcPr>
          <w:p w14:paraId="2086E7A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7A1"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7A2" w14:textId="77777777" w:rsidR="00802D3E" w:rsidRDefault="00802D3E">
            <w:pPr>
              <w:pStyle w:val="MeasureTableTextItalic"/>
            </w:pPr>
          </w:p>
        </w:tc>
        <w:tc>
          <w:tcPr>
            <w:tcW w:w="1124" w:type="dxa"/>
            <w:gridSpan w:val="2"/>
            <w:tcBorders>
              <w:top w:val="nil"/>
              <w:left w:val="nil"/>
              <w:bottom w:val="nil"/>
              <w:right w:val="nil"/>
            </w:tcBorders>
          </w:tcPr>
          <w:p w14:paraId="2086E7A3" w14:textId="77777777" w:rsidR="00802D3E" w:rsidRDefault="00802D3E">
            <w:pPr>
              <w:pStyle w:val="MeasureTableTextLeftAligned"/>
            </w:pPr>
          </w:p>
        </w:tc>
      </w:tr>
      <w:tr w:rsidR="00802D3E" w14:paraId="2086E7A9" w14:textId="77777777" w:rsidTr="00802D3E">
        <w:trPr>
          <w:cantSplit/>
          <w:jc w:val="center"/>
        </w:trPr>
        <w:tc>
          <w:tcPr>
            <w:tcW w:w="1934" w:type="dxa"/>
            <w:gridSpan w:val="2"/>
            <w:tcBorders>
              <w:top w:val="nil"/>
              <w:left w:val="nil"/>
              <w:bottom w:val="nil"/>
              <w:right w:val="nil"/>
            </w:tcBorders>
            <w:hideMark/>
          </w:tcPr>
          <w:p w14:paraId="2086E7A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7A6"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7A7" w14:textId="77777777" w:rsidR="00802D3E" w:rsidRDefault="00802D3E">
            <w:pPr>
              <w:pStyle w:val="MeasureTableTextItalic"/>
            </w:pPr>
            <w:r>
              <w:t>Expiry date:</w:t>
            </w:r>
          </w:p>
        </w:tc>
        <w:tc>
          <w:tcPr>
            <w:tcW w:w="1124" w:type="dxa"/>
            <w:gridSpan w:val="2"/>
            <w:tcBorders>
              <w:top w:val="nil"/>
              <w:left w:val="nil"/>
              <w:bottom w:val="nil"/>
              <w:right w:val="nil"/>
            </w:tcBorders>
            <w:hideMark/>
          </w:tcPr>
          <w:p w14:paraId="2086E7A8" w14:textId="77777777" w:rsidR="00802D3E" w:rsidRDefault="00802D3E" w:rsidP="00E119BC">
            <w:pPr>
              <w:pStyle w:val="MeasureTableTextLeftAligned"/>
            </w:pPr>
            <w:r>
              <w:t>1 Jul 2019</w:t>
            </w:r>
          </w:p>
        </w:tc>
      </w:tr>
      <w:tr w:rsidR="00802D3E" w14:paraId="2086E7AC" w14:textId="77777777" w:rsidTr="00802D3E">
        <w:trPr>
          <w:cantSplit/>
          <w:jc w:val="center"/>
        </w:trPr>
        <w:tc>
          <w:tcPr>
            <w:tcW w:w="1934" w:type="dxa"/>
            <w:gridSpan w:val="2"/>
            <w:tcBorders>
              <w:top w:val="nil"/>
              <w:left w:val="nil"/>
              <w:bottom w:val="single" w:sz="2" w:space="0" w:color="auto"/>
              <w:right w:val="nil"/>
            </w:tcBorders>
            <w:hideMark/>
          </w:tcPr>
          <w:p w14:paraId="2086E7A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7AB" w14:textId="77777777" w:rsidR="00802D3E" w:rsidRPr="00E119BC" w:rsidRDefault="00802D3E" w:rsidP="00E119BC">
            <w:pPr>
              <w:widowControl w:val="0"/>
              <w:autoSpaceDE w:val="0"/>
              <w:autoSpaceDN w:val="0"/>
              <w:adjustRightInd w:val="0"/>
              <w:spacing w:after="0" w:line="240" w:lineRule="auto"/>
              <w:jc w:val="left"/>
              <w:rPr>
                <w:rFonts w:ascii="Arial" w:hAnsi="Arial" w:cs="Arial"/>
                <w:sz w:val="16"/>
                <w:szCs w:val="16"/>
              </w:rPr>
            </w:pPr>
            <w:r w:rsidRPr="00E119BC">
              <w:rPr>
                <w:rFonts w:ascii="Arial" w:hAnsi="Arial" w:cs="Arial"/>
                <w:sz w:val="16"/>
                <w:szCs w:val="16"/>
              </w:rPr>
              <w:t xml:space="preserve">Section 159P of the </w:t>
            </w:r>
            <w:r w:rsidRPr="00E119BC">
              <w:rPr>
                <w:rFonts w:ascii="Arial" w:hAnsi="Arial" w:cs="Arial"/>
                <w:i/>
                <w:iCs/>
                <w:color w:val="000000"/>
                <w:sz w:val="16"/>
                <w:szCs w:val="16"/>
              </w:rPr>
              <w:t>Income Tax Assessment Act 1936</w:t>
            </w:r>
          </w:p>
        </w:tc>
      </w:tr>
    </w:tbl>
    <w:p w14:paraId="2086E7AD" w14:textId="77777777" w:rsidR="00802D3E" w:rsidRDefault="00802D3E" w:rsidP="0098392C">
      <w:pPr>
        <w:pStyle w:val="SingleParagraph"/>
      </w:pPr>
    </w:p>
    <w:p w14:paraId="2086E7AE" w14:textId="417BEA1A" w:rsidR="00802D3E" w:rsidRDefault="00802D3E" w:rsidP="00802D3E">
      <w:r>
        <w:fldChar w:fldCharType="begin"/>
      </w:r>
      <w:r>
        <w:instrText xml:space="preserve"> XE "Medical expenses" </w:instrText>
      </w:r>
      <w:r>
        <w:fldChar w:fldCharType="end"/>
      </w:r>
      <w:r>
        <w:t xml:space="preserve">This offset provides taxpayers with income below the Medicare levy surcharge thresholds with a 20 per cent offset for eligible </w:t>
      </w:r>
      <w:r w:rsidR="000D700A">
        <w:t>out-of-pocket medical expenses.</w:t>
      </w:r>
      <w:r>
        <w:t xml:space="preserve"> This offset is currently being phased out, with transitional arrangements for certain medical expenses. </w:t>
      </w:r>
    </w:p>
    <w:p w14:paraId="2086E7AF" w14:textId="77777777" w:rsidR="00802D3E" w:rsidRDefault="00802D3E" w:rsidP="00802D3E">
      <w:pPr>
        <w:pStyle w:val="TESHeading5"/>
        <w:ind w:left="0" w:firstLine="0"/>
      </w:pPr>
      <w:r>
        <w:lastRenderedPageBreak/>
        <w:t>A23</w:t>
      </w:r>
      <w:r>
        <w:tab/>
        <w:t>Concessional taxation of lump sum payments for unused recreation and long service leave</w:t>
      </w:r>
    </w:p>
    <w:p w14:paraId="2086E7B0"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7B9" w14:textId="77777777" w:rsidTr="00802D3E">
        <w:trPr>
          <w:cantSplit/>
          <w:jc w:val="center"/>
        </w:trPr>
        <w:tc>
          <w:tcPr>
            <w:tcW w:w="967" w:type="dxa"/>
            <w:tcBorders>
              <w:top w:val="single" w:sz="2" w:space="0" w:color="auto"/>
              <w:left w:val="nil"/>
              <w:bottom w:val="single" w:sz="2" w:space="0" w:color="auto"/>
              <w:right w:val="nil"/>
            </w:tcBorders>
            <w:hideMark/>
          </w:tcPr>
          <w:p w14:paraId="2086E7B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7B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7B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7B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7B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7B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7B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7B8" w14:textId="77777777" w:rsidR="00802D3E" w:rsidRDefault="00802D3E">
            <w:pPr>
              <w:pStyle w:val="MeasureTableTextRightAligned"/>
            </w:pPr>
            <w:r>
              <w:t>2019-20</w:t>
            </w:r>
          </w:p>
        </w:tc>
      </w:tr>
      <w:tr w:rsidR="00802D3E" w14:paraId="2086E7C2" w14:textId="77777777" w:rsidTr="00802D3E">
        <w:trPr>
          <w:cantSplit/>
          <w:jc w:val="center"/>
        </w:trPr>
        <w:tc>
          <w:tcPr>
            <w:tcW w:w="967" w:type="dxa"/>
            <w:tcBorders>
              <w:top w:val="single" w:sz="2" w:space="0" w:color="auto"/>
              <w:left w:val="nil"/>
              <w:bottom w:val="single" w:sz="2" w:space="0" w:color="auto"/>
              <w:right w:val="nil"/>
            </w:tcBorders>
            <w:hideMark/>
          </w:tcPr>
          <w:p w14:paraId="2086E7BA" w14:textId="77777777" w:rsidR="00802D3E" w:rsidRDefault="00802D3E">
            <w:pPr>
              <w:pStyle w:val="MeasureTableTextRightAligned"/>
            </w:pPr>
            <w:r>
              <w:t>200</w:t>
            </w:r>
          </w:p>
        </w:tc>
        <w:tc>
          <w:tcPr>
            <w:tcW w:w="967" w:type="dxa"/>
            <w:tcBorders>
              <w:top w:val="single" w:sz="2" w:space="0" w:color="auto"/>
              <w:left w:val="nil"/>
              <w:bottom w:val="single" w:sz="2" w:space="0" w:color="auto"/>
              <w:right w:val="nil"/>
            </w:tcBorders>
            <w:hideMark/>
          </w:tcPr>
          <w:p w14:paraId="2086E7BB" w14:textId="77777777" w:rsidR="00802D3E" w:rsidRDefault="00802D3E">
            <w:pPr>
              <w:pStyle w:val="MeasureTableTextRightAligned"/>
            </w:pPr>
            <w:r>
              <w:t>220</w:t>
            </w:r>
          </w:p>
        </w:tc>
        <w:tc>
          <w:tcPr>
            <w:tcW w:w="967" w:type="dxa"/>
            <w:tcBorders>
              <w:top w:val="single" w:sz="2" w:space="0" w:color="auto"/>
              <w:left w:val="nil"/>
              <w:bottom w:val="single" w:sz="2" w:space="0" w:color="auto"/>
              <w:right w:val="nil"/>
            </w:tcBorders>
            <w:vAlign w:val="bottom"/>
            <w:hideMark/>
          </w:tcPr>
          <w:p w14:paraId="2086E7BC" w14:textId="77777777" w:rsidR="00802D3E" w:rsidRDefault="00802D3E">
            <w:pPr>
              <w:pStyle w:val="MeasureTableTextRightAligned"/>
            </w:pPr>
            <w:r>
              <w:t>260</w:t>
            </w:r>
          </w:p>
        </w:tc>
        <w:tc>
          <w:tcPr>
            <w:tcW w:w="967" w:type="dxa"/>
            <w:tcBorders>
              <w:top w:val="single" w:sz="2" w:space="0" w:color="auto"/>
              <w:left w:val="nil"/>
              <w:bottom w:val="single" w:sz="2" w:space="0" w:color="auto"/>
              <w:right w:val="nil"/>
            </w:tcBorders>
            <w:vAlign w:val="bottom"/>
            <w:hideMark/>
          </w:tcPr>
          <w:p w14:paraId="2086E7BD" w14:textId="77777777" w:rsidR="00802D3E" w:rsidRDefault="00802D3E">
            <w:pPr>
              <w:pStyle w:val="MeasureTableTextRightAligned"/>
            </w:pPr>
            <w:r>
              <w:t>275</w:t>
            </w:r>
          </w:p>
        </w:tc>
        <w:tc>
          <w:tcPr>
            <w:tcW w:w="967" w:type="dxa"/>
            <w:tcBorders>
              <w:top w:val="single" w:sz="2" w:space="0" w:color="auto"/>
              <w:left w:val="nil"/>
              <w:bottom w:val="single" w:sz="2" w:space="0" w:color="auto"/>
              <w:right w:val="nil"/>
            </w:tcBorders>
            <w:vAlign w:val="bottom"/>
            <w:hideMark/>
          </w:tcPr>
          <w:p w14:paraId="2086E7BE" w14:textId="77777777" w:rsidR="00802D3E" w:rsidRDefault="00802D3E">
            <w:pPr>
              <w:pStyle w:val="MeasureTableTextRightAligned"/>
            </w:pPr>
            <w:r>
              <w:t>285</w:t>
            </w:r>
          </w:p>
        </w:tc>
        <w:tc>
          <w:tcPr>
            <w:tcW w:w="967" w:type="dxa"/>
            <w:gridSpan w:val="2"/>
            <w:tcBorders>
              <w:top w:val="single" w:sz="2" w:space="0" w:color="auto"/>
              <w:left w:val="nil"/>
              <w:bottom w:val="single" w:sz="2" w:space="0" w:color="auto"/>
              <w:right w:val="nil"/>
            </w:tcBorders>
            <w:vAlign w:val="bottom"/>
            <w:hideMark/>
          </w:tcPr>
          <w:p w14:paraId="2086E7BF" w14:textId="77777777" w:rsidR="00802D3E" w:rsidRDefault="00802D3E">
            <w:pPr>
              <w:pStyle w:val="MeasureTableTextRightAligned"/>
            </w:pPr>
            <w:r>
              <w:t>295</w:t>
            </w:r>
          </w:p>
        </w:tc>
        <w:tc>
          <w:tcPr>
            <w:tcW w:w="967" w:type="dxa"/>
            <w:gridSpan w:val="2"/>
            <w:tcBorders>
              <w:top w:val="single" w:sz="2" w:space="0" w:color="auto"/>
              <w:left w:val="nil"/>
              <w:bottom w:val="single" w:sz="2" w:space="0" w:color="auto"/>
              <w:right w:val="nil"/>
            </w:tcBorders>
            <w:vAlign w:val="bottom"/>
            <w:hideMark/>
          </w:tcPr>
          <w:p w14:paraId="2086E7C0" w14:textId="77777777" w:rsidR="00802D3E" w:rsidRDefault="00802D3E">
            <w:pPr>
              <w:pStyle w:val="MeasureTableTextRightAligned"/>
            </w:pPr>
            <w:r>
              <w:t>310</w:t>
            </w:r>
          </w:p>
        </w:tc>
        <w:tc>
          <w:tcPr>
            <w:tcW w:w="968" w:type="dxa"/>
            <w:tcBorders>
              <w:top w:val="single" w:sz="2" w:space="0" w:color="auto"/>
              <w:left w:val="nil"/>
              <w:bottom w:val="single" w:sz="2" w:space="0" w:color="auto"/>
              <w:right w:val="nil"/>
            </w:tcBorders>
            <w:vAlign w:val="bottom"/>
            <w:hideMark/>
          </w:tcPr>
          <w:p w14:paraId="2086E7C1" w14:textId="77777777" w:rsidR="00802D3E" w:rsidRDefault="00802D3E">
            <w:pPr>
              <w:pStyle w:val="MeasureTableTextRightAligned"/>
            </w:pPr>
            <w:r>
              <w:t>320</w:t>
            </w:r>
          </w:p>
        </w:tc>
      </w:tr>
      <w:tr w:rsidR="00802D3E" w14:paraId="2086E7C7" w14:textId="77777777" w:rsidTr="00802D3E">
        <w:trPr>
          <w:cantSplit/>
          <w:jc w:val="center"/>
        </w:trPr>
        <w:tc>
          <w:tcPr>
            <w:tcW w:w="1934" w:type="dxa"/>
            <w:gridSpan w:val="2"/>
            <w:tcBorders>
              <w:top w:val="single" w:sz="2" w:space="0" w:color="auto"/>
              <w:left w:val="nil"/>
              <w:bottom w:val="nil"/>
              <w:right w:val="nil"/>
            </w:tcBorders>
            <w:hideMark/>
          </w:tcPr>
          <w:p w14:paraId="2086E7C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7C4"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6E7C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7C6" w14:textId="77777777" w:rsidR="00802D3E" w:rsidRDefault="00802D3E">
            <w:pPr>
              <w:pStyle w:val="MeasureTableTextLeftAligned"/>
            </w:pPr>
            <w:r>
              <w:t>C4</w:t>
            </w:r>
          </w:p>
        </w:tc>
      </w:tr>
      <w:tr w:rsidR="00802D3E" w14:paraId="2086E7CC" w14:textId="77777777" w:rsidTr="00802D3E">
        <w:trPr>
          <w:cantSplit/>
          <w:jc w:val="center"/>
        </w:trPr>
        <w:tc>
          <w:tcPr>
            <w:tcW w:w="1934" w:type="dxa"/>
            <w:gridSpan w:val="2"/>
            <w:tcBorders>
              <w:top w:val="nil"/>
              <w:left w:val="nil"/>
              <w:bottom w:val="nil"/>
              <w:right w:val="nil"/>
            </w:tcBorders>
            <w:hideMark/>
          </w:tcPr>
          <w:p w14:paraId="2086E7C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7C9"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7CA" w14:textId="77777777" w:rsidR="00802D3E" w:rsidRDefault="00802D3E">
            <w:pPr>
              <w:pStyle w:val="MeasureTableTextItalic"/>
            </w:pPr>
          </w:p>
        </w:tc>
        <w:tc>
          <w:tcPr>
            <w:tcW w:w="1124" w:type="dxa"/>
            <w:gridSpan w:val="2"/>
            <w:tcBorders>
              <w:top w:val="nil"/>
              <w:left w:val="nil"/>
              <w:bottom w:val="nil"/>
              <w:right w:val="nil"/>
            </w:tcBorders>
          </w:tcPr>
          <w:p w14:paraId="2086E7CB" w14:textId="77777777" w:rsidR="00802D3E" w:rsidRDefault="00802D3E">
            <w:pPr>
              <w:pStyle w:val="MeasureTableTextLeftAligned"/>
            </w:pPr>
          </w:p>
        </w:tc>
      </w:tr>
      <w:tr w:rsidR="00802D3E" w14:paraId="2086E7D1" w14:textId="77777777" w:rsidTr="00802D3E">
        <w:trPr>
          <w:cantSplit/>
          <w:jc w:val="center"/>
        </w:trPr>
        <w:tc>
          <w:tcPr>
            <w:tcW w:w="1934" w:type="dxa"/>
            <w:gridSpan w:val="2"/>
            <w:tcBorders>
              <w:top w:val="nil"/>
              <w:left w:val="nil"/>
              <w:bottom w:val="nil"/>
              <w:right w:val="nil"/>
            </w:tcBorders>
            <w:hideMark/>
          </w:tcPr>
          <w:p w14:paraId="2086E7C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7CE"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7CF"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7D0" w14:textId="77777777" w:rsidR="00802D3E" w:rsidRDefault="00802D3E">
            <w:pPr>
              <w:pStyle w:val="MeasureTableTextLeftAligned"/>
            </w:pPr>
          </w:p>
        </w:tc>
      </w:tr>
      <w:tr w:rsidR="00802D3E" w14:paraId="2086E7D4" w14:textId="77777777" w:rsidTr="00802D3E">
        <w:trPr>
          <w:cantSplit/>
          <w:jc w:val="center"/>
        </w:trPr>
        <w:tc>
          <w:tcPr>
            <w:tcW w:w="1934" w:type="dxa"/>
            <w:gridSpan w:val="2"/>
            <w:tcBorders>
              <w:top w:val="nil"/>
              <w:left w:val="nil"/>
              <w:bottom w:val="single" w:sz="2" w:space="0" w:color="auto"/>
              <w:right w:val="nil"/>
            </w:tcBorders>
            <w:hideMark/>
          </w:tcPr>
          <w:p w14:paraId="2086E7D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7D3" w14:textId="77777777" w:rsidR="00802D3E" w:rsidRDefault="00802D3E" w:rsidP="00E119BC">
            <w:pPr>
              <w:widowControl w:val="0"/>
              <w:autoSpaceDE w:val="0"/>
              <w:autoSpaceDN w:val="0"/>
              <w:adjustRightInd w:val="0"/>
              <w:spacing w:after="0" w:line="240" w:lineRule="auto"/>
              <w:jc w:val="left"/>
            </w:pPr>
            <w:r>
              <w:rPr>
                <w:rFonts w:ascii="Arial" w:hAnsi="Arial" w:cs="Arial"/>
                <w:color w:val="000000"/>
                <w:sz w:val="16"/>
                <w:szCs w:val="16"/>
              </w:rPr>
              <w:t>Subdivisions 83-A and 83-B of the</w:t>
            </w:r>
            <w:r>
              <w:rPr>
                <w:rFonts w:ascii="Arial" w:hAnsi="Arial" w:cs="Arial"/>
                <w:i/>
                <w:iCs/>
                <w:color w:val="000000"/>
                <w:sz w:val="16"/>
                <w:szCs w:val="16"/>
              </w:rPr>
              <w:t xml:space="preserve"> Income Tax Assessment Act 1997</w:t>
            </w:r>
          </w:p>
        </w:tc>
      </w:tr>
    </w:tbl>
    <w:p w14:paraId="2086E7D5" w14:textId="77777777" w:rsidR="00802D3E" w:rsidRDefault="00802D3E" w:rsidP="0098392C">
      <w:pPr>
        <w:pStyle w:val="SingleParagraph"/>
      </w:pPr>
    </w:p>
    <w:p w14:paraId="2086E7D6" w14:textId="77777777" w:rsidR="00802D3E" w:rsidRDefault="00802D3E" w:rsidP="00802D3E">
      <w:r>
        <w:t>A maximum tax rate of 30 per cent plus the Medicare levy applies to lump sum payments in lieu of unused long service or annual leave</w:t>
      </w:r>
      <w:r>
        <w:fldChar w:fldCharType="begin"/>
      </w:r>
      <w:r>
        <w:instrText xml:space="preserve"> XE "Unused long service or annual leave" </w:instrText>
      </w:r>
      <w:r>
        <w:fldChar w:fldCharType="end"/>
      </w:r>
      <w:r>
        <w:t xml:space="preserve"> which accrued before 18 August 1993, or which are made in circumstances of bona fide redundancy, invalidity or under an early retirement scheme. </w:t>
      </w:r>
    </w:p>
    <w:p w14:paraId="2086E7D7" w14:textId="77777777" w:rsidR="00802D3E" w:rsidRDefault="00802D3E" w:rsidP="00802D3E">
      <w:pPr>
        <w:pStyle w:val="TESHeading5"/>
        <w:ind w:left="0" w:firstLine="0"/>
      </w:pPr>
      <w:r>
        <w:t>A24</w:t>
      </w:r>
      <w:r>
        <w:tab/>
        <w:t>Concessional taxation of non-superannuation termination benefits</w:t>
      </w:r>
    </w:p>
    <w:p w14:paraId="2086E7D8"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7E1" w14:textId="77777777" w:rsidTr="00802D3E">
        <w:trPr>
          <w:cantSplit/>
          <w:jc w:val="center"/>
        </w:trPr>
        <w:tc>
          <w:tcPr>
            <w:tcW w:w="967" w:type="dxa"/>
            <w:tcBorders>
              <w:top w:val="single" w:sz="2" w:space="0" w:color="auto"/>
              <w:left w:val="nil"/>
              <w:bottom w:val="single" w:sz="2" w:space="0" w:color="auto"/>
              <w:right w:val="nil"/>
            </w:tcBorders>
            <w:hideMark/>
          </w:tcPr>
          <w:p w14:paraId="2086E7D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7D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7D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7D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7D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7D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7D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7E0" w14:textId="77777777" w:rsidR="00802D3E" w:rsidRDefault="00802D3E">
            <w:pPr>
              <w:pStyle w:val="MeasureTableTextRightAligned"/>
            </w:pPr>
            <w:r>
              <w:t>2019-20</w:t>
            </w:r>
          </w:p>
        </w:tc>
      </w:tr>
      <w:tr w:rsidR="00802D3E" w14:paraId="2086E7EA" w14:textId="77777777" w:rsidTr="00802D3E">
        <w:trPr>
          <w:cantSplit/>
          <w:jc w:val="center"/>
        </w:trPr>
        <w:tc>
          <w:tcPr>
            <w:tcW w:w="967" w:type="dxa"/>
            <w:tcBorders>
              <w:top w:val="single" w:sz="2" w:space="0" w:color="auto"/>
              <w:left w:val="nil"/>
              <w:bottom w:val="single" w:sz="2" w:space="0" w:color="auto"/>
              <w:right w:val="nil"/>
            </w:tcBorders>
            <w:hideMark/>
          </w:tcPr>
          <w:p w14:paraId="2086E7E2" w14:textId="77777777" w:rsidR="00802D3E" w:rsidRDefault="00802D3E">
            <w:pPr>
              <w:pStyle w:val="MeasureTableTextRightAligned"/>
            </w:pPr>
            <w:r>
              <w:t>2,450</w:t>
            </w:r>
          </w:p>
        </w:tc>
        <w:tc>
          <w:tcPr>
            <w:tcW w:w="967" w:type="dxa"/>
            <w:tcBorders>
              <w:top w:val="single" w:sz="2" w:space="0" w:color="auto"/>
              <w:left w:val="nil"/>
              <w:bottom w:val="single" w:sz="2" w:space="0" w:color="auto"/>
              <w:right w:val="nil"/>
            </w:tcBorders>
            <w:hideMark/>
          </w:tcPr>
          <w:p w14:paraId="2086E7E3" w14:textId="77777777" w:rsidR="00802D3E" w:rsidRDefault="00802D3E">
            <w:pPr>
              <w:pStyle w:val="MeasureTableTextRightAligned"/>
            </w:pPr>
            <w:r>
              <w:t>2,550</w:t>
            </w:r>
          </w:p>
        </w:tc>
        <w:tc>
          <w:tcPr>
            <w:tcW w:w="967" w:type="dxa"/>
            <w:tcBorders>
              <w:top w:val="single" w:sz="2" w:space="0" w:color="auto"/>
              <w:left w:val="nil"/>
              <w:bottom w:val="single" w:sz="2" w:space="0" w:color="auto"/>
              <w:right w:val="nil"/>
            </w:tcBorders>
            <w:vAlign w:val="bottom"/>
            <w:hideMark/>
          </w:tcPr>
          <w:p w14:paraId="2086E7E4" w14:textId="77777777" w:rsidR="00802D3E" w:rsidRDefault="00802D3E">
            <w:pPr>
              <w:pStyle w:val="MeasureTableTextRightAligned"/>
            </w:pPr>
            <w:r>
              <w:t>2,800</w:t>
            </w:r>
          </w:p>
        </w:tc>
        <w:tc>
          <w:tcPr>
            <w:tcW w:w="967" w:type="dxa"/>
            <w:tcBorders>
              <w:top w:val="single" w:sz="2" w:space="0" w:color="auto"/>
              <w:left w:val="nil"/>
              <w:bottom w:val="single" w:sz="2" w:space="0" w:color="auto"/>
              <w:right w:val="nil"/>
            </w:tcBorders>
            <w:vAlign w:val="bottom"/>
            <w:hideMark/>
          </w:tcPr>
          <w:p w14:paraId="2086E7E5" w14:textId="77777777" w:rsidR="00802D3E" w:rsidRDefault="00802D3E">
            <w:pPr>
              <w:pStyle w:val="MeasureTableTextRightAligned"/>
            </w:pPr>
            <w:r>
              <w:t>2,750</w:t>
            </w:r>
          </w:p>
        </w:tc>
        <w:tc>
          <w:tcPr>
            <w:tcW w:w="967" w:type="dxa"/>
            <w:tcBorders>
              <w:top w:val="single" w:sz="2" w:space="0" w:color="auto"/>
              <w:left w:val="nil"/>
              <w:bottom w:val="single" w:sz="2" w:space="0" w:color="auto"/>
              <w:right w:val="nil"/>
            </w:tcBorders>
            <w:vAlign w:val="bottom"/>
            <w:hideMark/>
          </w:tcPr>
          <w:p w14:paraId="2086E7E6" w14:textId="77777777" w:rsidR="00802D3E" w:rsidRDefault="00802D3E">
            <w:pPr>
              <w:pStyle w:val="MeasureTableTextRightAligned"/>
            </w:pPr>
            <w:r>
              <w:t>2,600</w:t>
            </w:r>
          </w:p>
        </w:tc>
        <w:tc>
          <w:tcPr>
            <w:tcW w:w="967" w:type="dxa"/>
            <w:gridSpan w:val="2"/>
            <w:tcBorders>
              <w:top w:val="single" w:sz="2" w:space="0" w:color="auto"/>
              <w:left w:val="nil"/>
              <w:bottom w:val="single" w:sz="2" w:space="0" w:color="auto"/>
              <w:right w:val="nil"/>
            </w:tcBorders>
            <w:vAlign w:val="bottom"/>
            <w:hideMark/>
          </w:tcPr>
          <w:p w14:paraId="2086E7E7" w14:textId="77777777" w:rsidR="00802D3E" w:rsidRDefault="00802D3E">
            <w:pPr>
              <w:pStyle w:val="MeasureTableTextRightAligned"/>
            </w:pPr>
            <w:r>
              <w:t>2,500</w:t>
            </w:r>
          </w:p>
        </w:tc>
        <w:tc>
          <w:tcPr>
            <w:tcW w:w="967" w:type="dxa"/>
            <w:gridSpan w:val="2"/>
            <w:tcBorders>
              <w:top w:val="single" w:sz="2" w:space="0" w:color="auto"/>
              <w:left w:val="nil"/>
              <w:bottom w:val="single" w:sz="2" w:space="0" w:color="auto"/>
              <w:right w:val="nil"/>
            </w:tcBorders>
            <w:vAlign w:val="bottom"/>
            <w:hideMark/>
          </w:tcPr>
          <w:p w14:paraId="2086E7E8" w14:textId="77777777" w:rsidR="00802D3E" w:rsidRDefault="00802D3E">
            <w:pPr>
              <w:pStyle w:val="MeasureTableTextRightAligned"/>
            </w:pPr>
            <w:r>
              <w:t>2,400</w:t>
            </w:r>
          </w:p>
        </w:tc>
        <w:tc>
          <w:tcPr>
            <w:tcW w:w="968" w:type="dxa"/>
            <w:tcBorders>
              <w:top w:val="single" w:sz="2" w:space="0" w:color="auto"/>
              <w:left w:val="nil"/>
              <w:bottom w:val="single" w:sz="2" w:space="0" w:color="auto"/>
              <w:right w:val="nil"/>
            </w:tcBorders>
            <w:vAlign w:val="bottom"/>
            <w:hideMark/>
          </w:tcPr>
          <w:p w14:paraId="2086E7E9" w14:textId="77777777" w:rsidR="00802D3E" w:rsidRDefault="00802D3E">
            <w:pPr>
              <w:pStyle w:val="MeasureTableTextRightAligned"/>
            </w:pPr>
            <w:r>
              <w:t>2,300</w:t>
            </w:r>
          </w:p>
        </w:tc>
      </w:tr>
      <w:tr w:rsidR="00802D3E" w14:paraId="2086E7EF" w14:textId="77777777" w:rsidTr="00802D3E">
        <w:trPr>
          <w:cantSplit/>
          <w:jc w:val="center"/>
        </w:trPr>
        <w:tc>
          <w:tcPr>
            <w:tcW w:w="1934" w:type="dxa"/>
            <w:gridSpan w:val="2"/>
            <w:tcBorders>
              <w:top w:val="single" w:sz="2" w:space="0" w:color="auto"/>
              <w:left w:val="nil"/>
              <w:bottom w:val="nil"/>
              <w:right w:val="nil"/>
            </w:tcBorders>
            <w:hideMark/>
          </w:tcPr>
          <w:p w14:paraId="2086E7E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7EC"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6E7E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7EE" w14:textId="77777777" w:rsidR="00802D3E" w:rsidRDefault="00802D3E">
            <w:pPr>
              <w:pStyle w:val="MeasureTableTextLeftAligned"/>
            </w:pPr>
            <w:r>
              <w:t>C5</w:t>
            </w:r>
          </w:p>
        </w:tc>
      </w:tr>
      <w:tr w:rsidR="00802D3E" w14:paraId="2086E7F4" w14:textId="77777777" w:rsidTr="00802D3E">
        <w:trPr>
          <w:cantSplit/>
          <w:jc w:val="center"/>
        </w:trPr>
        <w:tc>
          <w:tcPr>
            <w:tcW w:w="1934" w:type="dxa"/>
            <w:gridSpan w:val="2"/>
            <w:tcBorders>
              <w:top w:val="nil"/>
              <w:left w:val="nil"/>
              <w:bottom w:val="nil"/>
              <w:right w:val="nil"/>
            </w:tcBorders>
            <w:hideMark/>
          </w:tcPr>
          <w:p w14:paraId="2086E7F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7F1" w14:textId="77777777" w:rsidR="00802D3E" w:rsidRDefault="00802D3E">
            <w:pPr>
              <w:pStyle w:val="MeasureTableTextLeftAligned"/>
            </w:pPr>
            <w:r>
              <w:t>Low</w:t>
            </w:r>
          </w:p>
        </w:tc>
        <w:tc>
          <w:tcPr>
            <w:tcW w:w="1500" w:type="dxa"/>
            <w:gridSpan w:val="2"/>
            <w:tcBorders>
              <w:top w:val="nil"/>
              <w:left w:val="nil"/>
              <w:bottom w:val="nil"/>
              <w:right w:val="nil"/>
            </w:tcBorders>
          </w:tcPr>
          <w:p w14:paraId="2086E7F2" w14:textId="77777777" w:rsidR="00802D3E" w:rsidRDefault="00802D3E">
            <w:pPr>
              <w:pStyle w:val="MeasureTableTextItalic"/>
            </w:pPr>
          </w:p>
        </w:tc>
        <w:tc>
          <w:tcPr>
            <w:tcW w:w="1124" w:type="dxa"/>
            <w:gridSpan w:val="2"/>
            <w:tcBorders>
              <w:top w:val="nil"/>
              <w:left w:val="nil"/>
              <w:bottom w:val="nil"/>
              <w:right w:val="nil"/>
            </w:tcBorders>
          </w:tcPr>
          <w:p w14:paraId="2086E7F3" w14:textId="77777777" w:rsidR="00802D3E" w:rsidRDefault="00802D3E">
            <w:pPr>
              <w:pStyle w:val="MeasureTableTextLeftAligned"/>
            </w:pPr>
          </w:p>
        </w:tc>
      </w:tr>
      <w:tr w:rsidR="00802D3E" w14:paraId="2086E7F9" w14:textId="77777777" w:rsidTr="00802D3E">
        <w:trPr>
          <w:cantSplit/>
          <w:jc w:val="center"/>
        </w:trPr>
        <w:tc>
          <w:tcPr>
            <w:tcW w:w="1934" w:type="dxa"/>
            <w:gridSpan w:val="2"/>
            <w:tcBorders>
              <w:top w:val="nil"/>
              <w:left w:val="nil"/>
              <w:bottom w:val="nil"/>
              <w:right w:val="nil"/>
            </w:tcBorders>
            <w:hideMark/>
          </w:tcPr>
          <w:p w14:paraId="2086E7F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7F6"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7F7"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7F8" w14:textId="77777777" w:rsidR="00802D3E" w:rsidRDefault="00802D3E">
            <w:pPr>
              <w:pStyle w:val="MeasureTableTextLeftAligned"/>
            </w:pPr>
          </w:p>
        </w:tc>
      </w:tr>
      <w:tr w:rsidR="00802D3E" w14:paraId="2086E7FD" w14:textId="77777777" w:rsidTr="00802D3E">
        <w:trPr>
          <w:cantSplit/>
          <w:jc w:val="center"/>
        </w:trPr>
        <w:tc>
          <w:tcPr>
            <w:tcW w:w="1934" w:type="dxa"/>
            <w:gridSpan w:val="2"/>
            <w:tcBorders>
              <w:top w:val="nil"/>
              <w:left w:val="nil"/>
              <w:bottom w:val="single" w:sz="2" w:space="0" w:color="auto"/>
              <w:right w:val="nil"/>
            </w:tcBorders>
            <w:hideMark/>
          </w:tcPr>
          <w:p w14:paraId="2086E7F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7FB" w14:textId="77777777" w:rsidR="00802D3E" w:rsidRPr="00E119BC" w:rsidRDefault="00802D3E" w:rsidP="00E119BC">
            <w:pPr>
              <w:widowControl w:val="0"/>
              <w:autoSpaceDE w:val="0"/>
              <w:autoSpaceDN w:val="0"/>
              <w:adjustRightInd w:val="0"/>
              <w:spacing w:after="0" w:line="240" w:lineRule="auto"/>
              <w:jc w:val="left"/>
              <w:rPr>
                <w:rFonts w:ascii="Arial" w:hAnsi="Arial" w:cs="Arial"/>
                <w:i/>
                <w:iCs/>
                <w:color w:val="000000"/>
                <w:sz w:val="16"/>
                <w:szCs w:val="16"/>
              </w:rPr>
            </w:pPr>
            <w:r w:rsidRPr="00E119BC">
              <w:rPr>
                <w:rFonts w:ascii="Arial" w:hAnsi="Arial" w:cs="Arial"/>
                <w:sz w:val="16"/>
                <w:szCs w:val="16"/>
              </w:rPr>
              <w:t xml:space="preserve">Division 82 of the </w:t>
            </w:r>
            <w:r w:rsidRPr="00E119BC">
              <w:rPr>
                <w:rFonts w:ascii="Arial" w:hAnsi="Arial" w:cs="Arial"/>
                <w:i/>
                <w:iCs/>
                <w:color w:val="000000"/>
                <w:sz w:val="16"/>
                <w:szCs w:val="16"/>
              </w:rPr>
              <w:t>Income Tax Assessment Act 1997</w:t>
            </w:r>
            <w:r w:rsidRPr="00E119BC">
              <w:rPr>
                <w:rFonts w:ascii="Arial" w:hAnsi="Arial" w:cs="Arial"/>
                <w:i/>
                <w:iCs/>
                <w:color w:val="000000"/>
                <w:sz w:val="16"/>
                <w:szCs w:val="16"/>
              </w:rPr>
              <w:br/>
            </w:r>
            <w:r w:rsidRPr="00E119BC">
              <w:rPr>
                <w:rFonts w:ascii="Arial" w:hAnsi="Arial" w:cs="Arial"/>
                <w:sz w:val="16"/>
                <w:szCs w:val="16"/>
              </w:rPr>
              <w:t xml:space="preserve">Division 82 of the </w:t>
            </w:r>
            <w:r w:rsidRPr="00E119BC">
              <w:rPr>
                <w:rFonts w:ascii="Arial" w:hAnsi="Arial" w:cs="Arial"/>
                <w:i/>
                <w:iCs/>
                <w:color w:val="000000"/>
                <w:sz w:val="16"/>
                <w:szCs w:val="16"/>
              </w:rPr>
              <w:t>Income Tax (Transitional Provisions) Act 1997</w:t>
            </w:r>
          </w:p>
          <w:p w14:paraId="2086E7FC" w14:textId="77777777" w:rsidR="00802D3E" w:rsidRDefault="00802D3E" w:rsidP="00E119BC">
            <w:pPr>
              <w:widowControl w:val="0"/>
              <w:autoSpaceDE w:val="0"/>
              <w:autoSpaceDN w:val="0"/>
              <w:adjustRightInd w:val="0"/>
              <w:spacing w:after="0" w:line="240" w:lineRule="auto"/>
              <w:jc w:val="left"/>
            </w:pPr>
            <w:r w:rsidRPr="00E119BC">
              <w:rPr>
                <w:rFonts w:ascii="Arial" w:hAnsi="Arial" w:cs="Arial"/>
                <w:color w:val="000000"/>
                <w:sz w:val="16"/>
                <w:szCs w:val="16"/>
              </w:rPr>
              <w:t xml:space="preserve">Subdivision 83-C of the </w:t>
            </w:r>
            <w:r w:rsidRPr="00E119BC">
              <w:rPr>
                <w:rFonts w:ascii="Arial" w:hAnsi="Arial" w:cs="Arial"/>
                <w:i/>
                <w:iCs/>
                <w:color w:val="000000"/>
                <w:sz w:val="16"/>
                <w:szCs w:val="16"/>
              </w:rPr>
              <w:t>Income Tax Assessment Act</w:t>
            </w:r>
            <w:r w:rsidRPr="00E119BC">
              <w:rPr>
                <w:rFonts w:ascii="Arial" w:hAnsi="Arial" w:cs="Arial"/>
                <w:color w:val="000000"/>
                <w:sz w:val="16"/>
                <w:szCs w:val="16"/>
              </w:rPr>
              <w:t xml:space="preserve"> </w:t>
            </w:r>
            <w:r w:rsidRPr="000D10E0">
              <w:rPr>
                <w:rFonts w:ascii="Arial" w:hAnsi="Arial" w:cs="Arial"/>
                <w:i/>
                <w:color w:val="000000"/>
                <w:sz w:val="16"/>
                <w:szCs w:val="16"/>
              </w:rPr>
              <w:t>1997</w:t>
            </w:r>
          </w:p>
        </w:tc>
      </w:tr>
    </w:tbl>
    <w:p w14:paraId="2086E7FE" w14:textId="77777777" w:rsidR="00802D3E" w:rsidRDefault="00802D3E" w:rsidP="0098392C">
      <w:pPr>
        <w:pStyle w:val="SingleParagraph"/>
      </w:pPr>
    </w:p>
    <w:p w14:paraId="2086E7FF" w14:textId="77777777" w:rsidR="00802D3E" w:rsidRDefault="00802D3E" w:rsidP="00802D3E">
      <w:r>
        <w:t>Non</w:t>
      </w:r>
      <w:r>
        <w:noBreakHyphen/>
        <w:t xml:space="preserve">superannuation termination payments, known as employment termination payments (ETPs), are taxed differently to lump sums paid from untaxed superannuation funds. Genuine redundancy and early retirement scheme payments made to people under 65 years of age are also tax free up to a limit, and amounts in excess of this limit are taxed as an ETP. </w:t>
      </w:r>
      <w:r>
        <w:fldChar w:fldCharType="begin"/>
      </w:r>
      <w:r>
        <w:instrText xml:space="preserve"> XE "Non</w:instrText>
      </w:r>
      <w:r>
        <w:noBreakHyphen/>
        <w:instrText xml:space="preserve">superannuation termination payments" </w:instrText>
      </w:r>
      <w:r>
        <w:fldChar w:fldCharType="end"/>
      </w:r>
      <w:r>
        <w:fldChar w:fldCharType="begin"/>
      </w:r>
      <w:r>
        <w:instrText xml:space="preserve"> XE "Employment termination payments" </w:instrText>
      </w:r>
      <w:r>
        <w:fldChar w:fldCharType="end"/>
      </w:r>
      <w:r>
        <w:t xml:space="preserve"> </w:t>
      </w:r>
    </w:p>
    <w:p w14:paraId="2086E800" w14:textId="77777777" w:rsidR="00802D3E" w:rsidRDefault="00802D3E" w:rsidP="00802D3E">
      <w:pPr>
        <w:pStyle w:val="TESHeading5"/>
        <w:ind w:left="0" w:firstLine="0"/>
      </w:pPr>
      <w:r>
        <w:t>A25</w:t>
      </w:r>
      <w:r>
        <w:tab/>
        <w:t>Concessional taxation of unused long service leave accumulated prior to 16 August 1978</w:t>
      </w:r>
    </w:p>
    <w:p w14:paraId="2086E801"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80A" w14:textId="77777777" w:rsidTr="00802D3E">
        <w:trPr>
          <w:cantSplit/>
          <w:jc w:val="center"/>
        </w:trPr>
        <w:tc>
          <w:tcPr>
            <w:tcW w:w="967" w:type="dxa"/>
            <w:tcBorders>
              <w:top w:val="single" w:sz="2" w:space="0" w:color="auto"/>
              <w:left w:val="nil"/>
              <w:bottom w:val="single" w:sz="2" w:space="0" w:color="auto"/>
              <w:right w:val="nil"/>
            </w:tcBorders>
            <w:hideMark/>
          </w:tcPr>
          <w:p w14:paraId="2086E80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80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80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80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80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80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80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809" w14:textId="77777777" w:rsidR="00802D3E" w:rsidRDefault="00802D3E">
            <w:pPr>
              <w:pStyle w:val="MeasureTableTextRightAligned"/>
            </w:pPr>
            <w:r>
              <w:t>2019-20</w:t>
            </w:r>
          </w:p>
        </w:tc>
      </w:tr>
      <w:tr w:rsidR="00802D3E" w14:paraId="2086E813" w14:textId="77777777" w:rsidTr="00802D3E">
        <w:trPr>
          <w:cantSplit/>
          <w:jc w:val="center"/>
        </w:trPr>
        <w:tc>
          <w:tcPr>
            <w:tcW w:w="967" w:type="dxa"/>
            <w:tcBorders>
              <w:top w:val="single" w:sz="2" w:space="0" w:color="auto"/>
              <w:left w:val="nil"/>
              <w:bottom w:val="single" w:sz="2" w:space="0" w:color="auto"/>
              <w:right w:val="nil"/>
            </w:tcBorders>
            <w:hideMark/>
          </w:tcPr>
          <w:p w14:paraId="2086E80B" w14:textId="77777777" w:rsidR="00802D3E" w:rsidRDefault="00802D3E">
            <w:pPr>
              <w:pStyle w:val="MeasureTableTextRightAligned"/>
            </w:pPr>
            <w:r>
              <w:t>60</w:t>
            </w:r>
          </w:p>
        </w:tc>
        <w:tc>
          <w:tcPr>
            <w:tcW w:w="967" w:type="dxa"/>
            <w:tcBorders>
              <w:top w:val="single" w:sz="2" w:space="0" w:color="auto"/>
              <w:left w:val="nil"/>
              <w:bottom w:val="single" w:sz="2" w:space="0" w:color="auto"/>
              <w:right w:val="nil"/>
            </w:tcBorders>
            <w:hideMark/>
          </w:tcPr>
          <w:p w14:paraId="2086E80C"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6E80D" w14:textId="77777777" w:rsidR="00802D3E" w:rsidRDefault="00802D3E">
            <w:pPr>
              <w:pStyle w:val="MeasureTableTextRightAligned"/>
            </w:pPr>
            <w:r>
              <w:t>60</w:t>
            </w:r>
          </w:p>
        </w:tc>
        <w:tc>
          <w:tcPr>
            <w:tcW w:w="967" w:type="dxa"/>
            <w:tcBorders>
              <w:top w:val="single" w:sz="2" w:space="0" w:color="auto"/>
              <w:left w:val="nil"/>
              <w:bottom w:val="single" w:sz="2" w:space="0" w:color="auto"/>
              <w:right w:val="nil"/>
            </w:tcBorders>
            <w:vAlign w:val="bottom"/>
            <w:hideMark/>
          </w:tcPr>
          <w:p w14:paraId="2086E80E"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6E80F" w14:textId="77777777" w:rsidR="00802D3E" w:rsidRDefault="00802D3E">
            <w:pPr>
              <w:pStyle w:val="MeasureTableTextRightAligned"/>
            </w:pPr>
            <w:r>
              <w:t>55</w:t>
            </w:r>
          </w:p>
        </w:tc>
        <w:tc>
          <w:tcPr>
            <w:tcW w:w="967" w:type="dxa"/>
            <w:gridSpan w:val="2"/>
            <w:tcBorders>
              <w:top w:val="single" w:sz="2" w:space="0" w:color="auto"/>
              <w:left w:val="nil"/>
              <w:bottom w:val="single" w:sz="2" w:space="0" w:color="auto"/>
              <w:right w:val="nil"/>
            </w:tcBorders>
            <w:vAlign w:val="bottom"/>
            <w:hideMark/>
          </w:tcPr>
          <w:p w14:paraId="2086E810" w14:textId="77777777" w:rsidR="00802D3E" w:rsidRDefault="00802D3E">
            <w:pPr>
              <w:pStyle w:val="MeasureTableTextRightAligned"/>
            </w:pPr>
            <w:r>
              <w:t>55</w:t>
            </w:r>
          </w:p>
        </w:tc>
        <w:tc>
          <w:tcPr>
            <w:tcW w:w="967" w:type="dxa"/>
            <w:gridSpan w:val="2"/>
            <w:tcBorders>
              <w:top w:val="single" w:sz="2" w:space="0" w:color="auto"/>
              <w:left w:val="nil"/>
              <w:bottom w:val="single" w:sz="2" w:space="0" w:color="auto"/>
              <w:right w:val="nil"/>
            </w:tcBorders>
            <w:vAlign w:val="bottom"/>
            <w:hideMark/>
          </w:tcPr>
          <w:p w14:paraId="2086E811" w14:textId="77777777" w:rsidR="00802D3E" w:rsidRDefault="00802D3E">
            <w:pPr>
              <w:pStyle w:val="MeasureTableTextRightAligned"/>
            </w:pPr>
            <w:r>
              <w:t>50</w:t>
            </w:r>
          </w:p>
        </w:tc>
        <w:tc>
          <w:tcPr>
            <w:tcW w:w="968" w:type="dxa"/>
            <w:tcBorders>
              <w:top w:val="single" w:sz="2" w:space="0" w:color="auto"/>
              <w:left w:val="nil"/>
              <w:bottom w:val="single" w:sz="2" w:space="0" w:color="auto"/>
              <w:right w:val="nil"/>
            </w:tcBorders>
            <w:vAlign w:val="bottom"/>
            <w:hideMark/>
          </w:tcPr>
          <w:p w14:paraId="2086E812" w14:textId="77777777" w:rsidR="00802D3E" w:rsidRDefault="00802D3E">
            <w:pPr>
              <w:pStyle w:val="MeasureTableTextRightAligned"/>
            </w:pPr>
            <w:r>
              <w:t>50</w:t>
            </w:r>
          </w:p>
        </w:tc>
      </w:tr>
      <w:tr w:rsidR="00802D3E" w14:paraId="2086E818" w14:textId="77777777" w:rsidTr="00802D3E">
        <w:trPr>
          <w:cantSplit/>
          <w:jc w:val="center"/>
        </w:trPr>
        <w:tc>
          <w:tcPr>
            <w:tcW w:w="1934" w:type="dxa"/>
            <w:gridSpan w:val="2"/>
            <w:tcBorders>
              <w:top w:val="single" w:sz="2" w:space="0" w:color="auto"/>
              <w:left w:val="nil"/>
              <w:bottom w:val="nil"/>
              <w:right w:val="nil"/>
            </w:tcBorders>
            <w:hideMark/>
          </w:tcPr>
          <w:p w14:paraId="2086E81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815"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6E81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817" w14:textId="77777777" w:rsidR="00802D3E" w:rsidRDefault="00802D3E">
            <w:pPr>
              <w:pStyle w:val="MeasureTableTextLeftAligned"/>
            </w:pPr>
            <w:r>
              <w:t>C8</w:t>
            </w:r>
          </w:p>
        </w:tc>
      </w:tr>
      <w:tr w:rsidR="00802D3E" w14:paraId="2086E81D" w14:textId="77777777" w:rsidTr="00802D3E">
        <w:trPr>
          <w:cantSplit/>
          <w:jc w:val="center"/>
        </w:trPr>
        <w:tc>
          <w:tcPr>
            <w:tcW w:w="1934" w:type="dxa"/>
            <w:gridSpan w:val="2"/>
            <w:tcBorders>
              <w:top w:val="nil"/>
              <w:left w:val="nil"/>
              <w:bottom w:val="nil"/>
              <w:right w:val="nil"/>
            </w:tcBorders>
            <w:hideMark/>
          </w:tcPr>
          <w:p w14:paraId="2086E81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81A"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6E81B" w14:textId="77777777" w:rsidR="00802D3E" w:rsidRDefault="00802D3E">
            <w:pPr>
              <w:pStyle w:val="MeasureTableTextItalic"/>
            </w:pPr>
          </w:p>
        </w:tc>
        <w:tc>
          <w:tcPr>
            <w:tcW w:w="1124" w:type="dxa"/>
            <w:gridSpan w:val="2"/>
            <w:tcBorders>
              <w:top w:val="nil"/>
              <w:left w:val="nil"/>
              <w:bottom w:val="nil"/>
              <w:right w:val="nil"/>
            </w:tcBorders>
          </w:tcPr>
          <w:p w14:paraId="2086E81C" w14:textId="77777777" w:rsidR="00802D3E" w:rsidRDefault="00802D3E">
            <w:pPr>
              <w:pStyle w:val="MeasureTableTextLeftAligned"/>
            </w:pPr>
          </w:p>
        </w:tc>
      </w:tr>
      <w:tr w:rsidR="00802D3E" w14:paraId="2086E822" w14:textId="77777777" w:rsidTr="00802D3E">
        <w:trPr>
          <w:cantSplit/>
          <w:jc w:val="center"/>
        </w:trPr>
        <w:tc>
          <w:tcPr>
            <w:tcW w:w="1934" w:type="dxa"/>
            <w:gridSpan w:val="2"/>
            <w:tcBorders>
              <w:top w:val="nil"/>
              <w:left w:val="nil"/>
              <w:bottom w:val="nil"/>
              <w:right w:val="nil"/>
            </w:tcBorders>
            <w:hideMark/>
          </w:tcPr>
          <w:p w14:paraId="2086E81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81F"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820"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821" w14:textId="77777777" w:rsidR="00802D3E" w:rsidRDefault="00802D3E">
            <w:pPr>
              <w:pStyle w:val="MeasureTableTextLeftAligned"/>
            </w:pPr>
          </w:p>
        </w:tc>
      </w:tr>
      <w:tr w:rsidR="00802D3E" w14:paraId="2086E825" w14:textId="77777777" w:rsidTr="00802D3E">
        <w:trPr>
          <w:cantSplit/>
          <w:jc w:val="center"/>
        </w:trPr>
        <w:tc>
          <w:tcPr>
            <w:tcW w:w="1934" w:type="dxa"/>
            <w:gridSpan w:val="2"/>
            <w:tcBorders>
              <w:top w:val="nil"/>
              <w:left w:val="nil"/>
              <w:bottom w:val="single" w:sz="2" w:space="0" w:color="auto"/>
              <w:right w:val="nil"/>
            </w:tcBorders>
            <w:hideMark/>
          </w:tcPr>
          <w:p w14:paraId="2086E82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824" w14:textId="77777777" w:rsidR="00802D3E" w:rsidRDefault="00802D3E" w:rsidP="00E119BC">
            <w:pPr>
              <w:widowControl w:val="0"/>
              <w:autoSpaceDE w:val="0"/>
              <w:autoSpaceDN w:val="0"/>
              <w:adjustRightInd w:val="0"/>
              <w:spacing w:after="0" w:line="240" w:lineRule="auto"/>
              <w:jc w:val="left"/>
            </w:pPr>
            <w:r>
              <w:rPr>
                <w:rFonts w:ascii="Arial" w:hAnsi="Arial" w:cs="Arial"/>
                <w:color w:val="000000"/>
                <w:sz w:val="16"/>
                <w:szCs w:val="16"/>
              </w:rPr>
              <w:t xml:space="preserve">Subsection 83-80(1) of the </w:t>
            </w:r>
            <w:r>
              <w:rPr>
                <w:rFonts w:ascii="Arial" w:hAnsi="Arial" w:cs="Arial"/>
                <w:i/>
                <w:iCs/>
                <w:color w:val="000000"/>
                <w:sz w:val="16"/>
                <w:szCs w:val="16"/>
              </w:rPr>
              <w:t>Income Tax Assessment Act 1997</w:t>
            </w:r>
          </w:p>
        </w:tc>
      </w:tr>
    </w:tbl>
    <w:p w14:paraId="2086E826" w14:textId="77777777" w:rsidR="00802D3E" w:rsidRDefault="00802D3E" w:rsidP="0098392C">
      <w:pPr>
        <w:pStyle w:val="SingleParagraph"/>
      </w:pPr>
    </w:p>
    <w:p w14:paraId="2086E827" w14:textId="77777777" w:rsidR="00802D3E" w:rsidRDefault="00802D3E" w:rsidP="00802D3E">
      <w:r>
        <w:t>A reduced tax rate applies to lump sum payments for unused long service leave</w:t>
      </w:r>
      <w:r>
        <w:fldChar w:fldCharType="begin"/>
      </w:r>
      <w:r>
        <w:instrText xml:space="preserve"> XE "Unused long service or annual leave" </w:instrText>
      </w:r>
      <w:r>
        <w:fldChar w:fldCharType="end"/>
      </w:r>
      <w:r>
        <w:t xml:space="preserve"> which accrued prior to 16 August 1978. Five per cent of such payments is included in the taxpayer’s assessable income and is subject to tax at marginal rates. </w:t>
      </w:r>
    </w:p>
    <w:p w14:paraId="2086E828" w14:textId="77777777" w:rsidR="00802D3E" w:rsidRDefault="00802D3E" w:rsidP="00802D3E">
      <w:pPr>
        <w:pStyle w:val="TESHeading5"/>
        <w:ind w:left="0" w:firstLine="0"/>
      </w:pPr>
      <w:r>
        <w:lastRenderedPageBreak/>
        <w:t>A26</w:t>
      </w:r>
      <w:r>
        <w:tab/>
        <w:t>Exemption for National Disability Insurance Scheme amounts</w:t>
      </w:r>
    </w:p>
    <w:p w14:paraId="2086E829"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832" w14:textId="77777777" w:rsidTr="00802D3E">
        <w:trPr>
          <w:cantSplit/>
          <w:jc w:val="center"/>
        </w:trPr>
        <w:tc>
          <w:tcPr>
            <w:tcW w:w="967" w:type="dxa"/>
            <w:tcBorders>
              <w:top w:val="single" w:sz="2" w:space="0" w:color="auto"/>
              <w:left w:val="nil"/>
              <w:bottom w:val="single" w:sz="2" w:space="0" w:color="auto"/>
              <w:right w:val="nil"/>
            </w:tcBorders>
            <w:hideMark/>
          </w:tcPr>
          <w:p w14:paraId="2086E82A"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82B"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82C"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82D"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82E"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82F"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830"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831" w14:textId="77777777" w:rsidR="00802D3E" w:rsidRDefault="00802D3E">
            <w:pPr>
              <w:pStyle w:val="MeasureTableTextRightAligned"/>
            </w:pPr>
            <w:r>
              <w:t>2019-20</w:t>
            </w:r>
          </w:p>
        </w:tc>
      </w:tr>
      <w:tr w:rsidR="00802D3E" w14:paraId="2086E83B" w14:textId="77777777" w:rsidTr="00802D3E">
        <w:trPr>
          <w:cantSplit/>
          <w:jc w:val="center"/>
        </w:trPr>
        <w:tc>
          <w:tcPr>
            <w:tcW w:w="967" w:type="dxa"/>
            <w:tcBorders>
              <w:top w:val="single" w:sz="2" w:space="0" w:color="auto"/>
              <w:left w:val="nil"/>
              <w:bottom w:val="single" w:sz="2" w:space="0" w:color="auto"/>
              <w:right w:val="nil"/>
            </w:tcBorders>
            <w:hideMark/>
          </w:tcPr>
          <w:p w14:paraId="2086E83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83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835" w14:textId="77777777" w:rsidR="00802D3E" w:rsidRDefault="00802D3E">
            <w:pPr>
              <w:pStyle w:val="MeasureTableTextRightAligned"/>
            </w:pPr>
            <w:r>
              <w:t>20</w:t>
            </w:r>
          </w:p>
        </w:tc>
        <w:tc>
          <w:tcPr>
            <w:tcW w:w="967" w:type="dxa"/>
            <w:tcBorders>
              <w:top w:val="single" w:sz="2" w:space="0" w:color="auto"/>
              <w:left w:val="nil"/>
              <w:bottom w:val="single" w:sz="2" w:space="0" w:color="auto"/>
              <w:right w:val="nil"/>
            </w:tcBorders>
            <w:vAlign w:val="bottom"/>
            <w:hideMark/>
          </w:tcPr>
          <w:p w14:paraId="2086E836" w14:textId="77777777" w:rsidR="00802D3E" w:rsidRDefault="00802D3E">
            <w:pPr>
              <w:pStyle w:val="MeasureTableTextRightAligned"/>
            </w:pPr>
            <w:r>
              <w:t>40</w:t>
            </w:r>
          </w:p>
        </w:tc>
        <w:tc>
          <w:tcPr>
            <w:tcW w:w="967" w:type="dxa"/>
            <w:tcBorders>
              <w:top w:val="single" w:sz="2" w:space="0" w:color="auto"/>
              <w:left w:val="nil"/>
              <w:bottom w:val="single" w:sz="2" w:space="0" w:color="auto"/>
              <w:right w:val="nil"/>
            </w:tcBorders>
            <w:vAlign w:val="bottom"/>
            <w:hideMark/>
          </w:tcPr>
          <w:p w14:paraId="2086E837" w14:textId="77777777" w:rsidR="00802D3E" w:rsidRDefault="00802D3E">
            <w:pPr>
              <w:pStyle w:val="MeasureTableTextRightAligned"/>
            </w:pPr>
            <w:r>
              <w:t>270</w:t>
            </w:r>
          </w:p>
        </w:tc>
        <w:tc>
          <w:tcPr>
            <w:tcW w:w="967" w:type="dxa"/>
            <w:gridSpan w:val="2"/>
            <w:tcBorders>
              <w:top w:val="single" w:sz="2" w:space="0" w:color="auto"/>
              <w:left w:val="nil"/>
              <w:bottom w:val="single" w:sz="2" w:space="0" w:color="auto"/>
              <w:right w:val="nil"/>
            </w:tcBorders>
            <w:vAlign w:val="bottom"/>
            <w:hideMark/>
          </w:tcPr>
          <w:p w14:paraId="2086E838" w14:textId="77777777" w:rsidR="00802D3E" w:rsidRDefault="00802D3E">
            <w:pPr>
              <w:pStyle w:val="MeasureTableTextRightAligned"/>
            </w:pPr>
            <w:r>
              <w:t>810</w:t>
            </w:r>
          </w:p>
        </w:tc>
        <w:tc>
          <w:tcPr>
            <w:tcW w:w="967" w:type="dxa"/>
            <w:gridSpan w:val="2"/>
            <w:tcBorders>
              <w:top w:val="single" w:sz="2" w:space="0" w:color="auto"/>
              <w:left w:val="nil"/>
              <w:bottom w:val="single" w:sz="2" w:space="0" w:color="auto"/>
              <w:right w:val="nil"/>
            </w:tcBorders>
            <w:vAlign w:val="bottom"/>
            <w:hideMark/>
          </w:tcPr>
          <w:p w14:paraId="2086E839" w14:textId="77777777" w:rsidR="00802D3E" w:rsidRDefault="00802D3E">
            <w:pPr>
              <w:pStyle w:val="MeasureTableTextRightAligned"/>
            </w:pPr>
            <w:r>
              <w:t>1,590</w:t>
            </w:r>
          </w:p>
        </w:tc>
        <w:tc>
          <w:tcPr>
            <w:tcW w:w="968" w:type="dxa"/>
            <w:tcBorders>
              <w:top w:val="single" w:sz="2" w:space="0" w:color="auto"/>
              <w:left w:val="nil"/>
              <w:bottom w:val="single" w:sz="2" w:space="0" w:color="auto"/>
              <w:right w:val="nil"/>
            </w:tcBorders>
            <w:vAlign w:val="bottom"/>
            <w:hideMark/>
          </w:tcPr>
          <w:p w14:paraId="2086E83A" w14:textId="77777777" w:rsidR="00802D3E" w:rsidRDefault="00802D3E">
            <w:pPr>
              <w:pStyle w:val="MeasureTableTextRightAligned"/>
            </w:pPr>
            <w:r>
              <w:t>2,790</w:t>
            </w:r>
          </w:p>
        </w:tc>
      </w:tr>
      <w:tr w:rsidR="00802D3E" w14:paraId="2086E840" w14:textId="77777777" w:rsidTr="00802D3E">
        <w:trPr>
          <w:cantSplit/>
          <w:jc w:val="center"/>
        </w:trPr>
        <w:tc>
          <w:tcPr>
            <w:tcW w:w="1934" w:type="dxa"/>
            <w:gridSpan w:val="2"/>
            <w:tcBorders>
              <w:top w:val="single" w:sz="2" w:space="0" w:color="auto"/>
              <w:left w:val="nil"/>
              <w:bottom w:val="nil"/>
              <w:right w:val="nil"/>
            </w:tcBorders>
            <w:hideMark/>
          </w:tcPr>
          <w:p w14:paraId="2086E83C"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83D"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83E"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83F" w14:textId="77777777" w:rsidR="00802D3E" w:rsidRDefault="00802D3E">
            <w:pPr>
              <w:pStyle w:val="MeasureTableTextLeftAligned"/>
            </w:pPr>
            <w:r>
              <w:t>A23</w:t>
            </w:r>
          </w:p>
        </w:tc>
      </w:tr>
      <w:tr w:rsidR="00802D3E" w14:paraId="2086E845" w14:textId="77777777" w:rsidTr="00802D3E">
        <w:trPr>
          <w:cantSplit/>
          <w:jc w:val="center"/>
        </w:trPr>
        <w:tc>
          <w:tcPr>
            <w:tcW w:w="1934" w:type="dxa"/>
            <w:gridSpan w:val="2"/>
            <w:tcBorders>
              <w:top w:val="nil"/>
              <w:left w:val="nil"/>
              <w:bottom w:val="nil"/>
              <w:right w:val="nil"/>
            </w:tcBorders>
            <w:hideMark/>
          </w:tcPr>
          <w:p w14:paraId="2086E841"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842" w14:textId="77777777" w:rsidR="00802D3E" w:rsidRDefault="00802D3E">
            <w:pPr>
              <w:pStyle w:val="MeasureTableTextLeftAligned"/>
            </w:pPr>
            <w:r>
              <w:t>Very Low</w:t>
            </w:r>
          </w:p>
        </w:tc>
        <w:tc>
          <w:tcPr>
            <w:tcW w:w="1500" w:type="dxa"/>
            <w:gridSpan w:val="2"/>
            <w:tcBorders>
              <w:top w:val="nil"/>
              <w:left w:val="nil"/>
              <w:bottom w:val="nil"/>
              <w:right w:val="nil"/>
            </w:tcBorders>
          </w:tcPr>
          <w:p w14:paraId="2086E843" w14:textId="77777777" w:rsidR="00802D3E" w:rsidRDefault="00802D3E">
            <w:pPr>
              <w:pStyle w:val="MeasureTableTextItalic"/>
            </w:pPr>
          </w:p>
        </w:tc>
        <w:tc>
          <w:tcPr>
            <w:tcW w:w="1124" w:type="dxa"/>
            <w:gridSpan w:val="2"/>
            <w:tcBorders>
              <w:top w:val="nil"/>
              <w:left w:val="nil"/>
              <w:bottom w:val="nil"/>
              <w:right w:val="nil"/>
            </w:tcBorders>
          </w:tcPr>
          <w:p w14:paraId="2086E844" w14:textId="77777777" w:rsidR="00802D3E" w:rsidRDefault="00802D3E">
            <w:pPr>
              <w:pStyle w:val="MeasureTableTextLeftAligned"/>
            </w:pPr>
          </w:p>
        </w:tc>
      </w:tr>
      <w:tr w:rsidR="00802D3E" w14:paraId="2086E84A" w14:textId="77777777" w:rsidTr="00802D3E">
        <w:trPr>
          <w:cantSplit/>
          <w:jc w:val="center"/>
        </w:trPr>
        <w:tc>
          <w:tcPr>
            <w:tcW w:w="1934" w:type="dxa"/>
            <w:gridSpan w:val="2"/>
            <w:tcBorders>
              <w:top w:val="nil"/>
              <w:left w:val="nil"/>
              <w:bottom w:val="nil"/>
              <w:right w:val="nil"/>
            </w:tcBorders>
            <w:hideMark/>
          </w:tcPr>
          <w:p w14:paraId="2086E846"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847" w14:textId="77777777" w:rsidR="00802D3E" w:rsidRDefault="00802D3E" w:rsidP="00231210">
            <w:pPr>
              <w:pStyle w:val="MeasureTableTextLeftAligned"/>
            </w:pPr>
            <w:r>
              <w:t>1 Jul 2013</w:t>
            </w:r>
          </w:p>
        </w:tc>
        <w:tc>
          <w:tcPr>
            <w:tcW w:w="1500" w:type="dxa"/>
            <w:gridSpan w:val="2"/>
            <w:tcBorders>
              <w:top w:val="nil"/>
              <w:left w:val="nil"/>
              <w:bottom w:val="nil"/>
              <w:right w:val="nil"/>
            </w:tcBorders>
            <w:hideMark/>
          </w:tcPr>
          <w:p w14:paraId="2086E848"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849" w14:textId="77777777" w:rsidR="00802D3E" w:rsidRDefault="00802D3E">
            <w:pPr>
              <w:pStyle w:val="MeasureTableTextLeftAligned"/>
            </w:pPr>
          </w:p>
        </w:tc>
      </w:tr>
      <w:tr w:rsidR="00802D3E" w14:paraId="2086E84D" w14:textId="77777777" w:rsidTr="00802D3E">
        <w:trPr>
          <w:cantSplit/>
          <w:jc w:val="center"/>
        </w:trPr>
        <w:tc>
          <w:tcPr>
            <w:tcW w:w="1934" w:type="dxa"/>
            <w:gridSpan w:val="2"/>
            <w:tcBorders>
              <w:top w:val="nil"/>
              <w:left w:val="nil"/>
              <w:bottom w:val="single" w:sz="2" w:space="0" w:color="auto"/>
              <w:right w:val="nil"/>
            </w:tcBorders>
            <w:hideMark/>
          </w:tcPr>
          <w:p w14:paraId="2086E84B"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84C" w14:textId="77777777" w:rsidR="00802D3E" w:rsidRDefault="00802D3E" w:rsidP="00E119BC">
            <w:pPr>
              <w:widowControl w:val="0"/>
              <w:autoSpaceDE w:val="0"/>
              <w:autoSpaceDN w:val="0"/>
              <w:adjustRightInd w:val="0"/>
              <w:spacing w:after="0" w:line="240" w:lineRule="auto"/>
              <w:jc w:val="left"/>
            </w:pPr>
            <w:r>
              <w:rPr>
                <w:rFonts w:ascii="Arial" w:hAnsi="Arial" w:cs="Arial"/>
                <w:color w:val="000000"/>
                <w:sz w:val="16"/>
                <w:szCs w:val="16"/>
              </w:rPr>
              <w:t xml:space="preserve">Sections 26-97, 40-235, and 52-180 of the </w:t>
            </w:r>
            <w:r>
              <w:rPr>
                <w:rFonts w:ascii="Arial" w:hAnsi="Arial" w:cs="Arial"/>
                <w:i/>
                <w:iCs/>
                <w:color w:val="000000"/>
                <w:sz w:val="16"/>
                <w:szCs w:val="16"/>
              </w:rPr>
              <w:t xml:space="preserve">Income Tax Assessment Act 1997 </w:t>
            </w:r>
          </w:p>
        </w:tc>
      </w:tr>
    </w:tbl>
    <w:p w14:paraId="2086E84E" w14:textId="77777777" w:rsidR="00802D3E" w:rsidRDefault="00802D3E" w:rsidP="0098392C">
      <w:pPr>
        <w:pStyle w:val="SingleParagraph"/>
      </w:pPr>
    </w:p>
    <w:p w14:paraId="2086E84F" w14:textId="77777777" w:rsidR="00802D3E" w:rsidRDefault="00802D3E" w:rsidP="00802D3E">
      <w:r>
        <w:t xml:space="preserve">Payments and benefits provided under the National Disability Insurance Scheme (NDIS), whether directly or otherwise, to NDIS participants for approved reasonable and necessary supports are exempt from income tax. </w:t>
      </w:r>
      <w:r>
        <w:fldChar w:fldCharType="begin"/>
      </w:r>
      <w:r>
        <w:instrText xml:space="preserve"> XE "National Disability Insurance Scheme" </w:instrText>
      </w:r>
      <w:r>
        <w:fldChar w:fldCharType="end"/>
      </w:r>
    </w:p>
    <w:p w14:paraId="2086E850" w14:textId="77777777" w:rsidR="00802D3E" w:rsidRDefault="00802D3E" w:rsidP="00802D3E">
      <w:pPr>
        <w:pStyle w:val="TESHeading5"/>
        <w:ind w:left="0" w:firstLine="0"/>
      </w:pPr>
      <w:r>
        <w:t>A27</w:t>
      </w:r>
      <w:r>
        <w:tab/>
        <w:t>Exemption of Child Care Assistance payments</w:t>
      </w:r>
    </w:p>
    <w:p w14:paraId="2086E851"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85A" w14:textId="77777777" w:rsidTr="00802D3E">
        <w:trPr>
          <w:cantSplit/>
          <w:jc w:val="center"/>
        </w:trPr>
        <w:tc>
          <w:tcPr>
            <w:tcW w:w="967" w:type="dxa"/>
            <w:tcBorders>
              <w:top w:val="single" w:sz="2" w:space="0" w:color="auto"/>
              <w:left w:val="nil"/>
              <w:bottom w:val="single" w:sz="2" w:space="0" w:color="auto"/>
              <w:right w:val="nil"/>
            </w:tcBorders>
            <w:hideMark/>
          </w:tcPr>
          <w:p w14:paraId="2086E85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85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85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85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85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85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85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859" w14:textId="77777777" w:rsidR="00802D3E" w:rsidRDefault="00802D3E">
            <w:pPr>
              <w:pStyle w:val="MeasureTableTextRightAligned"/>
            </w:pPr>
            <w:r>
              <w:t>2019-20</w:t>
            </w:r>
          </w:p>
        </w:tc>
      </w:tr>
      <w:tr w:rsidR="00802D3E" w14:paraId="2086E863" w14:textId="77777777" w:rsidTr="00802D3E">
        <w:trPr>
          <w:cantSplit/>
          <w:jc w:val="center"/>
        </w:trPr>
        <w:tc>
          <w:tcPr>
            <w:tcW w:w="967" w:type="dxa"/>
            <w:tcBorders>
              <w:top w:val="single" w:sz="2" w:space="0" w:color="auto"/>
              <w:left w:val="nil"/>
              <w:bottom w:val="single" w:sz="2" w:space="0" w:color="auto"/>
              <w:right w:val="nil"/>
            </w:tcBorders>
            <w:hideMark/>
          </w:tcPr>
          <w:p w14:paraId="2086E85B" w14:textId="77777777" w:rsidR="00802D3E" w:rsidRDefault="00802D3E">
            <w:pPr>
              <w:pStyle w:val="MeasureTableTextRightAligned"/>
            </w:pPr>
            <w:r>
              <w:t>815</w:t>
            </w:r>
          </w:p>
        </w:tc>
        <w:tc>
          <w:tcPr>
            <w:tcW w:w="967" w:type="dxa"/>
            <w:tcBorders>
              <w:top w:val="single" w:sz="2" w:space="0" w:color="auto"/>
              <w:left w:val="nil"/>
              <w:bottom w:val="single" w:sz="2" w:space="0" w:color="auto"/>
              <w:right w:val="nil"/>
            </w:tcBorders>
            <w:hideMark/>
          </w:tcPr>
          <w:p w14:paraId="2086E85C" w14:textId="77777777" w:rsidR="00802D3E" w:rsidRDefault="00802D3E">
            <w:pPr>
              <w:pStyle w:val="MeasureTableTextRightAligned"/>
            </w:pPr>
            <w:r>
              <w:t>1,010</w:t>
            </w:r>
          </w:p>
        </w:tc>
        <w:tc>
          <w:tcPr>
            <w:tcW w:w="967" w:type="dxa"/>
            <w:tcBorders>
              <w:top w:val="single" w:sz="2" w:space="0" w:color="auto"/>
              <w:left w:val="nil"/>
              <w:bottom w:val="single" w:sz="2" w:space="0" w:color="auto"/>
              <w:right w:val="nil"/>
            </w:tcBorders>
            <w:vAlign w:val="bottom"/>
            <w:hideMark/>
          </w:tcPr>
          <w:p w14:paraId="2086E85D" w14:textId="77777777" w:rsidR="00802D3E" w:rsidRDefault="00802D3E">
            <w:pPr>
              <w:pStyle w:val="MeasureTableTextRightAligned"/>
            </w:pPr>
            <w:r>
              <w:t>1,245</w:t>
            </w:r>
          </w:p>
        </w:tc>
        <w:tc>
          <w:tcPr>
            <w:tcW w:w="967" w:type="dxa"/>
            <w:tcBorders>
              <w:top w:val="single" w:sz="2" w:space="0" w:color="auto"/>
              <w:left w:val="nil"/>
              <w:bottom w:val="single" w:sz="2" w:space="0" w:color="auto"/>
              <w:right w:val="nil"/>
            </w:tcBorders>
            <w:vAlign w:val="bottom"/>
            <w:hideMark/>
          </w:tcPr>
          <w:p w14:paraId="2086E85E" w14:textId="77777777" w:rsidR="00802D3E" w:rsidRDefault="00802D3E">
            <w:pPr>
              <w:pStyle w:val="MeasureTableTextRightAligned"/>
            </w:pPr>
            <w:r>
              <w:t>1,435</w:t>
            </w:r>
          </w:p>
        </w:tc>
        <w:tc>
          <w:tcPr>
            <w:tcW w:w="967" w:type="dxa"/>
            <w:tcBorders>
              <w:top w:val="single" w:sz="2" w:space="0" w:color="auto"/>
              <w:left w:val="nil"/>
              <w:bottom w:val="single" w:sz="2" w:space="0" w:color="auto"/>
              <w:right w:val="nil"/>
            </w:tcBorders>
            <w:vAlign w:val="bottom"/>
            <w:hideMark/>
          </w:tcPr>
          <w:p w14:paraId="2086E85F" w14:textId="77777777" w:rsidR="00802D3E" w:rsidRDefault="00802D3E">
            <w:pPr>
              <w:pStyle w:val="MeasureTableTextRightAligned"/>
            </w:pPr>
            <w:r>
              <w:t>1,590</w:t>
            </w:r>
          </w:p>
        </w:tc>
        <w:tc>
          <w:tcPr>
            <w:tcW w:w="967" w:type="dxa"/>
            <w:gridSpan w:val="2"/>
            <w:tcBorders>
              <w:top w:val="single" w:sz="2" w:space="0" w:color="auto"/>
              <w:left w:val="nil"/>
              <w:bottom w:val="single" w:sz="2" w:space="0" w:color="auto"/>
              <w:right w:val="nil"/>
            </w:tcBorders>
            <w:vAlign w:val="bottom"/>
            <w:hideMark/>
          </w:tcPr>
          <w:p w14:paraId="2086E860" w14:textId="77777777" w:rsidR="00802D3E" w:rsidRDefault="00802D3E">
            <w:pPr>
              <w:pStyle w:val="MeasureTableTextRightAligned"/>
            </w:pPr>
            <w:r>
              <w:t>1,745</w:t>
            </w:r>
          </w:p>
        </w:tc>
        <w:tc>
          <w:tcPr>
            <w:tcW w:w="967" w:type="dxa"/>
            <w:gridSpan w:val="2"/>
            <w:tcBorders>
              <w:top w:val="single" w:sz="2" w:space="0" w:color="auto"/>
              <w:left w:val="nil"/>
              <w:bottom w:val="single" w:sz="2" w:space="0" w:color="auto"/>
              <w:right w:val="nil"/>
            </w:tcBorders>
            <w:vAlign w:val="bottom"/>
            <w:hideMark/>
          </w:tcPr>
          <w:p w14:paraId="2086E861" w14:textId="77777777" w:rsidR="00802D3E" w:rsidRDefault="00802D3E">
            <w:pPr>
              <w:pStyle w:val="MeasureTableTextRightAligned"/>
            </w:pPr>
            <w:r>
              <w:t>2,420</w:t>
            </w:r>
          </w:p>
        </w:tc>
        <w:tc>
          <w:tcPr>
            <w:tcW w:w="968" w:type="dxa"/>
            <w:tcBorders>
              <w:top w:val="single" w:sz="2" w:space="0" w:color="auto"/>
              <w:left w:val="nil"/>
              <w:bottom w:val="single" w:sz="2" w:space="0" w:color="auto"/>
              <w:right w:val="nil"/>
            </w:tcBorders>
            <w:vAlign w:val="bottom"/>
            <w:hideMark/>
          </w:tcPr>
          <w:p w14:paraId="2086E862" w14:textId="77777777" w:rsidR="00802D3E" w:rsidRDefault="00802D3E">
            <w:pPr>
              <w:pStyle w:val="MeasureTableTextRightAligned"/>
            </w:pPr>
            <w:r>
              <w:t>2,460</w:t>
            </w:r>
          </w:p>
        </w:tc>
      </w:tr>
      <w:tr w:rsidR="00802D3E" w14:paraId="2086E868" w14:textId="77777777" w:rsidTr="00802D3E">
        <w:trPr>
          <w:cantSplit/>
          <w:jc w:val="center"/>
        </w:trPr>
        <w:tc>
          <w:tcPr>
            <w:tcW w:w="1934" w:type="dxa"/>
            <w:gridSpan w:val="2"/>
            <w:tcBorders>
              <w:top w:val="single" w:sz="2" w:space="0" w:color="auto"/>
              <w:left w:val="nil"/>
              <w:bottom w:val="nil"/>
              <w:right w:val="nil"/>
            </w:tcBorders>
            <w:hideMark/>
          </w:tcPr>
          <w:p w14:paraId="2086E86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865"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86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867" w14:textId="77777777" w:rsidR="00802D3E" w:rsidRDefault="00802D3E">
            <w:pPr>
              <w:pStyle w:val="MeasureTableTextLeftAligned"/>
            </w:pPr>
            <w:r>
              <w:t>A24</w:t>
            </w:r>
          </w:p>
        </w:tc>
      </w:tr>
      <w:tr w:rsidR="00802D3E" w14:paraId="2086E86D" w14:textId="77777777" w:rsidTr="00802D3E">
        <w:trPr>
          <w:cantSplit/>
          <w:jc w:val="center"/>
        </w:trPr>
        <w:tc>
          <w:tcPr>
            <w:tcW w:w="1934" w:type="dxa"/>
            <w:gridSpan w:val="2"/>
            <w:tcBorders>
              <w:top w:val="nil"/>
              <w:left w:val="nil"/>
              <w:bottom w:val="nil"/>
              <w:right w:val="nil"/>
            </w:tcBorders>
            <w:hideMark/>
          </w:tcPr>
          <w:p w14:paraId="2086E86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86A"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86B" w14:textId="77777777" w:rsidR="00802D3E" w:rsidRDefault="00802D3E">
            <w:pPr>
              <w:pStyle w:val="MeasureTableTextItalic"/>
            </w:pPr>
          </w:p>
        </w:tc>
        <w:tc>
          <w:tcPr>
            <w:tcW w:w="1124" w:type="dxa"/>
            <w:gridSpan w:val="2"/>
            <w:tcBorders>
              <w:top w:val="nil"/>
              <w:left w:val="nil"/>
              <w:bottom w:val="nil"/>
              <w:right w:val="nil"/>
            </w:tcBorders>
          </w:tcPr>
          <w:p w14:paraId="2086E86C" w14:textId="77777777" w:rsidR="00802D3E" w:rsidRDefault="00802D3E">
            <w:pPr>
              <w:pStyle w:val="MeasureTableTextLeftAligned"/>
            </w:pPr>
          </w:p>
        </w:tc>
      </w:tr>
      <w:tr w:rsidR="00802D3E" w14:paraId="2086E872" w14:textId="77777777" w:rsidTr="00802D3E">
        <w:trPr>
          <w:cantSplit/>
          <w:jc w:val="center"/>
        </w:trPr>
        <w:tc>
          <w:tcPr>
            <w:tcW w:w="1934" w:type="dxa"/>
            <w:gridSpan w:val="2"/>
            <w:tcBorders>
              <w:top w:val="nil"/>
              <w:left w:val="nil"/>
              <w:bottom w:val="nil"/>
              <w:right w:val="nil"/>
            </w:tcBorders>
            <w:hideMark/>
          </w:tcPr>
          <w:p w14:paraId="2086E86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86F" w14:textId="77777777" w:rsidR="00802D3E" w:rsidRDefault="00802D3E" w:rsidP="00231210">
            <w:pPr>
              <w:pStyle w:val="MeasureTableTextLeftAligned"/>
            </w:pPr>
            <w:r>
              <w:t>1 Jul 2007</w:t>
            </w:r>
          </w:p>
        </w:tc>
        <w:tc>
          <w:tcPr>
            <w:tcW w:w="1500" w:type="dxa"/>
            <w:gridSpan w:val="2"/>
            <w:tcBorders>
              <w:top w:val="nil"/>
              <w:left w:val="nil"/>
              <w:bottom w:val="nil"/>
              <w:right w:val="nil"/>
            </w:tcBorders>
            <w:hideMark/>
          </w:tcPr>
          <w:p w14:paraId="2086E870"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871" w14:textId="77777777" w:rsidR="00802D3E" w:rsidRDefault="00802D3E">
            <w:pPr>
              <w:pStyle w:val="MeasureTableTextLeftAligned"/>
            </w:pPr>
          </w:p>
        </w:tc>
      </w:tr>
      <w:tr w:rsidR="00802D3E" w14:paraId="2086E875" w14:textId="77777777" w:rsidTr="00802D3E">
        <w:trPr>
          <w:cantSplit/>
          <w:jc w:val="center"/>
        </w:trPr>
        <w:tc>
          <w:tcPr>
            <w:tcW w:w="1934" w:type="dxa"/>
            <w:gridSpan w:val="2"/>
            <w:tcBorders>
              <w:top w:val="nil"/>
              <w:left w:val="nil"/>
              <w:bottom w:val="single" w:sz="2" w:space="0" w:color="auto"/>
              <w:right w:val="nil"/>
            </w:tcBorders>
            <w:hideMark/>
          </w:tcPr>
          <w:p w14:paraId="2086E87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874" w14:textId="77777777" w:rsidR="00802D3E" w:rsidRPr="00231210" w:rsidRDefault="00802D3E" w:rsidP="00231210">
            <w:pPr>
              <w:widowControl w:val="0"/>
              <w:autoSpaceDE w:val="0"/>
              <w:autoSpaceDN w:val="0"/>
              <w:adjustRightInd w:val="0"/>
              <w:spacing w:after="0" w:line="240" w:lineRule="auto"/>
              <w:jc w:val="left"/>
              <w:rPr>
                <w:sz w:val="16"/>
                <w:szCs w:val="16"/>
              </w:rPr>
            </w:pPr>
            <w:r w:rsidRPr="00231210">
              <w:rPr>
                <w:rFonts w:ascii="Arial" w:hAnsi="Arial" w:cs="Arial"/>
                <w:sz w:val="16"/>
                <w:szCs w:val="16"/>
              </w:rPr>
              <w:t xml:space="preserve">Section 52-150 of the </w:t>
            </w:r>
            <w:r w:rsidRPr="00231210">
              <w:rPr>
                <w:rFonts w:ascii="Arial" w:hAnsi="Arial" w:cs="Arial"/>
                <w:i/>
                <w:iCs/>
                <w:color w:val="000000"/>
                <w:sz w:val="16"/>
                <w:szCs w:val="16"/>
              </w:rPr>
              <w:t>Income Tax Assessment Act 1997</w:t>
            </w:r>
          </w:p>
        </w:tc>
      </w:tr>
    </w:tbl>
    <w:p w14:paraId="2086E876" w14:textId="77777777" w:rsidR="00802D3E" w:rsidRDefault="00802D3E" w:rsidP="0098392C">
      <w:pPr>
        <w:pStyle w:val="SingleParagraph"/>
      </w:pPr>
    </w:p>
    <w:p w14:paraId="2086E877" w14:textId="77777777" w:rsidR="00802D3E" w:rsidRDefault="00802D3E" w:rsidP="00802D3E">
      <w:r>
        <w:t>The Child Care Rebate and Child Care Benefit are exempt from income tax.</w:t>
      </w:r>
    </w:p>
    <w:p w14:paraId="2086E878" w14:textId="68429C27" w:rsidR="00802D3E" w:rsidRDefault="00802D3E" w:rsidP="00802D3E">
      <w:r>
        <w:t xml:space="preserve">From 1 July 2018, a new single Child Care subsidy will be introduced, subject </w:t>
      </w:r>
      <w:r w:rsidR="000D700A">
        <w:t xml:space="preserve">to the passage of legislation. </w:t>
      </w:r>
      <w:r>
        <w:t>The Child Care Subsidy will replace the current child care fee assistance provided by Child Care Benefit and Child Care Rebate payments whic</w:t>
      </w:r>
      <w:r w:rsidR="000D700A">
        <w:t xml:space="preserve">h will cease on 30 June 2018. </w:t>
      </w:r>
      <w:r>
        <w:t xml:space="preserve">The Child Care Subsidy will be exempt from income tax. </w:t>
      </w:r>
      <w:r>
        <w:fldChar w:fldCharType="begin"/>
      </w:r>
      <w:r>
        <w:instrText xml:space="preserve"> XE "Child Care:Rebate" </w:instrText>
      </w:r>
      <w:r>
        <w:fldChar w:fldCharType="end"/>
      </w:r>
      <w:r>
        <w:fldChar w:fldCharType="begin"/>
      </w:r>
      <w:r>
        <w:instrText xml:space="preserve"> XE "Child Care:Benefit" </w:instrText>
      </w:r>
      <w:r>
        <w:fldChar w:fldCharType="end"/>
      </w:r>
      <w:r>
        <w:fldChar w:fldCharType="begin"/>
      </w:r>
      <w:r>
        <w:instrText xml:space="preserve"> XE "Child Care:Subsidy" </w:instrText>
      </w:r>
      <w:r>
        <w:fldChar w:fldCharType="end"/>
      </w:r>
    </w:p>
    <w:p w14:paraId="2086E879" w14:textId="77777777" w:rsidR="00802D3E" w:rsidRDefault="00802D3E" w:rsidP="00802D3E">
      <w:pPr>
        <w:pStyle w:val="TESHeading5"/>
        <w:ind w:left="0" w:firstLine="0"/>
      </w:pPr>
      <w:r>
        <w:t>A28</w:t>
      </w:r>
      <w:r>
        <w:tab/>
        <w:t>Exemption of disaster relief payments</w:t>
      </w:r>
    </w:p>
    <w:p w14:paraId="2086E87A"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883" w14:textId="77777777" w:rsidTr="00802D3E">
        <w:trPr>
          <w:cantSplit/>
          <w:jc w:val="center"/>
        </w:trPr>
        <w:tc>
          <w:tcPr>
            <w:tcW w:w="967" w:type="dxa"/>
            <w:tcBorders>
              <w:top w:val="single" w:sz="2" w:space="0" w:color="auto"/>
              <w:left w:val="nil"/>
              <w:bottom w:val="single" w:sz="2" w:space="0" w:color="auto"/>
              <w:right w:val="nil"/>
            </w:tcBorders>
            <w:hideMark/>
          </w:tcPr>
          <w:p w14:paraId="2086E87B"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87C"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87D"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87E"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87F"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880"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881"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882" w14:textId="77777777" w:rsidR="00802D3E" w:rsidRDefault="00802D3E">
            <w:pPr>
              <w:pStyle w:val="MeasureTableTextRightAligned"/>
            </w:pPr>
            <w:r>
              <w:t>2019-20</w:t>
            </w:r>
          </w:p>
        </w:tc>
      </w:tr>
      <w:tr w:rsidR="00802D3E" w14:paraId="2086E88C" w14:textId="77777777" w:rsidTr="00802D3E">
        <w:trPr>
          <w:cantSplit/>
          <w:jc w:val="center"/>
        </w:trPr>
        <w:tc>
          <w:tcPr>
            <w:tcW w:w="967" w:type="dxa"/>
            <w:tcBorders>
              <w:top w:val="single" w:sz="2" w:space="0" w:color="auto"/>
              <w:left w:val="nil"/>
              <w:bottom w:val="single" w:sz="2" w:space="0" w:color="auto"/>
              <w:right w:val="nil"/>
            </w:tcBorders>
            <w:hideMark/>
          </w:tcPr>
          <w:p w14:paraId="2086E884" w14:textId="77777777" w:rsidR="00802D3E" w:rsidRDefault="00802D3E">
            <w:pPr>
              <w:pStyle w:val="MeasureTableTextRightAligned"/>
            </w:pPr>
            <w:r>
              <w:t>70</w:t>
            </w:r>
          </w:p>
        </w:tc>
        <w:tc>
          <w:tcPr>
            <w:tcW w:w="967" w:type="dxa"/>
            <w:tcBorders>
              <w:top w:val="single" w:sz="2" w:space="0" w:color="auto"/>
              <w:left w:val="nil"/>
              <w:bottom w:val="single" w:sz="2" w:space="0" w:color="auto"/>
              <w:right w:val="nil"/>
            </w:tcBorders>
            <w:hideMark/>
          </w:tcPr>
          <w:p w14:paraId="2086E885"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6E886" w14:textId="77777777" w:rsidR="00802D3E" w:rsidRDefault="00802D3E">
            <w:pPr>
              <w:pStyle w:val="MeasureTableTextRightAligned"/>
            </w:pPr>
            <w:r>
              <w:t>15</w:t>
            </w:r>
          </w:p>
        </w:tc>
        <w:tc>
          <w:tcPr>
            <w:tcW w:w="967" w:type="dxa"/>
            <w:tcBorders>
              <w:top w:val="single" w:sz="2" w:space="0" w:color="auto"/>
              <w:left w:val="nil"/>
              <w:bottom w:val="single" w:sz="2" w:space="0" w:color="auto"/>
              <w:right w:val="nil"/>
            </w:tcBorders>
            <w:vAlign w:val="bottom"/>
            <w:hideMark/>
          </w:tcPr>
          <w:p w14:paraId="2086E887" w14:textId="77777777" w:rsidR="00802D3E" w:rsidRDefault="00802D3E">
            <w:pPr>
              <w:pStyle w:val="MeasureTableTextRightAligned"/>
            </w:pPr>
            <w:r>
              <w:t>10</w:t>
            </w:r>
          </w:p>
        </w:tc>
        <w:tc>
          <w:tcPr>
            <w:tcW w:w="967" w:type="dxa"/>
            <w:tcBorders>
              <w:top w:val="single" w:sz="2" w:space="0" w:color="auto"/>
              <w:left w:val="nil"/>
              <w:bottom w:val="single" w:sz="2" w:space="0" w:color="auto"/>
              <w:right w:val="nil"/>
            </w:tcBorders>
            <w:vAlign w:val="bottom"/>
            <w:hideMark/>
          </w:tcPr>
          <w:p w14:paraId="2086E88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88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88A"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88B" w14:textId="77777777" w:rsidR="00802D3E" w:rsidRDefault="00802D3E">
            <w:pPr>
              <w:pStyle w:val="MeasureTableTextRightAligned"/>
            </w:pPr>
            <w:r>
              <w:t>*</w:t>
            </w:r>
          </w:p>
        </w:tc>
      </w:tr>
      <w:tr w:rsidR="00802D3E" w14:paraId="2086E891" w14:textId="77777777" w:rsidTr="00802D3E">
        <w:trPr>
          <w:cantSplit/>
          <w:jc w:val="center"/>
        </w:trPr>
        <w:tc>
          <w:tcPr>
            <w:tcW w:w="1934" w:type="dxa"/>
            <w:gridSpan w:val="2"/>
            <w:tcBorders>
              <w:top w:val="single" w:sz="2" w:space="0" w:color="auto"/>
              <w:left w:val="nil"/>
              <w:bottom w:val="nil"/>
              <w:right w:val="nil"/>
            </w:tcBorders>
            <w:hideMark/>
          </w:tcPr>
          <w:p w14:paraId="2086E88D"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88E"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88F"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890" w14:textId="77777777" w:rsidR="00802D3E" w:rsidRDefault="00802D3E">
            <w:pPr>
              <w:pStyle w:val="MeasureTableTextLeftAligned"/>
            </w:pPr>
            <w:r>
              <w:t>A25</w:t>
            </w:r>
          </w:p>
        </w:tc>
      </w:tr>
      <w:tr w:rsidR="00802D3E" w14:paraId="2086E896" w14:textId="77777777" w:rsidTr="00802D3E">
        <w:trPr>
          <w:cantSplit/>
          <w:jc w:val="center"/>
        </w:trPr>
        <w:tc>
          <w:tcPr>
            <w:tcW w:w="1934" w:type="dxa"/>
            <w:gridSpan w:val="2"/>
            <w:tcBorders>
              <w:top w:val="nil"/>
              <w:left w:val="nil"/>
              <w:bottom w:val="nil"/>
              <w:right w:val="nil"/>
            </w:tcBorders>
            <w:hideMark/>
          </w:tcPr>
          <w:p w14:paraId="2086E892"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893" w14:textId="77777777" w:rsidR="00802D3E" w:rsidRDefault="00802D3E">
            <w:pPr>
              <w:pStyle w:val="MeasureTableTextLeftAligned"/>
            </w:pPr>
            <w:r>
              <w:t>Medium</w:t>
            </w:r>
          </w:p>
        </w:tc>
        <w:tc>
          <w:tcPr>
            <w:tcW w:w="1500" w:type="dxa"/>
            <w:gridSpan w:val="2"/>
            <w:tcBorders>
              <w:top w:val="nil"/>
              <w:left w:val="nil"/>
              <w:bottom w:val="nil"/>
              <w:right w:val="nil"/>
            </w:tcBorders>
            <w:hideMark/>
          </w:tcPr>
          <w:p w14:paraId="2086E894"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895" w14:textId="77777777" w:rsidR="00802D3E" w:rsidRDefault="00802D3E">
            <w:pPr>
              <w:pStyle w:val="MeasureTableTextLeftAligned"/>
            </w:pPr>
            <w:r>
              <w:t>2+</w:t>
            </w:r>
          </w:p>
        </w:tc>
      </w:tr>
      <w:tr w:rsidR="00802D3E" w14:paraId="2086E89B" w14:textId="77777777" w:rsidTr="00802D3E">
        <w:trPr>
          <w:cantSplit/>
          <w:jc w:val="center"/>
        </w:trPr>
        <w:tc>
          <w:tcPr>
            <w:tcW w:w="1934" w:type="dxa"/>
            <w:gridSpan w:val="2"/>
            <w:tcBorders>
              <w:top w:val="nil"/>
              <w:left w:val="nil"/>
              <w:bottom w:val="nil"/>
              <w:right w:val="nil"/>
            </w:tcBorders>
            <w:hideMark/>
          </w:tcPr>
          <w:p w14:paraId="2086E897"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898" w14:textId="77777777" w:rsidR="00802D3E" w:rsidRDefault="00802D3E">
            <w:pPr>
              <w:pStyle w:val="MeasureTableTextLeftAligned"/>
            </w:pPr>
            <w:r>
              <w:t>1 July 2008</w:t>
            </w:r>
          </w:p>
        </w:tc>
        <w:tc>
          <w:tcPr>
            <w:tcW w:w="1500" w:type="dxa"/>
            <w:gridSpan w:val="2"/>
            <w:tcBorders>
              <w:top w:val="nil"/>
              <w:left w:val="nil"/>
              <w:bottom w:val="nil"/>
              <w:right w:val="nil"/>
            </w:tcBorders>
            <w:hideMark/>
          </w:tcPr>
          <w:p w14:paraId="2086E899"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89A" w14:textId="77777777" w:rsidR="00802D3E" w:rsidRDefault="00802D3E">
            <w:pPr>
              <w:pStyle w:val="MeasureTableTextLeftAligned"/>
            </w:pPr>
          </w:p>
        </w:tc>
      </w:tr>
      <w:tr w:rsidR="00802D3E" w14:paraId="2086E89E" w14:textId="77777777" w:rsidTr="00802D3E">
        <w:trPr>
          <w:cantSplit/>
          <w:jc w:val="center"/>
        </w:trPr>
        <w:tc>
          <w:tcPr>
            <w:tcW w:w="1934" w:type="dxa"/>
            <w:gridSpan w:val="2"/>
            <w:tcBorders>
              <w:top w:val="nil"/>
              <w:left w:val="nil"/>
              <w:bottom w:val="single" w:sz="2" w:space="0" w:color="auto"/>
              <w:right w:val="nil"/>
            </w:tcBorders>
            <w:hideMark/>
          </w:tcPr>
          <w:p w14:paraId="2086E89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89D" w14:textId="77777777" w:rsidR="00802D3E" w:rsidRPr="00231210" w:rsidRDefault="00802D3E" w:rsidP="00231210">
            <w:pPr>
              <w:widowControl w:val="0"/>
              <w:autoSpaceDE w:val="0"/>
              <w:autoSpaceDN w:val="0"/>
              <w:adjustRightInd w:val="0"/>
              <w:spacing w:after="0" w:line="240" w:lineRule="auto"/>
              <w:jc w:val="left"/>
              <w:rPr>
                <w:sz w:val="16"/>
                <w:szCs w:val="16"/>
              </w:rPr>
            </w:pPr>
            <w:r w:rsidRPr="00231210">
              <w:rPr>
                <w:rFonts w:ascii="Arial" w:hAnsi="Arial" w:cs="Arial"/>
                <w:sz w:val="16"/>
                <w:szCs w:val="16"/>
              </w:rPr>
              <w:t xml:space="preserve">Section 51-30 of the </w:t>
            </w:r>
            <w:r w:rsidRPr="00231210">
              <w:rPr>
                <w:rFonts w:ascii="Arial" w:hAnsi="Arial" w:cs="Arial"/>
                <w:i/>
                <w:iCs/>
                <w:color w:val="000000"/>
                <w:sz w:val="16"/>
                <w:szCs w:val="16"/>
              </w:rPr>
              <w:t>Income Tax Assessment Act 1997</w:t>
            </w:r>
          </w:p>
        </w:tc>
      </w:tr>
    </w:tbl>
    <w:p w14:paraId="2086E89F" w14:textId="77777777" w:rsidR="00802D3E" w:rsidRDefault="00802D3E" w:rsidP="0098392C">
      <w:pPr>
        <w:pStyle w:val="SingleParagraph"/>
      </w:pPr>
    </w:p>
    <w:p w14:paraId="2086E8A0" w14:textId="77777777" w:rsidR="00802D3E" w:rsidRDefault="00802D3E" w:rsidP="00802D3E">
      <w:r>
        <w:t>Certain payments made to victims of natural disasters, such as Disaster Income Recovery Subsidy payments,</w:t>
      </w:r>
      <w:r>
        <w:fldChar w:fldCharType="begin"/>
      </w:r>
      <w:r>
        <w:instrText xml:space="preserve"> XE "Natural disasters" </w:instrText>
      </w:r>
      <w:r>
        <w:fldChar w:fldCharType="end"/>
      </w:r>
      <w:r>
        <w:t xml:space="preserve"> are exempt from income tax. </w:t>
      </w:r>
    </w:p>
    <w:p w14:paraId="2086E8A1" w14:textId="77777777" w:rsidR="00802D3E" w:rsidRDefault="00802D3E" w:rsidP="00802D3E">
      <w:pPr>
        <w:pStyle w:val="TESHeading5"/>
        <w:ind w:left="0" w:firstLine="0"/>
      </w:pPr>
      <w:r>
        <w:lastRenderedPageBreak/>
        <w:t>A29</w:t>
      </w:r>
      <w:r>
        <w:tab/>
        <w:t>Exemption of the Schoolkids Bonus</w:t>
      </w:r>
    </w:p>
    <w:p w14:paraId="2086E8A2"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8AB" w14:textId="77777777" w:rsidTr="00802D3E">
        <w:trPr>
          <w:cantSplit/>
          <w:jc w:val="center"/>
        </w:trPr>
        <w:tc>
          <w:tcPr>
            <w:tcW w:w="967" w:type="dxa"/>
            <w:tcBorders>
              <w:top w:val="single" w:sz="2" w:space="0" w:color="auto"/>
              <w:left w:val="nil"/>
              <w:bottom w:val="single" w:sz="2" w:space="0" w:color="auto"/>
              <w:right w:val="nil"/>
            </w:tcBorders>
            <w:hideMark/>
          </w:tcPr>
          <w:p w14:paraId="2086E8A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8A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8A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8A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8A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8A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8A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8AA" w14:textId="77777777" w:rsidR="00802D3E" w:rsidRDefault="00802D3E">
            <w:pPr>
              <w:pStyle w:val="MeasureTableTextRightAligned"/>
            </w:pPr>
            <w:r>
              <w:t>2019-20</w:t>
            </w:r>
          </w:p>
        </w:tc>
      </w:tr>
      <w:tr w:rsidR="00802D3E" w14:paraId="2086E8B4" w14:textId="77777777" w:rsidTr="00802D3E">
        <w:trPr>
          <w:cantSplit/>
          <w:jc w:val="center"/>
        </w:trPr>
        <w:tc>
          <w:tcPr>
            <w:tcW w:w="967" w:type="dxa"/>
            <w:tcBorders>
              <w:top w:val="single" w:sz="2" w:space="0" w:color="auto"/>
              <w:left w:val="nil"/>
              <w:bottom w:val="single" w:sz="2" w:space="0" w:color="auto"/>
              <w:right w:val="nil"/>
            </w:tcBorders>
            <w:hideMark/>
          </w:tcPr>
          <w:p w14:paraId="2086E8AC" w14:textId="77777777" w:rsidR="00802D3E" w:rsidRDefault="00802D3E">
            <w:pPr>
              <w:pStyle w:val="MeasureTableTextRightAligned"/>
            </w:pPr>
            <w:r>
              <w:t>320</w:t>
            </w:r>
          </w:p>
        </w:tc>
        <w:tc>
          <w:tcPr>
            <w:tcW w:w="967" w:type="dxa"/>
            <w:tcBorders>
              <w:top w:val="single" w:sz="2" w:space="0" w:color="auto"/>
              <w:left w:val="nil"/>
              <w:bottom w:val="single" w:sz="2" w:space="0" w:color="auto"/>
              <w:right w:val="nil"/>
            </w:tcBorders>
            <w:hideMark/>
          </w:tcPr>
          <w:p w14:paraId="2086E8AD" w14:textId="77777777" w:rsidR="00802D3E" w:rsidRDefault="00802D3E">
            <w:pPr>
              <w:pStyle w:val="MeasureTableTextRightAligned"/>
            </w:pPr>
            <w:r>
              <w:t>170</w:t>
            </w:r>
          </w:p>
        </w:tc>
        <w:tc>
          <w:tcPr>
            <w:tcW w:w="967" w:type="dxa"/>
            <w:tcBorders>
              <w:top w:val="single" w:sz="2" w:space="0" w:color="auto"/>
              <w:left w:val="nil"/>
              <w:bottom w:val="single" w:sz="2" w:space="0" w:color="auto"/>
              <w:right w:val="nil"/>
            </w:tcBorders>
            <w:vAlign w:val="bottom"/>
            <w:hideMark/>
          </w:tcPr>
          <w:p w14:paraId="2086E8AE" w14:textId="77777777" w:rsidR="00802D3E" w:rsidRDefault="00802D3E">
            <w:pPr>
              <w:pStyle w:val="MeasureTableTextRightAligned"/>
            </w:pPr>
            <w:r>
              <w:t>320</w:t>
            </w:r>
          </w:p>
        </w:tc>
        <w:tc>
          <w:tcPr>
            <w:tcW w:w="967" w:type="dxa"/>
            <w:tcBorders>
              <w:top w:val="single" w:sz="2" w:space="0" w:color="auto"/>
              <w:left w:val="nil"/>
              <w:bottom w:val="single" w:sz="2" w:space="0" w:color="auto"/>
              <w:right w:val="nil"/>
            </w:tcBorders>
            <w:vAlign w:val="bottom"/>
            <w:hideMark/>
          </w:tcPr>
          <w:p w14:paraId="2086E8AF" w14:textId="77777777" w:rsidR="00802D3E" w:rsidRDefault="00802D3E">
            <w:pPr>
              <w:pStyle w:val="MeasureTableTextRightAligned"/>
            </w:pPr>
            <w:r>
              <w:t>290</w:t>
            </w:r>
          </w:p>
        </w:tc>
        <w:tc>
          <w:tcPr>
            <w:tcW w:w="967" w:type="dxa"/>
            <w:tcBorders>
              <w:top w:val="single" w:sz="2" w:space="0" w:color="auto"/>
              <w:left w:val="nil"/>
              <w:bottom w:val="single" w:sz="2" w:space="0" w:color="auto"/>
              <w:right w:val="nil"/>
            </w:tcBorders>
            <w:vAlign w:val="bottom"/>
            <w:hideMark/>
          </w:tcPr>
          <w:p w14:paraId="2086E8B0" w14:textId="77777777" w:rsidR="00802D3E" w:rsidRDefault="00802D3E">
            <w:pPr>
              <w:pStyle w:val="MeasureTableTextRightAligned"/>
            </w:pPr>
            <w:r>
              <w:t>280</w:t>
            </w:r>
          </w:p>
        </w:tc>
        <w:tc>
          <w:tcPr>
            <w:tcW w:w="967" w:type="dxa"/>
            <w:gridSpan w:val="2"/>
            <w:tcBorders>
              <w:top w:val="single" w:sz="2" w:space="0" w:color="auto"/>
              <w:left w:val="nil"/>
              <w:bottom w:val="single" w:sz="2" w:space="0" w:color="auto"/>
              <w:right w:val="nil"/>
            </w:tcBorders>
            <w:vAlign w:val="bottom"/>
            <w:hideMark/>
          </w:tcPr>
          <w:p w14:paraId="2086E8B1" w14:textId="77777777" w:rsidR="00802D3E" w:rsidRDefault="00802D3E">
            <w:pPr>
              <w:pStyle w:val="MeasureTableTextRightAligned"/>
            </w:pPr>
            <w:r>
              <w:t>150</w:t>
            </w:r>
          </w:p>
        </w:tc>
        <w:tc>
          <w:tcPr>
            <w:tcW w:w="967" w:type="dxa"/>
            <w:gridSpan w:val="2"/>
            <w:tcBorders>
              <w:top w:val="single" w:sz="2" w:space="0" w:color="auto"/>
              <w:left w:val="nil"/>
              <w:bottom w:val="single" w:sz="2" w:space="0" w:color="auto"/>
              <w:right w:val="nil"/>
            </w:tcBorders>
            <w:vAlign w:val="bottom"/>
            <w:hideMark/>
          </w:tcPr>
          <w:p w14:paraId="2086E8B2" w14:textId="77777777" w:rsidR="00802D3E" w:rsidRDefault="00802D3E">
            <w:pPr>
              <w:pStyle w:val="MeasureTableTextRightAligned"/>
            </w:pPr>
            <w:r>
              <w:t>10</w:t>
            </w:r>
          </w:p>
        </w:tc>
        <w:tc>
          <w:tcPr>
            <w:tcW w:w="968" w:type="dxa"/>
            <w:tcBorders>
              <w:top w:val="single" w:sz="2" w:space="0" w:color="auto"/>
              <w:left w:val="nil"/>
              <w:bottom w:val="single" w:sz="2" w:space="0" w:color="auto"/>
              <w:right w:val="nil"/>
            </w:tcBorders>
            <w:vAlign w:val="bottom"/>
            <w:hideMark/>
          </w:tcPr>
          <w:p w14:paraId="2086E8B3" w14:textId="77777777" w:rsidR="00802D3E" w:rsidRDefault="00802D3E">
            <w:pPr>
              <w:pStyle w:val="MeasureTableTextRightAligned"/>
            </w:pPr>
            <w:r>
              <w:t>-</w:t>
            </w:r>
          </w:p>
        </w:tc>
      </w:tr>
      <w:tr w:rsidR="00802D3E" w14:paraId="2086E8B9" w14:textId="77777777" w:rsidTr="00802D3E">
        <w:trPr>
          <w:cantSplit/>
          <w:jc w:val="center"/>
        </w:trPr>
        <w:tc>
          <w:tcPr>
            <w:tcW w:w="1934" w:type="dxa"/>
            <w:gridSpan w:val="2"/>
            <w:tcBorders>
              <w:top w:val="single" w:sz="2" w:space="0" w:color="auto"/>
              <w:left w:val="nil"/>
              <w:bottom w:val="nil"/>
              <w:right w:val="nil"/>
            </w:tcBorders>
            <w:hideMark/>
          </w:tcPr>
          <w:p w14:paraId="2086E8B5"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8B6"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8B7"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8B8" w14:textId="77777777" w:rsidR="00802D3E" w:rsidRDefault="00802D3E">
            <w:pPr>
              <w:pStyle w:val="MeasureTableTextLeftAligned"/>
            </w:pPr>
            <w:r>
              <w:t>A26</w:t>
            </w:r>
          </w:p>
        </w:tc>
      </w:tr>
      <w:tr w:rsidR="00802D3E" w14:paraId="2086E8BE" w14:textId="77777777" w:rsidTr="00802D3E">
        <w:trPr>
          <w:cantSplit/>
          <w:jc w:val="center"/>
        </w:trPr>
        <w:tc>
          <w:tcPr>
            <w:tcW w:w="1934" w:type="dxa"/>
            <w:gridSpan w:val="2"/>
            <w:tcBorders>
              <w:top w:val="nil"/>
              <w:left w:val="nil"/>
              <w:bottom w:val="nil"/>
              <w:right w:val="nil"/>
            </w:tcBorders>
            <w:hideMark/>
          </w:tcPr>
          <w:p w14:paraId="2086E8BA"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8BB"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8BC" w14:textId="77777777" w:rsidR="00802D3E" w:rsidRDefault="00802D3E">
            <w:pPr>
              <w:pStyle w:val="MeasureTableTextItalic"/>
            </w:pPr>
          </w:p>
        </w:tc>
        <w:tc>
          <w:tcPr>
            <w:tcW w:w="1124" w:type="dxa"/>
            <w:gridSpan w:val="2"/>
            <w:tcBorders>
              <w:top w:val="nil"/>
              <w:left w:val="nil"/>
              <w:bottom w:val="nil"/>
              <w:right w:val="nil"/>
            </w:tcBorders>
          </w:tcPr>
          <w:p w14:paraId="2086E8BD" w14:textId="77777777" w:rsidR="00802D3E" w:rsidRDefault="00802D3E">
            <w:pPr>
              <w:pStyle w:val="MeasureTableTextLeftAligned"/>
            </w:pPr>
          </w:p>
        </w:tc>
      </w:tr>
      <w:tr w:rsidR="00802D3E" w14:paraId="2086E8C3" w14:textId="77777777" w:rsidTr="00802D3E">
        <w:trPr>
          <w:cantSplit/>
          <w:jc w:val="center"/>
        </w:trPr>
        <w:tc>
          <w:tcPr>
            <w:tcW w:w="1934" w:type="dxa"/>
            <w:gridSpan w:val="2"/>
            <w:tcBorders>
              <w:top w:val="nil"/>
              <w:left w:val="nil"/>
              <w:bottom w:val="nil"/>
              <w:right w:val="nil"/>
            </w:tcBorders>
            <w:hideMark/>
          </w:tcPr>
          <w:p w14:paraId="2086E8BF"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8C0" w14:textId="77777777" w:rsidR="00802D3E" w:rsidRDefault="00802D3E">
            <w:pPr>
              <w:pStyle w:val="MeasureTableTextLeftAligned"/>
            </w:pPr>
            <w:r>
              <w:t>2012</w:t>
            </w:r>
          </w:p>
        </w:tc>
        <w:tc>
          <w:tcPr>
            <w:tcW w:w="1500" w:type="dxa"/>
            <w:gridSpan w:val="2"/>
            <w:tcBorders>
              <w:top w:val="nil"/>
              <w:left w:val="nil"/>
              <w:bottom w:val="nil"/>
              <w:right w:val="nil"/>
            </w:tcBorders>
            <w:hideMark/>
          </w:tcPr>
          <w:p w14:paraId="2086E8C1" w14:textId="77777777" w:rsidR="00802D3E" w:rsidRDefault="00802D3E">
            <w:pPr>
              <w:pStyle w:val="MeasureTableTextItalic"/>
            </w:pPr>
            <w:r>
              <w:t>Expiry date:</w:t>
            </w:r>
          </w:p>
        </w:tc>
        <w:tc>
          <w:tcPr>
            <w:tcW w:w="1124" w:type="dxa"/>
            <w:gridSpan w:val="2"/>
            <w:tcBorders>
              <w:top w:val="nil"/>
              <w:left w:val="nil"/>
              <w:bottom w:val="nil"/>
              <w:right w:val="nil"/>
            </w:tcBorders>
            <w:hideMark/>
          </w:tcPr>
          <w:p w14:paraId="2086E8C2" w14:textId="77777777" w:rsidR="00802D3E" w:rsidRDefault="00802D3E" w:rsidP="00CA1B50">
            <w:pPr>
              <w:pStyle w:val="MeasureTableTextLeftAligned"/>
            </w:pPr>
            <w:r>
              <w:t>31 Dec 2016</w:t>
            </w:r>
          </w:p>
        </w:tc>
      </w:tr>
      <w:tr w:rsidR="00802D3E" w14:paraId="2086E8C6" w14:textId="77777777" w:rsidTr="00802D3E">
        <w:trPr>
          <w:cantSplit/>
          <w:jc w:val="center"/>
        </w:trPr>
        <w:tc>
          <w:tcPr>
            <w:tcW w:w="1934" w:type="dxa"/>
            <w:gridSpan w:val="2"/>
            <w:tcBorders>
              <w:top w:val="nil"/>
              <w:left w:val="nil"/>
              <w:bottom w:val="single" w:sz="2" w:space="0" w:color="auto"/>
              <w:right w:val="nil"/>
            </w:tcBorders>
            <w:hideMark/>
          </w:tcPr>
          <w:p w14:paraId="2086E8C4"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8C5" w14:textId="77777777" w:rsidR="00802D3E" w:rsidRPr="00231210" w:rsidRDefault="00802D3E" w:rsidP="00231210">
            <w:pPr>
              <w:widowControl w:val="0"/>
              <w:autoSpaceDE w:val="0"/>
              <w:autoSpaceDN w:val="0"/>
              <w:adjustRightInd w:val="0"/>
              <w:spacing w:after="0" w:line="240" w:lineRule="auto"/>
              <w:jc w:val="left"/>
              <w:rPr>
                <w:sz w:val="16"/>
                <w:szCs w:val="16"/>
              </w:rPr>
            </w:pPr>
            <w:r w:rsidRPr="00231210">
              <w:rPr>
                <w:rFonts w:ascii="Arial" w:hAnsi="Arial" w:cs="Arial"/>
                <w:sz w:val="16"/>
                <w:szCs w:val="16"/>
              </w:rPr>
              <w:t xml:space="preserve">Section 52-150 of the </w:t>
            </w:r>
            <w:r w:rsidRPr="00231210">
              <w:rPr>
                <w:rFonts w:ascii="Arial" w:hAnsi="Arial" w:cs="Arial"/>
                <w:i/>
                <w:iCs/>
                <w:color w:val="000000"/>
                <w:sz w:val="16"/>
                <w:szCs w:val="16"/>
              </w:rPr>
              <w:t>Income Tax Assessment Act 1997</w:t>
            </w:r>
          </w:p>
        </w:tc>
      </w:tr>
    </w:tbl>
    <w:p w14:paraId="2086E8C7" w14:textId="77777777" w:rsidR="00802D3E" w:rsidRDefault="00802D3E" w:rsidP="0098392C">
      <w:pPr>
        <w:pStyle w:val="SingleParagraph"/>
      </w:pPr>
    </w:p>
    <w:p w14:paraId="2086E8C8" w14:textId="17A92A0A" w:rsidR="00802D3E" w:rsidRDefault="00802D3E" w:rsidP="00802D3E">
      <w:r>
        <w:t>The Schoolkids Bonus</w:t>
      </w:r>
      <w:r>
        <w:fldChar w:fldCharType="begin"/>
      </w:r>
      <w:r>
        <w:instrText xml:space="preserve"> XE "Schoolkids Bonus" </w:instrText>
      </w:r>
      <w:r>
        <w:fldChar w:fldCharType="end"/>
      </w:r>
      <w:r>
        <w:t xml:space="preserve"> is exempt from income tax. It has been abolished with the las</w:t>
      </w:r>
      <w:r w:rsidR="00A1526E">
        <w:t>t instalment paid in July 2016.</w:t>
      </w:r>
    </w:p>
    <w:p w14:paraId="2086E8C9" w14:textId="77777777" w:rsidR="00802D3E" w:rsidRDefault="00802D3E" w:rsidP="00802D3E">
      <w:pPr>
        <w:pStyle w:val="TESHeading5"/>
        <w:ind w:left="0" w:firstLine="0"/>
      </w:pPr>
      <w:r>
        <w:t>A30</w:t>
      </w:r>
      <w:r>
        <w:tab/>
        <w:t>Beneficiary and Pensioner Tax Offsets</w:t>
      </w:r>
    </w:p>
    <w:p w14:paraId="2086E8CA"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8D3" w14:textId="77777777" w:rsidTr="00802D3E">
        <w:trPr>
          <w:cantSplit/>
          <w:jc w:val="center"/>
        </w:trPr>
        <w:tc>
          <w:tcPr>
            <w:tcW w:w="967" w:type="dxa"/>
            <w:tcBorders>
              <w:top w:val="single" w:sz="2" w:space="0" w:color="auto"/>
              <w:left w:val="nil"/>
              <w:bottom w:val="single" w:sz="2" w:space="0" w:color="auto"/>
              <w:right w:val="nil"/>
            </w:tcBorders>
            <w:hideMark/>
          </w:tcPr>
          <w:p w14:paraId="2086E8CB"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8CC"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8CD"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8CE"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8CF"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8D0"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8D1"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8D2" w14:textId="77777777" w:rsidR="00802D3E" w:rsidRDefault="00802D3E">
            <w:pPr>
              <w:pStyle w:val="MeasureTableTextRightAligned"/>
            </w:pPr>
            <w:r>
              <w:t>2019-20</w:t>
            </w:r>
          </w:p>
        </w:tc>
      </w:tr>
      <w:tr w:rsidR="00802D3E" w14:paraId="2086E8DC" w14:textId="77777777" w:rsidTr="00802D3E">
        <w:trPr>
          <w:cantSplit/>
          <w:jc w:val="center"/>
        </w:trPr>
        <w:tc>
          <w:tcPr>
            <w:tcW w:w="967" w:type="dxa"/>
            <w:tcBorders>
              <w:top w:val="single" w:sz="2" w:space="0" w:color="auto"/>
              <w:left w:val="nil"/>
              <w:bottom w:val="single" w:sz="2" w:space="0" w:color="auto"/>
              <w:right w:val="nil"/>
            </w:tcBorders>
            <w:hideMark/>
          </w:tcPr>
          <w:p w14:paraId="2086E8D4" w14:textId="77777777" w:rsidR="00802D3E" w:rsidRDefault="00802D3E">
            <w:pPr>
              <w:pStyle w:val="MeasureTableTextRightAligned"/>
            </w:pPr>
            <w:r>
              <w:t>280</w:t>
            </w:r>
          </w:p>
        </w:tc>
        <w:tc>
          <w:tcPr>
            <w:tcW w:w="967" w:type="dxa"/>
            <w:tcBorders>
              <w:top w:val="single" w:sz="2" w:space="0" w:color="auto"/>
              <w:left w:val="nil"/>
              <w:bottom w:val="single" w:sz="2" w:space="0" w:color="auto"/>
              <w:right w:val="nil"/>
            </w:tcBorders>
            <w:hideMark/>
          </w:tcPr>
          <w:p w14:paraId="2086E8D5" w14:textId="77777777" w:rsidR="00802D3E" w:rsidRDefault="00802D3E">
            <w:pPr>
              <w:pStyle w:val="MeasureTableTextRightAligned"/>
            </w:pPr>
            <w:r>
              <w:t>40</w:t>
            </w:r>
          </w:p>
        </w:tc>
        <w:tc>
          <w:tcPr>
            <w:tcW w:w="967" w:type="dxa"/>
            <w:tcBorders>
              <w:top w:val="single" w:sz="2" w:space="0" w:color="auto"/>
              <w:left w:val="nil"/>
              <w:bottom w:val="single" w:sz="2" w:space="0" w:color="auto"/>
              <w:right w:val="nil"/>
            </w:tcBorders>
            <w:vAlign w:val="bottom"/>
            <w:hideMark/>
          </w:tcPr>
          <w:p w14:paraId="2086E8D6" w14:textId="77777777" w:rsidR="00802D3E" w:rsidRDefault="00802D3E">
            <w:pPr>
              <w:pStyle w:val="MeasureTableTextRightAligned"/>
            </w:pPr>
            <w:r>
              <w:t>60</w:t>
            </w:r>
          </w:p>
        </w:tc>
        <w:tc>
          <w:tcPr>
            <w:tcW w:w="967" w:type="dxa"/>
            <w:tcBorders>
              <w:top w:val="single" w:sz="2" w:space="0" w:color="auto"/>
              <w:left w:val="nil"/>
              <w:bottom w:val="single" w:sz="2" w:space="0" w:color="auto"/>
              <w:right w:val="nil"/>
            </w:tcBorders>
            <w:vAlign w:val="bottom"/>
            <w:hideMark/>
          </w:tcPr>
          <w:p w14:paraId="2086E8D7" w14:textId="77777777" w:rsidR="00802D3E" w:rsidRDefault="00802D3E">
            <w:pPr>
              <w:pStyle w:val="MeasureTableTextRightAligned"/>
            </w:pPr>
            <w:r>
              <w:t>75</w:t>
            </w:r>
          </w:p>
        </w:tc>
        <w:tc>
          <w:tcPr>
            <w:tcW w:w="967" w:type="dxa"/>
            <w:tcBorders>
              <w:top w:val="single" w:sz="2" w:space="0" w:color="auto"/>
              <w:left w:val="nil"/>
              <w:bottom w:val="single" w:sz="2" w:space="0" w:color="auto"/>
              <w:right w:val="nil"/>
            </w:tcBorders>
            <w:vAlign w:val="bottom"/>
            <w:hideMark/>
          </w:tcPr>
          <w:p w14:paraId="2086E8D8" w14:textId="77777777" w:rsidR="00802D3E" w:rsidRDefault="00802D3E">
            <w:pPr>
              <w:pStyle w:val="MeasureTableTextRightAligned"/>
            </w:pPr>
            <w:r>
              <w:t>75</w:t>
            </w:r>
          </w:p>
        </w:tc>
        <w:tc>
          <w:tcPr>
            <w:tcW w:w="967" w:type="dxa"/>
            <w:gridSpan w:val="2"/>
            <w:tcBorders>
              <w:top w:val="single" w:sz="2" w:space="0" w:color="auto"/>
              <w:left w:val="nil"/>
              <w:bottom w:val="single" w:sz="2" w:space="0" w:color="auto"/>
              <w:right w:val="nil"/>
            </w:tcBorders>
            <w:vAlign w:val="bottom"/>
            <w:hideMark/>
          </w:tcPr>
          <w:p w14:paraId="2086E8D9" w14:textId="77777777" w:rsidR="00802D3E" w:rsidRDefault="00802D3E">
            <w:pPr>
              <w:pStyle w:val="MeasureTableTextRightAligned"/>
            </w:pPr>
            <w:r>
              <w:t>75</w:t>
            </w:r>
          </w:p>
        </w:tc>
        <w:tc>
          <w:tcPr>
            <w:tcW w:w="967" w:type="dxa"/>
            <w:gridSpan w:val="2"/>
            <w:tcBorders>
              <w:top w:val="single" w:sz="2" w:space="0" w:color="auto"/>
              <w:left w:val="nil"/>
              <w:bottom w:val="single" w:sz="2" w:space="0" w:color="auto"/>
              <w:right w:val="nil"/>
            </w:tcBorders>
            <w:vAlign w:val="bottom"/>
            <w:hideMark/>
          </w:tcPr>
          <w:p w14:paraId="2086E8DA" w14:textId="77777777" w:rsidR="00802D3E" w:rsidRDefault="00802D3E">
            <w:pPr>
              <w:pStyle w:val="MeasureTableTextRightAligned"/>
            </w:pPr>
            <w:r>
              <w:t>70</w:t>
            </w:r>
          </w:p>
        </w:tc>
        <w:tc>
          <w:tcPr>
            <w:tcW w:w="968" w:type="dxa"/>
            <w:tcBorders>
              <w:top w:val="single" w:sz="2" w:space="0" w:color="auto"/>
              <w:left w:val="nil"/>
              <w:bottom w:val="single" w:sz="2" w:space="0" w:color="auto"/>
              <w:right w:val="nil"/>
            </w:tcBorders>
            <w:vAlign w:val="bottom"/>
            <w:hideMark/>
          </w:tcPr>
          <w:p w14:paraId="2086E8DB" w14:textId="77777777" w:rsidR="00802D3E" w:rsidRDefault="00802D3E">
            <w:pPr>
              <w:pStyle w:val="MeasureTableTextRightAligned"/>
            </w:pPr>
            <w:r>
              <w:t>80</w:t>
            </w:r>
          </w:p>
        </w:tc>
      </w:tr>
      <w:tr w:rsidR="00802D3E" w14:paraId="2086E8E1" w14:textId="77777777" w:rsidTr="00802D3E">
        <w:trPr>
          <w:cantSplit/>
          <w:jc w:val="center"/>
        </w:trPr>
        <w:tc>
          <w:tcPr>
            <w:tcW w:w="1934" w:type="dxa"/>
            <w:gridSpan w:val="2"/>
            <w:tcBorders>
              <w:top w:val="single" w:sz="2" w:space="0" w:color="auto"/>
              <w:left w:val="nil"/>
              <w:bottom w:val="nil"/>
              <w:right w:val="nil"/>
            </w:tcBorders>
            <w:hideMark/>
          </w:tcPr>
          <w:p w14:paraId="2086E8DD"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8DE"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E8DF"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8E0" w14:textId="77777777" w:rsidR="00802D3E" w:rsidRDefault="00802D3E">
            <w:pPr>
              <w:pStyle w:val="MeasureTableTextLeftAligned"/>
            </w:pPr>
            <w:r>
              <w:t>A27</w:t>
            </w:r>
          </w:p>
        </w:tc>
      </w:tr>
      <w:tr w:rsidR="00802D3E" w14:paraId="2086E8E6" w14:textId="77777777" w:rsidTr="00802D3E">
        <w:trPr>
          <w:cantSplit/>
          <w:jc w:val="center"/>
        </w:trPr>
        <w:tc>
          <w:tcPr>
            <w:tcW w:w="1934" w:type="dxa"/>
            <w:gridSpan w:val="2"/>
            <w:tcBorders>
              <w:top w:val="nil"/>
              <w:left w:val="nil"/>
              <w:bottom w:val="nil"/>
              <w:right w:val="nil"/>
            </w:tcBorders>
            <w:hideMark/>
          </w:tcPr>
          <w:p w14:paraId="2086E8E2"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8E3"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8E4" w14:textId="77777777" w:rsidR="00802D3E" w:rsidRDefault="00802D3E">
            <w:pPr>
              <w:pStyle w:val="MeasureTableTextItalic"/>
            </w:pPr>
          </w:p>
        </w:tc>
        <w:tc>
          <w:tcPr>
            <w:tcW w:w="1124" w:type="dxa"/>
            <w:gridSpan w:val="2"/>
            <w:tcBorders>
              <w:top w:val="nil"/>
              <w:left w:val="nil"/>
              <w:bottom w:val="nil"/>
              <w:right w:val="nil"/>
            </w:tcBorders>
          </w:tcPr>
          <w:p w14:paraId="2086E8E5" w14:textId="77777777" w:rsidR="00802D3E" w:rsidRDefault="00802D3E">
            <w:pPr>
              <w:pStyle w:val="MeasureTableTextLeftAligned"/>
            </w:pPr>
          </w:p>
        </w:tc>
      </w:tr>
      <w:tr w:rsidR="00802D3E" w14:paraId="2086E8EB" w14:textId="77777777" w:rsidTr="00802D3E">
        <w:trPr>
          <w:cantSplit/>
          <w:jc w:val="center"/>
        </w:trPr>
        <w:tc>
          <w:tcPr>
            <w:tcW w:w="1934" w:type="dxa"/>
            <w:gridSpan w:val="2"/>
            <w:tcBorders>
              <w:top w:val="nil"/>
              <w:left w:val="nil"/>
              <w:bottom w:val="nil"/>
              <w:right w:val="nil"/>
            </w:tcBorders>
            <w:hideMark/>
          </w:tcPr>
          <w:p w14:paraId="2086E8E7"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8E8"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8E9"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8EA" w14:textId="77777777" w:rsidR="00802D3E" w:rsidRDefault="00802D3E">
            <w:pPr>
              <w:pStyle w:val="MeasureTableTextLeftAligned"/>
            </w:pPr>
          </w:p>
        </w:tc>
      </w:tr>
      <w:tr w:rsidR="00802D3E" w14:paraId="2086E8EE" w14:textId="77777777" w:rsidTr="00802D3E">
        <w:trPr>
          <w:cantSplit/>
          <w:jc w:val="center"/>
        </w:trPr>
        <w:tc>
          <w:tcPr>
            <w:tcW w:w="1934" w:type="dxa"/>
            <w:gridSpan w:val="2"/>
            <w:tcBorders>
              <w:top w:val="nil"/>
              <w:left w:val="nil"/>
              <w:bottom w:val="single" w:sz="2" w:space="0" w:color="auto"/>
              <w:right w:val="nil"/>
            </w:tcBorders>
            <w:hideMark/>
          </w:tcPr>
          <w:p w14:paraId="2086E8E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8ED"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Section 160AAA of the </w:t>
            </w:r>
            <w:r w:rsidRPr="00231210">
              <w:rPr>
                <w:rFonts w:ascii="Arial" w:hAnsi="Arial" w:cs="Arial"/>
                <w:i/>
                <w:iCs/>
                <w:color w:val="000000"/>
                <w:sz w:val="16"/>
                <w:szCs w:val="16"/>
              </w:rPr>
              <w:t>Income Tax Assessment Act 1936</w:t>
            </w:r>
          </w:p>
        </w:tc>
      </w:tr>
    </w:tbl>
    <w:p w14:paraId="2086E8EF" w14:textId="77777777" w:rsidR="00802D3E" w:rsidRDefault="00802D3E" w:rsidP="0098392C">
      <w:pPr>
        <w:pStyle w:val="SingleParagraph"/>
      </w:pPr>
    </w:p>
    <w:p w14:paraId="2086E8F0" w14:textId="77777777" w:rsidR="00802D3E" w:rsidRDefault="00802D3E" w:rsidP="00802D3E">
      <w:r>
        <w:t>Taxpayers who receive certain social security benefits</w:t>
      </w:r>
      <w:r>
        <w:fldChar w:fldCharType="begin"/>
      </w:r>
      <w:r>
        <w:instrText xml:space="preserve"> XE "Social security benefits" </w:instrText>
      </w:r>
      <w:r>
        <w:fldChar w:fldCharType="end"/>
      </w:r>
      <w:r>
        <w:t xml:space="preserve"> and allowances</w:t>
      </w:r>
      <w:r>
        <w:fldChar w:fldCharType="begin"/>
      </w:r>
      <w:r>
        <w:instrText xml:space="preserve"> XE "Allowances" </w:instrText>
      </w:r>
      <w:r>
        <w:fldChar w:fldCharType="end"/>
      </w:r>
      <w:r>
        <w:t xml:space="preserve"> may be eligible for the Beneficiary Tax Offset, which ensures that people whose only income during the year is from the benefit or allowance will not pay any tax. </w:t>
      </w:r>
    </w:p>
    <w:p w14:paraId="2086E8F1" w14:textId="77777777" w:rsidR="00802D3E" w:rsidRDefault="00802D3E" w:rsidP="00802D3E">
      <w:r>
        <w:t>Prior to 2012</w:t>
      </w:r>
      <w:r>
        <w:noBreakHyphen/>
        <w:t xml:space="preserve">13, this tax expenditure included the Pensioner Tax Offset, which may be claimed by taxpayers who receive a qualifying government taxable pension such as Parenting Payment Single. </w:t>
      </w:r>
    </w:p>
    <w:p w14:paraId="2086E8F2" w14:textId="77777777" w:rsidR="00802D3E" w:rsidRDefault="00802D3E" w:rsidP="00802D3E">
      <w:pPr>
        <w:pStyle w:val="TESHeading5"/>
        <w:ind w:left="0" w:firstLine="0"/>
      </w:pPr>
      <w:r>
        <w:t>A31</w:t>
      </w:r>
      <w:r>
        <w:tab/>
        <w:t>Dependency tax offsets</w:t>
      </w:r>
    </w:p>
    <w:p w14:paraId="2086E8F3"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8FC" w14:textId="77777777" w:rsidTr="00802D3E">
        <w:trPr>
          <w:cantSplit/>
          <w:jc w:val="center"/>
        </w:trPr>
        <w:tc>
          <w:tcPr>
            <w:tcW w:w="967" w:type="dxa"/>
            <w:tcBorders>
              <w:top w:val="single" w:sz="2" w:space="0" w:color="auto"/>
              <w:left w:val="nil"/>
              <w:bottom w:val="single" w:sz="2" w:space="0" w:color="auto"/>
              <w:right w:val="nil"/>
            </w:tcBorders>
            <w:hideMark/>
          </w:tcPr>
          <w:p w14:paraId="2086E8F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8F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8F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8F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8F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8F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8F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8FB" w14:textId="77777777" w:rsidR="00802D3E" w:rsidRDefault="00802D3E">
            <w:pPr>
              <w:pStyle w:val="MeasureTableTextRightAligned"/>
            </w:pPr>
            <w:r>
              <w:t>2019-20</w:t>
            </w:r>
          </w:p>
        </w:tc>
      </w:tr>
      <w:tr w:rsidR="00802D3E" w14:paraId="2086E905" w14:textId="77777777" w:rsidTr="00802D3E">
        <w:trPr>
          <w:cantSplit/>
          <w:jc w:val="center"/>
        </w:trPr>
        <w:tc>
          <w:tcPr>
            <w:tcW w:w="967" w:type="dxa"/>
            <w:tcBorders>
              <w:top w:val="single" w:sz="2" w:space="0" w:color="auto"/>
              <w:left w:val="nil"/>
              <w:bottom w:val="single" w:sz="2" w:space="0" w:color="auto"/>
              <w:right w:val="nil"/>
            </w:tcBorders>
            <w:hideMark/>
          </w:tcPr>
          <w:p w14:paraId="2086E8FD" w14:textId="77777777" w:rsidR="00802D3E" w:rsidRDefault="00802D3E">
            <w:pPr>
              <w:pStyle w:val="MeasureTableTextRightAligned"/>
            </w:pPr>
            <w:r>
              <w:t>370</w:t>
            </w:r>
          </w:p>
        </w:tc>
        <w:tc>
          <w:tcPr>
            <w:tcW w:w="967" w:type="dxa"/>
            <w:tcBorders>
              <w:top w:val="single" w:sz="2" w:space="0" w:color="auto"/>
              <w:left w:val="nil"/>
              <w:bottom w:val="single" w:sz="2" w:space="0" w:color="auto"/>
              <w:right w:val="nil"/>
            </w:tcBorders>
            <w:hideMark/>
          </w:tcPr>
          <w:p w14:paraId="2086E8FE" w14:textId="77777777" w:rsidR="00802D3E" w:rsidRDefault="00802D3E">
            <w:pPr>
              <w:pStyle w:val="MeasureTableTextRightAligned"/>
            </w:pPr>
            <w:r>
              <w:t>140</w:t>
            </w:r>
          </w:p>
        </w:tc>
        <w:tc>
          <w:tcPr>
            <w:tcW w:w="967" w:type="dxa"/>
            <w:tcBorders>
              <w:top w:val="single" w:sz="2" w:space="0" w:color="auto"/>
              <w:left w:val="nil"/>
              <w:bottom w:val="single" w:sz="2" w:space="0" w:color="auto"/>
              <w:right w:val="nil"/>
            </w:tcBorders>
            <w:vAlign w:val="bottom"/>
            <w:hideMark/>
          </w:tcPr>
          <w:p w14:paraId="2086E8FF" w14:textId="77777777" w:rsidR="00802D3E" w:rsidRDefault="00802D3E">
            <w:pPr>
              <w:pStyle w:val="MeasureTableTextRightAligned"/>
            </w:pPr>
            <w:r>
              <w:t>120</w:t>
            </w:r>
          </w:p>
        </w:tc>
        <w:tc>
          <w:tcPr>
            <w:tcW w:w="967" w:type="dxa"/>
            <w:tcBorders>
              <w:top w:val="single" w:sz="2" w:space="0" w:color="auto"/>
              <w:left w:val="nil"/>
              <w:bottom w:val="single" w:sz="2" w:space="0" w:color="auto"/>
              <w:right w:val="nil"/>
            </w:tcBorders>
            <w:vAlign w:val="bottom"/>
            <w:hideMark/>
          </w:tcPr>
          <w:p w14:paraId="2086E900" w14:textId="77777777" w:rsidR="00802D3E" w:rsidRDefault="00802D3E">
            <w:pPr>
              <w:pStyle w:val="MeasureTableTextRightAligned"/>
            </w:pPr>
            <w:r>
              <w:t>7</w:t>
            </w:r>
          </w:p>
        </w:tc>
        <w:tc>
          <w:tcPr>
            <w:tcW w:w="967" w:type="dxa"/>
            <w:tcBorders>
              <w:top w:val="single" w:sz="2" w:space="0" w:color="auto"/>
              <w:left w:val="nil"/>
              <w:bottom w:val="single" w:sz="2" w:space="0" w:color="auto"/>
              <w:right w:val="nil"/>
            </w:tcBorders>
            <w:vAlign w:val="bottom"/>
            <w:hideMark/>
          </w:tcPr>
          <w:p w14:paraId="2086E901" w14:textId="77777777" w:rsidR="00802D3E" w:rsidRDefault="00802D3E">
            <w:pPr>
              <w:pStyle w:val="MeasureTableTextRightAligned"/>
            </w:pPr>
            <w:r>
              <w:t>7</w:t>
            </w:r>
          </w:p>
        </w:tc>
        <w:tc>
          <w:tcPr>
            <w:tcW w:w="967" w:type="dxa"/>
            <w:gridSpan w:val="2"/>
            <w:tcBorders>
              <w:top w:val="single" w:sz="2" w:space="0" w:color="auto"/>
              <w:left w:val="nil"/>
              <w:bottom w:val="single" w:sz="2" w:space="0" w:color="auto"/>
              <w:right w:val="nil"/>
            </w:tcBorders>
            <w:vAlign w:val="bottom"/>
            <w:hideMark/>
          </w:tcPr>
          <w:p w14:paraId="2086E902" w14:textId="77777777" w:rsidR="00802D3E" w:rsidRDefault="00802D3E">
            <w:pPr>
              <w:pStyle w:val="MeasureTableTextRightAligned"/>
            </w:pPr>
            <w:r>
              <w:t>7</w:t>
            </w:r>
          </w:p>
        </w:tc>
        <w:tc>
          <w:tcPr>
            <w:tcW w:w="967" w:type="dxa"/>
            <w:gridSpan w:val="2"/>
            <w:tcBorders>
              <w:top w:val="single" w:sz="2" w:space="0" w:color="auto"/>
              <w:left w:val="nil"/>
              <w:bottom w:val="single" w:sz="2" w:space="0" w:color="auto"/>
              <w:right w:val="nil"/>
            </w:tcBorders>
            <w:vAlign w:val="bottom"/>
            <w:hideMark/>
          </w:tcPr>
          <w:p w14:paraId="2086E903" w14:textId="77777777" w:rsidR="00802D3E" w:rsidRDefault="00802D3E">
            <w:pPr>
              <w:pStyle w:val="MeasureTableTextRightAligned"/>
            </w:pPr>
            <w:r>
              <w:t>7</w:t>
            </w:r>
          </w:p>
        </w:tc>
        <w:tc>
          <w:tcPr>
            <w:tcW w:w="968" w:type="dxa"/>
            <w:tcBorders>
              <w:top w:val="single" w:sz="2" w:space="0" w:color="auto"/>
              <w:left w:val="nil"/>
              <w:bottom w:val="single" w:sz="2" w:space="0" w:color="auto"/>
              <w:right w:val="nil"/>
            </w:tcBorders>
            <w:vAlign w:val="bottom"/>
            <w:hideMark/>
          </w:tcPr>
          <w:p w14:paraId="2086E904" w14:textId="77777777" w:rsidR="00802D3E" w:rsidRDefault="00802D3E">
            <w:pPr>
              <w:pStyle w:val="MeasureTableTextRightAligned"/>
            </w:pPr>
            <w:r>
              <w:t>7</w:t>
            </w:r>
          </w:p>
        </w:tc>
      </w:tr>
      <w:tr w:rsidR="00802D3E" w14:paraId="2086E90A" w14:textId="77777777" w:rsidTr="00802D3E">
        <w:trPr>
          <w:cantSplit/>
          <w:jc w:val="center"/>
        </w:trPr>
        <w:tc>
          <w:tcPr>
            <w:tcW w:w="1934" w:type="dxa"/>
            <w:gridSpan w:val="2"/>
            <w:tcBorders>
              <w:top w:val="single" w:sz="2" w:space="0" w:color="auto"/>
              <w:left w:val="nil"/>
              <w:bottom w:val="nil"/>
              <w:right w:val="nil"/>
            </w:tcBorders>
            <w:hideMark/>
          </w:tcPr>
          <w:p w14:paraId="2086E90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907"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E90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909" w14:textId="77777777" w:rsidR="00802D3E" w:rsidRDefault="00802D3E">
            <w:pPr>
              <w:pStyle w:val="MeasureTableTextLeftAligned"/>
            </w:pPr>
            <w:r>
              <w:t>A28</w:t>
            </w:r>
          </w:p>
        </w:tc>
      </w:tr>
      <w:tr w:rsidR="00802D3E" w14:paraId="2086E90F" w14:textId="77777777" w:rsidTr="00802D3E">
        <w:trPr>
          <w:cantSplit/>
          <w:jc w:val="center"/>
        </w:trPr>
        <w:tc>
          <w:tcPr>
            <w:tcW w:w="1934" w:type="dxa"/>
            <w:gridSpan w:val="2"/>
            <w:tcBorders>
              <w:top w:val="nil"/>
              <w:left w:val="nil"/>
              <w:bottom w:val="nil"/>
              <w:right w:val="nil"/>
            </w:tcBorders>
            <w:hideMark/>
          </w:tcPr>
          <w:p w14:paraId="2086E90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90C" w14:textId="77777777" w:rsidR="00802D3E" w:rsidRDefault="00802D3E">
            <w:pPr>
              <w:pStyle w:val="MeasureTableTextLeftAligned"/>
            </w:pPr>
            <w:r>
              <w:t>Low</w:t>
            </w:r>
          </w:p>
        </w:tc>
        <w:tc>
          <w:tcPr>
            <w:tcW w:w="1500" w:type="dxa"/>
            <w:gridSpan w:val="2"/>
            <w:tcBorders>
              <w:top w:val="nil"/>
              <w:left w:val="nil"/>
              <w:bottom w:val="nil"/>
              <w:right w:val="nil"/>
            </w:tcBorders>
          </w:tcPr>
          <w:p w14:paraId="2086E90D" w14:textId="77777777" w:rsidR="00802D3E" w:rsidRDefault="00802D3E">
            <w:pPr>
              <w:pStyle w:val="MeasureTableTextItalic"/>
            </w:pPr>
          </w:p>
        </w:tc>
        <w:tc>
          <w:tcPr>
            <w:tcW w:w="1124" w:type="dxa"/>
            <w:gridSpan w:val="2"/>
            <w:tcBorders>
              <w:top w:val="nil"/>
              <w:left w:val="nil"/>
              <w:bottom w:val="nil"/>
              <w:right w:val="nil"/>
            </w:tcBorders>
          </w:tcPr>
          <w:p w14:paraId="2086E90E" w14:textId="77777777" w:rsidR="00802D3E" w:rsidRDefault="00802D3E">
            <w:pPr>
              <w:pStyle w:val="MeasureTableTextLeftAligned"/>
            </w:pPr>
          </w:p>
        </w:tc>
      </w:tr>
      <w:tr w:rsidR="00802D3E" w14:paraId="2086E914" w14:textId="77777777" w:rsidTr="00802D3E">
        <w:trPr>
          <w:cantSplit/>
          <w:jc w:val="center"/>
        </w:trPr>
        <w:tc>
          <w:tcPr>
            <w:tcW w:w="1934" w:type="dxa"/>
            <w:gridSpan w:val="2"/>
            <w:tcBorders>
              <w:top w:val="nil"/>
              <w:left w:val="nil"/>
              <w:bottom w:val="nil"/>
              <w:right w:val="nil"/>
            </w:tcBorders>
            <w:hideMark/>
          </w:tcPr>
          <w:p w14:paraId="2086E91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911"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91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913" w14:textId="77777777" w:rsidR="00802D3E" w:rsidRDefault="00802D3E">
            <w:pPr>
              <w:pStyle w:val="MeasureTableTextLeftAligned"/>
            </w:pPr>
          </w:p>
        </w:tc>
      </w:tr>
      <w:tr w:rsidR="00802D3E" w14:paraId="2086E917" w14:textId="77777777" w:rsidTr="00802D3E">
        <w:trPr>
          <w:cantSplit/>
          <w:jc w:val="center"/>
        </w:trPr>
        <w:tc>
          <w:tcPr>
            <w:tcW w:w="1934" w:type="dxa"/>
            <w:gridSpan w:val="2"/>
            <w:tcBorders>
              <w:top w:val="nil"/>
              <w:left w:val="nil"/>
              <w:bottom w:val="single" w:sz="2" w:space="0" w:color="auto"/>
              <w:right w:val="nil"/>
            </w:tcBorders>
            <w:hideMark/>
          </w:tcPr>
          <w:p w14:paraId="2086E91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916"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Subdivision 61-A of the </w:t>
            </w:r>
            <w:r w:rsidRPr="00231210">
              <w:rPr>
                <w:rFonts w:ascii="Arial" w:hAnsi="Arial" w:cs="Arial"/>
                <w:i/>
                <w:iCs/>
                <w:color w:val="000000"/>
                <w:sz w:val="16"/>
                <w:szCs w:val="16"/>
              </w:rPr>
              <w:t>Income Tax Assessment Act 1997</w:t>
            </w:r>
          </w:p>
        </w:tc>
      </w:tr>
    </w:tbl>
    <w:p w14:paraId="2086E918" w14:textId="77777777" w:rsidR="00802D3E" w:rsidRDefault="00802D3E" w:rsidP="0098392C">
      <w:pPr>
        <w:pStyle w:val="SingleParagraph"/>
      </w:pPr>
    </w:p>
    <w:p w14:paraId="2086E919" w14:textId="77777777" w:rsidR="00802D3E" w:rsidRDefault="00802D3E" w:rsidP="00802D3E">
      <w:r>
        <w:t xml:space="preserve">Taxpayers who maintain a dependant unable to work due to carer obligations or disability may receive a tax offset to reduce their income tax liability. </w:t>
      </w:r>
    </w:p>
    <w:p w14:paraId="2086E91A" w14:textId="3CB229ED" w:rsidR="00802D3E" w:rsidRDefault="00802D3E" w:rsidP="00802D3E">
      <w:r>
        <w:t>A range of dependency tax offsets, including the dependent spouse tax offset and the invalid relative, parent, parent-in-law, housekeeper, housekeeper (with child), child</w:t>
      </w:r>
      <w:r>
        <w:noBreakHyphen/>
        <w:t>housekeeper and child-housekeeper (with child) tax offsets, were abolished from</w:t>
      </w:r>
      <w:r w:rsidR="000B1D9D">
        <w:t> </w:t>
      </w:r>
      <w:r>
        <w:t xml:space="preserve">1 July 2014. </w:t>
      </w:r>
    </w:p>
    <w:p w14:paraId="2086E91B" w14:textId="77777777" w:rsidR="00802D3E" w:rsidRDefault="00802D3E" w:rsidP="00802D3E">
      <w:pPr>
        <w:pStyle w:val="TESHeading5"/>
        <w:ind w:left="0" w:firstLine="0"/>
      </w:pPr>
      <w:r>
        <w:lastRenderedPageBreak/>
        <w:t>A32</w:t>
      </w:r>
      <w:r>
        <w:tab/>
        <w:t>Release from particular tax liabilities in cases of serious hardship</w:t>
      </w:r>
    </w:p>
    <w:p w14:paraId="2086E91C"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925" w14:textId="77777777" w:rsidTr="00802D3E">
        <w:trPr>
          <w:cantSplit/>
          <w:jc w:val="center"/>
        </w:trPr>
        <w:tc>
          <w:tcPr>
            <w:tcW w:w="967" w:type="dxa"/>
            <w:tcBorders>
              <w:top w:val="single" w:sz="2" w:space="0" w:color="auto"/>
              <w:left w:val="nil"/>
              <w:bottom w:val="single" w:sz="2" w:space="0" w:color="auto"/>
              <w:right w:val="nil"/>
            </w:tcBorders>
            <w:hideMark/>
          </w:tcPr>
          <w:p w14:paraId="2086E91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91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91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92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92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92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92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924" w14:textId="77777777" w:rsidR="00802D3E" w:rsidRDefault="00802D3E">
            <w:pPr>
              <w:pStyle w:val="MeasureTableTextRightAligned"/>
            </w:pPr>
            <w:r>
              <w:t>2019-20</w:t>
            </w:r>
          </w:p>
        </w:tc>
      </w:tr>
      <w:tr w:rsidR="00802D3E" w14:paraId="2086E92E" w14:textId="77777777" w:rsidTr="00802D3E">
        <w:trPr>
          <w:cantSplit/>
          <w:jc w:val="center"/>
        </w:trPr>
        <w:tc>
          <w:tcPr>
            <w:tcW w:w="967" w:type="dxa"/>
            <w:tcBorders>
              <w:top w:val="single" w:sz="2" w:space="0" w:color="auto"/>
              <w:left w:val="nil"/>
              <w:bottom w:val="single" w:sz="2" w:space="0" w:color="auto"/>
              <w:right w:val="nil"/>
            </w:tcBorders>
            <w:hideMark/>
          </w:tcPr>
          <w:p w14:paraId="2086E926" w14:textId="77777777" w:rsidR="00802D3E" w:rsidRDefault="00802D3E">
            <w:pPr>
              <w:pStyle w:val="MeasureTableTextRightAligned"/>
            </w:pPr>
            <w:r>
              <w:t>62</w:t>
            </w:r>
          </w:p>
        </w:tc>
        <w:tc>
          <w:tcPr>
            <w:tcW w:w="967" w:type="dxa"/>
            <w:tcBorders>
              <w:top w:val="single" w:sz="2" w:space="0" w:color="auto"/>
              <w:left w:val="nil"/>
              <w:bottom w:val="single" w:sz="2" w:space="0" w:color="auto"/>
              <w:right w:val="nil"/>
            </w:tcBorders>
            <w:hideMark/>
          </w:tcPr>
          <w:p w14:paraId="2086E927" w14:textId="77777777" w:rsidR="00802D3E" w:rsidRDefault="00802D3E">
            <w:pPr>
              <w:pStyle w:val="MeasureTableTextRightAligned"/>
            </w:pPr>
            <w:r>
              <w:t>53</w:t>
            </w:r>
          </w:p>
        </w:tc>
        <w:tc>
          <w:tcPr>
            <w:tcW w:w="967" w:type="dxa"/>
            <w:tcBorders>
              <w:top w:val="single" w:sz="2" w:space="0" w:color="auto"/>
              <w:left w:val="nil"/>
              <w:bottom w:val="single" w:sz="2" w:space="0" w:color="auto"/>
              <w:right w:val="nil"/>
            </w:tcBorders>
            <w:vAlign w:val="bottom"/>
            <w:hideMark/>
          </w:tcPr>
          <w:p w14:paraId="2086E928" w14:textId="77777777" w:rsidR="00802D3E" w:rsidRDefault="00802D3E">
            <w:pPr>
              <w:pStyle w:val="MeasureTableTextRightAligned"/>
            </w:pPr>
            <w:r>
              <w:t>40</w:t>
            </w:r>
          </w:p>
        </w:tc>
        <w:tc>
          <w:tcPr>
            <w:tcW w:w="967" w:type="dxa"/>
            <w:tcBorders>
              <w:top w:val="single" w:sz="2" w:space="0" w:color="auto"/>
              <w:left w:val="nil"/>
              <w:bottom w:val="single" w:sz="2" w:space="0" w:color="auto"/>
              <w:right w:val="nil"/>
            </w:tcBorders>
            <w:vAlign w:val="bottom"/>
            <w:hideMark/>
          </w:tcPr>
          <w:p w14:paraId="2086E929" w14:textId="77777777" w:rsidR="00802D3E" w:rsidRDefault="00802D3E">
            <w:pPr>
              <w:pStyle w:val="MeasureTableTextRightAligned"/>
            </w:pPr>
            <w:r>
              <w:t>41</w:t>
            </w:r>
          </w:p>
        </w:tc>
        <w:tc>
          <w:tcPr>
            <w:tcW w:w="967" w:type="dxa"/>
            <w:tcBorders>
              <w:top w:val="single" w:sz="2" w:space="0" w:color="auto"/>
              <w:left w:val="nil"/>
              <w:bottom w:val="single" w:sz="2" w:space="0" w:color="auto"/>
              <w:right w:val="nil"/>
            </w:tcBorders>
            <w:vAlign w:val="bottom"/>
            <w:hideMark/>
          </w:tcPr>
          <w:p w14:paraId="2086E92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92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92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92D" w14:textId="77777777" w:rsidR="00802D3E" w:rsidRDefault="00802D3E">
            <w:pPr>
              <w:pStyle w:val="MeasureTableTextRightAligned"/>
            </w:pPr>
            <w:r>
              <w:t>*</w:t>
            </w:r>
          </w:p>
        </w:tc>
      </w:tr>
      <w:tr w:rsidR="00802D3E" w14:paraId="2086E933" w14:textId="77777777" w:rsidTr="00802D3E">
        <w:trPr>
          <w:cantSplit/>
          <w:jc w:val="center"/>
        </w:trPr>
        <w:tc>
          <w:tcPr>
            <w:tcW w:w="1934" w:type="dxa"/>
            <w:gridSpan w:val="2"/>
            <w:tcBorders>
              <w:top w:val="single" w:sz="2" w:space="0" w:color="auto"/>
              <w:left w:val="nil"/>
              <w:bottom w:val="nil"/>
              <w:right w:val="nil"/>
            </w:tcBorders>
            <w:hideMark/>
          </w:tcPr>
          <w:p w14:paraId="2086E92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93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93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932" w14:textId="77777777" w:rsidR="00802D3E" w:rsidRDefault="00802D3E">
            <w:pPr>
              <w:pStyle w:val="MeasureTableTextLeftAligned"/>
            </w:pPr>
            <w:r>
              <w:t>A29</w:t>
            </w:r>
          </w:p>
        </w:tc>
      </w:tr>
      <w:tr w:rsidR="00802D3E" w14:paraId="2086E938" w14:textId="77777777" w:rsidTr="00802D3E">
        <w:trPr>
          <w:cantSplit/>
          <w:jc w:val="center"/>
        </w:trPr>
        <w:tc>
          <w:tcPr>
            <w:tcW w:w="1934" w:type="dxa"/>
            <w:gridSpan w:val="2"/>
            <w:tcBorders>
              <w:top w:val="nil"/>
              <w:left w:val="nil"/>
              <w:bottom w:val="nil"/>
              <w:right w:val="nil"/>
            </w:tcBorders>
            <w:hideMark/>
          </w:tcPr>
          <w:p w14:paraId="2086E93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935" w14:textId="77777777" w:rsidR="00802D3E" w:rsidRDefault="00802D3E">
            <w:pPr>
              <w:pStyle w:val="MeasureTableTextLeftAligned"/>
            </w:pPr>
            <w:r>
              <w:t>High</w:t>
            </w:r>
          </w:p>
        </w:tc>
        <w:tc>
          <w:tcPr>
            <w:tcW w:w="1500" w:type="dxa"/>
            <w:gridSpan w:val="2"/>
            <w:tcBorders>
              <w:top w:val="nil"/>
              <w:left w:val="nil"/>
              <w:bottom w:val="nil"/>
              <w:right w:val="nil"/>
            </w:tcBorders>
            <w:hideMark/>
          </w:tcPr>
          <w:p w14:paraId="2086E93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937" w14:textId="77777777" w:rsidR="00802D3E" w:rsidRDefault="00802D3E">
            <w:pPr>
              <w:pStyle w:val="MeasureTableTextLeftAligned"/>
            </w:pPr>
            <w:r>
              <w:t>2+</w:t>
            </w:r>
          </w:p>
        </w:tc>
      </w:tr>
      <w:tr w:rsidR="00802D3E" w14:paraId="2086E93D" w14:textId="77777777" w:rsidTr="00802D3E">
        <w:trPr>
          <w:cantSplit/>
          <w:jc w:val="center"/>
        </w:trPr>
        <w:tc>
          <w:tcPr>
            <w:tcW w:w="1934" w:type="dxa"/>
            <w:gridSpan w:val="2"/>
            <w:tcBorders>
              <w:top w:val="nil"/>
              <w:left w:val="nil"/>
              <w:bottom w:val="nil"/>
              <w:right w:val="nil"/>
            </w:tcBorders>
            <w:hideMark/>
          </w:tcPr>
          <w:p w14:paraId="2086E93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93A"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93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93C" w14:textId="77777777" w:rsidR="00802D3E" w:rsidRDefault="00802D3E">
            <w:pPr>
              <w:pStyle w:val="MeasureTableTextLeftAligned"/>
            </w:pPr>
          </w:p>
        </w:tc>
      </w:tr>
      <w:tr w:rsidR="00802D3E" w14:paraId="2086E940" w14:textId="77777777" w:rsidTr="00802D3E">
        <w:trPr>
          <w:cantSplit/>
          <w:jc w:val="center"/>
        </w:trPr>
        <w:tc>
          <w:tcPr>
            <w:tcW w:w="1934" w:type="dxa"/>
            <w:gridSpan w:val="2"/>
            <w:tcBorders>
              <w:top w:val="nil"/>
              <w:left w:val="nil"/>
              <w:bottom w:val="single" w:sz="2" w:space="0" w:color="auto"/>
              <w:right w:val="nil"/>
            </w:tcBorders>
            <w:hideMark/>
          </w:tcPr>
          <w:p w14:paraId="2086E93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tcPr>
          <w:p w14:paraId="2086E93F" w14:textId="77777777" w:rsidR="00802D3E" w:rsidRPr="00231210" w:rsidRDefault="00802D3E" w:rsidP="00231210">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Division 340 in Schedule 1 to the </w:t>
            </w:r>
            <w:r>
              <w:rPr>
                <w:rFonts w:ascii="Arial" w:hAnsi="Arial" w:cs="Arial"/>
                <w:i/>
                <w:iCs/>
                <w:color w:val="000000"/>
                <w:sz w:val="16"/>
                <w:szCs w:val="16"/>
              </w:rPr>
              <w:t>Tax Administratio</w:t>
            </w:r>
            <w:r w:rsidR="00231210">
              <w:rPr>
                <w:rFonts w:ascii="Arial" w:hAnsi="Arial" w:cs="Arial"/>
                <w:i/>
                <w:iCs/>
                <w:color w:val="000000"/>
                <w:sz w:val="16"/>
                <w:szCs w:val="16"/>
              </w:rPr>
              <w:t>n Act 1953</w:t>
            </w:r>
          </w:p>
        </w:tc>
      </w:tr>
    </w:tbl>
    <w:p w14:paraId="2086E941" w14:textId="77777777" w:rsidR="00802D3E" w:rsidRDefault="00802D3E" w:rsidP="0098392C">
      <w:pPr>
        <w:pStyle w:val="SingleParagraph"/>
      </w:pPr>
    </w:p>
    <w:p w14:paraId="2086E942" w14:textId="77777777" w:rsidR="00802D3E" w:rsidRDefault="00802D3E" w:rsidP="00802D3E">
      <w:r>
        <w:t>An individual taxpayer can be released from a tax liability where payment of the liability would cause serious hardship</w:t>
      </w:r>
      <w:r>
        <w:fldChar w:fldCharType="begin"/>
      </w:r>
      <w:r>
        <w:instrText xml:space="preserve"> XE "Serious hardship" </w:instrText>
      </w:r>
      <w:r>
        <w:fldChar w:fldCharType="end"/>
      </w:r>
      <w:r>
        <w:t xml:space="preserve">. This release from tax liability acts like a tax exemption. </w:t>
      </w:r>
    </w:p>
    <w:p w14:paraId="2086E943" w14:textId="77777777" w:rsidR="00802D3E" w:rsidRDefault="00802D3E" w:rsidP="00802D3E">
      <w:pPr>
        <w:pStyle w:val="TESHeading5"/>
        <w:ind w:left="0" w:firstLine="0"/>
      </w:pPr>
      <w:r>
        <w:t>A33</w:t>
      </w:r>
      <w:r>
        <w:tab/>
        <w:t>Seniors and pensioners tax offset</w:t>
      </w:r>
    </w:p>
    <w:p w14:paraId="2086E944"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94D" w14:textId="77777777" w:rsidTr="00802D3E">
        <w:trPr>
          <w:cantSplit/>
          <w:jc w:val="center"/>
        </w:trPr>
        <w:tc>
          <w:tcPr>
            <w:tcW w:w="967" w:type="dxa"/>
            <w:tcBorders>
              <w:top w:val="single" w:sz="2" w:space="0" w:color="auto"/>
              <w:left w:val="nil"/>
              <w:bottom w:val="single" w:sz="2" w:space="0" w:color="auto"/>
              <w:right w:val="nil"/>
            </w:tcBorders>
            <w:hideMark/>
          </w:tcPr>
          <w:p w14:paraId="2086E94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94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94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94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94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94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94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94C" w14:textId="77777777" w:rsidR="00802D3E" w:rsidRDefault="00802D3E">
            <w:pPr>
              <w:pStyle w:val="MeasureTableTextRightAligned"/>
            </w:pPr>
            <w:r>
              <w:t>2019-20</w:t>
            </w:r>
          </w:p>
        </w:tc>
      </w:tr>
      <w:tr w:rsidR="00802D3E" w14:paraId="2086E956" w14:textId="77777777" w:rsidTr="00802D3E">
        <w:trPr>
          <w:cantSplit/>
          <w:jc w:val="center"/>
        </w:trPr>
        <w:tc>
          <w:tcPr>
            <w:tcW w:w="967" w:type="dxa"/>
            <w:tcBorders>
              <w:top w:val="single" w:sz="2" w:space="0" w:color="auto"/>
              <w:left w:val="nil"/>
              <w:bottom w:val="single" w:sz="2" w:space="0" w:color="auto"/>
              <w:right w:val="nil"/>
            </w:tcBorders>
            <w:hideMark/>
          </w:tcPr>
          <w:p w14:paraId="2086E94E" w14:textId="77777777" w:rsidR="00802D3E" w:rsidRDefault="00802D3E">
            <w:pPr>
              <w:pStyle w:val="MeasureTableTextRightAligned"/>
            </w:pPr>
            <w:r>
              <w:t>690</w:t>
            </w:r>
          </w:p>
        </w:tc>
        <w:tc>
          <w:tcPr>
            <w:tcW w:w="967" w:type="dxa"/>
            <w:tcBorders>
              <w:top w:val="single" w:sz="2" w:space="0" w:color="auto"/>
              <w:left w:val="nil"/>
              <w:bottom w:val="single" w:sz="2" w:space="0" w:color="auto"/>
              <w:right w:val="nil"/>
            </w:tcBorders>
            <w:hideMark/>
          </w:tcPr>
          <w:p w14:paraId="2086E94F" w14:textId="77777777" w:rsidR="00802D3E" w:rsidRDefault="00802D3E">
            <w:pPr>
              <w:pStyle w:val="MeasureTableTextRightAligned"/>
            </w:pPr>
            <w:r>
              <w:t>900</w:t>
            </w:r>
          </w:p>
        </w:tc>
        <w:tc>
          <w:tcPr>
            <w:tcW w:w="967" w:type="dxa"/>
            <w:tcBorders>
              <w:top w:val="single" w:sz="2" w:space="0" w:color="auto"/>
              <w:left w:val="nil"/>
              <w:bottom w:val="single" w:sz="2" w:space="0" w:color="auto"/>
              <w:right w:val="nil"/>
            </w:tcBorders>
            <w:vAlign w:val="bottom"/>
            <w:hideMark/>
          </w:tcPr>
          <w:p w14:paraId="2086E950" w14:textId="77777777" w:rsidR="00802D3E" w:rsidRDefault="00802D3E">
            <w:pPr>
              <w:pStyle w:val="MeasureTableTextRightAligned"/>
            </w:pPr>
            <w:r>
              <w:t>880</w:t>
            </w:r>
          </w:p>
        </w:tc>
        <w:tc>
          <w:tcPr>
            <w:tcW w:w="967" w:type="dxa"/>
            <w:tcBorders>
              <w:top w:val="single" w:sz="2" w:space="0" w:color="auto"/>
              <w:left w:val="nil"/>
              <w:bottom w:val="single" w:sz="2" w:space="0" w:color="auto"/>
              <w:right w:val="nil"/>
            </w:tcBorders>
            <w:vAlign w:val="bottom"/>
            <w:hideMark/>
          </w:tcPr>
          <w:p w14:paraId="2086E951" w14:textId="77777777" w:rsidR="00802D3E" w:rsidRDefault="00802D3E">
            <w:pPr>
              <w:pStyle w:val="MeasureTableTextRightAligned"/>
            </w:pPr>
            <w:r>
              <w:t>890</w:t>
            </w:r>
          </w:p>
        </w:tc>
        <w:tc>
          <w:tcPr>
            <w:tcW w:w="967" w:type="dxa"/>
            <w:tcBorders>
              <w:top w:val="single" w:sz="2" w:space="0" w:color="auto"/>
              <w:left w:val="nil"/>
              <w:bottom w:val="single" w:sz="2" w:space="0" w:color="auto"/>
              <w:right w:val="nil"/>
            </w:tcBorders>
            <w:vAlign w:val="bottom"/>
            <w:hideMark/>
          </w:tcPr>
          <w:p w14:paraId="2086E952" w14:textId="77777777" w:rsidR="00802D3E" w:rsidRDefault="00802D3E">
            <w:pPr>
              <w:pStyle w:val="MeasureTableTextRightAligned"/>
            </w:pPr>
            <w:r>
              <w:t>890</w:t>
            </w:r>
          </w:p>
        </w:tc>
        <w:tc>
          <w:tcPr>
            <w:tcW w:w="967" w:type="dxa"/>
            <w:gridSpan w:val="2"/>
            <w:tcBorders>
              <w:top w:val="single" w:sz="2" w:space="0" w:color="auto"/>
              <w:left w:val="nil"/>
              <w:bottom w:val="single" w:sz="2" w:space="0" w:color="auto"/>
              <w:right w:val="nil"/>
            </w:tcBorders>
            <w:vAlign w:val="bottom"/>
            <w:hideMark/>
          </w:tcPr>
          <w:p w14:paraId="2086E953" w14:textId="77777777" w:rsidR="00802D3E" w:rsidRDefault="00802D3E">
            <w:pPr>
              <w:pStyle w:val="MeasureTableTextRightAligned"/>
            </w:pPr>
            <w:r>
              <w:t>890</w:t>
            </w:r>
          </w:p>
        </w:tc>
        <w:tc>
          <w:tcPr>
            <w:tcW w:w="967" w:type="dxa"/>
            <w:gridSpan w:val="2"/>
            <w:tcBorders>
              <w:top w:val="single" w:sz="2" w:space="0" w:color="auto"/>
              <w:left w:val="nil"/>
              <w:bottom w:val="single" w:sz="2" w:space="0" w:color="auto"/>
              <w:right w:val="nil"/>
            </w:tcBorders>
            <w:vAlign w:val="bottom"/>
            <w:hideMark/>
          </w:tcPr>
          <w:p w14:paraId="2086E954" w14:textId="77777777" w:rsidR="00802D3E" w:rsidRDefault="00802D3E">
            <w:pPr>
              <w:pStyle w:val="MeasureTableTextRightAligned"/>
            </w:pPr>
            <w:r>
              <w:t>890</w:t>
            </w:r>
          </w:p>
        </w:tc>
        <w:tc>
          <w:tcPr>
            <w:tcW w:w="968" w:type="dxa"/>
            <w:tcBorders>
              <w:top w:val="single" w:sz="2" w:space="0" w:color="auto"/>
              <w:left w:val="nil"/>
              <w:bottom w:val="single" w:sz="2" w:space="0" w:color="auto"/>
              <w:right w:val="nil"/>
            </w:tcBorders>
            <w:vAlign w:val="bottom"/>
            <w:hideMark/>
          </w:tcPr>
          <w:p w14:paraId="2086E955" w14:textId="77777777" w:rsidR="00802D3E" w:rsidRDefault="00802D3E">
            <w:pPr>
              <w:pStyle w:val="MeasureTableTextRightAligned"/>
            </w:pPr>
            <w:r>
              <w:t>890</w:t>
            </w:r>
          </w:p>
        </w:tc>
      </w:tr>
      <w:tr w:rsidR="00802D3E" w14:paraId="2086E95B" w14:textId="77777777" w:rsidTr="00802D3E">
        <w:trPr>
          <w:cantSplit/>
          <w:jc w:val="center"/>
        </w:trPr>
        <w:tc>
          <w:tcPr>
            <w:tcW w:w="1934" w:type="dxa"/>
            <w:gridSpan w:val="2"/>
            <w:tcBorders>
              <w:top w:val="single" w:sz="2" w:space="0" w:color="auto"/>
              <w:left w:val="nil"/>
              <w:bottom w:val="nil"/>
              <w:right w:val="nil"/>
            </w:tcBorders>
            <w:hideMark/>
          </w:tcPr>
          <w:p w14:paraId="2086E95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958"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E95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95A" w14:textId="77777777" w:rsidR="00802D3E" w:rsidRDefault="00802D3E">
            <w:pPr>
              <w:pStyle w:val="MeasureTableTextLeftAligned"/>
            </w:pPr>
            <w:r>
              <w:t>A30</w:t>
            </w:r>
          </w:p>
        </w:tc>
      </w:tr>
      <w:tr w:rsidR="00802D3E" w14:paraId="2086E960" w14:textId="77777777" w:rsidTr="00802D3E">
        <w:trPr>
          <w:cantSplit/>
          <w:jc w:val="center"/>
        </w:trPr>
        <w:tc>
          <w:tcPr>
            <w:tcW w:w="1934" w:type="dxa"/>
            <w:gridSpan w:val="2"/>
            <w:tcBorders>
              <w:top w:val="nil"/>
              <w:left w:val="nil"/>
              <w:bottom w:val="nil"/>
              <w:right w:val="nil"/>
            </w:tcBorders>
            <w:hideMark/>
          </w:tcPr>
          <w:p w14:paraId="2086E95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95D"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95E" w14:textId="77777777" w:rsidR="00802D3E" w:rsidRDefault="00802D3E">
            <w:pPr>
              <w:pStyle w:val="MeasureTableTextItalic"/>
            </w:pPr>
          </w:p>
        </w:tc>
        <w:tc>
          <w:tcPr>
            <w:tcW w:w="1124" w:type="dxa"/>
            <w:gridSpan w:val="2"/>
            <w:tcBorders>
              <w:top w:val="nil"/>
              <w:left w:val="nil"/>
              <w:bottom w:val="nil"/>
              <w:right w:val="nil"/>
            </w:tcBorders>
          </w:tcPr>
          <w:p w14:paraId="2086E95F" w14:textId="77777777" w:rsidR="00802D3E" w:rsidRDefault="00802D3E">
            <w:pPr>
              <w:pStyle w:val="MeasureTableTextLeftAligned"/>
            </w:pPr>
          </w:p>
        </w:tc>
      </w:tr>
      <w:tr w:rsidR="00802D3E" w14:paraId="2086E965" w14:textId="77777777" w:rsidTr="00802D3E">
        <w:trPr>
          <w:cantSplit/>
          <w:jc w:val="center"/>
        </w:trPr>
        <w:tc>
          <w:tcPr>
            <w:tcW w:w="1934" w:type="dxa"/>
            <w:gridSpan w:val="2"/>
            <w:tcBorders>
              <w:top w:val="nil"/>
              <w:left w:val="nil"/>
              <w:bottom w:val="nil"/>
              <w:right w:val="nil"/>
            </w:tcBorders>
            <w:hideMark/>
          </w:tcPr>
          <w:p w14:paraId="2086E96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962" w14:textId="77777777" w:rsidR="00802D3E" w:rsidRDefault="00802D3E">
            <w:pPr>
              <w:pStyle w:val="MeasureTableTextLeftAligned"/>
            </w:pPr>
            <w:r>
              <w:t>1996</w:t>
            </w:r>
          </w:p>
        </w:tc>
        <w:tc>
          <w:tcPr>
            <w:tcW w:w="1500" w:type="dxa"/>
            <w:gridSpan w:val="2"/>
            <w:tcBorders>
              <w:top w:val="nil"/>
              <w:left w:val="nil"/>
              <w:bottom w:val="nil"/>
              <w:right w:val="nil"/>
            </w:tcBorders>
            <w:hideMark/>
          </w:tcPr>
          <w:p w14:paraId="2086E96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964" w14:textId="77777777" w:rsidR="00802D3E" w:rsidRDefault="00802D3E">
            <w:pPr>
              <w:pStyle w:val="MeasureTableTextLeftAligned"/>
            </w:pPr>
          </w:p>
        </w:tc>
      </w:tr>
      <w:tr w:rsidR="00802D3E" w14:paraId="2086E968" w14:textId="77777777" w:rsidTr="00802D3E">
        <w:trPr>
          <w:cantSplit/>
          <w:jc w:val="center"/>
        </w:trPr>
        <w:tc>
          <w:tcPr>
            <w:tcW w:w="1934" w:type="dxa"/>
            <w:gridSpan w:val="2"/>
            <w:tcBorders>
              <w:top w:val="nil"/>
              <w:left w:val="nil"/>
              <w:bottom w:val="single" w:sz="2" w:space="0" w:color="auto"/>
              <w:right w:val="nil"/>
            </w:tcBorders>
            <w:hideMark/>
          </w:tcPr>
          <w:p w14:paraId="2086E96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967"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Sections 160AAAA and 160AAAB of the </w:t>
            </w:r>
            <w:r w:rsidRPr="00231210">
              <w:rPr>
                <w:rFonts w:ascii="Arial" w:hAnsi="Arial" w:cs="Arial"/>
                <w:i/>
                <w:iCs/>
                <w:color w:val="000000"/>
                <w:sz w:val="16"/>
                <w:szCs w:val="16"/>
              </w:rPr>
              <w:t>Income Tax Assessment Act 1936</w:t>
            </w:r>
          </w:p>
        </w:tc>
      </w:tr>
    </w:tbl>
    <w:p w14:paraId="2086E969" w14:textId="77777777" w:rsidR="00802D3E" w:rsidRDefault="00802D3E" w:rsidP="0098392C">
      <w:pPr>
        <w:pStyle w:val="SingleParagraph"/>
      </w:pPr>
    </w:p>
    <w:p w14:paraId="2086E96A" w14:textId="25549D8C" w:rsidR="00802D3E" w:rsidRDefault="00802D3E" w:rsidP="00802D3E">
      <w:r>
        <w:rPr>
          <w:color w:val="000000"/>
        </w:rPr>
        <w:t xml:space="preserve">The seniors and pensioners tax offset </w:t>
      </w:r>
      <w:r>
        <w:rPr>
          <w:color w:val="000000"/>
        </w:rPr>
        <w:fldChar w:fldCharType="begin"/>
      </w:r>
      <w:r>
        <w:instrText xml:space="preserve"> XE "Senior Australians' and Pensioners' Tax Offset" </w:instrText>
      </w:r>
      <w:r>
        <w:rPr>
          <w:color w:val="000000"/>
        </w:rPr>
        <w:fldChar w:fldCharType="end"/>
      </w:r>
      <w:r>
        <w:rPr>
          <w:color w:val="000000"/>
        </w:rPr>
        <w:t xml:space="preserve"> is available to taxpayers who receive certain taxable pensions and payments, for example, the Age Pension and the Defence F</w:t>
      </w:r>
      <w:r w:rsidR="000D700A">
        <w:rPr>
          <w:color w:val="000000"/>
        </w:rPr>
        <w:t xml:space="preserve">orce Income Support Allowance. </w:t>
      </w:r>
      <w:r>
        <w:rPr>
          <w:color w:val="000000"/>
        </w:rPr>
        <w:t>It is also available to taxpayers who are of Age Pension age but who do not receive the Age Pension because of the income or assets tests.</w:t>
      </w:r>
      <w:r>
        <w:t xml:space="preserve"> </w:t>
      </w:r>
    </w:p>
    <w:p w14:paraId="2086E96B" w14:textId="77777777" w:rsidR="00802D3E" w:rsidRDefault="00802D3E" w:rsidP="00802D3E">
      <w:pPr>
        <w:pStyle w:val="TESHeading5"/>
        <w:ind w:left="0" w:firstLine="0"/>
      </w:pPr>
      <w:r>
        <w:t>A34</w:t>
      </w:r>
      <w:r>
        <w:tab/>
        <w:t>Seasonal Labour Mobility Program</w:t>
      </w:r>
    </w:p>
    <w:p w14:paraId="2086E96C" w14:textId="77777777" w:rsidR="00802D3E" w:rsidRDefault="00802D3E" w:rsidP="00802D3E">
      <w:pPr>
        <w:pStyle w:val="MeasureTableHeading"/>
      </w:pPr>
      <w:r>
        <w:t xml:space="preserve">Other economic affairs </w:t>
      </w:r>
      <w:r w:rsidR="00C853A0">
        <w:t>–</w:t>
      </w:r>
      <w:r>
        <w:t xml:space="preserve"> Total</w:t>
      </w:r>
      <w:r w:rsidR="00C853A0">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975" w14:textId="77777777" w:rsidTr="00802D3E">
        <w:trPr>
          <w:cantSplit/>
          <w:jc w:val="center"/>
        </w:trPr>
        <w:tc>
          <w:tcPr>
            <w:tcW w:w="967" w:type="dxa"/>
            <w:tcBorders>
              <w:top w:val="single" w:sz="2" w:space="0" w:color="auto"/>
              <w:left w:val="nil"/>
              <w:bottom w:val="single" w:sz="2" w:space="0" w:color="auto"/>
              <w:right w:val="nil"/>
            </w:tcBorders>
            <w:hideMark/>
          </w:tcPr>
          <w:p w14:paraId="2086E96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96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96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97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97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97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97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974" w14:textId="77777777" w:rsidR="00802D3E" w:rsidRDefault="00802D3E">
            <w:pPr>
              <w:pStyle w:val="MeasureTableTextRightAligned"/>
            </w:pPr>
            <w:r>
              <w:t>2019-20</w:t>
            </w:r>
          </w:p>
        </w:tc>
      </w:tr>
      <w:tr w:rsidR="00802D3E" w14:paraId="2086E97E" w14:textId="77777777" w:rsidTr="00802D3E">
        <w:trPr>
          <w:cantSplit/>
          <w:jc w:val="center"/>
        </w:trPr>
        <w:tc>
          <w:tcPr>
            <w:tcW w:w="967" w:type="dxa"/>
            <w:tcBorders>
              <w:top w:val="single" w:sz="2" w:space="0" w:color="auto"/>
              <w:left w:val="nil"/>
              <w:bottom w:val="single" w:sz="2" w:space="0" w:color="auto"/>
              <w:right w:val="nil"/>
            </w:tcBorders>
            <w:hideMark/>
          </w:tcPr>
          <w:p w14:paraId="2086E976"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hideMark/>
          </w:tcPr>
          <w:p w14:paraId="2086E977" w14:textId="77777777" w:rsidR="00802D3E" w:rsidRDefault="00802D3E">
            <w:pPr>
              <w:pStyle w:val="MeasureTableTextRightAligned"/>
            </w:pPr>
            <w:r>
              <w:t>2</w:t>
            </w:r>
          </w:p>
        </w:tc>
        <w:tc>
          <w:tcPr>
            <w:tcW w:w="967" w:type="dxa"/>
            <w:tcBorders>
              <w:top w:val="single" w:sz="2" w:space="0" w:color="auto"/>
              <w:left w:val="nil"/>
              <w:bottom w:val="single" w:sz="2" w:space="0" w:color="auto"/>
              <w:right w:val="nil"/>
            </w:tcBorders>
            <w:vAlign w:val="bottom"/>
            <w:hideMark/>
          </w:tcPr>
          <w:p w14:paraId="2086E978"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vAlign w:val="bottom"/>
            <w:hideMark/>
          </w:tcPr>
          <w:p w14:paraId="2086E979"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vAlign w:val="bottom"/>
            <w:hideMark/>
          </w:tcPr>
          <w:p w14:paraId="2086E97A" w14:textId="77777777" w:rsidR="00802D3E" w:rsidRDefault="00802D3E">
            <w:pPr>
              <w:pStyle w:val="MeasureTableTextRightAligned"/>
            </w:pPr>
            <w:r>
              <w:t>4</w:t>
            </w:r>
          </w:p>
        </w:tc>
        <w:tc>
          <w:tcPr>
            <w:tcW w:w="967" w:type="dxa"/>
            <w:gridSpan w:val="2"/>
            <w:tcBorders>
              <w:top w:val="single" w:sz="2" w:space="0" w:color="auto"/>
              <w:left w:val="nil"/>
              <w:bottom w:val="single" w:sz="2" w:space="0" w:color="auto"/>
              <w:right w:val="nil"/>
            </w:tcBorders>
            <w:vAlign w:val="bottom"/>
            <w:hideMark/>
          </w:tcPr>
          <w:p w14:paraId="2086E97B" w14:textId="77777777" w:rsidR="00802D3E" w:rsidRDefault="00802D3E">
            <w:pPr>
              <w:pStyle w:val="MeasureTableTextRightAligned"/>
            </w:pPr>
            <w:r>
              <w:t>4</w:t>
            </w:r>
          </w:p>
        </w:tc>
        <w:tc>
          <w:tcPr>
            <w:tcW w:w="967" w:type="dxa"/>
            <w:gridSpan w:val="2"/>
            <w:tcBorders>
              <w:top w:val="single" w:sz="2" w:space="0" w:color="auto"/>
              <w:left w:val="nil"/>
              <w:bottom w:val="single" w:sz="2" w:space="0" w:color="auto"/>
              <w:right w:val="nil"/>
            </w:tcBorders>
            <w:vAlign w:val="bottom"/>
            <w:hideMark/>
          </w:tcPr>
          <w:p w14:paraId="2086E97C" w14:textId="77777777" w:rsidR="00802D3E" w:rsidRDefault="00802D3E">
            <w:pPr>
              <w:pStyle w:val="MeasureTableTextRightAligned"/>
            </w:pPr>
            <w:r>
              <w:t>4</w:t>
            </w:r>
          </w:p>
        </w:tc>
        <w:tc>
          <w:tcPr>
            <w:tcW w:w="968" w:type="dxa"/>
            <w:tcBorders>
              <w:top w:val="single" w:sz="2" w:space="0" w:color="auto"/>
              <w:left w:val="nil"/>
              <w:bottom w:val="single" w:sz="2" w:space="0" w:color="auto"/>
              <w:right w:val="nil"/>
            </w:tcBorders>
            <w:vAlign w:val="bottom"/>
            <w:hideMark/>
          </w:tcPr>
          <w:p w14:paraId="2086E97D" w14:textId="77777777" w:rsidR="00802D3E" w:rsidRDefault="00802D3E">
            <w:pPr>
              <w:pStyle w:val="MeasureTableTextRightAligned"/>
            </w:pPr>
            <w:r>
              <w:t>4</w:t>
            </w:r>
          </w:p>
        </w:tc>
      </w:tr>
      <w:tr w:rsidR="00802D3E" w14:paraId="2086E983" w14:textId="77777777" w:rsidTr="00802D3E">
        <w:trPr>
          <w:cantSplit/>
          <w:jc w:val="center"/>
        </w:trPr>
        <w:tc>
          <w:tcPr>
            <w:tcW w:w="1934" w:type="dxa"/>
            <w:gridSpan w:val="2"/>
            <w:tcBorders>
              <w:top w:val="single" w:sz="2" w:space="0" w:color="auto"/>
              <w:left w:val="nil"/>
              <w:bottom w:val="nil"/>
              <w:right w:val="nil"/>
            </w:tcBorders>
            <w:hideMark/>
          </w:tcPr>
          <w:p w14:paraId="2086E97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980" w14:textId="7D9BA782" w:rsidR="00802D3E" w:rsidRDefault="000C12B1" w:rsidP="000C12B1">
            <w:pPr>
              <w:pStyle w:val="MeasureTableTextLeftAligned"/>
            </w:pPr>
            <w:r w:rsidRPr="007D65FD">
              <w:t>Non-standard rate</w:t>
            </w:r>
            <w:r>
              <w:t xml:space="preserve"> </w:t>
            </w:r>
          </w:p>
        </w:tc>
        <w:tc>
          <w:tcPr>
            <w:tcW w:w="1500" w:type="dxa"/>
            <w:gridSpan w:val="2"/>
            <w:tcBorders>
              <w:top w:val="single" w:sz="2" w:space="0" w:color="auto"/>
              <w:left w:val="nil"/>
              <w:bottom w:val="nil"/>
              <w:right w:val="nil"/>
            </w:tcBorders>
            <w:hideMark/>
          </w:tcPr>
          <w:p w14:paraId="2086E98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982" w14:textId="77777777" w:rsidR="00802D3E" w:rsidRDefault="00802D3E">
            <w:pPr>
              <w:pStyle w:val="MeasureTableTextLeftAligned"/>
            </w:pPr>
            <w:r>
              <w:t>A31</w:t>
            </w:r>
          </w:p>
        </w:tc>
      </w:tr>
      <w:tr w:rsidR="00802D3E" w14:paraId="2086E988" w14:textId="77777777" w:rsidTr="00802D3E">
        <w:trPr>
          <w:cantSplit/>
          <w:jc w:val="center"/>
        </w:trPr>
        <w:tc>
          <w:tcPr>
            <w:tcW w:w="1934" w:type="dxa"/>
            <w:gridSpan w:val="2"/>
            <w:tcBorders>
              <w:top w:val="nil"/>
              <w:left w:val="nil"/>
              <w:bottom w:val="nil"/>
              <w:right w:val="nil"/>
            </w:tcBorders>
            <w:hideMark/>
          </w:tcPr>
          <w:p w14:paraId="2086E98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985"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E986" w14:textId="77777777" w:rsidR="00802D3E" w:rsidRDefault="00802D3E">
            <w:pPr>
              <w:pStyle w:val="MeasureTableTextItalic"/>
            </w:pPr>
          </w:p>
        </w:tc>
        <w:tc>
          <w:tcPr>
            <w:tcW w:w="1124" w:type="dxa"/>
            <w:gridSpan w:val="2"/>
            <w:tcBorders>
              <w:top w:val="nil"/>
              <w:left w:val="nil"/>
              <w:bottom w:val="nil"/>
              <w:right w:val="nil"/>
            </w:tcBorders>
          </w:tcPr>
          <w:p w14:paraId="2086E987" w14:textId="77777777" w:rsidR="00802D3E" w:rsidRDefault="00802D3E">
            <w:pPr>
              <w:pStyle w:val="MeasureTableTextLeftAligned"/>
            </w:pPr>
          </w:p>
        </w:tc>
      </w:tr>
      <w:tr w:rsidR="00802D3E" w14:paraId="2086E98D" w14:textId="77777777" w:rsidTr="00802D3E">
        <w:trPr>
          <w:cantSplit/>
          <w:jc w:val="center"/>
        </w:trPr>
        <w:tc>
          <w:tcPr>
            <w:tcW w:w="1934" w:type="dxa"/>
            <w:gridSpan w:val="2"/>
            <w:tcBorders>
              <w:top w:val="nil"/>
              <w:left w:val="nil"/>
              <w:bottom w:val="nil"/>
              <w:right w:val="nil"/>
            </w:tcBorders>
            <w:hideMark/>
          </w:tcPr>
          <w:p w14:paraId="2086E98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98A" w14:textId="77777777" w:rsidR="00802D3E" w:rsidRDefault="00802D3E">
            <w:pPr>
              <w:pStyle w:val="MeasureTableTextLeftAligned"/>
            </w:pPr>
            <w:r>
              <w:t>2012</w:t>
            </w:r>
          </w:p>
        </w:tc>
        <w:tc>
          <w:tcPr>
            <w:tcW w:w="1500" w:type="dxa"/>
            <w:gridSpan w:val="2"/>
            <w:tcBorders>
              <w:top w:val="nil"/>
              <w:left w:val="nil"/>
              <w:bottom w:val="nil"/>
              <w:right w:val="nil"/>
            </w:tcBorders>
            <w:hideMark/>
          </w:tcPr>
          <w:p w14:paraId="2086E98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98C" w14:textId="77777777" w:rsidR="00802D3E" w:rsidRDefault="00802D3E">
            <w:pPr>
              <w:pStyle w:val="MeasureTableTextLeftAligned"/>
            </w:pPr>
          </w:p>
        </w:tc>
      </w:tr>
      <w:tr w:rsidR="00802D3E" w14:paraId="2086E990" w14:textId="77777777" w:rsidTr="00802D3E">
        <w:trPr>
          <w:cantSplit/>
          <w:jc w:val="center"/>
        </w:trPr>
        <w:tc>
          <w:tcPr>
            <w:tcW w:w="1934" w:type="dxa"/>
            <w:gridSpan w:val="2"/>
            <w:tcBorders>
              <w:top w:val="nil"/>
              <w:left w:val="nil"/>
              <w:bottom w:val="single" w:sz="2" w:space="0" w:color="auto"/>
              <w:right w:val="nil"/>
            </w:tcBorders>
            <w:hideMark/>
          </w:tcPr>
          <w:p w14:paraId="2086E98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98F" w14:textId="77777777" w:rsidR="00802D3E" w:rsidRPr="00231210" w:rsidRDefault="00802D3E" w:rsidP="00231210">
            <w:pPr>
              <w:widowControl w:val="0"/>
              <w:autoSpaceDE w:val="0"/>
              <w:autoSpaceDN w:val="0"/>
              <w:adjustRightInd w:val="0"/>
              <w:spacing w:after="0" w:line="240" w:lineRule="auto"/>
              <w:jc w:val="left"/>
              <w:rPr>
                <w:sz w:val="16"/>
                <w:szCs w:val="16"/>
              </w:rPr>
            </w:pPr>
            <w:r w:rsidRPr="00231210">
              <w:rPr>
                <w:rFonts w:ascii="Arial" w:hAnsi="Arial" w:cs="Arial"/>
                <w:sz w:val="16"/>
                <w:szCs w:val="16"/>
              </w:rPr>
              <w:t xml:space="preserve">Schedule 7 of the </w:t>
            </w:r>
            <w:r w:rsidRPr="00231210">
              <w:rPr>
                <w:rFonts w:ascii="Arial" w:hAnsi="Arial" w:cs="Arial"/>
                <w:i/>
                <w:iCs/>
                <w:color w:val="000000"/>
                <w:sz w:val="16"/>
                <w:szCs w:val="16"/>
              </w:rPr>
              <w:t>Income Tax Rates Act 1986</w:t>
            </w:r>
          </w:p>
        </w:tc>
      </w:tr>
    </w:tbl>
    <w:p w14:paraId="2086E991" w14:textId="77777777" w:rsidR="00802D3E" w:rsidRDefault="00802D3E" w:rsidP="0098392C">
      <w:pPr>
        <w:pStyle w:val="SingleParagraph"/>
      </w:pPr>
    </w:p>
    <w:p w14:paraId="2086E992" w14:textId="77777777" w:rsidR="00802D3E" w:rsidRDefault="00802D3E" w:rsidP="00802D3E">
      <w:r>
        <w:t>Workers employed under the Seasonal Labour Mobility Program</w:t>
      </w:r>
      <w:r>
        <w:fldChar w:fldCharType="begin"/>
      </w:r>
      <w:r>
        <w:instrText xml:space="preserve"> XE "Seasonal Labour Mobility Program" </w:instrText>
      </w:r>
      <w:r>
        <w:fldChar w:fldCharType="end"/>
      </w:r>
      <w:r>
        <w:t xml:space="preserve"> are subject to a final withholding tax of 15 per cent. </w:t>
      </w:r>
    </w:p>
    <w:p w14:paraId="2086E993" w14:textId="77777777" w:rsidR="00802D3E" w:rsidRDefault="00802D3E" w:rsidP="00802D3E">
      <w:pPr>
        <w:pStyle w:val="TESHeading5"/>
        <w:ind w:left="0" w:firstLine="0"/>
      </w:pPr>
      <w:r>
        <w:lastRenderedPageBreak/>
        <w:t>A35</w:t>
      </w:r>
      <w:r>
        <w:tab/>
        <w:t>Working holiday makers</w:t>
      </w:r>
    </w:p>
    <w:p w14:paraId="2086E994" w14:textId="77777777" w:rsidR="00802D3E" w:rsidRDefault="00802D3E" w:rsidP="00802D3E">
      <w:pPr>
        <w:pStyle w:val="MeasureTableHeading"/>
      </w:pPr>
      <w:r>
        <w:t xml:space="preserve">Other economic affairs </w:t>
      </w:r>
      <w:r w:rsidR="00C853A0">
        <w:t>–</w:t>
      </w:r>
      <w:r>
        <w:t xml:space="preserve"> Total</w:t>
      </w:r>
      <w:r w:rsidR="00C853A0">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99D" w14:textId="77777777" w:rsidTr="00802D3E">
        <w:trPr>
          <w:cantSplit/>
          <w:jc w:val="center"/>
        </w:trPr>
        <w:tc>
          <w:tcPr>
            <w:tcW w:w="967" w:type="dxa"/>
            <w:tcBorders>
              <w:top w:val="single" w:sz="2" w:space="0" w:color="auto"/>
              <w:left w:val="nil"/>
              <w:bottom w:val="single" w:sz="2" w:space="0" w:color="auto"/>
              <w:right w:val="nil"/>
            </w:tcBorders>
            <w:hideMark/>
          </w:tcPr>
          <w:p w14:paraId="2086E99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99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99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99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99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99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99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99C" w14:textId="77777777" w:rsidR="00802D3E" w:rsidRDefault="00802D3E">
            <w:pPr>
              <w:pStyle w:val="MeasureTableTextRightAligned"/>
            </w:pPr>
            <w:r>
              <w:t>2019-20</w:t>
            </w:r>
          </w:p>
        </w:tc>
      </w:tr>
      <w:tr w:rsidR="00802D3E" w14:paraId="2086E9A6" w14:textId="77777777" w:rsidTr="00802D3E">
        <w:trPr>
          <w:cantSplit/>
          <w:jc w:val="center"/>
        </w:trPr>
        <w:tc>
          <w:tcPr>
            <w:tcW w:w="967" w:type="dxa"/>
            <w:tcBorders>
              <w:top w:val="single" w:sz="2" w:space="0" w:color="auto"/>
              <w:left w:val="nil"/>
              <w:bottom w:val="single" w:sz="2" w:space="0" w:color="auto"/>
              <w:right w:val="nil"/>
            </w:tcBorders>
            <w:hideMark/>
          </w:tcPr>
          <w:p w14:paraId="2086E99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99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9A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9A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9A2" w14:textId="77777777" w:rsidR="00802D3E" w:rsidRDefault="00142753" w:rsidP="00142753">
            <w:pPr>
              <w:pStyle w:val="MeasureTableTextRightAligned"/>
            </w:pPr>
            <w:r>
              <w:t>(a)</w:t>
            </w:r>
          </w:p>
        </w:tc>
        <w:tc>
          <w:tcPr>
            <w:tcW w:w="967" w:type="dxa"/>
            <w:gridSpan w:val="2"/>
            <w:tcBorders>
              <w:top w:val="single" w:sz="2" w:space="0" w:color="auto"/>
              <w:left w:val="nil"/>
              <w:bottom w:val="single" w:sz="2" w:space="0" w:color="auto"/>
              <w:right w:val="nil"/>
            </w:tcBorders>
            <w:vAlign w:val="bottom"/>
            <w:hideMark/>
          </w:tcPr>
          <w:p w14:paraId="2086E9A3" w14:textId="77777777" w:rsidR="00802D3E" w:rsidRDefault="00802D3E">
            <w:pPr>
              <w:pStyle w:val="MeasureTableTextRightAligned"/>
            </w:pPr>
          </w:p>
        </w:tc>
        <w:tc>
          <w:tcPr>
            <w:tcW w:w="967" w:type="dxa"/>
            <w:gridSpan w:val="2"/>
            <w:tcBorders>
              <w:top w:val="single" w:sz="2" w:space="0" w:color="auto"/>
              <w:left w:val="nil"/>
              <w:bottom w:val="single" w:sz="2" w:space="0" w:color="auto"/>
              <w:right w:val="nil"/>
            </w:tcBorders>
            <w:vAlign w:val="bottom"/>
            <w:hideMark/>
          </w:tcPr>
          <w:p w14:paraId="2086E9A4" w14:textId="77777777" w:rsidR="00802D3E" w:rsidRDefault="00802D3E">
            <w:pPr>
              <w:pStyle w:val="MeasureTableTextRightAligned"/>
            </w:pPr>
          </w:p>
        </w:tc>
        <w:tc>
          <w:tcPr>
            <w:tcW w:w="968" w:type="dxa"/>
            <w:tcBorders>
              <w:top w:val="single" w:sz="2" w:space="0" w:color="auto"/>
              <w:left w:val="nil"/>
              <w:bottom w:val="single" w:sz="2" w:space="0" w:color="auto"/>
              <w:right w:val="nil"/>
            </w:tcBorders>
            <w:vAlign w:val="bottom"/>
            <w:hideMark/>
          </w:tcPr>
          <w:p w14:paraId="2086E9A5" w14:textId="77777777" w:rsidR="00802D3E" w:rsidRDefault="00802D3E">
            <w:pPr>
              <w:pStyle w:val="MeasureTableTextRightAligned"/>
            </w:pPr>
          </w:p>
        </w:tc>
      </w:tr>
      <w:tr w:rsidR="00802D3E" w14:paraId="2086E9AB" w14:textId="77777777" w:rsidTr="00802D3E">
        <w:trPr>
          <w:cantSplit/>
          <w:jc w:val="center"/>
        </w:trPr>
        <w:tc>
          <w:tcPr>
            <w:tcW w:w="1934" w:type="dxa"/>
            <w:gridSpan w:val="2"/>
            <w:tcBorders>
              <w:top w:val="single" w:sz="2" w:space="0" w:color="auto"/>
              <w:left w:val="nil"/>
              <w:bottom w:val="nil"/>
              <w:right w:val="nil"/>
            </w:tcBorders>
            <w:hideMark/>
          </w:tcPr>
          <w:p w14:paraId="2086E9A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9A8" w14:textId="577618DE" w:rsidR="00802D3E" w:rsidRDefault="000C12B1" w:rsidP="000C12B1">
            <w:pPr>
              <w:pStyle w:val="MeasureTableTextLeftAligned"/>
            </w:pPr>
            <w:r w:rsidRPr="007D65FD">
              <w:t>Non-standard rate</w:t>
            </w:r>
            <w:r>
              <w:t xml:space="preserve"> </w:t>
            </w:r>
          </w:p>
        </w:tc>
        <w:tc>
          <w:tcPr>
            <w:tcW w:w="1500" w:type="dxa"/>
            <w:gridSpan w:val="2"/>
            <w:tcBorders>
              <w:top w:val="single" w:sz="2" w:space="0" w:color="auto"/>
              <w:left w:val="nil"/>
              <w:bottom w:val="nil"/>
              <w:right w:val="nil"/>
            </w:tcBorders>
            <w:hideMark/>
          </w:tcPr>
          <w:p w14:paraId="2086E9A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9AA" w14:textId="77777777" w:rsidR="00802D3E" w:rsidRDefault="00802D3E">
            <w:pPr>
              <w:pStyle w:val="MeasureTableTextLeftAligned"/>
            </w:pPr>
            <w:r>
              <w:t>New</w:t>
            </w:r>
          </w:p>
        </w:tc>
      </w:tr>
      <w:tr w:rsidR="00802D3E" w14:paraId="2086E9B0" w14:textId="77777777" w:rsidTr="00802D3E">
        <w:trPr>
          <w:cantSplit/>
          <w:jc w:val="center"/>
        </w:trPr>
        <w:tc>
          <w:tcPr>
            <w:tcW w:w="1934" w:type="dxa"/>
            <w:gridSpan w:val="2"/>
            <w:tcBorders>
              <w:top w:val="nil"/>
              <w:left w:val="nil"/>
              <w:bottom w:val="nil"/>
              <w:right w:val="nil"/>
            </w:tcBorders>
            <w:hideMark/>
          </w:tcPr>
          <w:p w14:paraId="2086E9A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9AD" w14:textId="77777777" w:rsidR="00802D3E" w:rsidRDefault="00802D3E">
            <w:pPr>
              <w:pStyle w:val="MeasureTableTextLeftAligned"/>
            </w:pPr>
            <w:r>
              <w:t>Not Applicable</w:t>
            </w:r>
          </w:p>
        </w:tc>
        <w:tc>
          <w:tcPr>
            <w:tcW w:w="1500" w:type="dxa"/>
            <w:gridSpan w:val="2"/>
            <w:tcBorders>
              <w:top w:val="nil"/>
              <w:left w:val="nil"/>
              <w:bottom w:val="nil"/>
              <w:right w:val="nil"/>
            </w:tcBorders>
          </w:tcPr>
          <w:p w14:paraId="2086E9AE" w14:textId="77777777" w:rsidR="00802D3E" w:rsidRDefault="00802D3E">
            <w:pPr>
              <w:pStyle w:val="MeasureTableTextItalic"/>
            </w:pPr>
          </w:p>
        </w:tc>
        <w:tc>
          <w:tcPr>
            <w:tcW w:w="1124" w:type="dxa"/>
            <w:gridSpan w:val="2"/>
            <w:tcBorders>
              <w:top w:val="nil"/>
              <w:left w:val="nil"/>
              <w:bottom w:val="nil"/>
              <w:right w:val="nil"/>
            </w:tcBorders>
          </w:tcPr>
          <w:p w14:paraId="2086E9AF" w14:textId="77777777" w:rsidR="00802D3E" w:rsidRDefault="00802D3E">
            <w:pPr>
              <w:pStyle w:val="MeasureTableTextLeftAligned"/>
            </w:pPr>
          </w:p>
        </w:tc>
      </w:tr>
      <w:tr w:rsidR="00802D3E" w14:paraId="2086E9B5" w14:textId="77777777" w:rsidTr="00802D3E">
        <w:trPr>
          <w:cantSplit/>
          <w:jc w:val="center"/>
        </w:trPr>
        <w:tc>
          <w:tcPr>
            <w:tcW w:w="1934" w:type="dxa"/>
            <w:gridSpan w:val="2"/>
            <w:tcBorders>
              <w:top w:val="nil"/>
              <w:left w:val="nil"/>
              <w:bottom w:val="nil"/>
              <w:right w:val="nil"/>
            </w:tcBorders>
            <w:hideMark/>
          </w:tcPr>
          <w:p w14:paraId="2086E9B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9B2" w14:textId="77777777" w:rsidR="00802D3E" w:rsidRDefault="00802D3E">
            <w:pPr>
              <w:pStyle w:val="MeasureTableTextLeftAligned"/>
            </w:pPr>
            <w:r>
              <w:t>1 January 2017</w:t>
            </w:r>
          </w:p>
        </w:tc>
        <w:tc>
          <w:tcPr>
            <w:tcW w:w="1500" w:type="dxa"/>
            <w:gridSpan w:val="2"/>
            <w:tcBorders>
              <w:top w:val="nil"/>
              <w:left w:val="nil"/>
              <w:bottom w:val="nil"/>
              <w:right w:val="nil"/>
            </w:tcBorders>
            <w:hideMark/>
          </w:tcPr>
          <w:p w14:paraId="2086E9B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9B4" w14:textId="77777777" w:rsidR="00802D3E" w:rsidRDefault="00802D3E">
            <w:pPr>
              <w:pStyle w:val="MeasureTableTextLeftAligned"/>
            </w:pPr>
          </w:p>
        </w:tc>
      </w:tr>
      <w:tr w:rsidR="00802D3E" w14:paraId="2086E9B8" w14:textId="77777777" w:rsidTr="00802D3E">
        <w:trPr>
          <w:cantSplit/>
          <w:jc w:val="center"/>
        </w:trPr>
        <w:tc>
          <w:tcPr>
            <w:tcW w:w="1934" w:type="dxa"/>
            <w:gridSpan w:val="2"/>
            <w:tcBorders>
              <w:top w:val="nil"/>
              <w:left w:val="nil"/>
              <w:bottom w:val="single" w:sz="2" w:space="0" w:color="auto"/>
              <w:right w:val="nil"/>
            </w:tcBorders>
            <w:hideMark/>
          </w:tcPr>
          <w:p w14:paraId="2086E9B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9B7" w14:textId="77777777" w:rsidR="00802D3E" w:rsidRDefault="00802D3E" w:rsidP="00231210">
            <w:pPr>
              <w:widowControl w:val="0"/>
              <w:autoSpaceDE w:val="0"/>
              <w:autoSpaceDN w:val="0"/>
              <w:adjustRightInd w:val="0"/>
              <w:spacing w:after="0" w:line="240" w:lineRule="auto"/>
              <w:jc w:val="left"/>
            </w:pPr>
            <w:r>
              <w:rPr>
                <w:rFonts w:ascii="Arial" w:hAnsi="Arial" w:cs="Arial"/>
                <w:i/>
                <w:iCs/>
                <w:color w:val="000000"/>
                <w:sz w:val="16"/>
                <w:szCs w:val="16"/>
              </w:rPr>
              <w:t>Income Tax Rates Amendment (Working Holiday Maker Reform) Act 2016</w:t>
            </w:r>
          </w:p>
        </w:tc>
      </w:tr>
    </w:tbl>
    <w:p w14:paraId="2086E9B9" w14:textId="77777777" w:rsidR="00802D3E" w:rsidRDefault="00802D3E" w:rsidP="00802D3E">
      <w:pPr>
        <w:pStyle w:val="Source"/>
      </w:pPr>
      <w:r>
        <w:t>(a) The legislation above was passed by the Parliament on 1 December 2016 with the new rate applying from 1 January 2017. In the time available, it has not been possible to produce estimates for the 2016 Tax Expenditures Statement.</w:t>
      </w:r>
    </w:p>
    <w:p w14:paraId="3FBB5354" w14:textId="77777777" w:rsidR="009057E9" w:rsidRPr="009057E9" w:rsidRDefault="009057E9" w:rsidP="009057E9">
      <w:pPr>
        <w:pStyle w:val="SingleParagraph"/>
        <w:rPr>
          <w:sz w:val="14"/>
        </w:rPr>
      </w:pPr>
    </w:p>
    <w:p w14:paraId="2086E9BA" w14:textId="77777777" w:rsidR="00802D3E" w:rsidRDefault="00802D3E" w:rsidP="009057E9">
      <w:r>
        <w:t>From 1 January 2017, a 15 per cent income tax rate applies to the Australian taxable income of working holiday makers</w:t>
      </w:r>
      <w:r w:rsidR="00F07C59">
        <w:fldChar w:fldCharType="begin"/>
      </w:r>
      <w:r w:rsidR="00F07C59">
        <w:instrText xml:space="preserve"> XE "</w:instrText>
      </w:r>
      <w:r w:rsidR="00F07C59" w:rsidRPr="00BE150A">
        <w:instrText>Working holiday makers</w:instrText>
      </w:r>
      <w:r w:rsidR="00F07C59">
        <w:instrText xml:space="preserve">" </w:instrText>
      </w:r>
      <w:r w:rsidR="00F07C59">
        <w:fldChar w:fldCharType="end"/>
      </w:r>
      <w:r>
        <w:t xml:space="preserve"> up to $37,000, with ordinary tax rates applying to taxable income above this threshold. </w:t>
      </w:r>
    </w:p>
    <w:p w14:paraId="2086E9BB" w14:textId="77777777" w:rsidR="00802D3E" w:rsidRDefault="00802D3E" w:rsidP="00802D3E">
      <w:pPr>
        <w:pStyle w:val="TESHeading5"/>
        <w:ind w:left="0" w:firstLine="0"/>
      </w:pPr>
      <w:r>
        <w:t>A36</w:t>
      </w:r>
      <w:r>
        <w:tab/>
        <w:t>Exemption of foreign termination payments</w:t>
      </w:r>
    </w:p>
    <w:p w14:paraId="2086E9BC" w14:textId="77777777" w:rsidR="00802D3E" w:rsidRDefault="00802D3E" w:rsidP="00802D3E">
      <w:pPr>
        <w:pStyle w:val="MeasureTableHeading"/>
      </w:pPr>
      <w:r>
        <w:t xml:space="preserve">Other economic affairs </w:t>
      </w:r>
      <w:r w:rsidR="00C853A0">
        <w:t>–</w:t>
      </w:r>
      <w:r>
        <w:t xml:space="preserve"> Other</w:t>
      </w:r>
      <w:r w:rsidR="00C853A0">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9C5" w14:textId="77777777" w:rsidTr="00802D3E">
        <w:trPr>
          <w:cantSplit/>
          <w:jc w:val="center"/>
        </w:trPr>
        <w:tc>
          <w:tcPr>
            <w:tcW w:w="967" w:type="dxa"/>
            <w:tcBorders>
              <w:top w:val="single" w:sz="2" w:space="0" w:color="auto"/>
              <w:left w:val="nil"/>
              <w:bottom w:val="single" w:sz="2" w:space="0" w:color="auto"/>
              <w:right w:val="nil"/>
            </w:tcBorders>
            <w:hideMark/>
          </w:tcPr>
          <w:p w14:paraId="2086E9B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9B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9B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9C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9C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9C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9C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9C4" w14:textId="77777777" w:rsidR="00802D3E" w:rsidRDefault="00802D3E">
            <w:pPr>
              <w:pStyle w:val="MeasureTableTextRightAligned"/>
            </w:pPr>
            <w:r>
              <w:t>2019-20</w:t>
            </w:r>
          </w:p>
        </w:tc>
      </w:tr>
      <w:tr w:rsidR="00802D3E" w14:paraId="2086E9CE" w14:textId="77777777" w:rsidTr="00802D3E">
        <w:trPr>
          <w:cantSplit/>
          <w:jc w:val="center"/>
        </w:trPr>
        <w:tc>
          <w:tcPr>
            <w:tcW w:w="967" w:type="dxa"/>
            <w:tcBorders>
              <w:top w:val="single" w:sz="2" w:space="0" w:color="auto"/>
              <w:left w:val="nil"/>
              <w:bottom w:val="single" w:sz="2" w:space="0" w:color="auto"/>
              <w:right w:val="nil"/>
            </w:tcBorders>
            <w:hideMark/>
          </w:tcPr>
          <w:p w14:paraId="2086E9C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9C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9C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9C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9C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9C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9C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9CD" w14:textId="77777777" w:rsidR="00802D3E" w:rsidRDefault="00802D3E">
            <w:pPr>
              <w:pStyle w:val="MeasureTableTextRightAligned"/>
            </w:pPr>
            <w:r>
              <w:t>*</w:t>
            </w:r>
          </w:p>
        </w:tc>
      </w:tr>
      <w:tr w:rsidR="00802D3E" w14:paraId="2086E9D3" w14:textId="77777777" w:rsidTr="00802D3E">
        <w:trPr>
          <w:cantSplit/>
          <w:jc w:val="center"/>
        </w:trPr>
        <w:tc>
          <w:tcPr>
            <w:tcW w:w="1934" w:type="dxa"/>
            <w:gridSpan w:val="2"/>
            <w:tcBorders>
              <w:top w:val="single" w:sz="2" w:space="0" w:color="auto"/>
              <w:left w:val="nil"/>
              <w:bottom w:val="nil"/>
              <w:right w:val="nil"/>
            </w:tcBorders>
            <w:hideMark/>
          </w:tcPr>
          <w:p w14:paraId="2086E9C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9D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9D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9D2" w14:textId="77777777" w:rsidR="00802D3E" w:rsidRDefault="00802D3E">
            <w:pPr>
              <w:pStyle w:val="MeasureTableTextLeftAligned"/>
            </w:pPr>
            <w:r>
              <w:t>C14</w:t>
            </w:r>
          </w:p>
        </w:tc>
      </w:tr>
      <w:tr w:rsidR="00802D3E" w14:paraId="2086E9D8" w14:textId="77777777" w:rsidTr="00802D3E">
        <w:trPr>
          <w:cantSplit/>
          <w:jc w:val="center"/>
        </w:trPr>
        <w:tc>
          <w:tcPr>
            <w:tcW w:w="1934" w:type="dxa"/>
            <w:gridSpan w:val="2"/>
            <w:tcBorders>
              <w:top w:val="nil"/>
              <w:left w:val="nil"/>
              <w:bottom w:val="nil"/>
              <w:right w:val="nil"/>
            </w:tcBorders>
            <w:hideMark/>
          </w:tcPr>
          <w:p w14:paraId="2086E9D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9D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9D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9D7" w14:textId="77777777" w:rsidR="00802D3E" w:rsidRDefault="00802D3E">
            <w:pPr>
              <w:pStyle w:val="MeasureTableTextLeftAligned"/>
            </w:pPr>
            <w:r>
              <w:t>1+</w:t>
            </w:r>
          </w:p>
        </w:tc>
      </w:tr>
      <w:tr w:rsidR="00802D3E" w14:paraId="2086E9DD" w14:textId="77777777" w:rsidTr="00802D3E">
        <w:trPr>
          <w:cantSplit/>
          <w:jc w:val="center"/>
        </w:trPr>
        <w:tc>
          <w:tcPr>
            <w:tcW w:w="1934" w:type="dxa"/>
            <w:gridSpan w:val="2"/>
            <w:tcBorders>
              <w:top w:val="nil"/>
              <w:left w:val="nil"/>
              <w:bottom w:val="nil"/>
              <w:right w:val="nil"/>
            </w:tcBorders>
            <w:hideMark/>
          </w:tcPr>
          <w:p w14:paraId="2086E9D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9DA" w14:textId="77777777" w:rsidR="00802D3E" w:rsidRDefault="00802D3E">
            <w:pPr>
              <w:pStyle w:val="MeasureTableTextLeftAligned"/>
            </w:pPr>
            <w:r>
              <w:t>2007</w:t>
            </w:r>
          </w:p>
        </w:tc>
        <w:tc>
          <w:tcPr>
            <w:tcW w:w="1500" w:type="dxa"/>
            <w:gridSpan w:val="2"/>
            <w:tcBorders>
              <w:top w:val="nil"/>
              <w:left w:val="nil"/>
              <w:bottom w:val="nil"/>
              <w:right w:val="nil"/>
            </w:tcBorders>
            <w:hideMark/>
          </w:tcPr>
          <w:p w14:paraId="2086E9D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9DC" w14:textId="77777777" w:rsidR="00802D3E" w:rsidRDefault="00802D3E">
            <w:pPr>
              <w:pStyle w:val="MeasureTableTextLeftAligned"/>
            </w:pPr>
          </w:p>
        </w:tc>
      </w:tr>
      <w:tr w:rsidR="00802D3E" w14:paraId="2086E9E0" w14:textId="77777777" w:rsidTr="00802D3E">
        <w:trPr>
          <w:cantSplit/>
          <w:jc w:val="center"/>
        </w:trPr>
        <w:tc>
          <w:tcPr>
            <w:tcW w:w="1934" w:type="dxa"/>
            <w:gridSpan w:val="2"/>
            <w:tcBorders>
              <w:top w:val="nil"/>
              <w:left w:val="nil"/>
              <w:bottom w:val="single" w:sz="2" w:space="0" w:color="auto"/>
              <w:right w:val="nil"/>
            </w:tcBorders>
            <w:hideMark/>
          </w:tcPr>
          <w:p w14:paraId="2086E9D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9DF" w14:textId="77777777" w:rsidR="00802D3E" w:rsidRPr="00231210" w:rsidRDefault="00802D3E" w:rsidP="00231210">
            <w:pPr>
              <w:widowControl w:val="0"/>
              <w:autoSpaceDE w:val="0"/>
              <w:autoSpaceDN w:val="0"/>
              <w:adjustRightInd w:val="0"/>
              <w:spacing w:after="0" w:line="240" w:lineRule="auto"/>
              <w:jc w:val="left"/>
              <w:rPr>
                <w:sz w:val="16"/>
                <w:szCs w:val="16"/>
              </w:rPr>
            </w:pPr>
            <w:r w:rsidRPr="00231210">
              <w:rPr>
                <w:rFonts w:ascii="Arial" w:hAnsi="Arial" w:cs="Arial"/>
                <w:sz w:val="16"/>
                <w:szCs w:val="16"/>
              </w:rPr>
              <w:t xml:space="preserve">Subdivision 83-D of the </w:t>
            </w:r>
            <w:r w:rsidRPr="00231210">
              <w:rPr>
                <w:rFonts w:ascii="Arial" w:hAnsi="Arial" w:cs="Arial"/>
                <w:i/>
                <w:iCs/>
                <w:color w:val="000000"/>
                <w:sz w:val="16"/>
                <w:szCs w:val="16"/>
              </w:rPr>
              <w:t>Income Tax Assessment Act 1997</w:t>
            </w:r>
          </w:p>
        </w:tc>
      </w:tr>
    </w:tbl>
    <w:p w14:paraId="2086E9E1" w14:textId="77777777" w:rsidR="00802D3E" w:rsidRPr="009057E9" w:rsidRDefault="00802D3E" w:rsidP="0098392C">
      <w:pPr>
        <w:pStyle w:val="SingleParagraph"/>
        <w:rPr>
          <w:sz w:val="14"/>
        </w:rPr>
      </w:pPr>
    </w:p>
    <w:p w14:paraId="2086E9E2" w14:textId="62343C62" w:rsidR="00802D3E" w:rsidRDefault="00802D3E" w:rsidP="00802D3E">
      <w:r>
        <w:t>Termination payments from foreign employment</w:t>
      </w:r>
      <w:r>
        <w:fldChar w:fldCharType="begin"/>
      </w:r>
      <w:r>
        <w:instrText xml:space="preserve"> XE "Foreign termination payments" </w:instrText>
      </w:r>
      <w:r>
        <w:fldChar w:fldCharType="end"/>
      </w:r>
      <w:r>
        <w:t xml:space="preserve"> are non-assessable and non-exempt income where the t</w:t>
      </w:r>
      <w:r w:rsidR="000D700A">
        <w:t xml:space="preserve">axpayer is a foreign resident. </w:t>
      </w:r>
      <w:r>
        <w:t xml:space="preserve">Where the taxpayer is an Australian resident for some of the period to which the termination payment relates, the payment will be non-assessable and non-exempt if it was received in consequence of the termination of a period of foreign employment or engagement for the purposes of section 23AF or section 23AG, the payment relates only to that period of employment or engagement and the payment is not exempt from income tax under the law of the foreign country. This does not apply if the payment is a superannuation benefit or a pension or annuity. </w:t>
      </w:r>
    </w:p>
    <w:p w14:paraId="2086E9E3" w14:textId="77777777" w:rsidR="00802D3E" w:rsidRDefault="00802D3E" w:rsidP="00802D3E">
      <w:pPr>
        <w:pStyle w:val="TESHeading5"/>
        <w:ind w:left="0" w:firstLine="0"/>
      </w:pPr>
      <w:r>
        <w:t>A37</w:t>
      </w:r>
      <w:r>
        <w:tab/>
        <w:t>Foreign income exemption for temporary residents</w:t>
      </w:r>
    </w:p>
    <w:p w14:paraId="2086E9E4" w14:textId="77777777" w:rsidR="00802D3E" w:rsidRDefault="00802D3E" w:rsidP="00802D3E">
      <w:pPr>
        <w:pStyle w:val="MeasureTableHeading"/>
      </w:pPr>
      <w:r>
        <w:t xml:space="preserve">Other economic affairs </w:t>
      </w:r>
      <w:r w:rsidR="00C853A0">
        <w:t>–</w:t>
      </w:r>
      <w:r>
        <w:t xml:space="preserve"> Other</w:t>
      </w:r>
      <w:r w:rsidR="00C853A0">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9ED" w14:textId="77777777" w:rsidTr="00802D3E">
        <w:trPr>
          <w:cantSplit/>
          <w:jc w:val="center"/>
        </w:trPr>
        <w:tc>
          <w:tcPr>
            <w:tcW w:w="967" w:type="dxa"/>
            <w:tcBorders>
              <w:top w:val="single" w:sz="2" w:space="0" w:color="auto"/>
              <w:left w:val="nil"/>
              <w:bottom w:val="single" w:sz="2" w:space="0" w:color="auto"/>
              <w:right w:val="nil"/>
            </w:tcBorders>
            <w:hideMark/>
          </w:tcPr>
          <w:p w14:paraId="2086E9E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9E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9E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9E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9E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9E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9E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9EC" w14:textId="77777777" w:rsidR="00802D3E" w:rsidRDefault="00802D3E">
            <w:pPr>
              <w:pStyle w:val="MeasureTableTextRightAligned"/>
            </w:pPr>
            <w:r>
              <w:t>2019-20</w:t>
            </w:r>
          </w:p>
        </w:tc>
      </w:tr>
      <w:tr w:rsidR="00802D3E" w14:paraId="2086E9F6" w14:textId="77777777" w:rsidTr="00802D3E">
        <w:trPr>
          <w:cantSplit/>
          <w:jc w:val="center"/>
        </w:trPr>
        <w:tc>
          <w:tcPr>
            <w:tcW w:w="967" w:type="dxa"/>
            <w:tcBorders>
              <w:top w:val="single" w:sz="2" w:space="0" w:color="auto"/>
              <w:left w:val="nil"/>
              <w:bottom w:val="single" w:sz="2" w:space="0" w:color="auto"/>
              <w:right w:val="nil"/>
            </w:tcBorders>
            <w:hideMark/>
          </w:tcPr>
          <w:p w14:paraId="2086E9EE" w14:textId="77777777" w:rsidR="00802D3E" w:rsidRDefault="00802D3E">
            <w:pPr>
              <w:pStyle w:val="MeasureTableTextRightAligned"/>
            </w:pPr>
            <w:r>
              <w:t>45</w:t>
            </w:r>
          </w:p>
        </w:tc>
        <w:tc>
          <w:tcPr>
            <w:tcW w:w="967" w:type="dxa"/>
            <w:tcBorders>
              <w:top w:val="single" w:sz="2" w:space="0" w:color="auto"/>
              <w:left w:val="nil"/>
              <w:bottom w:val="single" w:sz="2" w:space="0" w:color="auto"/>
              <w:right w:val="nil"/>
            </w:tcBorders>
            <w:hideMark/>
          </w:tcPr>
          <w:p w14:paraId="2086E9EF"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6E9F0" w14:textId="77777777" w:rsidR="00802D3E" w:rsidRDefault="00802D3E">
            <w:pPr>
              <w:pStyle w:val="MeasureTableTextRightAligned"/>
            </w:pPr>
            <w:r>
              <w:t>75</w:t>
            </w:r>
          </w:p>
        </w:tc>
        <w:tc>
          <w:tcPr>
            <w:tcW w:w="967" w:type="dxa"/>
            <w:tcBorders>
              <w:top w:val="single" w:sz="2" w:space="0" w:color="auto"/>
              <w:left w:val="nil"/>
              <w:bottom w:val="single" w:sz="2" w:space="0" w:color="auto"/>
              <w:right w:val="nil"/>
            </w:tcBorders>
            <w:vAlign w:val="bottom"/>
            <w:hideMark/>
          </w:tcPr>
          <w:p w14:paraId="2086E9F1" w14:textId="77777777" w:rsidR="00802D3E" w:rsidRDefault="00802D3E">
            <w:pPr>
              <w:pStyle w:val="MeasureTableTextRightAligned"/>
            </w:pPr>
            <w:r>
              <w:t>80</w:t>
            </w:r>
          </w:p>
        </w:tc>
        <w:tc>
          <w:tcPr>
            <w:tcW w:w="967" w:type="dxa"/>
            <w:tcBorders>
              <w:top w:val="single" w:sz="2" w:space="0" w:color="auto"/>
              <w:left w:val="nil"/>
              <w:bottom w:val="single" w:sz="2" w:space="0" w:color="auto"/>
              <w:right w:val="nil"/>
            </w:tcBorders>
            <w:vAlign w:val="bottom"/>
            <w:hideMark/>
          </w:tcPr>
          <w:p w14:paraId="2086E9F2" w14:textId="77777777" w:rsidR="00802D3E" w:rsidRDefault="00802D3E">
            <w:pPr>
              <w:pStyle w:val="MeasureTableTextRightAligned"/>
            </w:pPr>
            <w:r>
              <w:t>80</w:t>
            </w:r>
          </w:p>
        </w:tc>
        <w:tc>
          <w:tcPr>
            <w:tcW w:w="967" w:type="dxa"/>
            <w:gridSpan w:val="2"/>
            <w:tcBorders>
              <w:top w:val="single" w:sz="2" w:space="0" w:color="auto"/>
              <w:left w:val="nil"/>
              <w:bottom w:val="single" w:sz="2" w:space="0" w:color="auto"/>
              <w:right w:val="nil"/>
            </w:tcBorders>
            <w:vAlign w:val="bottom"/>
            <w:hideMark/>
          </w:tcPr>
          <w:p w14:paraId="2086E9F3" w14:textId="77777777" w:rsidR="00802D3E" w:rsidRDefault="00802D3E">
            <w:pPr>
              <w:pStyle w:val="MeasureTableTextRightAligned"/>
            </w:pPr>
            <w:r>
              <w:t>80</w:t>
            </w:r>
          </w:p>
        </w:tc>
        <w:tc>
          <w:tcPr>
            <w:tcW w:w="967" w:type="dxa"/>
            <w:gridSpan w:val="2"/>
            <w:tcBorders>
              <w:top w:val="single" w:sz="2" w:space="0" w:color="auto"/>
              <w:left w:val="nil"/>
              <w:bottom w:val="single" w:sz="2" w:space="0" w:color="auto"/>
              <w:right w:val="nil"/>
            </w:tcBorders>
            <w:vAlign w:val="bottom"/>
            <w:hideMark/>
          </w:tcPr>
          <w:p w14:paraId="2086E9F4" w14:textId="77777777" w:rsidR="00802D3E" w:rsidRDefault="00802D3E">
            <w:pPr>
              <w:pStyle w:val="MeasureTableTextRightAligned"/>
            </w:pPr>
            <w:r>
              <w:t>80</w:t>
            </w:r>
          </w:p>
        </w:tc>
        <w:tc>
          <w:tcPr>
            <w:tcW w:w="968" w:type="dxa"/>
            <w:tcBorders>
              <w:top w:val="single" w:sz="2" w:space="0" w:color="auto"/>
              <w:left w:val="nil"/>
              <w:bottom w:val="single" w:sz="2" w:space="0" w:color="auto"/>
              <w:right w:val="nil"/>
            </w:tcBorders>
            <w:vAlign w:val="bottom"/>
            <w:hideMark/>
          </w:tcPr>
          <w:p w14:paraId="2086E9F5" w14:textId="77777777" w:rsidR="00802D3E" w:rsidRDefault="00802D3E">
            <w:pPr>
              <w:pStyle w:val="MeasureTableTextRightAligned"/>
            </w:pPr>
            <w:r>
              <w:t>80</w:t>
            </w:r>
          </w:p>
        </w:tc>
      </w:tr>
      <w:tr w:rsidR="00802D3E" w14:paraId="2086E9FB" w14:textId="77777777" w:rsidTr="00802D3E">
        <w:trPr>
          <w:cantSplit/>
          <w:jc w:val="center"/>
        </w:trPr>
        <w:tc>
          <w:tcPr>
            <w:tcW w:w="1934" w:type="dxa"/>
            <w:gridSpan w:val="2"/>
            <w:tcBorders>
              <w:top w:val="single" w:sz="2" w:space="0" w:color="auto"/>
              <w:left w:val="nil"/>
              <w:bottom w:val="nil"/>
              <w:right w:val="nil"/>
            </w:tcBorders>
            <w:hideMark/>
          </w:tcPr>
          <w:p w14:paraId="2086E9F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9F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9F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9FA" w14:textId="77777777" w:rsidR="00802D3E" w:rsidRDefault="00802D3E">
            <w:pPr>
              <w:pStyle w:val="MeasureTableTextLeftAligned"/>
            </w:pPr>
            <w:r>
              <w:t>A32</w:t>
            </w:r>
          </w:p>
        </w:tc>
      </w:tr>
      <w:tr w:rsidR="00802D3E" w14:paraId="2086EA00" w14:textId="77777777" w:rsidTr="00802D3E">
        <w:trPr>
          <w:cantSplit/>
          <w:jc w:val="center"/>
        </w:trPr>
        <w:tc>
          <w:tcPr>
            <w:tcW w:w="1934" w:type="dxa"/>
            <w:gridSpan w:val="2"/>
            <w:tcBorders>
              <w:top w:val="nil"/>
              <w:left w:val="nil"/>
              <w:bottom w:val="nil"/>
              <w:right w:val="nil"/>
            </w:tcBorders>
            <w:hideMark/>
          </w:tcPr>
          <w:p w14:paraId="2086E9F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9FD" w14:textId="77777777" w:rsidR="00802D3E" w:rsidRDefault="00802D3E">
            <w:pPr>
              <w:pStyle w:val="MeasureTableTextLeftAligned"/>
            </w:pPr>
            <w:r>
              <w:t>Low</w:t>
            </w:r>
          </w:p>
        </w:tc>
        <w:tc>
          <w:tcPr>
            <w:tcW w:w="1500" w:type="dxa"/>
            <w:gridSpan w:val="2"/>
            <w:tcBorders>
              <w:top w:val="nil"/>
              <w:left w:val="nil"/>
              <w:bottom w:val="nil"/>
              <w:right w:val="nil"/>
            </w:tcBorders>
          </w:tcPr>
          <w:p w14:paraId="2086E9FE" w14:textId="77777777" w:rsidR="00802D3E" w:rsidRDefault="00802D3E">
            <w:pPr>
              <w:pStyle w:val="MeasureTableTextItalic"/>
            </w:pPr>
          </w:p>
        </w:tc>
        <w:tc>
          <w:tcPr>
            <w:tcW w:w="1124" w:type="dxa"/>
            <w:gridSpan w:val="2"/>
            <w:tcBorders>
              <w:top w:val="nil"/>
              <w:left w:val="nil"/>
              <w:bottom w:val="nil"/>
              <w:right w:val="nil"/>
            </w:tcBorders>
          </w:tcPr>
          <w:p w14:paraId="2086E9FF" w14:textId="77777777" w:rsidR="00802D3E" w:rsidRDefault="00802D3E">
            <w:pPr>
              <w:pStyle w:val="MeasureTableTextLeftAligned"/>
            </w:pPr>
          </w:p>
        </w:tc>
      </w:tr>
      <w:tr w:rsidR="00802D3E" w14:paraId="2086EA05" w14:textId="77777777" w:rsidTr="00802D3E">
        <w:trPr>
          <w:cantSplit/>
          <w:jc w:val="center"/>
        </w:trPr>
        <w:tc>
          <w:tcPr>
            <w:tcW w:w="1934" w:type="dxa"/>
            <w:gridSpan w:val="2"/>
            <w:tcBorders>
              <w:top w:val="nil"/>
              <w:left w:val="nil"/>
              <w:bottom w:val="nil"/>
              <w:right w:val="nil"/>
            </w:tcBorders>
            <w:hideMark/>
          </w:tcPr>
          <w:p w14:paraId="2086EA0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A02" w14:textId="77777777" w:rsidR="00802D3E" w:rsidRDefault="00802D3E">
            <w:pPr>
              <w:pStyle w:val="MeasureTableTextLeftAligned"/>
            </w:pPr>
            <w:r>
              <w:t>2006</w:t>
            </w:r>
          </w:p>
        </w:tc>
        <w:tc>
          <w:tcPr>
            <w:tcW w:w="1500" w:type="dxa"/>
            <w:gridSpan w:val="2"/>
            <w:tcBorders>
              <w:top w:val="nil"/>
              <w:left w:val="nil"/>
              <w:bottom w:val="nil"/>
              <w:right w:val="nil"/>
            </w:tcBorders>
            <w:hideMark/>
          </w:tcPr>
          <w:p w14:paraId="2086EA0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A04" w14:textId="77777777" w:rsidR="00802D3E" w:rsidRDefault="00802D3E">
            <w:pPr>
              <w:pStyle w:val="MeasureTableTextLeftAligned"/>
            </w:pPr>
          </w:p>
        </w:tc>
      </w:tr>
      <w:tr w:rsidR="00802D3E" w14:paraId="2086EA08" w14:textId="77777777" w:rsidTr="00802D3E">
        <w:trPr>
          <w:cantSplit/>
          <w:jc w:val="center"/>
        </w:trPr>
        <w:tc>
          <w:tcPr>
            <w:tcW w:w="1934" w:type="dxa"/>
            <w:gridSpan w:val="2"/>
            <w:tcBorders>
              <w:top w:val="nil"/>
              <w:left w:val="nil"/>
              <w:bottom w:val="single" w:sz="2" w:space="0" w:color="auto"/>
              <w:right w:val="nil"/>
            </w:tcBorders>
            <w:hideMark/>
          </w:tcPr>
          <w:p w14:paraId="2086EA0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A07" w14:textId="77777777" w:rsidR="00802D3E" w:rsidRPr="00231210" w:rsidRDefault="00802D3E">
            <w:pPr>
              <w:widowControl w:val="0"/>
              <w:autoSpaceDE w:val="0"/>
              <w:autoSpaceDN w:val="0"/>
              <w:adjustRightInd w:val="0"/>
              <w:spacing w:after="0" w:line="240" w:lineRule="auto"/>
              <w:rPr>
                <w:rFonts w:ascii="Arial" w:hAnsi="Arial" w:cs="Arial"/>
                <w:sz w:val="16"/>
                <w:szCs w:val="16"/>
              </w:rPr>
            </w:pPr>
            <w:r w:rsidRPr="00231210">
              <w:rPr>
                <w:rFonts w:ascii="Arial" w:hAnsi="Arial" w:cs="Arial"/>
                <w:sz w:val="16"/>
                <w:szCs w:val="16"/>
              </w:rPr>
              <w:t xml:space="preserve">Subdivision 768-R of the </w:t>
            </w:r>
            <w:r w:rsidRPr="00231210">
              <w:rPr>
                <w:rFonts w:ascii="Arial" w:hAnsi="Arial" w:cs="Arial"/>
                <w:i/>
                <w:iCs/>
                <w:color w:val="000000"/>
                <w:sz w:val="16"/>
                <w:szCs w:val="16"/>
              </w:rPr>
              <w:t>Income Tax Assessment Act 1997</w:t>
            </w:r>
          </w:p>
        </w:tc>
      </w:tr>
    </w:tbl>
    <w:p w14:paraId="2086EA09" w14:textId="77777777" w:rsidR="00802D3E" w:rsidRPr="009057E9" w:rsidRDefault="00802D3E" w:rsidP="0098392C">
      <w:pPr>
        <w:pStyle w:val="SingleParagraph"/>
        <w:rPr>
          <w:sz w:val="14"/>
        </w:rPr>
      </w:pPr>
    </w:p>
    <w:p w14:paraId="2086EA0A" w14:textId="3F56F2D3" w:rsidR="00802D3E" w:rsidRDefault="00802D3E" w:rsidP="00802D3E">
      <w:r>
        <w:t>The majority of foreign source income of temporary residents</w:t>
      </w:r>
      <w:r>
        <w:fldChar w:fldCharType="begin"/>
      </w:r>
      <w:r>
        <w:instrText xml:space="preserve"> XE "Temporary residents" </w:instrText>
      </w:r>
      <w:r>
        <w:fldChar w:fldCharType="end"/>
      </w:r>
      <w:r>
        <w:t xml:space="preserve"> is exempt from income tax, and capital gains on only some Australian assets of temporary residents are taxed. Interest paid to foreign lenders by temporary residents is exempt from withholding</w:t>
      </w:r>
      <w:r w:rsidR="000B1D9D">
        <w:t> </w:t>
      </w:r>
      <w:r>
        <w:t xml:space="preserve">tax. </w:t>
      </w:r>
    </w:p>
    <w:p w14:paraId="2086EA0B" w14:textId="77777777" w:rsidR="00802D3E" w:rsidRDefault="00802D3E" w:rsidP="00802D3E">
      <w:pPr>
        <w:pStyle w:val="TESHeading5"/>
        <w:ind w:left="0" w:firstLine="0"/>
      </w:pPr>
      <w:r>
        <w:lastRenderedPageBreak/>
        <w:t>A38</w:t>
      </w:r>
      <w:r>
        <w:tab/>
        <w:t>Income tax exemption for Australian staff of the Asian Development Bank</w:t>
      </w:r>
    </w:p>
    <w:p w14:paraId="2086EA0C" w14:textId="77777777" w:rsidR="00802D3E" w:rsidRDefault="00802D3E" w:rsidP="00802D3E">
      <w:pPr>
        <w:pStyle w:val="MeasureTableHeading"/>
      </w:pPr>
      <w:r>
        <w:t xml:space="preserve">Other economic affairs </w:t>
      </w:r>
      <w:r w:rsidR="00C853A0">
        <w:t>–</w:t>
      </w:r>
      <w:r>
        <w:t xml:space="preserve"> Other</w:t>
      </w:r>
      <w:r w:rsidR="00C853A0">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A15" w14:textId="77777777" w:rsidTr="00802D3E">
        <w:trPr>
          <w:cantSplit/>
          <w:jc w:val="center"/>
        </w:trPr>
        <w:tc>
          <w:tcPr>
            <w:tcW w:w="967" w:type="dxa"/>
            <w:tcBorders>
              <w:top w:val="single" w:sz="2" w:space="0" w:color="auto"/>
              <w:left w:val="nil"/>
              <w:bottom w:val="single" w:sz="2" w:space="0" w:color="auto"/>
              <w:right w:val="nil"/>
            </w:tcBorders>
            <w:hideMark/>
          </w:tcPr>
          <w:p w14:paraId="2086EA0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A0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A0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A1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A1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A1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A1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A14" w14:textId="77777777" w:rsidR="00802D3E" w:rsidRDefault="00802D3E">
            <w:pPr>
              <w:pStyle w:val="MeasureTableTextRightAligned"/>
            </w:pPr>
            <w:r>
              <w:t>2019-20</w:t>
            </w:r>
          </w:p>
        </w:tc>
      </w:tr>
      <w:tr w:rsidR="00802D3E" w14:paraId="2086EA1E" w14:textId="77777777" w:rsidTr="00802D3E">
        <w:trPr>
          <w:cantSplit/>
          <w:jc w:val="center"/>
        </w:trPr>
        <w:tc>
          <w:tcPr>
            <w:tcW w:w="967" w:type="dxa"/>
            <w:tcBorders>
              <w:top w:val="single" w:sz="2" w:space="0" w:color="auto"/>
              <w:left w:val="nil"/>
              <w:bottom w:val="single" w:sz="2" w:space="0" w:color="auto"/>
              <w:right w:val="nil"/>
            </w:tcBorders>
            <w:hideMark/>
          </w:tcPr>
          <w:p w14:paraId="2086EA16"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hideMark/>
          </w:tcPr>
          <w:p w14:paraId="2086EA17"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6EA18"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6EA19"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6EA1A" w14:textId="77777777" w:rsidR="00802D3E" w:rsidRDefault="00802D3E">
            <w:pPr>
              <w:pStyle w:val="MeasureTableTextRightAligned"/>
            </w:pPr>
            <w:r>
              <w:t>1</w:t>
            </w:r>
          </w:p>
        </w:tc>
        <w:tc>
          <w:tcPr>
            <w:tcW w:w="967" w:type="dxa"/>
            <w:gridSpan w:val="2"/>
            <w:tcBorders>
              <w:top w:val="single" w:sz="2" w:space="0" w:color="auto"/>
              <w:left w:val="nil"/>
              <w:bottom w:val="single" w:sz="2" w:space="0" w:color="auto"/>
              <w:right w:val="nil"/>
            </w:tcBorders>
            <w:vAlign w:val="bottom"/>
            <w:hideMark/>
          </w:tcPr>
          <w:p w14:paraId="2086EA1B" w14:textId="77777777" w:rsidR="00802D3E" w:rsidRDefault="00802D3E">
            <w:pPr>
              <w:pStyle w:val="MeasureTableTextRightAligned"/>
            </w:pPr>
            <w:r>
              <w:t>1</w:t>
            </w:r>
          </w:p>
        </w:tc>
        <w:tc>
          <w:tcPr>
            <w:tcW w:w="967" w:type="dxa"/>
            <w:gridSpan w:val="2"/>
            <w:tcBorders>
              <w:top w:val="single" w:sz="2" w:space="0" w:color="auto"/>
              <w:left w:val="nil"/>
              <w:bottom w:val="single" w:sz="2" w:space="0" w:color="auto"/>
              <w:right w:val="nil"/>
            </w:tcBorders>
            <w:vAlign w:val="bottom"/>
            <w:hideMark/>
          </w:tcPr>
          <w:p w14:paraId="2086EA1C" w14:textId="77777777" w:rsidR="00802D3E" w:rsidRDefault="00802D3E">
            <w:pPr>
              <w:pStyle w:val="MeasureTableTextRightAligned"/>
            </w:pPr>
            <w:r>
              <w:t>1</w:t>
            </w:r>
          </w:p>
        </w:tc>
        <w:tc>
          <w:tcPr>
            <w:tcW w:w="968" w:type="dxa"/>
            <w:tcBorders>
              <w:top w:val="single" w:sz="2" w:space="0" w:color="auto"/>
              <w:left w:val="nil"/>
              <w:bottom w:val="single" w:sz="2" w:space="0" w:color="auto"/>
              <w:right w:val="nil"/>
            </w:tcBorders>
            <w:vAlign w:val="bottom"/>
            <w:hideMark/>
          </w:tcPr>
          <w:p w14:paraId="2086EA1D" w14:textId="77777777" w:rsidR="00802D3E" w:rsidRDefault="00802D3E">
            <w:pPr>
              <w:pStyle w:val="MeasureTableTextRightAligned"/>
            </w:pPr>
            <w:r>
              <w:t>1</w:t>
            </w:r>
          </w:p>
        </w:tc>
      </w:tr>
      <w:tr w:rsidR="00802D3E" w14:paraId="2086EA23" w14:textId="77777777" w:rsidTr="00802D3E">
        <w:trPr>
          <w:cantSplit/>
          <w:jc w:val="center"/>
        </w:trPr>
        <w:tc>
          <w:tcPr>
            <w:tcW w:w="1934" w:type="dxa"/>
            <w:gridSpan w:val="2"/>
            <w:tcBorders>
              <w:top w:val="single" w:sz="2" w:space="0" w:color="auto"/>
              <w:left w:val="nil"/>
              <w:bottom w:val="nil"/>
              <w:right w:val="nil"/>
            </w:tcBorders>
            <w:hideMark/>
          </w:tcPr>
          <w:p w14:paraId="2086EA1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A2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A2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A22" w14:textId="77777777" w:rsidR="00802D3E" w:rsidRDefault="00802D3E">
            <w:pPr>
              <w:pStyle w:val="MeasureTableTextLeftAligned"/>
            </w:pPr>
            <w:r>
              <w:t>A33</w:t>
            </w:r>
          </w:p>
        </w:tc>
      </w:tr>
      <w:tr w:rsidR="00802D3E" w14:paraId="2086EA28" w14:textId="77777777" w:rsidTr="00802D3E">
        <w:trPr>
          <w:cantSplit/>
          <w:jc w:val="center"/>
        </w:trPr>
        <w:tc>
          <w:tcPr>
            <w:tcW w:w="1934" w:type="dxa"/>
            <w:gridSpan w:val="2"/>
            <w:tcBorders>
              <w:top w:val="nil"/>
              <w:left w:val="nil"/>
              <w:bottom w:val="nil"/>
              <w:right w:val="nil"/>
            </w:tcBorders>
            <w:hideMark/>
          </w:tcPr>
          <w:p w14:paraId="2086EA2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A25"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EA26" w14:textId="77777777" w:rsidR="00802D3E" w:rsidRDefault="00802D3E">
            <w:pPr>
              <w:pStyle w:val="MeasureTableTextItalic"/>
            </w:pPr>
          </w:p>
        </w:tc>
        <w:tc>
          <w:tcPr>
            <w:tcW w:w="1124" w:type="dxa"/>
            <w:gridSpan w:val="2"/>
            <w:tcBorders>
              <w:top w:val="nil"/>
              <w:left w:val="nil"/>
              <w:bottom w:val="nil"/>
              <w:right w:val="nil"/>
            </w:tcBorders>
          </w:tcPr>
          <w:p w14:paraId="2086EA27" w14:textId="77777777" w:rsidR="00802D3E" w:rsidRDefault="00802D3E">
            <w:pPr>
              <w:pStyle w:val="MeasureTableTextLeftAligned"/>
            </w:pPr>
          </w:p>
        </w:tc>
      </w:tr>
      <w:tr w:rsidR="00802D3E" w14:paraId="2086EA2D" w14:textId="77777777" w:rsidTr="00802D3E">
        <w:trPr>
          <w:cantSplit/>
          <w:jc w:val="center"/>
        </w:trPr>
        <w:tc>
          <w:tcPr>
            <w:tcW w:w="1934" w:type="dxa"/>
            <w:gridSpan w:val="2"/>
            <w:tcBorders>
              <w:top w:val="nil"/>
              <w:left w:val="nil"/>
              <w:bottom w:val="nil"/>
              <w:right w:val="nil"/>
            </w:tcBorders>
            <w:hideMark/>
          </w:tcPr>
          <w:p w14:paraId="2086EA2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A2A" w14:textId="77777777" w:rsidR="00802D3E" w:rsidRDefault="00802D3E">
            <w:pPr>
              <w:pStyle w:val="MeasureTableTextLeftAligned"/>
            </w:pPr>
            <w:r>
              <w:t>2005</w:t>
            </w:r>
          </w:p>
        </w:tc>
        <w:tc>
          <w:tcPr>
            <w:tcW w:w="1500" w:type="dxa"/>
            <w:gridSpan w:val="2"/>
            <w:tcBorders>
              <w:top w:val="nil"/>
              <w:left w:val="nil"/>
              <w:bottom w:val="nil"/>
              <w:right w:val="nil"/>
            </w:tcBorders>
            <w:hideMark/>
          </w:tcPr>
          <w:p w14:paraId="2086EA2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A2C" w14:textId="77777777" w:rsidR="00802D3E" w:rsidRDefault="00802D3E">
            <w:pPr>
              <w:pStyle w:val="MeasureTableTextLeftAligned"/>
            </w:pPr>
          </w:p>
        </w:tc>
      </w:tr>
      <w:tr w:rsidR="00802D3E" w14:paraId="2086EA30" w14:textId="77777777" w:rsidTr="00802D3E">
        <w:trPr>
          <w:cantSplit/>
          <w:jc w:val="center"/>
        </w:trPr>
        <w:tc>
          <w:tcPr>
            <w:tcW w:w="1934" w:type="dxa"/>
            <w:gridSpan w:val="2"/>
            <w:tcBorders>
              <w:top w:val="nil"/>
              <w:left w:val="nil"/>
              <w:bottom w:val="single" w:sz="2" w:space="0" w:color="auto"/>
              <w:right w:val="nil"/>
            </w:tcBorders>
            <w:hideMark/>
          </w:tcPr>
          <w:p w14:paraId="2086EA2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A2F" w14:textId="77777777" w:rsidR="00802D3E" w:rsidRDefault="00802D3E" w:rsidP="00231210">
            <w:pPr>
              <w:widowControl w:val="0"/>
              <w:autoSpaceDE w:val="0"/>
              <w:autoSpaceDN w:val="0"/>
              <w:adjustRightInd w:val="0"/>
              <w:spacing w:after="0" w:line="240" w:lineRule="auto"/>
              <w:jc w:val="left"/>
            </w:pPr>
            <w:r>
              <w:rPr>
                <w:rFonts w:ascii="Arial" w:hAnsi="Arial" w:cs="Arial"/>
                <w:color w:val="000000"/>
                <w:sz w:val="16"/>
                <w:szCs w:val="16"/>
              </w:rPr>
              <w:t xml:space="preserve">Regulation 6 of the </w:t>
            </w:r>
            <w:r>
              <w:rPr>
                <w:rFonts w:ascii="Arial" w:hAnsi="Arial" w:cs="Arial"/>
                <w:i/>
                <w:iCs/>
                <w:color w:val="000000"/>
                <w:sz w:val="16"/>
                <w:szCs w:val="16"/>
              </w:rPr>
              <w:t>Asian Development Bank (Privileges and Immunities) Regulations 1967</w:t>
            </w:r>
          </w:p>
        </w:tc>
      </w:tr>
    </w:tbl>
    <w:p w14:paraId="2086EA31" w14:textId="77777777" w:rsidR="00802D3E" w:rsidRDefault="00802D3E" w:rsidP="0098392C">
      <w:pPr>
        <w:pStyle w:val="SingleParagraph"/>
      </w:pPr>
    </w:p>
    <w:p w14:paraId="2086EA32" w14:textId="77777777" w:rsidR="00802D3E" w:rsidRDefault="00802D3E" w:rsidP="00802D3E">
      <w:r>
        <w:t>The income of Australian resident officers of the Asian Development Bank</w:t>
      </w:r>
      <w:r>
        <w:fldChar w:fldCharType="begin"/>
      </w:r>
      <w:r>
        <w:instrText xml:space="preserve"> XE "Asian Development Bank" </w:instrText>
      </w:r>
      <w:r>
        <w:fldChar w:fldCharType="end"/>
      </w:r>
      <w:r>
        <w:t xml:space="preserve"> (ADB) is exempt from tax. This exemption is part of the broader arrangement with the ADB that facilitates the day-to-day running of the Australian office which services the needs of the Pacific Island countries. </w:t>
      </w:r>
    </w:p>
    <w:p w14:paraId="2086EA33" w14:textId="77777777" w:rsidR="00802D3E" w:rsidRDefault="00802D3E" w:rsidP="00802D3E">
      <w:pPr>
        <w:pStyle w:val="TESHeading5"/>
        <w:ind w:left="0" w:firstLine="0"/>
      </w:pPr>
      <w:r>
        <w:t>A39</w:t>
      </w:r>
      <w:r>
        <w:tab/>
        <w:t>Exemption of certain income support benefits, pensions or allowances</w:t>
      </w:r>
    </w:p>
    <w:p w14:paraId="2086EA34"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A3D" w14:textId="77777777" w:rsidTr="00802D3E">
        <w:trPr>
          <w:cantSplit/>
          <w:jc w:val="center"/>
        </w:trPr>
        <w:tc>
          <w:tcPr>
            <w:tcW w:w="967" w:type="dxa"/>
            <w:tcBorders>
              <w:top w:val="single" w:sz="2" w:space="0" w:color="auto"/>
              <w:left w:val="nil"/>
              <w:bottom w:val="single" w:sz="2" w:space="0" w:color="auto"/>
              <w:right w:val="nil"/>
            </w:tcBorders>
            <w:hideMark/>
          </w:tcPr>
          <w:p w14:paraId="2086EA3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A3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A3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A3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A3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A3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A3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A3C" w14:textId="77777777" w:rsidR="00802D3E" w:rsidRDefault="00802D3E">
            <w:pPr>
              <w:pStyle w:val="MeasureTableTextRightAligned"/>
            </w:pPr>
            <w:r>
              <w:t>2019-20</w:t>
            </w:r>
          </w:p>
        </w:tc>
      </w:tr>
      <w:tr w:rsidR="00802D3E" w14:paraId="2086EA46" w14:textId="77777777" w:rsidTr="00802D3E">
        <w:trPr>
          <w:cantSplit/>
          <w:jc w:val="center"/>
        </w:trPr>
        <w:tc>
          <w:tcPr>
            <w:tcW w:w="967" w:type="dxa"/>
            <w:tcBorders>
              <w:top w:val="single" w:sz="2" w:space="0" w:color="auto"/>
              <w:left w:val="nil"/>
              <w:bottom w:val="single" w:sz="2" w:space="0" w:color="auto"/>
              <w:right w:val="nil"/>
            </w:tcBorders>
            <w:hideMark/>
          </w:tcPr>
          <w:p w14:paraId="2086EA3E" w14:textId="77777777" w:rsidR="00802D3E" w:rsidRDefault="00802D3E">
            <w:pPr>
              <w:pStyle w:val="MeasureTableTextRightAligned"/>
            </w:pPr>
            <w:r>
              <w:t>500</w:t>
            </w:r>
          </w:p>
        </w:tc>
        <w:tc>
          <w:tcPr>
            <w:tcW w:w="967" w:type="dxa"/>
            <w:tcBorders>
              <w:top w:val="single" w:sz="2" w:space="0" w:color="auto"/>
              <w:left w:val="nil"/>
              <w:bottom w:val="single" w:sz="2" w:space="0" w:color="auto"/>
              <w:right w:val="nil"/>
            </w:tcBorders>
            <w:hideMark/>
          </w:tcPr>
          <w:p w14:paraId="2086EA3F" w14:textId="77777777" w:rsidR="00802D3E" w:rsidRDefault="00802D3E">
            <w:pPr>
              <w:pStyle w:val="MeasureTableTextRightAligned"/>
            </w:pPr>
            <w:r>
              <w:t>550</w:t>
            </w:r>
          </w:p>
        </w:tc>
        <w:tc>
          <w:tcPr>
            <w:tcW w:w="967" w:type="dxa"/>
            <w:tcBorders>
              <w:top w:val="single" w:sz="2" w:space="0" w:color="auto"/>
              <w:left w:val="nil"/>
              <w:bottom w:val="single" w:sz="2" w:space="0" w:color="auto"/>
              <w:right w:val="nil"/>
            </w:tcBorders>
            <w:vAlign w:val="bottom"/>
            <w:hideMark/>
          </w:tcPr>
          <w:p w14:paraId="2086EA40" w14:textId="77777777" w:rsidR="00802D3E" w:rsidRDefault="00802D3E">
            <w:pPr>
              <w:pStyle w:val="MeasureTableTextRightAligned"/>
            </w:pPr>
            <w:r>
              <w:t>610</w:t>
            </w:r>
          </w:p>
        </w:tc>
        <w:tc>
          <w:tcPr>
            <w:tcW w:w="967" w:type="dxa"/>
            <w:tcBorders>
              <w:top w:val="single" w:sz="2" w:space="0" w:color="auto"/>
              <w:left w:val="nil"/>
              <w:bottom w:val="single" w:sz="2" w:space="0" w:color="auto"/>
              <w:right w:val="nil"/>
            </w:tcBorders>
            <w:vAlign w:val="bottom"/>
            <w:hideMark/>
          </w:tcPr>
          <w:p w14:paraId="2086EA41" w14:textId="77777777" w:rsidR="00802D3E" w:rsidRDefault="00802D3E">
            <w:pPr>
              <w:pStyle w:val="MeasureTableTextRightAligned"/>
            </w:pPr>
            <w:r>
              <w:t>600</w:t>
            </w:r>
          </w:p>
        </w:tc>
        <w:tc>
          <w:tcPr>
            <w:tcW w:w="967" w:type="dxa"/>
            <w:tcBorders>
              <w:top w:val="single" w:sz="2" w:space="0" w:color="auto"/>
              <w:left w:val="nil"/>
              <w:bottom w:val="single" w:sz="2" w:space="0" w:color="auto"/>
              <w:right w:val="nil"/>
            </w:tcBorders>
            <w:vAlign w:val="bottom"/>
            <w:hideMark/>
          </w:tcPr>
          <w:p w14:paraId="2086EA42" w14:textId="77777777" w:rsidR="00802D3E" w:rsidRDefault="00802D3E">
            <w:pPr>
              <w:pStyle w:val="MeasureTableTextRightAligned"/>
            </w:pPr>
            <w:r>
              <w:t>630</w:t>
            </w:r>
          </w:p>
        </w:tc>
        <w:tc>
          <w:tcPr>
            <w:tcW w:w="967" w:type="dxa"/>
            <w:gridSpan w:val="2"/>
            <w:tcBorders>
              <w:top w:val="single" w:sz="2" w:space="0" w:color="auto"/>
              <w:left w:val="nil"/>
              <w:bottom w:val="single" w:sz="2" w:space="0" w:color="auto"/>
              <w:right w:val="nil"/>
            </w:tcBorders>
            <w:vAlign w:val="bottom"/>
            <w:hideMark/>
          </w:tcPr>
          <w:p w14:paraId="2086EA43" w14:textId="77777777" w:rsidR="00802D3E" w:rsidRDefault="00802D3E">
            <w:pPr>
              <w:pStyle w:val="MeasureTableTextRightAligned"/>
            </w:pPr>
            <w:r>
              <w:t>650</w:t>
            </w:r>
          </w:p>
        </w:tc>
        <w:tc>
          <w:tcPr>
            <w:tcW w:w="967" w:type="dxa"/>
            <w:gridSpan w:val="2"/>
            <w:tcBorders>
              <w:top w:val="single" w:sz="2" w:space="0" w:color="auto"/>
              <w:left w:val="nil"/>
              <w:bottom w:val="single" w:sz="2" w:space="0" w:color="auto"/>
              <w:right w:val="nil"/>
            </w:tcBorders>
            <w:vAlign w:val="bottom"/>
            <w:hideMark/>
          </w:tcPr>
          <w:p w14:paraId="2086EA44" w14:textId="77777777" w:rsidR="00802D3E" w:rsidRDefault="00802D3E">
            <w:pPr>
              <w:pStyle w:val="MeasureTableTextRightAligned"/>
            </w:pPr>
            <w:r>
              <w:t>680</w:t>
            </w:r>
          </w:p>
        </w:tc>
        <w:tc>
          <w:tcPr>
            <w:tcW w:w="968" w:type="dxa"/>
            <w:tcBorders>
              <w:top w:val="single" w:sz="2" w:space="0" w:color="auto"/>
              <w:left w:val="nil"/>
              <w:bottom w:val="single" w:sz="2" w:space="0" w:color="auto"/>
              <w:right w:val="nil"/>
            </w:tcBorders>
            <w:vAlign w:val="bottom"/>
            <w:hideMark/>
          </w:tcPr>
          <w:p w14:paraId="2086EA45" w14:textId="77777777" w:rsidR="00802D3E" w:rsidRDefault="00802D3E">
            <w:pPr>
              <w:pStyle w:val="MeasureTableTextRightAligned"/>
            </w:pPr>
            <w:r>
              <w:t>710</w:t>
            </w:r>
          </w:p>
        </w:tc>
      </w:tr>
      <w:tr w:rsidR="00802D3E" w14:paraId="2086EA4B" w14:textId="77777777" w:rsidTr="00802D3E">
        <w:trPr>
          <w:cantSplit/>
          <w:jc w:val="center"/>
        </w:trPr>
        <w:tc>
          <w:tcPr>
            <w:tcW w:w="1934" w:type="dxa"/>
            <w:gridSpan w:val="2"/>
            <w:tcBorders>
              <w:top w:val="single" w:sz="2" w:space="0" w:color="auto"/>
              <w:left w:val="nil"/>
              <w:bottom w:val="nil"/>
              <w:right w:val="nil"/>
            </w:tcBorders>
            <w:hideMark/>
          </w:tcPr>
          <w:p w14:paraId="2086EA4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A4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A4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A4A" w14:textId="77777777" w:rsidR="00802D3E" w:rsidRDefault="00802D3E">
            <w:pPr>
              <w:pStyle w:val="MeasureTableTextLeftAligned"/>
            </w:pPr>
            <w:r>
              <w:t>A34</w:t>
            </w:r>
          </w:p>
        </w:tc>
      </w:tr>
      <w:tr w:rsidR="00802D3E" w14:paraId="2086EA50" w14:textId="77777777" w:rsidTr="00802D3E">
        <w:trPr>
          <w:cantSplit/>
          <w:jc w:val="center"/>
        </w:trPr>
        <w:tc>
          <w:tcPr>
            <w:tcW w:w="1934" w:type="dxa"/>
            <w:gridSpan w:val="2"/>
            <w:tcBorders>
              <w:top w:val="nil"/>
              <w:left w:val="nil"/>
              <w:bottom w:val="nil"/>
              <w:right w:val="nil"/>
            </w:tcBorders>
            <w:hideMark/>
          </w:tcPr>
          <w:p w14:paraId="2086EA4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A4D" w14:textId="77777777" w:rsidR="00802D3E" w:rsidRDefault="00802D3E">
            <w:pPr>
              <w:pStyle w:val="MeasureTableTextLeftAligned"/>
            </w:pPr>
            <w:r>
              <w:t>Low</w:t>
            </w:r>
          </w:p>
        </w:tc>
        <w:tc>
          <w:tcPr>
            <w:tcW w:w="1500" w:type="dxa"/>
            <w:gridSpan w:val="2"/>
            <w:tcBorders>
              <w:top w:val="nil"/>
              <w:left w:val="nil"/>
              <w:bottom w:val="nil"/>
              <w:right w:val="nil"/>
            </w:tcBorders>
          </w:tcPr>
          <w:p w14:paraId="2086EA4E" w14:textId="77777777" w:rsidR="00802D3E" w:rsidRDefault="00802D3E">
            <w:pPr>
              <w:pStyle w:val="MeasureTableTextItalic"/>
            </w:pPr>
          </w:p>
        </w:tc>
        <w:tc>
          <w:tcPr>
            <w:tcW w:w="1124" w:type="dxa"/>
            <w:gridSpan w:val="2"/>
            <w:tcBorders>
              <w:top w:val="nil"/>
              <w:left w:val="nil"/>
              <w:bottom w:val="nil"/>
              <w:right w:val="nil"/>
            </w:tcBorders>
          </w:tcPr>
          <w:p w14:paraId="2086EA4F" w14:textId="77777777" w:rsidR="00802D3E" w:rsidRDefault="00802D3E">
            <w:pPr>
              <w:pStyle w:val="MeasureTableTextLeftAligned"/>
            </w:pPr>
          </w:p>
        </w:tc>
      </w:tr>
      <w:tr w:rsidR="00802D3E" w14:paraId="2086EA55" w14:textId="77777777" w:rsidTr="00802D3E">
        <w:trPr>
          <w:cantSplit/>
          <w:jc w:val="center"/>
        </w:trPr>
        <w:tc>
          <w:tcPr>
            <w:tcW w:w="1934" w:type="dxa"/>
            <w:gridSpan w:val="2"/>
            <w:tcBorders>
              <w:top w:val="nil"/>
              <w:left w:val="nil"/>
              <w:bottom w:val="nil"/>
              <w:right w:val="nil"/>
            </w:tcBorders>
            <w:hideMark/>
          </w:tcPr>
          <w:p w14:paraId="2086EA5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A52"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A5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A54" w14:textId="77777777" w:rsidR="00802D3E" w:rsidRDefault="00802D3E">
            <w:pPr>
              <w:pStyle w:val="MeasureTableTextLeftAligned"/>
            </w:pPr>
          </w:p>
        </w:tc>
      </w:tr>
      <w:tr w:rsidR="00802D3E" w14:paraId="2086EA58" w14:textId="77777777" w:rsidTr="00802D3E">
        <w:trPr>
          <w:cantSplit/>
          <w:jc w:val="center"/>
        </w:trPr>
        <w:tc>
          <w:tcPr>
            <w:tcW w:w="1934" w:type="dxa"/>
            <w:gridSpan w:val="2"/>
            <w:tcBorders>
              <w:top w:val="nil"/>
              <w:left w:val="nil"/>
              <w:bottom w:val="single" w:sz="2" w:space="0" w:color="auto"/>
              <w:right w:val="nil"/>
            </w:tcBorders>
            <w:hideMark/>
          </w:tcPr>
          <w:p w14:paraId="2086EA5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A57" w14:textId="77777777" w:rsidR="00802D3E" w:rsidRDefault="00802D3E" w:rsidP="00231210">
            <w:pPr>
              <w:widowControl w:val="0"/>
              <w:autoSpaceDE w:val="0"/>
              <w:autoSpaceDN w:val="0"/>
              <w:adjustRightInd w:val="0"/>
              <w:spacing w:after="0" w:line="240" w:lineRule="auto"/>
              <w:jc w:val="left"/>
            </w:pPr>
            <w:r>
              <w:rPr>
                <w:rFonts w:ascii="Arial" w:hAnsi="Arial" w:cs="Arial"/>
                <w:color w:val="000000"/>
                <w:sz w:val="16"/>
                <w:szCs w:val="16"/>
              </w:rPr>
              <w:t xml:space="preserve">Subdivisions 52-A, 52-E and 52-F of the </w:t>
            </w:r>
            <w:r>
              <w:rPr>
                <w:rFonts w:ascii="Arial" w:hAnsi="Arial" w:cs="Arial"/>
                <w:i/>
                <w:iCs/>
                <w:color w:val="000000"/>
                <w:sz w:val="16"/>
                <w:szCs w:val="16"/>
              </w:rPr>
              <w:t>Income Tax Assessment Act 1997</w:t>
            </w:r>
          </w:p>
        </w:tc>
      </w:tr>
    </w:tbl>
    <w:p w14:paraId="2086EA59" w14:textId="77777777" w:rsidR="00802D3E" w:rsidRDefault="00802D3E" w:rsidP="0098392C">
      <w:pPr>
        <w:pStyle w:val="SingleParagraph"/>
      </w:pPr>
    </w:p>
    <w:p w14:paraId="2086EA5A" w14:textId="7E2D4EE5" w:rsidR="00802D3E" w:rsidRDefault="00802D3E" w:rsidP="00802D3E">
      <w:r>
        <w:t>Certain social security payments are partly or</w:t>
      </w:r>
      <w:r w:rsidR="000D700A">
        <w:t xml:space="preserve"> fully exempt from income tax. </w:t>
      </w:r>
      <w:r>
        <w:t>These include: certain pensions</w:t>
      </w:r>
      <w:r>
        <w:fldChar w:fldCharType="begin"/>
      </w:r>
      <w:r>
        <w:instrText xml:space="preserve"> XE "Pensions" </w:instrText>
      </w:r>
      <w:r>
        <w:fldChar w:fldCharType="end"/>
      </w:r>
      <w:r>
        <w:t>; benefits;</w:t>
      </w:r>
      <w:r>
        <w:fldChar w:fldCharType="begin"/>
      </w:r>
      <w:r>
        <w:instrText xml:space="preserve"> XE "Benefits" </w:instrText>
      </w:r>
      <w:r>
        <w:fldChar w:fldCharType="end"/>
      </w:r>
      <w:r>
        <w:t xml:space="preserve"> allowances;</w:t>
      </w:r>
      <w:r>
        <w:fldChar w:fldCharType="begin"/>
      </w:r>
      <w:r>
        <w:instrText xml:space="preserve"> XE "Allowances" </w:instrText>
      </w:r>
      <w:r>
        <w:fldChar w:fldCharType="end"/>
      </w:r>
      <w:r>
        <w:t xml:space="preserve"> repatriation pensions paid under the </w:t>
      </w:r>
      <w:r>
        <w:rPr>
          <w:i/>
        </w:rPr>
        <w:t>Social Security Act 1991</w:t>
      </w:r>
      <w:r>
        <w:t xml:space="preserve"> and the </w:t>
      </w:r>
      <w:r>
        <w:rPr>
          <w:i/>
        </w:rPr>
        <w:t>National Health Act 1953</w:t>
      </w:r>
      <w:r>
        <w:t>, for example, Disability Support Pension and Carer Payment</w:t>
      </w:r>
      <w:r>
        <w:rPr>
          <w:i/>
        </w:rPr>
        <w:t xml:space="preserve">; </w:t>
      </w:r>
      <w:r>
        <w:t xml:space="preserve">certain amounts of Commonwealth education or training payment; and certain parts of payments under the ABSTUDY scheme. </w:t>
      </w:r>
    </w:p>
    <w:p w14:paraId="2086EA5B" w14:textId="77777777" w:rsidR="00802D3E" w:rsidRDefault="00802D3E" w:rsidP="00802D3E">
      <w:pPr>
        <w:pStyle w:val="TESHeading5"/>
        <w:ind w:left="0" w:firstLine="0"/>
      </w:pPr>
      <w:r>
        <w:t>A40</w:t>
      </w:r>
      <w:r>
        <w:tab/>
        <w:t>Exemption of Family Tax Benefit payments</w:t>
      </w:r>
    </w:p>
    <w:p w14:paraId="2086EA5C"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A65" w14:textId="77777777" w:rsidTr="00802D3E">
        <w:trPr>
          <w:cantSplit/>
          <w:jc w:val="center"/>
        </w:trPr>
        <w:tc>
          <w:tcPr>
            <w:tcW w:w="967" w:type="dxa"/>
            <w:tcBorders>
              <w:top w:val="single" w:sz="2" w:space="0" w:color="auto"/>
              <w:left w:val="nil"/>
              <w:bottom w:val="single" w:sz="2" w:space="0" w:color="auto"/>
              <w:right w:val="nil"/>
            </w:tcBorders>
            <w:hideMark/>
          </w:tcPr>
          <w:p w14:paraId="2086EA5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A5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A5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A6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A6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A6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A6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A64" w14:textId="77777777" w:rsidR="00802D3E" w:rsidRDefault="00802D3E">
            <w:pPr>
              <w:pStyle w:val="MeasureTableTextRightAligned"/>
            </w:pPr>
            <w:r>
              <w:t>2019-20</w:t>
            </w:r>
          </w:p>
        </w:tc>
      </w:tr>
      <w:tr w:rsidR="00802D3E" w14:paraId="2086EA6E" w14:textId="77777777" w:rsidTr="00802D3E">
        <w:trPr>
          <w:cantSplit/>
          <w:jc w:val="center"/>
        </w:trPr>
        <w:tc>
          <w:tcPr>
            <w:tcW w:w="967" w:type="dxa"/>
            <w:tcBorders>
              <w:top w:val="single" w:sz="2" w:space="0" w:color="auto"/>
              <w:left w:val="nil"/>
              <w:bottom w:val="single" w:sz="2" w:space="0" w:color="auto"/>
              <w:right w:val="nil"/>
            </w:tcBorders>
            <w:hideMark/>
          </w:tcPr>
          <w:p w14:paraId="2086EA66" w14:textId="77777777" w:rsidR="00802D3E" w:rsidRDefault="00802D3E">
            <w:pPr>
              <w:pStyle w:val="MeasureTableTextRightAligned"/>
            </w:pPr>
            <w:r>
              <w:t>1,990</w:t>
            </w:r>
          </w:p>
        </w:tc>
        <w:tc>
          <w:tcPr>
            <w:tcW w:w="967" w:type="dxa"/>
            <w:tcBorders>
              <w:top w:val="single" w:sz="2" w:space="0" w:color="auto"/>
              <w:left w:val="nil"/>
              <w:bottom w:val="single" w:sz="2" w:space="0" w:color="auto"/>
              <w:right w:val="nil"/>
            </w:tcBorders>
            <w:hideMark/>
          </w:tcPr>
          <w:p w14:paraId="2086EA67" w14:textId="77777777" w:rsidR="00802D3E" w:rsidRDefault="00802D3E">
            <w:pPr>
              <w:pStyle w:val="MeasureTableTextRightAligned"/>
            </w:pPr>
            <w:r>
              <w:t>2,090</w:t>
            </w:r>
          </w:p>
        </w:tc>
        <w:tc>
          <w:tcPr>
            <w:tcW w:w="967" w:type="dxa"/>
            <w:tcBorders>
              <w:top w:val="single" w:sz="2" w:space="0" w:color="auto"/>
              <w:left w:val="nil"/>
              <w:bottom w:val="single" w:sz="2" w:space="0" w:color="auto"/>
              <w:right w:val="nil"/>
            </w:tcBorders>
            <w:vAlign w:val="bottom"/>
            <w:hideMark/>
          </w:tcPr>
          <w:p w14:paraId="2086EA68" w14:textId="77777777" w:rsidR="00802D3E" w:rsidRDefault="00802D3E">
            <w:pPr>
              <w:pStyle w:val="MeasureTableTextRightAligned"/>
            </w:pPr>
            <w:r>
              <w:t>2,150</w:t>
            </w:r>
          </w:p>
        </w:tc>
        <w:tc>
          <w:tcPr>
            <w:tcW w:w="967" w:type="dxa"/>
            <w:tcBorders>
              <w:top w:val="single" w:sz="2" w:space="0" w:color="auto"/>
              <w:left w:val="nil"/>
              <w:bottom w:val="single" w:sz="2" w:space="0" w:color="auto"/>
              <w:right w:val="nil"/>
            </w:tcBorders>
            <w:vAlign w:val="bottom"/>
            <w:hideMark/>
          </w:tcPr>
          <w:p w14:paraId="2086EA69" w14:textId="77777777" w:rsidR="00802D3E" w:rsidRDefault="00802D3E">
            <w:pPr>
              <w:pStyle w:val="MeasureTableTextRightAligned"/>
            </w:pPr>
            <w:r>
              <w:t>2,280</w:t>
            </w:r>
          </w:p>
        </w:tc>
        <w:tc>
          <w:tcPr>
            <w:tcW w:w="967" w:type="dxa"/>
            <w:tcBorders>
              <w:top w:val="single" w:sz="2" w:space="0" w:color="auto"/>
              <w:left w:val="nil"/>
              <w:bottom w:val="single" w:sz="2" w:space="0" w:color="auto"/>
              <w:right w:val="nil"/>
            </w:tcBorders>
            <w:vAlign w:val="bottom"/>
            <w:hideMark/>
          </w:tcPr>
          <w:p w14:paraId="2086EA6A" w14:textId="77777777" w:rsidR="00802D3E" w:rsidRDefault="00802D3E">
            <w:pPr>
              <w:pStyle w:val="MeasureTableTextRightAligned"/>
            </w:pPr>
            <w:r>
              <w:t>2,200</w:t>
            </w:r>
          </w:p>
        </w:tc>
        <w:tc>
          <w:tcPr>
            <w:tcW w:w="967" w:type="dxa"/>
            <w:gridSpan w:val="2"/>
            <w:tcBorders>
              <w:top w:val="single" w:sz="2" w:space="0" w:color="auto"/>
              <w:left w:val="nil"/>
              <w:bottom w:val="single" w:sz="2" w:space="0" w:color="auto"/>
              <w:right w:val="nil"/>
            </w:tcBorders>
            <w:vAlign w:val="bottom"/>
            <w:hideMark/>
          </w:tcPr>
          <w:p w14:paraId="2086EA6B" w14:textId="77777777" w:rsidR="00802D3E" w:rsidRDefault="00802D3E">
            <w:pPr>
              <w:pStyle w:val="MeasureTableTextRightAligned"/>
            </w:pPr>
            <w:r>
              <w:t>2,100</w:t>
            </w:r>
          </w:p>
        </w:tc>
        <w:tc>
          <w:tcPr>
            <w:tcW w:w="967" w:type="dxa"/>
            <w:gridSpan w:val="2"/>
            <w:tcBorders>
              <w:top w:val="single" w:sz="2" w:space="0" w:color="auto"/>
              <w:left w:val="nil"/>
              <w:bottom w:val="single" w:sz="2" w:space="0" w:color="auto"/>
              <w:right w:val="nil"/>
            </w:tcBorders>
            <w:vAlign w:val="bottom"/>
            <w:hideMark/>
          </w:tcPr>
          <w:p w14:paraId="2086EA6C" w14:textId="77777777" w:rsidR="00802D3E" w:rsidRDefault="00802D3E">
            <w:pPr>
              <w:pStyle w:val="MeasureTableTextRightAligned"/>
            </w:pPr>
            <w:r>
              <w:t>2,110</w:t>
            </w:r>
          </w:p>
        </w:tc>
        <w:tc>
          <w:tcPr>
            <w:tcW w:w="968" w:type="dxa"/>
            <w:tcBorders>
              <w:top w:val="single" w:sz="2" w:space="0" w:color="auto"/>
              <w:left w:val="nil"/>
              <w:bottom w:val="single" w:sz="2" w:space="0" w:color="auto"/>
              <w:right w:val="nil"/>
            </w:tcBorders>
            <w:vAlign w:val="bottom"/>
            <w:hideMark/>
          </w:tcPr>
          <w:p w14:paraId="2086EA6D" w14:textId="77777777" w:rsidR="00802D3E" w:rsidRDefault="00802D3E">
            <w:pPr>
              <w:pStyle w:val="MeasureTableTextRightAligned"/>
            </w:pPr>
            <w:r>
              <w:t>2,070</w:t>
            </w:r>
          </w:p>
        </w:tc>
      </w:tr>
      <w:tr w:rsidR="00802D3E" w14:paraId="2086EA73" w14:textId="77777777" w:rsidTr="00802D3E">
        <w:trPr>
          <w:cantSplit/>
          <w:jc w:val="center"/>
        </w:trPr>
        <w:tc>
          <w:tcPr>
            <w:tcW w:w="1934" w:type="dxa"/>
            <w:gridSpan w:val="2"/>
            <w:tcBorders>
              <w:top w:val="single" w:sz="2" w:space="0" w:color="auto"/>
              <w:left w:val="nil"/>
              <w:bottom w:val="nil"/>
              <w:right w:val="nil"/>
            </w:tcBorders>
            <w:hideMark/>
          </w:tcPr>
          <w:p w14:paraId="2086EA6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A7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A7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A72" w14:textId="77777777" w:rsidR="00802D3E" w:rsidRDefault="00802D3E">
            <w:pPr>
              <w:pStyle w:val="MeasureTableTextLeftAligned"/>
            </w:pPr>
            <w:r>
              <w:t>A35</w:t>
            </w:r>
          </w:p>
        </w:tc>
      </w:tr>
      <w:tr w:rsidR="00802D3E" w14:paraId="2086EA78" w14:textId="77777777" w:rsidTr="00802D3E">
        <w:trPr>
          <w:cantSplit/>
          <w:jc w:val="center"/>
        </w:trPr>
        <w:tc>
          <w:tcPr>
            <w:tcW w:w="1934" w:type="dxa"/>
            <w:gridSpan w:val="2"/>
            <w:tcBorders>
              <w:top w:val="nil"/>
              <w:left w:val="nil"/>
              <w:bottom w:val="nil"/>
              <w:right w:val="nil"/>
            </w:tcBorders>
            <w:hideMark/>
          </w:tcPr>
          <w:p w14:paraId="2086EA7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A75"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A76" w14:textId="77777777" w:rsidR="00802D3E" w:rsidRDefault="00802D3E">
            <w:pPr>
              <w:pStyle w:val="MeasureTableTextItalic"/>
            </w:pPr>
          </w:p>
        </w:tc>
        <w:tc>
          <w:tcPr>
            <w:tcW w:w="1124" w:type="dxa"/>
            <w:gridSpan w:val="2"/>
            <w:tcBorders>
              <w:top w:val="nil"/>
              <w:left w:val="nil"/>
              <w:bottom w:val="nil"/>
              <w:right w:val="nil"/>
            </w:tcBorders>
          </w:tcPr>
          <w:p w14:paraId="2086EA77" w14:textId="77777777" w:rsidR="00802D3E" w:rsidRDefault="00802D3E">
            <w:pPr>
              <w:pStyle w:val="MeasureTableTextLeftAligned"/>
            </w:pPr>
          </w:p>
        </w:tc>
      </w:tr>
      <w:tr w:rsidR="00802D3E" w14:paraId="2086EA7D" w14:textId="77777777" w:rsidTr="00802D3E">
        <w:trPr>
          <w:cantSplit/>
          <w:jc w:val="center"/>
        </w:trPr>
        <w:tc>
          <w:tcPr>
            <w:tcW w:w="1934" w:type="dxa"/>
            <w:gridSpan w:val="2"/>
            <w:tcBorders>
              <w:top w:val="nil"/>
              <w:left w:val="nil"/>
              <w:bottom w:val="nil"/>
              <w:right w:val="nil"/>
            </w:tcBorders>
            <w:hideMark/>
          </w:tcPr>
          <w:p w14:paraId="2086EA7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A7A" w14:textId="77777777" w:rsidR="00802D3E" w:rsidRDefault="00802D3E">
            <w:pPr>
              <w:pStyle w:val="MeasureTableTextLeftAligned"/>
            </w:pPr>
            <w:r>
              <w:t>2000</w:t>
            </w:r>
          </w:p>
        </w:tc>
        <w:tc>
          <w:tcPr>
            <w:tcW w:w="1500" w:type="dxa"/>
            <w:gridSpan w:val="2"/>
            <w:tcBorders>
              <w:top w:val="nil"/>
              <w:left w:val="nil"/>
              <w:bottom w:val="nil"/>
              <w:right w:val="nil"/>
            </w:tcBorders>
            <w:hideMark/>
          </w:tcPr>
          <w:p w14:paraId="2086EA7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A7C" w14:textId="77777777" w:rsidR="00802D3E" w:rsidRDefault="00802D3E">
            <w:pPr>
              <w:pStyle w:val="MeasureTableTextLeftAligned"/>
            </w:pPr>
          </w:p>
        </w:tc>
      </w:tr>
      <w:tr w:rsidR="00802D3E" w14:paraId="2086EA80" w14:textId="77777777" w:rsidTr="00802D3E">
        <w:trPr>
          <w:cantSplit/>
          <w:jc w:val="center"/>
        </w:trPr>
        <w:tc>
          <w:tcPr>
            <w:tcW w:w="1934" w:type="dxa"/>
            <w:gridSpan w:val="2"/>
            <w:tcBorders>
              <w:top w:val="nil"/>
              <w:left w:val="nil"/>
              <w:bottom w:val="single" w:sz="2" w:space="0" w:color="auto"/>
              <w:right w:val="nil"/>
            </w:tcBorders>
            <w:hideMark/>
          </w:tcPr>
          <w:p w14:paraId="2086EA7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A7F"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Section 52-150 of the </w:t>
            </w:r>
            <w:r w:rsidRPr="00231210">
              <w:rPr>
                <w:rFonts w:ascii="Arial" w:hAnsi="Arial" w:cs="Arial"/>
                <w:i/>
                <w:iCs/>
                <w:color w:val="000000"/>
                <w:sz w:val="16"/>
                <w:szCs w:val="16"/>
              </w:rPr>
              <w:t>Income Tax Assessment Act 1997</w:t>
            </w:r>
          </w:p>
        </w:tc>
      </w:tr>
    </w:tbl>
    <w:p w14:paraId="2086EA81" w14:textId="77777777" w:rsidR="00802D3E" w:rsidRDefault="00802D3E" w:rsidP="0098392C">
      <w:pPr>
        <w:pStyle w:val="SingleParagraph"/>
      </w:pPr>
    </w:p>
    <w:p w14:paraId="2086EA82" w14:textId="77777777" w:rsidR="00802D3E" w:rsidRDefault="00802D3E" w:rsidP="00802D3E">
      <w:r>
        <w:t>Family Tax Benefit</w:t>
      </w:r>
      <w:r>
        <w:fldChar w:fldCharType="begin"/>
      </w:r>
      <w:r>
        <w:instrText xml:space="preserve"> XE "Family Tax Benefit" </w:instrText>
      </w:r>
      <w:r>
        <w:fldChar w:fldCharType="end"/>
      </w:r>
      <w:r>
        <w:t xml:space="preserve"> payments are exempt from income tax. </w:t>
      </w:r>
    </w:p>
    <w:p w14:paraId="2086EA83" w14:textId="77777777" w:rsidR="00802D3E" w:rsidRDefault="00802D3E" w:rsidP="00802D3E">
      <w:pPr>
        <w:pStyle w:val="TESHeading5"/>
        <w:ind w:left="0" w:firstLine="0"/>
      </w:pPr>
      <w:r>
        <w:lastRenderedPageBreak/>
        <w:t>A41</w:t>
      </w:r>
      <w:r>
        <w:tab/>
        <w:t>Exemptions of certain veterans’ pensions, allowances or benefits, compensation, and particular World War II-related payments for persecution</w:t>
      </w:r>
    </w:p>
    <w:p w14:paraId="2086EA84"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A8D" w14:textId="77777777" w:rsidTr="00802D3E">
        <w:trPr>
          <w:cantSplit/>
          <w:jc w:val="center"/>
        </w:trPr>
        <w:tc>
          <w:tcPr>
            <w:tcW w:w="967" w:type="dxa"/>
            <w:tcBorders>
              <w:top w:val="single" w:sz="2" w:space="0" w:color="auto"/>
              <w:left w:val="nil"/>
              <w:bottom w:val="single" w:sz="2" w:space="0" w:color="auto"/>
              <w:right w:val="nil"/>
            </w:tcBorders>
            <w:hideMark/>
          </w:tcPr>
          <w:p w14:paraId="2086EA8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A8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A8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A8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A8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A8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A8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A8C" w14:textId="77777777" w:rsidR="00802D3E" w:rsidRDefault="00802D3E">
            <w:pPr>
              <w:pStyle w:val="MeasureTableTextRightAligned"/>
            </w:pPr>
            <w:r>
              <w:t>2019-20</w:t>
            </w:r>
          </w:p>
        </w:tc>
      </w:tr>
      <w:tr w:rsidR="00802D3E" w14:paraId="2086EA96" w14:textId="77777777" w:rsidTr="00802D3E">
        <w:trPr>
          <w:cantSplit/>
          <w:jc w:val="center"/>
        </w:trPr>
        <w:tc>
          <w:tcPr>
            <w:tcW w:w="967" w:type="dxa"/>
            <w:tcBorders>
              <w:top w:val="single" w:sz="2" w:space="0" w:color="auto"/>
              <w:left w:val="nil"/>
              <w:bottom w:val="single" w:sz="2" w:space="0" w:color="auto"/>
              <w:right w:val="nil"/>
            </w:tcBorders>
            <w:hideMark/>
          </w:tcPr>
          <w:p w14:paraId="2086EA8E" w14:textId="77777777" w:rsidR="00802D3E" w:rsidRDefault="00802D3E">
            <w:pPr>
              <w:pStyle w:val="MeasureTableTextRightAligned"/>
            </w:pPr>
            <w:r>
              <w:t>400</w:t>
            </w:r>
          </w:p>
        </w:tc>
        <w:tc>
          <w:tcPr>
            <w:tcW w:w="967" w:type="dxa"/>
            <w:tcBorders>
              <w:top w:val="single" w:sz="2" w:space="0" w:color="auto"/>
              <w:left w:val="nil"/>
              <w:bottom w:val="single" w:sz="2" w:space="0" w:color="auto"/>
              <w:right w:val="nil"/>
            </w:tcBorders>
            <w:hideMark/>
          </w:tcPr>
          <w:p w14:paraId="2086EA8F" w14:textId="77777777" w:rsidR="00802D3E" w:rsidRDefault="00802D3E">
            <w:pPr>
              <w:pStyle w:val="MeasureTableTextRightAligned"/>
            </w:pPr>
            <w:r>
              <w:t>450</w:t>
            </w:r>
          </w:p>
        </w:tc>
        <w:tc>
          <w:tcPr>
            <w:tcW w:w="967" w:type="dxa"/>
            <w:tcBorders>
              <w:top w:val="single" w:sz="2" w:space="0" w:color="auto"/>
              <w:left w:val="nil"/>
              <w:bottom w:val="single" w:sz="2" w:space="0" w:color="auto"/>
              <w:right w:val="nil"/>
            </w:tcBorders>
            <w:vAlign w:val="bottom"/>
            <w:hideMark/>
          </w:tcPr>
          <w:p w14:paraId="2086EA90" w14:textId="77777777" w:rsidR="00802D3E" w:rsidRDefault="00802D3E">
            <w:pPr>
              <w:pStyle w:val="MeasureTableTextRightAligned"/>
            </w:pPr>
            <w:r>
              <w:t>480</w:t>
            </w:r>
          </w:p>
        </w:tc>
        <w:tc>
          <w:tcPr>
            <w:tcW w:w="967" w:type="dxa"/>
            <w:tcBorders>
              <w:top w:val="single" w:sz="2" w:space="0" w:color="auto"/>
              <w:left w:val="nil"/>
              <w:bottom w:val="single" w:sz="2" w:space="0" w:color="auto"/>
              <w:right w:val="nil"/>
            </w:tcBorders>
            <w:vAlign w:val="bottom"/>
            <w:hideMark/>
          </w:tcPr>
          <w:p w14:paraId="2086EA91" w14:textId="77777777" w:rsidR="00802D3E" w:rsidRDefault="00802D3E">
            <w:pPr>
              <w:pStyle w:val="MeasureTableTextRightAligned"/>
            </w:pPr>
            <w:r>
              <w:t>470</w:t>
            </w:r>
          </w:p>
        </w:tc>
        <w:tc>
          <w:tcPr>
            <w:tcW w:w="967" w:type="dxa"/>
            <w:tcBorders>
              <w:top w:val="single" w:sz="2" w:space="0" w:color="auto"/>
              <w:left w:val="nil"/>
              <w:bottom w:val="single" w:sz="2" w:space="0" w:color="auto"/>
              <w:right w:val="nil"/>
            </w:tcBorders>
            <w:vAlign w:val="bottom"/>
            <w:hideMark/>
          </w:tcPr>
          <w:p w14:paraId="2086EA92" w14:textId="77777777" w:rsidR="00802D3E" w:rsidRDefault="00802D3E">
            <w:pPr>
              <w:pStyle w:val="MeasureTableTextRightAligned"/>
            </w:pPr>
            <w:r>
              <w:t>450</w:t>
            </w:r>
          </w:p>
        </w:tc>
        <w:tc>
          <w:tcPr>
            <w:tcW w:w="967" w:type="dxa"/>
            <w:gridSpan w:val="2"/>
            <w:tcBorders>
              <w:top w:val="single" w:sz="2" w:space="0" w:color="auto"/>
              <w:left w:val="nil"/>
              <w:bottom w:val="single" w:sz="2" w:space="0" w:color="auto"/>
              <w:right w:val="nil"/>
            </w:tcBorders>
            <w:vAlign w:val="bottom"/>
            <w:hideMark/>
          </w:tcPr>
          <w:p w14:paraId="2086EA93" w14:textId="77777777" w:rsidR="00802D3E" w:rsidRDefault="00802D3E">
            <w:pPr>
              <w:pStyle w:val="MeasureTableTextRightAligned"/>
            </w:pPr>
            <w:r>
              <w:t>430</w:t>
            </w:r>
          </w:p>
        </w:tc>
        <w:tc>
          <w:tcPr>
            <w:tcW w:w="967" w:type="dxa"/>
            <w:gridSpan w:val="2"/>
            <w:tcBorders>
              <w:top w:val="single" w:sz="2" w:space="0" w:color="auto"/>
              <w:left w:val="nil"/>
              <w:bottom w:val="single" w:sz="2" w:space="0" w:color="auto"/>
              <w:right w:val="nil"/>
            </w:tcBorders>
            <w:vAlign w:val="bottom"/>
            <w:hideMark/>
          </w:tcPr>
          <w:p w14:paraId="2086EA94" w14:textId="77777777" w:rsidR="00802D3E" w:rsidRDefault="00802D3E">
            <w:pPr>
              <w:pStyle w:val="MeasureTableTextRightAligned"/>
            </w:pPr>
            <w:r>
              <w:t>420</w:t>
            </w:r>
          </w:p>
        </w:tc>
        <w:tc>
          <w:tcPr>
            <w:tcW w:w="968" w:type="dxa"/>
            <w:tcBorders>
              <w:top w:val="single" w:sz="2" w:space="0" w:color="auto"/>
              <w:left w:val="nil"/>
              <w:bottom w:val="single" w:sz="2" w:space="0" w:color="auto"/>
              <w:right w:val="nil"/>
            </w:tcBorders>
            <w:vAlign w:val="bottom"/>
            <w:hideMark/>
          </w:tcPr>
          <w:p w14:paraId="2086EA95" w14:textId="77777777" w:rsidR="00802D3E" w:rsidRDefault="00802D3E">
            <w:pPr>
              <w:pStyle w:val="MeasureTableTextRightAligned"/>
            </w:pPr>
            <w:r>
              <w:t>410</w:t>
            </w:r>
          </w:p>
        </w:tc>
      </w:tr>
      <w:tr w:rsidR="00802D3E" w14:paraId="2086EA9B" w14:textId="77777777" w:rsidTr="00802D3E">
        <w:trPr>
          <w:cantSplit/>
          <w:jc w:val="center"/>
        </w:trPr>
        <w:tc>
          <w:tcPr>
            <w:tcW w:w="1934" w:type="dxa"/>
            <w:gridSpan w:val="2"/>
            <w:tcBorders>
              <w:top w:val="single" w:sz="2" w:space="0" w:color="auto"/>
              <w:left w:val="nil"/>
              <w:bottom w:val="nil"/>
              <w:right w:val="nil"/>
            </w:tcBorders>
            <w:hideMark/>
          </w:tcPr>
          <w:p w14:paraId="2086EA9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A9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A9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A9A" w14:textId="77777777" w:rsidR="00802D3E" w:rsidRDefault="00802D3E">
            <w:pPr>
              <w:pStyle w:val="MeasureTableTextLeftAligned"/>
            </w:pPr>
            <w:r>
              <w:t>A36</w:t>
            </w:r>
          </w:p>
        </w:tc>
      </w:tr>
      <w:tr w:rsidR="00802D3E" w14:paraId="2086EAA0" w14:textId="77777777" w:rsidTr="00802D3E">
        <w:trPr>
          <w:cantSplit/>
          <w:jc w:val="center"/>
        </w:trPr>
        <w:tc>
          <w:tcPr>
            <w:tcW w:w="1934" w:type="dxa"/>
            <w:gridSpan w:val="2"/>
            <w:tcBorders>
              <w:top w:val="nil"/>
              <w:left w:val="nil"/>
              <w:bottom w:val="nil"/>
              <w:right w:val="nil"/>
            </w:tcBorders>
            <w:hideMark/>
          </w:tcPr>
          <w:p w14:paraId="2086EA9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A9D"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A9E" w14:textId="77777777" w:rsidR="00802D3E" w:rsidRDefault="00802D3E">
            <w:pPr>
              <w:pStyle w:val="MeasureTableTextItalic"/>
            </w:pPr>
          </w:p>
        </w:tc>
        <w:tc>
          <w:tcPr>
            <w:tcW w:w="1124" w:type="dxa"/>
            <w:gridSpan w:val="2"/>
            <w:tcBorders>
              <w:top w:val="nil"/>
              <w:left w:val="nil"/>
              <w:bottom w:val="nil"/>
              <w:right w:val="nil"/>
            </w:tcBorders>
          </w:tcPr>
          <w:p w14:paraId="2086EA9F" w14:textId="77777777" w:rsidR="00802D3E" w:rsidRDefault="00802D3E">
            <w:pPr>
              <w:pStyle w:val="MeasureTableTextLeftAligned"/>
            </w:pPr>
          </w:p>
        </w:tc>
      </w:tr>
      <w:tr w:rsidR="00802D3E" w14:paraId="2086EAA5" w14:textId="77777777" w:rsidTr="00802D3E">
        <w:trPr>
          <w:cantSplit/>
          <w:jc w:val="center"/>
        </w:trPr>
        <w:tc>
          <w:tcPr>
            <w:tcW w:w="1934" w:type="dxa"/>
            <w:gridSpan w:val="2"/>
            <w:tcBorders>
              <w:top w:val="nil"/>
              <w:left w:val="nil"/>
              <w:bottom w:val="nil"/>
              <w:right w:val="nil"/>
            </w:tcBorders>
            <w:hideMark/>
          </w:tcPr>
          <w:p w14:paraId="2086EAA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AA2"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AA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AA4" w14:textId="77777777" w:rsidR="00802D3E" w:rsidRDefault="00802D3E">
            <w:pPr>
              <w:pStyle w:val="MeasureTableTextLeftAligned"/>
            </w:pPr>
          </w:p>
        </w:tc>
      </w:tr>
      <w:tr w:rsidR="00802D3E" w14:paraId="2086EAA8" w14:textId="77777777" w:rsidTr="00802D3E">
        <w:trPr>
          <w:cantSplit/>
          <w:jc w:val="center"/>
        </w:trPr>
        <w:tc>
          <w:tcPr>
            <w:tcW w:w="1934" w:type="dxa"/>
            <w:gridSpan w:val="2"/>
            <w:tcBorders>
              <w:top w:val="nil"/>
              <w:left w:val="nil"/>
              <w:bottom w:val="single" w:sz="2" w:space="0" w:color="auto"/>
              <w:right w:val="nil"/>
            </w:tcBorders>
            <w:hideMark/>
          </w:tcPr>
          <w:p w14:paraId="2086EAA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AA7" w14:textId="77777777" w:rsidR="00802D3E" w:rsidRDefault="00802D3E" w:rsidP="00CA1B50">
            <w:pPr>
              <w:widowControl w:val="0"/>
              <w:autoSpaceDE w:val="0"/>
              <w:autoSpaceDN w:val="0"/>
              <w:adjustRightInd w:val="0"/>
              <w:spacing w:after="0" w:line="240" w:lineRule="auto"/>
              <w:jc w:val="left"/>
            </w:pPr>
            <w:r>
              <w:rPr>
                <w:rFonts w:ascii="Arial" w:hAnsi="Arial" w:cs="Arial"/>
                <w:color w:val="000000"/>
                <w:sz w:val="16"/>
                <w:szCs w:val="16"/>
              </w:rPr>
              <w:t xml:space="preserve">Subdivisions 52-B and 52-C and Section 768-105 of the </w:t>
            </w:r>
            <w:r>
              <w:rPr>
                <w:rFonts w:ascii="Arial" w:hAnsi="Arial" w:cs="Arial"/>
                <w:i/>
                <w:iCs/>
                <w:color w:val="000000"/>
                <w:sz w:val="16"/>
                <w:szCs w:val="16"/>
              </w:rPr>
              <w:t>Income Tax Assessment Act 1997</w:t>
            </w:r>
          </w:p>
        </w:tc>
      </w:tr>
    </w:tbl>
    <w:p w14:paraId="2086EAA9" w14:textId="77777777" w:rsidR="00802D3E" w:rsidRDefault="00802D3E" w:rsidP="0098392C">
      <w:pPr>
        <w:pStyle w:val="SingleParagraph"/>
      </w:pPr>
    </w:p>
    <w:p w14:paraId="2086EAAA" w14:textId="362A4E7F" w:rsidR="00802D3E" w:rsidRDefault="00802D3E" w:rsidP="00802D3E">
      <w:r>
        <w:t>Repatriation pensions</w:t>
      </w:r>
      <w:r>
        <w:fldChar w:fldCharType="begin"/>
      </w:r>
      <w:r>
        <w:instrText xml:space="preserve"> XE "Repatriation pensions"</w:instrText>
      </w:r>
      <w:r>
        <w:fldChar w:fldCharType="end"/>
      </w:r>
      <w:r>
        <w:t xml:space="preserve">, certain payments under the </w:t>
      </w:r>
      <w:r>
        <w:rPr>
          <w:i/>
        </w:rPr>
        <w:t>Veterans Entitlements Act 1985</w:t>
      </w:r>
      <w:r>
        <w:t xml:space="preserve"> and </w:t>
      </w:r>
      <w:r>
        <w:rPr>
          <w:i/>
        </w:rPr>
        <w:t>Military Rehabilitation and Compensation Act 2004</w:t>
      </w:r>
      <w:r>
        <w:t xml:space="preserve">, payments under the </w:t>
      </w:r>
      <w:r>
        <w:rPr>
          <w:i/>
        </w:rPr>
        <w:t>Australian Participants in British Nuclear Tests (Treatment) 2006</w:t>
      </w:r>
      <w:r>
        <w:t xml:space="preserve">, certain foreign source World War II payments and compensation provided for legal advice to beneficiaries under the </w:t>
      </w:r>
      <w:r>
        <w:rPr>
          <w:i/>
        </w:rPr>
        <w:t>Military Rehabilitation and Compensation Act 2004</w:t>
      </w:r>
      <w:r>
        <w:t xml:space="preserve"> are wholly or partly ex</w:t>
      </w:r>
      <w:r w:rsidR="000D700A">
        <w:t>empt from income tax.</w:t>
      </w:r>
      <w:r>
        <w:t xml:space="preserve"> </w:t>
      </w:r>
      <w:r>
        <w:fldChar w:fldCharType="begin"/>
      </w:r>
      <w:r>
        <w:instrText xml:space="preserve"> XE "Rehabilitation and compensation payments" </w:instrText>
      </w:r>
      <w:r>
        <w:fldChar w:fldCharType="end"/>
      </w:r>
      <w:r>
        <w:fldChar w:fldCharType="begin"/>
      </w:r>
      <w:r>
        <w:instrText xml:space="preserve"> XE "World War II payments" </w:instrText>
      </w:r>
      <w:r>
        <w:fldChar w:fldCharType="end"/>
      </w:r>
    </w:p>
    <w:p w14:paraId="2086EAAB" w14:textId="77777777" w:rsidR="00802D3E" w:rsidRDefault="00802D3E" w:rsidP="00802D3E">
      <w:pPr>
        <w:pStyle w:val="TESHeading5"/>
        <w:ind w:left="0" w:firstLine="0"/>
      </w:pPr>
      <w:r>
        <w:t>A42</w:t>
      </w:r>
      <w:r>
        <w:tab/>
        <w:t>Exemption of payments made under the First Home Owners Grant Scheme</w:t>
      </w:r>
    </w:p>
    <w:p w14:paraId="2086EAAC" w14:textId="77777777" w:rsidR="00802D3E" w:rsidRDefault="00802D3E" w:rsidP="00802D3E">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AB5" w14:textId="77777777" w:rsidTr="00802D3E">
        <w:trPr>
          <w:cantSplit/>
          <w:jc w:val="center"/>
        </w:trPr>
        <w:tc>
          <w:tcPr>
            <w:tcW w:w="967" w:type="dxa"/>
            <w:tcBorders>
              <w:top w:val="single" w:sz="2" w:space="0" w:color="auto"/>
              <w:left w:val="nil"/>
              <w:bottom w:val="single" w:sz="2" w:space="0" w:color="auto"/>
              <w:right w:val="nil"/>
            </w:tcBorders>
            <w:hideMark/>
          </w:tcPr>
          <w:p w14:paraId="2086EAA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AA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AA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AB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AB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AB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AB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AB4" w14:textId="77777777" w:rsidR="00802D3E" w:rsidRDefault="00802D3E">
            <w:pPr>
              <w:pStyle w:val="MeasureTableTextRightAligned"/>
            </w:pPr>
            <w:r>
              <w:t>2019-20</w:t>
            </w:r>
          </w:p>
        </w:tc>
      </w:tr>
      <w:tr w:rsidR="00802D3E" w14:paraId="2086EABE" w14:textId="77777777" w:rsidTr="00802D3E">
        <w:trPr>
          <w:cantSplit/>
          <w:jc w:val="center"/>
        </w:trPr>
        <w:tc>
          <w:tcPr>
            <w:tcW w:w="967" w:type="dxa"/>
            <w:tcBorders>
              <w:top w:val="single" w:sz="2" w:space="0" w:color="auto"/>
              <w:left w:val="nil"/>
              <w:bottom w:val="single" w:sz="2" w:space="0" w:color="auto"/>
              <w:right w:val="nil"/>
            </w:tcBorders>
            <w:hideMark/>
          </w:tcPr>
          <w:p w14:paraId="2086EAB6" w14:textId="77777777" w:rsidR="00802D3E" w:rsidRDefault="00802D3E">
            <w:pPr>
              <w:pStyle w:val="MeasureTableTextRightAligned"/>
            </w:pPr>
            <w:r>
              <w:t>290</w:t>
            </w:r>
          </w:p>
        </w:tc>
        <w:tc>
          <w:tcPr>
            <w:tcW w:w="967" w:type="dxa"/>
            <w:tcBorders>
              <w:top w:val="single" w:sz="2" w:space="0" w:color="auto"/>
              <w:left w:val="nil"/>
              <w:bottom w:val="single" w:sz="2" w:space="0" w:color="auto"/>
              <w:right w:val="nil"/>
            </w:tcBorders>
            <w:hideMark/>
          </w:tcPr>
          <w:p w14:paraId="2086EAB7" w14:textId="77777777" w:rsidR="00802D3E" w:rsidRDefault="00802D3E">
            <w:pPr>
              <w:pStyle w:val="MeasureTableTextRightAligned"/>
            </w:pPr>
            <w:r>
              <w:t>275</w:t>
            </w:r>
          </w:p>
        </w:tc>
        <w:tc>
          <w:tcPr>
            <w:tcW w:w="967" w:type="dxa"/>
            <w:tcBorders>
              <w:top w:val="single" w:sz="2" w:space="0" w:color="auto"/>
              <w:left w:val="nil"/>
              <w:bottom w:val="single" w:sz="2" w:space="0" w:color="auto"/>
              <w:right w:val="nil"/>
            </w:tcBorders>
            <w:vAlign w:val="bottom"/>
            <w:hideMark/>
          </w:tcPr>
          <w:p w14:paraId="2086EAB8" w14:textId="77777777" w:rsidR="00802D3E" w:rsidRDefault="00802D3E">
            <w:pPr>
              <w:pStyle w:val="MeasureTableTextRightAligned"/>
            </w:pPr>
            <w:r>
              <w:t>185</w:t>
            </w:r>
          </w:p>
        </w:tc>
        <w:tc>
          <w:tcPr>
            <w:tcW w:w="967" w:type="dxa"/>
            <w:tcBorders>
              <w:top w:val="single" w:sz="2" w:space="0" w:color="auto"/>
              <w:left w:val="nil"/>
              <w:bottom w:val="single" w:sz="2" w:space="0" w:color="auto"/>
              <w:right w:val="nil"/>
            </w:tcBorders>
            <w:vAlign w:val="bottom"/>
            <w:hideMark/>
          </w:tcPr>
          <w:p w14:paraId="2086EAB9" w14:textId="77777777" w:rsidR="00802D3E" w:rsidRDefault="00802D3E">
            <w:pPr>
              <w:pStyle w:val="MeasureTableTextRightAligned"/>
            </w:pPr>
            <w:r>
              <w:t>195</w:t>
            </w:r>
          </w:p>
        </w:tc>
        <w:tc>
          <w:tcPr>
            <w:tcW w:w="967" w:type="dxa"/>
            <w:tcBorders>
              <w:top w:val="single" w:sz="2" w:space="0" w:color="auto"/>
              <w:left w:val="nil"/>
              <w:bottom w:val="single" w:sz="2" w:space="0" w:color="auto"/>
              <w:right w:val="nil"/>
            </w:tcBorders>
            <w:vAlign w:val="bottom"/>
            <w:hideMark/>
          </w:tcPr>
          <w:p w14:paraId="2086EABA" w14:textId="77777777" w:rsidR="00802D3E" w:rsidRDefault="00802D3E">
            <w:pPr>
              <w:pStyle w:val="MeasureTableTextRightAligned"/>
            </w:pPr>
            <w:r>
              <w:t>180</w:t>
            </w:r>
          </w:p>
        </w:tc>
        <w:tc>
          <w:tcPr>
            <w:tcW w:w="967" w:type="dxa"/>
            <w:gridSpan w:val="2"/>
            <w:tcBorders>
              <w:top w:val="single" w:sz="2" w:space="0" w:color="auto"/>
              <w:left w:val="nil"/>
              <w:bottom w:val="single" w:sz="2" w:space="0" w:color="auto"/>
              <w:right w:val="nil"/>
            </w:tcBorders>
            <w:vAlign w:val="bottom"/>
            <w:hideMark/>
          </w:tcPr>
          <w:p w14:paraId="2086EABB" w14:textId="77777777" w:rsidR="00802D3E" w:rsidRDefault="00802D3E">
            <w:pPr>
              <w:pStyle w:val="MeasureTableTextRightAligned"/>
            </w:pPr>
            <w:r>
              <w:t>180</w:t>
            </w:r>
          </w:p>
        </w:tc>
        <w:tc>
          <w:tcPr>
            <w:tcW w:w="967" w:type="dxa"/>
            <w:gridSpan w:val="2"/>
            <w:tcBorders>
              <w:top w:val="single" w:sz="2" w:space="0" w:color="auto"/>
              <w:left w:val="nil"/>
              <w:bottom w:val="single" w:sz="2" w:space="0" w:color="auto"/>
              <w:right w:val="nil"/>
            </w:tcBorders>
            <w:vAlign w:val="bottom"/>
            <w:hideMark/>
          </w:tcPr>
          <w:p w14:paraId="2086EABC" w14:textId="77777777" w:rsidR="00802D3E" w:rsidRDefault="00802D3E">
            <w:pPr>
              <w:pStyle w:val="MeasureTableTextRightAligned"/>
            </w:pPr>
            <w:r>
              <w:t>175</w:t>
            </w:r>
          </w:p>
        </w:tc>
        <w:tc>
          <w:tcPr>
            <w:tcW w:w="968" w:type="dxa"/>
            <w:tcBorders>
              <w:top w:val="single" w:sz="2" w:space="0" w:color="auto"/>
              <w:left w:val="nil"/>
              <w:bottom w:val="single" w:sz="2" w:space="0" w:color="auto"/>
              <w:right w:val="nil"/>
            </w:tcBorders>
            <w:vAlign w:val="bottom"/>
            <w:hideMark/>
          </w:tcPr>
          <w:p w14:paraId="2086EABD" w14:textId="77777777" w:rsidR="00802D3E" w:rsidRDefault="00802D3E">
            <w:pPr>
              <w:pStyle w:val="MeasureTableTextRightAligned"/>
            </w:pPr>
            <w:r>
              <w:t>175</w:t>
            </w:r>
          </w:p>
        </w:tc>
      </w:tr>
      <w:tr w:rsidR="00802D3E" w14:paraId="2086EAC3" w14:textId="77777777" w:rsidTr="00802D3E">
        <w:trPr>
          <w:cantSplit/>
          <w:jc w:val="center"/>
        </w:trPr>
        <w:tc>
          <w:tcPr>
            <w:tcW w:w="1934" w:type="dxa"/>
            <w:gridSpan w:val="2"/>
            <w:tcBorders>
              <w:top w:val="single" w:sz="2" w:space="0" w:color="auto"/>
              <w:left w:val="nil"/>
              <w:bottom w:val="nil"/>
              <w:right w:val="nil"/>
            </w:tcBorders>
            <w:hideMark/>
          </w:tcPr>
          <w:p w14:paraId="2086EAB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AC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AC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AC2" w14:textId="77777777" w:rsidR="00802D3E" w:rsidRDefault="00802D3E">
            <w:pPr>
              <w:pStyle w:val="MeasureTableTextLeftAligned"/>
            </w:pPr>
            <w:r>
              <w:t>A37</w:t>
            </w:r>
          </w:p>
        </w:tc>
      </w:tr>
      <w:tr w:rsidR="00802D3E" w14:paraId="2086EAC8" w14:textId="77777777" w:rsidTr="00802D3E">
        <w:trPr>
          <w:cantSplit/>
          <w:jc w:val="center"/>
        </w:trPr>
        <w:tc>
          <w:tcPr>
            <w:tcW w:w="1934" w:type="dxa"/>
            <w:gridSpan w:val="2"/>
            <w:tcBorders>
              <w:top w:val="nil"/>
              <w:left w:val="nil"/>
              <w:bottom w:val="nil"/>
              <w:right w:val="nil"/>
            </w:tcBorders>
            <w:hideMark/>
          </w:tcPr>
          <w:p w14:paraId="2086EAC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AC5"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EAC6" w14:textId="77777777" w:rsidR="00802D3E" w:rsidRDefault="00802D3E">
            <w:pPr>
              <w:pStyle w:val="MeasureTableTextItalic"/>
            </w:pPr>
          </w:p>
        </w:tc>
        <w:tc>
          <w:tcPr>
            <w:tcW w:w="1124" w:type="dxa"/>
            <w:gridSpan w:val="2"/>
            <w:tcBorders>
              <w:top w:val="nil"/>
              <w:left w:val="nil"/>
              <w:bottom w:val="nil"/>
              <w:right w:val="nil"/>
            </w:tcBorders>
          </w:tcPr>
          <w:p w14:paraId="2086EAC7" w14:textId="77777777" w:rsidR="00802D3E" w:rsidRDefault="00802D3E">
            <w:pPr>
              <w:pStyle w:val="MeasureTableTextLeftAligned"/>
            </w:pPr>
          </w:p>
        </w:tc>
      </w:tr>
      <w:tr w:rsidR="00802D3E" w14:paraId="2086EACD" w14:textId="77777777" w:rsidTr="00802D3E">
        <w:trPr>
          <w:cantSplit/>
          <w:jc w:val="center"/>
        </w:trPr>
        <w:tc>
          <w:tcPr>
            <w:tcW w:w="1934" w:type="dxa"/>
            <w:gridSpan w:val="2"/>
            <w:tcBorders>
              <w:top w:val="nil"/>
              <w:left w:val="nil"/>
              <w:bottom w:val="nil"/>
              <w:right w:val="nil"/>
            </w:tcBorders>
            <w:hideMark/>
          </w:tcPr>
          <w:p w14:paraId="2086EAC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ACA" w14:textId="77777777" w:rsidR="00802D3E" w:rsidRDefault="00802D3E">
            <w:pPr>
              <w:pStyle w:val="MeasureTableTextLeftAligned"/>
            </w:pPr>
            <w:r>
              <w:t>2000</w:t>
            </w:r>
          </w:p>
        </w:tc>
        <w:tc>
          <w:tcPr>
            <w:tcW w:w="1500" w:type="dxa"/>
            <w:gridSpan w:val="2"/>
            <w:tcBorders>
              <w:top w:val="nil"/>
              <w:left w:val="nil"/>
              <w:bottom w:val="nil"/>
              <w:right w:val="nil"/>
            </w:tcBorders>
            <w:hideMark/>
          </w:tcPr>
          <w:p w14:paraId="2086EACB" w14:textId="77777777" w:rsidR="00802D3E" w:rsidRDefault="00802D3E">
            <w:pPr>
              <w:pStyle w:val="MeasureTableTextItalic"/>
            </w:pPr>
            <w:r>
              <w:t>Expiry date:</w:t>
            </w:r>
          </w:p>
        </w:tc>
        <w:tc>
          <w:tcPr>
            <w:tcW w:w="1124" w:type="dxa"/>
            <w:gridSpan w:val="2"/>
            <w:tcBorders>
              <w:top w:val="nil"/>
              <w:left w:val="nil"/>
              <w:bottom w:val="nil"/>
              <w:right w:val="nil"/>
            </w:tcBorders>
            <w:hideMark/>
          </w:tcPr>
          <w:p w14:paraId="2086EACC" w14:textId="77777777" w:rsidR="00802D3E" w:rsidRDefault="00802D3E">
            <w:pPr>
              <w:pStyle w:val="MeasureTableTextLeftAligned"/>
            </w:pPr>
            <w:r>
              <w:t>2016</w:t>
            </w:r>
          </w:p>
        </w:tc>
      </w:tr>
      <w:tr w:rsidR="00802D3E" w14:paraId="2086EAD1" w14:textId="77777777" w:rsidTr="00802D3E">
        <w:trPr>
          <w:cantSplit/>
          <w:jc w:val="center"/>
        </w:trPr>
        <w:tc>
          <w:tcPr>
            <w:tcW w:w="1934" w:type="dxa"/>
            <w:gridSpan w:val="2"/>
            <w:tcBorders>
              <w:top w:val="nil"/>
              <w:left w:val="nil"/>
              <w:bottom w:val="single" w:sz="2" w:space="0" w:color="auto"/>
              <w:right w:val="nil"/>
            </w:tcBorders>
            <w:hideMark/>
          </w:tcPr>
          <w:p w14:paraId="2086EAC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ACF" w14:textId="77777777" w:rsidR="00802D3E" w:rsidRDefault="00802D3E" w:rsidP="00231210">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i/>
                <w:iCs/>
                <w:color w:val="000000"/>
                <w:sz w:val="16"/>
                <w:szCs w:val="16"/>
              </w:rPr>
              <w:t xml:space="preserve">A New Tax System (Commonwealth State Financial Arrangements) Act 1999 </w:t>
            </w:r>
          </w:p>
          <w:p w14:paraId="2086EAD0" w14:textId="77777777" w:rsidR="00802D3E" w:rsidRDefault="00802D3E" w:rsidP="00231210">
            <w:pPr>
              <w:widowControl w:val="0"/>
              <w:autoSpaceDE w:val="0"/>
              <w:autoSpaceDN w:val="0"/>
              <w:adjustRightInd w:val="0"/>
              <w:spacing w:after="0" w:line="240" w:lineRule="auto"/>
              <w:jc w:val="left"/>
            </w:pPr>
            <w:r>
              <w:rPr>
                <w:rFonts w:ascii="Arial" w:hAnsi="Arial" w:cs="Arial"/>
                <w:color w:val="000000"/>
                <w:sz w:val="16"/>
                <w:szCs w:val="16"/>
              </w:rPr>
              <w:t>Appendix A,</w:t>
            </w:r>
            <w:r>
              <w:rPr>
                <w:rFonts w:ascii="Arial" w:hAnsi="Arial" w:cs="Arial"/>
                <w:i/>
                <w:iCs/>
                <w:color w:val="000000"/>
                <w:sz w:val="16"/>
                <w:szCs w:val="16"/>
              </w:rPr>
              <w:t xml:space="preserve"> Intergovernmental Agreement on Federal Financial Relations Appropriation (Economic Security Strategy) Act (No. 2) 2008-09 </w:t>
            </w:r>
            <w:r>
              <w:rPr>
                <w:rFonts w:ascii="Arial" w:hAnsi="Arial" w:cs="Arial"/>
                <w:color w:val="000000"/>
                <w:sz w:val="16"/>
                <w:szCs w:val="16"/>
              </w:rPr>
              <w:t>and relevant state legislation.</w:t>
            </w:r>
            <w:r>
              <w:t xml:space="preserve"> </w:t>
            </w:r>
          </w:p>
        </w:tc>
      </w:tr>
    </w:tbl>
    <w:p w14:paraId="2086EAD2" w14:textId="77777777" w:rsidR="00802D3E" w:rsidRDefault="00802D3E" w:rsidP="0098392C">
      <w:pPr>
        <w:pStyle w:val="SingleParagraph"/>
      </w:pPr>
    </w:p>
    <w:p w14:paraId="2086EAD3" w14:textId="77777777" w:rsidR="00802D3E" w:rsidRDefault="00802D3E" w:rsidP="00802D3E">
      <w:r>
        <w:t>Payments made under the First Home Owners Grant Scheme</w:t>
      </w:r>
      <w:r>
        <w:fldChar w:fldCharType="begin"/>
      </w:r>
      <w:r>
        <w:instrText xml:space="preserve"> XE "First Home Owners Grant Scheme" </w:instrText>
      </w:r>
      <w:r>
        <w:fldChar w:fldCharType="end"/>
      </w:r>
      <w:r>
        <w:t xml:space="preserve"> are exempt from tax. </w:t>
      </w:r>
    </w:p>
    <w:p w14:paraId="2086EAD4" w14:textId="77777777" w:rsidR="00802D3E" w:rsidRDefault="00802D3E" w:rsidP="00802D3E">
      <w:pPr>
        <w:pStyle w:val="TESHeading5"/>
        <w:ind w:left="0" w:firstLine="0"/>
      </w:pPr>
      <w:r>
        <w:t>A43</w:t>
      </w:r>
      <w:r>
        <w:tab/>
        <w:t>Zone tax offsets</w:t>
      </w:r>
    </w:p>
    <w:p w14:paraId="2086EAD5" w14:textId="77777777" w:rsidR="00802D3E" w:rsidRDefault="00802D3E" w:rsidP="00802D3E">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ADE" w14:textId="77777777" w:rsidTr="00802D3E">
        <w:trPr>
          <w:cantSplit/>
          <w:jc w:val="center"/>
        </w:trPr>
        <w:tc>
          <w:tcPr>
            <w:tcW w:w="967" w:type="dxa"/>
            <w:tcBorders>
              <w:top w:val="single" w:sz="2" w:space="0" w:color="auto"/>
              <w:left w:val="nil"/>
              <w:bottom w:val="single" w:sz="2" w:space="0" w:color="auto"/>
              <w:right w:val="nil"/>
            </w:tcBorders>
            <w:hideMark/>
          </w:tcPr>
          <w:p w14:paraId="2086EAD6"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AD7"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AD8"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AD9"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ADA"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ADB"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ADC"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ADD" w14:textId="77777777" w:rsidR="00802D3E" w:rsidRDefault="00802D3E">
            <w:pPr>
              <w:pStyle w:val="MeasureTableTextRightAligned"/>
            </w:pPr>
            <w:r>
              <w:t>2019-20</w:t>
            </w:r>
          </w:p>
        </w:tc>
      </w:tr>
      <w:tr w:rsidR="00802D3E" w14:paraId="2086EAE7" w14:textId="77777777" w:rsidTr="00802D3E">
        <w:trPr>
          <w:cantSplit/>
          <w:jc w:val="center"/>
        </w:trPr>
        <w:tc>
          <w:tcPr>
            <w:tcW w:w="967" w:type="dxa"/>
            <w:tcBorders>
              <w:top w:val="single" w:sz="2" w:space="0" w:color="auto"/>
              <w:left w:val="nil"/>
              <w:bottom w:val="single" w:sz="2" w:space="0" w:color="auto"/>
              <w:right w:val="nil"/>
            </w:tcBorders>
            <w:hideMark/>
          </w:tcPr>
          <w:p w14:paraId="2086EADF" w14:textId="77777777" w:rsidR="00802D3E" w:rsidRDefault="00802D3E">
            <w:pPr>
              <w:pStyle w:val="MeasureTableTextRightAligned"/>
            </w:pPr>
            <w:r>
              <w:t>275</w:t>
            </w:r>
          </w:p>
        </w:tc>
        <w:tc>
          <w:tcPr>
            <w:tcW w:w="967" w:type="dxa"/>
            <w:tcBorders>
              <w:top w:val="single" w:sz="2" w:space="0" w:color="auto"/>
              <w:left w:val="nil"/>
              <w:bottom w:val="single" w:sz="2" w:space="0" w:color="auto"/>
              <w:right w:val="nil"/>
            </w:tcBorders>
            <w:hideMark/>
          </w:tcPr>
          <w:p w14:paraId="2086EAE0" w14:textId="77777777" w:rsidR="00802D3E" w:rsidRDefault="00802D3E">
            <w:pPr>
              <w:pStyle w:val="MeasureTableTextRightAligned"/>
            </w:pPr>
            <w:r>
              <w:t>295</w:t>
            </w:r>
          </w:p>
        </w:tc>
        <w:tc>
          <w:tcPr>
            <w:tcW w:w="967" w:type="dxa"/>
            <w:tcBorders>
              <w:top w:val="single" w:sz="2" w:space="0" w:color="auto"/>
              <w:left w:val="nil"/>
              <w:bottom w:val="single" w:sz="2" w:space="0" w:color="auto"/>
              <w:right w:val="nil"/>
            </w:tcBorders>
            <w:vAlign w:val="bottom"/>
            <w:hideMark/>
          </w:tcPr>
          <w:p w14:paraId="2086EAE1" w14:textId="77777777" w:rsidR="00802D3E" w:rsidRDefault="00802D3E">
            <w:pPr>
              <w:pStyle w:val="MeasureTableTextRightAligned"/>
            </w:pPr>
            <w:r>
              <w:t>295</w:t>
            </w:r>
          </w:p>
        </w:tc>
        <w:tc>
          <w:tcPr>
            <w:tcW w:w="967" w:type="dxa"/>
            <w:tcBorders>
              <w:top w:val="single" w:sz="2" w:space="0" w:color="auto"/>
              <w:left w:val="nil"/>
              <w:bottom w:val="single" w:sz="2" w:space="0" w:color="auto"/>
              <w:right w:val="nil"/>
            </w:tcBorders>
            <w:vAlign w:val="bottom"/>
            <w:hideMark/>
          </w:tcPr>
          <w:p w14:paraId="2086EAE2" w14:textId="77777777" w:rsidR="00802D3E" w:rsidRDefault="00802D3E">
            <w:pPr>
              <w:pStyle w:val="MeasureTableTextRightAligned"/>
            </w:pPr>
            <w:r>
              <w:t>245</w:t>
            </w:r>
          </w:p>
        </w:tc>
        <w:tc>
          <w:tcPr>
            <w:tcW w:w="967" w:type="dxa"/>
            <w:tcBorders>
              <w:top w:val="single" w:sz="2" w:space="0" w:color="auto"/>
              <w:left w:val="nil"/>
              <w:bottom w:val="single" w:sz="2" w:space="0" w:color="auto"/>
              <w:right w:val="nil"/>
            </w:tcBorders>
            <w:vAlign w:val="bottom"/>
            <w:hideMark/>
          </w:tcPr>
          <w:p w14:paraId="2086EAE3" w14:textId="77777777" w:rsidR="00802D3E" w:rsidRDefault="00802D3E">
            <w:pPr>
              <w:pStyle w:val="MeasureTableTextRightAligned"/>
            </w:pPr>
            <w:r>
              <w:t>140</w:t>
            </w:r>
          </w:p>
        </w:tc>
        <w:tc>
          <w:tcPr>
            <w:tcW w:w="967" w:type="dxa"/>
            <w:gridSpan w:val="2"/>
            <w:tcBorders>
              <w:top w:val="single" w:sz="2" w:space="0" w:color="auto"/>
              <w:left w:val="nil"/>
              <w:bottom w:val="single" w:sz="2" w:space="0" w:color="auto"/>
              <w:right w:val="nil"/>
            </w:tcBorders>
            <w:vAlign w:val="bottom"/>
            <w:hideMark/>
          </w:tcPr>
          <w:p w14:paraId="2086EAE4" w14:textId="77777777" w:rsidR="00802D3E" w:rsidRDefault="00802D3E">
            <w:pPr>
              <w:pStyle w:val="MeasureTableTextRightAligned"/>
            </w:pPr>
            <w:r>
              <w:t>140</w:t>
            </w:r>
          </w:p>
        </w:tc>
        <w:tc>
          <w:tcPr>
            <w:tcW w:w="967" w:type="dxa"/>
            <w:gridSpan w:val="2"/>
            <w:tcBorders>
              <w:top w:val="single" w:sz="2" w:space="0" w:color="auto"/>
              <w:left w:val="nil"/>
              <w:bottom w:val="single" w:sz="2" w:space="0" w:color="auto"/>
              <w:right w:val="nil"/>
            </w:tcBorders>
            <w:vAlign w:val="bottom"/>
            <w:hideMark/>
          </w:tcPr>
          <w:p w14:paraId="2086EAE5" w14:textId="77777777" w:rsidR="00802D3E" w:rsidRDefault="00802D3E">
            <w:pPr>
              <w:pStyle w:val="MeasureTableTextRightAligned"/>
            </w:pPr>
            <w:r>
              <w:t>145</w:t>
            </w:r>
          </w:p>
        </w:tc>
        <w:tc>
          <w:tcPr>
            <w:tcW w:w="968" w:type="dxa"/>
            <w:tcBorders>
              <w:top w:val="single" w:sz="2" w:space="0" w:color="auto"/>
              <w:left w:val="nil"/>
              <w:bottom w:val="single" w:sz="2" w:space="0" w:color="auto"/>
              <w:right w:val="nil"/>
            </w:tcBorders>
            <w:vAlign w:val="bottom"/>
            <w:hideMark/>
          </w:tcPr>
          <w:p w14:paraId="2086EAE6" w14:textId="77777777" w:rsidR="00802D3E" w:rsidRDefault="00802D3E">
            <w:pPr>
              <w:pStyle w:val="MeasureTableTextRightAligned"/>
            </w:pPr>
            <w:r>
              <w:t>150</w:t>
            </w:r>
          </w:p>
        </w:tc>
      </w:tr>
      <w:tr w:rsidR="00802D3E" w14:paraId="2086EAEC" w14:textId="77777777" w:rsidTr="00802D3E">
        <w:trPr>
          <w:cantSplit/>
          <w:jc w:val="center"/>
        </w:trPr>
        <w:tc>
          <w:tcPr>
            <w:tcW w:w="1934" w:type="dxa"/>
            <w:gridSpan w:val="2"/>
            <w:tcBorders>
              <w:top w:val="single" w:sz="2" w:space="0" w:color="auto"/>
              <w:left w:val="nil"/>
              <w:bottom w:val="nil"/>
              <w:right w:val="nil"/>
            </w:tcBorders>
            <w:hideMark/>
          </w:tcPr>
          <w:p w14:paraId="2086EAE8"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AE9"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EAEA"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AEB" w14:textId="77777777" w:rsidR="00802D3E" w:rsidRDefault="00802D3E">
            <w:pPr>
              <w:pStyle w:val="MeasureTableTextLeftAligned"/>
            </w:pPr>
            <w:r>
              <w:t>A38</w:t>
            </w:r>
          </w:p>
        </w:tc>
      </w:tr>
      <w:tr w:rsidR="00802D3E" w14:paraId="2086EAF1" w14:textId="77777777" w:rsidTr="00802D3E">
        <w:trPr>
          <w:cantSplit/>
          <w:jc w:val="center"/>
        </w:trPr>
        <w:tc>
          <w:tcPr>
            <w:tcW w:w="1934" w:type="dxa"/>
            <w:gridSpan w:val="2"/>
            <w:tcBorders>
              <w:top w:val="nil"/>
              <w:left w:val="nil"/>
              <w:bottom w:val="nil"/>
              <w:right w:val="nil"/>
            </w:tcBorders>
            <w:hideMark/>
          </w:tcPr>
          <w:p w14:paraId="2086EAED"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AEE"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AEF" w14:textId="77777777" w:rsidR="00802D3E" w:rsidRDefault="00802D3E">
            <w:pPr>
              <w:pStyle w:val="MeasureTableTextItalic"/>
            </w:pPr>
          </w:p>
        </w:tc>
        <w:tc>
          <w:tcPr>
            <w:tcW w:w="1124" w:type="dxa"/>
            <w:gridSpan w:val="2"/>
            <w:tcBorders>
              <w:top w:val="nil"/>
              <w:left w:val="nil"/>
              <w:bottom w:val="nil"/>
              <w:right w:val="nil"/>
            </w:tcBorders>
          </w:tcPr>
          <w:p w14:paraId="2086EAF0" w14:textId="77777777" w:rsidR="00802D3E" w:rsidRDefault="00802D3E">
            <w:pPr>
              <w:pStyle w:val="MeasureTableTextLeftAligned"/>
            </w:pPr>
          </w:p>
        </w:tc>
      </w:tr>
      <w:tr w:rsidR="00802D3E" w14:paraId="2086EAF6" w14:textId="77777777" w:rsidTr="00802D3E">
        <w:trPr>
          <w:cantSplit/>
          <w:jc w:val="center"/>
        </w:trPr>
        <w:tc>
          <w:tcPr>
            <w:tcW w:w="1934" w:type="dxa"/>
            <w:gridSpan w:val="2"/>
            <w:tcBorders>
              <w:top w:val="nil"/>
              <w:left w:val="nil"/>
              <w:bottom w:val="nil"/>
              <w:right w:val="nil"/>
            </w:tcBorders>
            <w:hideMark/>
          </w:tcPr>
          <w:p w14:paraId="2086EAF2"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AF3"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AF4"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AF5" w14:textId="77777777" w:rsidR="00802D3E" w:rsidRDefault="00802D3E">
            <w:pPr>
              <w:pStyle w:val="MeasureTableTextLeftAligned"/>
            </w:pPr>
          </w:p>
        </w:tc>
      </w:tr>
      <w:tr w:rsidR="00802D3E" w14:paraId="2086EAF9" w14:textId="77777777" w:rsidTr="00802D3E">
        <w:trPr>
          <w:cantSplit/>
          <w:jc w:val="center"/>
        </w:trPr>
        <w:tc>
          <w:tcPr>
            <w:tcW w:w="1934" w:type="dxa"/>
            <w:gridSpan w:val="2"/>
            <w:tcBorders>
              <w:top w:val="nil"/>
              <w:left w:val="nil"/>
              <w:bottom w:val="single" w:sz="2" w:space="0" w:color="auto"/>
              <w:right w:val="nil"/>
            </w:tcBorders>
            <w:hideMark/>
          </w:tcPr>
          <w:p w14:paraId="2086EAF7"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AF8"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Section 79A of the </w:t>
            </w:r>
            <w:r w:rsidRPr="00231210">
              <w:rPr>
                <w:rFonts w:ascii="Arial" w:hAnsi="Arial" w:cs="Arial"/>
                <w:i/>
                <w:iCs/>
                <w:color w:val="000000"/>
                <w:sz w:val="16"/>
                <w:szCs w:val="16"/>
              </w:rPr>
              <w:t>Income Tax Assessment Act 1936</w:t>
            </w:r>
          </w:p>
        </w:tc>
      </w:tr>
    </w:tbl>
    <w:p w14:paraId="2086EAFA" w14:textId="77777777" w:rsidR="00802D3E" w:rsidRDefault="00802D3E" w:rsidP="00802D3E">
      <w:pPr>
        <w:pStyle w:val="Source"/>
      </w:pPr>
      <w:r>
        <w:t>Note: estimates include tax expenditures A43 and A13</w:t>
      </w:r>
    </w:p>
    <w:p w14:paraId="2086EAFB" w14:textId="77777777" w:rsidR="00802D3E" w:rsidRDefault="00802D3E" w:rsidP="0098392C">
      <w:pPr>
        <w:pStyle w:val="SingleParagraph"/>
      </w:pPr>
    </w:p>
    <w:p w14:paraId="2086EAFC" w14:textId="236DC0DA" w:rsidR="00802D3E" w:rsidRDefault="00802D3E" w:rsidP="00802D3E">
      <w:r>
        <w:t>Taxpayers who live in prescribed remote areas</w:t>
      </w:r>
      <w:r>
        <w:fldChar w:fldCharType="begin"/>
      </w:r>
      <w:r>
        <w:instrText xml:space="preserve"> XE "Remote areas" </w:instrText>
      </w:r>
      <w:r>
        <w:fldChar w:fldCharType="end"/>
      </w:r>
      <w:r>
        <w:t xml:space="preserve"> of Australia are eligible for a tax offset.</w:t>
      </w:r>
      <w:r w:rsidR="00054FF3" w:rsidRPr="00054FF3">
        <w:t xml:space="preserve"> </w:t>
      </w:r>
      <w:r w:rsidR="00054FF3">
        <w:fldChar w:fldCharType="begin"/>
      </w:r>
      <w:r w:rsidR="00054FF3">
        <w:instrText xml:space="preserve"> XE "Zone tax offsets" </w:instrText>
      </w:r>
      <w:r w:rsidR="00054FF3">
        <w:fldChar w:fldCharType="end"/>
      </w:r>
      <w:r w:rsidR="000D700A">
        <w:t xml:space="preserve"> </w:t>
      </w:r>
      <w:r>
        <w:t xml:space="preserve">Eligibility and the amount of the tax offset varies depending on the taxpayer’s location. </w:t>
      </w:r>
    </w:p>
    <w:p w14:paraId="2086EAFD" w14:textId="77777777" w:rsidR="00802D3E" w:rsidRDefault="00802D3E" w:rsidP="00802D3E">
      <w:r>
        <w:t>From 1 July 2015, ‘fly-in fly-out’ workers whose normal residence is not in a zone are excluded from the offset. If their normal residence is in a different zone to the one in which they work, they receive the offset applicable to the zone in which they reside.</w:t>
      </w:r>
    </w:p>
    <w:p w14:paraId="2086EAFE" w14:textId="77777777" w:rsidR="00802D3E" w:rsidRDefault="00802D3E" w:rsidP="00802D3E">
      <w:pPr>
        <w:pStyle w:val="TESHeading5"/>
        <w:ind w:left="0" w:firstLine="0"/>
      </w:pPr>
      <w:r>
        <w:lastRenderedPageBreak/>
        <w:t>A44</w:t>
      </w:r>
      <w:r>
        <w:tab/>
        <w:t>Income averaging for authors, inventors, performing artists, production associates and sportspersons</w:t>
      </w:r>
    </w:p>
    <w:p w14:paraId="2086EAFF" w14:textId="77777777" w:rsidR="00802D3E" w:rsidRDefault="00802D3E" w:rsidP="00802D3E">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B08" w14:textId="77777777" w:rsidTr="00802D3E">
        <w:trPr>
          <w:cantSplit/>
          <w:jc w:val="center"/>
        </w:trPr>
        <w:tc>
          <w:tcPr>
            <w:tcW w:w="967" w:type="dxa"/>
            <w:tcBorders>
              <w:top w:val="single" w:sz="2" w:space="0" w:color="auto"/>
              <w:left w:val="nil"/>
              <w:bottom w:val="single" w:sz="2" w:space="0" w:color="auto"/>
              <w:right w:val="nil"/>
            </w:tcBorders>
            <w:hideMark/>
          </w:tcPr>
          <w:p w14:paraId="2086EB0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B0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B0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B0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B0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B0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B0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B07" w14:textId="77777777" w:rsidR="00802D3E" w:rsidRDefault="00802D3E">
            <w:pPr>
              <w:pStyle w:val="MeasureTableTextRightAligned"/>
            </w:pPr>
            <w:r>
              <w:t>2019-20</w:t>
            </w:r>
          </w:p>
        </w:tc>
      </w:tr>
      <w:tr w:rsidR="00802D3E" w14:paraId="2086EB11" w14:textId="77777777" w:rsidTr="00802D3E">
        <w:trPr>
          <w:cantSplit/>
          <w:jc w:val="center"/>
        </w:trPr>
        <w:tc>
          <w:tcPr>
            <w:tcW w:w="967" w:type="dxa"/>
            <w:tcBorders>
              <w:top w:val="single" w:sz="2" w:space="0" w:color="auto"/>
              <w:left w:val="nil"/>
              <w:bottom w:val="single" w:sz="2" w:space="0" w:color="auto"/>
              <w:right w:val="nil"/>
            </w:tcBorders>
            <w:hideMark/>
          </w:tcPr>
          <w:p w14:paraId="2086EB09" w14:textId="77777777" w:rsidR="00802D3E" w:rsidRDefault="00802D3E">
            <w:pPr>
              <w:pStyle w:val="MeasureTableTextRightAligned"/>
            </w:pPr>
            <w:r>
              <w:t>23</w:t>
            </w:r>
          </w:p>
        </w:tc>
        <w:tc>
          <w:tcPr>
            <w:tcW w:w="967" w:type="dxa"/>
            <w:tcBorders>
              <w:top w:val="single" w:sz="2" w:space="0" w:color="auto"/>
              <w:left w:val="nil"/>
              <w:bottom w:val="single" w:sz="2" w:space="0" w:color="auto"/>
              <w:right w:val="nil"/>
            </w:tcBorders>
            <w:hideMark/>
          </w:tcPr>
          <w:p w14:paraId="2086EB0A" w14:textId="77777777" w:rsidR="00802D3E" w:rsidRDefault="00802D3E">
            <w:pPr>
              <w:pStyle w:val="MeasureTableTextRightAligned"/>
            </w:pPr>
            <w:r>
              <w:t>27</w:t>
            </w:r>
          </w:p>
        </w:tc>
        <w:tc>
          <w:tcPr>
            <w:tcW w:w="967" w:type="dxa"/>
            <w:tcBorders>
              <w:top w:val="single" w:sz="2" w:space="0" w:color="auto"/>
              <w:left w:val="nil"/>
              <w:bottom w:val="single" w:sz="2" w:space="0" w:color="auto"/>
              <w:right w:val="nil"/>
            </w:tcBorders>
            <w:vAlign w:val="bottom"/>
            <w:hideMark/>
          </w:tcPr>
          <w:p w14:paraId="2086EB0B" w14:textId="77777777" w:rsidR="00802D3E" w:rsidRDefault="00802D3E">
            <w:pPr>
              <w:pStyle w:val="MeasureTableTextRightAligned"/>
            </w:pPr>
            <w:r>
              <w:t>30</w:t>
            </w:r>
          </w:p>
        </w:tc>
        <w:tc>
          <w:tcPr>
            <w:tcW w:w="967" w:type="dxa"/>
            <w:tcBorders>
              <w:top w:val="single" w:sz="2" w:space="0" w:color="auto"/>
              <w:left w:val="nil"/>
              <w:bottom w:val="single" w:sz="2" w:space="0" w:color="auto"/>
              <w:right w:val="nil"/>
            </w:tcBorders>
            <w:vAlign w:val="bottom"/>
            <w:hideMark/>
          </w:tcPr>
          <w:p w14:paraId="2086EB0C" w14:textId="77777777" w:rsidR="00802D3E" w:rsidRDefault="00802D3E">
            <w:pPr>
              <w:pStyle w:val="MeasureTableTextRightAligned"/>
            </w:pPr>
            <w:r>
              <w:t>33</w:t>
            </w:r>
          </w:p>
        </w:tc>
        <w:tc>
          <w:tcPr>
            <w:tcW w:w="967" w:type="dxa"/>
            <w:tcBorders>
              <w:top w:val="single" w:sz="2" w:space="0" w:color="auto"/>
              <w:left w:val="nil"/>
              <w:bottom w:val="single" w:sz="2" w:space="0" w:color="auto"/>
              <w:right w:val="nil"/>
            </w:tcBorders>
            <w:vAlign w:val="bottom"/>
            <w:hideMark/>
          </w:tcPr>
          <w:p w14:paraId="2086EB0D" w14:textId="77777777" w:rsidR="00802D3E" w:rsidRDefault="00802D3E">
            <w:pPr>
              <w:pStyle w:val="MeasureTableTextRightAligned"/>
            </w:pPr>
            <w:r>
              <w:t>30</w:t>
            </w:r>
          </w:p>
        </w:tc>
        <w:tc>
          <w:tcPr>
            <w:tcW w:w="967" w:type="dxa"/>
            <w:gridSpan w:val="2"/>
            <w:tcBorders>
              <w:top w:val="single" w:sz="2" w:space="0" w:color="auto"/>
              <w:left w:val="nil"/>
              <w:bottom w:val="single" w:sz="2" w:space="0" w:color="auto"/>
              <w:right w:val="nil"/>
            </w:tcBorders>
            <w:vAlign w:val="bottom"/>
            <w:hideMark/>
          </w:tcPr>
          <w:p w14:paraId="2086EB0E" w14:textId="77777777" w:rsidR="00802D3E" w:rsidRDefault="00802D3E">
            <w:pPr>
              <w:pStyle w:val="MeasureTableTextRightAligned"/>
            </w:pPr>
            <w:r>
              <w:t>32</w:t>
            </w:r>
          </w:p>
        </w:tc>
        <w:tc>
          <w:tcPr>
            <w:tcW w:w="967" w:type="dxa"/>
            <w:gridSpan w:val="2"/>
            <w:tcBorders>
              <w:top w:val="single" w:sz="2" w:space="0" w:color="auto"/>
              <w:left w:val="nil"/>
              <w:bottom w:val="single" w:sz="2" w:space="0" w:color="auto"/>
              <w:right w:val="nil"/>
            </w:tcBorders>
            <w:vAlign w:val="bottom"/>
            <w:hideMark/>
          </w:tcPr>
          <w:p w14:paraId="2086EB0F" w14:textId="77777777" w:rsidR="00802D3E" w:rsidRDefault="00802D3E">
            <w:pPr>
              <w:pStyle w:val="MeasureTableTextRightAligned"/>
            </w:pPr>
            <w:r>
              <w:t>36</w:t>
            </w:r>
          </w:p>
        </w:tc>
        <w:tc>
          <w:tcPr>
            <w:tcW w:w="968" w:type="dxa"/>
            <w:tcBorders>
              <w:top w:val="single" w:sz="2" w:space="0" w:color="auto"/>
              <w:left w:val="nil"/>
              <w:bottom w:val="single" w:sz="2" w:space="0" w:color="auto"/>
              <w:right w:val="nil"/>
            </w:tcBorders>
            <w:vAlign w:val="bottom"/>
            <w:hideMark/>
          </w:tcPr>
          <w:p w14:paraId="2086EB10" w14:textId="77777777" w:rsidR="00802D3E" w:rsidRDefault="00802D3E">
            <w:pPr>
              <w:pStyle w:val="MeasureTableTextRightAligned"/>
            </w:pPr>
            <w:r>
              <w:t>39</w:t>
            </w:r>
          </w:p>
        </w:tc>
      </w:tr>
      <w:tr w:rsidR="00802D3E" w14:paraId="2086EB16" w14:textId="77777777" w:rsidTr="00802D3E">
        <w:trPr>
          <w:cantSplit/>
          <w:jc w:val="center"/>
        </w:trPr>
        <w:tc>
          <w:tcPr>
            <w:tcW w:w="1934" w:type="dxa"/>
            <w:gridSpan w:val="2"/>
            <w:tcBorders>
              <w:top w:val="single" w:sz="2" w:space="0" w:color="auto"/>
              <w:left w:val="nil"/>
              <w:bottom w:val="nil"/>
              <w:right w:val="nil"/>
            </w:tcBorders>
            <w:hideMark/>
          </w:tcPr>
          <w:p w14:paraId="2086EB1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B13"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6EB1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B15" w14:textId="77777777" w:rsidR="00802D3E" w:rsidRDefault="00802D3E">
            <w:pPr>
              <w:pStyle w:val="MeasureTableTextLeftAligned"/>
            </w:pPr>
            <w:r>
              <w:t>A39</w:t>
            </w:r>
          </w:p>
        </w:tc>
      </w:tr>
      <w:tr w:rsidR="00802D3E" w14:paraId="2086EB1B" w14:textId="77777777" w:rsidTr="00802D3E">
        <w:trPr>
          <w:cantSplit/>
          <w:jc w:val="center"/>
        </w:trPr>
        <w:tc>
          <w:tcPr>
            <w:tcW w:w="1934" w:type="dxa"/>
            <w:gridSpan w:val="2"/>
            <w:tcBorders>
              <w:top w:val="nil"/>
              <w:left w:val="nil"/>
              <w:bottom w:val="nil"/>
              <w:right w:val="nil"/>
            </w:tcBorders>
            <w:hideMark/>
          </w:tcPr>
          <w:p w14:paraId="2086EB1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B18"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6EB19" w14:textId="77777777" w:rsidR="00802D3E" w:rsidRDefault="00802D3E">
            <w:pPr>
              <w:pStyle w:val="MeasureTableTextItalic"/>
            </w:pPr>
          </w:p>
        </w:tc>
        <w:tc>
          <w:tcPr>
            <w:tcW w:w="1124" w:type="dxa"/>
            <w:gridSpan w:val="2"/>
            <w:tcBorders>
              <w:top w:val="nil"/>
              <w:left w:val="nil"/>
              <w:bottom w:val="nil"/>
              <w:right w:val="nil"/>
            </w:tcBorders>
          </w:tcPr>
          <w:p w14:paraId="2086EB1A" w14:textId="77777777" w:rsidR="00802D3E" w:rsidRDefault="00802D3E">
            <w:pPr>
              <w:pStyle w:val="MeasureTableTextLeftAligned"/>
            </w:pPr>
          </w:p>
        </w:tc>
      </w:tr>
      <w:tr w:rsidR="00802D3E" w14:paraId="2086EB20" w14:textId="77777777" w:rsidTr="00802D3E">
        <w:trPr>
          <w:cantSplit/>
          <w:jc w:val="center"/>
        </w:trPr>
        <w:tc>
          <w:tcPr>
            <w:tcW w:w="1934" w:type="dxa"/>
            <w:gridSpan w:val="2"/>
            <w:tcBorders>
              <w:top w:val="nil"/>
              <w:left w:val="nil"/>
              <w:bottom w:val="nil"/>
              <w:right w:val="nil"/>
            </w:tcBorders>
            <w:hideMark/>
          </w:tcPr>
          <w:p w14:paraId="2086EB1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B1D" w14:textId="77777777" w:rsidR="00802D3E" w:rsidRDefault="00802D3E">
            <w:pPr>
              <w:pStyle w:val="MeasureTableTextLeftAligned"/>
            </w:pPr>
            <w:r>
              <w:t>1998</w:t>
            </w:r>
          </w:p>
        </w:tc>
        <w:tc>
          <w:tcPr>
            <w:tcW w:w="1500" w:type="dxa"/>
            <w:gridSpan w:val="2"/>
            <w:tcBorders>
              <w:top w:val="nil"/>
              <w:left w:val="nil"/>
              <w:bottom w:val="nil"/>
              <w:right w:val="nil"/>
            </w:tcBorders>
            <w:hideMark/>
          </w:tcPr>
          <w:p w14:paraId="2086EB1E"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B1F" w14:textId="77777777" w:rsidR="00802D3E" w:rsidRDefault="00802D3E">
            <w:pPr>
              <w:pStyle w:val="MeasureTableTextLeftAligned"/>
            </w:pPr>
          </w:p>
        </w:tc>
      </w:tr>
      <w:tr w:rsidR="00802D3E" w14:paraId="2086EB23" w14:textId="77777777" w:rsidTr="00802D3E">
        <w:trPr>
          <w:cantSplit/>
          <w:jc w:val="center"/>
        </w:trPr>
        <w:tc>
          <w:tcPr>
            <w:tcW w:w="1934" w:type="dxa"/>
            <w:gridSpan w:val="2"/>
            <w:tcBorders>
              <w:top w:val="nil"/>
              <w:left w:val="nil"/>
              <w:bottom w:val="single" w:sz="2" w:space="0" w:color="auto"/>
              <w:right w:val="nil"/>
            </w:tcBorders>
            <w:hideMark/>
          </w:tcPr>
          <w:p w14:paraId="2086EB2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B22"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Division 405 of the </w:t>
            </w:r>
            <w:r w:rsidRPr="00231210">
              <w:rPr>
                <w:rFonts w:ascii="Arial" w:hAnsi="Arial" w:cs="Arial"/>
                <w:i/>
                <w:iCs/>
                <w:color w:val="000000"/>
                <w:sz w:val="16"/>
                <w:szCs w:val="16"/>
              </w:rPr>
              <w:t>Income Tax Assessment Act 1997</w:t>
            </w:r>
          </w:p>
        </w:tc>
      </w:tr>
    </w:tbl>
    <w:p w14:paraId="2086EB24" w14:textId="77777777" w:rsidR="00802D3E" w:rsidRDefault="00802D3E" w:rsidP="0098392C">
      <w:pPr>
        <w:pStyle w:val="SingleParagraph"/>
      </w:pPr>
    </w:p>
    <w:p w14:paraId="2086EB25" w14:textId="77777777" w:rsidR="00802D3E" w:rsidRDefault="00802D3E" w:rsidP="00802D3E">
      <w:r>
        <w:t xml:space="preserve">Authors, </w:t>
      </w:r>
      <w:r>
        <w:fldChar w:fldCharType="begin"/>
      </w:r>
      <w:r>
        <w:instrText xml:space="preserve"> XE "Authors" </w:instrText>
      </w:r>
      <w:r>
        <w:fldChar w:fldCharType="end"/>
      </w:r>
      <w:r>
        <w:t xml:space="preserve">composers, </w:t>
      </w:r>
      <w:r>
        <w:fldChar w:fldCharType="begin"/>
      </w:r>
      <w:r>
        <w:instrText xml:space="preserve"> XE "Composers" </w:instrText>
      </w:r>
      <w:r>
        <w:fldChar w:fldCharType="end"/>
      </w:r>
      <w:r>
        <w:t>artists</w:t>
      </w:r>
      <w:r>
        <w:fldChar w:fldCharType="begin"/>
      </w:r>
      <w:r>
        <w:instrText xml:space="preserve"> XE "Artists" </w:instrText>
      </w:r>
      <w:r>
        <w:fldChar w:fldCharType="end"/>
      </w:r>
      <w:r>
        <w:t>, inventors</w:t>
      </w:r>
      <w:r>
        <w:fldChar w:fldCharType="begin"/>
      </w:r>
      <w:r>
        <w:instrText xml:space="preserve"> XE "Inventors" </w:instrText>
      </w:r>
      <w:r>
        <w:fldChar w:fldCharType="end"/>
      </w:r>
      <w:r>
        <w:t>, performing artists</w:t>
      </w:r>
      <w:r>
        <w:fldChar w:fldCharType="begin"/>
      </w:r>
      <w:r>
        <w:instrText xml:space="preserve"> XE "Performing artists" </w:instrText>
      </w:r>
      <w:r>
        <w:fldChar w:fldCharType="end"/>
      </w:r>
      <w:r>
        <w:t>, production associates</w:t>
      </w:r>
      <w:r>
        <w:fldChar w:fldCharType="begin"/>
      </w:r>
      <w:r>
        <w:instrText xml:space="preserve"> XE "Production associates" </w:instrText>
      </w:r>
      <w:r>
        <w:fldChar w:fldCharType="end"/>
      </w:r>
      <w:r>
        <w:t xml:space="preserve"> and sportspersons,</w:t>
      </w:r>
      <w:r>
        <w:fldChar w:fldCharType="begin"/>
      </w:r>
      <w:r>
        <w:instrText xml:space="preserve"> XE "Sportspersons" </w:instrText>
      </w:r>
      <w:r>
        <w:fldChar w:fldCharType="end"/>
      </w:r>
      <w:r>
        <w:t xml:space="preserve"> whose income can fluctuate significantly between income years, may be eligible for an income averaging scheme that reduces their overall tax liability. </w:t>
      </w:r>
    </w:p>
    <w:p w14:paraId="2086EB26" w14:textId="77777777" w:rsidR="00802D3E" w:rsidRDefault="00802D3E" w:rsidP="00802D3E">
      <w:pPr>
        <w:pStyle w:val="TESHeading5"/>
        <w:ind w:left="0" w:firstLine="0"/>
      </w:pPr>
      <w:r>
        <w:t>A45</w:t>
      </w:r>
      <w:r>
        <w:tab/>
        <w:t>Income tax exemption of certain Prime Minister's prizes</w:t>
      </w:r>
    </w:p>
    <w:p w14:paraId="2086EB27" w14:textId="77777777" w:rsidR="00802D3E" w:rsidRDefault="00802D3E" w:rsidP="00802D3E">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B30" w14:textId="77777777" w:rsidTr="00802D3E">
        <w:trPr>
          <w:cantSplit/>
          <w:jc w:val="center"/>
        </w:trPr>
        <w:tc>
          <w:tcPr>
            <w:tcW w:w="967" w:type="dxa"/>
            <w:tcBorders>
              <w:top w:val="single" w:sz="2" w:space="0" w:color="auto"/>
              <w:left w:val="nil"/>
              <w:bottom w:val="single" w:sz="2" w:space="0" w:color="auto"/>
              <w:right w:val="nil"/>
            </w:tcBorders>
            <w:hideMark/>
          </w:tcPr>
          <w:p w14:paraId="2086EB2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B2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B2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B2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B2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B2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B2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B2F" w14:textId="77777777" w:rsidR="00802D3E" w:rsidRDefault="00802D3E">
            <w:pPr>
              <w:pStyle w:val="MeasureTableTextRightAligned"/>
            </w:pPr>
            <w:r>
              <w:t>2019-20</w:t>
            </w:r>
          </w:p>
        </w:tc>
      </w:tr>
      <w:tr w:rsidR="00802D3E" w14:paraId="2086EB39" w14:textId="77777777" w:rsidTr="00802D3E">
        <w:trPr>
          <w:cantSplit/>
          <w:jc w:val="center"/>
        </w:trPr>
        <w:tc>
          <w:tcPr>
            <w:tcW w:w="967" w:type="dxa"/>
            <w:tcBorders>
              <w:top w:val="single" w:sz="2" w:space="0" w:color="auto"/>
              <w:left w:val="nil"/>
              <w:bottom w:val="single" w:sz="2" w:space="0" w:color="auto"/>
              <w:right w:val="nil"/>
            </w:tcBorders>
            <w:hideMark/>
          </w:tcPr>
          <w:p w14:paraId="2086EB3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B3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3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3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3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B3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B37"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B38" w14:textId="77777777" w:rsidR="00802D3E" w:rsidRDefault="00802D3E">
            <w:pPr>
              <w:pStyle w:val="MeasureTableTextRightAligned"/>
            </w:pPr>
            <w:r>
              <w:t>..</w:t>
            </w:r>
          </w:p>
        </w:tc>
      </w:tr>
      <w:tr w:rsidR="00802D3E" w14:paraId="2086EB3E" w14:textId="77777777" w:rsidTr="00802D3E">
        <w:trPr>
          <w:cantSplit/>
          <w:jc w:val="center"/>
        </w:trPr>
        <w:tc>
          <w:tcPr>
            <w:tcW w:w="1934" w:type="dxa"/>
            <w:gridSpan w:val="2"/>
            <w:tcBorders>
              <w:top w:val="single" w:sz="2" w:space="0" w:color="auto"/>
              <w:left w:val="nil"/>
              <w:bottom w:val="nil"/>
              <w:right w:val="nil"/>
            </w:tcBorders>
            <w:hideMark/>
          </w:tcPr>
          <w:p w14:paraId="2086EB3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B3B"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B3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B3D" w14:textId="77777777" w:rsidR="00802D3E" w:rsidRDefault="00802D3E">
            <w:pPr>
              <w:pStyle w:val="MeasureTableTextLeftAligned"/>
            </w:pPr>
            <w:r>
              <w:t>A40</w:t>
            </w:r>
          </w:p>
        </w:tc>
      </w:tr>
      <w:tr w:rsidR="00802D3E" w14:paraId="2086EB43" w14:textId="77777777" w:rsidTr="00802D3E">
        <w:trPr>
          <w:cantSplit/>
          <w:jc w:val="center"/>
        </w:trPr>
        <w:tc>
          <w:tcPr>
            <w:tcW w:w="1934" w:type="dxa"/>
            <w:gridSpan w:val="2"/>
            <w:tcBorders>
              <w:top w:val="nil"/>
              <w:left w:val="nil"/>
              <w:bottom w:val="nil"/>
              <w:right w:val="nil"/>
            </w:tcBorders>
            <w:hideMark/>
          </w:tcPr>
          <w:p w14:paraId="2086EB3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B40" w14:textId="77777777" w:rsidR="00802D3E" w:rsidRDefault="00802D3E">
            <w:pPr>
              <w:pStyle w:val="MeasureTableTextLeftAligned"/>
            </w:pPr>
            <w:r>
              <w:t>High</w:t>
            </w:r>
          </w:p>
        </w:tc>
        <w:tc>
          <w:tcPr>
            <w:tcW w:w="1500" w:type="dxa"/>
            <w:gridSpan w:val="2"/>
            <w:tcBorders>
              <w:top w:val="nil"/>
              <w:left w:val="nil"/>
              <w:bottom w:val="nil"/>
              <w:right w:val="nil"/>
            </w:tcBorders>
          </w:tcPr>
          <w:p w14:paraId="2086EB41" w14:textId="77777777" w:rsidR="00802D3E" w:rsidRDefault="00802D3E">
            <w:pPr>
              <w:pStyle w:val="MeasureTableTextItalic"/>
            </w:pPr>
          </w:p>
        </w:tc>
        <w:tc>
          <w:tcPr>
            <w:tcW w:w="1124" w:type="dxa"/>
            <w:gridSpan w:val="2"/>
            <w:tcBorders>
              <w:top w:val="nil"/>
              <w:left w:val="nil"/>
              <w:bottom w:val="nil"/>
              <w:right w:val="nil"/>
            </w:tcBorders>
          </w:tcPr>
          <w:p w14:paraId="2086EB42" w14:textId="77777777" w:rsidR="00802D3E" w:rsidRDefault="00802D3E">
            <w:pPr>
              <w:pStyle w:val="MeasureTableTextLeftAligned"/>
            </w:pPr>
          </w:p>
        </w:tc>
      </w:tr>
      <w:tr w:rsidR="00802D3E" w14:paraId="2086EB48" w14:textId="77777777" w:rsidTr="00802D3E">
        <w:trPr>
          <w:cantSplit/>
          <w:jc w:val="center"/>
        </w:trPr>
        <w:tc>
          <w:tcPr>
            <w:tcW w:w="1934" w:type="dxa"/>
            <w:gridSpan w:val="2"/>
            <w:tcBorders>
              <w:top w:val="nil"/>
              <w:left w:val="nil"/>
              <w:bottom w:val="nil"/>
              <w:right w:val="nil"/>
            </w:tcBorders>
            <w:hideMark/>
          </w:tcPr>
          <w:p w14:paraId="2086EB4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B45" w14:textId="77777777" w:rsidR="00802D3E" w:rsidRDefault="00802D3E">
            <w:pPr>
              <w:pStyle w:val="MeasureTableTextLeftAligned"/>
            </w:pPr>
            <w:r>
              <w:t>1 July 2006</w:t>
            </w:r>
          </w:p>
        </w:tc>
        <w:tc>
          <w:tcPr>
            <w:tcW w:w="1500" w:type="dxa"/>
            <w:gridSpan w:val="2"/>
            <w:tcBorders>
              <w:top w:val="nil"/>
              <w:left w:val="nil"/>
              <w:bottom w:val="nil"/>
              <w:right w:val="nil"/>
            </w:tcBorders>
            <w:hideMark/>
          </w:tcPr>
          <w:p w14:paraId="2086EB46"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B47" w14:textId="77777777" w:rsidR="00802D3E" w:rsidRDefault="00802D3E">
            <w:pPr>
              <w:pStyle w:val="MeasureTableTextLeftAligned"/>
            </w:pPr>
          </w:p>
        </w:tc>
      </w:tr>
      <w:tr w:rsidR="00802D3E" w14:paraId="2086EB4B" w14:textId="77777777" w:rsidTr="00802D3E">
        <w:trPr>
          <w:cantSplit/>
          <w:jc w:val="center"/>
        </w:trPr>
        <w:tc>
          <w:tcPr>
            <w:tcW w:w="1934" w:type="dxa"/>
            <w:gridSpan w:val="2"/>
            <w:tcBorders>
              <w:top w:val="nil"/>
              <w:left w:val="nil"/>
              <w:bottom w:val="single" w:sz="2" w:space="0" w:color="auto"/>
              <w:right w:val="nil"/>
            </w:tcBorders>
            <w:hideMark/>
          </w:tcPr>
          <w:p w14:paraId="2086EB4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B4A" w14:textId="77777777" w:rsidR="00802D3E" w:rsidRPr="00231210" w:rsidRDefault="00802D3E" w:rsidP="00231210">
            <w:pPr>
              <w:widowControl w:val="0"/>
              <w:autoSpaceDE w:val="0"/>
              <w:autoSpaceDN w:val="0"/>
              <w:adjustRightInd w:val="0"/>
              <w:spacing w:after="0" w:line="240" w:lineRule="auto"/>
              <w:jc w:val="left"/>
              <w:rPr>
                <w:sz w:val="16"/>
                <w:szCs w:val="16"/>
              </w:rPr>
            </w:pPr>
            <w:r w:rsidRPr="00231210">
              <w:rPr>
                <w:rFonts w:ascii="Arial" w:hAnsi="Arial" w:cs="Arial"/>
                <w:sz w:val="16"/>
                <w:szCs w:val="16"/>
              </w:rPr>
              <w:t xml:space="preserve">Section 51-60 of the </w:t>
            </w:r>
            <w:r w:rsidRPr="00231210">
              <w:rPr>
                <w:rFonts w:ascii="Arial" w:hAnsi="Arial" w:cs="Arial"/>
                <w:i/>
                <w:iCs/>
                <w:color w:val="000000"/>
                <w:sz w:val="16"/>
                <w:szCs w:val="16"/>
              </w:rPr>
              <w:t>Income Tax Assessment Act 1997</w:t>
            </w:r>
          </w:p>
        </w:tc>
      </w:tr>
    </w:tbl>
    <w:p w14:paraId="2086EB4C" w14:textId="77777777" w:rsidR="00802D3E" w:rsidRDefault="00802D3E" w:rsidP="0098392C">
      <w:pPr>
        <w:pStyle w:val="SingleParagraph"/>
      </w:pPr>
    </w:p>
    <w:p w14:paraId="2086EB4D" w14:textId="77777777" w:rsidR="00802D3E" w:rsidRDefault="00802D3E" w:rsidP="00802D3E">
      <w:r>
        <w:t>The Prime Minister's Prize for Australian History, the Prime Minister’s Prize for Science</w:t>
      </w:r>
      <w:r>
        <w:fldChar w:fldCharType="begin"/>
      </w:r>
      <w:r>
        <w:instrText xml:space="preserve"> XE "Prime Minister's Prize</w:instrText>
      </w:r>
      <w:r w:rsidR="000A4E14">
        <w:instrText>s</w:instrText>
      </w:r>
      <w:r>
        <w:instrText xml:space="preserve">" </w:instrText>
      </w:r>
      <w:r>
        <w:fldChar w:fldCharType="end"/>
      </w:r>
      <w:r>
        <w:t xml:space="preserve"> and the Prime Minister’s Literary Award are exempt from income tax. </w:t>
      </w:r>
    </w:p>
    <w:p w14:paraId="2086EB4E" w14:textId="77777777" w:rsidR="00802D3E" w:rsidRDefault="00802D3E" w:rsidP="00802D3E">
      <w:pPr>
        <w:pStyle w:val="TESHeading5"/>
        <w:ind w:left="0" w:firstLine="0"/>
      </w:pPr>
      <w:r>
        <w:t>A46</w:t>
      </w:r>
      <w:r>
        <w:tab/>
        <w:t>Non-commercial losses deductions allowed for certain taxpayers with an adjusted taxable income under $250,000</w:t>
      </w:r>
    </w:p>
    <w:p w14:paraId="2086EB4F" w14:textId="77777777" w:rsidR="00802D3E" w:rsidRDefault="00802D3E" w:rsidP="00802D3E">
      <w:pPr>
        <w:pStyle w:val="MeasureTableHeading"/>
      </w:pPr>
      <w:r>
        <w:t xml:space="preserve">Other economic affairs </w:t>
      </w:r>
      <w:r w:rsidR="00C853A0">
        <w:t>–</w:t>
      </w:r>
      <w:r>
        <w:t xml:space="preserve"> Total</w:t>
      </w:r>
      <w:r w:rsidR="00C853A0">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B58" w14:textId="77777777" w:rsidTr="00802D3E">
        <w:trPr>
          <w:cantSplit/>
          <w:jc w:val="center"/>
        </w:trPr>
        <w:tc>
          <w:tcPr>
            <w:tcW w:w="967" w:type="dxa"/>
            <w:tcBorders>
              <w:top w:val="single" w:sz="2" w:space="0" w:color="auto"/>
              <w:left w:val="nil"/>
              <w:bottom w:val="single" w:sz="2" w:space="0" w:color="auto"/>
              <w:right w:val="nil"/>
            </w:tcBorders>
            <w:hideMark/>
          </w:tcPr>
          <w:p w14:paraId="2086EB5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B5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B5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B5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B5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B5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B5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B57" w14:textId="77777777" w:rsidR="00802D3E" w:rsidRDefault="00802D3E">
            <w:pPr>
              <w:pStyle w:val="MeasureTableTextRightAligned"/>
            </w:pPr>
            <w:r>
              <w:t>2019-20</w:t>
            </w:r>
          </w:p>
        </w:tc>
      </w:tr>
      <w:tr w:rsidR="00802D3E" w14:paraId="2086EB61" w14:textId="77777777" w:rsidTr="00802D3E">
        <w:trPr>
          <w:cantSplit/>
          <w:jc w:val="center"/>
        </w:trPr>
        <w:tc>
          <w:tcPr>
            <w:tcW w:w="967" w:type="dxa"/>
            <w:tcBorders>
              <w:top w:val="single" w:sz="2" w:space="0" w:color="auto"/>
              <w:left w:val="nil"/>
              <w:bottom w:val="single" w:sz="2" w:space="0" w:color="auto"/>
              <w:right w:val="nil"/>
            </w:tcBorders>
            <w:hideMark/>
          </w:tcPr>
          <w:p w14:paraId="2086EB5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B5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5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5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5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B5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B5F"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B60" w14:textId="77777777" w:rsidR="00802D3E" w:rsidRDefault="00802D3E">
            <w:pPr>
              <w:pStyle w:val="MeasureTableTextRightAligned"/>
            </w:pPr>
            <w:r>
              <w:t>*</w:t>
            </w:r>
          </w:p>
        </w:tc>
      </w:tr>
      <w:tr w:rsidR="00802D3E" w14:paraId="2086EB66" w14:textId="77777777" w:rsidTr="00802D3E">
        <w:trPr>
          <w:cantSplit/>
          <w:jc w:val="center"/>
        </w:trPr>
        <w:tc>
          <w:tcPr>
            <w:tcW w:w="1934" w:type="dxa"/>
            <w:gridSpan w:val="2"/>
            <w:tcBorders>
              <w:top w:val="single" w:sz="2" w:space="0" w:color="auto"/>
              <w:left w:val="nil"/>
              <w:bottom w:val="nil"/>
              <w:right w:val="nil"/>
            </w:tcBorders>
            <w:hideMark/>
          </w:tcPr>
          <w:p w14:paraId="2086EB6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B63"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EB6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B65" w14:textId="77777777" w:rsidR="00802D3E" w:rsidRDefault="00802D3E">
            <w:pPr>
              <w:pStyle w:val="MeasureTableTextLeftAligned"/>
            </w:pPr>
            <w:r>
              <w:t>A41</w:t>
            </w:r>
          </w:p>
        </w:tc>
      </w:tr>
      <w:tr w:rsidR="00802D3E" w14:paraId="2086EB6B" w14:textId="77777777" w:rsidTr="00802D3E">
        <w:trPr>
          <w:cantSplit/>
          <w:jc w:val="center"/>
        </w:trPr>
        <w:tc>
          <w:tcPr>
            <w:tcW w:w="1934" w:type="dxa"/>
            <w:gridSpan w:val="2"/>
            <w:tcBorders>
              <w:top w:val="nil"/>
              <w:left w:val="nil"/>
              <w:bottom w:val="nil"/>
              <w:right w:val="nil"/>
            </w:tcBorders>
            <w:hideMark/>
          </w:tcPr>
          <w:p w14:paraId="2086EB6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B68"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B69"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B6A" w14:textId="77777777" w:rsidR="00802D3E" w:rsidRDefault="00802D3E">
            <w:pPr>
              <w:pStyle w:val="MeasureTableTextLeftAligned"/>
            </w:pPr>
            <w:r>
              <w:t>3+</w:t>
            </w:r>
          </w:p>
        </w:tc>
      </w:tr>
      <w:tr w:rsidR="00802D3E" w14:paraId="2086EB70" w14:textId="77777777" w:rsidTr="00802D3E">
        <w:trPr>
          <w:cantSplit/>
          <w:jc w:val="center"/>
        </w:trPr>
        <w:tc>
          <w:tcPr>
            <w:tcW w:w="1934" w:type="dxa"/>
            <w:gridSpan w:val="2"/>
            <w:tcBorders>
              <w:top w:val="nil"/>
              <w:left w:val="nil"/>
              <w:bottom w:val="nil"/>
              <w:right w:val="nil"/>
            </w:tcBorders>
            <w:hideMark/>
          </w:tcPr>
          <w:p w14:paraId="2086EB6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B6D"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6EB6E"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B6F" w14:textId="77777777" w:rsidR="00802D3E" w:rsidRDefault="00802D3E">
            <w:pPr>
              <w:pStyle w:val="MeasureTableTextLeftAligned"/>
            </w:pPr>
          </w:p>
        </w:tc>
      </w:tr>
      <w:tr w:rsidR="00802D3E" w14:paraId="2086EB73" w14:textId="77777777" w:rsidTr="00802D3E">
        <w:trPr>
          <w:cantSplit/>
          <w:jc w:val="center"/>
        </w:trPr>
        <w:tc>
          <w:tcPr>
            <w:tcW w:w="1934" w:type="dxa"/>
            <w:gridSpan w:val="2"/>
            <w:tcBorders>
              <w:top w:val="nil"/>
              <w:left w:val="nil"/>
              <w:bottom w:val="single" w:sz="2" w:space="0" w:color="auto"/>
              <w:right w:val="nil"/>
            </w:tcBorders>
            <w:hideMark/>
          </w:tcPr>
          <w:p w14:paraId="2086EB7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B72" w14:textId="77777777" w:rsidR="00802D3E" w:rsidRPr="00231210" w:rsidRDefault="00802D3E" w:rsidP="00231210">
            <w:pPr>
              <w:widowControl w:val="0"/>
              <w:autoSpaceDE w:val="0"/>
              <w:autoSpaceDN w:val="0"/>
              <w:adjustRightInd w:val="0"/>
              <w:spacing w:after="0" w:line="240" w:lineRule="auto"/>
              <w:jc w:val="left"/>
              <w:rPr>
                <w:sz w:val="16"/>
                <w:szCs w:val="16"/>
              </w:rPr>
            </w:pPr>
            <w:r w:rsidRPr="00231210">
              <w:rPr>
                <w:rFonts w:ascii="Arial" w:hAnsi="Arial" w:cs="Arial"/>
                <w:sz w:val="16"/>
                <w:szCs w:val="16"/>
              </w:rPr>
              <w:t xml:space="preserve">Division 35 of the </w:t>
            </w:r>
            <w:r w:rsidRPr="00231210">
              <w:rPr>
                <w:rFonts w:ascii="Arial" w:hAnsi="Arial" w:cs="Arial"/>
                <w:i/>
                <w:iCs/>
                <w:color w:val="000000"/>
                <w:sz w:val="16"/>
                <w:szCs w:val="16"/>
              </w:rPr>
              <w:t>Income Tax Assessment Act 1997</w:t>
            </w:r>
          </w:p>
        </w:tc>
      </w:tr>
    </w:tbl>
    <w:p w14:paraId="2086EB74" w14:textId="77777777" w:rsidR="00802D3E" w:rsidRDefault="00802D3E" w:rsidP="0098392C">
      <w:pPr>
        <w:pStyle w:val="SingleParagraph"/>
      </w:pPr>
    </w:p>
    <w:p w14:paraId="2086EB75" w14:textId="72940BAF" w:rsidR="00802D3E" w:rsidRDefault="00054FF3" w:rsidP="00802D3E">
      <w:r>
        <w:fldChar w:fldCharType="begin"/>
      </w:r>
      <w:r>
        <w:instrText xml:space="preserve"> XE "Non</w:instrText>
      </w:r>
      <w:r>
        <w:noBreakHyphen/>
        <w:instrText xml:space="preserve">commercial losses" </w:instrText>
      </w:r>
      <w:r>
        <w:fldChar w:fldCharType="end"/>
      </w:r>
      <w:r w:rsidR="00802D3E">
        <w:t>Individuals carrying on a business and who have an adjusted taxable income of less than $250,000 may apply losses from a business activity against their other assessable income in that year if they satisfy one of four</w:t>
      </w:r>
      <w:r w:rsidR="000D700A">
        <w:t xml:space="preserve"> statutory tests in that year.</w:t>
      </w:r>
    </w:p>
    <w:p w14:paraId="2086EB76" w14:textId="42CE955F" w:rsidR="00802D3E" w:rsidRDefault="00802D3E" w:rsidP="00802D3E">
      <w:r>
        <w:t>This treatment results in some business activities that are non</w:t>
      </w:r>
      <w:r>
        <w:noBreakHyphen/>
        <w:t>commercial in natur</w:t>
      </w:r>
      <w:r w:rsidR="000D700A">
        <w:t xml:space="preserve">e being treated as commercial. </w:t>
      </w:r>
      <w:r>
        <w:t xml:space="preserve">Allowing losses from these activities to be offset against other assessable income in these circumstances gives rise to a tax expenditure. </w:t>
      </w:r>
    </w:p>
    <w:p w14:paraId="2086EB77" w14:textId="77777777" w:rsidR="00802D3E" w:rsidRDefault="00802D3E" w:rsidP="00802D3E">
      <w:pPr>
        <w:pStyle w:val="TESHeading5"/>
        <w:ind w:left="0" w:firstLine="0"/>
      </w:pPr>
      <w:r>
        <w:lastRenderedPageBreak/>
        <w:t>A47</w:t>
      </w:r>
      <w:r>
        <w:tab/>
        <w:t>Non-commercial losses exception rules for primary producers and artists</w:t>
      </w:r>
    </w:p>
    <w:p w14:paraId="2086EB78" w14:textId="77777777" w:rsidR="00802D3E" w:rsidRDefault="00802D3E" w:rsidP="00802D3E">
      <w:pPr>
        <w:pStyle w:val="MeasureTableHeading"/>
      </w:pPr>
      <w:r>
        <w:t xml:space="preserve">Other economic affairs </w:t>
      </w:r>
      <w:r w:rsidR="00C853A0">
        <w:t>–</w:t>
      </w:r>
      <w:r>
        <w:t xml:space="preserve"> Total</w:t>
      </w:r>
      <w:r w:rsidR="00C853A0">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B81" w14:textId="77777777" w:rsidTr="00802D3E">
        <w:trPr>
          <w:cantSplit/>
          <w:jc w:val="center"/>
        </w:trPr>
        <w:tc>
          <w:tcPr>
            <w:tcW w:w="967" w:type="dxa"/>
            <w:tcBorders>
              <w:top w:val="single" w:sz="2" w:space="0" w:color="auto"/>
              <w:left w:val="nil"/>
              <w:bottom w:val="single" w:sz="2" w:space="0" w:color="auto"/>
              <w:right w:val="nil"/>
            </w:tcBorders>
            <w:hideMark/>
          </w:tcPr>
          <w:p w14:paraId="2086EB7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B7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B7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B7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B7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B7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B7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B80" w14:textId="77777777" w:rsidR="00802D3E" w:rsidRDefault="00802D3E">
            <w:pPr>
              <w:pStyle w:val="MeasureTableTextRightAligned"/>
            </w:pPr>
            <w:r>
              <w:t>2019-20</w:t>
            </w:r>
          </w:p>
        </w:tc>
      </w:tr>
      <w:tr w:rsidR="00802D3E" w14:paraId="2086EB8A" w14:textId="77777777" w:rsidTr="00802D3E">
        <w:trPr>
          <w:cantSplit/>
          <w:jc w:val="center"/>
        </w:trPr>
        <w:tc>
          <w:tcPr>
            <w:tcW w:w="967" w:type="dxa"/>
            <w:tcBorders>
              <w:top w:val="single" w:sz="2" w:space="0" w:color="auto"/>
              <w:left w:val="nil"/>
              <w:bottom w:val="single" w:sz="2" w:space="0" w:color="auto"/>
              <w:right w:val="nil"/>
            </w:tcBorders>
            <w:hideMark/>
          </w:tcPr>
          <w:p w14:paraId="2086EB82" w14:textId="77777777" w:rsidR="00802D3E" w:rsidRDefault="00802D3E">
            <w:pPr>
              <w:pStyle w:val="MeasureTableTextRightAligned"/>
            </w:pPr>
            <w:r>
              <w:t>25</w:t>
            </w:r>
          </w:p>
        </w:tc>
        <w:tc>
          <w:tcPr>
            <w:tcW w:w="967" w:type="dxa"/>
            <w:tcBorders>
              <w:top w:val="single" w:sz="2" w:space="0" w:color="auto"/>
              <w:left w:val="nil"/>
              <w:bottom w:val="single" w:sz="2" w:space="0" w:color="auto"/>
              <w:right w:val="nil"/>
            </w:tcBorders>
            <w:hideMark/>
          </w:tcPr>
          <w:p w14:paraId="2086EB83" w14:textId="77777777" w:rsidR="00802D3E" w:rsidRDefault="00802D3E">
            <w:pPr>
              <w:pStyle w:val="MeasureTableTextRightAligned"/>
            </w:pPr>
            <w:r>
              <w:t>20</w:t>
            </w:r>
          </w:p>
        </w:tc>
        <w:tc>
          <w:tcPr>
            <w:tcW w:w="967" w:type="dxa"/>
            <w:tcBorders>
              <w:top w:val="single" w:sz="2" w:space="0" w:color="auto"/>
              <w:left w:val="nil"/>
              <w:bottom w:val="single" w:sz="2" w:space="0" w:color="auto"/>
              <w:right w:val="nil"/>
            </w:tcBorders>
            <w:vAlign w:val="bottom"/>
            <w:hideMark/>
          </w:tcPr>
          <w:p w14:paraId="2086EB84" w14:textId="77777777" w:rsidR="00802D3E" w:rsidRDefault="00802D3E">
            <w:pPr>
              <w:pStyle w:val="MeasureTableTextRightAligned"/>
            </w:pPr>
            <w:r>
              <w:t>15</w:t>
            </w:r>
          </w:p>
        </w:tc>
        <w:tc>
          <w:tcPr>
            <w:tcW w:w="967" w:type="dxa"/>
            <w:tcBorders>
              <w:top w:val="single" w:sz="2" w:space="0" w:color="auto"/>
              <w:left w:val="nil"/>
              <w:bottom w:val="single" w:sz="2" w:space="0" w:color="auto"/>
              <w:right w:val="nil"/>
            </w:tcBorders>
            <w:vAlign w:val="bottom"/>
            <w:hideMark/>
          </w:tcPr>
          <w:p w14:paraId="2086EB85" w14:textId="77777777" w:rsidR="00802D3E" w:rsidRDefault="00802D3E">
            <w:pPr>
              <w:pStyle w:val="MeasureTableTextRightAligned"/>
            </w:pPr>
            <w:r>
              <w:t>15</w:t>
            </w:r>
          </w:p>
        </w:tc>
        <w:tc>
          <w:tcPr>
            <w:tcW w:w="967" w:type="dxa"/>
            <w:tcBorders>
              <w:top w:val="single" w:sz="2" w:space="0" w:color="auto"/>
              <w:left w:val="nil"/>
              <w:bottom w:val="single" w:sz="2" w:space="0" w:color="auto"/>
              <w:right w:val="nil"/>
            </w:tcBorders>
            <w:vAlign w:val="bottom"/>
            <w:hideMark/>
          </w:tcPr>
          <w:p w14:paraId="2086EB86" w14:textId="77777777" w:rsidR="00802D3E" w:rsidRDefault="00802D3E">
            <w:pPr>
              <w:pStyle w:val="MeasureTableTextRightAligned"/>
            </w:pPr>
            <w:r>
              <w:t>15</w:t>
            </w:r>
          </w:p>
        </w:tc>
        <w:tc>
          <w:tcPr>
            <w:tcW w:w="967" w:type="dxa"/>
            <w:gridSpan w:val="2"/>
            <w:tcBorders>
              <w:top w:val="single" w:sz="2" w:space="0" w:color="auto"/>
              <w:left w:val="nil"/>
              <w:bottom w:val="single" w:sz="2" w:space="0" w:color="auto"/>
              <w:right w:val="nil"/>
            </w:tcBorders>
            <w:vAlign w:val="bottom"/>
            <w:hideMark/>
          </w:tcPr>
          <w:p w14:paraId="2086EB87" w14:textId="77777777" w:rsidR="00802D3E" w:rsidRDefault="00802D3E">
            <w:pPr>
              <w:pStyle w:val="MeasureTableTextRightAligned"/>
            </w:pPr>
            <w:r>
              <w:t>15</w:t>
            </w:r>
          </w:p>
        </w:tc>
        <w:tc>
          <w:tcPr>
            <w:tcW w:w="967" w:type="dxa"/>
            <w:gridSpan w:val="2"/>
            <w:tcBorders>
              <w:top w:val="single" w:sz="2" w:space="0" w:color="auto"/>
              <w:left w:val="nil"/>
              <w:bottom w:val="single" w:sz="2" w:space="0" w:color="auto"/>
              <w:right w:val="nil"/>
            </w:tcBorders>
            <w:vAlign w:val="bottom"/>
            <w:hideMark/>
          </w:tcPr>
          <w:p w14:paraId="2086EB88" w14:textId="77777777" w:rsidR="00802D3E" w:rsidRDefault="00802D3E">
            <w:pPr>
              <w:pStyle w:val="MeasureTableTextRightAligned"/>
            </w:pPr>
            <w:r>
              <w:t>15</w:t>
            </w:r>
          </w:p>
        </w:tc>
        <w:tc>
          <w:tcPr>
            <w:tcW w:w="968" w:type="dxa"/>
            <w:tcBorders>
              <w:top w:val="single" w:sz="2" w:space="0" w:color="auto"/>
              <w:left w:val="nil"/>
              <w:bottom w:val="single" w:sz="2" w:space="0" w:color="auto"/>
              <w:right w:val="nil"/>
            </w:tcBorders>
            <w:vAlign w:val="bottom"/>
            <w:hideMark/>
          </w:tcPr>
          <w:p w14:paraId="2086EB89" w14:textId="77777777" w:rsidR="00802D3E" w:rsidRDefault="00802D3E">
            <w:pPr>
              <w:pStyle w:val="MeasureTableTextRightAligned"/>
            </w:pPr>
            <w:r>
              <w:t>15</w:t>
            </w:r>
          </w:p>
        </w:tc>
      </w:tr>
      <w:tr w:rsidR="00802D3E" w14:paraId="2086EB8F" w14:textId="77777777" w:rsidTr="00802D3E">
        <w:trPr>
          <w:cantSplit/>
          <w:jc w:val="center"/>
        </w:trPr>
        <w:tc>
          <w:tcPr>
            <w:tcW w:w="1934" w:type="dxa"/>
            <w:gridSpan w:val="2"/>
            <w:tcBorders>
              <w:top w:val="single" w:sz="2" w:space="0" w:color="auto"/>
              <w:left w:val="nil"/>
              <w:bottom w:val="nil"/>
              <w:right w:val="nil"/>
            </w:tcBorders>
            <w:hideMark/>
          </w:tcPr>
          <w:p w14:paraId="2086EB8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B8C"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B8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B8E" w14:textId="77777777" w:rsidR="00802D3E" w:rsidRDefault="00802D3E">
            <w:pPr>
              <w:pStyle w:val="MeasureTableTextLeftAligned"/>
            </w:pPr>
            <w:r>
              <w:t>A42</w:t>
            </w:r>
          </w:p>
        </w:tc>
      </w:tr>
      <w:tr w:rsidR="00802D3E" w14:paraId="2086EB94" w14:textId="77777777" w:rsidTr="00802D3E">
        <w:trPr>
          <w:cantSplit/>
          <w:jc w:val="center"/>
        </w:trPr>
        <w:tc>
          <w:tcPr>
            <w:tcW w:w="1934" w:type="dxa"/>
            <w:gridSpan w:val="2"/>
            <w:tcBorders>
              <w:top w:val="nil"/>
              <w:left w:val="nil"/>
              <w:bottom w:val="nil"/>
              <w:right w:val="nil"/>
            </w:tcBorders>
            <w:hideMark/>
          </w:tcPr>
          <w:p w14:paraId="2086EB9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B91"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B92" w14:textId="77777777" w:rsidR="00802D3E" w:rsidRDefault="00802D3E">
            <w:pPr>
              <w:pStyle w:val="MeasureTableTextItalic"/>
            </w:pPr>
          </w:p>
        </w:tc>
        <w:tc>
          <w:tcPr>
            <w:tcW w:w="1124" w:type="dxa"/>
            <w:gridSpan w:val="2"/>
            <w:tcBorders>
              <w:top w:val="nil"/>
              <w:left w:val="nil"/>
              <w:bottom w:val="nil"/>
              <w:right w:val="nil"/>
            </w:tcBorders>
          </w:tcPr>
          <w:p w14:paraId="2086EB93" w14:textId="77777777" w:rsidR="00802D3E" w:rsidRDefault="00802D3E">
            <w:pPr>
              <w:pStyle w:val="MeasureTableTextLeftAligned"/>
            </w:pPr>
          </w:p>
        </w:tc>
      </w:tr>
      <w:tr w:rsidR="00802D3E" w14:paraId="2086EB99" w14:textId="77777777" w:rsidTr="00802D3E">
        <w:trPr>
          <w:cantSplit/>
          <w:jc w:val="center"/>
        </w:trPr>
        <w:tc>
          <w:tcPr>
            <w:tcW w:w="1934" w:type="dxa"/>
            <w:gridSpan w:val="2"/>
            <w:tcBorders>
              <w:top w:val="nil"/>
              <w:left w:val="nil"/>
              <w:bottom w:val="nil"/>
              <w:right w:val="nil"/>
            </w:tcBorders>
            <w:hideMark/>
          </w:tcPr>
          <w:p w14:paraId="2086EB9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B96" w14:textId="77777777" w:rsidR="00802D3E" w:rsidRDefault="00802D3E">
            <w:pPr>
              <w:pStyle w:val="MeasureTableTextLeftAligned"/>
            </w:pPr>
            <w:r>
              <w:t>1 January 2000</w:t>
            </w:r>
          </w:p>
        </w:tc>
        <w:tc>
          <w:tcPr>
            <w:tcW w:w="1500" w:type="dxa"/>
            <w:gridSpan w:val="2"/>
            <w:tcBorders>
              <w:top w:val="nil"/>
              <w:left w:val="nil"/>
              <w:bottom w:val="nil"/>
              <w:right w:val="nil"/>
            </w:tcBorders>
            <w:hideMark/>
          </w:tcPr>
          <w:p w14:paraId="2086EB97"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B98" w14:textId="77777777" w:rsidR="00802D3E" w:rsidRDefault="00802D3E">
            <w:pPr>
              <w:pStyle w:val="MeasureTableTextLeftAligned"/>
            </w:pPr>
          </w:p>
        </w:tc>
      </w:tr>
      <w:tr w:rsidR="00802D3E" w14:paraId="2086EB9C" w14:textId="77777777" w:rsidTr="00802D3E">
        <w:trPr>
          <w:cantSplit/>
          <w:jc w:val="center"/>
        </w:trPr>
        <w:tc>
          <w:tcPr>
            <w:tcW w:w="1934" w:type="dxa"/>
            <w:gridSpan w:val="2"/>
            <w:tcBorders>
              <w:top w:val="nil"/>
              <w:left w:val="nil"/>
              <w:bottom w:val="single" w:sz="2" w:space="0" w:color="auto"/>
              <w:right w:val="nil"/>
            </w:tcBorders>
            <w:hideMark/>
          </w:tcPr>
          <w:p w14:paraId="2086EB9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B9B"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Subsection 35-10(4) of the </w:t>
            </w:r>
            <w:r w:rsidRPr="00231210">
              <w:rPr>
                <w:rFonts w:ascii="Arial" w:hAnsi="Arial" w:cs="Arial"/>
                <w:i/>
                <w:iCs/>
                <w:color w:val="000000"/>
                <w:sz w:val="16"/>
                <w:szCs w:val="16"/>
              </w:rPr>
              <w:t>Income Tax Assessment Act 1997</w:t>
            </w:r>
          </w:p>
        </w:tc>
      </w:tr>
    </w:tbl>
    <w:p w14:paraId="2086EB9D" w14:textId="77777777" w:rsidR="00802D3E" w:rsidRDefault="00802D3E" w:rsidP="0098392C">
      <w:pPr>
        <w:pStyle w:val="SingleParagraph"/>
      </w:pPr>
    </w:p>
    <w:p w14:paraId="2086EB9E" w14:textId="77777777" w:rsidR="00802D3E" w:rsidRDefault="00802D3E" w:rsidP="00802D3E">
      <w:r>
        <w:rPr>
          <w:snapToGrid w:val="0"/>
        </w:rPr>
        <w:t>The non</w:t>
      </w:r>
      <w:r>
        <w:rPr>
          <w:snapToGrid w:val="0"/>
        </w:rPr>
        <w:noBreakHyphen/>
        <w:t>commercial losses</w:t>
      </w:r>
      <w:r>
        <w:rPr>
          <w:snapToGrid w:val="0"/>
        </w:rPr>
        <w:fldChar w:fldCharType="begin"/>
      </w:r>
      <w:r>
        <w:instrText xml:space="preserve"> XE "</w:instrText>
      </w:r>
      <w:r>
        <w:rPr>
          <w:snapToGrid w:val="0"/>
        </w:rPr>
        <w:instrText>Non</w:instrText>
      </w:r>
      <w:r>
        <w:rPr>
          <w:snapToGrid w:val="0"/>
        </w:rPr>
        <w:noBreakHyphen/>
        <w:instrText>commercial losses</w:instrText>
      </w:r>
      <w:r>
        <w:instrText xml:space="preserve">" </w:instrText>
      </w:r>
      <w:r>
        <w:rPr>
          <w:snapToGrid w:val="0"/>
        </w:rPr>
        <w:fldChar w:fldCharType="end"/>
      </w:r>
      <w:r>
        <w:rPr>
          <w:snapToGrid w:val="0"/>
        </w:rPr>
        <w:t xml:space="preserve"> rules prevent </w:t>
      </w:r>
      <w:r>
        <w:t>individuals carrying on unprofitable business activities claiming deductions for losses arising from such activities against their other income. Where a business’ activity is objectively determined to be commercial in nature, the Commissioner of Taxation allows the taxpayer to apply those losses against their other income.</w:t>
      </w:r>
    </w:p>
    <w:p w14:paraId="2086EB9F" w14:textId="77777777" w:rsidR="00802D3E" w:rsidRDefault="00802D3E" w:rsidP="00802D3E">
      <w:pPr>
        <w:rPr>
          <w:lang w:val="en-US"/>
        </w:rPr>
      </w:pPr>
      <w:r>
        <w:t>Individuals that carry on a primary production</w:t>
      </w:r>
      <w:r>
        <w:fldChar w:fldCharType="begin"/>
      </w:r>
      <w:r>
        <w:instrText xml:space="preserve"> XE "Primary producers" </w:instrText>
      </w:r>
      <w:r>
        <w:fldChar w:fldCharType="end"/>
      </w:r>
      <w:r>
        <w:t xml:space="preserve"> or professional arts</w:t>
      </w:r>
      <w:r>
        <w:fldChar w:fldCharType="begin"/>
      </w:r>
      <w:r>
        <w:instrText xml:space="preserve"> XE "Artists" </w:instrText>
      </w:r>
      <w:r>
        <w:fldChar w:fldCharType="end"/>
      </w:r>
      <w:r>
        <w:t xml:space="preserve"> business, who have income from other sources of less than $40,000 (except net capital gains), are exempt from the non</w:t>
      </w:r>
      <w:r>
        <w:noBreakHyphen/>
        <w:t>commercial losses provisions.</w:t>
      </w:r>
    </w:p>
    <w:p w14:paraId="2086EBA0" w14:textId="77777777" w:rsidR="00802D3E" w:rsidRDefault="00802D3E" w:rsidP="00802D3E">
      <w:r>
        <w:t xml:space="preserve">A proportion of individuals carrying on primary production or professional arts businesses that access this exemption and apply losses from their business activity against their other income will nonetheless be carrying on an uncommercial business activity. </w:t>
      </w:r>
    </w:p>
    <w:p w14:paraId="2086EBA1" w14:textId="77777777" w:rsidR="00802D3E" w:rsidRDefault="00802D3E" w:rsidP="00802D3E">
      <w:pPr>
        <w:pStyle w:val="TESHeading5"/>
        <w:ind w:left="0" w:firstLine="0"/>
      </w:pPr>
      <w:r>
        <w:t>A48</w:t>
      </w:r>
      <w:r>
        <w:tab/>
        <w:t>Tax concessions for employee share schemes income</w:t>
      </w:r>
    </w:p>
    <w:p w14:paraId="2086EBA2" w14:textId="77777777" w:rsidR="00802D3E" w:rsidRDefault="00802D3E" w:rsidP="00802D3E">
      <w:pPr>
        <w:pStyle w:val="MeasureTableHeading"/>
      </w:pPr>
      <w:r>
        <w:t xml:space="preserve">Other economic affairs </w:t>
      </w:r>
      <w:r w:rsidR="00C853A0">
        <w:t>–</w:t>
      </w:r>
      <w:r>
        <w:t xml:space="preserve"> Total</w:t>
      </w:r>
      <w:r w:rsidR="00C853A0">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BAB" w14:textId="77777777" w:rsidTr="00802D3E">
        <w:trPr>
          <w:cantSplit/>
          <w:jc w:val="center"/>
        </w:trPr>
        <w:tc>
          <w:tcPr>
            <w:tcW w:w="967" w:type="dxa"/>
            <w:tcBorders>
              <w:top w:val="single" w:sz="2" w:space="0" w:color="auto"/>
              <w:left w:val="nil"/>
              <w:bottom w:val="single" w:sz="2" w:space="0" w:color="auto"/>
              <w:right w:val="nil"/>
            </w:tcBorders>
            <w:hideMark/>
          </w:tcPr>
          <w:p w14:paraId="2086EBA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BA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BA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BA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BA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BA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BA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BAA" w14:textId="77777777" w:rsidR="00802D3E" w:rsidRDefault="00802D3E">
            <w:pPr>
              <w:pStyle w:val="MeasureTableTextRightAligned"/>
            </w:pPr>
            <w:r>
              <w:t>2019-20</w:t>
            </w:r>
          </w:p>
        </w:tc>
      </w:tr>
      <w:tr w:rsidR="00802D3E" w14:paraId="2086EBB4" w14:textId="77777777" w:rsidTr="00802D3E">
        <w:trPr>
          <w:cantSplit/>
          <w:jc w:val="center"/>
        </w:trPr>
        <w:tc>
          <w:tcPr>
            <w:tcW w:w="967" w:type="dxa"/>
            <w:tcBorders>
              <w:top w:val="single" w:sz="2" w:space="0" w:color="auto"/>
              <w:left w:val="nil"/>
              <w:bottom w:val="single" w:sz="2" w:space="0" w:color="auto"/>
              <w:right w:val="nil"/>
            </w:tcBorders>
            <w:hideMark/>
          </w:tcPr>
          <w:p w14:paraId="2086EBA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BA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A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A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B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BB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BB2"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BB3" w14:textId="77777777" w:rsidR="00802D3E" w:rsidRDefault="00802D3E">
            <w:pPr>
              <w:pStyle w:val="MeasureTableTextRightAligned"/>
            </w:pPr>
            <w:r>
              <w:t>*</w:t>
            </w:r>
          </w:p>
        </w:tc>
      </w:tr>
      <w:tr w:rsidR="00802D3E" w14:paraId="2086EBB9" w14:textId="77777777" w:rsidTr="00802D3E">
        <w:trPr>
          <w:cantSplit/>
          <w:jc w:val="center"/>
        </w:trPr>
        <w:tc>
          <w:tcPr>
            <w:tcW w:w="1934" w:type="dxa"/>
            <w:gridSpan w:val="2"/>
            <w:tcBorders>
              <w:top w:val="single" w:sz="2" w:space="0" w:color="auto"/>
              <w:left w:val="nil"/>
              <w:bottom w:val="nil"/>
              <w:right w:val="nil"/>
            </w:tcBorders>
            <w:hideMark/>
          </w:tcPr>
          <w:p w14:paraId="2086EBB5"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BB6" w14:textId="77777777" w:rsidR="00802D3E" w:rsidRDefault="00802D3E">
            <w:pPr>
              <w:pStyle w:val="MeasureTableTextLeftAligned"/>
            </w:pPr>
            <w:r>
              <w:t>Exemption, Deferral</w:t>
            </w:r>
          </w:p>
        </w:tc>
        <w:tc>
          <w:tcPr>
            <w:tcW w:w="1500" w:type="dxa"/>
            <w:gridSpan w:val="2"/>
            <w:tcBorders>
              <w:top w:val="single" w:sz="2" w:space="0" w:color="auto"/>
              <w:left w:val="nil"/>
              <w:bottom w:val="nil"/>
              <w:right w:val="nil"/>
            </w:tcBorders>
            <w:hideMark/>
          </w:tcPr>
          <w:p w14:paraId="2086EBB7"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BB8" w14:textId="77777777" w:rsidR="00802D3E" w:rsidRDefault="00802D3E">
            <w:pPr>
              <w:pStyle w:val="MeasureTableTextLeftAligned"/>
            </w:pPr>
            <w:r>
              <w:t>A43</w:t>
            </w:r>
          </w:p>
        </w:tc>
      </w:tr>
      <w:tr w:rsidR="00802D3E" w14:paraId="2086EBBE" w14:textId="77777777" w:rsidTr="00802D3E">
        <w:trPr>
          <w:cantSplit/>
          <w:jc w:val="center"/>
        </w:trPr>
        <w:tc>
          <w:tcPr>
            <w:tcW w:w="1934" w:type="dxa"/>
            <w:gridSpan w:val="2"/>
            <w:tcBorders>
              <w:top w:val="nil"/>
              <w:left w:val="nil"/>
              <w:bottom w:val="nil"/>
              <w:right w:val="nil"/>
            </w:tcBorders>
            <w:hideMark/>
          </w:tcPr>
          <w:p w14:paraId="2086EBBA"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BBB"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BBC"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BBD" w14:textId="77777777" w:rsidR="00802D3E" w:rsidRDefault="00802D3E">
            <w:pPr>
              <w:pStyle w:val="MeasureTableTextLeftAligned"/>
            </w:pPr>
            <w:r>
              <w:t>3+</w:t>
            </w:r>
          </w:p>
        </w:tc>
      </w:tr>
      <w:tr w:rsidR="00802D3E" w14:paraId="2086EBC3" w14:textId="77777777" w:rsidTr="00802D3E">
        <w:trPr>
          <w:cantSplit/>
          <w:jc w:val="center"/>
        </w:trPr>
        <w:tc>
          <w:tcPr>
            <w:tcW w:w="1934" w:type="dxa"/>
            <w:gridSpan w:val="2"/>
            <w:tcBorders>
              <w:top w:val="nil"/>
              <w:left w:val="nil"/>
              <w:bottom w:val="nil"/>
              <w:right w:val="nil"/>
            </w:tcBorders>
            <w:hideMark/>
          </w:tcPr>
          <w:p w14:paraId="2086EBBF"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BC0" w14:textId="77777777" w:rsidR="00802D3E" w:rsidRDefault="00802D3E">
            <w:pPr>
              <w:pStyle w:val="MeasureTableTextLeftAligned"/>
            </w:pPr>
            <w:r>
              <w:t>1995</w:t>
            </w:r>
          </w:p>
        </w:tc>
        <w:tc>
          <w:tcPr>
            <w:tcW w:w="1500" w:type="dxa"/>
            <w:gridSpan w:val="2"/>
            <w:tcBorders>
              <w:top w:val="nil"/>
              <w:left w:val="nil"/>
              <w:bottom w:val="nil"/>
              <w:right w:val="nil"/>
            </w:tcBorders>
            <w:hideMark/>
          </w:tcPr>
          <w:p w14:paraId="2086EBC1"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BC2" w14:textId="77777777" w:rsidR="00802D3E" w:rsidRDefault="00802D3E">
            <w:pPr>
              <w:pStyle w:val="MeasureTableTextLeftAligned"/>
            </w:pPr>
          </w:p>
        </w:tc>
      </w:tr>
      <w:tr w:rsidR="00802D3E" w14:paraId="2086EBC6" w14:textId="77777777" w:rsidTr="00802D3E">
        <w:trPr>
          <w:cantSplit/>
          <w:jc w:val="center"/>
        </w:trPr>
        <w:tc>
          <w:tcPr>
            <w:tcW w:w="1934" w:type="dxa"/>
            <w:gridSpan w:val="2"/>
            <w:tcBorders>
              <w:top w:val="nil"/>
              <w:left w:val="nil"/>
              <w:bottom w:val="single" w:sz="2" w:space="0" w:color="auto"/>
              <w:right w:val="nil"/>
            </w:tcBorders>
            <w:hideMark/>
          </w:tcPr>
          <w:p w14:paraId="2086EBC4"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BC5" w14:textId="77777777" w:rsidR="00802D3E" w:rsidRDefault="00802D3E" w:rsidP="00231210">
            <w:pPr>
              <w:widowControl w:val="0"/>
              <w:autoSpaceDE w:val="0"/>
              <w:autoSpaceDN w:val="0"/>
              <w:adjustRightInd w:val="0"/>
              <w:spacing w:after="0" w:line="240" w:lineRule="auto"/>
              <w:jc w:val="left"/>
            </w:pPr>
            <w:r>
              <w:rPr>
                <w:rFonts w:ascii="Arial" w:hAnsi="Arial" w:cs="Arial"/>
                <w:color w:val="000000"/>
                <w:sz w:val="16"/>
                <w:szCs w:val="16"/>
              </w:rPr>
              <w:t xml:space="preserve">Division 83A of the </w:t>
            </w:r>
            <w:r>
              <w:rPr>
                <w:rFonts w:ascii="Arial" w:hAnsi="Arial" w:cs="Arial"/>
                <w:i/>
                <w:iCs/>
                <w:color w:val="000000"/>
                <w:sz w:val="16"/>
                <w:szCs w:val="16"/>
              </w:rPr>
              <w:t>Income Tax Assessment Act</w:t>
            </w:r>
            <w:r>
              <w:rPr>
                <w:rFonts w:ascii="Arial" w:hAnsi="Arial" w:cs="Arial"/>
                <w:i/>
                <w:iCs/>
                <w:caps/>
                <w:color w:val="000000"/>
                <w:sz w:val="16"/>
                <w:szCs w:val="16"/>
              </w:rPr>
              <w:t xml:space="preserve"> 1997</w:t>
            </w:r>
          </w:p>
        </w:tc>
      </w:tr>
    </w:tbl>
    <w:p w14:paraId="2086EBC7" w14:textId="77777777" w:rsidR="00802D3E" w:rsidRDefault="00802D3E" w:rsidP="0098392C">
      <w:pPr>
        <w:pStyle w:val="SingleParagraph"/>
      </w:pPr>
    </w:p>
    <w:p w14:paraId="2086EBC8" w14:textId="36ED2708" w:rsidR="00802D3E" w:rsidRDefault="00802D3E" w:rsidP="00802D3E">
      <w:r>
        <w:t>Discounts on shares and rights acquired under an employee share scheme</w:t>
      </w:r>
      <w:r>
        <w:fldChar w:fldCharType="begin"/>
      </w:r>
      <w:r>
        <w:instrText xml:space="preserve"> XE "Employee share scheme" </w:instrText>
      </w:r>
      <w:r>
        <w:fldChar w:fldCharType="end"/>
      </w:r>
      <w:r>
        <w:t xml:space="preserve"> are generally included in a taxpayer’s assessable income in the year the shares or rights are acquired. However, there are a range of concessions available. An upfront tax exemption of $1,000 for eligible schemes is available to taxpayers earning less than $180,000 and a deferral of tax</w:t>
      </w:r>
      <w:r w:rsidR="000B1D9D">
        <w:t xml:space="preserve"> is available where there is a ‘</w:t>
      </w:r>
      <w:r>
        <w:t>real risk of forfeiture</w:t>
      </w:r>
      <w:r w:rsidR="000B1D9D">
        <w:t>’</w:t>
      </w:r>
      <w:r>
        <w:t>.</w:t>
      </w:r>
    </w:p>
    <w:p w14:paraId="2086EBC9" w14:textId="77777777" w:rsidR="00802D3E" w:rsidRDefault="00802D3E" w:rsidP="00802D3E">
      <w:r>
        <w:t xml:space="preserve">On 1 July 2015, additional tax concessions for employee share schemes took effect. The taxing point for rights now generally occurs when the rights are exercised (converted to shares). There is also a tax deferral (for rights) or exemption (for shares) on the discount component of employee share schemes provided at a small discount to employees of eligible start-up companies. </w:t>
      </w:r>
    </w:p>
    <w:p w14:paraId="2086EBCA" w14:textId="77777777" w:rsidR="00802D3E" w:rsidRDefault="00802D3E" w:rsidP="00802D3E">
      <w:pPr>
        <w:pStyle w:val="TESHeading5"/>
        <w:ind w:left="0" w:firstLine="0"/>
      </w:pPr>
      <w:r>
        <w:lastRenderedPageBreak/>
        <w:t>A49</w:t>
      </w:r>
      <w:r>
        <w:tab/>
        <w:t>Tax deferral advantage arising from personal after-tax contributions to a pension or annuity</w:t>
      </w:r>
    </w:p>
    <w:p w14:paraId="2086EBCB" w14:textId="77777777" w:rsidR="00802D3E" w:rsidRDefault="00802D3E" w:rsidP="00802D3E">
      <w:pPr>
        <w:pStyle w:val="MeasureTableHeading"/>
      </w:pPr>
      <w:r>
        <w:t xml:space="preserve">Other economic affairs </w:t>
      </w:r>
      <w:r w:rsidR="00663962">
        <w:t>–</w:t>
      </w:r>
      <w:r>
        <w:t xml:space="preserve"> Total</w:t>
      </w:r>
      <w:r w:rsidR="00663962">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BD4" w14:textId="77777777" w:rsidTr="00802D3E">
        <w:trPr>
          <w:cantSplit/>
          <w:jc w:val="center"/>
        </w:trPr>
        <w:tc>
          <w:tcPr>
            <w:tcW w:w="967" w:type="dxa"/>
            <w:tcBorders>
              <w:top w:val="single" w:sz="2" w:space="0" w:color="auto"/>
              <w:left w:val="nil"/>
              <w:bottom w:val="single" w:sz="2" w:space="0" w:color="auto"/>
              <w:right w:val="nil"/>
            </w:tcBorders>
            <w:hideMark/>
          </w:tcPr>
          <w:p w14:paraId="2086EBC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BC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BC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BC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BD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BD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BD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BD3" w14:textId="77777777" w:rsidR="00802D3E" w:rsidRDefault="00802D3E">
            <w:pPr>
              <w:pStyle w:val="MeasureTableTextRightAligned"/>
            </w:pPr>
            <w:r>
              <w:t>2019-20</w:t>
            </w:r>
          </w:p>
        </w:tc>
      </w:tr>
      <w:tr w:rsidR="00802D3E" w14:paraId="2086EBDD" w14:textId="77777777" w:rsidTr="00802D3E">
        <w:trPr>
          <w:cantSplit/>
          <w:jc w:val="center"/>
        </w:trPr>
        <w:tc>
          <w:tcPr>
            <w:tcW w:w="967" w:type="dxa"/>
            <w:tcBorders>
              <w:top w:val="single" w:sz="2" w:space="0" w:color="auto"/>
              <w:left w:val="nil"/>
              <w:bottom w:val="single" w:sz="2" w:space="0" w:color="auto"/>
              <w:right w:val="nil"/>
            </w:tcBorders>
            <w:hideMark/>
          </w:tcPr>
          <w:p w14:paraId="2086EBD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BD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D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D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D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BD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BD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BDC" w14:textId="77777777" w:rsidR="00802D3E" w:rsidRDefault="00802D3E">
            <w:pPr>
              <w:pStyle w:val="MeasureTableTextRightAligned"/>
            </w:pPr>
            <w:r>
              <w:t>*</w:t>
            </w:r>
          </w:p>
        </w:tc>
      </w:tr>
      <w:tr w:rsidR="00802D3E" w14:paraId="2086EBE2" w14:textId="77777777" w:rsidTr="00802D3E">
        <w:trPr>
          <w:cantSplit/>
          <w:jc w:val="center"/>
        </w:trPr>
        <w:tc>
          <w:tcPr>
            <w:tcW w:w="1934" w:type="dxa"/>
            <w:gridSpan w:val="2"/>
            <w:tcBorders>
              <w:top w:val="single" w:sz="2" w:space="0" w:color="auto"/>
              <w:left w:val="nil"/>
              <w:bottom w:val="nil"/>
              <w:right w:val="nil"/>
            </w:tcBorders>
            <w:hideMark/>
          </w:tcPr>
          <w:p w14:paraId="2086EBD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BDF"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6EBE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BE1" w14:textId="77777777" w:rsidR="00802D3E" w:rsidRDefault="00802D3E">
            <w:pPr>
              <w:pStyle w:val="MeasureTableTextLeftAligned"/>
            </w:pPr>
            <w:r>
              <w:t>A44</w:t>
            </w:r>
          </w:p>
        </w:tc>
      </w:tr>
      <w:tr w:rsidR="00802D3E" w14:paraId="2086EBE7" w14:textId="77777777" w:rsidTr="00802D3E">
        <w:trPr>
          <w:cantSplit/>
          <w:jc w:val="center"/>
        </w:trPr>
        <w:tc>
          <w:tcPr>
            <w:tcW w:w="1934" w:type="dxa"/>
            <w:gridSpan w:val="2"/>
            <w:tcBorders>
              <w:top w:val="nil"/>
              <w:left w:val="nil"/>
              <w:bottom w:val="nil"/>
              <w:right w:val="nil"/>
            </w:tcBorders>
            <w:hideMark/>
          </w:tcPr>
          <w:p w14:paraId="2086EBE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BE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BE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BE6" w14:textId="77777777" w:rsidR="00802D3E" w:rsidRDefault="00802D3E">
            <w:pPr>
              <w:pStyle w:val="MeasureTableTextLeftAligned"/>
            </w:pPr>
            <w:r>
              <w:t>2+</w:t>
            </w:r>
          </w:p>
        </w:tc>
      </w:tr>
      <w:tr w:rsidR="00802D3E" w14:paraId="2086EBEC" w14:textId="77777777" w:rsidTr="00802D3E">
        <w:trPr>
          <w:cantSplit/>
          <w:jc w:val="center"/>
        </w:trPr>
        <w:tc>
          <w:tcPr>
            <w:tcW w:w="1934" w:type="dxa"/>
            <w:gridSpan w:val="2"/>
            <w:tcBorders>
              <w:top w:val="nil"/>
              <w:left w:val="nil"/>
              <w:bottom w:val="nil"/>
              <w:right w:val="nil"/>
            </w:tcBorders>
            <w:hideMark/>
          </w:tcPr>
          <w:p w14:paraId="2086EBE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BE9"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BE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BEB" w14:textId="77777777" w:rsidR="00802D3E" w:rsidRDefault="00802D3E">
            <w:pPr>
              <w:pStyle w:val="MeasureTableTextLeftAligned"/>
            </w:pPr>
          </w:p>
        </w:tc>
      </w:tr>
      <w:tr w:rsidR="00802D3E" w14:paraId="2086EBEF" w14:textId="77777777" w:rsidTr="00802D3E">
        <w:trPr>
          <w:cantSplit/>
          <w:jc w:val="center"/>
        </w:trPr>
        <w:tc>
          <w:tcPr>
            <w:tcW w:w="1934" w:type="dxa"/>
            <w:gridSpan w:val="2"/>
            <w:tcBorders>
              <w:top w:val="nil"/>
              <w:left w:val="nil"/>
              <w:bottom w:val="single" w:sz="2" w:space="0" w:color="auto"/>
              <w:right w:val="nil"/>
            </w:tcBorders>
            <w:hideMark/>
          </w:tcPr>
          <w:p w14:paraId="2086EBE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BEE"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Section 27H of the </w:t>
            </w:r>
            <w:r w:rsidRPr="00231210">
              <w:rPr>
                <w:rFonts w:ascii="Arial" w:hAnsi="Arial" w:cs="Arial"/>
                <w:i/>
                <w:iCs/>
                <w:color w:val="000000"/>
                <w:sz w:val="16"/>
                <w:szCs w:val="16"/>
              </w:rPr>
              <w:t>Income Tax Assessment Act 1936</w:t>
            </w:r>
          </w:p>
        </w:tc>
      </w:tr>
    </w:tbl>
    <w:p w14:paraId="2086EBF0" w14:textId="77777777" w:rsidR="00802D3E" w:rsidRDefault="00802D3E" w:rsidP="0098392C">
      <w:pPr>
        <w:pStyle w:val="SingleParagraph"/>
      </w:pPr>
    </w:p>
    <w:p w14:paraId="2086EBF1" w14:textId="77777777" w:rsidR="00802D3E" w:rsidRDefault="00802D3E" w:rsidP="00802D3E">
      <w:r>
        <w:t>The value of a pension</w:t>
      </w:r>
      <w:r>
        <w:fldChar w:fldCharType="begin"/>
      </w:r>
      <w:r>
        <w:instrText xml:space="preserve"> XE "Pensions" </w:instrText>
      </w:r>
      <w:r>
        <w:fldChar w:fldCharType="end"/>
      </w:r>
      <w:r>
        <w:t xml:space="preserve"> or annuity may consist in part of contributions made from the recipient’s after-tax income. This part of the income stream is not taxed again when it is returned in the form of pension or annuity payments. A tax expenditure arises because this part of the pension or annuity is apportioned evenly over the term of the income stream, providing a tax deferral advantage. </w:t>
      </w:r>
    </w:p>
    <w:p w14:paraId="2086EBF2" w14:textId="77777777" w:rsidR="00802D3E" w:rsidRDefault="00802D3E" w:rsidP="00802D3E">
      <w:pPr>
        <w:pStyle w:val="TESHeading5"/>
        <w:ind w:left="0" w:firstLine="0"/>
      </w:pPr>
      <w:r>
        <w:t>A50</w:t>
      </w:r>
      <w:r>
        <w:tab/>
        <w:t>Union dues and subscriptions to business associations deduction</w:t>
      </w:r>
    </w:p>
    <w:p w14:paraId="2086EBF3" w14:textId="77777777" w:rsidR="00802D3E" w:rsidRDefault="00802D3E" w:rsidP="00802D3E">
      <w:pPr>
        <w:pStyle w:val="MeasureTableHeading"/>
      </w:pPr>
      <w:r>
        <w:t xml:space="preserve">Other economic affairs </w:t>
      </w:r>
      <w:r w:rsidR="00663962">
        <w:t>–</w:t>
      </w:r>
      <w:r>
        <w:t xml:space="preserve"> Total</w:t>
      </w:r>
      <w:r w:rsidR="00663962">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BFC" w14:textId="77777777" w:rsidTr="00802D3E">
        <w:trPr>
          <w:cantSplit/>
          <w:jc w:val="center"/>
        </w:trPr>
        <w:tc>
          <w:tcPr>
            <w:tcW w:w="967" w:type="dxa"/>
            <w:tcBorders>
              <w:top w:val="single" w:sz="2" w:space="0" w:color="auto"/>
              <w:left w:val="nil"/>
              <w:bottom w:val="single" w:sz="2" w:space="0" w:color="auto"/>
              <w:right w:val="nil"/>
            </w:tcBorders>
            <w:hideMark/>
          </w:tcPr>
          <w:p w14:paraId="2086EBF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BF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BF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BF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BF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BF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BF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BFB" w14:textId="77777777" w:rsidR="00802D3E" w:rsidRDefault="00802D3E">
            <w:pPr>
              <w:pStyle w:val="MeasureTableTextRightAligned"/>
            </w:pPr>
            <w:r>
              <w:t>2019-20</w:t>
            </w:r>
          </w:p>
        </w:tc>
      </w:tr>
      <w:tr w:rsidR="00802D3E" w14:paraId="2086EC05" w14:textId="77777777" w:rsidTr="00802D3E">
        <w:trPr>
          <w:cantSplit/>
          <w:jc w:val="center"/>
        </w:trPr>
        <w:tc>
          <w:tcPr>
            <w:tcW w:w="967" w:type="dxa"/>
            <w:tcBorders>
              <w:top w:val="single" w:sz="2" w:space="0" w:color="auto"/>
              <w:left w:val="nil"/>
              <w:bottom w:val="single" w:sz="2" w:space="0" w:color="auto"/>
              <w:right w:val="nil"/>
            </w:tcBorders>
            <w:hideMark/>
          </w:tcPr>
          <w:p w14:paraId="2086EBF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BF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BF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C0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C0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C0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C0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C04" w14:textId="77777777" w:rsidR="00802D3E" w:rsidRDefault="00802D3E">
            <w:pPr>
              <w:pStyle w:val="MeasureTableTextRightAligned"/>
            </w:pPr>
            <w:r>
              <w:t>*</w:t>
            </w:r>
          </w:p>
        </w:tc>
      </w:tr>
      <w:tr w:rsidR="00802D3E" w14:paraId="2086EC0A" w14:textId="77777777" w:rsidTr="00802D3E">
        <w:trPr>
          <w:cantSplit/>
          <w:jc w:val="center"/>
        </w:trPr>
        <w:tc>
          <w:tcPr>
            <w:tcW w:w="1934" w:type="dxa"/>
            <w:gridSpan w:val="2"/>
            <w:tcBorders>
              <w:top w:val="single" w:sz="2" w:space="0" w:color="auto"/>
              <w:left w:val="nil"/>
              <w:bottom w:val="nil"/>
              <w:right w:val="nil"/>
            </w:tcBorders>
            <w:hideMark/>
          </w:tcPr>
          <w:p w14:paraId="2086EC0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C07"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EC0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C09" w14:textId="77777777" w:rsidR="00802D3E" w:rsidRDefault="00802D3E">
            <w:pPr>
              <w:pStyle w:val="MeasureTableTextLeftAligned"/>
            </w:pPr>
            <w:r>
              <w:t>A45</w:t>
            </w:r>
          </w:p>
        </w:tc>
      </w:tr>
      <w:tr w:rsidR="00802D3E" w14:paraId="2086EC0F" w14:textId="77777777" w:rsidTr="00802D3E">
        <w:trPr>
          <w:cantSplit/>
          <w:jc w:val="center"/>
        </w:trPr>
        <w:tc>
          <w:tcPr>
            <w:tcW w:w="1934" w:type="dxa"/>
            <w:gridSpan w:val="2"/>
            <w:tcBorders>
              <w:top w:val="nil"/>
              <w:left w:val="nil"/>
              <w:bottom w:val="nil"/>
              <w:right w:val="nil"/>
            </w:tcBorders>
            <w:hideMark/>
          </w:tcPr>
          <w:p w14:paraId="2086EC0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C0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C0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C0E" w14:textId="77777777" w:rsidR="00802D3E" w:rsidRDefault="00802D3E">
            <w:pPr>
              <w:pStyle w:val="MeasureTableTextLeftAligned"/>
            </w:pPr>
            <w:r>
              <w:t>1+</w:t>
            </w:r>
          </w:p>
        </w:tc>
      </w:tr>
      <w:tr w:rsidR="00802D3E" w14:paraId="2086EC14" w14:textId="77777777" w:rsidTr="00802D3E">
        <w:trPr>
          <w:cantSplit/>
          <w:jc w:val="center"/>
        </w:trPr>
        <w:tc>
          <w:tcPr>
            <w:tcW w:w="1934" w:type="dxa"/>
            <w:gridSpan w:val="2"/>
            <w:tcBorders>
              <w:top w:val="nil"/>
              <w:left w:val="nil"/>
              <w:bottom w:val="nil"/>
              <w:right w:val="nil"/>
            </w:tcBorders>
            <w:hideMark/>
          </w:tcPr>
          <w:p w14:paraId="2086EC1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C11"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C1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C13" w14:textId="77777777" w:rsidR="00802D3E" w:rsidRDefault="00802D3E">
            <w:pPr>
              <w:pStyle w:val="MeasureTableTextLeftAligned"/>
            </w:pPr>
          </w:p>
        </w:tc>
      </w:tr>
      <w:tr w:rsidR="00802D3E" w14:paraId="2086EC17" w14:textId="77777777" w:rsidTr="00802D3E">
        <w:trPr>
          <w:cantSplit/>
          <w:jc w:val="center"/>
        </w:trPr>
        <w:tc>
          <w:tcPr>
            <w:tcW w:w="1934" w:type="dxa"/>
            <w:gridSpan w:val="2"/>
            <w:tcBorders>
              <w:top w:val="nil"/>
              <w:left w:val="nil"/>
              <w:bottom w:val="single" w:sz="2" w:space="0" w:color="auto"/>
              <w:right w:val="nil"/>
            </w:tcBorders>
            <w:hideMark/>
          </w:tcPr>
          <w:p w14:paraId="2086EC1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C16" w14:textId="77777777" w:rsidR="00802D3E" w:rsidRPr="00231210" w:rsidRDefault="00802D3E">
            <w:pPr>
              <w:widowControl w:val="0"/>
              <w:autoSpaceDE w:val="0"/>
              <w:autoSpaceDN w:val="0"/>
              <w:adjustRightInd w:val="0"/>
              <w:spacing w:after="0" w:line="240" w:lineRule="auto"/>
              <w:rPr>
                <w:rFonts w:ascii="Arial" w:hAnsi="Arial" w:cs="Arial"/>
                <w:sz w:val="16"/>
                <w:szCs w:val="16"/>
              </w:rPr>
            </w:pPr>
            <w:r w:rsidRPr="00231210">
              <w:rPr>
                <w:rFonts w:ascii="Arial" w:hAnsi="Arial" w:cs="Arial"/>
                <w:sz w:val="16"/>
                <w:szCs w:val="16"/>
              </w:rPr>
              <w:t xml:space="preserve">Section 25-55 of the </w:t>
            </w:r>
            <w:r w:rsidRPr="00231210">
              <w:rPr>
                <w:rFonts w:ascii="Arial" w:hAnsi="Arial" w:cs="Arial"/>
                <w:i/>
                <w:iCs/>
                <w:color w:val="000000"/>
                <w:sz w:val="16"/>
                <w:szCs w:val="16"/>
              </w:rPr>
              <w:t>Income Tax Assessment Act 1997</w:t>
            </w:r>
          </w:p>
        </w:tc>
      </w:tr>
    </w:tbl>
    <w:p w14:paraId="2086EC18" w14:textId="77777777" w:rsidR="00802D3E" w:rsidRDefault="00802D3E" w:rsidP="0098392C">
      <w:pPr>
        <w:pStyle w:val="SingleParagraph"/>
      </w:pPr>
    </w:p>
    <w:p w14:paraId="2086EC19" w14:textId="77777777" w:rsidR="00802D3E" w:rsidRDefault="00802D3E" w:rsidP="00802D3E">
      <w:r>
        <w:t>Union dues and subscriptions to trade</w:t>
      </w:r>
      <w:r>
        <w:fldChar w:fldCharType="begin"/>
      </w:r>
      <w:r>
        <w:instrText xml:space="preserve"> XE "Trade unions and registered associations" </w:instrText>
      </w:r>
      <w:r>
        <w:fldChar w:fldCharType="end"/>
      </w:r>
      <w:r>
        <w:t>, business</w:t>
      </w:r>
      <w:r>
        <w:fldChar w:fldCharType="begin"/>
      </w:r>
      <w:r>
        <w:instrText xml:space="preserve"> XE "Business associations" </w:instrText>
      </w:r>
      <w:r>
        <w:fldChar w:fldCharType="end"/>
      </w:r>
      <w:r>
        <w:t xml:space="preserve"> or professional associations</w:t>
      </w:r>
      <w:r>
        <w:fldChar w:fldCharType="begin"/>
      </w:r>
      <w:r>
        <w:instrText xml:space="preserve"> XE "Professional associations" </w:instrText>
      </w:r>
      <w:r>
        <w:fldChar w:fldCharType="end"/>
      </w:r>
      <w:r>
        <w:t xml:space="preserve"> are specifically tax deductible up to a maximum amount of $42. This deduction is available in addition to any work related expense deduction. </w:t>
      </w:r>
    </w:p>
    <w:p w14:paraId="2086EC1A" w14:textId="77777777" w:rsidR="00802D3E" w:rsidRDefault="00802D3E" w:rsidP="00802D3E">
      <w:pPr>
        <w:pStyle w:val="TESHeading5"/>
        <w:ind w:left="0" w:firstLine="0"/>
      </w:pPr>
      <w:r>
        <w:t>A51</w:t>
      </w:r>
      <w:r>
        <w:tab/>
        <w:t>Denial of deductions for illegal activities</w:t>
      </w:r>
    </w:p>
    <w:p w14:paraId="2086EC1B"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C24" w14:textId="77777777" w:rsidTr="00802D3E">
        <w:trPr>
          <w:cantSplit/>
          <w:jc w:val="center"/>
        </w:trPr>
        <w:tc>
          <w:tcPr>
            <w:tcW w:w="967" w:type="dxa"/>
            <w:tcBorders>
              <w:top w:val="single" w:sz="2" w:space="0" w:color="auto"/>
              <w:left w:val="nil"/>
              <w:bottom w:val="single" w:sz="2" w:space="0" w:color="auto"/>
              <w:right w:val="nil"/>
            </w:tcBorders>
            <w:hideMark/>
          </w:tcPr>
          <w:p w14:paraId="2086EC1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C1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C1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C1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C2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C2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C2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C23" w14:textId="77777777" w:rsidR="00802D3E" w:rsidRDefault="00802D3E">
            <w:pPr>
              <w:pStyle w:val="MeasureTableTextRightAligned"/>
            </w:pPr>
            <w:r>
              <w:t>2019-20</w:t>
            </w:r>
          </w:p>
        </w:tc>
      </w:tr>
      <w:tr w:rsidR="00802D3E" w14:paraId="2086EC2D" w14:textId="77777777" w:rsidTr="00802D3E">
        <w:trPr>
          <w:cantSplit/>
          <w:jc w:val="center"/>
        </w:trPr>
        <w:tc>
          <w:tcPr>
            <w:tcW w:w="967" w:type="dxa"/>
            <w:tcBorders>
              <w:top w:val="single" w:sz="2" w:space="0" w:color="auto"/>
              <w:left w:val="nil"/>
              <w:bottom w:val="single" w:sz="2" w:space="0" w:color="auto"/>
              <w:right w:val="nil"/>
            </w:tcBorders>
            <w:hideMark/>
          </w:tcPr>
          <w:p w14:paraId="2086EC2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C2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C2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C2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C2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C2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C2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C2C" w14:textId="77777777" w:rsidR="00802D3E" w:rsidRDefault="00802D3E">
            <w:pPr>
              <w:pStyle w:val="MeasureTableTextRightAligned"/>
            </w:pPr>
            <w:r>
              <w:t>*</w:t>
            </w:r>
          </w:p>
        </w:tc>
      </w:tr>
      <w:tr w:rsidR="00802D3E" w14:paraId="2086EC32" w14:textId="77777777" w:rsidTr="00802D3E">
        <w:trPr>
          <w:cantSplit/>
          <w:jc w:val="center"/>
        </w:trPr>
        <w:tc>
          <w:tcPr>
            <w:tcW w:w="1934" w:type="dxa"/>
            <w:gridSpan w:val="2"/>
            <w:tcBorders>
              <w:top w:val="single" w:sz="2" w:space="0" w:color="auto"/>
              <w:left w:val="nil"/>
              <w:bottom w:val="nil"/>
              <w:right w:val="nil"/>
            </w:tcBorders>
            <w:hideMark/>
          </w:tcPr>
          <w:p w14:paraId="2086EC2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C2F"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EC3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C31" w14:textId="77777777" w:rsidR="00802D3E" w:rsidRDefault="00802D3E">
            <w:pPr>
              <w:pStyle w:val="MeasureTableTextLeftAligned"/>
            </w:pPr>
            <w:r>
              <w:t>A46</w:t>
            </w:r>
          </w:p>
        </w:tc>
      </w:tr>
      <w:tr w:rsidR="00802D3E" w14:paraId="2086EC37" w14:textId="77777777" w:rsidTr="00802D3E">
        <w:trPr>
          <w:cantSplit/>
          <w:jc w:val="center"/>
        </w:trPr>
        <w:tc>
          <w:tcPr>
            <w:tcW w:w="1934" w:type="dxa"/>
            <w:gridSpan w:val="2"/>
            <w:tcBorders>
              <w:top w:val="nil"/>
              <w:left w:val="nil"/>
              <w:bottom w:val="nil"/>
              <w:right w:val="nil"/>
            </w:tcBorders>
            <w:hideMark/>
          </w:tcPr>
          <w:p w14:paraId="2086EC3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C3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C3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C36" w14:textId="77777777" w:rsidR="00802D3E" w:rsidRDefault="00802D3E">
            <w:pPr>
              <w:pStyle w:val="MeasureTableTextLeftAligned"/>
            </w:pPr>
            <w:r>
              <w:t>1-</w:t>
            </w:r>
          </w:p>
        </w:tc>
      </w:tr>
      <w:tr w:rsidR="00802D3E" w14:paraId="2086EC3C" w14:textId="77777777" w:rsidTr="00802D3E">
        <w:trPr>
          <w:cantSplit/>
          <w:jc w:val="center"/>
        </w:trPr>
        <w:tc>
          <w:tcPr>
            <w:tcW w:w="1934" w:type="dxa"/>
            <w:gridSpan w:val="2"/>
            <w:tcBorders>
              <w:top w:val="nil"/>
              <w:left w:val="nil"/>
              <w:bottom w:val="nil"/>
              <w:right w:val="nil"/>
            </w:tcBorders>
            <w:hideMark/>
          </w:tcPr>
          <w:p w14:paraId="2086EC3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C39" w14:textId="77777777" w:rsidR="00802D3E" w:rsidRDefault="00802D3E">
            <w:pPr>
              <w:pStyle w:val="MeasureTableTextLeftAligned"/>
            </w:pPr>
            <w:r>
              <w:t>1 July 1999 (bribery), 30 April 2005 (illegal activities)</w:t>
            </w:r>
          </w:p>
        </w:tc>
        <w:tc>
          <w:tcPr>
            <w:tcW w:w="1500" w:type="dxa"/>
            <w:gridSpan w:val="2"/>
            <w:tcBorders>
              <w:top w:val="nil"/>
              <w:left w:val="nil"/>
              <w:bottom w:val="nil"/>
              <w:right w:val="nil"/>
            </w:tcBorders>
            <w:hideMark/>
          </w:tcPr>
          <w:p w14:paraId="2086EC3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C3B" w14:textId="77777777" w:rsidR="00802D3E" w:rsidRDefault="00802D3E">
            <w:pPr>
              <w:pStyle w:val="MeasureTableTextLeftAligned"/>
            </w:pPr>
          </w:p>
        </w:tc>
      </w:tr>
      <w:tr w:rsidR="00802D3E" w14:paraId="2086EC3F" w14:textId="77777777" w:rsidTr="00802D3E">
        <w:trPr>
          <w:cantSplit/>
          <w:jc w:val="center"/>
        </w:trPr>
        <w:tc>
          <w:tcPr>
            <w:tcW w:w="1934" w:type="dxa"/>
            <w:gridSpan w:val="2"/>
            <w:tcBorders>
              <w:top w:val="nil"/>
              <w:left w:val="nil"/>
              <w:bottom w:val="single" w:sz="2" w:space="0" w:color="auto"/>
              <w:right w:val="nil"/>
            </w:tcBorders>
            <w:hideMark/>
          </w:tcPr>
          <w:p w14:paraId="2086EC3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C3E"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Sections 26-52, 26-53 and 26-54 </w:t>
            </w:r>
            <w:r w:rsidRPr="00231210">
              <w:rPr>
                <w:rFonts w:ascii="Arial" w:hAnsi="Arial" w:cs="Arial"/>
                <w:color w:val="000000"/>
                <w:sz w:val="16"/>
                <w:szCs w:val="16"/>
              </w:rPr>
              <w:t xml:space="preserve">of the </w:t>
            </w:r>
            <w:r w:rsidRPr="00231210">
              <w:rPr>
                <w:rFonts w:ascii="Arial" w:hAnsi="Arial" w:cs="Arial"/>
                <w:i/>
                <w:iCs/>
                <w:color w:val="000000"/>
                <w:sz w:val="16"/>
                <w:szCs w:val="16"/>
              </w:rPr>
              <w:t>Income Tax Assessment Act 1997</w:t>
            </w:r>
          </w:p>
        </w:tc>
      </w:tr>
    </w:tbl>
    <w:p w14:paraId="2086EC40" w14:textId="77777777" w:rsidR="00802D3E" w:rsidRDefault="00802D3E" w:rsidP="0098392C">
      <w:pPr>
        <w:pStyle w:val="SingleParagraph"/>
      </w:pPr>
    </w:p>
    <w:p w14:paraId="2086EC41" w14:textId="77777777" w:rsidR="00802D3E" w:rsidRDefault="00802D3E" w:rsidP="00802D3E">
      <w:r>
        <w:t>Deductibility is denied for a loss or outgoing that is a bribe to a public official, including a foreign public official.</w:t>
      </w:r>
    </w:p>
    <w:p w14:paraId="2086EC42" w14:textId="77777777" w:rsidR="00802D3E" w:rsidRDefault="00802D3E" w:rsidP="00802D3E">
      <w:r>
        <w:t>Deductions are also denied for expenditure to the extent it is incurred in the furtherance of, or directly in relation to, activities in respect of which the taxpayer has been convicted of an indictable offence. Indictable offences are those punishable by imprisonment for at least one year.</w:t>
      </w:r>
      <w:r>
        <w:fldChar w:fldCharType="begin"/>
      </w:r>
      <w:r>
        <w:instrText xml:space="preserve"> XE "Illegal activities" </w:instrText>
      </w:r>
      <w:r>
        <w:fldChar w:fldCharType="end"/>
      </w:r>
    </w:p>
    <w:p w14:paraId="2086EC43" w14:textId="77777777" w:rsidR="00802D3E" w:rsidRDefault="00802D3E" w:rsidP="00802D3E">
      <w:pPr>
        <w:pStyle w:val="TESHeading5"/>
        <w:ind w:left="0" w:firstLine="0"/>
      </w:pPr>
      <w:r>
        <w:lastRenderedPageBreak/>
        <w:t>A52</w:t>
      </w:r>
      <w:r>
        <w:tab/>
        <w:t>Increased tax rates for certain minors</w:t>
      </w:r>
    </w:p>
    <w:p w14:paraId="2086EC44"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C4D" w14:textId="77777777" w:rsidTr="00802D3E">
        <w:trPr>
          <w:cantSplit/>
          <w:jc w:val="center"/>
        </w:trPr>
        <w:tc>
          <w:tcPr>
            <w:tcW w:w="967" w:type="dxa"/>
            <w:tcBorders>
              <w:top w:val="single" w:sz="2" w:space="0" w:color="auto"/>
              <w:left w:val="nil"/>
              <w:bottom w:val="single" w:sz="2" w:space="0" w:color="auto"/>
              <w:right w:val="nil"/>
            </w:tcBorders>
            <w:hideMark/>
          </w:tcPr>
          <w:p w14:paraId="2086EC4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C4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C4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C4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C4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C4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C4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C4C" w14:textId="77777777" w:rsidR="00802D3E" w:rsidRDefault="00802D3E">
            <w:pPr>
              <w:pStyle w:val="MeasureTableTextRightAligned"/>
            </w:pPr>
            <w:r>
              <w:t>2019-20</w:t>
            </w:r>
          </w:p>
        </w:tc>
      </w:tr>
      <w:tr w:rsidR="00802D3E" w14:paraId="2086EC56" w14:textId="77777777" w:rsidTr="00802D3E">
        <w:trPr>
          <w:cantSplit/>
          <w:jc w:val="center"/>
        </w:trPr>
        <w:tc>
          <w:tcPr>
            <w:tcW w:w="967" w:type="dxa"/>
            <w:tcBorders>
              <w:top w:val="single" w:sz="2" w:space="0" w:color="auto"/>
              <w:left w:val="nil"/>
              <w:bottom w:val="single" w:sz="2" w:space="0" w:color="auto"/>
              <w:right w:val="nil"/>
            </w:tcBorders>
            <w:hideMark/>
          </w:tcPr>
          <w:p w14:paraId="2086EC4E" w14:textId="77777777" w:rsidR="00802D3E" w:rsidRDefault="00802D3E">
            <w:pPr>
              <w:pStyle w:val="MeasureTableTextRightAligned"/>
            </w:pPr>
            <w:r>
              <w:t>-6</w:t>
            </w:r>
          </w:p>
        </w:tc>
        <w:tc>
          <w:tcPr>
            <w:tcW w:w="967" w:type="dxa"/>
            <w:tcBorders>
              <w:top w:val="single" w:sz="2" w:space="0" w:color="auto"/>
              <w:left w:val="nil"/>
              <w:bottom w:val="single" w:sz="2" w:space="0" w:color="auto"/>
              <w:right w:val="nil"/>
            </w:tcBorders>
            <w:hideMark/>
          </w:tcPr>
          <w:p w14:paraId="2086EC4F"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6EC50"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6EC51"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6EC52" w14:textId="77777777" w:rsidR="00802D3E" w:rsidRDefault="00802D3E">
            <w:pPr>
              <w:pStyle w:val="MeasureTableTextRightAligned"/>
            </w:pPr>
            <w:r>
              <w:t>-5</w:t>
            </w:r>
          </w:p>
        </w:tc>
        <w:tc>
          <w:tcPr>
            <w:tcW w:w="967" w:type="dxa"/>
            <w:gridSpan w:val="2"/>
            <w:tcBorders>
              <w:top w:val="single" w:sz="2" w:space="0" w:color="auto"/>
              <w:left w:val="nil"/>
              <w:bottom w:val="single" w:sz="2" w:space="0" w:color="auto"/>
              <w:right w:val="nil"/>
            </w:tcBorders>
            <w:vAlign w:val="bottom"/>
            <w:hideMark/>
          </w:tcPr>
          <w:p w14:paraId="2086EC53" w14:textId="77777777" w:rsidR="00802D3E" w:rsidRDefault="00802D3E">
            <w:pPr>
              <w:pStyle w:val="MeasureTableTextRightAligned"/>
            </w:pPr>
            <w:r>
              <w:t>-5</w:t>
            </w:r>
          </w:p>
        </w:tc>
        <w:tc>
          <w:tcPr>
            <w:tcW w:w="967" w:type="dxa"/>
            <w:gridSpan w:val="2"/>
            <w:tcBorders>
              <w:top w:val="single" w:sz="2" w:space="0" w:color="auto"/>
              <w:left w:val="nil"/>
              <w:bottom w:val="single" w:sz="2" w:space="0" w:color="auto"/>
              <w:right w:val="nil"/>
            </w:tcBorders>
            <w:vAlign w:val="bottom"/>
            <w:hideMark/>
          </w:tcPr>
          <w:p w14:paraId="2086EC54" w14:textId="77777777" w:rsidR="00802D3E" w:rsidRDefault="00802D3E">
            <w:pPr>
              <w:pStyle w:val="MeasureTableTextRightAligned"/>
            </w:pPr>
            <w:r>
              <w:t>-5</w:t>
            </w:r>
          </w:p>
        </w:tc>
        <w:tc>
          <w:tcPr>
            <w:tcW w:w="968" w:type="dxa"/>
            <w:tcBorders>
              <w:top w:val="single" w:sz="2" w:space="0" w:color="auto"/>
              <w:left w:val="nil"/>
              <w:bottom w:val="single" w:sz="2" w:space="0" w:color="auto"/>
              <w:right w:val="nil"/>
            </w:tcBorders>
            <w:vAlign w:val="bottom"/>
            <w:hideMark/>
          </w:tcPr>
          <w:p w14:paraId="2086EC55" w14:textId="77777777" w:rsidR="00802D3E" w:rsidRDefault="00802D3E">
            <w:pPr>
              <w:pStyle w:val="MeasureTableTextRightAligned"/>
            </w:pPr>
            <w:r>
              <w:t>-5</w:t>
            </w:r>
          </w:p>
        </w:tc>
      </w:tr>
      <w:tr w:rsidR="00802D3E" w14:paraId="2086EC5B" w14:textId="77777777" w:rsidTr="00802D3E">
        <w:trPr>
          <w:cantSplit/>
          <w:jc w:val="center"/>
        </w:trPr>
        <w:tc>
          <w:tcPr>
            <w:tcW w:w="1934" w:type="dxa"/>
            <w:gridSpan w:val="2"/>
            <w:tcBorders>
              <w:top w:val="single" w:sz="2" w:space="0" w:color="auto"/>
              <w:left w:val="nil"/>
              <w:bottom w:val="nil"/>
              <w:right w:val="nil"/>
            </w:tcBorders>
            <w:hideMark/>
          </w:tcPr>
          <w:p w14:paraId="2086EC5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C58" w14:textId="77777777" w:rsidR="00802D3E" w:rsidRDefault="00802D3E">
            <w:pPr>
              <w:pStyle w:val="MeasureTableTextLeftAligned"/>
            </w:pPr>
            <w:r>
              <w:t>Increased rate</w:t>
            </w:r>
          </w:p>
        </w:tc>
        <w:tc>
          <w:tcPr>
            <w:tcW w:w="1500" w:type="dxa"/>
            <w:gridSpan w:val="2"/>
            <w:tcBorders>
              <w:top w:val="single" w:sz="2" w:space="0" w:color="auto"/>
              <w:left w:val="nil"/>
              <w:bottom w:val="nil"/>
              <w:right w:val="nil"/>
            </w:tcBorders>
            <w:hideMark/>
          </w:tcPr>
          <w:p w14:paraId="2086EC5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C5A" w14:textId="77777777" w:rsidR="00802D3E" w:rsidRDefault="00802D3E">
            <w:pPr>
              <w:pStyle w:val="MeasureTableTextLeftAligned"/>
            </w:pPr>
            <w:r>
              <w:t>A47</w:t>
            </w:r>
          </w:p>
        </w:tc>
      </w:tr>
      <w:tr w:rsidR="00802D3E" w14:paraId="2086EC60" w14:textId="77777777" w:rsidTr="00802D3E">
        <w:trPr>
          <w:cantSplit/>
          <w:jc w:val="center"/>
        </w:trPr>
        <w:tc>
          <w:tcPr>
            <w:tcW w:w="1934" w:type="dxa"/>
            <w:gridSpan w:val="2"/>
            <w:tcBorders>
              <w:top w:val="nil"/>
              <w:left w:val="nil"/>
              <w:bottom w:val="nil"/>
              <w:right w:val="nil"/>
            </w:tcBorders>
            <w:hideMark/>
          </w:tcPr>
          <w:p w14:paraId="2086EC5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C5D"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6EC5E" w14:textId="77777777" w:rsidR="00802D3E" w:rsidRDefault="00802D3E">
            <w:pPr>
              <w:pStyle w:val="MeasureTableTextItalic"/>
            </w:pPr>
          </w:p>
        </w:tc>
        <w:tc>
          <w:tcPr>
            <w:tcW w:w="1124" w:type="dxa"/>
            <w:gridSpan w:val="2"/>
            <w:tcBorders>
              <w:top w:val="nil"/>
              <w:left w:val="nil"/>
              <w:bottom w:val="nil"/>
              <w:right w:val="nil"/>
            </w:tcBorders>
          </w:tcPr>
          <w:p w14:paraId="2086EC5F" w14:textId="77777777" w:rsidR="00802D3E" w:rsidRDefault="00802D3E">
            <w:pPr>
              <w:pStyle w:val="MeasureTableTextLeftAligned"/>
            </w:pPr>
          </w:p>
        </w:tc>
      </w:tr>
      <w:tr w:rsidR="00802D3E" w14:paraId="2086EC65" w14:textId="77777777" w:rsidTr="00802D3E">
        <w:trPr>
          <w:cantSplit/>
          <w:jc w:val="center"/>
        </w:trPr>
        <w:tc>
          <w:tcPr>
            <w:tcW w:w="1934" w:type="dxa"/>
            <w:gridSpan w:val="2"/>
            <w:tcBorders>
              <w:top w:val="nil"/>
              <w:left w:val="nil"/>
              <w:bottom w:val="nil"/>
              <w:right w:val="nil"/>
            </w:tcBorders>
            <w:hideMark/>
          </w:tcPr>
          <w:p w14:paraId="2086EC6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C62"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C6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C64" w14:textId="77777777" w:rsidR="00802D3E" w:rsidRDefault="00802D3E">
            <w:pPr>
              <w:pStyle w:val="MeasureTableTextLeftAligned"/>
            </w:pPr>
          </w:p>
        </w:tc>
      </w:tr>
      <w:tr w:rsidR="00802D3E" w14:paraId="2086EC68" w14:textId="77777777" w:rsidTr="00802D3E">
        <w:trPr>
          <w:cantSplit/>
          <w:jc w:val="center"/>
        </w:trPr>
        <w:tc>
          <w:tcPr>
            <w:tcW w:w="1934" w:type="dxa"/>
            <w:gridSpan w:val="2"/>
            <w:tcBorders>
              <w:top w:val="nil"/>
              <w:left w:val="nil"/>
              <w:bottom w:val="single" w:sz="2" w:space="0" w:color="auto"/>
              <w:right w:val="nil"/>
            </w:tcBorders>
            <w:hideMark/>
          </w:tcPr>
          <w:p w14:paraId="2086EC6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C67" w14:textId="77777777" w:rsidR="00802D3E" w:rsidRDefault="00802D3E" w:rsidP="00231210">
            <w:pPr>
              <w:widowControl w:val="0"/>
              <w:autoSpaceDE w:val="0"/>
              <w:autoSpaceDN w:val="0"/>
              <w:adjustRightInd w:val="0"/>
              <w:spacing w:after="0" w:line="240" w:lineRule="auto"/>
              <w:jc w:val="left"/>
            </w:pPr>
            <w:r>
              <w:rPr>
                <w:rFonts w:ascii="Arial" w:hAnsi="Arial" w:cs="Arial"/>
                <w:color w:val="000000"/>
                <w:sz w:val="16"/>
                <w:szCs w:val="16"/>
              </w:rPr>
              <w:t xml:space="preserve">Part III Division 6AA of the </w:t>
            </w:r>
            <w:r>
              <w:rPr>
                <w:rFonts w:ascii="Arial" w:hAnsi="Arial" w:cs="Arial"/>
                <w:i/>
                <w:iCs/>
                <w:color w:val="000000"/>
                <w:sz w:val="16"/>
                <w:szCs w:val="16"/>
              </w:rPr>
              <w:t>Income Tax Assessment Act 1936</w:t>
            </w:r>
          </w:p>
        </w:tc>
      </w:tr>
    </w:tbl>
    <w:p w14:paraId="2086EC69" w14:textId="77777777" w:rsidR="00802D3E" w:rsidRDefault="00802D3E" w:rsidP="0098392C">
      <w:pPr>
        <w:pStyle w:val="SingleParagraph"/>
      </w:pPr>
    </w:p>
    <w:p w14:paraId="2086EC6A" w14:textId="3647AAB7" w:rsidR="00802D3E" w:rsidRDefault="00802D3E" w:rsidP="00802D3E">
      <w:r>
        <w:t>Higher rates of taxation apply to the unearned income of certain minors (for example, those classed as not being in a full-time occupation). Unearned income</w:t>
      </w:r>
      <w:r>
        <w:fldChar w:fldCharType="begin"/>
      </w:r>
      <w:r>
        <w:instrText xml:space="preserve"> XE "Unearned income" </w:instrText>
      </w:r>
      <w:r>
        <w:fldChar w:fldCharType="end"/>
      </w:r>
      <w:r>
        <w:t xml:space="preserve"> includes dividend, interest, rent, royalties and other income from property. Further, minors are unable to use the </w:t>
      </w:r>
      <w:r w:rsidR="007C04A0">
        <w:t>L</w:t>
      </w:r>
      <w:r>
        <w:t xml:space="preserve">ow </w:t>
      </w:r>
      <w:r w:rsidR="007C04A0">
        <w:t>I</w:t>
      </w:r>
      <w:r>
        <w:t xml:space="preserve">ncome </w:t>
      </w:r>
      <w:r w:rsidR="007C04A0">
        <w:t>T</w:t>
      </w:r>
      <w:r>
        <w:t xml:space="preserve">ax </w:t>
      </w:r>
      <w:r w:rsidR="007C04A0">
        <w:t>O</w:t>
      </w:r>
      <w:r>
        <w:t xml:space="preserve">ffset to reduce the tax payable on unearned income. </w:t>
      </w:r>
    </w:p>
    <w:p w14:paraId="2086EC6B" w14:textId="77777777" w:rsidR="00802D3E" w:rsidRDefault="00802D3E" w:rsidP="00802D3E">
      <w:pPr>
        <w:pStyle w:val="TESHeading5"/>
        <w:ind w:left="0" w:firstLine="0"/>
      </w:pPr>
      <w:r>
        <w:t>A53</w:t>
      </w:r>
      <w:r>
        <w:tab/>
        <w:t>Part-year tax free threshold</w:t>
      </w:r>
    </w:p>
    <w:p w14:paraId="2086EC6C"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C75" w14:textId="77777777" w:rsidTr="00802D3E">
        <w:trPr>
          <w:cantSplit/>
          <w:jc w:val="center"/>
        </w:trPr>
        <w:tc>
          <w:tcPr>
            <w:tcW w:w="967" w:type="dxa"/>
            <w:tcBorders>
              <w:top w:val="single" w:sz="2" w:space="0" w:color="auto"/>
              <w:left w:val="nil"/>
              <w:bottom w:val="single" w:sz="2" w:space="0" w:color="auto"/>
              <w:right w:val="nil"/>
            </w:tcBorders>
            <w:hideMark/>
          </w:tcPr>
          <w:p w14:paraId="2086EC6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C6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C6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C7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C7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C7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C7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C74" w14:textId="77777777" w:rsidR="00802D3E" w:rsidRDefault="00802D3E">
            <w:pPr>
              <w:pStyle w:val="MeasureTableTextRightAligned"/>
            </w:pPr>
            <w:r>
              <w:t>2019-20</w:t>
            </w:r>
          </w:p>
        </w:tc>
      </w:tr>
      <w:tr w:rsidR="00802D3E" w14:paraId="2086EC7E" w14:textId="77777777" w:rsidTr="00802D3E">
        <w:trPr>
          <w:cantSplit/>
          <w:jc w:val="center"/>
        </w:trPr>
        <w:tc>
          <w:tcPr>
            <w:tcW w:w="967" w:type="dxa"/>
            <w:tcBorders>
              <w:top w:val="single" w:sz="2" w:space="0" w:color="auto"/>
              <w:left w:val="nil"/>
              <w:bottom w:val="single" w:sz="2" w:space="0" w:color="auto"/>
              <w:right w:val="nil"/>
            </w:tcBorders>
            <w:hideMark/>
          </w:tcPr>
          <w:p w14:paraId="2086EC76" w14:textId="77777777" w:rsidR="00802D3E" w:rsidRDefault="00802D3E">
            <w:pPr>
              <w:pStyle w:val="MeasureTableTextRightAligned"/>
            </w:pPr>
            <w:r>
              <w:t>-50</w:t>
            </w:r>
          </w:p>
        </w:tc>
        <w:tc>
          <w:tcPr>
            <w:tcW w:w="967" w:type="dxa"/>
            <w:tcBorders>
              <w:top w:val="single" w:sz="2" w:space="0" w:color="auto"/>
              <w:left w:val="nil"/>
              <w:bottom w:val="single" w:sz="2" w:space="0" w:color="auto"/>
              <w:right w:val="nil"/>
            </w:tcBorders>
            <w:hideMark/>
          </w:tcPr>
          <w:p w14:paraId="2086EC77" w14:textId="77777777" w:rsidR="00802D3E" w:rsidRDefault="00802D3E">
            <w:pPr>
              <w:pStyle w:val="MeasureTableTextRightAligned"/>
            </w:pPr>
            <w:r>
              <w:t>-25</w:t>
            </w:r>
          </w:p>
        </w:tc>
        <w:tc>
          <w:tcPr>
            <w:tcW w:w="967" w:type="dxa"/>
            <w:tcBorders>
              <w:top w:val="single" w:sz="2" w:space="0" w:color="auto"/>
              <w:left w:val="nil"/>
              <w:bottom w:val="single" w:sz="2" w:space="0" w:color="auto"/>
              <w:right w:val="nil"/>
            </w:tcBorders>
            <w:vAlign w:val="bottom"/>
            <w:hideMark/>
          </w:tcPr>
          <w:p w14:paraId="2086EC78" w14:textId="77777777" w:rsidR="00802D3E" w:rsidRDefault="00802D3E">
            <w:pPr>
              <w:pStyle w:val="MeasureTableTextRightAligned"/>
            </w:pPr>
            <w:r>
              <w:t>-20</w:t>
            </w:r>
          </w:p>
        </w:tc>
        <w:tc>
          <w:tcPr>
            <w:tcW w:w="967" w:type="dxa"/>
            <w:tcBorders>
              <w:top w:val="single" w:sz="2" w:space="0" w:color="auto"/>
              <w:left w:val="nil"/>
              <w:bottom w:val="single" w:sz="2" w:space="0" w:color="auto"/>
              <w:right w:val="nil"/>
            </w:tcBorders>
            <w:vAlign w:val="bottom"/>
            <w:hideMark/>
          </w:tcPr>
          <w:p w14:paraId="2086EC79" w14:textId="77777777" w:rsidR="00802D3E" w:rsidRDefault="00802D3E">
            <w:pPr>
              <w:pStyle w:val="MeasureTableTextRightAligned"/>
            </w:pPr>
            <w:r>
              <w:t>-20</w:t>
            </w:r>
          </w:p>
        </w:tc>
        <w:tc>
          <w:tcPr>
            <w:tcW w:w="967" w:type="dxa"/>
            <w:tcBorders>
              <w:top w:val="single" w:sz="2" w:space="0" w:color="auto"/>
              <w:left w:val="nil"/>
              <w:bottom w:val="single" w:sz="2" w:space="0" w:color="auto"/>
              <w:right w:val="nil"/>
            </w:tcBorders>
            <w:vAlign w:val="bottom"/>
            <w:hideMark/>
          </w:tcPr>
          <w:p w14:paraId="2086EC7A" w14:textId="77777777" w:rsidR="00802D3E" w:rsidRDefault="00802D3E">
            <w:pPr>
              <w:pStyle w:val="MeasureTableTextRightAligned"/>
            </w:pPr>
            <w:r>
              <w:t>-20</w:t>
            </w:r>
          </w:p>
        </w:tc>
        <w:tc>
          <w:tcPr>
            <w:tcW w:w="967" w:type="dxa"/>
            <w:gridSpan w:val="2"/>
            <w:tcBorders>
              <w:top w:val="single" w:sz="2" w:space="0" w:color="auto"/>
              <w:left w:val="nil"/>
              <w:bottom w:val="single" w:sz="2" w:space="0" w:color="auto"/>
              <w:right w:val="nil"/>
            </w:tcBorders>
            <w:vAlign w:val="bottom"/>
            <w:hideMark/>
          </w:tcPr>
          <w:p w14:paraId="2086EC7B" w14:textId="77777777" w:rsidR="00802D3E" w:rsidRDefault="00802D3E">
            <w:pPr>
              <w:pStyle w:val="MeasureTableTextRightAligned"/>
            </w:pPr>
            <w:r>
              <w:t>-20</w:t>
            </w:r>
          </w:p>
        </w:tc>
        <w:tc>
          <w:tcPr>
            <w:tcW w:w="967" w:type="dxa"/>
            <w:gridSpan w:val="2"/>
            <w:tcBorders>
              <w:top w:val="single" w:sz="2" w:space="0" w:color="auto"/>
              <w:left w:val="nil"/>
              <w:bottom w:val="single" w:sz="2" w:space="0" w:color="auto"/>
              <w:right w:val="nil"/>
            </w:tcBorders>
            <w:vAlign w:val="bottom"/>
            <w:hideMark/>
          </w:tcPr>
          <w:p w14:paraId="2086EC7C" w14:textId="77777777" w:rsidR="00802D3E" w:rsidRDefault="00802D3E">
            <w:pPr>
              <w:pStyle w:val="MeasureTableTextRightAligned"/>
            </w:pPr>
            <w:r>
              <w:t>-20</w:t>
            </w:r>
          </w:p>
        </w:tc>
        <w:tc>
          <w:tcPr>
            <w:tcW w:w="968" w:type="dxa"/>
            <w:tcBorders>
              <w:top w:val="single" w:sz="2" w:space="0" w:color="auto"/>
              <w:left w:val="nil"/>
              <w:bottom w:val="single" w:sz="2" w:space="0" w:color="auto"/>
              <w:right w:val="nil"/>
            </w:tcBorders>
            <w:vAlign w:val="bottom"/>
            <w:hideMark/>
          </w:tcPr>
          <w:p w14:paraId="2086EC7D" w14:textId="77777777" w:rsidR="00802D3E" w:rsidRDefault="00802D3E">
            <w:pPr>
              <w:pStyle w:val="MeasureTableTextRightAligned"/>
            </w:pPr>
            <w:r>
              <w:t>-20</w:t>
            </w:r>
          </w:p>
        </w:tc>
      </w:tr>
      <w:tr w:rsidR="00802D3E" w14:paraId="2086EC83" w14:textId="77777777" w:rsidTr="00802D3E">
        <w:trPr>
          <w:cantSplit/>
          <w:jc w:val="center"/>
        </w:trPr>
        <w:tc>
          <w:tcPr>
            <w:tcW w:w="1934" w:type="dxa"/>
            <w:gridSpan w:val="2"/>
            <w:tcBorders>
              <w:top w:val="single" w:sz="2" w:space="0" w:color="auto"/>
              <w:left w:val="nil"/>
              <w:bottom w:val="nil"/>
              <w:right w:val="nil"/>
            </w:tcBorders>
            <w:hideMark/>
          </w:tcPr>
          <w:p w14:paraId="2086EC7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C80" w14:textId="77777777" w:rsidR="00802D3E" w:rsidRDefault="00802D3E">
            <w:pPr>
              <w:pStyle w:val="MeasureTableTextLeftAligned"/>
            </w:pPr>
            <w:r>
              <w:t>Increased rate</w:t>
            </w:r>
          </w:p>
        </w:tc>
        <w:tc>
          <w:tcPr>
            <w:tcW w:w="1500" w:type="dxa"/>
            <w:gridSpan w:val="2"/>
            <w:tcBorders>
              <w:top w:val="single" w:sz="2" w:space="0" w:color="auto"/>
              <w:left w:val="nil"/>
              <w:bottom w:val="nil"/>
              <w:right w:val="nil"/>
            </w:tcBorders>
            <w:hideMark/>
          </w:tcPr>
          <w:p w14:paraId="2086EC8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C82" w14:textId="77777777" w:rsidR="00802D3E" w:rsidRDefault="00802D3E">
            <w:pPr>
              <w:pStyle w:val="MeasureTableTextLeftAligned"/>
            </w:pPr>
            <w:r>
              <w:t>A48</w:t>
            </w:r>
          </w:p>
        </w:tc>
      </w:tr>
      <w:tr w:rsidR="00802D3E" w14:paraId="2086EC88" w14:textId="77777777" w:rsidTr="00802D3E">
        <w:trPr>
          <w:cantSplit/>
          <w:jc w:val="center"/>
        </w:trPr>
        <w:tc>
          <w:tcPr>
            <w:tcW w:w="1934" w:type="dxa"/>
            <w:gridSpan w:val="2"/>
            <w:tcBorders>
              <w:top w:val="nil"/>
              <w:left w:val="nil"/>
              <w:bottom w:val="nil"/>
              <w:right w:val="nil"/>
            </w:tcBorders>
            <w:hideMark/>
          </w:tcPr>
          <w:p w14:paraId="2086EC8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C85"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6EC86" w14:textId="77777777" w:rsidR="00802D3E" w:rsidRDefault="00802D3E">
            <w:pPr>
              <w:pStyle w:val="MeasureTableTextItalic"/>
            </w:pPr>
          </w:p>
        </w:tc>
        <w:tc>
          <w:tcPr>
            <w:tcW w:w="1124" w:type="dxa"/>
            <w:gridSpan w:val="2"/>
            <w:tcBorders>
              <w:top w:val="nil"/>
              <w:left w:val="nil"/>
              <w:bottom w:val="nil"/>
              <w:right w:val="nil"/>
            </w:tcBorders>
          </w:tcPr>
          <w:p w14:paraId="2086EC87" w14:textId="77777777" w:rsidR="00802D3E" w:rsidRDefault="00802D3E">
            <w:pPr>
              <w:pStyle w:val="MeasureTableTextLeftAligned"/>
            </w:pPr>
          </w:p>
        </w:tc>
      </w:tr>
      <w:tr w:rsidR="00802D3E" w14:paraId="2086EC8D" w14:textId="77777777" w:rsidTr="00802D3E">
        <w:trPr>
          <w:cantSplit/>
          <w:jc w:val="center"/>
        </w:trPr>
        <w:tc>
          <w:tcPr>
            <w:tcW w:w="1934" w:type="dxa"/>
            <w:gridSpan w:val="2"/>
            <w:tcBorders>
              <w:top w:val="nil"/>
              <w:left w:val="nil"/>
              <w:bottom w:val="nil"/>
              <w:right w:val="nil"/>
            </w:tcBorders>
            <w:hideMark/>
          </w:tcPr>
          <w:p w14:paraId="2086EC8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C8A"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EC8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C8C" w14:textId="77777777" w:rsidR="00802D3E" w:rsidRDefault="00802D3E">
            <w:pPr>
              <w:pStyle w:val="MeasureTableTextLeftAligned"/>
            </w:pPr>
          </w:p>
        </w:tc>
      </w:tr>
      <w:tr w:rsidR="00802D3E" w14:paraId="2086EC90" w14:textId="77777777" w:rsidTr="00802D3E">
        <w:trPr>
          <w:cantSplit/>
          <w:jc w:val="center"/>
        </w:trPr>
        <w:tc>
          <w:tcPr>
            <w:tcW w:w="1934" w:type="dxa"/>
            <w:gridSpan w:val="2"/>
            <w:tcBorders>
              <w:top w:val="nil"/>
              <w:left w:val="nil"/>
              <w:bottom w:val="single" w:sz="2" w:space="0" w:color="auto"/>
              <w:right w:val="nil"/>
            </w:tcBorders>
            <w:hideMark/>
          </w:tcPr>
          <w:p w14:paraId="2086EC8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C8F"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Sections 16 to 20 of the </w:t>
            </w:r>
            <w:r w:rsidRPr="00231210">
              <w:rPr>
                <w:rFonts w:ascii="Arial" w:hAnsi="Arial" w:cs="Arial"/>
                <w:i/>
                <w:iCs/>
                <w:color w:val="000000"/>
                <w:sz w:val="16"/>
                <w:szCs w:val="16"/>
              </w:rPr>
              <w:t>Income Tax Rates Act 1986</w:t>
            </w:r>
          </w:p>
        </w:tc>
      </w:tr>
    </w:tbl>
    <w:p w14:paraId="2086EC91" w14:textId="77777777" w:rsidR="00802D3E" w:rsidRDefault="00802D3E" w:rsidP="0098392C">
      <w:pPr>
        <w:pStyle w:val="SingleParagraph"/>
      </w:pPr>
    </w:p>
    <w:p w14:paraId="2086EC92" w14:textId="1997C9D5" w:rsidR="00802D3E" w:rsidRDefault="00802D3E" w:rsidP="00802D3E">
      <w:r>
        <w:t>Taxpayers who become an Australian resident for the first time, or cease to be an Australian resident, do not receive the full value of the</w:t>
      </w:r>
      <w:r w:rsidR="000D700A">
        <w:t xml:space="preserve"> statutory tax</w:t>
      </w:r>
      <w:r w:rsidR="000D700A">
        <w:noBreakHyphen/>
        <w:t xml:space="preserve">free threshold. </w:t>
      </w:r>
      <w:r>
        <w:t>From 1 July 2012, they are able to access a tax-free threshold of at least $13,464, plus a pro</w:t>
      </w:r>
      <w:r>
        <w:noBreakHyphen/>
        <w:t xml:space="preserve">rated share of $4,736 corresponding to the number of months in the year that they are a resident for tax purposes. </w:t>
      </w:r>
      <w:r>
        <w:fldChar w:fldCharType="begin"/>
      </w:r>
      <w:r>
        <w:instrText xml:space="preserve"> XE "Part</w:instrText>
      </w:r>
      <w:r>
        <w:noBreakHyphen/>
        <w:instrText xml:space="preserve">year tax free threshold" </w:instrText>
      </w:r>
      <w:r>
        <w:fldChar w:fldCharType="end"/>
      </w:r>
      <w:r>
        <w:t xml:space="preserve"> </w:t>
      </w:r>
    </w:p>
    <w:p w14:paraId="2086EC93" w14:textId="77777777" w:rsidR="00802D3E" w:rsidRDefault="00802D3E" w:rsidP="00802D3E">
      <w:pPr>
        <w:pStyle w:val="TESHeading5"/>
        <w:ind w:left="0" w:firstLine="0"/>
      </w:pPr>
      <w:r>
        <w:t>A54</w:t>
      </w:r>
      <w:r>
        <w:tab/>
        <w:t xml:space="preserve">Philanthropy </w:t>
      </w:r>
      <w:r w:rsidR="00663962">
        <w:t>–</w:t>
      </w:r>
      <w:r>
        <w:t xml:space="preserve"> deduction</w:t>
      </w:r>
      <w:r w:rsidR="00663962">
        <w:t xml:space="preserve"> </w:t>
      </w:r>
      <w:r>
        <w:t>for gifts to deductible gift recipients</w:t>
      </w:r>
    </w:p>
    <w:p w14:paraId="2086EC94"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C9D" w14:textId="77777777" w:rsidTr="00802D3E">
        <w:trPr>
          <w:cantSplit/>
          <w:jc w:val="center"/>
        </w:trPr>
        <w:tc>
          <w:tcPr>
            <w:tcW w:w="967" w:type="dxa"/>
            <w:tcBorders>
              <w:top w:val="single" w:sz="2" w:space="0" w:color="auto"/>
              <w:left w:val="nil"/>
              <w:bottom w:val="single" w:sz="2" w:space="0" w:color="auto"/>
              <w:right w:val="nil"/>
            </w:tcBorders>
            <w:hideMark/>
          </w:tcPr>
          <w:p w14:paraId="2086EC9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C9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C9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C9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C9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C9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C9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C9C" w14:textId="77777777" w:rsidR="00802D3E" w:rsidRDefault="00802D3E">
            <w:pPr>
              <w:pStyle w:val="MeasureTableTextRightAligned"/>
            </w:pPr>
            <w:r>
              <w:t>2019-20</w:t>
            </w:r>
          </w:p>
        </w:tc>
      </w:tr>
      <w:tr w:rsidR="00802D3E" w14:paraId="2086ECA6" w14:textId="77777777" w:rsidTr="00802D3E">
        <w:trPr>
          <w:cantSplit/>
          <w:jc w:val="center"/>
        </w:trPr>
        <w:tc>
          <w:tcPr>
            <w:tcW w:w="967" w:type="dxa"/>
            <w:tcBorders>
              <w:top w:val="single" w:sz="2" w:space="0" w:color="auto"/>
              <w:left w:val="nil"/>
              <w:bottom w:val="single" w:sz="2" w:space="0" w:color="auto"/>
              <w:right w:val="nil"/>
            </w:tcBorders>
            <w:hideMark/>
          </w:tcPr>
          <w:p w14:paraId="2086EC9E" w14:textId="77777777" w:rsidR="00802D3E" w:rsidRDefault="00802D3E">
            <w:pPr>
              <w:pStyle w:val="MeasureTableTextRightAligned"/>
            </w:pPr>
            <w:r>
              <w:t>1,010</w:t>
            </w:r>
          </w:p>
        </w:tc>
        <w:tc>
          <w:tcPr>
            <w:tcW w:w="967" w:type="dxa"/>
            <w:tcBorders>
              <w:top w:val="single" w:sz="2" w:space="0" w:color="auto"/>
              <w:left w:val="nil"/>
              <w:bottom w:val="single" w:sz="2" w:space="0" w:color="auto"/>
              <w:right w:val="nil"/>
            </w:tcBorders>
            <w:hideMark/>
          </w:tcPr>
          <w:p w14:paraId="2086EC9F" w14:textId="77777777" w:rsidR="00802D3E" w:rsidRDefault="00802D3E">
            <w:pPr>
              <w:pStyle w:val="MeasureTableTextRightAligned"/>
            </w:pPr>
            <w:r>
              <w:t>1,080</w:t>
            </w:r>
          </w:p>
        </w:tc>
        <w:tc>
          <w:tcPr>
            <w:tcW w:w="967" w:type="dxa"/>
            <w:tcBorders>
              <w:top w:val="single" w:sz="2" w:space="0" w:color="auto"/>
              <w:left w:val="nil"/>
              <w:bottom w:val="single" w:sz="2" w:space="0" w:color="auto"/>
              <w:right w:val="nil"/>
            </w:tcBorders>
            <w:vAlign w:val="bottom"/>
            <w:hideMark/>
          </w:tcPr>
          <w:p w14:paraId="2086ECA0" w14:textId="77777777" w:rsidR="00802D3E" w:rsidRDefault="00802D3E">
            <w:pPr>
              <w:pStyle w:val="MeasureTableTextRightAligned"/>
            </w:pPr>
            <w:r>
              <w:t>1,180</w:t>
            </w:r>
          </w:p>
        </w:tc>
        <w:tc>
          <w:tcPr>
            <w:tcW w:w="967" w:type="dxa"/>
            <w:tcBorders>
              <w:top w:val="single" w:sz="2" w:space="0" w:color="auto"/>
              <w:left w:val="nil"/>
              <w:bottom w:val="single" w:sz="2" w:space="0" w:color="auto"/>
              <w:right w:val="nil"/>
            </w:tcBorders>
            <w:vAlign w:val="bottom"/>
            <w:hideMark/>
          </w:tcPr>
          <w:p w14:paraId="2086ECA1" w14:textId="77777777" w:rsidR="00802D3E" w:rsidRDefault="00802D3E">
            <w:pPr>
              <w:pStyle w:val="MeasureTableTextRightAligned"/>
            </w:pPr>
            <w:r>
              <w:t>1,280</w:t>
            </w:r>
          </w:p>
        </w:tc>
        <w:tc>
          <w:tcPr>
            <w:tcW w:w="967" w:type="dxa"/>
            <w:tcBorders>
              <w:top w:val="single" w:sz="2" w:space="0" w:color="auto"/>
              <w:left w:val="nil"/>
              <w:bottom w:val="single" w:sz="2" w:space="0" w:color="auto"/>
              <w:right w:val="nil"/>
            </w:tcBorders>
            <w:vAlign w:val="bottom"/>
            <w:hideMark/>
          </w:tcPr>
          <w:p w14:paraId="2086ECA2" w14:textId="77777777" w:rsidR="00802D3E" w:rsidRDefault="00802D3E">
            <w:pPr>
              <w:pStyle w:val="MeasureTableTextRightAligned"/>
            </w:pPr>
            <w:r>
              <w:t>1,310</w:t>
            </w:r>
          </w:p>
        </w:tc>
        <w:tc>
          <w:tcPr>
            <w:tcW w:w="967" w:type="dxa"/>
            <w:gridSpan w:val="2"/>
            <w:tcBorders>
              <w:top w:val="single" w:sz="2" w:space="0" w:color="auto"/>
              <w:left w:val="nil"/>
              <w:bottom w:val="single" w:sz="2" w:space="0" w:color="auto"/>
              <w:right w:val="nil"/>
            </w:tcBorders>
            <w:vAlign w:val="bottom"/>
            <w:hideMark/>
          </w:tcPr>
          <w:p w14:paraId="2086ECA3" w14:textId="77777777" w:rsidR="00802D3E" w:rsidRDefault="00802D3E">
            <w:pPr>
              <w:pStyle w:val="MeasureTableTextRightAligned"/>
            </w:pPr>
            <w:r>
              <w:t>1,350</w:t>
            </w:r>
          </w:p>
        </w:tc>
        <w:tc>
          <w:tcPr>
            <w:tcW w:w="967" w:type="dxa"/>
            <w:gridSpan w:val="2"/>
            <w:tcBorders>
              <w:top w:val="single" w:sz="2" w:space="0" w:color="auto"/>
              <w:left w:val="nil"/>
              <w:bottom w:val="single" w:sz="2" w:space="0" w:color="auto"/>
              <w:right w:val="nil"/>
            </w:tcBorders>
            <w:vAlign w:val="bottom"/>
            <w:hideMark/>
          </w:tcPr>
          <w:p w14:paraId="2086ECA4" w14:textId="77777777" w:rsidR="00802D3E" w:rsidRDefault="00802D3E">
            <w:pPr>
              <w:pStyle w:val="MeasureTableTextRightAligned"/>
            </w:pPr>
            <w:r>
              <w:t>1,410</w:t>
            </w:r>
          </w:p>
        </w:tc>
        <w:tc>
          <w:tcPr>
            <w:tcW w:w="968" w:type="dxa"/>
            <w:tcBorders>
              <w:top w:val="single" w:sz="2" w:space="0" w:color="auto"/>
              <w:left w:val="nil"/>
              <w:bottom w:val="single" w:sz="2" w:space="0" w:color="auto"/>
              <w:right w:val="nil"/>
            </w:tcBorders>
            <w:vAlign w:val="bottom"/>
            <w:hideMark/>
          </w:tcPr>
          <w:p w14:paraId="2086ECA5" w14:textId="77777777" w:rsidR="00802D3E" w:rsidRDefault="00802D3E">
            <w:pPr>
              <w:pStyle w:val="MeasureTableTextRightAligned"/>
            </w:pPr>
            <w:r>
              <w:t>1,460</w:t>
            </w:r>
          </w:p>
        </w:tc>
      </w:tr>
      <w:tr w:rsidR="00802D3E" w14:paraId="2086ECAB" w14:textId="77777777" w:rsidTr="00802D3E">
        <w:trPr>
          <w:cantSplit/>
          <w:jc w:val="center"/>
        </w:trPr>
        <w:tc>
          <w:tcPr>
            <w:tcW w:w="1934" w:type="dxa"/>
            <w:gridSpan w:val="2"/>
            <w:tcBorders>
              <w:top w:val="single" w:sz="2" w:space="0" w:color="auto"/>
              <w:left w:val="nil"/>
              <w:bottom w:val="nil"/>
              <w:right w:val="nil"/>
            </w:tcBorders>
            <w:hideMark/>
          </w:tcPr>
          <w:p w14:paraId="2086ECA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CA8"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ECA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CAA" w14:textId="77777777" w:rsidR="00802D3E" w:rsidRDefault="00802D3E">
            <w:pPr>
              <w:pStyle w:val="MeasureTableTextLeftAligned"/>
            </w:pPr>
            <w:r>
              <w:t>A49</w:t>
            </w:r>
          </w:p>
        </w:tc>
      </w:tr>
      <w:tr w:rsidR="00802D3E" w14:paraId="2086ECB0" w14:textId="77777777" w:rsidTr="00802D3E">
        <w:trPr>
          <w:cantSplit/>
          <w:jc w:val="center"/>
        </w:trPr>
        <w:tc>
          <w:tcPr>
            <w:tcW w:w="1934" w:type="dxa"/>
            <w:gridSpan w:val="2"/>
            <w:tcBorders>
              <w:top w:val="nil"/>
              <w:left w:val="nil"/>
              <w:bottom w:val="nil"/>
              <w:right w:val="nil"/>
            </w:tcBorders>
            <w:hideMark/>
          </w:tcPr>
          <w:p w14:paraId="2086ECA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CAD"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CAE" w14:textId="77777777" w:rsidR="00802D3E" w:rsidRDefault="00802D3E">
            <w:pPr>
              <w:pStyle w:val="MeasureTableTextItalic"/>
            </w:pPr>
          </w:p>
        </w:tc>
        <w:tc>
          <w:tcPr>
            <w:tcW w:w="1124" w:type="dxa"/>
            <w:gridSpan w:val="2"/>
            <w:tcBorders>
              <w:top w:val="nil"/>
              <w:left w:val="nil"/>
              <w:bottom w:val="nil"/>
              <w:right w:val="nil"/>
            </w:tcBorders>
          </w:tcPr>
          <w:p w14:paraId="2086ECAF" w14:textId="77777777" w:rsidR="00802D3E" w:rsidRDefault="00802D3E">
            <w:pPr>
              <w:pStyle w:val="MeasureTableTextLeftAligned"/>
            </w:pPr>
          </w:p>
        </w:tc>
      </w:tr>
      <w:tr w:rsidR="00802D3E" w14:paraId="2086ECB5" w14:textId="77777777" w:rsidTr="00802D3E">
        <w:trPr>
          <w:cantSplit/>
          <w:jc w:val="center"/>
        </w:trPr>
        <w:tc>
          <w:tcPr>
            <w:tcW w:w="1934" w:type="dxa"/>
            <w:gridSpan w:val="2"/>
            <w:tcBorders>
              <w:top w:val="nil"/>
              <w:left w:val="nil"/>
              <w:bottom w:val="nil"/>
              <w:right w:val="nil"/>
            </w:tcBorders>
            <w:hideMark/>
          </w:tcPr>
          <w:p w14:paraId="2086ECB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CB2"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CB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CB4" w14:textId="77777777" w:rsidR="00802D3E" w:rsidRDefault="00802D3E">
            <w:pPr>
              <w:pStyle w:val="MeasureTableTextLeftAligned"/>
            </w:pPr>
          </w:p>
        </w:tc>
      </w:tr>
      <w:tr w:rsidR="00802D3E" w14:paraId="2086ECB8" w14:textId="77777777" w:rsidTr="00802D3E">
        <w:trPr>
          <w:cantSplit/>
          <w:jc w:val="center"/>
        </w:trPr>
        <w:tc>
          <w:tcPr>
            <w:tcW w:w="1934" w:type="dxa"/>
            <w:gridSpan w:val="2"/>
            <w:tcBorders>
              <w:top w:val="nil"/>
              <w:left w:val="nil"/>
              <w:bottom w:val="single" w:sz="2" w:space="0" w:color="auto"/>
              <w:right w:val="nil"/>
            </w:tcBorders>
            <w:hideMark/>
          </w:tcPr>
          <w:p w14:paraId="2086ECB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CB7"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Division 30 of the </w:t>
            </w:r>
            <w:r w:rsidRPr="00231210">
              <w:rPr>
                <w:rFonts w:ascii="Arial" w:hAnsi="Arial" w:cs="Arial"/>
                <w:i/>
                <w:iCs/>
                <w:color w:val="000000"/>
                <w:sz w:val="16"/>
                <w:szCs w:val="16"/>
              </w:rPr>
              <w:t>Income Tax Assessment Act 1997</w:t>
            </w:r>
          </w:p>
        </w:tc>
      </w:tr>
    </w:tbl>
    <w:p w14:paraId="2086ECB9" w14:textId="77777777" w:rsidR="00802D3E" w:rsidRDefault="00802D3E" w:rsidP="0098392C">
      <w:pPr>
        <w:pStyle w:val="SingleParagraph"/>
      </w:pPr>
    </w:p>
    <w:p w14:paraId="2086ECBA" w14:textId="77777777" w:rsidR="00802D3E" w:rsidRDefault="00802D3E" w:rsidP="00802D3E">
      <w:r>
        <w:t>Gifts of cash and property (subject to certain conditions) of a value of $2 or more to deductible gift recipients</w:t>
      </w:r>
      <w:r>
        <w:fldChar w:fldCharType="begin"/>
      </w:r>
      <w:r>
        <w:instrText xml:space="preserve"> XE "Deductible gift recipients" </w:instrText>
      </w:r>
      <w:r>
        <w:fldChar w:fldCharType="end"/>
      </w:r>
      <w:r>
        <w:t xml:space="preserve"> can be claimed as a deduction by donors. </w:t>
      </w:r>
    </w:p>
    <w:p w14:paraId="2086ECBB" w14:textId="77777777" w:rsidR="00802D3E" w:rsidRDefault="00802D3E" w:rsidP="00802D3E">
      <w:pPr>
        <w:pStyle w:val="TESHeading5"/>
        <w:ind w:left="0" w:firstLine="0"/>
      </w:pPr>
      <w:r>
        <w:lastRenderedPageBreak/>
        <w:t>A55</w:t>
      </w:r>
      <w:r>
        <w:tab/>
        <w:t xml:space="preserve">Philanthropy </w:t>
      </w:r>
      <w:r w:rsidR="00663962">
        <w:t>–</w:t>
      </w:r>
      <w:r>
        <w:t xml:space="preserve"> deduction</w:t>
      </w:r>
      <w:r w:rsidR="00AA3CE3">
        <w:t xml:space="preserve"> </w:t>
      </w:r>
      <w:r>
        <w:t>for gifts to private ancillary funds</w:t>
      </w:r>
    </w:p>
    <w:p w14:paraId="2086ECBC"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CC5" w14:textId="77777777" w:rsidTr="00802D3E">
        <w:trPr>
          <w:cantSplit/>
          <w:jc w:val="center"/>
        </w:trPr>
        <w:tc>
          <w:tcPr>
            <w:tcW w:w="967" w:type="dxa"/>
            <w:tcBorders>
              <w:top w:val="single" w:sz="2" w:space="0" w:color="auto"/>
              <w:left w:val="nil"/>
              <w:bottom w:val="single" w:sz="2" w:space="0" w:color="auto"/>
              <w:right w:val="nil"/>
            </w:tcBorders>
            <w:hideMark/>
          </w:tcPr>
          <w:p w14:paraId="2086ECB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CB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CB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CC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CC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CC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CC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CC4" w14:textId="77777777" w:rsidR="00802D3E" w:rsidRDefault="00802D3E">
            <w:pPr>
              <w:pStyle w:val="MeasureTableTextRightAligned"/>
            </w:pPr>
            <w:r>
              <w:t>2019-20</w:t>
            </w:r>
          </w:p>
        </w:tc>
      </w:tr>
      <w:tr w:rsidR="00802D3E" w14:paraId="2086ECCE" w14:textId="77777777" w:rsidTr="00802D3E">
        <w:trPr>
          <w:cantSplit/>
          <w:jc w:val="center"/>
        </w:trPr>
        <w:tc>
          <w:tcPr>
            <w:tcW w:w="967" w:type="dxa"/>
            <w:tcBorders>
              <w:top w:val="single" w:sz="2" w:space="0" w:color="auto"/>
              <w:left w:val="nil"/>
              <w:bottom w:val="single" w:sz="2" w:space="0" w:color="auto"/>
              <w:right w:val="nil"/>
            </w:tcBorders>
            <w:hideMark/>
          </w:tcPr>
          <w:p w14:paraId="2086ECC6" w14:textId="77777777" w:rsidR="00802D3E" w:rsidRDefault="00802D3E">
            <w:pPr>
              <w:pStyle w:val="MeasureTableTextRightAligned"/>
            </w:pPr>
            <w:r>
              <w:t>155</w:t>
            </w:r>
          </w:p>
        </w:tc>
        <w:tc>
          <w:tcPr>
            <w:tcW w:w="967" w:type="dxa"/>
            <w:tcBorders>
              <w:top w:val="single" w:sz="2" w:space="0" w:color="auto"/>
              <w:left w:val="nil"/>
              <w:bottom w:val="single" w:sz="2" w:space="0" w:color="auto"/>
              <w:right w:val="nil"/>
            </w:tcBorders>
            <w:hideMark/>
          </w:tcPr>
          <w:p w14:paraId="2086ECC7" w14:textId="77777777" w:rsidR="00802D3E" w:rsidRDefault="00802D3E">
            <w:pPr>
              <w:pStyle w:val="MeasureTableTextRightAligned"/>
            </w:pPr>
            <w:r>
              <w:t>130</w:t>
            </w:r>
          </w:p>
        </w:tc>
        <w:tc>
          <w:tcPr>
            <w:tcW w:w="967" w:type="dxa"/>
            <w:tcBorders>
              <w:top w:val="single" w:sz="2" w:space="0" w:color="auto"/>
              <w:left w:val="nil"/>
              <w:bottom w:val="single" w:sz="2" w:space="0" w:color="auto"/>
              <w:right w:val="nil"/>
            </w:tcBorders>
            <w:vAlign w:val="bottom"/>
            <w:hideMark/>
          </w:tcPr>
          <w:p w14:paraId="2086ECC8" w14:textId="77777777" w:rsidR="00802D3E" w:rsidRDefault="00802D3E">
            <w:pPr>
              <w:pStyle w:val="MeasureTableTextRightAligned"/>
            </w:pPr>
            <w:r>
              <w:t>225</w:t>
            </w:r>
          </w:p>
        </w:tc>
        <w:tc>
          <w:tcPr>
            <w:tcW w:w="967" w:type="dxa"/>
            <w:tcBorders>
              <w:top w:val="single" w:sz="2" w:space="0" w:color="auto"/>
              <w:left w:val="nil"/>
              <w:bottom w:val="single" w:sz="2" w:space="0" w:color="auto"/>
              <w:right w:val="nil"/>
            </w:tcBorders>
            <w:vAlign w:val="bottom"/>
            <w:hideMark/>
          </w:tcPr>
          <w:p w14:paraId="2086ECC9" w14:textId="77777777" w:rsidR="00802D3E" w:rsidRDefault="00802D3E">
            <w:pPr>
              <w:pStyle w:val="MeasureTableTextRightAligned"/>
            </w:pPr>
            <w:r>
              <w:t>705</w:t>
            </w:r>
          </w:p>
        </w:tc>
        <w:tc>
          <w:tcPr>
            <w:tcW w:w="967" w:type="dxa"/>
            <w:tcBorders>
              <w:top w:val="single" w:sz="2" w:space="0" w:color="auto"/>
              <w:left w:val="nil"/>
              <w:bottom w:val="single" w:sz="2" w:space="0" w:color="auto"/>
              <w:right w:val="nil"/>
            </w:tcBorders>
            <w:vAlign w:val="bottom"/>
            <w:hideMark/>
          </w:tcPr>
          <w:p w14:paraId="2086ECCA" w14:textId="77777777" w:rsidR="00802D3E" w:rsidRDefault="00802D3E">
            <w:pPr>
              <w:pStyle w:val="MeasureTableTextRightAligned"/>
            </w:pPr>
            <w:r>
              <w:t>420</w:t>
            </w:r>
          </w:p>
        </w:tc>
        <w:tc>
          <w:tcPr>
            <w:tcW w:w="967" w:type="dxa"/>
            <w:gridSpan w:val="2"/>
            <w:tcBorders>
              <w:top w:val="single" w:sz="2" w:space="0" w:color="auto"/>
              <w:left w:val="nil"/>
              <w:bottom w:val="single" w:sz="2" w:space="0" w:color="auto"/>
              <w:right w:val="nil"/>
            </w:tcBorders>
            <w:vAlign w:val="bottom"/>
            <w:hideMark/>
          </w:tcPr>
          <w:p w14:paraId="2086ECCB" w14:textId="77777777" w:rsidR="00802D3E" w:rsidRDefault="00802D3E">
            <w:pPr>
              <w:pStyle w:val="MeasureTableTextRightAligned"/>
            </w:pPr>
            <w:r>
              <w:t>420</w:t>
            </w:r>
          </w:p>
        </w:tc>
        <w:tc>
          <w:tcPr>
            <w:tcW w:w="967" w:type="dxa"/>
            <w:gridSpan w:val="2"/>
            <w:tcBorders>
              <w:top w:val="single" w:sz="2" w:space="0" w:color="auto"/>
              <w:left w:val="nil"/>
              <w:bottom w:val="single" w:sz="2" w:space="0" w:color="auto"/>
              <w:right w:val="nil"/>
            </w:tcBorders>
            <w:vAlign w:val="bottom"/>
            <w:hideMark/>
          </w:tcPr>
          <w:p w14:paraId="2086ECCC" w14:textId="77777777" w:rsidR="00802D3E" w:rsidRDefault="00802D3E">
            <w:pPr>
              <w:pStyle w:val="MeasureTableTextRightAligned"/>
            </w:pPr>
            <w:r>
              <w:t>405</w:t>
            </w:r>
          </w:p>
        </w:tc>
        <w:tc>
          <w:tcPr>
            <w:tcW w:w="968" w:type="dxa"/>
            <w:tcBorders>
              <w:top w:val="single" w:sz="2" w:space="0" w:color="auto"/>
              <w:left w:val="nil"/>
              <w:bottom w:val="single" w:sz="2" w:space="0" w:color="auto"/>
              <w:right w:val="nil"/>
            </w:tcBorders>
            <w:vAlign w:val="bottom"/>
            <w:hideMark/>
          </w:tcPr>
          <w:p w14:paraId="2086ECCD" w14:textId="77777777" w:rsidR="00802D3E" w:rsidRDefault="00802D3E">
            <w:pPr>
              <w:pStyle w:val="MeasureTableTextRightAligned"/>
            </w:pPr>
            <w:r>
              <w:t>405</w:t>
            </w:r>
          </w:p>
        </w:tc>
      </w:tr>
      <w:tr w:rsidR="00802D3E" w14:paraId="2086ECD3" w14:textId="77777777" w:rsidTr="00802D3E">
        <w:trPr>
          <w:cantSplit/>
          <w:jc w:val="center"/>
        </w:trPr>
        <w:tc>
          <w:tcPr>
            <w:tcW w:w="1934" w:type="dxa"/>
            <w:gridSpan w:val="2"/>
            <w:tcBorders>
              <w:top w:val="single" w:sz="2" w:space="0" w:color="auto"/>
              <w:left w:val="nil"/>
              <w:bottom w:val="nil"/>
              <w:right w:val="nil"/>
            </w:tcBorders>
            <w:hideMark/>
          </w:tcPr>
          <w:p w14:paraId="2086ECC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CD0"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ECD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CD2" w14:textId="77777777" w:rsidR="00802D3E" w:rsidRDefault="00802D3E">
            <w:pPr>
              <w:pStyle w:val="MeasureTableTextLeftAligned"/>
            </w:pPr>
            <w:r>
              <w:t>A50</w:t>
            </w:r>
          </w:p>
        </w:tc>
      </w:tr>
      <w:tr w:rsidR="00802D3E" w14:paraId="2086ECD8" w14:textId="77777777" w:rsidTr="00802D3E">
        <w:trPr>
          <w:cantSplit/>
          <w:jc w:val="center"/>
        </w:trPr>
        <w:tc>
          <w:tcPr>
            <w:tcW w:w="1934" w:type="dxa"/>
            <w:gridSpan w:val="2"/>
            <w:tcBorders>
              <w:top w:val="nil"/>
              <w:left w:val="nil"/>
              <w:bottom w:val="nil"/>
              <w:right w:val="nil"/>
            </w:tcBorders>
            <w:hideMark/>
          </w:tcPr>
          <w:p w14:paraId="2086ECD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CD5" w14:textId="77777777" w:rsidR="00802D3E" w:rsidRDefault="00802D3E">
            <w:pPr>
              <w:pStyle w:val="MeasureTableTextLeftAligned"/>
            </w:pPr>
            <w:r>
              <w:t>Low</w:t>
            </w:r>
          </w:p>
        </w:tc>
        <w:tc>
          <w:tcPr>
            <w:tcW w:w="1500" w:type="dxa"/>
            <w:gridSpan w:val="2"/>
            <w:tcBorders>
              <w:top w:val="nil"/>
              <w:left w:val="nil"/>
              <w:bottom w:val="nil"/>
              <w:right w:val="nil"/>
            </w:tcBorders>
          </w:tcPr>
          <w:p w14:paraId="2086ECD6" w14:textId="77777777" w:rsidR="00802D3E" w:rsidRDefault="00802D3E">
            <w:pPr>
              <w:pStyle w:val="MeasureTableTextItalic"/>
            </w:pPr>
          </w:p>
        </w:tc>
        <w:tc>
          <w:tcPr>
            <w:tcW w:w="1124" w:type="dxa"/>
            <w:gridSpan w:val="2"/>
            <w:tcBorders>
              <w:top w:val="nil"/>
              <w:left w:val="nil"/>
              <w:bottom w:val="nil"/>
              <w:right w:val="nil"/>
            </w:tcBorders>
          </w:tcPr>
          <w:p w14:paraId="2086ECD7" w14:textId="77777777" w:rsidR="00802D3E" w:rsidRDefault="00802D3E">
            <w:pPr>
              <w:pStyle w:val="MeasureTableTextLeftAligned"/>
            </w:pPr>
          </w:p>
        </w:tc>
      </w:tr>
      <w:tr w:rsidR="00802D3E" w14:paraId="2086ECDD" w14:textId="77777777" w:rsidTr="00802D3E">
        <w:trPr>
          <w:cantSplit/>
          <w:jc w:val="center"/>
        </w:trPr>
        <w:tc>
          <w:tcPr>
            <w:tcW w:w="1934" w:type="dxa"/>
            <w:gridSpan w:val="2"/>
            <w:tcBorders>
              <w:top w:val="nil"/>
              <w:left w:val="nil"/>
              <w:bottom w:val="nil"/>
              <w:right w:val="nil"/>
            </w:tcBorders>
            <w:hideMark/>
          </w:tcPr>
          <w:p w14:paraId="2086ECD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CDA" w14:textId="77777777" w:rsidR="00802D3E" w:rsidRDefault="00802D3E">
            <w:pPr>
              <w:pStyle w:val="MeasureTableTextLeftAligned"/>
            </w:pPr>
            <w:r>
              <w:t>1 October 2009</w:t>
            </w:r>
          </w:p>
        </w:tc>
        <w:tc>
          <w:tcPr>
            <w:tcW w:w="1500" w:type="dxa"/>
            <w:gridSpan w:val="2"/>
            <w:tcBorders>
              <w:top w:val="nil"/>
              <w:left w:val="nil"/>
              <w:bottom w:val="nil"/>
              <w:right w:val="nil"/>
            </w:tcBorders>
            <w:hideMark/>
          </w:tcPr>
          <w:p w14:paraId="2086ECD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CDC" w14:textId="77777777" w:rsidR="00802D3E" w:rsidRDefault="00802D3E">
            <w:pPr>
              <w:pStyle w:val="MeasureTableTextLeftAligned"/>
            </w:pPr>
          </w:p>
        </w:tc>
      </w:tr>
      <w:tr w:rsidR="00802D3E" w14:paraId="2086ECE0" w14:textId="77777777" w:rsidTr="00802D3E">
        <w:trPr>
          <w:cantSplit/>
          <w:jc w:val="center"/>
        </w:trPr>
        <w:tc>
          <w:tcPr>
            <w:tcW w:w="1934" w:type="dxa"/>
            <w:gridSpan w:val="2"/>
            <w:tcBorders>
              <w:top w:val="nil"/>
              <w:left w:val="nil"/>
              <w:bottom w:val="single" w:sz="2" w:space="0" w:color="auto"/>
              <w:right w:val="nil"/>
            </w:tcBorders>
            <w:hideMark/>
          </w:tcPr>
          <w:p w14:paraId="2086ECD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CDF"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Item 2 of the table in </w:t>
            </w:r>
            <w:r w:rsidRPr="00231210">
              <w:rPr>
                <w:rFonts w:ascii="Arial" w:hAnsi="Arial" w:cs="Arial"/>
                <w:color w:val="000000"/>
                <w:sz w:val="16"/>
                <w:szCs w:val="16"/>
              </w:rPr>
              <w:t xml:space="preserve">Section </w:t>
            </w:r>
            <w:r w:rsidRPr="00231210">
              <w:rPr>
                <w:rFonts w:ascii="Arial" w:hAnsi="Arial" w:cs="Arial"/>
                <w:sz w:val="16"/>
                <w:szCs w:val="16"/>
              </w:rPr>
              <w:t xml:space="preserve">30-15 of the </w:t>
            </w:r>
            <w:r w:rsidRPr="00231210">
              <w:rPr>
                <w:rFonts w:ascii="Arial" w:hAnsi="Arial" w:cs="Arial"/>
                <w:i/>
                <w:iCs/>
                <w:color w:val="000000"/>
                <w:sz w:val="16"/>
                <w:szCs w:val="16"/>
              </w:rPr>
              <w:t>Income Tax Assessment Act 1997</w:t>
            </w:r>
          </w:p>
        </w:tc>
      </w:tr>
    </w:tbl>
    <w:p w14:paraId="2086ECE1" w14:textId="77777777" w:rsidR="00802D3E" w:rsidRDefault="00802D3E" w:rsidP="0098392C">
      <w:pPr>
        <w:pStyle w:val="SingleParagraph"/>
      </w:pPr>
    </w:p>
    <w:p w14:paraId="2086ECE2" w14:textId="7DBAD4BA" w:rsidR="00802D3E" w:rsidRDefault="00802D3E" w:rsidP="00802D3E">
      <w:r>
        <w:t>Private ancillary funds are funds established by businesses, families and individuals solely for the purpose of disbursing funds to charitable or philanthropic trusts (or for establishing such trusts). Donations of cash and property (subject to certain conditions) of a value of $2 or more to private ancillary funds</w:t>
      </w:r>
      <w:r w:rsidR="00F4427D">
        <w:t>,</w:t>
      </w:r>
      <w:r>
        <w:fldChar w:fldCharType="begin"/>
      </w:r>
      <w:r>
        <w:instrText xml:space="preserve"> XE "Private Ancillary Funds" </w:instrText>
      </w:r>
      <w:r>
        <w:fldChar w:fldCharType="end"/>
      </w:r>
      <w:r>
        <w:t xml:space="preserve"> which have deductible gift recipient</w:t>
      </w:r>
      <w:r>
        <w:fldChar w:fldCharType="begin"/>
      </w:r>
      <w:r>
        <w:instrText xml:space="preserve"> XE "Deductible gift recipients" </w:instrText>
      </w:r>
      <w:r>
        <w:fldChar w:fldCharType="end"/>
      </w:r>
      <w:r>
        <w:t xml:space="preserve"> status</w:t>
      </w:r>
      <w:r w:rsidR="00F4427D">
        <w:t>,</w:t>
      </w:r>
      <w:r>
        <w:t xml:space="preserve"> are tax deductible. </w:t>
      </w:r>
    </w:p>
    <w:p w14:paraId="2086ECE3" w14:textId="77777777" w:rsidR="00802D3E" w:rsidRDefault="00802D3E" w:rsidP="00802D3E">
      <w:pPr>
        <w:pStyle w:val="TESHeading5"/>
        <w:ind w:left="0" w:firstLine="0"/>
      </w:pPr>
      <w:r>
        <w:t>A56</w:t>
      </w:r>
      <w:r>
        <w:tab/>
        <w:t xml:space="preserve">Car expenses </w:t>
      </w:r>
      <w:r w:rsidR="00663962">
        <w:t>–</w:t>
      </w:r>
      <w:r>
        <w:t xml:space="preserve"> alternatives</w:t>
      </w:r>
      <w:r w:rsidR="00663962">
        <w:t xml:space="preserve"> </w:t>
      </w:r>
      <w:r>
        <w:t>to the logbook method</w:t>
      </w:r>
    </w:p>
    <w:p w14:paraId="2086ECE4" w14:textId="77777777" w:rsidR="00802D3E" w:rsidRDefault="00802D3E" w:rsidP="00802D3E">
      <w:pPr>
        <w:pStyle w:val="MeasureTableHeading"/>
      </w:pPr>
      <w:r>
        <w:t xml:space="preserve">Other economic affairs </w:t>
      </w:r>
      <w:r w:rsidR="00663962">
        <w:t>–</w:t>
      </w:r>
      <w:r>
        <w:t xml:space="preserve"> Total</w:t>
      </w:r>
      <w:r w:rsidR="00663962">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CED" w14:textId="77777777" w:rsidTr="00802D3E">
        <w:trPr>
          <w:cantSplit/>
          <w:jc w:val="center"/>
        </w:trPr>
        <w:tc>
          <w:tcPr>
            <w:tcW w:w="967" w:type="dxa"/>
            <w:tcBorders>
              <w:top w:val="single" w:sz="2" w:space="0" w:color="auto"/>
              <w:left w:val="nil"/>
              <w:bottom w:val="single" w:sz="2" w:space="0" w:color="auto"/>
              <w:right w:val="nil"/>
            </w:tcBorders>
            <w:hideMark/>
          </w:tcPr>
          <w:p w14:paraId="2086ECE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CE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CE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CE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CE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CE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CE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CEC" w14:textId="77777777" w:rsidR="00802D3E" w:rsidRDefault="00802D3E">
            <w:pPr>
              <w:pStyle w:val="MeasureTableTextRightAligned"/>
            </w:pPr>
            <w:r>
              <w:t>2019-20</w:t>
            </w:r>
          </w:p>
        </w:tc>
      </w:tr>
      <w:tr w:rsidR="00802D3E" w14:paraId="2086ECF6" w14:textId="77777777" w:rsidTr="00802D3E">
        <w:trPr>
          <w:cantSplit/>
          <w:jc w:val="center"/>
        </w:trPr>
        <w:tc>
          <w:tcPr>
            <w:tcW w:w="967" w:type="dxa"/>
            <w:tcBorders>
              <w:top w:val="single" w:sz="2" w:space="0" w:color="auto"/>
              <w:left w:val="nil"/>
              <w:bottom w:val="single" w:sz="2" w:space="0" w:color="auto"/>
              <w:right w:val="nil"/>
            </w:tcBorders>
            <w:hideMark/>
          </w:tcPr>
          <w:p w14:paraId="2086ECE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CE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CF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CF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CF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CF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CF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CF5" w14:textId="77777777" w:rsidR="00802D3E" w:rsidRDefault="00802D3E">
            <w:pPr>
              <w:pStyle w:val="MeasureTableTextRightAligned"/>
            </w:pPr>
            <w:r>
              <w:t>*</w:t>
            </w:r>
          </w:p>
        </w:tc>
      </w:tr>
      <w:tr w:rsidR="00802D3E" w14:paraId="2086ECFB" w14:textId="77777777" w:rsidTr="00802D3E">
        <w:trPr>
          <w:cantSplit/>
          <w:jc w:val="center"/>
        </w:trPr>
        <w:tc>
          <w:tcPr>
            <w:tcW w:w="1934" w:type="dxa"/>
            <w:gridSpan w:val="2"/>
            <w:tcBorders>
              <w:top w:val="single" w:sz="2" w:space="0" w:color="auto"/>
              <w:left w:val="nil"/>
              <w:bottom w:val="nil"/>
              <w:right w:val="nil"/>
            </w:tcBorders>
            <w:hideMark/>
          </w:tcPr>
          <w:p w14:paraId="2086ECF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CF8"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ECF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CFA" w14:textId="77777777" w:rsidR="00802D3E" w:rsidRDefault="00802D3E">
            <w:pPr>
              <w:pStyle w:val="MeasureTableTextLeftAligned"/>
            </w:pPr>
            <w:r>
              <w:t>A51</w:t>
            </w:r>
          </w:p>
        </w:tc>
      </w:tr>
      <w:tr w:rsidR="00802D3E" w14:paraId="2086ED00" w14:textId="77777777" w:rsidTr="00802D3E">
        <w:trPr>
          <w:cantSplit/>
          <w:jc w:val="center"/>
        </w:trPr>
        <w:tc>
          <w:tcPr>
            <w:tcW w:w="1934" w:type="dxa"/>
            <w:gridSpan w:val="2"/>
            <w:tcBorders>
              <w:top w:val="nil"/>
              <w:left w:val="nil"/>
              <w:bottom w:val="nil"/>
              <w:right w:val="nil"/>
            </w:tcBorders>
            <w:hideMark/>
          </w:tcPr>
          <w:p w14:paraId="2086ECF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CF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CF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CFF" w14:textId="77777777" w:rsidR="00802D3E" w:rsidRDefault="00802D3E">
            <w:pPr>
              <w:pStyle w:val="MeasureTableTextLeftAligned"/>
            </w:pPr>
            <w:r>
              <w:t>3+</w:t>
            </w:r>
          </w:p>
        </w:tc>
      </w:tr>
      <w:tr w:rsidR="00802D3E" w14:paraId="2086ED05" w14:textId="77777777" w:rsidTr="00802D3E">
        <w:trPr>
          <w:cantSplit/>
          <w:jc w:val="center"/>
        </w:trPr>
        <w:tc>
          <w:tcPr>
            <w:tcW w:w="1934" w:type="dxa"/>
            <w:gridSpan w:val="2"/>
            <w:tcBorders>
              <w:top w:val="nil"/>
              <w:left w:val="nil"/>
              <w:bottom w:val="nil"/>
              <w:right w:val="nil"/>
            </w:tcBorders>
            <w:hideMark/>
          </w:tcPr>
          <w:p w14:paraId="2086ED0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D02" w14:textId="77777777" w:rsidR="00802D3E" w:rsidRDefault="00802D3E">
            <w:pPr>
              <w:pStyle w:val="MeasureTableTextLeftAligned"/>
            </w:pPr>
            <w:r>
              <w:t>1987</w:t>
            </w:r>
          </w:p>
        </w:tc>
        <w:tc>
          <w:tcPr>
            <w:tcW w:w="1500" w:type="dxa"/>
            <w:gridSpan w:val="2"/>
            <w:tcBorders>
              <w:top w:val="nil"/>
              <w:left w:val="nil"/>
              <w:bottom w:val="nil"/>
              <w:right w:val="nil"/>
            </w:tcBorders>
            <w:hideMark/>
          </w:tcPr>
          <w:p w14:paraId="2086ED0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D04" w14:textId="77777777" w:rsidR="00802D3E" w:rsidRDefault="00802D3E">
            <w:pPr>
              <w:pStyle w:val="MeasureTableTextLeftAligned"/>
            </w:pPr>
          </w:p>
        </w:tc>
      </w:tr>
      <w:tr w:rsidR="00802D3E" w14:paraId="2086ED08" w14:textId="77777777" w:rsidTr="00802D3E">
        <w:trPr>
          <w:cantSplit/>
          <w:jc w:val="center"/>
        </w:trPr>
        <w:tc>
          <w:tcPr>
            <w:tcW w:w="1934" w:type="dxa"/>
            <w:gridSpan w:val="2"/>
            <w:tcBorders>
              <w:top w:val="nil"/>
              <w:left w:val="nil"/>
              <w:bottom w:val="single" w:sz="2" w:space="0" w:color="auto"/>
              <w:right w:val="nil"/>
            </w:tcBorders>
            <w:hideMark/>
          </w:tcPr>
          <w:p w14:paraId="2086ED0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D07" w14:textId="77777777" w:rsidR="00802D3E" w:rsidRDefault="00802D3E" w:rsidP="00231210">
            <w:pPr>
              <w:keepNext/>
              <w:widowControl w:val="0"/>
              <w:autoSpaceDE w:val="0"/>
              <w:autoSpaceDN w:val="0"/>
              <w:adjustRightInd w:val="0"/>
              <w:spacing w:before="20" w:after="20" w:line="240" w:lineRule="auto"/>
              <w:jc w:val="left"/>
            </w:pPr>
            <w:r>
              <w:rPr>
                <w:rFonts w:ascii="Arial" w:hAnsi="Arial" w:cs="Arial"/>
                <w:color w:val="000000"/>
                <w:sz w:val="16"/>
                <w:szCs w:val="16"/>
              </w:rPr>
              <w:t xml:space="preserve">Division 28 and Subdivision 900-C of the </w:t>
            </w:r>
            <w:r>
              <w:rPr>
                <w:rFonts w:ascii="Arial" w:hAnsi="Arial" w:cs="Arial"/>
                <w:i/>
                <w:iCs/>
                <w:color w:val="000000"/>
                <w:sz w:val="16"/>
                <w:szCs w:val="16"/>
              </w:rPr>
              <w:t>Income Tax Assessment Act 1997</w:t>
            </w:r>
          </w:p>
        </w:tc>
      </w:tr>
    </w:tbl>
    <w:p w14:paraId="2086ED09" w14:textId="77777777" w:rsidR="00802D3E" w:rsidRDefault="00802D3E" w:rsidP="0098392C">
      <w:pPr>
        <w:pStyle w:val="SingleParagraph"/>
      </w:pPr>
    </w:p>
    <w:p w14:paraId="2086ED0A" w14:textId="5C3FFB12" w:rsidR="00802D3E" w:rsidRDefault="00802D3E" w:rsidP="00802D3E">
      <w:r>
        <w:t>An alternative method to the logbook method (which is based on actual expenditure) is available to value car expense deductions. The ‘cents per kilometre’ method is available up to a maximum of 5,000 business kilometres. Prior to 1 July 2015, the ‘one</w:t>
      </w:r>
      <w:r w:rsidR="00A1526E">
        <w:t> </w:t>
      </w:r>
      <w:r>
        <w:t xml:space="preserve">third of actual expenses’ method and ‘12 per cent of original value’ method were available where business use exceeded 5,000 kilometres. </w:t>
      </w:r>
      <w:r>
        <w:fldChar w:fldCharType="begin"/>
      </w:r>
      <w:r>
        <w:instrText xml:space="preserve"> XE "Car expense deductions" </w:instrText>
      </w:r>
      <w:r>
        <w:fldChar w:fldCharType="end"/>
      </w:r>
    </w:p>
    <w:p w14:paraId="2086ED0B" w14:textId="77777777" w:rsidR="00802D3E" w:rsidRDefault="00802D3E" w:rsidP="00802D3E">
      <w:pPr>
        <w:pStyle w:val="TESHeading5"/>
        <w:ind w:left="0" w:firstLine="0"/>
      </w:pPr>
      <w:r>
        <w:t>A57</w:t>
      </w:r>
      <w:r>
        <w:tab/>
        <w:t>Tax offset on certain payments of income received in arrears</w:t>
      </w:r>
    </w:p>
    <w:p w14:paraId="2086ED0C" w14:textId="77777777" w:rsidR="00802D3E" w:rsidRDefault="00802D3E" w:rsidP="00802D3E">
      <w:pPr>
        <w:pStyle w:val="MeasureTableHeading"/>
      </w:pPr>
      <w:r>
        <w:t xml:space="preserve">Other economic affairs </w:t>
      </w:r>
      <w:r w:rsidR="00663962">
        <w:t>–</w:t>
      </w:r>
      <w:r>
        <w:t xml:space="preserve"> Total</w:t>
      </w:r>
      <w:r w:rsidR="00663962">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D15" w14:textId="77777777" w:rsidTr="00802D3E">
        <w:trPr>
          <w:cantSplit/>
          <w:jc w:val="center"/>
        </w:trPr>
        <w:tc>
          <w:tcPr>
            <w:tcW w:w="967" w:type="dxa"/>
            <w:tcBorders>
              <w:top w:val="single" w:sz="2" w:space="0" w:color="auto"/>
              <w:left w:val="nil"/>
              <w:bottom w:val="single" w:sz="2" w:space="0" w:color="auto"/>
              <w:right w:val="nil"/>
            </w:tcBorders>
            <w:hideMark/>
          </w:tcPr>
          <w:p w14:paraId="2086ED0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D0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D0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D1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D1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D1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D1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D14" w14:textId="77777777" w:rsidR="00802D3E" w:rsidRDefault="00802D3E">
            <w:pPr>
              <w:pStyle w:val="MeasureTableTextRightAligned"/>
            </w:pPr>
            <w:r>
              <w:t>2019-20</w:t>
            </w:r>
          </w:p>
        </w:tc>
      </w:tr>
      <w:tr w:rsidR="00802D3E" w14:paraId="2086ED1E" w14:textId="77777777" w:rsidTr="00802D3E">
        <w:trPr>
          <w:cantSplit/>
          <w:jc w:val="center"/>
        </w:trPr>
        <w:tc>
          <w:tcPr>
            <w:tcW w:w="967" w:type="dxa"/>
            <w:tcBorders>
              <w:top w:val="single" w:sz="2" w:space="0" w:color="auto"/>
              <w:left w:val="nil"/>
              <w:bottom w:val="single" w:sz="2" w:space="0" w:color="auto"/>
              <w:right w:val="nil"/>
            </w:tcBorders>
            <w:hideMark/>
          </w:tcPr>
          <w:p w14:paraId="2086ED16"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hideMark/>
          </w:tcPr>
          <w:p w14:paraId="2086ED17"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6ED18" w14:textId="77777777" w:rsidR="00802D3E" w:rsidRDefault="00802D3E">
            <w:pPr>
              <w:pStyle w:val="MeasureTableTextRightAligned"/>
            </w:pPr>
            <w:r>
              <w:t>6</w:t>
            </w:r>
          </w:p>
        </w:tc>
        <w:tc>
          <w:tcPr>
            <w:tcW w:w="967" w:type="dxa"/>
            <w:tcBorders>
              <w:top w:val="single" w:sz="2" w:space="0" w:color="auto"/>
              <w:left w:val="nil"/>
              <w:bottom w:val="single" w:sz="2" w:space="0" w:color="auto"/>
              <w:right w:val="nil"/>
            </w:tcBorders>
            <w:vAlign w:val="bottom"/>
            <w:hideMark/>
          </w:tcPr>
          <w:p w14:paraId="2086ED19" w14:textId="77777777" w:rsidR="00802D3E" w:rsidRDefault="00802D3E">
            <w:pPr>
              <w:pStyle w:val="MeasureTableTextRightAligned"/>
            </w:pPr>
            <w:r>
              <w:t>6</w:t>
            </w:r>
          </w:p>
        </w:tc>
        <w:tc>
          <w:tcPr>
            <w:tcW w:w="967" w:type="dxa"/>
            <w:tcBorders>
              <w:top w:val="single" w:sz="2" w:space="0" w:color="auto"/>
              <w:left w:val="nil"/>
              <w:bottom w:val="single" w:sz="2" w:space="0" w:color="auto"/>
              <w:right w:val="nil"/>
            </w:tcBorders>
            <w:vAlign w:val="bottom"/>
            <w:hideMark/>
          </w:tcPr>
          <w:p w14:paraId="2086ED1A" w14:textId="77777777" w:rsidR="00802D3E" w:rsidRDefault="00802D3E">
            <w:pPr>
              <w:pStyle w:val="MeasureTableTextRightAligned"/>
            </w:pPr>
            <w:r>
              <w:t>7</w:t>
            </w:r>
          </w:p>
        </w:tc>
        <w:tc>
          <w:tcPr>
            <w:tcW w:w="967" w:type="dxa"/>
            <w:gridSpan w:val="2"/>
            <w:tcBorders>
              <w:top w:val="single" w:sz="2" w:space="0" w:color="auto"/>
              <w:left w:val="nil"/>
              <w:bottom w:val="single" w:sz="2" w:space="0" w:color="auto"/>
              <w:right w:val="nil"/>
            </w:tcBorders>
            <w:vAlign w:val="bottom"/>
            <w:hideMark/>
          </w:tcPr>
          <w:p w14:paraId="2086ED1B" w14:textId="77777777" w:rsidR="00802D3E" w:rsidRDefault="00802D3E">
            <w:pPr>
              <w:pStyle w:val="MeasureTableTextRightAligned"/>
            </w:pPr>
            <w:r>
              <w:t>8</w:t>
            </w:r>
          </w:p>
        </w:tc>
        <w:tc>
          <w:tcPr>
            <w:tcW w:w="967" w:type="dxa"/>
            <w:gridSpan w:val="2"/>
            <w:tcBorders>
              <w:top w:val="single" w:sz="2" w:space="0" w:color="auto"/>
              <w:left w:val="nil"/>
              <w:bottom w:val="single" w:sz="2" w:space="0" w:color="auto"/>
              <w:right w:val="nil"/>
            </w:tcBorders>
            <w:vAlign w:val="bottom"/>
            <w:hideMark/>
          </w:tcPr>
          <w:p w14:paraId="2086ED1C" w14:textId="77777777" w:rsidR="00802D3E" w:rsidRDefault="00802D3E">
            <w:pPr>
              <w:pStyle w:val="MeasureTableTextRightAligned"/>
            </w:pPr>
            <w:r>
              <w:t>8</w:t>
            </w:r>
          </w:p>
        </w:tc>
        <w:tc>
          <w:tcPr>
            <w:tcW w:w="968" w:type="dxa"/>
            <w:tcBorders>
              <w:top w:val="single" w:sz="2" w:space="0" w:color="auto"/>
              <w:left w:val="nil"/>
              <w:bottom w:val="single" w:sz="2" w:space="0" w:color="auto"/>
              <w:right w:val="nil"/>
            </w:tcBorders>
            <w:vAlign w:val="bottom"/>
            <w:hideMark/>
          </w:tcPr>
          <w:p w14:paraId="2086ED1D" w14:textId="77777777" w:rsidR="00802D3E" w:rsidRDefault="00802D3E">
            <w:pPr>
              <w:pStyle w:val="MeasureTableTextRightAligned"/>
            </w:pPr>
            <w:r>
              <w:t>9</w:t>
            </w:r>
          </w:p>
        </w:tc>
      </w:tr>
      <w:tr w:rsidR="00802D3E" w14:paraId="2086ED23" w14:textId="77777777" w:rsidTr="00802D3E">
        <w:trPr>
          <w:cantSplit/>
          <w:jc w:val="center"/>
        </w:trPr>
        <w:tc>
          <w:tcPr>
            <w:tcW w:w="1934" w:type="dxa"/>
            <w:gridSpan w:val="2"/>
            <w:tcBorders>
              <w:top w:val="single" w:sz="2" w:space="0" w:color="auto"/>
              <w:left w:val="nil"/>
              <w:bottom w:val="nil"/>
              <w:right w:val="nil"/>
            </w:tcBorders>
            <w:hideMark/>
          </w:tcPr>
          <w:p w14:paraId="2086ED1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D20"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ED2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D22" w14:textId="77777777" w:rsidR="00802D3E" w:rsidRDefault="00802D3E">
            <w:pPr>
              <w:pStyle w:val="MeasureTableTextLeftAligned"/>
            </w:pPr>
            <w:r>
              <w:t>A52</w:t>
            </w:r>
          </w:p>
        </w:tc>
      </w:tr>
      <w:tr w:rsidR="00802D3E" w14:paraId="2086ED28" w14:textId="77777777" w:rsidTr="00802D3E">
        <w:trPr>
          <w:cantSplit/>
          <w:jc w:val="center"/>
        </w:trPr>
        <w:tc>
          <w:tcPr>
            <w:tcW w:w="1934" w:type="dxa"/>
            <w:gridSpan w:val="2"/>
            <w:tcBorders>
              <w:top w:val="nil"/>
              <w:left w:val="nil"/>
              <w:bottom w:val="nil"/>
              <w:right w:val="nil"/>
            </w:tcBorders>
            <w:hideMark/>
          </w:tcPr>
          <w:p w14:paraId="2086ED2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D25"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ED26" w14:textId="77777777" w:rsidR="00802D3E" w:rsidRDefault="00802D3E">
            <w:pPr>
              <w:pStyle w:val="MeasureTableTextItalic"/>
            </w:pPr>
          </w:p>
        </w:tc>
        <w:tc>
          <w:tcPr>
            <w:tcW w:w="1124" w:type="dxa"/>
            <w:gridSpan w:val="2"/>
            <w:tcBorders>
              <w:top w:val="nil"/>
              <w:left w:val="nil"/>
              <w:bottom w:val="nil"/>
              <w:right w:val="nil"/>
            </w:tcBorders>
          </w:tcPr>
          <w:p w14:paraId="2086ED27" w14:textId="77777777" w:rsidR="00802D3E" w:rsidRDefault="00802D3E">
            <w:pPr>
              <w:pStyle w:val="MeasureTableTextLeftAligned"/>
            </w:pPr>
          </w:p>
        </w:tc>
      </w:tr>
      <w:tr w:rsidR="00802D3E" w14:paraId="2086ED2D" w14:textId="77777777" w:rsidTr="00802D3E">
        <w:trPr>
          <w:cantSplit/>
          <w:jc w:val="center"/>
        </w:trPr>
        <w:tc>
          <w:tcPr>
            <w:tcW w:w="1934" w:type="dxa"/>
            <w:gridSpan w:val="2"/>
            <w:tcBorders>
              <w:top w:val="nil"/>
              <w:left w:val="nil"/>
              <w:bottom w:val="nil"/>
              <w:right w:val="nil"/>
            </w:tcBorders>
            <w:hideMark/>
          </w:tcPr>
          <w:p w14:paraId="2086ED2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D2A"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ED2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D2C" w14:textId="77777777" w:rsidR="00802D3E" w:rsidRDefault="00802D3E">
            <w:pPr>
              <w:pStyle w:val="MeasureTableTextLeftAligned"/>
            </w:pPr>
          </w:p>
        </w:tc>
      </w:tr>
      <w:tr w:rsidR="00802D3E" w14:paraId="2086ED30" w14:textId="77777777" w:rsidTr="00802D3E">
        <w:trPr>
          <w:cantSplit/>
          <w:jc w:val="center"/>
        </w:trPr>
        <w:tc>
          <w:tcPr>
            <w:tcW w:w="1934" w:type="dxa"/>
            <w:gridSpan w:val="2"/>
            <w:tcBorders>
              <w:top w:val="nil"/>
              <w:left w:val="nil"/>
              <w:bottom w:val="single" w:sz="2" w:space="0" w:color="auto"/>
              <w:right w:val="nil"/>
            </w:tcBorders>
            <w:hideMark/>
          </w:tcPr>
          <w:p w14:paraId="2086ED2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D2F" w14:textId="77777777" w:rsidR="00802D3E" w:rsidRPr="00231210" w:rsidRDefault="00802D3E" w:rsidP="00231210">
            <w:pPr>
              <w:widowControl w:val="0"/>
              <w:autoSpaceDE w:val="0"/>
              <w:autoSpaceDN w:val="0"/>
              <w:adjustRightInd w:val="0"/>
              <w:spacing w:after="0" w:line="240" w:lineRule="auto"/>
              <w:jc w:val="left"/>
              <w:rPr>
                <w:rFonts w:ascii="Arial" w:hAnsi="Arial" w:cs="Arial"/>
                <w:sz w:val="16"/>
                <w:szCs w:val="16"/>
              </w:rPr>
            </w:pPr>
            <w:r w:rsidRPr="00231210">
              <w:rPr>
                <w:rFonts w:ascii="Arial" w:hAnsi="Arial" w:cs="Arial"/>
                <w:sz w:val="16"/>
                <w:szCs w:val="16"/>
              </w:rPr>
              <w:t xml:space="preserve">Sections 159ZR to 159ZRD of the </w:t>
            </w:r>
            <w:r w:rsidRPr="00231210">
              <w:rPr>
                <w:rFonts w:ascii="Arial" w:hAnsi="Arial" w:cs="Arial"/>
                <w:i/>
                <w:iCs/>
                <w:color w:val="000000"/>
                <w:sz w:val="16"/>
                <w:szCs w:val="16"/>
              </w:rPr>
              <w:t>Income Tax Assessment Act 1936</w:t>
            </w:r>
          </w:p>
        </w:tc>
      </w:tr>
    </w:tbl>
    <w:p w14:paraId="2086ED31" w14:textId="77777777" w:rsidR="00802D3E" w:rsidRDefault="00802D3E" w:rsidP="0098392C">
      <w:pPr>
        <w:pStyle w:val="SingleParagraph"/>
      </w:pPr>
    </w:p>
    <w:p w14:paraId="2086ED32" w14:textId="77777777" w:rsidR="00802D3E" w:rsidRDefault="00802D3E" w:rsidP="00802D3E">
      <w:r>
        <w:t xml:space="preserve">Individual taxpayers who receive lump sum payments of certain income, for example, salary and wages, which accrued in earlier income years may be entitled to a tax offset. </w:t>
      </w:r>
    </w:p>
    <w:p w14:paraId="2086ED33" w14:textId="77777777" w:rsidR="00802D3E" w:rsidRDefault="00802D3E" w:rsidP="00802D3E">
      <w:pPr>
        <w:pStyle w:val="TESHeading5"/>
        <w:ind w:left="0" w:firstLine="0"/>
      </w:pPr>
      <w:r>
        <w:lastRenderedPageBreak/>
        <w:t>A58</w:t>
      </w:r>
      <w:r>
        <w:tab/>
        <w:t>Exemption for personal injury annuities</w:t>
      </w:r>
    </w:p>
    <w:p w14:paraId="2086ED34"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D3D" w14:textId="77777777" w:rsidTr="00802D3E">
        <w:trPr>
          <w:cantSplit/>
          <w:jc w:val="center"/>
        </w:trPr>
        <w:tc>
          <w:tcPr>
            <w:tcW w:w="967" w:type="dxa"/>
            <w:tcBorders>
              <w:top w:val="single" w:sz="2" w:space="0" w:color="auto"/>
              <w:left w:val="nil"/>
              <w:bottom w:val="single" w:sz="2" w:space="0" w:color="auto"/>
              <w:right w:val="nil"/>
            </w:tcBorders>
            <w:hideMark/>
          </w:tcPr>
          <w:p w14:paraId="2086ED3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D3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D3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D3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D3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D3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D3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D3C" w14:textId="77777777" w:rsidR="00802D3E" w:rsidRDefault="00802D3E">
            <w:pPr>
              <w:pStyle w:val="MeasureTableTextRightAligned"/>
            </w:pPr>
            <w:r>
              <w:t>2019-20</w:t>
            </w:r>
          </w:p>
        </w:tc>
      </w:tr>
      <w:tr w:rsidR="00802D3E" w14:paraId="2086ED46" w14:textId="77777777" w:rsidTr="00802D3E">
        <w:trPr>
          <w:cantSplit/>
          <w:jc w:val="center"/>
        </w:trPr>
        <w:tc>
          <w:tcPr>
            <w:tcW w:w="967" w:type="dxa"/>
            <w:tcBorders>
              <w:top w:val="single" w:sz="2" w:space="0" w:color="auto"/>
              <w:left w:val="nil"/>
              <w:bottom w:val="single" w:sz="2" w:space="0" w:color="auto"/>
              <w:right w:val="nil"/>
            </w:tcBorders>
            <w:hideMark/>
          </w:tcPr>
          <w:p w14:paraId="2086ED3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D3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D4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D4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D4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D4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D4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D45" w14:textId="77777777" w:rsidR="00802D3E" w:rsidRDefault="00802D3E">
            <w:pPr>
              <w:pStyle w:val="MeasureTableTextRightAligned"/>
            </w:pPr>
            <w:r>
              <w:t>..</w:t>
            </w:r>
          </w:p>
        </w:tc>
      </w:tr>
      <w:tr w:rsidR="00802D3E" w14:paraId="2086ED4B" w14:textId="77777777" w:rsidTr="00802D3E">
        <w:trPr>
          <w:cantSplit/>
          <w:jc w:val="center"/>
        </w:trPr>
        <w:tc>
          <w:tcPr>
            <w:tcW w:w="1934" w:type="dxa"/>
            <w:gridSpan w:val="2"/>
            <w:tcBorders>
              <w:top w:val="single" w:sz="2" w:space="0" w:color="auto"/>
              <w:left w:val="nil"/>
              <w:bottom w:val="nil"/>
              <w:right w:val="nil"/>
            </w:tcBorders>
            <w:hideMark/>
          </w:tcPr>
          <w:p w14:paraId="2086ED4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D4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D4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D4A" w14:textId="77777777" w:rsidR="00802D3E" w:rsidRDefault="00802D3E">
            <w:pPr>
              <w:pStyle w:val="MeasureTableTextLeftAligned"/>
            </w:pPr>
            <w:r>
              <w:t>A53</w:t>
            </w:r>
          </w:p>
        </w:tc>
      </w:tr>
      <w:tr w:rsidR="00802D3E" w14:paraId="2086ED50" w14:textId="77777777" w:rsidTr="00802D3E">
        <w:trPr>
          <w:cantSplit/>
          <w:jc w:val="center"/>
        </w:trPr>
        <w:tc>
          <w:tcPr>
            <w:tcW w:w="1934" w:type="dxa"/>
            <w:gridSpan w:val="2"/>
            <w:tcBorders>
              <w:top w:val="nil"/>
              <w:left w:val="nil"/>
              <w:bottom w:val="nil"/>
              <w:right w:val="nil"/>
            </w:tcBorders>
            <w:hideMark/>
          </w:tcPr>
          <w:p w14:paraId="2086ED4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D4D" w14:textId="77777777" w:rsidR="00802D3E" w:rsidRDefault="00802D3E">
            <w:pPr>
              <w:pStyle w:val="MeasureTableTextLeftAligned"/>
            </w:pPr>
            <w:r>
              <w:t>Low</w:t>
            </w:r>
          </w:p>
        </w:tc>
        <w:tc>
          <w:tcPr>
            <w:tcW w:w="1500" w:type="dxa"/>
            <w:gridSpan w:val="2"/>
            <w:tcBorders>
              <w:top w:val="nil"/>
              <w:left w:val="nil"/>
              <w:bottom w:val="nil"/>
              <w:right w:val="nil"/>
            </w:tcBorders>
          </w:tcPr>
          <w:p w14:paraId="2086ED4E" w14:textId="77777777" w:rsidR="00802D3E" w:rsidRDefault="00802D3E">
            <w:pPr>
              <w:pStyle w:val="MeasureTableTextItalic"/>
            </w:pPr>
          </w:p>
        </w:tc>
        <w:tc>
          <w:tcPr>
            <w:tcW w:w="1124" w:type="dxa"/>
            <w:gridSpan w:val="2"/>
            <w:tcBorders>
              <w:top w:val="nil"/>
              <w:left w:val="nil"/>
              <w:bottom w:val="nil"/>
              <w:right w:val="nil"/>
            </w:tcBorders>
          </w:tcPr>
          <w:p w14:paraId="2086ED4F" w14:textId="77777777" w:rsidR="00802D3E" w:rsidRDefault="00802D3E">
            <w:pPr>
              <w:pStyle w:val="MeasureTableTextLeftAligned"/>
            </w:pPr>
          </w:p>
        </w:tc>
      </w:tr>
      <w:tr w:rsidR="00802D3E" w14:paraId="2086ED55" w14:textId="77777777" w:rsidTr="00802D3E">
        <w:trPr>
          <w:cantSplit/>
          <w:jc w:val="center"/>
        </w:trPr>
        <w:tc>
          <w:tcPr>
            <w:tcW w:w="1934" w:type="dxa"/>
            <w:gridSpan w:val="2"/>
            <w:tcBorders>
              <w:top w:val="nil"/>
              <w:left w:val="nil"/>
              <w:bottom w:val="nil"/>
              <w:right w:val="nil"/>
            </w:tcBorders>
            <w:hideMark/>
          </w:tcPr>
          <w:p w14:paraId="2086ED5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D52" w14:textId="77777777" w:rsidR="00802D3E" w:rsidRDefault="00802D3E">
            <w:pPr>
              <w:pStyle w:val="MeasureTableTextLeftAligned"/>
            </w:pPr>
            <w:r>
              <w:t>2002</w:t>
            </w:r>
          </w:p>
        </w:tc>
        <w:tc>
          <w:tcPr>
            <w:tcW w:w="1500" w:type="dxa"/>
            <w:gridSpan w:val="2"/>
            <w:tcBorders>
              <w:top w:val="nil"/>
              <w:left w:val="nil"/>
              <w:bottom w:val="nil"/>
              <w:right w:val="nil"/>
            </w:tcBorders>
            <w:hideMark/>
          </w:tcPr>
          <w:p w14:paraId="2086ED5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D54" w14:textId="77777777" w:rsidR="00802D3E" w:rsidRDefault="00802D3E">
            <w:pPr>
              <w:pStyle w:val="MeasureTableTextLeftAligned"/>
            </w:pPr>
          </w:p>
        </w:tc>
      </w:tr>
      <w:tr w:rsidR="00802D3E" w14:paraId="2086ED58" w14:textId="77777777" w:rsidTr="00802D3E">
        <w:trPr>
          <w:cantSplit/>
          <w:jc w:val="center"/>
        </w:trPr>
        <w:tc>
          <w:tcPr>
            <w:tcW w:w="1934" w:type="dxa"/>
            <w:gridSpan w:val="2"/>
            <w:tcBorders>
              <w:top w:val="nil"/>
              <w:left w:val="nil"/>
              <w:bottom w:val="single" w:sz="2" w:space="0" w:color="auto"/>
              <w:right w:val="nil"/>
            </w:tcBorders>
            <w:hideMark/>
          </w:tcPr>
          <w:p w14:paraId="2086ED5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D57"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Division 54 of the </w:t>
            </w:r>
            <w:r w:rsidRPr="00B029D6">
              <w:rPr>
                <w:rFonts w:ascii="Arial" w:hAnsi="Arial" w:cs="Arial"/>
                <w:i/>
                <w:iCs/>
                <w:color w:val="000000"/>
                <w:sz w:val="16"/>
                <w:szCs w:val="16"/>
              </w:rPr>
              <w:t>Income Tax Assessment Act 1997</w:t>
            </w:r>
          </w:p>
        </w:tc>
      </w:tr>
    </w:tbl>
    <w:p w14:paraId="2086ED59" w14:textId="77777777" w:rsidR="00802D3E" w:rsidRDefault="00802D3E" w:rsidP="0098392C">
      <w:pPr>
        <w:pStyle w:val="SingleParagraph"/>
      </w:pPr>
    </w:p>
    <w:p w14:paraId="2086ED5A" w14:textId="77777777" w:rsidR="00802D3E" w:rsidRDefault="00802D3E" w:rsidP="00802D3E">
      <w:r>
        <w:t>Certain annuities provided to personal injury victims</w:t>
      </w:r>
      <w:r>
        <w:fldChar w:fldCharType="begin"/>
      </w:r>
      <w:r>
        <w:instrText xml:space="preserve"> XE "Personal injury victims" </w:instrText>
      </w:r>
      <w:r>
        <w:fldChar w:fldCharType="end"/>
      </w:r>
      <w:r>
        <w:t xml:space="preserve"> under structured settlements and orders are exempt from income tax. This allows personal injury victims who would be eligible to receive large tax-free lump sum compensation payments to receive all or part of their compensation in the form of a tax-free annuity or annuities. </w:t>
      </w:r>
    </w:p>
    <w:p w14:paraId="2086ED5B" w14:textId="77777777" w:rsidR="00802D3E" w:rsidRDefault="00802D3E" w:rsidP="00802D3E">
      <w:pPr>
        <w:pStyle w:val="TESHeading5"/>
        <w:ind w:left="0" w:firstLine="0"/>
      </w:pPr>
      <w:r>
        <w:t>A59</w:t>
      </w:r>
      <w:r>
        <w:tab/>
        <w:t>Exemption of post-judgment interest awards in personal injury compensation cases</w:t>
      </w:r>
    </w:p>
    <w:p w14:paraId="2086ED5C"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D65" w14:textId="77777777" w:rsidTr="00802D3E">
        <w:trPr>
          <w:cantSplit/>
          <w:jc w:val="center"/>
        </w:trPr>
        <w:tc>
          <w:tcPr>
            <w:tcW w:w="967" w:type="dxa"/>
            <w:tcBorders>
              <w:top w:val="single" w:sz="2" w:space="0" w:color="auto"/>
              <w:left w:val="nil"/>
              <w:bottom w:val="single" w:sz="2" w:space="0" w:color="auto"/>
              <w:right w:val="nil"/>
            </w:tcBorders>
            <w:hideMark/>
          </w:tcPr>
          <w:p w14:paraId="2086ED5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D5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D5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D6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D6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D6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D6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D64" w14:textId="77777777" w:rsidR="00802D3E" w:rsidRDefault="00802D3E">
            <w:pPr>
              <w:pStyle w:val="MeasureTableTextRightAligned"/>
            </w:pPr>
            <w:r>
              <w:t>2019-20</w:t>
            </w:r>
          </w:p>
        </w:tc>
      </w:tr>
      <w:tr w:rsidR="00802D3E" w14:paraId="2086ED6E" w14:textId="77777777" w:rsidTr="00802D3E">
        <w:trPr>
          <w:cantSplit/>
          <w:jc w:val="center"/>
        </w:trPr>
        <w:tc>
          <w:tcPr>
            <w:tcW w:w="967" w:type="dxa"/>
            <w:tcBorders>
              <w:top w:val="single" w:sz="2" w:space="0" w:color="auto"/>
              <w:left w:val="nil"/>
              <w:bottom w:val="single" w:sz="2" w:space="0" w:color="auto"/>
              <w:right w:val="nil"/>
            </w:tcBorders>
            <w:hideMark/>
          </w:tcPr>
          <w:p w14:paraId="2086ED66"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hideMark/>
          </w:tcPr>
          <w:p w14:paraId="2086ED67"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vAlign w:val="bottom"/>
            <w:hideMark/>
          </w:tcPr>
          <w:p w14:paraId="2086ED68"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vAlign w:val="bottom"/>
            <w:hideMark/>
          </w:tcPr>
          <w:p w14:paraId="2086ED69"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vAlign w:val="bottom"/>
            <w:hideMark/>
          </w:tcPr>
          <w:p w14:paraId="2086ED6A" w14:textId="77777777" w:rsidR="00802D3E" w:rsidRDefault="00802D3E">
            <w:pPr>
              <w:pStyle w:val="MeasureTableTextRightAligned"/>
            </w:pPr>
            <w:r>
              <w:t>4</w:t>
            </w:r>
          </w:p>
        </w:tc>
        <w:tc>
          <w:tcPr>
            <w:tcW w:w="967" w:type="dxa"/>
            <w:gridSpan w:val="2"/>
            <w:tcBorders>
              <w:top w:val="single" w:sz="2" w:space="0" w:color="auto"/>
              <w:left w:val="nil"/>
              <w:bottom w:val="single" w:sz="2" w:space="0" w:color="auto"/>
              <w:right w:val="nil"/>
            </w:tcBorders>
            <w:vAlign w:val="bottom"/>
            <w:hideMark/>
          </w:tcPr>
          <w:p w14:paraId="2086ED6B" w14:textId="77777777" w:rsidR="00802D3E" w:rsidRDefault="00802D3E">
            <w:pPr>
              <w:pStyle w:val="MeasureTableTextRightAligned"/>
            </w:pPr>
            <w:r>
              <w:t>4</w:t>
            </w:r>
          </w:p>
        </w:tc>
        <w:tc>
          <w:tcPr>
            <w:tcW w:w="967" w:type="dxa"/>
            <w:gridSpan w:val="2"/>
            <w:tcBorders>
              <w:top w:val="single" w:sz="2" w:space="0" w:color="auto"/>
              <w:left w:val="nil"/>
              <w:bottom w:val="single" w:sz="2" w:space="0" w:color="auto"/>
              <w:right w:val="nil"/>
            </w:tcBorders>
            <w:vAlign w:val="bottom"/>
            <w:hideMark/>
          </w:tcPr>
          <w:p w14:paraId="2086ED6C" w14:textId="77777777" w:rsidR="00802D3E" w:rsidRDefault="00802D3E">
            <w:pPr>
              <w:pStyle w:val="MeasureTableTextRightAligned"/>
            </w:pPr>
            <w:r>
              <w:t>4</w:t>
            </w:r>
          </w:p>
        </w:tc>
        <w:tc>
          <w:tcPr>
            <w:tcW w:w="968" w:type="dxa"/>
            <w:tcBorders>
              <w:top w:val="single" w:sz="2" w:space="0" w:color="auto"/>
              <w:left w:val="nil"/>
              <w:bottom w:val="single" w:sz="2" w:space="0" w:color="auto"/>
              <w:right w:val="nil"/>
            </w:tcBorders>
            <w:vAlign w:val="bottom"/>
            <w:hideMark/>
          </w:tcPr>
          <w:p w14:paraId="2086ED6D" w14:textId="77777777" w:rsidR="00802D3E" w:rsidRDefault="00802D3E">
            <w:pPr>
              <w:pStyle w:val="MeasureTableTextRightAligned"/>
            </w:pPr>
            <w:r>
              <w:t>5</w:t>
            </w:r>
          </w:p>
        </w:tc>
      </w:tr>
      <w:tr w:rsidR="00802D3E" w14:paraId="2086ED73" w14:textId="77777777" w:rsidTr="00802D3E">
        <w:trPr>
          <w:cantSplit/>
          <w:jc w:val="center"/>
        </w:trPr>
        <w:tc>
          <w:tcPr>
            <w:tcW w:w="1934" w:type="dxa"/>
            <w:gridSpan w:val="2"/>
            <w:tcBorders>
              <w:top w:val="single" w:sz="2" w:space="0" w:color="auto"/>
              <w:left w:val="nil"/>
              <w:bottom w:val="nil"/>
              <w:right w:val="nil"/>
            </w:tcBorders>
            <w:hideMark/>
          </w:tcPr>
          <w:p w14:paraId="2086ED6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D7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D7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D72" w14:textId="77777777" w:rsidR="00802D3E" w:rsidRDefault="00802D3E">
            <w:pPr>
              <w:pStyle w:val="MeasureTableTextLeftAligned"/>
            </w:pPr>
            <w:r>
              <w:t>A54</w:t>
            </w:r>
          </w:p>
        </w:tc>
      </w:tr>
      <w:tr w:rsidR="00802D3E" w14:paraId="2086ED78" w14:textId="77777777" w:rsidTr="00802D3E">
        <w:trPr>
          <w:cantSplit/>
          <w:jc w:val="center"/>
        </w:trPr>
        <w:tc>
          <w:tcPr>
            <w:tcW w:w="1934" w:type="dxa"/>
            <w:gridSpan w:val="2"/>
            <w:tcBorders>
              <w:top w:val="nil"/>
              <w:left w:val="nil"/>
              <w:bottom w:val="nil"/>
              <w:right w:val="nil"/>
            </w:tcBorders>
            <w:hideMark/>
          </w:tcPr>
          <w:p w14:paraId="2086ED7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D75" w14:textId="77777777" w:rsidR="00802D3E" w:rsidRDefault="00802D3E">
            <w:pPr>
              <w:pStyle w:val="MeasureTableTextLeftAligned"/>
            </w:pPr>
            <w:r>
              <w:t>Low</w:t>
            </w:r>
          </w:p>
        </w:tc>
        <w:tc>
          <w:tcPr>
            <w:tcW w:w="1500" w:type="dxa"/>
            <w:gridSpan w:val="2"/>
            <w:tcBorders>
              <w:top w:val="nil"/>
              <w:left w:val="nil"/>
              <w:bottom w:val="nil"/>
              <w:right w:val="nil"/>
            </w:tcBorders>
          </w:tcPr>
          <w:p w14:paraId="2086ED76" w14:textId="77777777" w:rsidR="00802D3E" w:rsidRDefault="00802D3E">
            <w:pPr>
              <w:pStyle w:val="MeasureTableTextItalic"/>
            </w:pPr>
          </w:p>
        </w:tc>
        <w:tc>
          <w:tcPr>
            <w:tcW w:w="1124" w:type="dxa"/>
            <w:gridSpan w:val="2"/>
            <w:tcBorders>
              <w:top w:val="nil"/>
              <w:left w:val="nil"/>
              <w:bottom w:val="nil"/>
              <w:right w:val="nil"/>
            </w:tcBorders>
          </w:tcPr>
          <w:p w14:paraId="2086ED77" w14:textId="77777777" w:rsidR="00802D3E" w:rsidRDefault="00802D3E">
            <w:pPr>
              <w:pStyle w:val="MeasureTableTextLeftAligned"/>
            </w:pPr>
          </w:p>
        </w:tc>
      </w:tr>
      <w:tr w:rsidR="00802D3E" w14:paraId="2086ED7D" w14:textId="77777777" w:rsidTr="00802D3E">
        <w:trPr>
          <w:cantSplit/>
          <w:jc w:val="center"/>
        </w:trPr>
        <w:tc>
          <w:tcPr>
            <w:tcW w:w="1934" w:type="dxa"/>
            <w:gridSpan w:val="2"/>
            <w:tcBorders>
              <w:top w:val="nil"/>
              <w:left w:val="nil"/>
              <w:bottom w:val="nil"/>
              <w:right w:val="nil"/>
            </w:tcBorders>
            <w:hideMark/>
          </w:tcPr>
          <w:p w14:paraId="2086ED7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D7A" w14:textId="77777777" w:rsidR="00802D3E" w:rsidRDefault="00802D3E">
            <w:pPr>
              <w:pStyle w:val="MeasureTableTextLeftAligned"/>
            </w:pPr>
            <w:r>
              <w:t>1997</w:t>
            </w:r>
          </w:p>
        </w:tc>
        <w:tc>
          <w:tcPr>
            <w:tcW w:w="1500" w:type="dxa"/>
            <w:gridSpan w:val="2"/>
            <w:tcBorders>
              <w:top w:val="nil"/>
              <w:left w:val="nil"/>
              <w:bottom w:val="nil"/>
              <w:right w:val="nil"/>
            </w:tcBorders>
            <w:hideMark/>
          </w:tcPr>
          <w:p w14:paraId="2086ED7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D7C" w14:textId="77777777" w:rsidR="00802D3E" w:rsidRDefault="00802D3E">
            <w:pPr>
              <w:pStyle w:val="MeasureTableTextLeftAligned"/>
            </w:pPr>
          </w:p>
        </w:tc>
      </w:tr>
      <w:tr w:rsidR="00802D3E" w14:paraId="2086ED80" w14:textId="77777777" w:rsidTr="00802D3E">
        <w:trPr>
          <w:cantSplit/>
          <w:jc w:val="center"/>
        </w:trPr>
        <w:tc>
          <w:tcPr>
            <w:tcW w:w="1934" w:type="dxa"/>
            <w:gridSpan w:val="2"/>
            <w:tcBorders>
              <w:top w:val="nil"/>
              <w:left w:val="nil"/>
              <w:bottom w:val="single" w:sz="2" w:space="0" w:color="auto"/>
              <w:right w:val="nil"/>
            </w:tcBorders>
            <w:hideMark/>
          </w:tcPr>
          <w:p w14:paraId="2086ED7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D7F"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51-57 of the </w:t>
            </w:r>
            <w:r w:rsidRPr="00B029D6">
              <w:rPr>
                <w:rFonts w:ascii="Arial" w:hAnsi="Arial" w:cs="Arial"/>
                <w:i/>
                <w:iCs/>
                <w:color w:val="000000"/>
                <w:sz w:val="16"/>
                <w:szCs w:val="16"/>
              </w:rPr>
              <w:t>Income Tax Assessment Act 1997</w:t>
            </w:r>
          </w:p>
        </w:tc>
      </w:tr>
    </w:tbl>
    <w:p w14:paraId="2086ED81" w14:textId="77777777" w:rsidR="00802D3E" w:rsidRDefault="00802D3E" w:rsidP="0098392C">
      <w:pPr>
        <w:pStyle w:val="SingleParagraph"/>
      </w:pPr>
    </w:p>
    <w:p w14:paraId="2086ED82" w14:textId="77777777" w:rsidR="00802D3E" w:rsidRDefault="00802D3E" w:rsidP="00802D3E">
      <w:r>
        <w:t>Interest accruing on a judgment debt arising in personal injury compensation cases, which relates</w:t>
      </w:r>
      <w:r>
        <w:fldChar w:fldCharType="begin"/>
      </w:r>
      <w:r>
        <w:instrText xml:space="preserve"> XE "Personal injury compensation cases" </w:instrText>
      </w:r>
      <w:r>
        <w:fldChar w:fldCharType="end"/>
      </w:r>
      <w:r>
        <w:t xml:space="preserve"> to the period between the original judgment and when the judgment is finalised, is exempt from income tax. </w:t>
      </w:r>
    </w:p>
    <w:p w14:paraId="2086ED83" w14:textId="77777777" w:rsidR="00802D3E" w:rsidRDefault="00802D3E" w:rsidP="00802D3E">
      <w:pPr>
        <w:pStyle w:val="TESHeading5"/>
        <w:ind w:left="0" w:firstLine="0"/>
      </w:pPr>
      <w:r>
        <w:t>A60</w:t>
      </w:r>
      <w:r>
        <w:tab/>
        <w:t xml:space="preserve">Low-value depreciating assets </w:t>
      </w:r>
      <w:r w:rsidR="003941E0">
        <w:t>–</w:t>
      </w:r>
      <w:r>
        <w:t xml:space="preserve"> immediate</w:t>
      </w:r>
      <w:r w:rsidR="003941E0">
        <w:t xml:space="preserve"> </w:t>
      </w:r>
      <w:r>
        <w:t>deduction</w:t>
      </w:r>
    </w:p>
    <w:p w14:paraId="2086ED84"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D8D" w14:textId="77777777" w:rsidTr="00802D3E">
        <w:trPr>
          <w:cantSplit/>
          <w:jc w:val="center"/>
        </w:trPr>
        <w:tc>
          <w:tcPr>
            <w:tcW w:w="967" w:type="dxa"/>
            <w:tcBorders>
              <w:top w:val="single" w:sz="2" w:space="0" w:color="auto"/>
              <w:left w:val="nil"/>
              <w:bottom w:val="single" w:sz="2" w:space="0" w:color="auto"/>
              <w:right w:val="nil"/>
            </w:tcBorders>
            <w:hideMark/>
          </w:tcPr>
          <w:p w14:paraId="2086ED8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D8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D8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D8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D8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D8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D8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D8C" w14:textId="77777777" w:rsidR="00802D3E" w:rsidRDefault="00802D3E">
            <w:pPr>
              <w:pStyle w:val="MeasureTableTextRightAligned"/>
            </w:pPr>
            <w:r>
              <w:t>2019-20</w:t>
            </w:r>
          </w:p>
        </w:tc>
      </w:tr>
      <w:tr w:rsidR="00802D3E" w14:paraId="2086ED96" w14:textId="77777777" w:rsidTr="00802D3E">
        <w:trPr>
          <w:cantSplit/>
          <w:jc w:val="center"/>
        </w:trPr>
        <w:tc>
          <w:tcPr>
            <w:tcW w:w="967" w:type="dxa"/>
            <w:tcBorders>
              <w:top w:val="single" w:sz="2" w:space="0" w:color="auto"/>
              <w:left w:val="nil"/>
              <w:bottom w:val="single" w:sz="2" w:space="0" w:color="auto"/>
              <w:right w:val="nil"/>
            </w:tcBorders>
            <w:hideMark/>
          </w:tcPr>
          <w:p w14:paraId="2086ED8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D8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D9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D9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D9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D9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D9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D95" w14:textId="77777777" w:rsidR="00802D3E" w:rsidRDefault="00802D3E">
            <w:pPr>
              <w:pStyle w:val="MeasureTableTextRightAligned"/>
            </w:pPr>
            <w:r>
              <w:t>*</w:t>
            </w:r>
          </w:p>
        </w:tc>
      </w:tr>
      <w:tr w:rsidR="00802D3E" w14:paraId="2086ED9B" w14:textId="77777777" w:rsidTr="00802D3E">
        <w:trPr>
          <w:cantSplit/>
          <w:jc w:val="center"/>
        </w:trPr>
        <w:tc>
          <w:tcPr>
            <w:tcW w:w="1934" w:type="dxa"/>
            <w:gridSpan w:val="2"/>
            <w:tcBorders>
              <w:top w:val="single" w:sz="2" w:space="0" w:color="auto"/>
              <w:left w:val="nil"/>
              <w:bottom w:val="nil"/>
              <w:right w:val="nil"/>
            </w:tcBorders>
            <w:hideMark/>
          </w:tcPr>
          <w:p w14:paraId="2086ED9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D98"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ED9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D9A" w14:textId="77777777" w:rsidR="00802D3E" w:rsidRDefault="00802D3E">
            <w:pPr>
              <w:pStyle w:val="MeasureTableTextLeftAligned"/>
            </w:pPr>
            <w:r>
              <w:t>A55</w:t>
            </w:r>
          </w:p>
        </w:tc>
      </w:tr>
      <w:tr w:rsidR="00802D3E" w14:paraId="2086EDA0" w14:textId="77777777" w:rsidTr="00802D3E">
        <w:trPr>
          <w:cantSplit/>
          <w:jc w:val="center"/>
        </w:trPr>
        <w:tc>
          <w:tcPr>
            <w:tcW w:w="1934" w:type="dxa"/>
            <w:gridSpan w:val="2"/>
            <w:tcBorders>
              <w:top w:val="nil"/>
              <w:left w:val="nil"/>
              <w:bottom w:val="nil"/>
              <w:right w:val="nil"/>
            </w:tcBorders>
            <w:hideMark/>
          </w:tcPr>
          <w:p w14:paraId="2086ED9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D9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D9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D9F" w14:textId="77777777" w:rsidR="00802D3E" w:rsidRDefault="00802D3E">
            <w:pPr>
              <w:pStyle w:val="MeasureTableTextLeftAligned"/>
            </w:pPr>
            <w:r>
              <w:t>2+</w:t>
            </w:r>
          </w:p>
        </w:tc>
      </w:tr>
      <w:tr w:rsidR="00802D3E" w14:paraId="2086EDA5" w14:textId="77777777" w:rsidTr="00802D3E">
        <w:trPr>
          <w:cantSplit/>
          <w:jc w:val="center"/>
        </w:trPr>
        <w:tc>
          <w:tcPr>
            <w:tcW w:w="1934" w:type="dxa"/>
            <w:gridSpan w:val="2"/>
            <w:tcBorders>
              <w:top w:val="nil"/>
              <w:left w:val="nil"/>
              <w:bottom w:val="nil"/>
              <w:right w:val="nil"/>
            </w:tcBorders>
            <w:hideMark/>
          </w:tcPr>
          <w:p w14:paraId="2086EDA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DA2" w14:textId="77777777" w:rsidR="00802D3E" w:rsidRDefault="00802D3E">
            <w:pPr>
              <w:pStyle w:val="MeasureTableTextLeftAligned"/>
            </w:pPr>
            <w:r>
              <w:t>2001</w:t>
            </w:r>
          </w:p>
        </w:tc>
        <w:tc>
          <w:tcPr>
            <w:tcW w:w="1500" w:type="dxa"/>
            <w:gridSpan w:val="2"/>
            <w:tcBorders>
              <w:top w:val="nil"/>
              <w:left w:val="nil"/>
              <w:bottom w:val="nil"/>
              <w:right w:val="nil"/>
            </w:tcBorders>
            <w:hideMark/>
          </w:tcPr>
          <w:p w14:paraId="2086EDA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DA4" w14:textId="77777777" w:rsidR="00802D3E" w:rsidRDefault="00802D3E">
            <w:pPr>
              <w:pStyle w:val="MeasureTableTextLeftAligned"/>
            </w:pPr>
          </w:p>
        </w:tc>
      </w:tr>
      <w:tr w:rsidR="00802D3E" w14:paraId="2086EDA8" w14:textId="77777777" w:rsidTr="00802D3E">
        <w:trPr>
          <w:cantSplit/>
          <w:jc w:val="center"/>
        </w:trPr>
        <w:tc>
          <w:tcPr>
            <w:tcW w:w="1934" w:type="dxa"/>
            <w:gridSpan w:val="2"/>
            <w:tcBorders>
              <w:top w:val="nil"/>
              <w:left w:val="nil"/>
              <w:bottom w:val="single" w:sz="2" w:space="0" w:color="auto"/>
              <w:right w:val="nil"/>
            </w:tcBorders>
            <w:hideMark/>
          </w:tcPr>
          <w:p w14:paraId="2086EDA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DA7"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Subsections 40-25(1) and 40-80(2) of the </w:t>
            </w:r>
            <w:r>
              <w:rPr>
                <w:rFonts w:ascii="Arial" w:hAnsi="Arial" w:cs="Arial"/>
                <w:i/>
                <w:iCs/>
                <w:color w:val="000000"/>
                <w:sz w:val="16"/>
                <w:szCs w:val="16"/>
              </w:rPr>
              <w:t>Income Tax Assessment Act 1997</w:t>
            </w:r>
          </w:p>
        </w:tc>
      </w:tr>
    </w:tbl>
    <w:p w14:paraId="2086EDA9" w14:textId="77777777" w:rsidR="00802D3E" w:rsidRDefault="00802D3E" w:rsidP="0098392C">
      <w:pPr>
        <w:pStyle w:val="SingleParagraph"/>
      </w:pPr>
    </w:p>
    <w:p w14:paraId="2086EDAA" w14:textId="77777777" w:rsidR="00802D3E" w:rsidRPr="009057E9" w:rsidRDefault="00802D3E" w:rsidP="009057E9">
      <w:r w:rsidRPr="009057E9">
        <w:t xml:space="preserve">An immediate deduction is available for depreciating assets costing $300 or less where those assets are used mostly to earn non-business income. </w:t>
      </w:r>
      <w:r w:rsidRPr="009057E9">
        <w:fldChar w:fldCharType="begin"/>
      </w:r>
      <w:r w:rsidRPr="009057E9">
        <w:instrText xml:space="preserve"> XE "Low</w:instrText>
      </w:r>
      <w:r w:rsidRPr="009057E9">
        <w:noBreakHyphen/>
        <w:instrText xml:space="preserve">value depreciating assets" </w:instrText>
      </w:r>
      <w:r w:rsidRPr="009057E9">
        <w:fldChar w:fldCharType="end"/>
      </w:r>
    </w:p>
    <w:p w14:paraId="2086EDAB" w14:textId="77777777" w:rsidR="00802D3E" w:rsidRPr="009057E9" w:rsidRDefault="00802D3E" w:rsidP="009057E9"/>
    <w:p w14:paraId="2086EDAC" w14:textId="77777777" w:rsidR="00802D3E" w:rsidRDefault="00802D3E" w:rsidP="00802D3E"/>
    <w:p w14:paraId="2086EDAD" w14:textId="77777777" w:rsidR="00802D3E" w:rsidRDefault="00802D3E" w:rsidP="00802D3E"/>
    <w:p w14:paraId="2086EDAF" w14:textId="77777777" w:rsidR="00802D3E" w:rsidRDefault="00802D3E" w:rsidP="00802D3E">
      <w:pPr>
        <w:pStyle w:val="Heading3"/>
      </w:pPr>
      <w:r>
        <w:lastRenderedPageBreak/>
        <w:t>Business income</w:t>
      </w:r>
    </w:p>
    <w:p w14:paraId="2086EDB0" w14:textId="77777777" w:rsidR="00802D3E" w:rsidRDefault="00802D3E" w:rsidP="00802D3E">
      <w:pPr>
        <w:pStyle w:val="TESHeading5"/>
        <w:ind w:left="0" w:firstLine="0"/>
      </w:pPr>
      <w:r>
        <w:t>B1</w:t>
      </w:r>
      <w:r>
        <w:tab/>
        <w:t>Denial of deductions by businesses for political donations</w:t>
      </w:r>
    </w:p>
    <w:p w14:paraId="2086EDB1" w14:textId="77777777" w:rsidR="00802D3E" w:rsidRDefault="00802D3E" w:rsidP="00802D3E">
      <w:pPr>
        <w:pStyle w:val="MeasureTableHeading"/>
      </w:pPr>
      <w:r>
        <w:t xml:space="preserve">General public services </w:t>
      </w:r>
      <w:r w:rsidR="00663962">
        <w:t>–</w:t>
      </w:r>
      <w:r>
        <w:t xml:space="preserve"> Legislative</w:t>
      </w:r>
      <w:r w:rsidR="00663962">
        <w:t xml:space="preserve"> </w:t>
      </w:r>
      <w:r>
        <w:t>and executive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DBA" w14:textId="77777777" w:rsidTr="00802D3E">
        <w:trPr>
          <w:cantSplit/>
          <w:jc w:val="center"/>
        </w:trPr>
        <w:tc>
          <w:tcPr>
            <w:tcW w:w="967" w:type="dxa"/>
            <w:tcBorders>
              <w:top w:val="single" w:sz="2" w:space="0" w:color="auto"/>
              <w:left w:val="nil"/>
              <w:bottom w:val="single" w:sz="2" w:space="0" w:color="auto"/>
              <w:right w:val="nil"/>
            </w:tcBorders>
            <w:hideMark/>
          </w:tcPr>
          <w:p w14:paraId="2086EDB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DB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DB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DB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DB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DB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DB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DB9" w14:textId="77777777" w:rsidR="00802D3E" w:rsidRDefault="00802D3E">
            <w:pPr>
              <w:pStyle w:val="MeasureTableTextRightAligned"/>
            </w:pPr>
            <w:r>
              <w:t>2019-20</w:t>
            </w:r>
          </w:p>
        </w:tc>
      </w:tr>
      <w:tr w:rsidR="00802D3E" w14:paraId="2086EDC3" w14:textId="77777777" w:rsidTr="00802D3E">
        <w:trPr>
          <w:cantSplit/>
          <w:jc w:val="center"/>
        </w:trPr>
        <w:tc>
          <w:tcPr>
            <w:tcW w:w="967" w:type="dxa"/>
            <w:tcBorders>
              <w:top w:val="single" w:sz="2" w:space="0" w:color="auto"/>
              <w:left w:val="nil"/>
              <w:bottom w:val="single" w:sz="2" w:space="0" w:color="auto"/>
              <w:right w:val="nil"/>
            </w:tcBorders>
            <w:hideMark/>
          </w:tcPr>
          <w:p w14:paraId="2086EDB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DB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DB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DB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DB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DC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DC1"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DC2" w14:textId="77777777" w:rsidR="00802D3E" w:rsidRDefault="00802D3E">
            <w:pPr>
              <w:pStyle w:val="MeasureTableTextRightAligned"/>
            </w:pPr>
            <w:r>
              <w:t>*</w:t>
            </w:r>
          </w:p>
        </w:tc>
      </w:tr>
      <w:tr w:rsidR="00802D3E" w14:paraId="2086EDC8" w14:textId="77777777" w:rsidTr="00802D3E">
        <w:trPr>
          <w:cantSplit/>
          <w:jc w:val="center"/>
        </w:trPr>
        <w:tc>
          <w:tcPr>
            <w:tcW w:w="1934" w:type="dxa"/>
            <w:gridSpan w:val="2"/>
            <w:tcBorders>
              <w:top w:val="single" w:sz="2" w:space="0" w:color="auto"/>
              <w:left w:val="nil"/>
              <w:bottom w:val="nil"/>
              <w:right w:val="nil"/>
            </w:tcBorders>
            <w:hideMark/>
          </w:tcPr>
          <w:p w14:paraId="2086EDC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DC5" w14:textId="77777777" w:rsidR="00802D3E" w:rsidRDefault="00802D3E">
            <w:pPr>
              <w:pStyle w:val="MeasureTableTextLeftAligned"/>
            </w:pPr>
            <w:r>
              <w:t>Denial of deduction</w:t>
            </w:r>
          </w:p>
        </w:tc>
        <w:tc>
          <w:tcPr>
            <w:tcW w:w="1500" w:type="dxa"/>
            <w:gridSpan w:val="2"/>
            <w:tcBorders>
              <w:top w:val="single" w:sz="2" w:space="0" w:color="auto"/>
              <w:left w:val="nil"/>
              <w:bottom w:val="nil"/>
              <w:right w:val="nil"/>
            </w:tcBorders>
            <w:hideMark/>
          </w:tcPr>
          <w:p w14:paraId="2086EDC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DC7" w14:textId="77777777" w:rsidR="00802D3E" w:rsidRDefault="00802D3E">
            <w:pPr>
              <w:pStyle w:val="MeasureTableTextLeftAligned"/>
            </w:pPr>
            <w:r>
              <w:t>B1</w:t>
            </w:r>
          </w:p>
        </w:tc>
      </w:tr>
      <w:tr w:rsidR="00802D3E" w14:paraId="2086EDCD" w14:textId="77777777" w:rsidTr="00802D3E">
        <w:trPr>
          <w:cantSplit/>
          <w:jc w:val="center"/>
        </w:trPr>
        <w:tc>
          <w:tcPr>
            <w:tcW w:w="1934" w:type="dxa"/>
            <w:gridSpan w:val="2"/>
            <w:tcBorders>
              <w:top w:val="nil"/>
              <w:left w:val="nil"/>
              <w:bottom w:val="nil"/>
              <w:right w:val="nil"/>
            </w:tcBorders>
            <w:hideMark/>
          </w:tcPr>
          <w:p w14:paraId="2086EDC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DCA"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DCB"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DCC" w14:textId="77777777" w:rsidR="00802D3E" w:rsidRDefault="00802D3E">
            <w:pPr>
              <w:pStyle w:val="MeasureTableTextLeftAligned"/>
            </w:pPr>
            <w:r>
              <w:t>1-</w:t>
            </w:r>
          </w:p>
        </w:tc>
      </w:tr>
      <w:tr w:rsidR="00802D3E" w14:paraId="2086EDD2" w14:textId="77777777" w:rsidTr="00802D3E">
        <w:trPr>
          <w:cantSplit/>
          <w:jc w:val="center"/>
        </w:trPr>
        <w:tc>
          <w:tcPr>
            <w:tcW w:w="1934" w:type="dxa"/>
            <w:gridSpan w:val="2"/>
            <w:tcBorders>
              <w:top w:val="nil"/>
              <w:left w:val="nil"/>
              <w:bottom w:val="nil"/>
              <w:right w:val="nil"/>
            </w:tcBorders>
            <w:hideMark/>
          </w:tcPr>
          <w:p w14:paraId="2086EDC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DCF" w14:textId="77777777" w:rsidR="00802D3E" w:rsidRDefault="00802D3E">
            <w:pPr>
              <w:pStyle w:val="MeasureTableTextLeftAligned"/>
            </w:pPr>
            <w:r>
              <w:t>1 July 2008</w:t>
            </w:r>
          </w:p>
        </w:tc>
        <w:tc>
          <w:tcPr>
            <w:tcW w:w="1500" w:type="dxa"/>
            <w:gridSpan w:val="2"/>
            <w:tcBorders>
              <w:top w:val="nil"/>
              <w:left w:val="nil"/>
              <w:bottom w:val="nil"/>
              <w:right w:val="nil"/>
            </w:tcBorders>
            <w:hideMark/>
          </w:tcPr>
          <w:p w14:paraId="2086EDD0"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DD1" w14:textId="77777777" w:rsidR="00802D3E" w:rsidRDefault="00802D3E">
            <w:pPr>
              <w:pStyle w:val="MeasureTableTextLeftAligned"/>
            </w:pPr>
          </w:p>
        </w:tc>
      </w:tr>
      <w:tr w:rsidR="00802D3E" w14:paraId="2086EDD5" w14:textId="77777777" w:rsidTr="00802D3E">
        <w:trPr>
          <w:cantSplit/>
          <w:jc w:val="center"/>
        </w:trPr>
        <w:tc>
          <w:tcPr>
            <w:tcW w:w="1934" w:type="dxa"/>
            <w:gridSpan w:val="2"/>
            <w:tcBorders>
              <w:top w:val="nil"/>
              <w:left w:val="nil"/>
              <w:bottom w:val="single" w:sz="2" w:space="0" w:color="auto"/>
              <w:right w:val="nil"/>
            </w:tcBorders>
            <w:hideMark/>
          </w:tcPr>
          <w:p w14:paraId="2086EDD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DD4"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Sections 26-22 and 30-242 (3A) of the</w:t>
            </w:r>
            <w:r>
              <w:rPr>
                <w:rFonts w:ascii="Arial" w:hAnsi="Arial" w:cs="Arial"/>
                <w:i/>
                <w:iCs/>
                <w:color w:val="000000"/>
                <w:sz w:val="16"/>
                <w:szCs w:val="16"/>
              </w:rPr>
              <w:t xml:space="preserve"> Income Tax Assessment Act 1997</w:t>
            </w:r>
          </w:p>
        </w:tc>
      </w:tr>
    </w:tbl>
    <w:p w14:paraId="2086EDD6" w14:textId="77777777" w:rsidR="00802D3E" w:rsidRDefault="00802D3E" w:rsidP="0098392C">
      <w:pPr>
        <w:pStyle w:val="SingleParagraph"/>
      </w:pPr>
    </w:p>
    <w:p w14:paraId="2086EDD7" w14:textId="77777777" w:rsidR="00802D3E" w:rsidRDefault="00802D3E" w:rsidP="00802D3E">
      <w:r>
        <w:t>Business taxpayers are prevented from claiming deductions for gifts or contributions to political</w:t>
      </w:r>
      <w:r>
        <w:fldChar w:fldCharType="begin"/>
      </w:r>
      <w:r>
        <w:instrText xml:space="preserve"> XE "Political donations" </w:instrText>
      </w:r>
      <w:r>
        <w:fldChar w:fldCharType="end"/>
      </w:r>
      <w:r>
        <w:t xml:space="preserve"> parties, independent members and independent candidates. </w:t>
      </w:r>
    </w:p>
    <w:p w14:paraId="2086EDD8" w14:textId="77777777" w:rsidR="00802D3E" w:rsidRDefault="00802D3E" w:rsidP="00802D3E">
      <w:pPr>
        <w:pStyle w:val="TESHeading5"/>
        <w:ind w:left="0" w:firstLine="0"/>
      </w:pPr>
      <w:r>
        <w:t>B2</w:t>
      </w:r>
      <w:r>
        <w:tab/>
        <w:t>Local government bodies income tax exemption</w:t>
      </w:r>
    </w:p>
    <w:p w14:paraId="2086EDD9" w14:textId="77777777" w:rsidR="00802D3E" w:rsidRDefault="00802D3E" w:rsidP="00802D3E">
      <w:pPr>
        <w:pStyle w:val="MeasureTableHeading"/>
      </w:pPr>
      <w:r>
        <w:t xml:space="preserve">Other purposes </w:t>
      </w:r>
      <w:r w:rsidR="00663962">
        <w:t>–</w:t>
      </w:r>
      <w:r>
        <w:t xml:space="preserve"> General</w:t>
      </w:r>
      <w:r w:rsidR="00663962">
        <w:t xml:space="preserve"> </w:t>
      </w:r>
      <w:r>
        <w:t>purpose inter-governmental transactions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DE2" w14:textId="77777777" w:rsidTr="00802D3E">
        <w:trPr>
          <w:cantSplit/>
          <w:jc w:val="center"/>
        </w:trPr>
        <w:tc>
          <w:tcPr>
            <w:tcW w:w="967" w:type="dxa"/>
            <w:tcBorders>
              <w:top w:val="single" w:sz="2" w:space="0" w:color="auto"/>
              <w:left w:val="nil"/>
              <w:bottom w:val="single" w:sz="2" w:space="0" w:color="auto"/>
              <w:right w:val="nil"/>
            </w:tcBorders>
            <w:hideMark/>
          </w:tcPr>
          <w:p w14:paraId="2086EDDA"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DDB"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DDC"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DDD"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DDE"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DDF"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DE0"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DE1" w14:textId="77777777" w:rsidR="00802D3E" w:rsidRDefault="00802D3E">
            <w:pPr>
              <w:pStyle w:val="MeasureTableTextRightAligned"/>
            </w:pPr>
            <w:r>
              <w:t>2019-20</w:t>
            </w:r>
          </w:p>
        </w:tc>
      </w:tr>
      <w:tr w:rsidR="00802D3E" w14:paraId="2086EDEB" w14:textId="77777777" w:rsidTr="00802D3E">
        <w:trPr>
          <w:cantSplit/>
          <w:jc w:val="center"/>
        </w:trPr>
        <w:tc>
          <w:tcPr>
            <w:tcW w:w="967" w:type="dxa"/>
            <w:tcBorders>
              <w:top w:val="single" w:sz="2" w:space="0" w:color="auto"/>
              <w:left w:val="nil"/>
              <w:bottom w:val="single" w:sz="2" w:space="0" w:color="auto"/>
              <w:right w:val="nil"/>
            </w:tcBorders>
            <w:hideMark/>
          </w:tcPr>
          <w:p w14:paraId="2086EDE3" w14:textId="77777777" w:rsidR="00802D3E" w:rsidRDefault="00802D3E">
            <w:pPr>
              <w:pStyle w:val="MeasureTableTextRightAligned"/>
            </w:pPr>
            <w:r>
              <w:t>850</w:t>
            </w:r>
          </w:p>
        </w:tc>
        <w:tc>
          <w:tcPr>
            <w:tcW w:w="967" w:type="dxa"/>
            <w:tcBorders>
              <w:top w:val="single" w:sz="2" w:space="0" w:color="auto"/>
              <w:left w:val="nil"/>
              <w:bottom w:val="single" w:sz="2" w:space="0" w:color="auto"/>
              <w:right w:val="nil"/>
            </w:tcBorders>
            <w:hideMark/>
          </w:tcPr>
          <w:p w14:paraId="2086EDE4" w14:textId="77777777" w:rsidR="00802D3E" w:rsidRDefault="00802D3E">
            <w:pPr>
              <w:pStyle w:val="MeasureTableTextRightAligned"/>
            </w:pPr>
            <w:r>
              <w:t>1,160</w:t>
            </w:r>
          </w:p>
        </w:tc>
        <w:tc>
          <w:tcPr>
            <w:tcW w:w="967" w:type="dxa"/>
            <w:tcBorders>
              <w:top w:val="single" w:sz="2" w:space="0" w:color="auto"/>
              <w:left w:val="nil"/>
              <w:bottom w:val="single" w:sz="2" w:space="0" w:color="auto"/>
              <w:right w:val="nil"/>
            </w:tcBorders>
            <w:vAlign w:val="bottom"/>
            <w:hideMark/>
          </w:tcPr>
          <w:p w14:paraId="2086EDE5" w14:textId="77777777" w:rsidR="00802D3E" w:rsidRDefault="00802D3E">
            <w:pPr>
              <w:pStyle w:val="MeasureTableTextRightAligned"/>
            </w:pPr>
            <w:r>
              <w:t>1,470</w:t>
            </w:r>
          </w:p>
        </w:tc>
        <w:tc>
          <w:tcPr>
            <w:tcW w:w="967" w:type="dxa"/>
            <w:tcBorders>
              <w:top w:val="single" w:sz="2" w:space="0" w:color="auto"/>
              <w:left w:val="nil"/>
              <w:bottom w:val="single" w:sz="2" w:space="0" w:color="auto"/>
              <w:right w:val="nil"/>
            </w:tcBorders>
            <w:vAlign w:val="bottom"/>
            <w:hideMark/>
          </w:tcPr>
          <w:p w14:paraId="2086EDE6" w14:textId="77777777" w:rsidR="00802D3E" w:rsidRDefault="00802D3E">
            <w:pPr>
              <w:pStyle w:val="MeasureTableTextRightAligned"/>
            </w:pPr>
            <w:r>
              <w:t>1,660</w:t>
            </w:r>
          </w:p>
        </w:tc>
        <w:tc>
          <w:tcPr>
            <w:tcW w:w="967" w:type="dxa"/>
            <w:tcBorders>
              <w:top w:val="single" w:sz="2" w:space="0" w:color="auto"/>
              <w:left w:val="nil"/>
              <w:bottom w:val="single" w:sz="2" w:space="0" w:color="auto"/>
              <w:right w:val="nil"/>
            </w:tcBorders>
            <w:vAlign w:val="bottom"/>
            <w:hideMark/>
          </w:tcPr>
          <w:p w14:paraId="2086EDE7" w14:textId="77777777" w:rsidR="00802D3E" w:rsidRDefault="00802D3E">
            <w:pPr>
              <w:pStyle w:val="MeasureTableTextRightAligned"/>
            </w:pPr>
            <w:r>
              <w:t>1,880</w:t>
            </w:r>
          </w:p>
        </w:tc>
        <w:tc>
          <w:tcPr>
            <w:tcW w:w="967" w:type="dxa"/>
            <w:gridSpan w:val="2"/>
            <w:tcBorders>
              <w:top w:val="single" w:sz="2" w:space="0" w:color="auto"/>
              <w:left w:val="nil"/>
              <w:bottom w:val="single" w:sz="2" w:space="0" w:color="auto"/>
              <w:right w:val="nil"/>
            </w:tcBorders>
            <w:vAlign w:val="bottom"/>
            <w:hideMark/>
          </w:tcPr>
          <w:p w14:paraId="2086EDE8" w14:textId="77777777" w:rsidR="00802D3E" w:rsidRDefault="00802D3E">
            <w:pPr>
              <w:pStyle w:val="MeasureTableTextRightAligned"/>
            </w:pPr>
            <w:r>
              <w:t>2,130</w:t>
            </w:r>
          </w:p>
        </w:tc>
        <w:tc>
          <w:tcPr>
            <w:tcW w:w="967" w:type="dxa"/>
            <w:gridSpan w:val="2"/>
            <w:tcBorders>
              <w:top w:val="single" w:sz="2" w:space="0" w:color="auto"/>
              <w:left w:val="nil"/>
              <w:bottom w:val="single" w:sz="2" w:space="0" w:color="auto"/>
              <w:right w:val="nil"/>
            </w:tcBorders>
            <w:vAlign w:val="bottom"/>
            <w:hideMark/>
          </w:tcPr>
          <w:p w14:paraId="2086EDE9" w14:textId="77777777" w:rsidR="00802D3E" w:rsidRDefault="00802D3E">
            <w:pPr>
              <w:pStyle w:val="MeasureTableTextRightAligned"/>
            </w:pPr>
            <w:r>
              <w:t>2,410</w:t>
            </w:r>
          </w:p>
        </w:tc>
        <w:tc>
          <w:tcPr>
            <w:tcW w:w="968" w:type="dxa"/>
            <w:tcBorders>
              <w:top w:val="single" w:sz="2" w:space="0" w:color="auto"/>
              <w:left w:val="nil"/>
              <w:bottom w:val="single" w:sz="2" w:space="0" w:color="auto"/>
              <w:right w:val="nil"/>
            </w:tcBorders>
            <w:vAlign w:val="bottom"/>
            <w:hideMark/>
          </w:tcPr>
          <w:p w14:paraId="2086EDEA" w14:textId="77777777" w:rsidR="00802D3E" w:rsidRDefault="00802D3E">
            <w:pPr>
              <w:pStyle w:val="MeasureTableTextRightAligned"/>
            </w:pPr>
            <w:r>
              <w:t>2,730</w:t>
            </w:r>
          </w:p>
        </w:tc>
      </w:tr>
      <w:tr w:rsidR="00802D3E" w14:paraId="2086EDF0" w14:textId="77777777" w:rsidTr="00802D3E">
        <w:trPr>
          <w:cantSplit/>
          <w:jc w:val="center"/>
        </w:trPr>
        <w:tc>
          <w:tcPr>
            <w:tcW w:w="1934" w:type="dxa"/>
            <w:gridSpan w:val="2"/>
            <w:tcBorders>
              <w:top w:val="single" w:sz="2" w:space="0" w:color="auto"/>
              <w:left w:val="nil"/>
              <w:bottom w:val="nil"/>
              <w:right w:val="nil"/>
            </w:tcBorders>
            <w:hideMark/>
          </w:tcPr>
          <w:p w14:paraId="2086EDEC"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DED"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DEE"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DEF" w14:textId="77777777" w:rsidR="00802D3E" w:rsidRDefault="00802D3E">
            <w:pPr>
              <w:pStyle w:val="MeasureTableTextLeftAligned"/>
            </w:pPr>
            <w:r>
              <w:t>B3</w:t>
            </w:r>
          </w:p>
        </w:tc>
      </w:tr>
      <w:tr w:rsidR="00802D3E" w14:paraId="2086EDF5" w14:textId="77777777" w:rsidTr="00802D3E">
        <w:trPr>
          <w:cantSplit/>
          <w:jc w:val="center"/>
        </w:trPr>
        <w:tc>
          <w:tcPr>
            <w:tcW w:w="1934" w:type="dxa"/>
            <w:gridSpan w:val="2"/>
            <w:tcBorders>
              <w:top w:val="nil"/>
              <w:left w:val="nil"/>
              <w:bottom w:val="nil"/>
              <w:right w:val="nil"/>
            </w:tcBorders>
            <w:hideMark/>
          </w:tcPr>
          <w:p w14:paraId="2086EDF1"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DF2"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DF3" w14:textId="77777777" w:rsidR="00802D3E" w:rsidRDefault="00802D3E">
            <w:pPr>
              <w:pStyle w:val="MeasureTableTextItalic"/>
            </w:pPr>
          </w:p>
        </w:tc>
        <w:tc>
          <w:tcPr>
            <w:tcW w:w="1124" w:type="dxa"/>
            <w:gridSpan w:val="2"/>
            <w:tcBorders>
              <w:top w:val="nil"/>
              <w:left w:val="nil"/>
              <w:bottom w:val="nil"/>
              <w:right w:val="nil"/>
            </w:tcBorders>
          </w:tcPr>
          <w:p w14:paraId="2086EDF4" w14:textId="77777777" w:rsidR="00802D3E" w:rsidRDefault="00802D3E">
            <w:pPr>
              <w:pStyle w:val="MeasureTableTextLeftAligned"/>
            </w:pPr>
          </w:p>
        </w:tc>
      </w:tr>
      <w:tr w:rsidR="00802D3E" w14:paraId="2086EDFA" w14:textId="77777777" w:rsidTr="00802D3E">
        <w:trPr>
          <w:cantSplit/>
          <w:jc w:val="center"/>
        </w:trPr>
        <w:tc>
          <w:tcPr>
            <w:tcW w:w="1934" w:type="dxa"/>
            <w:gridSpan w:val="2"/>
            <w:tcBorders>
              <w:top w:val="nil"/>
              <w:left w:val="nil"/>
              <w:bottom w:val="nil"/>
              <w:right w:val="nil"/>
            </w:tcBorders>
            <w:hideMark/>
          </w:tcPr>
          <w:p w14:paraId="2086EDF6"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DF7"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DF8"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DF9" w14:textId="77777777" w:rsidR="00802D3E" w:rsidRDefault="00802D3E">
            <w:pPr>
              <w:pStyle w:val="MeasureTableTextLeftAligned"/>
            </w:pPr>
          </w:p>
        </w:tc>
      </w:tr>
      <w:tr w:rsidR="00802D3E" w14:paraId="2086EDFD" w14:textId="77777777" w:rsidTr="00802D3E">
        <w:trPr>
          <w:cantSplit/>
          <w:jc w:val="center"/>
        </w:trPr>
        <w:tc>
          <w:tcPr>
            <w:tcW w:w="1934" w:type="dxa"/>
            <w:gridSpan w:val="2"/>
            <w:tcBorders>
              <w:top w:val="nil"/>
              <w:left w:val="nil"/>
              <w:bottom w:val="single" w:sz="2" w:space="0" w:color="auto"/>
              <w:right w:val="nil"/>
            </w:tcBorders>
            <w:hideMark/>
          </w:tcPr>
          <w:p w14:paraId="2086EDFB"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DFC"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Item 5.1 in the table in Section 50-25 of the </w:t>
            </w:r>
            <w:r w:rsidRPr="00B029D6">
              <w:rPr>
                <w:rFonts w:ascii="Arial" w:hAnsi="Arial" w:cs="Arial"/>
                <w:i/>
                <w:iCs/>
                <w:color w:val="000000"/>
                <w:sz w:val="16"/>
                <w:szCs w:val="16"/>
              </w:rPr>
              <w:t>Income Tax Assessment Act</w:t>
            </w:r>
            <w:r w:rsidR="00320DF8" w:rsidRPr="00B029D6">
              <w:rPr>
                <w:rFonts w:ascii="Arial" w:hAnsi="Arial" w:cs="Arial"/>
                <w:i/>
                <w:iCs/>
                <w:color w:val="000000"/>
                <w:sz w:val="16"/>
                <w:szCs w:val="16"/>
              </w:rPr>
              <w:t> </w:t>
            </w:r>
            <w:r w:rsidRPr="00B029D6">
              <w:rPr>
                <w:rFonts w:ascii="Arial" w:hAnsi="Arial" w:cs="Arial"/>
                <w:i/>
                <w:iCs/>
                <w:color w:val="000000"/>
                <w:sz w:val="16"/>
                <w:szCs w:val="16"/>
              </w:rPr>
              <w:t>1997</w:t>
            </w:r>
          </w:p>
        </w:tc>
      </w:tr>
    </w:tbl>
    <w:p w14:paraId="2086EDFE" w14:textId="77777777" w:rsidR="00802D3E" w:rsidRDefault="00802D3E" w:rsidP="0098392C">
      <w:pPr>
        <w:pStyle w:val="SingleParagraph"/>
      </w:pPr>
    </w:p>
    <w:p w14:paraId="2086EDFF" w14:textId="77777777" w:rsidR="00802D3E" w:rsidRDefault="00802D3E" w:rsidP="00802D3E">
      <w:r>
        <w:t>Local government</w:t>
      </w:r>
      <w:r>
        <w:fldChar w:fldCharType="begin"/>
      </w:r>
      <w:r>
        <w:instrText xml:space="preserve"> XE "Local government" </w:instrText>
      </w:r>
      <w:r>
        <w:fldChar w:fldCharType="end"/>
      </w:r>
      <w:r>
        <w:t xml:space="preserve"> bodies and municipal corporations are exempt from income tax. This exemption includes the local governing bodies in Norfolk, Cocos (Keeling) and Christmas Islands. </w:t>
      </w:r>
    </w:p>
    <w:p w14:paraId="2086EE00" w14:textId="77777777" w:rsidR="00802D3E" w:rsidRDefault="00802D3E" w:rsidP="00802D3E">
      <w:pPr>
        <w:pStyle w:val="TESHeading5"/>
        <w:ind w:left="0" w:firstLine="0"/>
      </w:pPr>
      <w:r>
        <w:t>B3</w:t>
      </w:r>
      <w:r>
        <w:tab/>
        <w:t>Exemptions for prescribed international organisations</w:t>
      </w:r>
    </w:p>
    <w:p w14:paraId="2086EE01" w14:textId="77777777" w:rsidR="00802D3E" w:rsidRDefault="00802D3E" w:rsidP="00802D3E">
      <w:pPr>
        <w:pStyle w:val="MeasureTableHeading"/>
      </w:pPr>
      <w:r>
        <w:t xml:space="preserve">General public services </w:t>
      </w:r>
      <w:r w:rsidR="00663962">
        <w:t>–</w:t>
      </w:r>
      <w:r>
        <w:t xml:space="preserve"> Foreign</w:t>
      </w:r>
      <w:r w:rsidR="00663962">
        <w:t xml:space="preserve"> </w:t>
      </w:r>
      <w:r>
        <w:t>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E0A" w14:textId="77777777" w:rsidTr="00802D3E">
        <w:trPr>
          <w:cantSplit/>
          <w:jc w:val="center"/>
        </w:trPr>
        <w:tc>
          <w:tcPr>
            <w:tcW w:w="967" w:type="dxa"/>
            <w:tcBorders>
              <w:top w:val="single" w:sz="2" w:space="0" w:color="auto"/>
              <w:left w:val="nil"/>
              <w:bottom w:val="single" w:sz="2" w:space="0" w:color="auto"/>
              <w:right w:val="nil"/>
            </w:tcBorders>
            <w:hideMark/>
          </w:tcPr>
          <w:p w14:paraId="2086EE0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E0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E0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E0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E0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E0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E0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E09" w14:textId="77777777" w:rsidR="00802D3E" w:rsidRDefault="00802D3E">
            <w:pPr>
              <w:pStyle w:val="MeasureTableTextRightAligned"/>
            </w:pPr>
            <w:r>
              <w:t>2019-20</w:t>
            </w:r>
          </w:p>
        </w:tc>
      </w:tr>
      <w:tr w:rsidR="00802D3E" w14:paraId="2086EE13" w14:textId="77777777" w:rsidTr="00802D3E">
        <w:trPr>
          <w:cantSplit/>
          <w:jc w:val="center"/>
        </w:trPr>
        <w:tc>
          <w:tcPr>
            <w:tcW w:w="967" w:type="dxa"/>
            <w:tcBorders>
              <w:top w:val="single" w:sz="2" w:space="0" w:color="auto"/>
              <w:left w:val="nil"/>
              <w:bottom w:val="single" w:sz="2" w:space="0" w:color="auto"/>
              <w:right w:val="nil"/>
            </w:tcBorders>
            <w:hideMark/>
          </w:tcPr>
          <w:p w14:paraId="2086EE0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E0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0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0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0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E1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E11"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E12" w14:textId="77777777" w:rsidR="00802D3E" w:rsidRDefault="00802D3E">
            <w:pPr>
              <w:pStyle w:val="MeasureTableTextRightAligned"/>
            </w:pPr>
            <w:r>
              <w:t>*</w:t>
            </w:r>
          </w:p>
        </w:tc>
      </w:tr>
      <w:tr w:rsidR="00802D3E" w14:paraId="2086EE18" w14:textId="77777777" w:rsidTr="00802D3E">
        <w:trPr>
          <w:cantSplit/>
          <w:jc w:val="center"/>
        </w:trPr>
        <w:tc>
          <w:tcPr>
            <w:tcW w:w="1934" w:type="dxa"/>
            <w:gridSpan w:val="2"/>
            <w:tcBorders>
              <w:top w:val="single" w:sz="2" w:space="0" w:color="auto"/>
              <w:left w:val="nil"/>
              <w:bottom w:val="nil"/>
              <w:right w:val="nil"/>
            </w:tcBorders>
            <w:hideMark/>
          </w:tcPr>
          <w:p w14:paraId="2086EE1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E15"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E1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E17" w14:textId="77777777" w:rsidR="00802D3E" w:rsidRDefault="00802D3E">
            <w:pPr>
              <w:pStyle w:val="MeasureTableTextLeftAligned"/>
            </w:pPr>
            <w:r>
              <w:t>B4</w:t>
            </w:r>
          </w:p>
        </w:tc>
      </w:tr>
      <w:tr w:rsidR="00802D3E" w14:paraId="2086EE1D" w14:textId="77777777" w:rsidTr="00802D3E">
        <w:trPr>
          <w:cantSplit/>
          <w:jc w:val="center"/>
        </w:trPr>
        <w:tc>
          <w:tcPr>
            <w:tcW w:w="1934" w:type="dxa"/>
            <w:gridSpan w:val="2"/>
            <w:tcBorders>
              <w:top w:val="nil"/>
              <w:left w:val="nil"/>
              <w:bottom w:val="nil"/>
              <w:right w:val="nil"/>
            </w:tcBorders>
            <w:hideMark/>
          </w:tcPr>
          <w:p w14:paraId="2086EE1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E1A"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E1B"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E1C" w14:textId="77777777" w:rsidR="00802D3E" w:rsidRDefault="00802D3E">
            <w:pPr>
              <w:pStyle w:val="MeasureTableTextLeftAligned"/>
            </w:pPr>
            <w:r>
              <w:t>2+</w:t>
            </w:r>
          </w:p>
        </w:tc>
      </w:tr>
      <w:tr w:rsidR="00802D3E" w14:paraId="2086EE22" w14:textId="77777777" w:rsidTr="00802D3E">
        <w:trPr>
          <w:cantSplit/>
          <w:jc w:val="center"/>
        </w:trPr>
        <w:tc>
          <w:tcPr>
            <w:tcW w:w="1934" w:type="dxa"/>
            <w:gridSpan w:val="2"/>
            <w:tcBorders>
              <w:top w:val="nil"/>
              <w:left w:val="nil"/>
              <w:bottom w:val="nil"/>
              <w:right w:val="nil"/>
            </w:tcBorders>
            <w:hideMark/>
          </w:tcPr>
          <w:p w14:paraId="2086EE1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E1F" w14:textId="77777777" w:rsidR="00802D3E" w:rsidRDefault="00802D3E">
            <w:pPr>
              <w:pStyle w:val="MeasureTableTextLeftAligned"/>
            </w:pPr>
            <w:r>
              <w:t>1963</w:t>
            </w:r>
          </w:p>
        </w:tc>
        <w:tc>
          <w:tcPr>
            <w:tcW w:w="1500" w:type="dxa"/>
            <w:gridSpan w:val="2"/>
            <w:tcBorders>
              <w:top w:val="nil"/>
              <w:left w:val="nil"/>
              <w:bottom w:val="nil"/>
              <w:right w:val="nil"/>
            </w:tcBorders>
            <w:hideMark/>
          </w:tcPr>
          <w:p w14:paraId="2086EE20"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E21" w14:textId="77777777" w:rsidR="00802D3E" w:rsidRDefault="00802D3E">
            <w:pPr>
              <w:pStyle w:val="MeasureTableTextLeftAligned"/>
            </w:pPr>
          </w:p>
        </w:tc>
      </w:tr>
      <w:tr w:rsidR="00802D3E" w14:paraId="2086EE25" w14:textId="77777777" w:rsidTr="00802D3E">
        <w:trPr>
          <w:cantSplit/>
          <w:jc w:val="center"/>
        </w:trPr>
        <w:tc>
          <w:tcPr>
            <w:tcW w:w="1934" w:type="dxa"/>
            <w:gridSpan w:val="2"/>
            <w:tcBorders>
              <w:top w:val="nil"/>
              <w:left w:val="nil"/>
              <w:bottom w:val="single" w:sz="2" w:space="0" w:color="auto"/>
              <w:right w:val="nil"/>
            </w:tcBorders>
            <w:hideMark/>
          </w:tcPr>
          <w:p w14:paraId="2086EE2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E24"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6 of the </w:t>
            </w:r>
            <w:r w:rsidRPr="00B029D6">
              <w:rPr>
                <w:rFonts w:ascii="Arial" w:hAnsi="Arial" w:cs="Arial"/>
                <w:i/>
                <w:iCs/>
                <w:color w:val="000000"/>
                <w:sz w:val="16"/>
                <w:szCs w:val="16"/>
              </w:rPr>
              <w:t>International Organisations (Privileges and Immunities) Act</w:t>
            </w:r>
            <w:r w:rsidR="00320DF8" w:rsidRPr="00B029D6">
              <w:rPr>
                <w:rFonts w:ascii="Arial" w:hAnsi="Arial" w:cs="Arial"/>
                <w:i/>
                <w:iCs/>
                <w:color w:val="000000"/>
                <w:sz w:val="16"/>
                <w:szCs w:val="16"/>
              </w:rPr>
              <w:t> </w:t>
            </w:r>
            <w:r w:rsidRPr="00B029D6">
              <w:rPr>
                <w:rFonts w:ascii="Arial" w:hAnsi="Arial" w:cs="Arial"/>
                <w:i/>
                <w:iCs/>
                <w:color w:val="000000"/>
                <w:sz w:val="16"/>
                <w:szCs w:val="16"/>
              </w:rPr>
              <w:t>1963</w:t>
            </w:r>
          </w:p>
        </w:tc>
      </w:tr>
    </w:tbl>
    <w:p w14:paraId="2086EE26" w14:textId="77777777" w:rsidR="00802D3E" w:rsidRDefault="00802D3E" w:rsidP="0098392C">
      <w:pPr>
        <w:pStyle w:val="SingleParagraph"/>
      </w:pPr>
    </w:p>
    <w:p w14:paraId="2086EE27" w14:textId="77777777" w:rsidR="00802D3E" w:rsidRDefault="00802D3E" w:rsidP="00802D3E">
      <w:r>
        <w:t>The income of certain prescribed international organisations</w:t>
      </w:r>
      <w:r>
        <w:fldChar w:fldCharType="begin"/>
      </w:r>
      <w:r>
        <w:instrText xml:space="preserve"> XE "International organisations" </w:instrText>
      </w:r>
      <w:r>
        <w:fldChar w:fldCharType="end"/>
      </w:r>
      <w:r>
        <w:t xml:space="preserve"> is exempt from income tax. Interest and dividends received by such organisations are also exempt from withholding tax. Prescribed international organisations include the United Nations, the World Trade Organisation, the Organisation for Economic Cooperation and Development and various United Nations specialised agencies. </w:t>
      </w:r>
    </w:p>
    <w:p w14:paraId="2086EE28" w14:textId="77777777" w:rsidR="00802D3E" w:rsidRDefault="00802D3E" w:rsidP="00802D3E">
      <w:pPr>
        <w:pStyle w:val="TESHeading5"/>
        <w:ind w:left="0" w:firstLine="0"/>
      </w:pPr>
      <w:r>
        <w:lastRenderedPageBreak/>
        <w:t>B4</w:t>
      </w:r>
      <w:r>
        <w:tab/>
        <w:t>Interest withholding tax and dividend withholding tax exemptions for overseas charitable institutions</w:t>
      </w:r>
    </w:p>
    <w:p w14:paraId="2086EE29" w14:textId="77777777" w:rsidR="00802D3E" w:rsidRDefault="00802D3E" w:rsidP="00802D3E">
      <w:pPr>
        <w:pStyle w:val="MeasureTableHeading"/>
      </w:pPr>
      <w:r>
        <w:t xml:space="preserve">General public services </w:t>
      </w:r>
      <w:r w:rsidR="00663962">
        <w:t>–</w:t>
      </w:r>
      <w:r>
        <w:t xml:space="preserve"> Foreign</w:t>
      </w:r>
      <w:r w:rsidR="00663962">
        <w:t xml:space="preserve"> </w:t>
      </w:r>
      <w:r>
        <w:t>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E32" w14:textId="77777777" w:rsidTr="00802D3E">
        <w:trPr>
          <w:cantSplit/>
          <w:jc w:val="center"/>
        </w:trPr>
        <w:tc>
          <w:tcPr>
            <w:tcW w:w="967" w:type="dxa"/>
            <w:tcBorders>
              <w:top w:val="single" w:sz="2" w:space="0" w:color="auto"/>
              <w:left w:val="nil"/>
              <w:bottom w:val="single" w:sz="2" w:space="0" w:color="auto"/>
              <w:right w:val="nil"/>
            </w:tcBorders>
            <w:hideMark/>
          </w:tcPr>
          <w:p w14:paraId="2086EE2A"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E2B"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E2C"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E2D"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E2E"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E2F"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E30"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E31" w14:textId="77777777" w:rsidR="00802D3E" w:rsidRDefault="00802D3E">
            <w:pPr>
              <w:pStyle w:val="MeasureTableTextRightAligned"/>
            </w:pPr>
            <w:r>
              <w:t>2019-20</w:t>
            </w:r>
          </w:p>
        </w:tc>
      </w:tr>
      <w:tr w:rsidR="00802D3E" w14:paraId="2086EE3B" w14:textId="77777777" w:rsidTr="00802D3E">
        <w:trPr>
          <w:cantSplit/>
          <w:jc w:val="center"/>
        </w:trPr>
        <w:tc>
          <w:tcPr>
            <w:tcW w:w="967" w:type="dxa"/>
            <w:tcBorders>
              <w:top w:val="single" w:sz="2" w:space="0" w:color="auto"/>
              <w:left w:val="nil"/>
              <w:bottom w:val="single" w:sz="2" w:space="0" w:color="auto"/>
              <w:right w:val="nil"/>
            </w:tcBorders>
            <w:hideMark/>
          </w:tcPr>
          <w:p w14:paraId="2086EE3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E3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3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3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3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E3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E39"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E3A" w14:textId="77777777" w:rsidR="00802D3E" w:rsidRDefault="00802D3E">
            <w:pPr>
              <w:pStyle w:val="MeasureTableTextRightAligned"/>
            </w:pPr>
            <w:r>
              <w:t>*</w:t>
            </w:r>
          </w:p>
        </w:tc>
      </w:tr>
      <w:tr w:rsidR="00802D3E" w14:paraId="2086EE40" w14:textId="77777777" w:rsidTr="00802D3E">
        <w:trPr>
          <w:cantSplit/>
          <w:jc w:val="center"/>
        </w:trPr>
        <w:tc>
          <w:tcPr>
            <w:tcW w:w="1934" w:type="dxa"/>
            <w:gridSpan w:val="2"/>
            <w:tcBorders>
              <w:top w:val="single" w:sz="2" w:space="0" w:color="auto"/>
              <w:left w:val="nil"/>
              <w:bottom w:val="nil"/>
              <w:right w:val="nil"/>
            </w:tcBorders>
            <w:hideMark/>
          </w:tcPr>
          <w:p w14:paraId="2086EE3C"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E3D"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E3E"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E3F" w14:textId="77777777" w:rsidR="00802D3E" w:rsidRDefault="00802D3E">
            <w:pPr>
              <w:pStyle w:val="MeasureTableTextLeftAligned"/>
            </w:pPr>
            <w:r>
              <w:t>B5</w:t>
            </w:r>
          </w:p>
        </w:tc>
      </w:tr>
      <w:tr w:rsidR="00802D3E" w14:paraId="2086EE45" w14:textId="77777777" w:rsidTr="00802D3E">
        <w:trPr>
          <w:cantSplit/>
          <w:jc w:val="center"/>
        </w:trPr>
        <w:tc>
          <w:tcPr>
            <w:tcW w:w="1934" w:type="dxa"/>
            <w:gridSpan w:val="2"/>
            <w:tcBorders>
              <w:top w:val="nil"/>
              <w:left w:val="nil"/>
              <w:bottom w:val="nil"/>
              <w:right w:val="nil"/>
            </w:tcBorders>
            <w:hideMark/>
          </w:tcPr>
          <w:p w14:paraId="2086EE41"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E42"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E43"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E44" w14:textId="77777777" w:rsidR="00802D3E" w:rsidRDefault="00802D3E">
            <w:pPr>
              <w:pStyle w:val="MeasureTableTextLeftAligned"/>
            </w:pPr>
            <w:r>
              <w:t>2+</w:t>
            </w:r>
          </w:p>
        </w:tc>
      </w:tr>
      <w:tr w:rsidR="00802D3E" w14:paraId="2086EE4A" w14:textId="77777777" w:rsidTr="00802D3E">
        <w:trPr>
          <w:cantSplit/>
          <w:jc w:val="center"/>
        </w:trPr>
        <w:tc>
          <w:tcPr>
            <w:tcW w:w="1934" w:type="dxa"/>
            <w:gridSpan w:val="2"/>
            <w:tcBorders>
              <w:top w:val="nil"/>
              <w:left w:val="nil"/>
              <w:bottom w:val="nil"/>
              <w:right w:val="nil"/>
            </w:tcBorders>
            <w:hideMark/>
          </w:tcPr>
          <w:p w14:paraId="2086EE46"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E47" w14:textId="77777777" w:rsidR="00802D3E" w:rsidRDefault="00802D3E">
            <w:pPr>
              <w:pStyle w:val="MeasureTableTextLeftAligned"/>
            </w:pPr>
            <w:r>
              <w:t>1971</w:t>
            </w:r>
          </w:p>
        </w:tc>
        <w:tc>
          <w:tcPr>
            <w:tcW w:w="1500" w:type="dxa"/>
            <w:gridSpan w:val="2"/>
            <w:tcBorders>
              <w:top w:val="nil"/>
              <w:left w:val="nil"/>
              <w:bottom w:val="nil"/>
              <w:right w:val="nil"/>
            </w:tcBorders>
            <w:hideMark/>
          </w:tcPr>
          <w:p w14:paraId="2086EE48"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E49" w14:textId="77777777" w:rsidR="00802D3E" w:rsidRDefault="00802D3E">
            <w:pPr>
              <w:pStyle w:val="MeasureTableTextLeftAligned"/>
            </w:pPr>
          </w:p>
        </w:tc>
      </w:tr>
      <w:tr w:rsidR="00802D3E" w14:paraId="2086EE4D" w14:textId="77777777" w:rsidTr="00802D3E">
        <w:trPr>
          <w:cantSplit/>
          <w:jc w:val="center"/>
        </w:trPr>
        <w:tc>
          <w:tcPr>
            <w:tcW w:w="1934" w:type="dxa"/>
            <w:gridSpan w:val="2"/>
            <w:tcBorders>
              <w:top w:val="nil"/>
              <w:left w:val="nil"/>
              <w:bottom w:val="single" w:sz="2" w:space="0" w:color="auto"/>
              <w:right w:val="nil"/>
            </w:tcBorders>
            <w:hideMark/>
          </w:tcPr>
          <w:p w14:paraId="2086EE4B"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E4C"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Paragraph 128B(3)(aa) of the </w:t>
            </w:r>
            <w:r w:rsidRPr="00B029D6">
              <w:rPr>
                <w:rFonts w:ascii="Arial" w:hAnsi="Arial" w:cs="Arial"/>
                <w:i/>
                <w:iCs/>
                <w:color w:val="000000"/>
                <w:sz w:val="16"/>
                <w:szCs w:val="16"/>
              </w:rPr>
              <w:t>Income Tax Assessment Act 1936</w:t>
            </w:r>
          </w:p>
        </w:tc>
      </w:tr>
    </w:tbl>
    <w:p w14:paraId="2086EE4E" w14:textId="77777777" w:rsidR="00802D3E" w:rsidRPr="00C04EB1" w:rsidRDefault="00802D3E" w:rsidP="0098392C">
      <w:pPr>
        <w:pStyle w:val="SingleParagraph"/>
        <w:rPr>
          <w:sz w:val="16"/>
        </w:rPr>
      </w:pPr>
    </w:p>
    <w:p w14:paraId="2086EE4F" w14:textId="77777777" w:rsidR="00802D3E" w:rsidRDefault="00802D3E" w:rsidP="00802D3E">
      <w:r>
        <w:t>Interest and dividends received by certain overseas charitable institutions</w:t>
      </w:r>
      <w:r>
        <w:fldChar w:fldCharType="begin"/>
      </w:r>
      <w:r>
        <w:instrText xml:space="preserve"> XE "Overseas charitable institutions" </w:instrText>
      </w:r>
      <w:r>
        <w:fldChar w:fldCharType="end"/>
      </w:r>
      <w:r>
        <w:t xml:space="preserve"> are exempt from the interest and dividend withholding tax, respectively. This exemption only applies where the institutions are exempt from tax in their home country. </w:t>
      </w:r>
    </w:p>
    <w:p w14:paraId="2086EE50" w14:textId="77777777" w:rsidR="00802D3E" w:rsidRDefault="00802D3E" w:rsidP="00802D3E">
      <w:pPr>
        <w:pStyle w:val="TESHeading5"/>
        <w:ind w:left="0" w:firstLine="0"/>
      </w:pPr>
      <w:r>
        <w:t>B5</w:t>
      </w:r>
      <w:r>
        <w:tab/>
        <w:t>Investment Manager Regime</w:t>
      </w:r>
    </w:p>
    <w:p w14:paraId="2086EE51" w14:textId="77777777" w:rsidR="00802D3E" w:rsidRDefault="00802D3E" w:rsidP="00802D3E">
      <w:pPr>
        <w:pStyle w:val="MeasureTableHeading"/>
      </w:pPr>
      <w:r>
        <w:t xml:space="preserve">General public services </w:t>
      </w:r>
      <w:r w:rsidR="00663962">
        <w:t>–</w:t>
      </w:r>
      <w:r>
        <w:t xml:space="preserve"> Foreign</w:t>
      </w:r>
      <w:r w:rsidR="00663962">
        <w:t xml:space="preserve"> </w:t>
      </w:r>
      <w:r>
        <w:t>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E5A" w14:textId="77777777" w:rsidTr="00802D3E">
        <w:trPr>
          <w:cantSplit/>
          <w:jc w:val="center"/>
        </w:trPr>
        <w:tc>
          <w:tcPr>
            <w:tcW w:w="967" w:type="dxa"/>
            <w:tcBorders>
              <w:top w:val="single" w:sz="2" w:space="0" w:color="auto"/>
              <w:left w:val="nil"/>
              <w:bottom w:val="single" w:sz="2" w:space="0" w:color="auto"/>
              <w:right w:val="nil"/>
            </w:tcBorders>
            <w:hideMark/>
          </w:tcPr>
          <w:p w14:paraId="2086EE5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E5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E5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E5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E5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E5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E5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E59" w14:textId="77777777" w:rsidR="00802D3E" w:rsidRDefault="00802D3E">
            <w:pPr>
              <w:pStyle w:val="MeasureTableTextRightAligned"/>
            </w:pPr>
            <w:r>
              <w:t>2019-20</w:t>
            </w:r>
          </w:p>
        </w:tc>
      </w:tr>
      <w:tr w:rsidR="00802D3E" w14:paraId="2086EE63" w14:textId="77777777" w:rsidTr="00802D3E">
        <w:trPr>
          <w:cantSplit/>
          <w:jc w:val="center"/>
        </w:trPr>
        <w:tc>
          <w:tcPr>
            <w:tcW w:w="967" w:type="dxa"/>
            <w:tcBorders>
              <w:top w:val="single" w:sz="2" w:space="0" w:color="auto"/>
              <w:left w:val="nil"/>
              <w:bottom w:val="single" w:sz="2" w:space="0" w:color="auto"/>
              <w:right w:val="nil"/>
            </w:tcBorders>
            <w:hideMark/>
          </w:tcPr>
          <w:p w14:paraId="2086EE5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E5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5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5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5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E6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E61"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E62" w14:textId="77777777" w:rsidR="00802D3E" w:rsidRDefault="00802D3E">
            <w:pPr>
              <w:pStyle w:val="MeasureTableTextRightAligned"/>
            </w:pPr>
            <w:r>
              <w:t>*</w:t>
            </w:r>
          </w:p>
        </w:tc>
      </w:tr>
      <w:tr w:rsidR="00802D3E" w14:paraId="2086EE68" w14:textId="77777777" w:rsidTr="00802D3E">
        <w:trPr>
          <w:cantSplit/>
          <w:jc w:val="center"/>
        </w:trPr>
        <w:tc>
          <w:tcPr>
            <w:tcW w:w="1934" w:type="dxa"/>
            <w:gridSpan w:val="2"/>
            <w:tcBorders>
              <w:top w:val="single" w:sz="2" w:space="0" w:color="auto"/>
              <w:left w:val="nil"/>
              <w:bottom w:val="nil"/>
              <w:right w:val="nil"/>
            </w:tcBorders>
            <w:hideMark/>
          </w:tcPr>
          <w:p w14:paraId="2086EE6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E65"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E6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E67" w14:textId="77777777" w:rsidR="00802D3E" w:rsidRDefault="00802D3E">
            <w:pPr>
              <w:pStyle w:val="MeasureTableTextLeftAligned"/>
            </w:pPr>
            <w:r>
              <w:t>B6</w:t>
            </w:r>
          </w:p>
        </w:tc>
      </w:tr>
      <w:tr w:rsidR="00802D3E" w14:paraId="2086EE6D" w14:textId="77777777" w:rsidTr="00802D3E">
        <w:trPr>
          <w:cantSplit/>
          <w:jc w:val="center"/>
        </w:trPr>
        <w:tc>
          <w:tcPr>
            <w:tcW w:w="1934" w:type="dxa"/>
            <w:gridSpan w:val="2"/>
            <w:tcBorders>
              <w:top w:val="nil"/>
              <w:left w:val="nil"/>
              <w:bottom w:val="nil"/>
              <w:right w:val="nil"/>
            </w:tcBorders>
            <w:hideMark/>
          </w:tcPr>
          <w:p w14:paraId="2086EE6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E6A"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E6B"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E6C" w14:textId="77777777" w:rsidR="00802D3E" w:rsidRDefault="00802D3E">
            <w:pPr>
              <w:pStyle w:val="MeasureTableTextLeftAligned"/>
            </w:pPr>
            <w:r>
              <w:t>2+</w:t>
            </w:r>
          </w:p>
        </w:tc>
      </w:tr>
      <w:tr w:rsidR="00802D3E" w14:paraId="2086EE72" w14:textId="77777777" w:rsidTr="00802D3E">
        <w:trPr>
          <w:cantSplit/>
          <w:jc w:val="center"/>
        </w:trPr>
        <w:tc>
          <w:tcPr>
            <w:tcW w:w="1934" w:type="dxa"/>
            <w:gridSpan w:val="2"/>
            <w:tcBorders>
              <w:top w:val="nil"/>
              <w:left w:val="nil"/>
              <w:bottom w:val="nil"/>
              <w:right w:val="nil"/>
            </w:tcBorders>
            <w:hideMark/>
          </w:tcPr>
          <w:p w14:paraId="2086EE6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E6F" w14:textId="77777777" w:rsidR="00802D3E" w:rsidRDefault="00802D3E">
            <w:pPr>
              <w:pStyle w:val="MeasureTableTextLeftAligned"/>
            </w:pPr>
            <w:r>
              <w:t>1 July 2011</w:t>
            </w:r>
          </w:p>
        </w:tc>
        <w:tc>
          <w:tcPr>
            <w:tcW w:w="1500" w:type="dxa"/>
            <w:gridSpan w:val="2"/>
            <w:tcBorders>
              <w:top w:val="nil"/>
              <w:left w:val="nil"/>
              <w:bottom w:val="nil"/>
              <w:right w:val="nil"/>
            </w:tcBorders>
            <w:hideMark/>
          </w:tcPr>
          <w:p w14:paraId="2086EE70"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E71" w14:textId="77777777" w:rsidR="00802D3E" w:rsidRDefault="00802D3E">
            <w:pPr>
              <w:pStyle w:val="MeasureTableTextLeftAligned"/>
            </w:pPr>
          </w:p>
        </w:tc>
      </w:tr>
      <w:tr w:rsidR="00802D3E" w14:paraId="2086EE75" w14:textId="77777777" w:rsidTr="00802D3E">
        <w:trPr>
          <w:cantSplit/>
          <w:jc w:val="center"/>
        </w:trPr>
        <w:tc>
          <w:tcPr>
            <w:tcW w:w="1934" w:type="dxa"/>
            <w:gridSpan w:val="2"/>
            <w:tcBorders>
              <w:top w:val="nil"/>
              <w:left w:val="nil"/>
              <w:bottom w:val="single" w:sz="2" w:space="0" w:color="auto"/>
              <w:right w:val="nil"/>
            </w:tcBorders>
            <w:hideMark/>
          </w:tcPr>
          <w:p w14:paraId="2086EE7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E74"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Subdivision 842-I of the </w:t>
            </w:r>
            <w:r>
              <w:rPr>
                <w:rFonts w:ascii="Arial" w:hAnsi="Arial" w:cs="Arial"/>
                <w:i/>
                <w:iCs/>
                <w:color w:val="000000"/>
                <w:sz w:val="16"/>
                <w:szCs w:val="16"/>
              </w:rPr>
              <w:t>Income Tax Assessment Act 1997</w:t>
            </w:r>
          </w:p>
        </w:tc>
      </w:tr>
    </w:tbl>
    <w:p w14:paraId="2086EE76" w14:textId="77777777" w:rsidR="00802D3E" w:rsidRPr="00C04EB1" w:rsidRDefault="00802D3E" w:rsidP="0098392C">
      <w:pPr>
        <w:pStyle w:val="SingleParagraph"/>
        <w:rPr>
          <w:sz w:val="16"/>
        </w:rPr>
      </w:pPr>
    </w:p>
    <w:p w14:paraId="2086EE77" w14:textId="77777777" w:rsidR="00802D3E" w:rsidRDefault="00802D3E" w:rsidP="00802D3E">
      <w:r>
        <w:t>The Investment Manager Regime</w:t>
      </w:r>
      <w:r>
        <w:fldChar w:fldCharType="begin"/>
      </w:r>
      <w:r>
        <w:instrText xml:space="preserve"> XE "Investment Manager Regime" </w:instrText>
      </w:r>
      <w:r>
        <w:fldChar w:fldCharType="end"/>
      </w:r>
      <w:r>
        <w:t xml:space="preserve"> exempts certain investment income of widely held foreign managed funds from Australian tax in specified circumstances.</w:t>
      </w:r>
    </w:p>
    <w:p w14:paraId="2086EE78" w14:textId="3820FD77" w:rsidR="00802D3E" w:rsidRDefault="00802D3E" w:rsidP="00802D3E">
      <w:pPr>
        <w:spacing w:after="0"/>
      </w:pPr>
      <w:r>
        <w:t>Certain investment income will be exempt from Australian income tax if it is assessable solely because it was attributed to a permanent establishment in Australia due to a foreign fund engaging an Australia-based agent</w:t>
      </w:r>
      <w:r w:rsidR="000D700A">
        <w:t xml:space="preserve">, manager or service provider. </w:t>
      </w:r>
      <w:r>
        <w:t xml:space="preserve">Certain other investment income will be exempt only for portfolio investments. </w:t>
      </w:r>
    </w:p>
    <w:p w14:paraId="2086EE79" w14:textId="77777777" w:rsidR="00802D3E" w:rsidRDefault="00802D3E" w:rsidP="00802D3E">
      <w:pPr>
        <w:pStyle w:val="TESHeading5"/>
        <w:ind w:left="0" w:firstLine="0"/>
      </w:pPr>
      <w:r>
        <w:t>B6</w:t>
      </w:r>
      <w:r>
        <w:tab/>
        <w:t>Reduced withholding tax under international tax treaties</w:t>
      </w:r>
    </w:p>
    <w:p w14:paraId="2086EE7A" w14:textId="77777777" w:rsidR="00802D3E" w:rsidRDefault="00802D3E" w:rsidP="00802D3E">
      <w:pPr>
        <w:pStyle w:val="MeasureTableHeading"/>
      </w:pPr>
      <w:r>
        <w:t xml:space="preserve">General public services </w:t>
      </w:r>
      <w:r w:rsidR="00663962">
        <w:t>–</w:t>
      </w:r>
      <w:r>
        <w:t xml:space="preserve"> Foreign</w:t>
      </w:r>
      <w:r w:rsidR="00663962">
        <w:t xml:space="preserve"> </w:t>
      </w:r>
      <w:r>
        <w:t>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E83" w14:textId="77777777" w:rsidTr="00802D3E">
        <w:trPr>
          <w:cantSplit/>
          <w:jc w:val="center"/>
        </w:trPr>
        <w:tc>
          <w:tcPr>
            <w:tcW w:w="967" w:type="dxa"/>
            <w:tcBorders>
              <w:top w:val="single" w:sz="2" w:space="0" w:color="auto"/>
              <w:left w:val="nil"/>
              <w:bottom w:val="single" w:sz="2" w:space="0" w:color="auto"/>
              <w:right w:val="nil"/>
            </w:tcBorders>
            <w:hideMark/>
          </w:tcPr>
          <w:p w14:paraId="2086EE7B"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E7C"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E7D"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E7E"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E7F"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E80"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E81"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E82" w14:textId="77777777" w:rsidR="00802D3E" w:rsidRDefault="00802D3E">
            <w:pPr>
              <w:pStyle w:val="MeasureTableTextRightAligned"/>
            </w:pPr>
            <w:r>
              <w:t>2019-20</w:t>
            </w:r>
          </w:p>
        </w:tc>
      </w:tr>
      <w:tr w:rsidR="00802D3E" w14:paraId="2086EE8C" w14:textId="77777777" w:rsidTr="00802D3E">
        <w:trPr>
          <w:cantSplit/>
          <w:jc w:val="center"/>
        </w:trPr>
        <w:tc>
          <w:tcPr>
            <w:tcW w:w="967" w:type="dxa"/>
            <w:tcBorders>
              <w:top w:val="single" w:sz="2" w:space="0" w:color="auto"/>
              <w:left w:val="nil"/>
              <w:bottom w:val="single" w:sz="2" w:space="0" w:color="auto"/>
              <w:right w:val="nil"/>
            </w:tcBorders>
            <w:hideMark/>
          </w:tcPr>
          <w:p w14:paraId="2086EE84" w14:textId="77777777" w:rsidR="00802D3E" w:rsidRDefault="00802D3E">
            <w:pPr>
              <w:pStyle w:val="MeasureTableTextRightAligned"/>
            </w:pPr>
            <w:r>
              <w:t>320</w:t>
            </w:r>
          </w:p>
        </w:tc>
        <w:tc>
          <w:tcPr>
            <w:tcW w:w="967" w:type="dxa"/>
            <w:tcBorders>
              <w:top w:val="single" w:sz="2" w:space="0" w:color="auto"/>
              <w:left w:val="nil"/>
              <w:bottom w:val="single" w:sz="2" w:space="0" w:color="auto"/>
              <w:right w:val="nil"/>
            </w:tcBorders>
            <w:hideMark/>
          </w:tcPr>
          <w:p w14:paraId="2086EE85" w14:textId="77777777" w:rsidR="00802D3E" w:rsidRDefault="00802D3E">
            <w:pPr>
              <w:pStyle w:val="MeasureTableTextRightAligned"/>
            </w:pPr>
            <w:r>
              <w:t>390</w:t>
            </w:r>
          </w:p>
        </w:tc>
        <w:tc>
          <w:tcPr>
            <w:tcW w:w="967" w:type="dxa"/>
            <w:tcBorders>
              <w:top w:val="single" w:sz="2" w:space="0" w:color="auto"/>
              <w:left w:val="nil"/>
              <w:bottom w:val="single" w:sz="2" w:space="0" w:color="auto"/>
              <w:right w:val="nil"/>
            </w:tcBorders>
            <w:vAlign w:val="bottom"/>
            <w:hideMark/>
          </w:tcPr>
          <w:p w14:paraId="2086EE86" w14:textId="77777777" w:rsidR="00802D3E" w:rsidRDefault="00802D3E">
            <w:pPr>
              <w:pStyle w:val="MeasureTableTextRightAligned"/>
            </w:pPr>
            <w:r>
              <w:t>500</w:t>
            </w:r>
          </w:p>
        </w:tc>
        <w:tc>
          <w:tcPr>
            <w:tcW w:w="967" w:type="dxa"/>
            <w:tcBorders>
              <w:top w:val="single" w:sz="2" w:space="0" w:color="auto"/>
              <w:left w:val="nil"/>
              <w:bottom w:val="single" w:sz="2" w:space="0" w:color="auto"/>
              <w:right w:val="nil"/>
            </w:tcBorders>
            <w:vAlign w:val="bottom"/>
            <w:hideMark/>
          </w:tcPr>
          <w:p w14:paraId="2086EE87" w14:textId="77777777" w:rsidR="00802D3E" w:rsidRDefault="00802D3E">
            <w:pPr>
              <w:pStyle w:val="MeasureTableTextRightAligned"/>
            </w:pPr>
            <w:r>
              <w:t>520</w:t>
            </w:r>
          </w:p>
        </w:tc>
        <w:tc>
          <w:tcPr>
            <w:tcW w:w="967" w:type="dxa"/>
            <w:tcBorders>
              <w:top w:val="single" w:sz="2" w:space="0" w:color="auto"/>
              <w:left w:val="nil"/>
              <w:bottom w:val="single" w:sz="2" w:space="0" w:color="auto"/>
              <w:right w:val="nil"/>
            </w:tcBorders>
            <w:vAlign w:val="bottom"/>
            <w:hideMark/>
          </w:tcPr>
          <w:p w14:paraId="2086EE88" w14:textId="77777777" w:rsidR="00802D3E" w:rsidRDefault="00802D3E">
            <w:pPr>
              <w:pStyle w:val="MeasureTableTextRightAligned"/>
            </w:pPr>
            <w:r>
              <w:t>550</w:t>
            </w:r>
          </w:p>
        </w:tc>
        <w:tc>
          <w:tcPr>
            <w:tcW w:w="967" w:type="dxa"/>
            <w:gridSpan w:val="2"/>
            <w:tcBorders>
              <w:top w:val="single" w:sz="2" w:space="0" w:color="auto"/>
              <w:left w:val="nil"/>
              <w:bottom w:val="single" w:sz="2" w:space="0" w:color="auto"/>
              <w:right w:val="nil"/>
            </w:tcBorders>
            <w:vAlign w:val="bottom"/>
            <w:hideMark/>
          </w:tcPr>
          <w:p w14:paraId="2086EE89" w14:textId="77777777" w:rsidR="00802D3E" w:rsidRDefault="00802D3E">
            <w:pPr>
              <w:pStyle w:val="MeasureTableTextRightAligned"/>
            </w:pPr>
            <w:r>
              <w:t>580</w:t>
            </w:r>
          </w:p>
        </w:tc>
        <w:tc>
          <w:tcPr>
            <w:tcW w:w="967" w:type="dxa"/>
            <w:gridSpan w:val="2"/>
            <w:tcBorders>
              <w:top w:val="single" w:sz="2" w:space="0" w:color="auto"/>
              <w:left w:val="nil"/>
              <w:bottom w:val="single" w:sz="2" w:space="0" w:color="auto"/>
              <w:right w:val="nil"/>
            </w:tcBorders>
            <w:vAlign w:val="bottom"/>
            <w:hideMark/>
          </w:tcPr>
          <w:p w14:paraId="2086EE8A" w14:textId="77777777" w:rsidR="00802D3E" w:rsidRDefault="00802D3E">
            <w:pPr>
              <w:pStyle w:val="MeasureTableTextRightAligned"/>
            </w:pPr>
            <w:r>
              <w:t>600</w:t>
            </w:r>
          </w:p>
        </w:tc>
        <w:tc>
          <w:tcPr>
            <w:tcW w:w="968" w:type="dxa"/>
            <w:tcBorders>
              <w:top w:val="single" w:sz="2" w:space="0" w:color="auto"/>
              <w:left w:val="nil"/>
              <w:bottom w:val="single" w:sz="2" w:space="0" w:color="auto"/>
              <w:right w:val="nil"/>
            </w:tcBorders>
            <w:vAlign w:val="bottom"/>
            <w:hideMark/>
          </w:tcPr>
          <w:p w14:paraId="2086EE8B" w14:textId="77777777" w:rsidR="00802D3E" w:rsidRDefault="00802D3E">
            <w:pPr>
              <w:pStyle w:val="MeasureTableTextRightAligned"/>
            </w:pPr>
            <w:r>
              <w:t>630</w:t>
            </w:r>
          </w:p>
        </w:tc>
      </w:tr>
      <w:tr w:rsidR="00802D3E" w14:paraId="2086EE91" w14:textId="77777777" w:rsidTr="00802D3E">
        <w:trPr>
          <w:cantSplit/>
          <w:jc w:val="center"/>
        </w:trPr>
        <w:tc>
          <w:tcPr>
            <w:tcW w:w="1934" w:type="dxa"/>
            <w:gridSpan w:val="2"/>
            <w:tcBorders>
              <w:top w:val="single" w:sz="2" w:space="0" w:color="auto"/>
              <w:left w:val="nil"/>
              <w:bottom w:val="nil"/>
              <w:right w:val="nil"/>
            </w:tcBorders>
            <w:hideMark/>
          </w:tcPr>
          <w:p w14:paraId="2086EE8D"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E8E" w14:textId="77777777" w:rsidR="00802D3E" w:rsidRDefault="00802D3E">
            <w:pPr>
              <w:pStyle w:val="MeasureTableTextLeftAligned"/>
            </w:pPr>
            <w:r>
              <w:t>Exemption, Concessional rate</w:t>
            </w:r>
          </w:p>
        </w:tc>
        <w:tc>
          <w:tcPr>
            <w:tcW w:w="1500" w:type="dxa"/>
            <w:gridSpan w:val="2"/>
            <w:tcBorders>
              <w:top w:val="single" w:sz="2" w:space="0" w:color="auto"/>
              <w:left w:val="nil"/>
              <w:bottom w:val="nil"/>
              <w:right w:val="nil"/>
            </w:tcBorders>
            <w:hideMark/>
          </w:tcPr>
          <w:p w14:paraId="2086EE8F"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E90" w14:textId="77777777" w:rsidR="00802D3E" w:rsidRDefault="00802D3E">
            <w:pPr>
              <w:pStyle w:val="MeasureTableTextLeftAligned"/>
            </w:pPr>
            <w:r>
              <w:t>B7</w:t>
            </w:r>
          </w:p>
        </w:tc>
      </w:tr>
      <w:tr w:rsidR="00802D3E" w14:paraId="2086EE96" w14:textId="77777777" w:rsidTr="00802D3E">
        <w:trPr>
          <w:cantSplit/>
          <w:jc w:val="center"/>
        </w:trPr>
        <w:tc>
          <w:tcPr>
            <w:tcW w:w="1934" w:type="dxa"/>
            <w:gridSpan w:val="2"/>
            <w:tcBorders>
              <w:top w:val="nil"/>
              <w:left w:val="nil"/>
              <w:bottom w:val="nil"/>
              <w:right w:val="nil"/>
            </w:tcBorders>
            <w:hideMark/>
          </w:tcPr>
          <w:p w14:paraId="2086EE92"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E93" w14:textId="77777777" w:rsidR="00802D3E" w:rsidRDefault="00802D3E">
            <w:pPr>
              <w:pStyle w:val="MeasureTableTextLeftAligned"/>
            </w:pPr>
            <w:r>
              <w:t>Low</w:t>
            </w:r>
          </w:p>
        </w:tc>
        <w:tc>
          <w:tcPr>
            <w:tcW w:w="1500" w:type="dxa"/>
            <w:gridSpan w:val="2"/>
            <w:tcBorders>
              <w:top w:val="nil"/>
              <w:left w:val="nil"/>
              <w:bottom w:val="nil"/>
              <w:right w:val="nil"/>
            </w:tcBorders>
          </w:tcPr>
          <w:p w14:paraId="2086EE94" w14:textId="77777777" w:rsidR="00802D3E" w:rsidRDefault="00802D3E">
            <w:pPr>
              <w:pStyle w:val="MeasureTableTextItalic"/>
            </w:pPr>
          </w:p>
        </w:tc>
        <w:tc>
          <w:tcPr>
            <w:tcW w:w="1124" w:type="dxa"/>
            <w:gridSpan w:val="2"/>
            <w:tcBorders>
              <w:top w:val="nil"/>
              <w:left w:val="nil"/>
              <w:bottom w:val="nil"/>
              <w:right w:val="nil"/>
            </w:tcBorders>
          </w:tcPr>
          <w:p w14:paraId="2086EE95" w14:textId="77777777" w:rsidR="00802D3E" w:rsidRDefault="00802D3E">
            <w:pPr>
              <w:pStyle w:val="MeasureTableTextLeftAligned"/>
            </w:pPr>
          </w:p>
        </w:tc>
      </w:tr>
      <w:tr w:rsidR="00802D3E" w14:paraId="2086EE9B" w14:textId="77777777" w:rsidTr="00802D3E">
        <w:trPr>
          <w:cantSplit/>
          <w:jc w:val="center"/>
        </w:trPr>
        <w:tc>
          <w:tcPr>
            <w:tcW w:w="1934" w:type="dxa"/>
            <w:gridSpan w:val="2"/>
            <w:tcBorders>
              <w:top w:val="nil"/>
              <w:left w:val="nil"/>
              <w:bottom w:val="nil"/>
              <w:right w:val="nil"/>
            </w:tcBorders>
            <w:hideMark/>
          </w:tcPr>
          <w:p w14:paraId="2086EE97"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E98" w14:textId="77777777" w:rsidR="00802D3E" w:rsidRDefault="00802D3E">
            <w:pPr>
              <w:pStyle w:val="MeasureTableTextLeftAligned"/>
            </w:pPr>
            <w:r>
              <w:t>2008</w:t>
            </w:r>
          </w:p>
        </w:tc>
        <w:tc>
          <w:tcPr>
            <w:tcW w:w="1500" w:type="dxa"/>
            <w:gridSpan w:val="2"/>
            <w:tcBorders>
              <w:top w:val="nil"/>
              <w:left w:val="nil"/>
              <w:bottom w:val="nil"/>
              <w:right w:val="nil"/>
            </w:tcBorders>
            <w:hideMark/>
          </w:tcPr>
          <w:p w14:paraId="2086EE99"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E9A" w14:textId="77777777" w:rsidR="00802D3E" w:rsidRDefault="00802D3E">
            <w:pPr>
              <w:pStyle w:val="MeasureTableTextLeftAligned"/>
            </w:pPr>
          </w:p>
        </w:tc>
      </w:tr>
      <w:tr w:rsidR="00802D3E" w14:paraId="2086EE9E" w14:textId="77777777" w:rsidTr="00802D3E">
        <w:trPr>
          <w:cantSplit/>
          <w:jc w:val="center"/>
        </w:trPr>
        <w:tc>
          <w:tcPr>
            <w:tcW w:w="1934" w:type="dxa"/>
            <w:gridSpan w:val="2"/>
            <w:tcBorders>
              <w:top w:val="nil"/>
              <w:left w:val="nil"/>
              <w:bottom w:val="single" w:sz="2" w:space="0" w:color="auto"/>
              <w:right w:val="nil"/>
            </w:tcBorders>
            <w:hideMark/>
          </w:tcPr>
          <w:p w14:paraId="2086EE9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E9D" w14:textId="77777777" w:rsidR="00802D3E" w:rsidRDefault="00802D3E" w:rsidP="00B029D6">
            <w:pPr>
              <w:widowControl w:val="0"/>
              <w:autoSpaceDE w:val="0"/>
              <w:autoSpaceDN w:val="0"/>
              <w:adjustRightInd w:val="0"/>
              <w:spacing w:after="0" w:line="240" w:lineRule="auto"/>
              <w:jc w:val="left"/>
            </w:pPr>
            <w:r>
              <w:rPr>
                <w:rFonts w:ascii="Arial" w:hAnsi="Arial" w:cs="Arial"/>
                <w:i/>
                <w:iCs/>
                <w:color w:val="000000"/>
                <w:sz w:val="16"/>
                <w:szCs w:val="16"/>
              </w:rPr>
              <w:t>International Tax Agreements Act 1953</w:t>
            </w:r>
          </w:p>
        </w:tc>
      </w:tr>
    </w:tbl>
    <w:p w14:paraId="2086EE9F" w14:textId="77777777" w:rsidR="00802D3E" w:rsidRPr="00C04EB1" w:rsidRDefault="00802D3E" w:rsidP="00506822">
      <w:pPr>
        <w:pStyle w:val="SingleParagraph"/>
        <w:rPr>
          <w:sz w:val="16"/>
        </w:rPr>
      </w:pPr>
    </w:p>
    <w:p w14:paraId="2086EEA0" w14:textId="77777777" w:rsidR="00802D3E" w:rsidRDefault="00802D3E" w:rsidP="00802D3E">
      <w:r>
        <w:t>Tax treaties</w:t>
      </w:r>
      <w:r>
        <w:fldChar w:fldCharType="begin"/>
      </w:r>
      <w:r>
        <w:instrText xml:space="preserve"> XE "International tax treaties" </w:instrText>
      </w:r>
      <w:r>
        <w:fldChar w:fldCharType="end"/>
      </w:r>
      <w:r>
        <w:t xml:space="preserve"> reduce or eliminate double taxation caused by the exercise of source and residence country taxing rights on cross border income flows. Under Australia’s tax treaties, certain dividends, interest and royalties attract reduced withholding tax rates. These include interest withholding tax exemptions for financial institutions and governments and reduced dividend withholding tax rates where dividends are paid to companies with controlling interests in the companies paying the dividends, provided that certain integrity measures are satisfied. </w:t>
      </w:r>
    </w:p>
    <w:p w14:paraId="2086EEA1" w14:textId="77777777" w:rsidR="00802D3E" w:rsidRDefault="00802D3E" w:rsidP="00802D3E">
      <w:pPr>
        <w:pStyle w:val="TESHeading5"/>
        <w:ind w:left="0" w:firstLine="0"/>
      </w:pPr>
      <w:r>
        <w:lastRenderedPageBreak/>
        <w:t>B7</w:t>
      </w:r>
      <w:r>
        <w:tab/>
        <w:t>Income tax exemption for persons connected with certain US Government projects in Australia</w:t>
      </w:r>
    </w:p>
    <w:p w14:paraId="2086EEA2"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EAB" w14:textId="77777777" w:rsidTr="00802D3E">
        <w:trPr>
          <w:cantSplit/>
          <w:jc w:val="center"/>
        </w:trPr>
        <w:tc>
          <w:tcPr>
            <w:tcW w:w="967" w:type="dxa"/>
            <w:tcBorders>
              <w:top w:val="single" w:sz="2" w:space="0" w:color="auto"/>
              <w:left w:val="nil"/>
              <w:bottom w:val="single" w:sz="2" w:space="0" w:color="auto"/>
              <w:right w:val="nil"/>
            </w:tcBorders>
            <w:hideMark/>
          </w:tcPr>
          <w:p w14:paraId="2086EEA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EA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EA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EA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EA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EA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EA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EAA" w14:textId="77777777" w:rsidR="00802D3E" w:rsidRDefault="00802D3E">
            <w:pPr>
              <w:pStyle w:val="MeasureTableTextRightAligned"/>
            </w:pPr>
            <w:r>
              <w:t>2019-20</w:t>
            </w:r>
          </w:p>
        </w:tc>
      </w:tr>
      <w:tr w:rsidR="00802D3E" w14:paraId="2086EEB4" w14:textId="77777777" w:rsidTr="00802D3E">
        <w:trPr>
          <w:cantSplit/>
          <w:jc w:val="center"/>
        </w:trPr>
        <w:tc>
          <w:tcPr>
            <w:tcW w:w="967" w:type="dxa"/>
            <w:tcBorders>
              <w:top w:val="single" w:sz="2" w:space="0" w:color="auto"/>
              <w:left w:val="nil"/>
              <w:bottom w:val="single" w:sz="2" w:space="0" w:color="auto"/>
              <w:right w:val="nil"/>
            </w:tcBorders>
            <w:hideMark/>
          </w:tcPr>
          <w:p w14:paraId="2086EEA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EA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A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A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B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EB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EB2"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EB3" w14:textId="77777777" w:rsidR="00802D3E" w:rsidRDefault="00802D3E">
            <w:pPr>
              <w:pStyle w:val="MeasureTableTextRightAligned"/>
            </w:pPr>
            <w:r>
              <w:t>*</w:t>
            </w:r>
          </w:p>
        </w:tc>
      </w:tr>
      <w:tr w:rsidR="00802D3E" w14:paraId="2086EEB9" w14:textId="77777777" w:rsidTr="00802D3E">
        <w:trPr>
          <w:cantSplit/>
          <w:jc w:val="center"/>
        </w:trPr>
        <w:tc>
          <w:tcPr>
            <w:tcW w:w="1934" w:type="dxa"/>
            <w:gridSpan w:val="2"/>
            <w:tcBorders>
              <w:top w:val="single" w:sz="2" w:space="0" w:color="auto"/>
              <w:left w:val="nil"/>
              <w:bottom w:val="nil"/>
              <w:right w:val="nil"/>
            </w:tcBorders>
            <w:hideMark/>
          </w:tcPr>
          <w:p w14:paraId="2086EEB5"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EB6"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EB7"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EB8" w14:textId="77777777" w:rsidR="00802D3E" w:rsidRDefault="00802D3E">
            <w:pPr>
              <w:pStyle w:val="MeasureTableTextLeftAligned"/>
            </w:pPr>
            <w:r>
              <w:t>B8</w:t>
            </w:r>
          </w:p>
        </w:tc>
      </w:tr>
      <w:tr w:rsidR="00802D3E" w14:paraId="2086EEBE" w14:textId="77777777" w:rsidTr="00802D3E">
        <w:trPr>
          <w:cantSplit/>
          <w:jc w:val="center"/>
        </w:trPr>
        <w:tc>
          <w:tcPr>
            <w:tcW w:w="1934" w:type="dxa"/>
            <w:gridSpan w:val="2"/>
            <w:tcBorders>
              <w:top w:val="nil"/>
              <w:left w:val="nil"/>
              <w:bottom w:val="nil"/>
              <w:right w:val="nil"/>
            </w:tcBorders>
            <w:hideMark/>
          </w:tcPr>
          <w:p w14:paraId="2086EEBA"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EBB"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EBC"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EBD" w14:textId="77777777" w:rsidR="00802D3E" w:rsidRDefault="00802D3E">
            <w:pPr>
              <w:pStyle w:val="MeasureTableTextLeftAligned"/>
            </w:pPr>
            <w:r>
              <w:t>1+</w:t>
            </w:r>
          </w:p>
        </w:tc>
      </w:tr>
      <w:tr w:rsidR="00802D3E" w14:paraId="2086EEC3" w14:textId="77777777" w:rsidTr="00802D3E">
        <w:trPr>
          <w:cantSplit/>
          <w:jc w:val="center"/>
        </w:trPr>
        <w:tc>
          <w:tcPr>
            <w:tcW w:w="1934" w:type="dxa"/>
            <w:gridSpan w:val="2"/>
            <w:tcBorders>
              <w:top w:val="nil"/>
              <w:left w:val="nil"/>
              <w:bottom w:val="nil"/>
              <w:right w:val="nil"/>
            </w:tcBorders>
            <w:hideMark/>
          </w:tcPr>
          <w:p w14:paraId="2086EEBF"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EC0"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EC1"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EC2" w14:textId="77777777" w:rsidR="00802D3E" w:rsidRDefault="00802D3E">
            <w:pPr>
              <w:pStyle w:val="MeasureTableTextLeftAligned"/>
            </w:pPr>
          </w:p>
        </w:tc>
      </w:tr>
      <w:tr w:rsidR="00802D3E" w14:paraId="2086EEC6" w14:textId="77777777" w:rsidTr="00802D3E">
        <w:trPr>
          <w:cantSplit/>
          <w:jc w:val="center"/>
        </w:trPr>
        <w:tc>
          <w:tcPr>
            <w:tcW w:w="1934" w:type="dxa"/>
            <w:gridSpan w:val="2"/>
            <w:tcBorders>
              <w:top w:val="nil"/>
              <w:left w:val="nil"/>
              <w:bottom w:val="single" w:sz="2" w:space="0" w:color="auto"/>
              <w:right w:val="nil"/>
            </w:tcBorders>
            <w:hideMark/>
          </w:tcPr>
          <w:p w14:paraId="2086EEC4"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EC5"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23AA of the </w:t>
            </w:r>
            <w:r w:rsidRPr="00B029D6">
              <w:rPr>
                <w:rFonts w:ascii="Arial" w:hAnsi="Arial" w:cs="Arial"/>
                <w:i/>
                <w:iCs/>
                <w:color w:val="000000"/>
                <w:sz w:val="16"/>
                <w:szCs w:val="16"/>
              </w:rPr>
              <w:t>Income Tax Assessment Act 1936</w:t>
            </w:r>
          </w:p>
        </w:tc>
      </w:tr>
    </w:tbl>
    <w:p w14:paraId="2086EEC7" w14:textId="77777777" w:rsidR="00802D3E" w:rsidRPr="00C04EB1" w:rsidRDefault="00802D3E" w:rsidP="00506822">
      <w:pPr>
        <w:pStyle w:val="SingleParagraph"/>
        <w:rPr>
          <w:sz w:val="18"/>
        </w:rPr>
      </w:pPr>
    </w:p>
    <w:p w14:paraId="2086EEC8" w14:textId="77777777" w:rsidR="00802D3E" w:rsidRDefault="00802D3E" w:rsidP="00802D3E">
      <w:r>
        <w:t xml:space="preserve">The profit and remuneration of United States contractors, armed forces members and their associated employees, or others connected with certain approved United States Government projects in Australia are exempt from Australian income tax, where the income is subject to tax in the United States. Projects to which the exemption applies include the North West Cape Naval Communication Station and the Joint Defence Space Research Facility. </w:t>
      </w:r>
    </w:p>
    <w:p w14:paraId="2086EEC9" w14:textId="77777777" w:rsidR="00802D3E" w:rsidRDefault="00802D3E" w:rsidP="00802D3E">
      <w:pPr>
        <w:pStyle w:val="TESHeading5"/>
        <w:ind w:left="0" w:firstLine="0"/>
      </w:pPr>
      <w:r>
        <w:t>B8</w:t>
      </w:r>
      <w:r>
        <w:tab/>
        <w:t>Concessional tax treatment of offshore banking units</w:t>
      </w:r>
    </w:p>
    <w:p w14:paraId="2086EECA"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ED3" w14:textId="77777777" w:rsidTr="00802D3E">
        <w:trPr>
          <w:cantSplit/>
          <w:jc w:val="center"/>
        </w:trPr>
        <w:tc>
          <w:tcPr>
            <w:tcW w:w="967" w:type="dxa"/>
            <w:tcBorders>
              <w:top w:val="single" w:sz="2" w:space="0" w:color="auto"/>
              <w:left w:val="nil"/>
              <w:bottom w:val="single" w:sz="2" w:space="0" w:color="auto"/>
              <w:right w:val="nil"/>
            </w:tcBorders>
            <w:hideMark/>
          </w:tcPr>
          <w:p w14:paraId="2086EECB"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ECC"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ECD"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ECE"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ECF"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ED0"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ED1"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ED2" w14:textId="77777777" w:rsidR="00802D3E" w:rsidRDefault="00802D3E">
            <w:pPr>
              <w:pStyle w:val="MeasureTableTextRightAligned"/>
            </w:pPr>
            <w:r>
              <w:t>2019-20</w:t>
            </w:r>
          </w:p>
        </w:tc>
      </w:tr>
      <w:tr w:rsidR="00802D3E" w14:paraId="2086EEDC" w14:textId="77777777" w:rsidTr="00802D3E">
        <w:trPr>
          <w:cantSplit/>
          <w:jc w:val="center"/>
        </w:trPr>
        <w:tc>
          <w:tcPr>
            <w:tcW w:w="967" w:type="dxa"/>
            <w:tcBorders>
              <w:top w:val="single" w:sz="2" w:space="0" w:color="auto"/>
              <w:left w:val="nil"/>
              <w:bottom w:val="single" w:sz="2" w:space="0" w:color="auto"/>
              <w:right w:val="nil"/>
            </w:tcBorders>
            <w:hideMark/>
          </w:tcPr>
          <w:p w14:paraId="2086EED4" w14:textId="77777777" w:rsidR="00802D3E" w:rsidRDefault="00802D3E">
            <w:pPr>
              <w:pStyle w:val="MeasureTableTextRightAligned"/>
            </w:pPr>
            <w:r>
              <w:t>185</w:t>
            </w:r>
          </w:p>
        </w:tc>
        <w:tc>
          <w:tcPr>
            <w:tcW w:w="967" w:type="dxa"/>
            <w:tcBorders>
              <w:top w:val="single" w:sz="2" w:space="0" w:color="auto"/>
              <w:left w:val="nil"/>
              <w:bottom w:val="single" w:sz="2" w:space="0" w:color="auto"/>
              <w:right w:val="nil"/>
            </w:tcBorders>
            <w:hideMark/>
          </w:tcPr>
          <w:p w14:paraId="2086EED5" w14:textId="77777777" w:rsidR="00802D3E" w:rsidRDefault="00802D3E">
            <w:pPr>
              <w:pStyle w:val="MeasureTableTextRightAligned"/>
            </w:pPr>
            <w:r>
              <w:t>200</w:t>
            </w:r>
          </w:p>
        </w:tc>
        <w:tc>
          <w:tcPr>
            <w:tcW w:w="967" w:type="dxa"/>
            <w:tcBorders>
              <w:top w:val="single" w:sz="2" w:space="0" w:color="auto"/>
              <w:left w:val="nil"/>
              <w:bottom w:val="single" w:sz="2" w:space="0" w:color="auto"/>
              <w:right w:val="nil"/>
            </w:tcBorders>
            <w:vAlign w:val="bottom"/>
            <w:hideMark/>
          </w:tcPr>
          <w:p w14:paraId="2086EED6" w14:textId="77777777" w:rsidR="00802D3E" w:rsidRDefault="00802D3E">
            <w:pPr>
              <w:pStyle w:val="MeasureTableTextRightAligned"/>
            </w:pPr>
            <w:r>
              <w:t>250</w:t>
            </w:r>
          </w:p>
        </w:tc>
        <w:tc>
          <w:tcPr>
            <w:tcW w:w="967" w:type="dxa"/>
            <w:tcBorders>
              <w:top w:val="single" w:sz="2" w:space="0" w:color="auto"/>
              <w:left w:val="nil"/>
              <w:bottom w:val="single" w:sz="2" w:space="0" w:color="auto"/>
              <w:right w:val="nil"/>
            </w:tcBorders>
            <w:vAlign w:val="bottom"/>
            <w:hideMark/>
          </w:tcPr>
          <w:p w14:paraId="2086EED7" w14:textId="77777777" w:rsidR="00802D3E" w:rsidRDefault="00802D3E">
            <w:pPr>
              <w:pStyle w:val="MeasureTableTextRightAligned"/>
            </w:pPr>
            <w:r>
              <w:t>215</w:t>
            </w:r>
          </w:p>
        </w:tc>
        <w:tc>
          <w:tcPr>
            <w:tcW w:w="967" w:type="dxa"/>
            <w:tcBorders>
              <w:top w:val="single" w:sz="2" w:space="0" w:color="auto"/>
              <w:left w:val="nil"/>
              <w:bottom w:val="single" w:sz="2" w:space="0" w:color="auto"/>
              <w:right w:val="nil"/>
            </w:tcBorders>
            <w:vAlign w:val="bottom"/>
            <w:hideMark/>
          </w:tcPr>
          <w:p w14:paraId="2086EED8" w14:textId="77777777" w:rsidR="00802D3E" w:rsidRDefault="00802D3E">
            <w:pPr>
              <w:pStyle w:val="MeasureTableTextRightAligned"/>
            </w:pPr>
            <w:r>
              <w:t>205</w:t>
            </w:r>
          </w:p>
        </w:tc>
        <w:tc>
          <w:tcPr>
            <w:tcW w:w="967" w:type="dxa"/>
            <w:gridSpan w:val="2"/>
            <w:tcBorders>
              <w:top w:val="single" w:sz="2" w:space="0" w:color="auto"/>
              <w:left w:val="nil"/>
              <w:bottom w:val="single" w:sz="2" w:space="0" w:color="auto"/>
              <w:right w:val="nil"/>
            </w:tcBorders>
            <w:vAlign w:val="bottom"/>
            <w:hideMark/>
          </w:tcPr>
          <w:p w14:paraId="2086EED9" w14:textId="77777777" w:rsidR="00802D3E" w:rsidRDefault="00802D3E">
            <w:pPr>
              <w:pStyle w:val="MeasureTableTextRightAligned"/>
            </w:pPr>
            <w:r>
              <w:t>200</w:t>
            </w:r>
          </w:p>
        </w:tc>
        <w:tc>
          <w:tcPr>
            <w:tcW w:w="967" w:type="dxa"/>
            <w:gridSpan w:val="2"/>
            <w:tcBorders>
              <w:top w:val="single" w:sz="2" w:space="0" w:color="auto"/>
              <w:left w:val="nil"/>
              <w:bottom w:val="single" w:sz="2" w:space="0" w:color="auto"/>
              <w:right w:val="nil"/>
            </w:tcBorders>
            <w:vAlign w:val="bottom"/>
            <w:hideMark/>
          </w:tcPr>
          <w:p w14:paraId="2086EEDA" w14:textId="77777777" w:rsidR="00802D3E" w:rsidRDefault="00802D3E">
            <w:pPr>
              <w:pStyle w:val="MeasureTableTextRightAligned"/>
            </w:pPr>
            <w:r>
              <w:t>200</w:t>
            </w:r>
          </w:p>
        </w:tc>
        <w:tc>
          <w:tcPr>
            <w:tcW w:w="968" w:type="dxa"/>
            <w:tcBorders>
              <w:top w:val="single" w:sz="2" w:space="0" w:color="auto"/>
              <w:left w:val="nil"/>
              <w:bottom w:val="single" w:sz="2" w:space="0" w:color="auto"/>
              <w:right w:val="nil"/>
            </w:tcBorders>
            <w:vAlign w:val="bottom"/>
            <w:hideMark/>
          </w:tcPr>
          <w:p w14:paraId="2086EEDB" w14:textId="77777777" w:rsidR="00802D3E" w:rsidRDefault="00802D3E">
            <w:pPr>
              <w:pStyle w:val="MeasureTableTextRightAligned"/>
            </w:pPr>
            <w:r>
              <w:t>200</w:t>
            </w:r>
          </w:p>
        </w:tc>
      </w:tr>
      <w:tr w:rsidR="00802D3E" w14:paraId="2086EEE1" w14:textId="77777777" w:rsidTr="00802D3E">
        <w:trPr>
          <w:cantSplit/>
          <w:jc w:val="center"/>
        </w:trPr>
        <w:tc>
          <w:tcPr>
            <w:tcW w:w="1934" w:type="dxa"/>
            <w:gridSpan w:val="2"/>
            <w:tcBorders>
              <w:top w:val="single" w:sz="2" w:space="0" w:color="auto"/>
              <w:left w:val="nil"/>
              <w:bottom w:val="nil"/>
              <w:right w:val="nil"/>
            </w:tcBorders>
            <w:hideMark/>
          </w:tcPr>
          <w:p w14:paraId="2086EEDD"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EDE"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6EEDF"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EE0" w14:textId="77777777" w:rsidR="00802D3E" w:rsidRDefault="00802D3E">
            <w:pPr>
              <w:pStyle w:val="MeasureTableTextLeftAligned"/>
            </w:pPr>
            <w:r>
              <w:t>B9</w:t>
            </w:r>
          </w:p>
        </w:tc>
      </w:tr>
      <w:tr w:rsidR="00802D3E" w14:paraId="2086EEE6" w14:textId="77777777" w:rsidTr="00802D3E">
        <w:trPr>
          <w:cantSplit/>
          <w:jc w:val="center"/>
        </w:trPr>
        <w:tc>
          <w:tcPr>
            <w:tcW w:w="1934" w:type="dxa"/>
            <w:gridSpan w:val="2"/>
            <w:tcBorders>
              <w:top w:val="nil"/>
              <w:left w:val="nil"/>
              <w:bottom w:val="nil"/>
              <w:right w:val="nil"/>
            </w:tcBorders>
            <w:hideMark/>
          </w:tcPr>
          <w:p w14:paraId="2086EEE2"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EE3"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EE4" w14:textId="77777777" w:rsidR="00802D3E" w:rsidRDefault="00802D3E">
            <w:pPr>
              <w:pStyle w:val="MeasureTableTextItalic"/>
            </w:pPr>
          </w:p>
        </w:tc>
        <w:tc>
          <w:tcPr>
            <w:tcW w:w="1124" w:type="dxa"/>
            <w:gridSpan w:val="2"/>
            <w:tcBorders>
              <w:top w:val="nil"/>
              <w:left w:val="nil"/>
              <w:bottom w:val="nil"/>
              <w:right w:val="nil"/>
            </w:tcBorders>
          </w:tcPr>
          <w:p w14:paraId="2086EEE5" w14:textId="77777777" w:rsidR="00802D3E" w:rsidRDefault="00802D3E">
            <w:pPr>
              <w:pStyle w:val="MeasureTableTextLeftAligned"/>
            </w:pPr>
          </w:p>
        </w:tc>
      </w:tr>
      <w:tr w:rsidR="00802D3E" w14:paraId="2086EEEB" w14:textId="77777777" w:rsidTr="00802D3E">
        <w:trPr>
          <w:cantSplit/>
          <w:jc w:val="center"/>
        </w:trPr>
        <w:tc>
          <w:tcPr>
            <w:tcW w:w="1934" w:type="dxa"/>
            <w:gridSpan w:val="2"/>
            <w:tcBorders>
              <w:top w:val="nil"/>
              <w:left w:val="nil"/>
              <w:bottom w:val="nil"/>
              <w:right w:val="nil"/>
            </w:tcBorders>
            <w:hideMark/>
          </w:tcPr>
          <w:p w14:paraId="2086EEE7"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EE8" w14:textId="77777777" w:rsidR="00802D3E" w:rsidRDefault="00802D3E">
            <w:pPr>
              <w:pStyle w:val="MeasureTableTextLeftAligned"/>
            </w:pPr>
            <w:r>
              <w:t>1992</w:t>
            </w:r>
          </w:p>
        </w:tc>
        <w:tc>
          <w:tcPr>
            <w:tcW w:w="1500" w:type="dxa"/>
            <w:gridSpan w:val="2"/>
            <w:tcBorders>
              <w:top w:val="nil"/>
              <w:left w:val="nil"/>
              <w:bottom w:val="nil"/>
              <w:right w:val="nil"/>
            </w:tcBorders>
            <w:hideMark/>
          </w:tcPr>
          <w:p w14:paraId="2086EEE9"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EEA" w14:textId="77777777" w:rsidR="00802D3E" w:rsidRDefault="00802D3E">
            <w:pPr>
              <w:pStyle w:val="MeasureTableTextLeftAligned"/>
            </w:pPr>
          </w:p>
        </w:tc>
      </w:tr>
      <w:tr w:rsidR="00802D3E" w14:paraId="2086EEEE" w14:textId="77777777" w:rsidTr="00802D3E">
        <w:trPr>
          <w:cantSplit/>
          <w:jc w:val="center"/>
        </w:trPr>
        <w:tc>
          <w:tcPr>
            <w:tcW w:w="1934" w:type="dxa"/>
            <w:gridSpan w:val="2"/>
            <w:tcBorders>
              <w:top w:val="nil"/>
              <w:left w:val="nil"/>
              <w:bottom w:val="single" w:sz="2" w:space="0" w:color="auto"/>
              <w:right w:val="nil"/>
            </w:tcBorders>
            <w:hideMark/>
          </w:tcPr>
          <w:p w14:paraId="2086EEE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EED" w14:textId="34915741" w:rsidR="00802D3E" w:rsidRPr="00B029D6" w:rsidRDefault="00802D3E" w:rsidP="000B1D9D">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Part III, Division 9A, and Section 128GB of the </w:t>
            </w:r>
            <w:r w:rsidRPr="00B029D6">
              <w:rPr>
                <w:rFonts w:ascii="Arial" w:hAnsi="Arial" w:cs="Arial"/>
                <w:i/>
                <w:iCs/>
                <w:color w:val="000000"/>
                <w:sz w:val="16"/>
                <w:szCs w:val="16"/>
              </w:rPr>
              <w:t>Income Tax Assessment Act</w:t>
            </w:r>
            <w:r w:rsidR="000B1D9D">
              <w:rPr>
                <w:rFonts w:ascii="Arial" w:hAnsi="Arial" w:cs="Arial"/>
                <w:i/>
                <w:iCs/>
                <w:color w:val="000000"/>
                <w:sz w:val="16"/>
                <w:szCs w:val="16"/>
              </w:rPr>
              <w:t> </w:t>
            </w:r>
            <w:r w:rsidRPr="00B029D6">
              <w:rPr>
                <w:rFonts w:ascii="Arial" w:hAnsi="Arial" w:cs="Arial"/>
                <w:i/>
                <w:iCs/>
                <w:color w:val="000000"/>
                <w:sz w:val="16"/>
                <w:szCs w:val="16"/>
              </w:rPr>
              <w:t>1936</w:t>
            </w:r>
          </w:p>
        </w:tc>
      </w:tr>
    </w:tbl>
    <w:p w14:paraId="2086EEEF" w14:textId="77777777" w:rsidR="00802D3E" w:rsidRPr="00C04EB1" w:rsidRDefault="00802D3E" w:rsidP="00506822">
      <w:pPr>
        <w:pStyle w:val="SingleParagraph"/>
        <w:rPr>
          <w:sz w:val="18"/>
        </w:rPr>
      </w:pPr>
    </w:p>
    <w:p w14:paraId="2086EEF0" w14:textId="766D02C6" w:rsidR="00802D3E" w:rsidRDefault="00802D3E" w:rsidP="00802D3E">
      <w:r>
        <w:t>Income (other than capital gains) derived by an offshore banking unit</w:t>
      </w:r>
      <w:r>
        <w:fldChar w:fldCharType="begin"/>
      </w:r>
      <w:r>
        <w:instrText xml:space="preserve"> XE "Offshore banking units" </w:instrText>
      </w:r>
      <w:r>
        <w:fldChar w:fldCharType="end"/>
      </w:r>
      <w:r>
        <w:t xml:space="preserve"> from eligible offshore banking activities is taxed at a concessional rate of 10 per cent. Interest paid by an offshore banking unit on qualifying offshore borrowings, and gold fees paid by an offshore banking unit on certain offshore gold borrowings, are exempt from withholding tax. From 1 July 2015, the list of eligible offshore banking activities has been updated to better target the regime and address integrity concerns. </w:t>
      </w:r>
    </w:p>
    <w:p w14:paraId="2086EEF1" w14:textId="77777777" w:rsidR="00802D3E" w:rsidRDefault="00802D3E" w:rsidP="00802D3E">
      <w:pPr>
        <w:pStyle w:val="TESHeading5"/>
        <w:ind w:left="0" w:firstLine="0"/>
      </w:pPr>
      <w:r>
        <w:t>B9</w:t>
      </w:r>
      <w:r>
        <w:tab/>
        <w:t>Exemption for foreign branch profits from income tax</w:t>
      </w:r>
    </w:p>
    <w:p w14:paraId="2086EEF2"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EFB" w14:textId="77777777" w:rsidTr="00802D3E">
        <w:trPr>
          <w:cantSplit/>
          <w:jc w:val="center"/>
        </w:trPr>
        <w:tc>
          <w:tcPr>
            <w:tcW w:w="967" w:type="dxa"/>
            <w:tcBorders>
              <w:top w:val="single" w:sz="2" w:space="0" w:color="auto"/>
              <w:left w:val="nil"/>
              <w:bottom w:val="single" w:sz="2" w:space="0" w:color="auto"/>
              <w:right w:val="nil"/>
            </w:tcBorders>
            <w:hideMark/>
          </w:tcPr>
          <w:p w14:paraId="2086EEF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EF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EF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EF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EF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EF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EF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EFA" w14:textId="77777777" w:rsidR="00802D3E" w:rsidRDefault="00802D3E">
            <w:pPr>
              <w:pStyle w:val="MeasureTableTextRightAligned"/>
            </w:pPr>
            <w:r>
              <w:t>2019-20</w:t>
            </w:r>
          </w:p>
        </w:tc>
      </w:tr>
      <w:tr w:rsidR="00802D3E" w14:paraId="2086EF04" w14:textId="77777777" w:rsidTr="00802D3E">
        <w:trPr>
          <w:cantSplit/>
          <w:jc w:val="center"/>
        </w:trPr>
        <w:tc>
          <w:tcPr>
            <w:tcW w:w="967" w:type="dxa"/>
            <w:tcBorders>
              <w:top w:val="single" w:sz="2" w:space="0" w:color="auto"/>
              <w:left w:val="nil"/>
              <w:bottom w:val="single" w:sz="2" w:space="0" w:color="auto"/>
              <w:right w:val="nil"/>
            </w:tcBorders>
            <w:hideMark/>
          </w:tcPr>
          <w:p w14:paraId="2086EEF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EF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F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EF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F0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F0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F02"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F03" w14:textId="77777777" w:rsidR="00802D3E" w:rsidRDefault="00802D3E">
            <w:pPr>
              <w:pStyle w:val="MeasureTableTextRightAligned"/>
            </w:pPr>
            <w:r>
              <w:t>*</w:t>
            </w:r>
          </w:p>
        </w:tc>
      </w:tr>
      <w:tr w:rsidR="00802D3E" w14:paraId="2086EF09" w14:textId="77777777" w:rsidTr="00802D3E">
        <w:trPr>
          <w:cantSplit/>
          <w:jc w:val="center"/>
        </w:trPr>
        <w:tc>
          <w:tcPr>
            <w:tcW w:w="1934" w:type="dxa"/>
            <w:gridSpan w:val="2"/>
            <w:tcBorders>
              <w:top w:val="single" w:sz="2" w:space="0" w:color="auto"/>
              <w:left w:val="nil"/>
              <w:bottom w:val="nil"/>
              <w:right w:val="nil"/>
            </w:tcBorders>
            <w:hideMark/>
          </w:tcPr>
          <w:p w14:paraId="2086EF05"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F06"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F07"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F08" w14:textId="77777777" w:rsidR="00802D3E" w:rsidRDefault="00802D3E">
            <w:pPr>
              <w:pStyle w:val="MeasureTableTextLeftAligned"/>
            </w:pPr>
            <w:r>
              <w:t>B10</w:t>
            </w:r>
          </w:p>
        </w:tc>
      </w:tr>
      <w:tr w:rsidR="00802D3E" w14:paraId="2086EF0E" w14:textId="77777777" w:rsidTr="00802D3E">
        <w:trPr>
          <w:cantSplit/>
          <w:jc w:val="center"/>
        </w:trPr>
        <w:tc>
          <w:tcPr>
            <w:tcW w:w="1934" w:type="dxa"/>
            <w:gridSpan w:val="2"/>
            <w:tcBorders>
              <w:top w:val="nil"/>
              <w:left w:val="nil"/>
              <w:bottom w:val="nil"/>
              <w:right w:val="nil"/>
            </w:tcBorders>
            <w:hideMark/>
          </w:tcPr>
          <w:p w14:paraId="2086EF0A"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F0B"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F0C"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F0D" w14:textId="77777777" w:rsidR="00802D3E" w:rsidRDefault="00802D3E">
            <w:pPr>
              <w:pStyle w:val="MeasureTableTextLeftAligned"/>
            </w:pPr>
            <w:r>
              <w:t>4+</w:t>
            </w:r>
          </w:p>
        </w:tc>
      </w:tr>
      <w:tr w:rsidR="00802D3E" w14:paraId="2086EF13" w14:textId="77777777" w:rsidTr="00802D3E">
        <w:trPr>
          <w:cantSplit/>
          <w:jc w:val="center"/>
        </w:trPr>
        <w:tc>
          <w:tcPr>
            <w:tcW w:w="1934" w:type="dxa"/>
            <w:gridSpan w:val="2"/>
            <w:tcBorders>
              <w:top w:val="nil"/>
              <w:left w:val="nil"/>
              <w:bottom w:val="nil"/>
              <w:right w:val="nil"/>
            </w:tcBorders>
            <w:hideMark/>
          </w:tcPr>
          <w:p w14:paraId="2086EF0F"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F10" w14:textId="77777777" w:rsidR="00802D3E" w:rsidRDefault="00802D3E">
            <w:pPr>
              <w:pStyle w:val="MeasureTableTextLeftAligned"/>
            </w:pPr>
            <w:r>
              <w:t>1991</w:t>
            </w:r>
          </w:p>
        </w:tc>
        <w:tc>
          <w:tcPr>
            <w:tcW w:w="1500" w:type="dxa"/>
            <w:gridSpan w:val="2"/>
            <w:tcBorders>
              <w:top w:val="nil"/>
              <w:left w:val="nil"/>
              <w:bottom w:val="nil"/>
              <w:right w:val="nil"/>
            </w:tcBorders>
            <w:hideMark/>
          </w:tcPr>
          <w:p w14:paraId="2086EF11"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F12" w14:textId="77777777" w:rsidR="00802D3E" w:rsidRDefault="00802D3E">
            <w:pPr>
              <w:pStyle w:val="MeasureTableTextLeftAligned"/>
            </w:pPr>
          </w:p>
        </w:tc>
      </w:tr>
      <w:tr w:rsidR="00802D3E" w14:paraId="2086EF16" w14:textId="77777777" w:rsidTr="00802D3E">
        <w:trPr>
          <w:cantSplit/>
          <w:jc w:val="center"/>
        </w:trPr>
        <w:tc>
          <w:tcPr>
            <w:tcW w:w="1934" w:type="dxa"/>
            <w:gridSpan w:val="2"/>
            <w:tcBorders>
              <w:top w:val="nil"/>
              <w:left w:val="nil"/>
              <w:bottom w:val="single" w:sz="2" w:space="0" w:color="auto"/>
              <w:right w:val="nil"/>
            </w:tcBorders>
            <w:hideMark/>
          </w:tcPr>
          <w:p w14:paraId="2086EF14"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F15"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23AH of the </w:t>
            </w:r>
            <w:r w:rsidRPr="00B029D6">
              <w:rPr>
                <w:rFonts w:ascii="Arial" w:hAnsi="Arial" w:cs="Arial"/>
                <w:i/>
                <w:iCs/>
                <w:color w:val="000000"/>
                <w:sz w:val="16"/>
                <w:szCs w:val="16"/>
              </w:rPr>
              <w:t>Income Tax Assessment Act 1936</w:t>
            </w:r>
          </w:p>
        </w:tc>
      </w:tr>
    </w:tbl>
    <w:p w14:paraId="2086EF17" w14:textId="77777777" w:rsidR="00802D3E" w:rsidRPr="00C04EB1" w:rsidRDefault="00802D3E" w:rsidP="00506822">
      <w:pPr>
        <w:pStyle w:val="SingleParagraph"/>
        <w:rPr>
          <w:sz w:val="18"/>
        </w:rPr>
      </w:pPr>
    </w:p>
    <w:p w14:paraId="2086EF18" w14:textId="77777777" w:rsidR="00802D3E" w:rsidRDefault="00802D3E" w:rsidP="00802D3E">
      <w:r>
        <w:t>In general, income</w:t>
      </w:r>
      <w:r>
        <w:fldChar w:fldCharType="begin"/>
      </w:r>
      <w:r>
        <w:instrText xml:space="preserve"> XE "Foreign branch income" </w:instrText>
      </w:r>
      <w:r>
        <w:fldChar w:fldCharType="end"/>
      </w:r>
      <w:r>
        <w:t xml:space="preserve"> from a business carried on by an Australian company through a permanent establishment (branch) in a foreign country is exempt from income tax. The exempt income broadly comprises operating profits and capital gains but does not include passive or other tainted income where the branch fails an active income test. </w:t>
      </w:r>
    </w:p>
    <w:p w14:paraId="2086EF19" w14:textId="77777777" w:rsidR="00802D3E" w:rsidRDefault="00802D3E" w:rsidP="00802D3E">
      <w:pPr>
        <w:pStyle w:val="TESHeading5"/>
        <w:ind w:left="0" w:firstLine="0"/>
      </w:pPr>
      <w:r>
        <w:lastRenderedPageBreak/>
        <w:t>B10</w:t>
      </w:r>
      <w:r>
        <w:tab/>
        <w:t>Exemption from accruals taxation system for certain transferor trusts</w:t>
      </w:r>
    </w:p>
    <w:p w14:paraId="2086EF1A"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F23" w14:textId="77777777" w:rsidTr="00802D3E">
        <w:trPr>
          <w:cantSplit/>
          <w:jc w:val="center"/>
        </w:trPr>
        <w:tc>
          <w:tcPr>
            <w:tcW w:w="967" w:type="dxa"/>
            <w:tcBorders>
              <w:top w:val="single" w:sz="2" w:space="0" w:color="auto"/>
              <w:left w:val="nil"/>
              <w:bottom w:val="single" w:sz="2" w:space="0" w:color="auto"/>
              <w:right w:val="nil"/>
            </w:tcBorders>
            <w:hideMark/>
          </w:tcPr>
          <w:p w14:paraId="2086EF1B"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F1C"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F1D"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F1E"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F1F"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F20"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F21"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F22" w14:textId="77777777" w:rsidR="00802D3E" w:rsidRDefault="00802D3E">
            <w:pPr>
              <w:pStyle w:val="MeasureTableTextRightAligned"/>
            </w:pPr>
            <w:r>
              <w:t>2019-20</w:t>
            </w:r>
          </w:p>
        </w:tc>
      </w:tr>
      <w:tr w:rsidR="00802D3E" w14:paraId="2086EF2C" w14:textId="77777777" w:rsidTr="00802D3E">
        <w:trPr>
          <w:cantSplit/>
          <w:jc w:val="center"/>
        </w:trPr>
        <w:tc>
          <w:tcPr>
            <w:tcW w:w="967" w:type="dxa"/>
            <w:tcBorders>
              <w:top w:val="single" w:sz="2" w:space="0" w:color="auto"/>
              <w:left w:val="nil"/>
              <w:bottom w:val="single" w:sz="2" w:space="0" w:color="auto"/>
              <w:right w:val="nil"/>
            </w:tcBorders>
            <w:hideMark/>
          </w:tcPr>
          <w:p w14:paraId="2086EF2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F2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F2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F2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F2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F2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F2A"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F2B" w14:textId="77777777" w:rsidR="00802D3E" w:rsidRDefault="00802D3E">
            <w:pPr>
              <w:pStyle w:val="MeasureTableTextRightAligned"/>
            </w:pPr>
            <w:r>
              <w:t>*</w:t>
            </w:r>
          </w:p>
        </w:tc>
      </w:tr>
      <w:tr w:rsidR="00802D3E" w14:paraId="2086EF31" w14:textId="77777777" w:rsidTr="00802D3E">
        <w:trPr>
          <w:cantSplit/>
          <w:jc w:val="center"/>
        </w:trPr>
        <w:tc>
          <w:tcPr>
            <w:tcW w:w="1934" w:type="dxa"/>
            <w:gridSpan w:val="2"/>
            <w:tcBorders>
              <w:top w:val="single" w:sz="2" w:space="0" w:color="auto"/>
              <w:left w:val="nil"/>
              <w:bottom w:val="nil"/>
              <w:right w:val="nil"/>
            </w:tcBorders>
            <w:hideMark/>
          </w:tcPr>
          <w:p w14:paraId="2086EF2D"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F2E"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F2F"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F30" w14:textId="77777777" w:rsidR="00802D3E" w:rsidRDefault="00802D3E">
            <w:pPr>
              <w:pStyle w:val="MeasureTableTextLeftAligned"/>
            </w:pPr>
            <w:r>
              <w:t>B11</w:t>
            </w:r>
          </w:p>
        </w:tc>
      </w:tr>
      <w:tr w:rsidR="00802D3E" w14:paraId="2086EF36" w14:textId="77777777" w:rsidTr="00802D3E">
        <w:trPr>
          <w:cantSplit/>
          <w:jc w:val="center"/>
        </w:trPr>
        <w:tc>
          <w:tcPr>
            <w:tcW w:w="1934" w:type="dxa"/>
            <w:gridSpan w:val="2"/>
            <w:tcBorders>
              <w:top w:val="nil"/>
              <w:left w:val="nil"/>
              <w:bottom w:val="nil"/>
              <w:right w:val="nil"/>
            </w:tcBorders>
            <w:hideMark/>
          </w:tcPr>
          <w:p w14:paraId="2086EF32"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F33"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F34"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F35" w14:textId="77777777" w:rsidR="00802D3E" w:rsidRDefault="00802D3E">
            <w:pPr>
              <w:pStyle w:val="MeasureTableTextLeftAligned"/>
            </w:pPr>
            <w:r>
              <w:t>2+</w:t>
            </w:r>
          </w:p>
        </w:tc>
      </w:tr>
      <w:tr w:rsidR="00802D3E" w14:paraId="2086EF3B" w14:textId="77777777" w:rsidTr="00802D3E">
        <w:trPr>
          <w:cantSplit/>
          <w:jc w:val="center"/>
        </w:trPr>
        <w:tc>
          <w:tcPr>
            <w:tcW w:w="1934" w:type="dxa"/>
            <w:gridSpan w:val="2"/>
            <w:tcBorders>
              <w:top w:val="nil"/>
              <w:left w:val="nil"/>
              <w:bottom w:val="nil"/>
              <w:right w:val="nil"/>
            </w:tcBorders>
            <w:hideMark/>
          </w:tcPr>
          <w:p w14:paraId="2086EF37"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F38" w14:textId="77777777" w:rsidR="00802D3E" w:rsidRDefault="00802D3E">
            <w:pPr>
              <w:pStyle w:val="MeasureTableTextLeftAligned"/>
            </w:pPr>
            <w:r>
              <w:t>1991</w:t>
            </w:r>
          </w:p>
        </w:tc>
        <w:tc>
          <w:tcPr>
            <w:tcW w:w="1500" w:type="dxa"/>
            <w:gridSpan w:val="2"/>
            <w:tcBorders>
              <w:top w:val="nil"/>
              <w:left w:val="nil"/>
              <w:bottom w:val="nil"/>
              <w:right w:val="nil"/>
            </w:tcBorders>
            <w:hideMark/>
          </w:tcPr>
          <w:p w14:paraId="2086EF39"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F3A" w14:textId="77777777" w:rsidR="00802D3E" w:rsidRDefault="00802D3E">
            <w:pPr>
              <w:pStyle w:val="MeasureTableTextLeftAligned"/>
            </w:pPr>
          </w:p>
        </w:tc>
      </w:tr>
      <w:tr w:rsidR="00802D3E" w14:paraId="2086EF3E" w14:textId="77777777" w:rsidTr="00802D3E">
        <w:trPr>
          <w:cantSplit/>
          <w:jc w:val="center"/>
        </w:trPr>
        <w:tc>
          <w:tcPr>
            <w:tcW w:w="1934" w:type="dxa"/>
            <w:gridSpan w:val="2"/>
            <w:tcBorders>
              <w:top w:val="nil"/>
              <w:left w:val="nil"/>
              <w:bottom w:val="single" w:sz="2" w:space="0" w:color="auto"/>
              <w:right w:val="nil"/>
            </w:tcBorders>
            <w:hideMark/>
          </w:tcPr>
          <w:p w14:paraId="2086EF3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F3D"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102AAT of the </w:t>
            </w:r>
            <w:r w:rsidRPr="00B029D6">
              <w:rPr>
                <w:rFonts w:ascii="Arial" w:hAnsi="Arial" w:cs="Arial"/>
                <w:i/>
                <w:iCs/>
                <w:color w:val="000000"/>
                <w:sz w:val="16"/>
                <w:szCs w:val="16"/>
              </w:rPr>
              <w:t>Income Tax Assessment Act 1936</w:t>
            </w:r>
          </w:p>
        </w:tc>
      </w:tr>
    </w:tbl>
    <w:p w14:paraId="2086EF3F" w14:textId="77777777" w:rsidR="00802D3E" w:rsidRDefault="00802D3E" w:rsidP="00506822">
      <w:pPr>
        <w:pStyle w:val="SingleParagraph"/>
      </w:pPr>
    </w:p>
    <w:p w14:paraId="2086EF40" w14:textId="57FBD560" w:rsidR="00802D3E" w:rsidRDefault="00802D3E" w:rsidP="00802D3E">
      <w:r>
        <w:t>Under the transferor trust rules</w:t>
      </w:r>
      <w:r>
        <w:fldChar w:fldCharType="begin"/>
      </w:r>
      <w:r>
        <w:instrText xml:space="preserve"> XE "Transferor trust rules" </w:instrText>
      </w:r>
      <w:r>
        <w:fldChar w:fldCharType="end"/>
      </w:r>
      <w:r>
        <w:t>, the transferor would normally be subject to the accruals taxation system. However, the rules do not apply in relation to certain transfers to family, discretionary or non-discretionary trusts, or to certain transfers made before the transferor commenced being a resident. Transferor trust rules apply to Australian residents who have transferred property or services to a non-resident trust</w:t>
      </w:r>
      <w:r w:rsidR="000B1D9D">
        <w:t> </w:t>
      </w:r>
      <w:r>
        <w:t xml:space="preserve">estate. </w:t>
      </w:r>
    </w:p>
    <w:p w14:paraId="2086EF41" w14:textId="77777777" w:rsidR="00802D3E" w:rsidRDefault="00802D3E" w:rsidP="00802D3E">
      <w:pPr>
        <w:pStyle w:val="TESHeading5"/>
        <w:ind w:left="0" w:firstLine="0"/>
      </w:pPr>
      <w:r>
        <w:t>B11</w:t>
      </w:r>
      <w:r>
        <w:tab/>
        <w:t>Exemption from accruals taxation system for controlled foreign companies</w:t>
      </w:r>
    </w:p>
    <w:p w14:paraId="2086EF42"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F4B" w14:textId="77777777" w:rsidTr="00802D3E">
        <w:trPr>
          <w:cantSplit/>
          <w:jc w:val="center"/>
        </w:trPr>
        <w:tc>
          <w:tcPr>
            <w:tcW w:w="967" w:type="dxa"/>
            <w:tcBorders>
              <w:top w:val="single" w:sz="2" w:space="0" w:color="auto"/>
              <w:left w:val="nil"/>
              <w:bottom w:val="single" w:sz="2" w:space="0" w:color="auto"/>
              <w:right w:val="nil"/>
            </w:tcBorders>
            <w:hideMark/>
          </w:tcPr>
          <w:p w14:paraId="2086EF4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F4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F4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F4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F4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F4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F4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F4A" w14:textId="77777777" w:rsidR="00802D3E" w:rsidRDefault="00802D3E">
            <w:pPr>
              <w:pStyle w:val="MeasureTableTextRightAligned"/>
            </w:pPr>
            <w:r>
              <w:t>2019-20</w:t>
            </w:r>
          </w:p>
        </w:tc>
      </w:tr>
      <w:tr w:rsidR="00802D3E" w14:paraId="2086EF54" w14:textId="77777777" w:rsidTr="00802D3E">
        <w:trPr>
          <w:cantSplit/>
          <w:jc w:val="center"/>
        </w:trPr>
        <w:tc>
          <w:tcPr>
            <w:tcW w:w="967" w:type="dxa"/>
            <w:tcBorders>
              <w:top w:val="single" w:sz="2" w:space="0" w:color="auto"/>
              <w:left w:val="nil"/>
              <w:bottom w:val="single" w:sz="2" w:space="0" w:color="auto"/>
              <w:right w:val="nil"/>
            </w:tcBorders>
            <w:hideMark/>
          </w:tcPr>
          <w:p w14:paraId="2086EF4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F4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F4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F4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F5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F5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F52"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F53" w14:textId="77777777" w:rsidR="00802D3E" w:rsidRDefault="00802D3E">
            <w:pPr>
              <w:pStyle w:val="MeasureTableTextRightAligned"/>
            </w:pPr>
            <w:r>
              <w:t>*</w:t>
            </w:r>
          </w:p>
        </w:tc>
      </w:tr>
      <w:tr w:rsidR="00802D3E" w14:paraId="2086EF59" w14:textId="77777777" w:rsidTr="00802D3E">
        <w:trPr>
          <w:cantSplit/>
          <w:jc w:val="center"/>
        </w:trPr>
        <w:tc>
          <w:tcPr>
            <w:tcW w:w="1934" w:type="dxa"/>
            <w:gridSpan w:val="2"/>
            <w:tcBorders>
              <w:top w:val="single" w:sz="2" w:space="0" w:color="auto"/>
              <w:left w:val="nil"/>
              <w:bottom w:val="nil"/>
              <w:right w:val="nil"/>
            </w:tcBorders>
            <w:hideMark/>
          </w:tcPr>
          <w:p w14:paraId="2086EF55"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F56"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F57"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F58" w14:textId="77777777" w:rsidR="00802D3E" w:rsidRDefault="00802D3E">
            <w:pPr>
              <w:pStyle w:val="MeasureTableTextLeftAligned"/>
            </w:pPr>
            <w:r>
              <w:t>B12</w:t>
            </w:r>
          </w:p>
        </w:tc>
      </w:tr>
      <w:tr w:rsidR="00802D3E" w14:paraId="2086EF5E" w14:textId="77777777" w:rsidTr="00802D3E">
        <w:trPr>
          <w:cantSplit/>
          <w:jc w:val="center"/>
        </w:trPr>
        <w:tc>
          <w:tcPr>
            <w:tcW w:w="1934" w:type="dxa"/>
            <w:gridSpan w:val="2"/>
            <w:tcBorders>
              <w:top w:val="nil"/>
              <w:left w:val="nil"/>
              <w:bottom w:val="nil"/>
              <w:right w:val="nil"/>
            </w:tcBorders>
            <w:hideMark/>
          </w:tcPr>
          <w:p w14:paraId="2086EF5A"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F5B"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F5C"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F5D" w14:textId="77777777" w:rsidR="00802D3E" w:rsidRDefault="00802D3E">
            <w:pPr>
              <w:pStyle w:val="MeasureTableTextLeftAligned"/>
            </w:pPr>
            <w:r>
              <w:t>2+</w:t>
            </w:r>
          </w:p>
        </w:tc>
      </w:tr>
      <w:tr w:rsidR="00802D3E" w14:paraId="2086EF63" w14:textId="77777777" w:rsidTr="00802D3E">
        <w:trPr>
          <w:cantSplit/>
          <w:jc w:val="center"/>
        </w:trPr>
        <w:tc>
          <w:tcPr>
            <w:tcW w:w="1934" w:type="dxa"/>
            <w:gridSpan w:val="2"/>
            <w:tcBorders>
              <w:top w:val="nil"/>
              <w:left w:val="nil"/>
              <w:bottom w:val="nil"/>
              <w:right w:val="nil"/>
            </w:tcBorders>
            <w:hideMark/>
          </w:tcPr>
          <w:p w14:paraId="2086EF5F"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F60" w14:textId="77777777" w:rsidR="00802D3E" w:rsidRDefault="00802D3E">
            <w:pPr>
              <w:pStyle w:val="MeasureTableTextLeftAligned"/>
            </w:pPr>
            <w:r>
              <w:t>1991</w:t>
            </w:r>
          </w:p>
        </w:tc>
        <w:tc>
          <w:tcPr>
            <w:tcW w:w="1500" w:type="dxa"/>
            <w:gridSpan w:val="2"/>
            <w:tcBorders>
              <w:top w:val="nil"/>
              <w:left w:val="nil"/>
              <w:bottom w:val="nil"/>
              <w:right w:val="nil"/>
            </w:tcBorders>
            <w:hideMark/>
          </w:tcPr>
          <w:p w14:paraId="2086EF61"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F62" w14:textId="77777777" w:rsidR="00802D3E" w:rsidRDefault="00802D3E">
            <w:pPr>
              <w:pStyle w:val="MeasureTableTextLeftAligned"/>
            </w:pPr>
          </w:p>
        </w:tc>
      </w:tr>
      <w:tr w:rsidR="00802D3E" w14:paraId="2086EF66" w14:textId="77777777" w:rsidTr="00802D3E">
        <w:trPr>
          <w:cantSplit/>
          <w:jc w:val="center"/>
        </w:trPr>
        <w:tc>
          <w:tcPr>
            <w:tcW w:w="1934" w:type="dxa"/>
            <w:gridSpan w:val="2"/>
            <w:tcBorders>
              <w:top w:val="nil"/>
              <w:left w:val="nil"/>
              <w:bottom w:val="single" w:sz="2" w:space="0" w:color="auto"/>
              <w:right w:val="nil"/>
            </w:tcBorders>
            <w:hideMark/>
          </w:tcPr>
          <w:p w14:paraId="2086EF64"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F65"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Sections 385 and 432 of the </w:t>
            </w:r>
            <w:r w:rsidRPr="00B029D6">
              <w:rPr>
                <w:rFonts w:ascii="Arial" w:hAnsi="Arial" w:cs="Arial"/>
                <w:i/>
                <w:iCs/>
                <w:color w:val="000000"/>
                <w:sz w:val="16"/>
                <w:szCs w:val="16"/>
              </w:rPr>
              <w:t>Income Tax Assessment Act 1936</w:t>
            </w:r>
          </w:p>
        </w:tc>
      </w:tr>
    </w:tbl>
    <w:p w14:paraId="2086EF67" w14:textId="77777777" w:rsidR="00802D3E" w:rsidRDefault="00802D3E" w:rsidP="00506822">
      <w:pPr>
        <w:pStyle w:val="SingleParagraph"/>
      </w:pPr>
    </w:p>
    <w:p w14:paraId="2086EF68" w14:textId="77777777" w:rsidR="00802D3E" w:rsidRDefault="00802D3E" w:rsidP="00802D3E">
      <w:r>
        <w:t xml:space="preserve">The accruals taxation system normally applies to income derived by controlled foreign companies (CFCs). However, most tainted income derived by </w:t>
      </w:r>
      <w:r>
        <w:fldChar w:fldCharType="begin"/>
      </w:r>
      <w:r>
        <w:instrText xml:space="preserve"> XE "Controlled foreign companies" </w:instrText>
      </w:r>
      <w:r>
        <w:fldChar w:fldCharType="end"/>
      </w:r>
      <w:r>
        <w:t xml:space="preserve">CFCs in listed countries is exempt from the accruals taxation system (applied to the attributable taxpayer) as it is generally comparably taxed. An exemption also applies to CFCs that derive 95 per cent or more of their income from genuine business activities. </w:t>
      </w:r>
    </w:p>
    <w:p w14:paraId="2086EF69" w14:textId="77777777" w:rsidR="00802D3E" w:rsidRDefault="00802D3E" w:rsidP="00802D3E">
      <w:pPr>
        <w:pStyle w:val="TESHeading5"/>
        <w:ind w:left="0" w:firstLine="0"/>
      </w:pPr>
      <w:r>
        <w:t>B12</w:t>
      </w:r>
      <w:r>
        <w:tab/>
        <w:t>Exemption from interest withholding tax on certain securities</w:t>
      </w:r>
    </w:p>
    <w:p w14:paraId="2086EF6A"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F73" w14:textId="77777777" w:rsidTr="00802D3E">
        <w:trPr>
          <w:cantSplit/>
          <w:jc w:val="center"/>
        </w:trPr>
        <w:tc>
          <w:tcPr>
            <w:tcW w:w="967" w:type="dxa"/>
            <w:tcBorders>
              <w:top w:val="single" w:sz="2" w:space="0" w:color="auto"/>
              <w:left w:val="nil"/>
              <w:bottom w:val="single" w:sz="2" w:space="0" w:color="auto"/>
              <w:right w:val="nil"/>
            </w:tcBorders>
            <w:hideMark/>
          </w:tcPr>
          <w:p w14:paraId="2086EF6B"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F6C"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F6D"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F6E"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F6F"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F70"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F71"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F72" w14:textId="77777777" w:rsidR="00802D3E" w:rsidRDefault="00802D3E">
            <w:pPr>
              <w:pStyle w:val="MeasureTableTextRightAligned"/>
            </w:pPr>
            <w:r>
              <w:t>2019-20</w:t>
            </w:r>
          </w:p>
        </w:tc>
      </w:tr>
      <w:tr w:rsidR="00802D3E" w14:paraId="2086EF7C" w14:textId="77777777" w:rsidTr="00802D3E">
        <w:trPr>
          <w:cantSplit/>
          <w:jc w:val="center"/>
        </w:trPr>
        <w:tc>
          <w:tcPr>
            <w:tcW w:w="967" w:type="dxa"/>
            <w:tcBorders>
              <w:top w:val="single" w:sz="2" w:space="0" w:color="auto"/>
              <w:left w:val="nil"/>
              <w:bottom w:val="single" w:sz="2" w:space="0" w:color="auto"/>
              <w:right w:val="nil"/>
            </w:tcBorders>
            <w:hideMark/>
          </w:tcPr>
          <w:p w14:paraId="2086EF74" w14:textId="77777777" w:rsidR="00802D3E" w:rsidRDefault="00802D3E">
            <w:pPr>
              <w:pStyle w:val="MeasureTableTextRightAligned"/>
            </w:pPr>
            <w:r>
              <w:t>1,840</w:t>
            </w:r>
          </w:p>
        </w:tc>
        <w:tc>
          <w:tcPr>
            <w:tcW w:w="967" w:type="dxa"/>
            <w:tcBorders>
              <w:top w:val="single" w:sz="2" w:space="0" w:color="auto"/>
              <w:left w:val="nil"/>
              <w:bottom w:val="single" w:sz="2" w:space="0" w:color="auto"/>
              <w:right w:val="nil"/>
            </w:tcBorders>
            <w:hideMark/>
          </w:tcPr>
          <w:p w14:paraId="2086EF75" w14:textId="77777777" w:rsidR="00802D3E" w:rsidRDefault="00802D3E">
            <w:pPr>
              <w:pStyle w:val="MeasureTableTextRightAligned"/>
            </w:pPr>
            <w:r>
              <w:t>1,760</w:t>
            </w:r>
          </w:p>
        </w:tc>
        <w:tc>
          <w:tcPr>
            <w:tcW w:w="967" w:type="dxa"/>
            <w:tcBorders>
              <w:top w:val="single" w:sz="2" w:space="0" w:color="auto"/>
              <w:left w:val="nil"/>
              <w:bottom w:val="single" w:sz="2" w:space="0" w:color="auto"/>
              <w:right w:val="nil"/>
            </w:tcBorders>
            <w:vAlign w:val="bottom"/>
            <w:hideMark/>
          </w:tcPr>
          <w:p w14:paraId="2086EF76" w14:textId="77777777" w:rsidR="00802D3E" w:rsidRDefault="00802D3E">
            <w:pPr>
              <w:pStyle w:val="MeasureTableTextRightAligned"/>
            </w:pPr>
            <w:r>
              <w:t>2,250</w:t>
            </w:r>
          </w:p>
        </w:tc>
        <w:tc>
          <w:tcPr>
            <w:tcW w:w="967" w:type="dxa"/>
            <w:tcBorders>
              <w:top w:val="single" w:sz="2" w:space="0" w:color="auto"/>
              <w:left w:val="nil"/>
              <w:bottom w:val="single" w:sz="2" w:space="0" w:color="auto"/>
              <w:right w:val="nil"/>
            </w:tcBorders>
            <w:vAlign w:val="bottom"/>
            <w:hideMark/>
          </w:tcPr>
          <w:p w14:paraId="2086EF77" w14:textId="77777777" w:rsidR="00802D3E" w:rsidRDefault="00802D3E">
            <w:pPr>
              <w:pStyle w:val="MeasureTableTextRightAligned"/>
            </w:pPr>
            <w:r>
              <w:t>2,310</w:t>
            </w:r>
          </w:p>
        </w:tc>
        <w:tc>
          <w:tcPr>
            <w:tcW w:w="967" w:type="dxa"/>
            <w:tcBorders>
              <w:top w:val="single" w:sz="2" w:space="0" w:color="auto"/>
              <w:left w:val="nil"/>
              <w:bottom w:val="single" w:sz="2" w:space="0" w:color="auto"/>
              <w:right w:val="nil"/>
            </w:tcBorders>
            <w:vAlign w:val="bottom"/>
            <w:hideMark/>
          </w:tcPr>
          <w:p w14:paraId="2086EF78" w14:textId="77777777" w:rsidR="00802D3E" w:rsidRDefault="00802D3E">
            <w:pPr>
              <w:pStyle w:val="MeasureTableTextRightAligned"/>
            </w:pPr>
            <w:r>
              <w:t>2,310</w:t>
            </w:r>
          </w:p>
        </w:tc>
        <w:tc>
          <w:tcPr>
            <w:tcW w:w="967" w:type="dxa"/>
            <w:gridSpan w:val="2"/>
            <w:tcBorders>
              <w:top w:val="single" w:sz="2" w:space="0" w:color="auto"/>
              <w:left w:val="nil"/>
              <w:bottom w:val="single" w:sz="2" w:space="0" w:color="auto"/>
              <w:right w:val="nil"/>
            </w:tcBorders>
            <w:vAlign w:val="bottom"/>
            <w:hideMark/>
          </w:tcPr>
          <w:p w14:paraId="2086EF79" w14:textId="77777777" w:rsidR="00802D3E" w:rsidRDefault="00802D3E">
            <w:pPr>
              <w:pStyle w:val="MeasureTableTextRightAligned"/>
            </w:pPr>
            <w:r>
              <w:t>2,310</w:t>
            </w:r>
          </w:p>
        </w:tc>
        <w:tc>
          <w:tcPr>
            <w:tcW w:w="967" w:type="dxa"/>
            <w:gridSpan w:val="2"/>
            <w:tcBorders>
              <w:top w:val="single" w:sz="2" w:space="0" w:color="auto"/>
              <w:left w:val="nil"/>
              <w:bottom w:val="single" w:sz="2" w:space="0" w:color="auto"/>
              <w:right w:val="nil"/>
            </w:tcBorders>
            <w:vAlign w:val="bottom"/>
            <w:hideMark/>
          </w:tcPr>
          <w:p w14:paraId="2086EF7A" w14:textId="77777777" w:rsidR="00802D3E" w:rsidRDefault="00802D3E">
            <w:pPr>
              <w:pStyle w:val="MeasureTableTextRightAligned"/>
            </w:pPr>
            <w:r>
              <w:t>2,310</w:t>
            </w:r>
          </w:p>
        </w:tc>
        <w:tc>
          <w:tcPr>
            <w:tcW w:w="968" w:type="dxa"/>
            <w:tcBorders>
              <w:top w:val="single" w:sz="2" w:space="0" w:color="auto"/>
              <w:left w:val="nil"/>
              <w:bottom w:val="single" w:sz="2" w:space="0" w:color="auto"/>
              <w:right w:val="nil"/>
            </w:tcBorders>
            <w:vAlign w:val="bottom"/>
            <w:hideMark/>
          </w:tcPr>
          <w:p w14:paraId="2086EF7B" w14:textId="77777777" w:rsidR="00802D3E" w:rsidRDefault="00802D3E">
            <w:pPr>
              <w:pStyle w:val="MeasureTableTextRightAligned"/>
            </w:pPr>
            <w:r>
              <w:t>2,310</w:t>
            </w:r>
          </w:p>
        </w:tc>
      </w:tr>
      <w:tr w:rsidR="00802D3E" w14:paraId="2086EF81" w14:textId="77777777" w:rsidTr="00802D3E">
        <w:trPr>
          <w:cantSplit/>
          <w:jc w:val="center"/>
        </w:trPr>
        <w:tc>
          <w:tcPr>
            <w:tcW w:w="1934" w:type="dxa"/>
            <w:gridSpan w:val="2"/>
            <w:tcBorders>
              <w:top w:val="single" w:sz="2" w:space="0" w:color="auto"/>
              <w:left w:val="nil"/>
              <w:bottom w:val="nil"/>
              <w:right w:val="nil"/>
            </w:tcBorders>
            <w:hideMark/>
          </w:tcPr>
          <w:p w14:paraId="2086EF7D"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F7E"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F7F"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F80" w14:textId="77777777" w:rsidR="00802D3E" w:rsidRDefault="00802D3E">
            <w:pPr>
              <w:pStyle w:val="MeasureTableTextLeftAligned"/>
            </w:pPr>
            <w:r>
              <w:t>B13</w:t>
            </w:r>
          </w:p>
        </w:tc>
      </w:tr>
      <w:tr w:rsidR="00802D3E" w14:paraId="2086EF86" w14:textId="77777777" w:rsidTr="00802D3E">
        <w:trPr>
          <w:cantSplit/>
          <w:jc w:val="center"/>
        </w:trPr>
        <w:tc>
          <w:tcPr>
            <w:tcW w:w="1934" w:type="dxa"/>
            <w:gridSpan w:val="2"/>
            <w:tcBorders>
              <w:top w:val="nil"/>
              <w:left w:val="nil"/>
              <w:bottom w:val="nil"/>
              <w:right w:val="nil"/>
            </w:tcBorders>
            <w:hideMark/>
          </w:tcPr>
          <w:p w14:paraId="2086EF82"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F83" w14:textId="77777777" w:rsidR="00802D3E" w:rsidRDefault="00802D3E">
            <w:pPr>
              <w:pStyle w:val="MeasureTableTextLeftAligned"/>
            </w:pPr>
            <w:r>
              <w:t>Medium</w:t>
            </w:r>
          </w:p>
        </w:tc>
        <w:tc>
          <w:tcPr>
            <w:tcW w:w="1500" w:type="dxa"/>
            <w:gridSpan w:val="2"/>
            <w:tcBorders>
              <w:top w:val="nil"/>
              <w:left w:val="nil"/>
              <w:bottom w:val="nil"/>
              <w:right w:val="nil"/>
            </w:tcBorders>
          </w:tcPr>
          <w:p w14:paraId="2086EF84" w14:textId="77777777" w:rsidR="00802D3E" w:rsidRDefault="00802D3E">
            <w:pPr>
              <w:pStyle w:val="MeasureTableTextItalic"/>
            </w:pPr>
          </w:p>
        </w:tc>
        <w:tc>
          <w:tcPr>
            <w:tcW w:w="1124" w:type="dxa"/>
            <w:gridSpan w:val="2"/>
            <w:tcBorders>
              <w:top w:val="nil"/>
              <w:left w:val="nil"/>
              <w:bottom w:val="nil"/>
              <w:right w:val="nil"/>
            </w:tcBorders>
          </w:tcPr>
          <w:p w14:paraId="2086EF85" w14:textId="77777777" w:rsidR="00802D3E" w:rsidRDefault="00802D3E">
            <w:pPr>
              <w:pStyle w:val="MeasureTableTextLeftAligned"/>
            </w:pPr>
          </w:p>
        </w:tc>
      </w:tr>
      <w:tr w:rsidR="00802D3E" w14:paraId="2086EF8B" w14:textId="77777777" w:rsidTr="00802D3E">
        <w:trPr>
          <w:cantSplit/>
          <w:jc w:val="center"/>
        </w:trPr>
        <w:tc>
          <w:tcPr>
            <w:tcW w:w="1934" w:type="dxa"/>
            <w:gridSpan w:val="2"/>
            <w:tcBorders>
              <w:top w:val="nil"/>
              <w:left w:val="nil"/>
              <w:bottom w:val="nil"/>
              <w:right w:val="nil"/>
            </w:tcBorders>
            <w:hideMark/>
          </w:tcPr>
          <w:p w14:paraId="2086EF87"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F88"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EF89"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F8A" w14:textId="77777777" w:rsidR="00802D3E" w:rsidRDefault="00802D3E">
            <w:pPr>
              <w:pStyle w:val="MeasureTableTextLeftAligned"/>
            </w:pPr>
          </w:p>
        </w:tc>
      </w:tr>
      <w:tr w:rsidR="00802D3E" w14:paraId="2086EF8E" w14:textId="77777777" w:rsidTr="00802D3E">
        <w:trPr>
          <w:cantSplit/>
          <w:jc w:val="center"/>
        </w:trPr>
        <w:tc>
          <w:tcPr>
            <w:tcW w:w="1934" w:type="dxa"/>
            <w:gridSpan w:val="2"/>
            <w:tcBorders>
              <w:top w:val="nil"/>
              <w:left w:val="nil"/>
              <w:bottom w:val="single" w:sz="2" w:space="0" w:color="auto"/>
              <w:right w:val="nil"/>
            </w:tcBorders>
            <w:hideMark/>
          </w:tcPr>
          <w:p w14:paraId="2086EF8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F8D"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128F and 128FA of the </w:t>
            </w:r>
            <w:r w:rsidRPr="00B029D6">
              <w:rPr>
                <w:rFonts w:ascii="Arial" w:hAnsi="Arial" w:cs="Arial"/>
                <w:i/>
                <w:iCs/>
                <w:color w:val="000000"/>
                <w:sz w:val="16"/>
                <w:szCs w:val="16"/>
              </w:rPr>
              <w:t>Income Tax Assessment Act 1936</w:t>
            </w:r>
          </w:p>
        </w:tc>
      </w:tr>
    </w:tbl>
    <w:p w14:paraId="2086EF8F" w14:textId="77777777" w:rsidR="00802D3E" w:rsidRDefault="00802D3E" w:rsidP="00506822">
      <w:pPr>
        <w:pStyle w:val="SingleParagraph"/>
      </w:pPr>
    </w:p>
    <w:p w14:paraId="2086EF90" w14:textId="77777777" w:rsidR="00802D3E" w:rsidRDefault="00802D3E" w:rsidP="00802D3E">
      <w:r>
        <w:t>Certain publicly offered debentures</w:t>
      </w:r>
      <w:r>
        <w:fldChar w:fldCharType="begin"/>
      </w:r>
      <w:r>
        <w:instrText xml:space="preserve"> XE "Debentures" </w:instrText>
      </w:r>
      <w:r>
        <w:fldChar w:fldCharType="end"/>
      </w:r>
      <w:r>
        <w:t xml:space="preserve"> and debt interests</w:t>
      </w:r>
      <w:r>
        <w:fldChar w:fldCharType="begin"/>
      </w:r>
      <w:r>
        <w:instrText xml:space="preserve"> XE "Debt interests" </w:instrText>
      </w:r>
      <w:r>
        <w:fldChar w:fldCharType="end"/>
      </w:r>
      <w:r>
        <w:t xml:space="preserve"> are eligible for exemption from interest withholding tax, where those debentures and debt interests are issued in Australia by a </w:t>
      </w:r>
      <w:r w:rsidR="00320DF8">
        <w:t>s</w:t>
      </w:r>
      <w:r>
        <w:t xml:space="preserve">tate or </w:t>
      </w:r>
      <w:r w:rsidR="00320DF8">
        <w:t>t</w:t>
      </w:r>
      <w:r>
        <w:t>erritory, the Commonwealth, a resident Australian company, a non</w:t>
      </w:r>
      <w:r>
        <w:noBreakHyphen/>
        <w:t xml:space="preserve">resident company operating through a permanent establishment, or certain public unit trusts. The exemption is not available where it involves certain dealings between associated entities. </w:t>
      </w:r>
    </w:p>
    <w:p w14:paraId="2086EF91" w14:textId="77777777" w:rsidR="00802D3E" w:rsidRDefault="00802D3E" w:rsidP="00802D3E">
      <w:pPr>
        <w:pStyle w:val="TESHeading5"/>
        <w:ind w:left="0" w:firstLine="0"/>
      </w:pPr>
      <w:r>
        <w:lastRenderedPageBreak/>
        <w:t>B13</w:t>
      </w:r>
      <w:r>
        <w:tab/>
        <w:t>Exemption of inbound non-portfolio dividends from income tax</w:t>
      </w:r>
    </w:p>
    <w:p w14:paraId="2086EF92"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F9B" w14:textId="77777777" w:rsidTr="00802D3E">
        <w:trPr>
          <w:cantSplit/>
          <w:jc w:val="center"/>
        </w:trPr>
        <w:tc>
          <w:tcPr>
            <w:tcW w:w="967" w:type="dxa"/>
            <w:tcBorders>
              <w:top w:val="single" w:sz="2" w:space="0" w:color="auto"/>
              <w:left w:val="nil"/>
              <w:bottom w:val="single" w:sz="2" w:space="0" w:color="auto"/>
              <w:right w:val="nil"/>
            </w:tcBorders>
            <w:hideMark/>
          </w:tcPr>
          <w:p w14:paraId="2086EF9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F9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F9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F9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F9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F9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F9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F9A" w14:textId="77777777" w:rsidR="00802D3E" w:rsidRDefault="00802D3E">
            <w:pPr>
              <w:pStyle w:val="MeasureTableTextRightAligned"/>
            </w:pPr>
            <w:r>
              <w:t>2019-20</w:t>
            </w:r>
          </w:p>
        </w:tc>
      </w:tr>
      <w:tr w:rsidR="00802D3E" w14:paraId="2086EFA4" w14:textId="77777777" w:rsidTr="00802D3E">
        <w:trPr>
          <w:cantSplit/>
          <w:jc w:val="center"/>
        </w:trPr>
        <w:tc>
          <w:tcPr>
            <w:tcW w:w="967" w:type="dxa"/>
            <w:tcBorders>
              <w:top w:val="single" w:sz="2" w:space="0" w:color="auto"/>
              <w:left w:val="nil"/>
              <w:bottom w:val="single" w:sz="2" w:space="0" w:color="auto"/>
              <w:right w:val="nil"/>
            </w:tcBorders>
            <w:hideMark/>
          </w:tcPr>
          <w:p w14:paraId="2086EF9C" w14:textId="77777777" w:rsidR="00802D3E" w:rsidRDefault="00802D3E">
            <w:pPr>
              <w:pStyle w:val="MeasureTableTextRightAligned"/>
            </w:pPr>
            <w:r>
              <w:t>570</w:t>
            </w:r>
          </w:p>
        </w:tc>
        <w:tc>
          <w:tcPr>
            <w:tcW w:w="967" w:type="dxa"/>
            <w:tcBorders>
              <w:top w:val="single" w:sz="2" w:space="0" w:color="auto"/>
              <w:left w:val="nil"/>
              <w:bottom w:val="single" w:sz="2" w:space="0" w:color="auto"/>
              <w:right w:val="nil"/>
            </w:tcBorders>
            <w:hideMark/>
          </w:tcPr>
          <w:p w14:paraId="2086EF9D" w14:textId="77777777" w:rsidR="00802D3E" w:rsidRDefault="00802D3E">
            <w:pPr>
              <w:pStyle w:val="MeasureTableTextRightAligned"/>
            </w:pPr>
            <w:r>
              <w:t>580</w:t>
            </w:r>
          </w:p>
        </w:tc>
        <w:tc>
          <w:tcPr>
            <w:tcW w:w="967" w:type="dxa"/>
            <w:tcBorders>
              <w:top w:val="single" w:sz="2" w:space="0" w:color="auto"/>
              <w:left w:val="nil"/>
              <w:bottom w:val="single" w:sz="2" w:space="0" w:color="auto"/>
              <w:right w:val="nil"/>
            </w:tcBorders>
            <w:vAlign w:val="bottom"/>
            <w:hideMark/>
          </w:tcPr>
          <w:p w14:paraId="2086EF9E" w14:textId="77777777" w:rsidR="00802D3E" w:rsidRDefault="00802D3E">
            <w:pPr>
              <w:pStyle w:val="MeasureTableTextRightAligned"/>
            </w:pPr>
            <w:r>
              <w:t>420</w:t>
            </w:r>
          </w:p>
        </w:tc>
        <w:tc>
          <w:tcPr>
            <w:tcW w:w="967" w:type="dxa"/>
            <w:tcBorders>
              <w:top w:val="single" w:sz="2" w:space="0" w:color="auto"/>
              <w:left w:val="nil"/>
              <w:bottom w:val="single" w:sz="2" w:space="0" w:color="auto"/>
              <w:right w:val="nil"/>
            </w:tcBorders>
            <w:vAlign w:val="bottom"/>
            <w:hideMark/>
          </w:tcPr>
          <w:p w14:paraId="2086EF9F" w14:textId="77777777" w:rsidR="00802D3E" w:rsidRDefault="00802D3E">
            <w:pPr>
              <w:pStyle w:val="MeasureTableTextRightAligned"/>
            </w:pPr>
            <w:r>
              <w:t>370</w:t>
            </w:r>
          </w:p>
        </w:tc>
        <w:tc>
          <w:tcPr>
            <w:tcW w:w="967" w:type="dxa"/>
            <w:tcBorders>
              <w:top w:val="single" w:sz="2" w:space="0" w:color="auto"/>
              <w:left w:val="nil"/>
              <w:bottom w:val="single" w:sz="2" w:space="0" w:color="auto"/>
              <w:right w:val="nil"/>
            </w:tcBorders>
            <w:vAlign w:val="bottom"/>
            <w:hideMark/>
          </w:tcPr>
          <w:p w14:paraId="2086EFA0" w14:textId="77777777" w:rsidR="00802D3E" w:rsidRDefault="00802D3E">
            <w:pPr>
              <w:pStyle w:val="MeasureTableTextRightAligned"/>
            </w:pPr>
            <w:r>
              <w:t>370</w:t>
            </w:r>
          </w:p>
        </w:tc>
        <w:tc>
          <w:tcPr>
            <w:tcW w:w="967" w:type="dxa"/>
            <w:gridSpan w:val="2"/>
            <w:tcBorders>
              <w:top w:val="single" w:sz="2" w:space="0" w:color="auto"/>
              <w:left w:val="nil"/>
              <w:bottom w:val="single" w:sz="2" w:space="0" w:color="auto"/>
              <w:right w:val="nil"/>
            </w:tcBorders>
            <w:vAlign w:val="bottom"/>
            <w:hideMark/>
          </w:tcPr>
          <w:p w14:paraId="2086EFA1" w14:textId="77777777" w:rsidR="00802D3E" w:rsidRDefault="00802D3E">
            <w:pPr>
              <w:pStyle w:val="MeasureTableTextRightAligned"/>
            </w:pPr>
            <w:r>
              <w:t>370</w:t>
            </w:r>
          </w:p>
        </w:tc>
        <w:tc>
          <w:tcPr>
            <w:tcW w:w="967" w:type="dxa"/>
            <w:gridSpan w:val="2"/>
            <w:tcBorders>
              <w:top w:val="single" w:sz="2" w:space="0" w:color="auto"/>
              <w:left w:val="nil"/>
              <w:bottom w:val="single" w:sz="2" w:space="0" w:color="auto"/>
              <w:right w:val="nil"/>
            </w:tcBorders>
            <w:vAlign w:val="bottom"/>
            <w:hideMark/>
          </w:tcPr>
          <w:p w14:paraId="2086EFA2" w14:textId="77777777" w:rsidR="00802D3E" w:rsidRDefault="00802D3E">
            <w:pPr>
              <w:pStyle w:val="MeasureTableTextRightAligned"/>
            </w:pPr>
            <w:r>
              <w:t>370</w:t>
            </w:r>
          </w:p>
        </w:tc>
        <w:tc>
          <w:tcPr>
            <w:tcW w:w="968" w:type="dxa"/>
            <w:tcBorders>
              <w:top w:val="single" w:sz="2" w:space="0" w:color="auto"/>
              <w:left w:val="nil"/>
              <w:bottom w:val="single" w:sz="2" w:space="0" w:color="auto"/>
              <w:right w:val="nil"/>
            </w:tcBorders>
            <w:vAlign w:val="bottom"/>
            <w:hideMark/>
          </w:tcPr>
          <w:p w14:paraId="2086EFA3" w14:textId="77777777" w:rsidR="00802D3E" w:rsidRDefault="00802D3E">
            <w:pPr>
              <w:pStyle w:val="MeasureTableTextRightAligned"/>
            </w:pPr>
            <w:r>
              <w:t>370</w:t>
            </w:r>
          </w:p>
        </w:tc>
      </w:tr>
      <w:tr w:rsidR="00802D3E" w14:paraId="2086EFA9" w14:textId="77777777" w:rsidTr="00802D3E">
        <w:trPr>
          <w:cantSplit/>
          <w:jc w:val="center"/>
        </w:trPr>
        <w:tc>
          <w:tcPr>
            <w:tcW w:w="1934" w:type="dxa"/>
            <w:gridSpan w:val="2"/>
            <w:tcBorders>
              <w:top w:val="single" w:sz="2" w:space="0" w:color="auto"/>
              <w:left w:val="nil"/>
              <w:bottom w:val="nil"/>
              <w:right w:val="nil"/>
            </w:tcBorders>
            <w:hideMark/>
          </w:tcPr>
          <w:p w14:paraId="2086EFA5"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FA6"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EFA7"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FA8" w14:textId="77777777" w:rsidR="00802D3E" w:rsidRDefault="00802D3E">
            <w:pPr>
              <w:pStyle w:val="MeasureTableTextLeftAligned"/>
            </w:pPr>
            <w:r>
              <w:t>B14</w:t>
            </w:r>
          </w:p>
        </w:tc>
      </w:tr>
      <w:tr w:rsidR="00802D3E" w14:paraId="2086EFAE" w14:textId="77777777" w:rsidTr="00802D3E">
        <w:trPr>
          <w:cantSplit/>
          <w:jc w:val="center"/>
        </w:trPr>
        <w:tc>
          <w:tcPr>
            <w:tcW w:w="1934" w:type="dxa"/>
            <w:gridSpan w:val="2"/>
            <w:tcBorders>
              <w:top w:val="nil"/>
              <w:left w:val="nil"/>
              <w:bottom w:val="nil"/>
              <w:right w:val="nil"/>
            </w:tcBorders>
            <w:hideMark/>
          </w:tcPr>
          <w:p w14:paraId="2086EFAA"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FAB"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EFAC" w14:textId="77777777" w:rsidR="00802D3E" w:rsidRDefault="00802D3E">
            <w:pPr>
              <w:pStyle w:val="MeasureTableTextItalic"/>
            </w:pPr>
          </w:p>
        </w:tc>
        <w:tc>
          <w:tcPr>
            <w:tcW w:w="1124" w:type="dxa"/>
            <w:gridSpan w:val="2"/>
            <w:tcBorders>
              <w:top w:val="nil"/>
              <w:left w:val="nil"/>
              <w:bottom w:val="nil"/>
              <w:right w:val="nil"/>
            </w:tcBorders>
          </w:tcPr>
          <w:p w14:paraId="2086EFAD" w14:textId="77777777" w:rsidR="00802D3E" w:rsidRDefault="00802D3E">
            <w:pPr>
              <w:pStyle w:val="MeasureTableTextLeftAligned"/>
            </w:pPr>
          </w:p>
        </w:tc>
      </w:tr>
      <w:tr w:rsidR="00802D3E" w14:paraId="2086EFB3" w14:textId="77777777" w:rsidTr="00802D3E">
        <w:trPr>
          <w:cantSplit/>
          <w:jc w:val="center"/>
        </w:trPr>
        <w:tc>
          <w:tcPr>
            <w:tcW w:w="1934" w:type="dxa"/>
            <w:gridSpan w:val="2"/>
            <w:tcBorders>
              <w:top w:val="nil"/>
              <w:left w:val="nil"/>
              <w:bottom w:val="nil"/>
              <w:right w:val="nil"/>
            </w:tcBorders>
            <w:hideMark/>
          </w:tcPr>
          <w:p w14:paraId="2086EFAF"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FB0" w14:textId="77777777" w:rsidR="00802D3E" w:rsidRDefault="00802D3E">
            <w:pPr>
              <w:pStyle w:val="MeasureTableTextLeftAligned"/>
            </w:pPr>
            <w:r>
              <w:t>1991</w:t>
            </w:r>
          </w:p>
        </w:tc>
        <w:tc>
          <w:tcPr>
            <w:tcW w:w="1500" w:type="dxa"/>
            <w:gridSpan w:val="2"/>
            <w:tcBorders>
              <w:top w:val="nil"/>
              <w:left w:val="nil"/>
              <w:bottom w:val="nil"/>
              <w:right w:val="nil"/>
            </w:tcBorders>
            <w:hideMark/>
          </w:tcPr>
          <w:p w14:paraId="2086EFB1"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FB2" w14:textId="77777777" w:rsidR="00802D3E" w:rsidRDefault="00802D3E">
            <w:pPr>
              <w:pStyle w:val="MeasureTableTextLeftAligned"/>
            </w:pPr>
          </w:p>
        </w:tc>
      </w:tr>
      <w:tr w:rsidR="00802D3E" w14:paraId="2086EFB6" w14:textId="77777777" w:rsidTr="00802D3E">
        <w:trPr>
          <w:cantSplit/>
          <w:jc w:val="center"/>
        </w:trPr>
        <w:tc>
          <w:tcPr>
            <w:tcW w:w="1934" w:type="dxa"/>
            <w:gridSpan w:val="2"/>
            <w:tcBorders>
              <w:top w:val="nil"/>
              <w:left w:val="nil"/>
              <w:bottom w:val="single" w:sz="2" w:space="0" w:color="auto"/>
              <w:right w:val="nil"/>
            </w:tcBorders>
            <w:hideMark/>
          </w:tcPr>
          <w:p w14:paraId="2086EFB4"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FB5"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768-5 of the </w:t>
            </w:r>
            <w:r w:rsidRPr="00B029D6">
              <w:rPr>
                <w:rFonts w:ascii="Arial" w:hAnsi="Arial" w:cs="Arial"/>
                <w:i/>
                <w:sz w:val="16"/>
                <w:szCs w:val="16"/>
              </w:rPr>
              <w:t>Income Tax Assessment Act 1997</w:t>
            </w:r>
          </w:p>
        </w:tc>
      </w:tr>
    </w:tbl>
    <w:p w14:paraId="2086EFB7" w14:textId="77777777" w:rsidR="00802D3E" w:rsidRDefault="00802D3E" w:rsidP="00506822">
      <w:pPr>
        <w:pStyle w:val="SingleParagraph"/>
      </w:pPr>
    </w:p>
    <w:p w14:paraId="2086EFB8" w14:textId="77777777" w:rsidR="00802D3E" w:rsidRDefault="00802D3E" w:rsidP="00802D3E">
      <w:r>
        <w:t>Non</w:t>
      </w:r>
      <w:r>
        <w:noBreakHyphen/>
        <w:t>portfolio dividends</w:t>
      </w:r>
      <w:r>
        <w:fldChar w:fldCharType="begin"/>
      </w:r>
      <w:r>
        <w:instrText xml:space="preserve"> XE "Non</w:instrText>
      </w:r>
      <w:r>
        <w:noBreakHyphen/>
        <w:instrText xml:space="preserve">portfolio dividends" </w:instrText>
      </w:r>
      <w:r>
        <w:fldChar w:fldCharType="end"/>
      </w:r>
      <w:r>
        <w:t xml:space="preserve"> are dividends paid to a company where that company has a 10 per cent or greater voting interest in the company paying the dividend. These dividends are exempt from income tax where they are paid to an Australian resident company by a company resident in a foreign country. </w:t>
      </w:r>
    </w:p>
    <w:p w14:paraId="2086EFB9" w14:textId="77777777" w:rsidR="00802D3E" w:rsidRDefault="00802D3E" w:rsidP="00802D3E">
      <w:pPr>
        <w:pStyle w:val="TESHeading5"/>
        <w:ind w:left="0" w:firstLine="0"/>
      </w:pPr>
      <w:r>
        <w:t>B14</w:t>
      </w:r>
      <w:r>
        <w:tab/>
        <w:t>Interest withholding tax concession on interest payments by financial institutions</w:t>
      </w:r>
    </w:p>
    <w:p w14:paraId="2086EFBA"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FC3" w14:textId="77777777" w:rsidTr="00802D3E">
        <w:trPr>
          <w:cantSplit/>
          <w:jc w:val="center"/>
        </w:trPr>
        <w:tc>
          <w:tcPr>
            <w:tcW w:w="967" w:type="dxa"/>
            <w:tcBorders>
              <w:top w:val="single" w:sz="2" w:space="0" w:color="auto"/>
              <w:left w:val="nil"/>
              <w:bottom w:val="single" w:sz="2" w:space="0" w:color="auto"/>
              <w:right w:val="nil"/>
            </w:tcBorders>
            <w:hideMark/>
          </w:tcPr>
          <w:p w14:paraId="2086EFBB"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FBC"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FBD"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FBE"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FBF"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FC0"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FC1"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FC2" w14:textId="77777777" w:rsidR="00802D3E" w:rsidRDefault="00802D3E">
            <w:pPr>
              <w:pStyle w:val="MeasureTableTextRightAligned"/>
            </w:pPr>
            <w:r>
              <w:t>2019-20</w:t>
            </w:r>
          </w:p>
        </w:tc>
      </w:tr>
      <w:tr w:rsidR="00802D3E" w14:paraId="2086EFCC" w14:textId="77777777" w:rsidTr="00802D3E">
        <w:trPr>
          <w:cantSplit/>
          <w:jc w:val="center"/>
        </w:trPr>
        <w:tc>
          <w:tcPr>
            <w:tcW w:w="967" w:type="dxa"/>
            <w:tcBorders>
              <w:top w:val="single" w:sz="2" w:space="0" w:color="auto"/>
              <w:left w:val="nil"/>
              <w:bottom w:val="single" w:sz="2" w:space="0" w:color="auto"/>
              <w:right w:val="nil"/>
            </w:tcBorders>
            <w:hideMark/>
          </w:tcPr>
          <w:p w14:paraId="2086EFC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EFC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FC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FC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EFC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FC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EFCA"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EFCB" w14:textId="77777777" w:rsidR="00802D3E" w:rsidRDefault="00802D3E">
            <w:pPr>
              <w:pStyle w:val="MeasureTableTextRightAligned"/>
            </w:pPr>
            <w:r>
              <w:t>*</w:t>
            </w:r>
          </w:p>
        </w:tc>
      </w:tr>
      <w:tr w:rsidR="00802D3E" w14:paraId="2086EFD1" w14:textId="77777777" w:rsidTr="00802D3E">
        <w:trPr>
          <w:cantSplit/>
          <w:jc w:val="center"/>
        </w:trPr>
        <w:tc>
          <w:tcPr>
            <w:tcW w:w="1934" w:type="dxa"/>
            <w:gridSpan w:val="2"/>
            <w:tcBorders>
              <w:top w:val="single" w:sz="2" w:space="0" w:color="auto"/>
              <w:left w:val="nil"/>
              <w:bottom w:val="nil"/>
              <w:right w:val="nil"/>
            </w:tcBorders>
            <w:hideMark/>
          </w:tcPr>
          <w:p w14:paraId="2086EFCD"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FCE"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6EFCF"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FD0" w14:textId="77777777" w:rsidR="00802D3E" w:rsidRDefault="00802D3E">
            <w:pPr>
              <w:pStyle w:val="MeasureTableTextLeftAligned"/>
            </w:pPr>
            <w:r>
              <w:t>B15</w:t>
            </w:r>
          </w:p>
        </w:tc>
      </w:tr>
      <w:tr w:rsidR="00802D3E" w14:paraId="2086EFD6" w14:textId="77777777" w:rsidTr="00802D3E">
        <w:trPr>
          <w:cantSplit/>
          <w:jc w:val="center"/>
        </w:trPr>
        <w:tc>
          <w:tcPr>
            <w:tcW w:w="1934" w:type="dxa"/>
            <w:gridSpan w:val="2"/>
            <w:tcBorders>
              <w:top w:val="nil"/>
              <w:left w:val="nil"/>
              <w:bottom w:val="nil"/>
              <w:right w:val="nil"/>
            </w:tcBorders>
            <w:hideMark/>
          </w:tcPr>
          <w:p w14:paraId="2086EFD2"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EFD3"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EFD4"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EFD5" w14:textId="77777777" w:rsidR="00802D3E" w:rsidRDefault="00802D3E">
            <w:pPr>
              <w:pStyle w:val="MeasureTableTextLeftAligned"/>
            </w:pPr>
            <w:r>
              <w:t>2+</w:t>
            </w:r>
          </w:p>
        </w:tc>
      </w:tr>
      <w:tr w:rsidR="00802D3E" w14:paraId="2086EFDB" w14:textId="77777777" w:rsidTr="00802D3E">
        <w:trPr>
          <w:cantSplit/>
          <w:jc w:val="center"/>
        </w:trPr>
        <w:tc>
          <w:tcPr>
            <w:tcW w:w="1934" w:type="dxa"/>
            <w:gridSpan w:val="2"/>
            <w:tcBorders>
              <w:top w:val="nil"/>
              <w:left w:val="nil"/>
              <w:bottom w:val="nil"/>
              <w:right w:val="nil"/>
            </w:tcBorders>
            <w:hideMark/>
          </w:tcPr>
          <w:p w14:paraId="2086EFD7"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FD8" w14:textId="77777777" w:rsidR="00802D3E" w:rsidRDefault="00802D3E">
            <w:pPr>
              <w:pStyle w:val="MeasureTableTextLeftAligned"/>
            </w:pPr>
            <w:r>
              <w:t>1994</w:t>
            </w:r>
          </w:p>
        </w:tc>
        <w:tc>
          <w:tcPr>
            <w:tcW w:w="1500" w:type="dxa"/>
            <w:gridSpan w:val="2"/>
            <w:tcBorders>
              <w:top w:val="nil"/>
              <w:left w:val="nil"/>
              <w:bottom w:val="nil"/>
              <w:right w:val="nil"/>
            </w:tcBorders>
            <w:hideMark/>
          </w:tcPr>
          <w:p w14:paraId="2086EFD9"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FDA" w14:textId="77777777" w:rsidR="00802D3E" w:rsidRDefault="00802D3E">
            <w:pPr>
              <w:pStyle w:val="MeasureTableTextLeftAligned"/>
            </w:pPr>
          </w:p>
        </w:tc>
      </w:tr>
      <w:tr w:rsidR="00802D3E" w14:paraId="2086EFDE" w14:textId="77777777" w:rsidTr="00802D3E">
        <w:trPr>
          <w:cantSplit/>
          <w:jc w:val="center"/>
        </w:trPr>
        <w:tc>
          <w:tcPr>
            <w:tcW w:w="1934" w:type="dxa"/>
            <w:gridSpan w:val="2"/>
            <w:tcBorders>
              <w:top w:val="nil"/>
              <w:left w:val="nil"/>
              <w:bottom w:val="single" w:sz="2" w:space="0" w:color="auto"/>
              <w:right w:val="nil"/>
            </w:tcBorders>
            <w:hideMark/>
          </w:tcPr>
          <w:p w14:paraId="2086EFD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FDD"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160ZZZJ of the </w:t>
            </w:r>
            <w:r w:rsidRPr="00B029D6">
              <w:rPr>
                <w:rFonts w:ascii="Arial" w:hAnsi="Arial" w:cs="Arial"/>
                <w:i/>
                <w:iCs/>
                <w:color w:val="000000"/>
                <w:sz w:val="16"/>
                <w:szCs w:val="16"/>
              </w:rPr>
              <w:t>Income Tax Assessment Act 1936</w:t>
            </w:r>
          </w:p>
        </w:tc>
      </w:tr>
    </w:tbl>
    <w:p w14:paraId="2086EFDF" w14:textId="77777777" w:rsidR="00802D3E" w:rsidRDefault="00802D3E" w:rsidP="00506822">
      <w:pPr>
        <w:pStyle w:val="SingleParagraph"/>
      </w:pPr>
    </w:p>
    <w:p w14:paraId="2086EFE0" w14:textId="77777777" w:rsidR="00802D3E" w:rsidRDefault="00802D3E" w:rsidP="00802D3E">
      <w:r>
        <w:t>The notional interest paid by an Australian branch of a foreign bank on borrowings from the foreign bank</w:t>
      </w:r>
      <w:r>
        <w:fldChar w:fldCharType="begin"/>
      </w:r>
      <w:r>
        <w:instrText xml:space="preserve"> XE "Australian branch of a foreign bank" </w:instrText>
      </w:r>
      <w:r>
        <w:fldChar w:fldCharType="end"/>
      </w:r>
      <w:r>
        <w:t xml:space="preserve"> attracts a reduced effective rate of withholding tax of 5 per cent relative to the benchmark rate of 10 per cent. </w:t>
      </w:r>
    </w:p>
    <w:p w14:paraId="2086EFE1" w14:textId="77777777" w:rsidR="00802D3E" w:rsidRDefault="00802D3E" w:rsidP="00802D3E">
      <w:pPr>
        <w:pStyle w:val="TESHeading5"/>
        <w:ind w:left="0" w:firstLine="0"/>
      </w:pPr>
      <w:r>
        <w:t>B15</w:t>
      </w:r>
      <w:r>
        <w:tab/>
        <w:t>International tax – concessional</w:t>
      </w:r>
      <w:r w:rsidR="00663962">
        <w:t xml:space="preserve"> </w:t>
      </w:r>
      <w:r>
        <w:t>rate of final withholding tax on certain distributions by clean building managed investment trusts to foreign residents</w:t>
      </w:r>
    </w:p>
    <w:p w14:paraId="2086EFE2"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EFEB" w14:textId="77777777" w:rsidTr="00802D3E">
        <w:trPr>
          <w:cantSplit/>
          <w:jc w:val="center"/>
        </w:trPr>
        <w:tc>
          <w:tcPr>
            <w:tcW w:w="967" w:type="dxa"/>
            <w:tcBorders>
              <w:top w:val="single" w:sz="2" w:space="0" w:color="auto"/>
              <w:left w:val="nil"/>
              <w:bottom w:val="single" w:sz="2" w:space="0" w:color="auto"/>
              <w:right w:val="nil"/>
            </w:tcBorders>
            <w:hideMark/>
          </w:tcPr>
          <w:p w14:paraId="2086EFE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EFE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EFE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EFE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EFE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EFE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EFE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EFEA" w14:textId="77777777" w:rsidR="00802D3E" w:rsidRDefault="00802D3E">
            <w:pPr>
              <w:pStyle w:val="MeasureTableTextRightAligned"/>
            </w:pPr>
            <w:r>
              <w:t>2019-20</w:t>
            </w:r>
          </w:p>
        </w:tc>
      </w:tr>
      <w:tr w:rsidR="00802D3E" w14:paraId="2086EFED" w14:textId="77777777" w:rsidTr="00802D3E">
        <w:trPr>
          <w:cantSplit/>
          <w:jc w:val="center"/>
        </w:trPr>
        <w:tc>
          <w:tcPr>
            <w:tcW w:w="7737" w:type="dxa"/>
            <w:gridSpan w:val="10"/>
            <w:tcBorders>
              <w:top w:val="single" w:sz="2" w:space="0" w:color="auto"/>
              <w:left w:val="nil"/>
              <w:bottom w:val="single" w:sz="2" w:space="0" w:color="auto"/>
              <w:right w:val="nil"/>
            </w:tcBorders>
            <w:hideMark/>
          </w:tcPr>
          <w:p w14:paraId="2086EFEC" w14:textId="77777777" w:rsidR="00802D3E" w:rsidRDefault="00802D3E">
            <w:pPr>
              <w:pStyle w:val="MeasureTableTextRightAligned"/>
              <w:jc w:val="center"/>
            </w:pPr>
            <w:r>
              <w:t>Included in B81</w:t>
            </w:r>
          </w:p>
        </w:tc>
      </w:tr>
      <w:tr w:rsidR="00802D3E" w14:paraId="2086EFF2" w14:textId="77777777" w:rsidTr="00802D3E">
        <w:trPr>
          <w:cantSplit/>
          <w:jc w:val="center"/>
        </w:trPr>
        <w:tc>
          <w:tcPr>
            <w:tcW w:w="1934" w:type="dxa"/>
            <w:gridSpan w:val="2"/>
            <w:tcBorders>
              <w:top w:val="single" w:sz="2" w:space="0" w:color="auto"/>
              <w:left w:val="nil"/>
              <w:bottom w:val="nil"/>
              <w:right w:val="nil"/>
            </w:tcBorders>
            <w:hideMark/>
          </w:tcPr>
          <w:p w14:paraId="2086EFE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EFEF"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6EFF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EFF1" w14:textId="77777777" w:rsidR="00802D3E" w:rsidRDefault="00802D3E">
            <w:pPr>
              <w:pStyle w:val="MeasureTableTextLeftAligned"/>
            </w:pPr>
            <w:r>
              <w:t>B16</w:t>
            </w:r>
          </w:p>
        </w:tc>
      </w:tr>
      <w:tr w:rsidR="00802D3E" w14:paraId="2086EFF7" w14:textId="77777777" w:rsidTr="00802D3E">
        <w:trPr>
          <w:cantSplit/>
          <w:jc w:val="center"/>
        </w:trPr>
        <w:tc>
          <w:tcPr>
            <w:tcW w:w="1934" w:type="dxa"/>
            <w:gridSpan w:val="2"/>
            <w:tcBorders>
              <w:top w:val="nil"/>
              <w:left w:val="nil"/>
              <w:bottom w:val="nil"/>
              <w:right w:val="nil"/>
            </w:tcBorders>
            <w:hideMark/>
          </w:tcPr>
          <w:p w14:paraId="2086EFF3" w14:textId="77777777" w:rsidR="00802D3E" w:rsidRDefault="00802D3E">
            <w:pPr>
              <w:pStyle w:val="MeasureTableTextItalic"/>
            </w:pPr>
            <w:r>
              <w:t>Estimate Reliability:</w:t>
            </w:r>
          </w:p>
        </w:tc>
        <w:tc>
          <w:tcPr>
            <w:tcW w:w="3179" w:type="dxa"/>
            <w:gridSpan w:val="4"/>
            <w:tcBorders>
              <w:top w:val="nil"/>
              <w:left w:val="nil"/>
              <w:bottom w:val="nil"/>
              <w:right w:val="nil"/>
            </w:tcBorders>
          </w:tcPr>
          <w:p w14:paraId="2086EFF4" w14:textId="77777777" w:rsidR="00802D3E" w:rsidRDefault="00802D3E">
            <w:pPr>
              <w:pStyle w:val="MeasureTableTextLeftAligned"/>
            </w:pPr>
          </w:p>
        </w:tc>
        <w:tc>
          <w:tcPr>
            <w:tcW w:w="1500" w:type="dxa"/>
            <w:gridSpan w:val="2"/>
            <w:tcBorders>
              <w:top w:val="nil"/>
              <w:left w:val="nil"/>
              <w:bottom w:val="nil"/>
              <w:right w:val="nil"/>
            </w:tcBorders>
          </w:tcPr>
          <w:p w14:paraId="2086EFF5" w14:textId="77777777" w:rsidR="00802D3E" w:rsidRDefault="00802D3E">
            <w:pPr>
              <w:pStyle w:val="MeasureTableTextItalic"/>
            </w:pPr>
          </w:p>
        </w:tc>
        <w:tc>
          <w:tcPr>
            <w:tcW w:w="1124" w:type="dxa"/>
            <w:gridSpan w:val="2"/>
            <w:tcBorders>
              <w:top w:val="nil"/>
              <w:left w:val="nil"/>
              <w:bottom w:val="nil"/>
              <w:right w:val="nil"/>
            </w:tcBorders>
          </w:tcPr>
          <w:p w14:paraId="2086EFF6" w14:textId="77777777" w:rsidR="00802D3E" w:rsidRDefault="00802D3E">
            <w:pPr>
              <w:pStyle w:val="MeasureTableTextLeftAligned"/>
            </w:pPr>
          </w:p>
        </w:tc>
      </w:tr>
      <w:tr w:rsidR="00802D3E" w14:paraId="2086EFFC" w14:textId="77777777" w:rsidTr="00802D3E">
        <w:trPr>
          <w:cantSplit/>
          <w:jc w:val="center"/>
        </w:trPr>
        <w:tc>
          <w:tcPr>
            <w:tcW w:w="1934" w:type="dxa"/>
            <w:gridSpan w:val="2"/>
            <w:tcBorders>
              <w:top w:val="nil"/>
              <w:left w:val="nil"/>
              <w:bottom w:val="nil"/>
              <w:right w:val="nil"/>
            </w:tcBorders>
            <w:hideMark/>
          </w:tcPr>
          <w:p w14:paraId="2086EFF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EFF9" w14:textId="77777777" w:rsidR="00802D3E" w:rsidRDefault="00802D3E">
            <w:pPr>
              <w:pStyle w:val="MeasureTableTextLeftAligned"/>
            </w:pPr>
            <w:r>
              <w:t>2012</w:t>
            </w:r>
          </w:p>
        </w:tc>
        <w:tc>
          <w:tcPr>
            <w:tcW w:w="1500" w:type="dxa"/>
            <w:gridSpan w:val="2"/>
            <w:tcBorders>
              <w:top w:val="nil"/>
              <w:left w:val="nil"/>
              <w:bottom w:val="nil"/>
              <w:right w:val="nil"/>
            </w:tcBorders>
            <w:hideMark/>
          </w:tcPr>
          <w:p w14:paraId="2086EFF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EFFB" w14:textId="77777777" w:rsidR="00802D3E" w:rsidRDefault="00802D3E">
            <w:pPr>
              <w:pStyle w:val="MeasureTableTextLeftAligned"/>
            </w:pPr>
          </w:p>
        </w:tc>
      </w:tr>
      <w:tr w:rsidR="00802D3E" w14:paraId="2086EFFF" w14:textId="77777777" w:rsidTr="00802D3E">
        <w:trPr>
          <w:cantSplit/>
          <w:jc w:val="center"/>
        </w:trPr>
        <w:tc>
          <w:tcPr>
            <w:tcW w:w="1934" w:type="dxa"/>
            <w:gridSpan w:val="2"/>
            <w:tcBorders>
              <w:top w:val="nil"/>
              <w:left w:val="nil"/>
              <w:bottom w:val="single" w:sz="2" w:space="0" w:color="auto"/>
              <w:right w:val="nil"/>
            </w:tcBorders>
            <w:hideMark/>
          </w:tcPr>
          <w:p w14:paraId="2086EFF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EFFE"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Section 12-385 of Schedule 1 to the </w:t>
            </w:r>
            <w:r>
              <w:rPr>
                <w:rFonts w:ascii="Arial" w:hAnsi="Arial" w:cs="Arial"/>
                <w:i/>
                <w:iCs/>
                <w:color w:val="000000"/>
                <w:sz w:val="16"/>
                <w:szCs w:val="16"/>
              </w:rPr>
              <w:t>Taxation Administration Act 1953</w:t>
            </w:r>
            <w:r>
              <w:rPr>
                <w:rFonts w:ascii="Arial" w:hAnsi="Arial" w:cs="Arial"/>
                <w:color w:val="000000"/>
                <w:sz w:val="16"/>
                <w:szCs w:val="16"/>
              </w:rPr>
              <w:br/>
              <w:t xml:space="preserve">Division 7 of the </w:t>
            </w:r>
            <w:r>
              <w:rPr>
                <w:rFonts w:ascii="Arial" w:hAnsi="Arial" w:cs="Arial"/>
                <w:i/>
                <w:iCs/>
                <w:color w:val="000000"/>
                <w:sz w:val="16"/>
                <w:szCs w:val="16"/>
              </w:rPr>
              <w:t>Taxation Administration Regulations 1976</w:t>
            </w:r>
          </w:p>
        </w:tc>
      </w:tr>
    </w:tbl>
    <w:p w14:paraId="2086F000" w14:textId="77777777" w:rsidR="00802D3E" w:rsidRDefault="00802D3E" w:rsidP="00506822">
      <w:pPr>
        <w:pStyle w:val="SingleParagraph"/>
      </w:pPr>
    </w:p>
    <w:p w14:paraId="2086F001" w14:textId="77777777" w:rsidR="00802D3E" w:rsidRDefault="00054FF3" w:rsidP="00802D3E">
      <w:r>
        <w:fldChar w:fldCharType="begin"/>
      </w:r>
      <w:r>
        <w:instrText xml:space="preserve"> XE "Managed investment trusts:Distributions to foreign residents" </w:instrText>
      </w:r>
      <w:r>
        <w:fldChar w:fldCharType="end"/>
      </w:r>
      <w:r w:rsidR="00802D3E">
        <w:t xml:space="preserve">Distributions of Australian source net income (other than dividends, interest and royalties) paid to foreign residents by Australian managed investment trusts that only hold energy efficient buildings that commenced construction on or after 1 July 2012 are subject to a final withholding tax. The general rate of 30 per cent is reduced to 10 per cent for residents of countries specified in the regulations. </w:t>
      </w:r>
    </w:p>
    <w:p w14:paraId="2086F002" w14:textId="77777777" w:rsidR="00802D3E" w:rsidRDefault="00802D3E" w:rsidP="00802D3E">
      <w:pPr>
        <w:pStyle w:val="TESHeading5"/>
        <w:ind w:left="0" w:firstLine="0"/>
      </w:pPr>
      <w:r>
        <w:lastRenderedPageBreak/>
        <w:t>B16</w:t>
      </w:r>
      <w:r>
        <w:tab/>
        <w:t>Threshold exemption for thin capitalisation</w:t>
      </w:r>
    </w:p>
    <w:p w14:paraId="2086F003" w14:textId="77777777" w:rsidR="00802D3E" w:rsidRDefault="00802D3E" w:rsidP="00802D3E">
      <w:pPr>
        <w:pStyle w:val="MeasureTableHeading"/>
      </w:pPr>
      <w:r>
        <w:t xml:space="preserve">Other economic affairs </w:t>
      </w:r>
      <w:r w:rsidR="00663962">
        <w:t>–</w:t>
      </w:r>
      <w:r>
        <w:t xml:space="preserve"> Other</w:t>
      </w:r>
      <w:r w:rsidR="0066396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00C" w14:textId="77777777" w:rsidTr="00802D3E">
        <w:trPr>
          <w:cantSplit/>
          <w:jc w:val="center"/>
        </w:trPr>
        <w:tc>
          <w:tcPr>
            <w:tcW w:w="967" w:type="dxa"/>
            <w:tcBorders>
              <w:top w:val="single" w:sz="2" w:space="0" w:color="auto"/>
              <w:left w:val="nil"/>
              <w:bottom w:val="single" w:sz="2" w:space="0" w:color="auto"/>
              <w:right w:val="nil"/>
            </w:tcBorders>
            <w:hideMark/>
          </w:tcPr>
          <w:p w14:paraId="2086F00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00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00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00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00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00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00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00B" w14:textId="77777777" w:rsidR="00802D3E" w:rsidRDefault="00802D3E">
            <w:pPr>
              <w:pStyle w:val="MeasureTableTextRightAligned"/>
            </w:pPr>
            <w:r>
              <w:t>2019-20</w:t>
            </w:r>
          </w:p>
        </w:tc>
      </w:tr>
      <w:tr w:rsidR="00802D3E" w14:paraId="2086F015" w14:textId="77777777" w:rsidTr="00802D3E">
        <w:trPr>
          <w:cantSplit/>
          <w:jc w:val="center"/>
        </w:trPr>
        <w:tc>
          <w:tcPr>
            <w:tcW w:w="967" w:type="dxa"/>
            <w:tcBorders>
              <w:top w:val="single" w:sz="2" w:space="0" w:color="auto"/>
              <w:left w:val="nil"/>
              <w:bottom w:val="single" w:sz="2" w:space="0" w:color="auto"/>
              <w:right w:val="nil"/>
            </w:tcBorders>
            <w:hideMark/>
          </w:tcPr>
          <w:p w14:paraId="2086F00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00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0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1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1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01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01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014" w14:textId="77777777" w:rsidR="00802D3E" w:rsidRDefault="00802D3E">
            <w:pPr>
              <w:pStyle w:val="MeasureTableTextRightAligned"/>
            </w:pPr>
            <w:r>
              <w:t>*</w:t>
            </w:r>
          </w:p>
        </w:tc>
      </w:tr>
      <w:tr w:rsidR="00802D3E" w14:paraId="2086F01A" w14:textId="77777777" w:rsidTr="00802D3E">
        <w:trPr>
          <w:cantSplit/>
          <w:jc w:val="center"/>
        </w:trPr>
        <w:tc>
          <w:tcPr>
            <w:tcW w:w="1934" w:type="dxa"/>
            <w:gridSpan w:val="2"/>
            <w:tcBorders>
              <w:top w:val="single" w:sz="2" w:space="0" w:color="auto"/>
              <w:left w:val="nil"/>
              <w:bottom w:val="nil"/>
              <w:right w:val="nil"/>
            </w:tcBorders>
            <w:hideMark/>
          </w:tcPr>
          <w:p w14:paraId="2086F01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01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01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019" w14:textId="77777777" w:rsidR="00802D3E" w:rsidRDefault="00802D3E">
            <w:pPr>
              <w:pStyle w:val="MeasureTableTextLeftAligned"/>
            </w:pPr>
            <w:r>
              <w:t>B18</w:t>
            </w:r>
          </w:p>
        </w:tc>
      </w:tr>
      <w:tr w:rsidR="00802D3E" w14:paraId="2086F01F" w14:textId="77777777" w:rsidTr="00802D3E">
        <w:trPr>
          <w:cantSplit/>
          <w:jc w:val="center"/>
        </w:trPr>
        <w:tc>
          <w:tcPr>
            <w:tcW w:w="1934" w:type="dxa"/>
            <w:gridSpan w:val="2"/>
            <w:tcBorders>
              <w:top w:val="nil"/>
              <w:left w:val="nil"/>
              <w:bottom w:val="nil"/>
              <w:right w:val="nil"/>
            </w:tcBorders>
            <w:hideMark/>
          </w:tcPr>
          <w:p w14:paraId="2086F01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01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01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01E" w14:textId="77777777" w:rsidR="00802D3E" w:rsidRDefault="00802D3E">
            <w:pPr>
              <w:pStyle w:val="MeasureTableTextLeftAligned"/>
            </w:pPr>
            <w:r>
              <w:t>2+</w:t>
            </w:r>
          </w:p>
        </w:tc>
      </w:tr>
      <w:tr w:rsidR="00802D3E" w14:paraId="2086F024" w14:textId="77777777" w:rsidTr="00802D3E">
        <w:trPr>
          <w:cantSplit/>
          <w:jc w:val="center"/>
        </w:trPr>
        <w:tc>
          <w:tcPr>
            <w:tcW w:w="1934" w:type="dxa"/>
            <w:gridSpan w:val="2"/>
            <w:tcBorders>
              <w:top w:val="nil"/>
              <w:left w:val="nil"/>
              <w:bottom w:val="nil"/>
              <w:right w:val="nil"/>
            </w:tcBorders>
            <w:hideMark/>
          </w:tcPr>
          <w:p w14:paraId="2086F02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021" w14:textId="77777777" w:rsidR="00802D3E" w:rsidRDefault="00802D3E">
            <w:pPr>
              <w:pStyle w:val="MeasureTableTextLeftAligned"/>
            </w:pPr>
            <w:r>
              <w:t>2001</w:t>
            </w:r>
          </w:p>
        </w:tc>
        <w:tc>
          <w:tcPr>
            <w:tcW w:w="1500" w:type="dxa"/>
            <w:gridSpan w:val="2"/>
            <w:tcBorders>
              <w:top w:val="nil"/>
              <w:left w:val="nil"/>
              <w:bottom w:val="nil"/>
              <w:right w:val="nil"/>
            </w:tcBorders>
            <w:hideMark/>
          </w:tcPr>
          <w:p w14:paraId="2086F02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023" w14:textId="77777777" w:rsidR="00802D3E" w:rsidRDefault="00802D3E">
            <w:pPr>
              <w:pStyle w:val="MeasureTableTextLeftAligned"/>
            </w:pPr>
          </w:p>
        </w:tc>
      </w:tr>
      <w:tr w:rsidR="00802D3E" w14:paraId="2086F027" w14:textId="77777777" w:rsidTr="00802D3E">
        <w:trPr>
          <w:cantSplit/>
          <w:jc w:val="center"/>
        </w:trPr>
        <w:tc>
          <w:tcPr>
            <w:tcW w:w="1934" w:type="dxa"/>
            <w:gridSpan w:val="2"/>
            <w:tcBorders>
              <w:top w:val="nil"/>
              <w:left w:val="nil"/>
              <w:bottom w:val="single" w:sz="2" w:space="0" w:color="auto"/>
              <w:right w:val="nil"/>
            </w:tcBorders>
            <w:hideMark/>
          </w:tcPr>
          <w:p w14:paraId="2086F02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026"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Sections 820-35 and 820-37 of the </w:t>
            </w:r>
            <w:r w:rsidRPr="00B029D6">
              <w:rPr>
                <w:rFonts w:ascii="Arial" w:hAnsi="Arial" w:cs="Arial"/>
                <w:i/>
                <w:iCs/>
                <w:color w:val="000000"/>
                <w:sz w:val="16"/>
                <w:szCs w:val="16"/>
              </w:rPr>
              <w:t>Income Tax Assessment Act 1997</w:t>
            </w:r>
          </w:p>
        </w:tc>
      </w:tr>
    </w:tbl>
    <w:p w14:paraId="2086F028" w14:textId="77777777" w:rsidR="00802D3E" w:rsidRDefault="00802D3E" w:rsidP="00506822">
      <w:pPr>
        <w:pStyle w:val="SingleParagraph"/>
      </w:pPr>
    </w:p>
    <w:p w14:paraId="2086F029" w14:textId="77777777" w:rsidR="00802D3E" w:rsidRDefault="00802D3E" w:rsidP="00802D3E">
      <w:r>
        <w:t>The thin capitalisation regime is an integrity measure designed to ensure Australian and foreign owned multinational entities do not allocate an excessive amount of debt to their Australian operations.</w:t>
      </w:r>
    </w:p>
    <w:p w14:paraId="2086F02A" w14:textId="77777777" w:rsidR="00802D3E" w:rsidRDefault="00802D3E" w:rsidP="00802D3E">
      <w:r>
        <w:t>Taxpayers will not be subject to the thin capitalisation</w:t>
      </w:r>
      <w:r>
        <w:fldChar w:fldCharType="begin"/>
      </w:r>
      <w:r>
        <w:instrText xml:space="preserve"> XE "Thin capitalisation threshold" </w:instrText>
      </w:r>
      <w:r>
        <w:fldChar w:fldCharType="end"/>
      </w:r>
      <w:r>
        <w:t xml:space="preserve"> regime if their debt deductions and those of their associates do not exceed the threshold amount of $250,000 for income years commencing prior to 1 July 2014 and $2 million for later income years. Outward investing entities are also excluded from the thin capitalisation regime if at least 90 per cent of their assets are Australian assets. </w:t>
      </w:r>
    </w:p>
    <w:p w14:paraId="2086F02B" w14:textId="77777777" w:rsidR="00802D3E" w:rsidRDefault="00802D3E" w:rsidP="00802D3E">
      <w:pPr>
        <w:pStyle w:val="TESHeading5"/>
        <w:ind w:left="0" w:firstLine="0"/>
      </w:pPr>
      <w:r>
        <w:t>B17</w:t>
      </w:r>
      <w:r>
        <w:tab/>
        <w:t>Security agency transaction exemption</w:t>
      </w:r>
    </w:p>
    <w:p w14:paraId="2086F02C"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035" w14:textId="77777777" w:rsidTr="00802D3E">
        <w:trPr>
          <w:cantSplit/>
          <w:jc w:val="center"/>
        </w:trPr>
        <w:tc>
          <w:tcPr>
            <w:tcW w:w="967" w:type="dxa"/>
            <w:tcBorders>
              <w:top w:val="single" w:sz="2" w:space="0" w:color="auto"/>
              <w:left w:val="nil"/>
              <w:bottom w:val="single" w:sz="2" w:space="0" w:color="auto"/>
              <w:right w:val="nil"/>
            </w:tcBorders>
            <w:hideMark/>
          </w:tcPr>
          <w:p w14:paraId="2086F02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02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02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03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03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03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03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034" w14:textId="77777777" w:rsidR="00802D3E" w:rsidRDefault="00802D3E">
            <w:pPr>
              <w:pStyle w:val="MeasureTableTextRightAligned"/>
            </w:pPr>
            <w:r>
              <w:t>2019-20</w:t>
            </w:r>
          </w:p>
        </w:tc>
      </w:tr>
      <w:tr w:rsidR="00802D3E" w14:paraId="2086F03E" w14:textId="77777777" w:rsidTr="00802D3E">
        <w:trPr>
          <w:cantSplit/>
          <w:jc w:val="center"/>
        </w:trPr>
        <w:tc>
          <w:tcPr>
            <w:tcW w:w="967" w:type="dxa"/>
            <w:tcBorders>
              <w:top w:val="single" w:sz="2" w:space="0" w:color="auto"/>
              <w:left w:val="nil"/>
              <w:bottom w:val="single" w:sz="2" w:space="0" w:color="auto"/>
              <w:right w:val="nil"/>
            </w:tcBorders>
            <w:hideMark/>
          </w:tcPr>
          <w:p w14:paraId="2086F03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03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3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3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3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03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03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03D" w14:textId="77777777" w:rsidR="00802D3E" w:rsidRDefault="00802D3E">
            <w:pPr>
              <w:pStyle w:val="MeasureTableTextRightAligned"/>
            </w:pPr>
            <w:r>
              <w:t>*</w:t>
            </w:r>
          </w:p>
        </w:tc>
      </w:tr>
      <w:tr w:rsidR="00802D3E" w14:paraId="2086F043" w14:textId="77777777" w:rsidTr="00802D3E">
        <w:trPr>
          <w:cantSplit/>
          <w:jc w:val="center"/>
        </w:trPr>
        <w:tc>
          <w:tcPr>
            <w:tcW w:w="1934" w:type="dxa"/>
            <w:gridSpan w:val="2"/>
            <w:tcBorders>
              <w:top w:val="single" w:sz="2" w:space="0" w:color="auto"/>
              <w:left w:val="nil"/>
              <w:bottom w:val="nil"/>
              <w:right w:val="nil"/>
            </w:tcBorders>
            <w:hideMark/>
          </w:tcPr>
          <w:p w14:paraId="2086F03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04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04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042" w14:textId="77777777" w:rsidR="00802D3E" w:rsidRDefault="00802D3E">
            <w:pPr>
              <w:pStyle w:val="MeasureTableTextLeftAligned"/>
            </w:pPr>
            <w:r>
              <w:t>B19</w:t>
            </w:r>
          </w:p>
        </w:tc>
      </w:tr>
      <w:tr w:rsidR="00802D3E" w14:paraId="2086F048" w14:textId="77777777" w:rsidTr="00802D3E">
        <w:trPr>
          <w:cantSplit/>
          <w:jc w:val="center"/>
        </w:trPr>
        <w:tc>
          <w:tcPr>
            <w:tcW w:w="1934" w:type="dxa"/>
            <w:gridSpan w:val="2"/>
            <w:tcBorders>
              <w:top w:val="nil"/>
              <w:left w:val="nil"/>
              <w:bottom w:val="nil"/>
              <w:right w:val="nil"/>
            </w:tcBorders>
            <w:hideMark/>
          </w:tcPr>
          <w:p w14:paraId="2086F04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04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04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047" w14:textId="77777777" w:rsidR="00802D3E" w:rsidRDefault="00802D3E">
            <w:pPr>
              <w:pStyle w:val="MeasureTableTextLeftAligned"/>
            </w:pPr>
            <w:r>
              <w:t>1+</w:t>
            </w:r>
          </w:p>
        </w:tc>
      </w:tr>
      <w:tr w:rsidR="00802D3E" w14:paraId="2086F04D" w14:textId="77777777" w:rsidTr="00802D3E">
        <w:trPr>
          <w:cantSplit/>
          <w:jc w:val="center"/>
        </w:trPr>
        <w:tc>
          <w:tcPr>
            <w:tcW w:w="1934" w:type="dxa"/>
            <w:gridSpan w:val="2"/>
            <w:tcBorders>
              <w:top w:val="nil"/>
              <w:left w:val="nil"/>
              <w:bottom w:val="nil"/>
              <w:right w:val="nil"/>
            </w:tcBorders>
            <w:hideMark/>
          </w:tcPr>
          <w:p w14:paraId="2086F04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04A" w14:textId="77777777" w:rsidR="00802D3E" w:rsidRDefault="00802D3E">
            <w:pPr>
              <w:pStyle w:val="MeasureTableTextLeftAligned"/>
            </w:pPr>
            <w:r>
              <w:t>1 July 2005</w:t>
            </w:r>
          </w:p>
        </w:tc>
        <w:tc>
          <w:tcPr>
            <w:tcW w:w="1500" w:type="dxa"/>
            <w:gridSpan w:val="2"/>
            <w:tcBorders>
              <w:top w:val="nil"/>
              <w:left w:val="nil"/>
              <w:bottom w:val="nil"/>
              <w:right w:val="nil"/>
            </w:tcBorders>
            <w:hideMark/>
          </w:tcPr>
          <w:p w14:paraId="2086F04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04C" w14:textId="77777777" w:rsidR="00802D3E" w:rsidRDefault="00802D3E">
            <w:pPr>
              <w:pStyle w:val="MeasureTableTextLeftAligned"/>
            </w:pPr>
          </w:p>
        </w:tc>
      </w:tr>
      <w:tr w:rsidR="00802D3E" w14:paraId="2086F050" w14:textId="77777777" w:rsidTr="00802D3E">
        <w:trPr>
          <w:cantSplit/>
          <w:jc w:val="center"/>
        </w:trPr>
        <w:tc>
          <w:tcPr>
            <w:tcW w:w="1934" w:type="dxa"/>
            <w:gridSpan w:val="2"/>
            <w:tcBorders>
              <w:top w:val="nil"/>
              <w:left w:val="nil"/>
              <w:bottom w:val="single" w:sz="2" w:space="0" w:color="auto"/>
              <w:right w:val="nil"/>
            </w:tcBorders>
            <w:hideMark/>
          </w:tcPr>
          <w:p w14:paraId="2086F04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04F"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 xml:space="preserve">Division 850 of Schedule 1 to the </w:t>
            </w:r>
            <w:r w:rsidRPr="00B029D6">
              <w:rPr>
                <w:rFonts w:ascii="Arial" w:hAnsi="Arial" w:cs="Arial"/>
                <w:i/>
                <w:iCs/>
                <w:color w:val="000000"/>
                <w:sz w:val="16"/>
                <w:szCs w:val="16"/>
              </w:rPr>
              <w:t>Taxation Administration Act 1953</w:t>
            </w:r>
          </w:p>
        </w:tc>
      </w:tr>
    </w:tbl>
    <w:p w14:paraId="2086F051" w14:textId="77777777" w:rsidR="00802D3E" w:rsidRDefault="00802D3E" w:rsidP="00506822">
      <w:pPr>
        <w:pStyle w:val="SingleParagraph"/>
      </w:pPr>
    </w:p>
    <w:p w14:paraId="2086F052" w14:textId="77777777" w:rsidR="00802D3E" w:rsidRDefault="00802D3E" w:rsidP="00802D3E">
      <w:r>
        <w:t>The heads of the Australian Security Intelligence Organisation and the Australian Secret Intelligence Service</w:t>
      </w:r>
      <w:r>
        <w:fldChar w:fldCharType="begin"/>
      </w:r>
      <w:r>
        <w:instrText xml:space="preserve"> XE "Security agencies" </w:instrText>
      </w:r>
      <w:r>
        <w:fldChar w:fldCharType="end"/>
      </w:r>
      <w:r>
        <w:t xml:space="preserve"> have the power to declare that Commonwealth tax laws do not apply to a specified entity in relation to a specified transaction. This ensures that tax authorities do not need to obtain information that should remain secret in the interests of national security. </w:t>
      </w:r>
    </w:p>
    <w:p w14:paraId="2086F053" w14:textId="77777777" w:rsidR="00802D3E" w:rsidRDefault="00802D3E" w:rsidP="00802D3E">
      <w:pPr>
        <w:pStyle w:val="TESHeading5"/>
        <w:ind w:left="0" w:firstLine="0"/>
      </w:pPr>
      <w:r>
        <w:t>B18</w:t>
      </w:r>
      <w:r>
        <w:tab/>
        <w:t>Not-for-profit private health insurers income tax exemption</w:t>
      </w:r>
    </w:p>
    <w:p w14:paraId="2086F054"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05D" w14:textId="77777777" w:rsidTr="00802D3E">
        <w:trPr>
          <w:cantSplit/>
          <w:jc w:val="center"/>
        </w:trPr>
        <w:tc>
          <w:tcPr>
            <w:tcW w:w="967" w:type="dxa"/>
            <w:tcBorders>
              <w:top w:val="single" w:sz="2" w:space="0" w:color="auto"/>
              <w:left w:val="nil"/>
              <w:bottom w:val="single" w:sz="2" w:space="0" w:color="auto"/>
              <w:right w:val="nil"/>
            </w:tcBorders>
            <w:hideMark/>
          </w:tcPr>
          <w:p w14:paraId="2086F05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05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05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05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05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05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05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05C" w14:textId="77777777" w:rsidR="00802D3E" w:rsidRDefault="00802D3E">
            <w:pPr>
              <w:pStyle w:val="MeasureTableTextRightAligned"/>
            </w:pPr>
            <w:r>
              <w:t>2019-20</w:t>
            </w:r>
          </w:p>
        </w:tc>
      </w:tr>
      <w:tr w:rsidR="00802D3E" w14:paraId="2086F066" w14:textId="77777777" w:rsidTr="00802D3E">
        <w:trPr>
          <w:cantSplit/>
          <w:jc w:val="center"/>
        </w:trPr>
        <w:tc>
          <w:tcPr>
            <w:tcW w:w="967" w:type="dxa"/>
            <w:tcBorders>
              <w:top w:val="single" w:sz="2" w:space="0" w:color="auto"/>
              <w:left w:val="nil"/>
              <w:bottom w:val="single" w:sz="2" w:space="0" w:color="auto"/>
              <w:right w:val="nil"/>
            </w:tcBorders>
            <w:hideMark/>
          </w:tcPr>
          <w:p w14:paraId="2086F05E" w14:textId="77777777" w:rsidR="00802D3E" w:rsidRDefault="00802D3E">
            <w:pPr>
              <w:pStyle w:val="MeasureTableTextRightAligned"/>
            </w:pPr>
            <w:r>
              <w:t>115</w:t>
            </w:r>
          </w:p>
        </w:tc>
        <w:tc>
          <w:tcPr>
            <w:tcW w:w="967" w:type="dxa"/>
            <w:tcBorders>
              <w:top w:val="single" w:sz="2" w:space="0" w:color="auto"/>
              <w:left w:val="nil"/>
              <w:bottom w:val="single" w:sz="2" w:space="0" w:color="auto"/>
              <w:right w:val="nil"/>
            </w:tcBorders>
            <w:hideMark/>
          </w:tcPr>
          <w:p w14:paraId="2086F05F" w14:textId="77777777" w:rsidR="00802D3E" w:rsidRDefault="00802D3E">
            <w:pPr>
              <w:pStyle w:val="MeasureTableTextRightAligned"/>
            </w:pPr>
            <w:r>
              <w:t>135</w:t>
            </w:r>
          </w:p>
        </w:tc>
        <w:tc>
          <w:tcPr>
            <w:tcW w:w="967" w:type="dxa"/>
            <w:tcBorders>
              <w:top w:val="single" w:sz="2" w:space="0" w:color="auto"/>
              <w:left w:val="nil"/>
              <w:bottom w:val="single" w:sz="2" w:space="0" w:color="auto"/>
              <w:right w:val="nil"/>
            </w:tcBorders>
            <w:vAlign w:val="bottom"/>
            <w:hideMark/>
          </w:tcPr>
          <w:p w14:paraId="2086F060" w14:textId="77777777" w:rsidR="00802D3E" w:rsidRDefault="00802D3E">
            <w:pPr>
              <w:pStyle w:val="MeasureTableTextRightAligned"/>
            </w:pPr>
            <w:r>
              <w:t>105</w:t>
            </w:r>
          </w:p>
        </w:tc>
        <w:tc>
          <w:tcPr>
            <w:tcW w:w="967" w:type="dxa"/>
            <w:tcBorders>
              <w:top w:val="single" w:sz="2" w:space="0" w:color="auto"/>
              <w:left w:val="nil"/>
              <w:bottom w:val="single" w:sz="2" w:space="0" w:color="auto"/>
              <w:right w:val="nil"/>
            </w:tcBorders>
            <w:vAlign w:val="bottom"/>
            <w:hideMark/>
          </w:tcPr>
          <w:p w14:paraId="2086F061" w14:textId="77777777" w:rsidR="00802D3E" w:rsidRDefault="00802D3E">
            <w:pPr>
              <w:pStyle w:val="MeasureTableTextRightAligned"/>
            </w:pPr>
            <w:r>
              <w:t>110</w:t>
            </w:r>
          </w:p>
        </w:tc>
        <w:tc>
          <w:tcPr>
            <w:tcW w:w="967" w:type="dxa"/>
            <w:tcBorders>
              <w:top w:val="single" w:sz="2" w:space="0" w:color="auto"/>
              <w:left w:val="nil"/>
              <w:bottom w:val="single" w:sz="2" w:space="0" w:color="auto"/>
              <w:right w:val="nil"/>
            </w:tcBorders>
            <w:vAlign w:val="bottom"/>
            <w:hideMark/>
          </w:tcPr>
          <w:p w14:paraId="2086F062" w14:textId="77777777" w:rsidR="00802D3E" w:rsidRDefault="00802D3E">
            <w:pPr>
              <w:pStyle w:val="MeasureTableTextRightAligned"/>
            </w:pPr>
            <w:r>
              <w:t>100</w:t>
            </w:r>
          </w:p>
        </w:tc>
        <w:tc>
          <w:tcPr>
            <w:tcW w:w="967" w:type="dxa"/>
            <w:gridSpan w:val="2"/>
            <w:tcBorders>
              <w:top w:val="single" w:sz="2" w:space="0" w:color="auto"/>
              <w:left w:val="nil"/>
              <w:bottom w:val="single" w:sz="2" w:space="0" w:color="auto"/>
              <w:right w:val="nil"/>
            </w:tcBorders>
            <w:vAlign w:val="bottom"/>
            <w:hideMark/>
          </w:tcPr>
          <w:p w14:paraId="2086F063" w14:textId="77777777" w:rsidR="00802D3E" w:rsidRDefault="00802D3E">
            <w:pPr>
              <w:pStyle w:val="MeasureTableTextRightAligned"/>
            </w:pPr>
            <w:r>
              <w:t>100</w:t>
            </w:r>
          </w:p>
        </w:tc>
        <w:tc>
          <w:tcPr>
            <w:tcW w:w="967" w:type="dxa"/>
            <w:gridSpan w:val="2"/>
            <w:tcBorders>
              <w:top w:val="single" w:sz="2" w:space="0" w:color="auto"/>
              <w:left w:val="nil"/>
              <w:bottom w:val="single" w:sz="2" w:space="0" w:color="auto"/>
              <w:right w:val="nil"/>
            </w:tcBorders>
            <w:vAlign w:val="bottom"/>
            <w:hideMark/>
          </w:tcPr>
          <w:p w14:paraId="2086F064" w14:textId="77777777" w:rsidR="00802D3E" w:rsidRDefault="00802D3E">
            <w:pPr>
              <w:pStyle w:val="MeasureTableTextRightAligned"/>
            </w:pPr>
            <w:r>
              <w:t>100</w:t>
            </w:r>
          </w:p>
        </w:tc>
        <w:tc>
          <w:tcPr>
            <w:tcW w:w="968" w:type="dxa"/>
            <w:tcBorders>
              <w:top w:val="single" w:sz="2" w:space="0" w:color="auto"/>
              <w:left w:val="nil"/>
              <w:bottom w:val="single" w:sz="2" w:space="0" w:color="auto"/>
              <w:right w:val="nil"/>
            </w:tcBorders>
            <w:vAlign w:val="bottom"/>
            <w:hideMark/>
          </w:tcPr>
          <w:p w14:paraId="2086F065" w14:textId="77777777" w:rsidR="00802D3E" w:rsidRDefault="00802D3E">
            <w:pPr>
              <w:pStyle w:val="MeasureTableTextRightAligned"/>
            </w:pPr>
            <w:r>
              <w:t>100</w:t>
            </w:r>
          </w:p>
        </w:tc>
      </w:tr>
      <w:tr w:rsidR="00802D3E" w14:paraId="2086F06B" w14:textId="77777777" w:rsidTr="00802D3E">
        <w:trPr>
          <w:cantSplit/>
          <w:jc w:val="center"/>
        </w:trPr>
        <w:tc>
          <w:tcPr>
            <w:tcW w:w="1934" w:type="dxa"/>
            <w:gridSpan w:val="2"/>
            <w:tcBorders>
              <w:top w:val="single" w:sz="2" w:space="0" w:color="auto"/>
              <w:left w:val="nil"/>
              <w:bottom w:val="nil"/>
              <w:right w:val="nil"/>
            </w:tcBorders>
            <w:hideMark/>
          </w:tcPr>
          <w:p w14:paraId="2086F06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06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06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06A" w14:textId="77777777" w:rsidR="00802D3E" w:rsidRDefault="00802D3E">
            <w:pPr>
              <w:pStyle w:val="MeasureTableTextLeftAligned"/>
            </w:pPr>
            <w:r>
              <w:t>B20</w:t>
            </w:r>
          </w:p>
        </w:tc>
      </w:tr>
      <w:tr w:rsidR="00802D3E" w14:paraId="2086F070" w14:textId="77777777" w:rsidTr="00802D3E">
        <w:trPr>
          <w:cantSplit/>
          <w:jc w:val="center"/>
        </w:trPr>
        <w:tc>
          <w:tcPr>
            <w:tcW w:w="1934" w:type="dxa"/>
            <w:gridSpan w:val="2"/>
            <w:tcBorders>
              <w:top w:val="nil"/>
              <w:left w:val="nil"/>
              <w:bottom w:val="nil"/>
              <w:right w:val="nil"/>
            </w:tcBorders>
            <w:hideMark/>
          </w:tcPr>
          <w:p w14:paraId="2086F06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06D"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F06E" w14:textId="77777777" w:rsidR="00802D3E" w:rsidRDefault="00802D3E">
            <w:pPr>
              <w:pStyle w:val="MeasureTableTextItalic"/>
            </w:pPr>
          </w:p>
        </w:tc>
        <w:tc>
          <w:tcPr>
            <w:tcW w:w="1124" w:type="dxa"/>
            <w:gridSpan w:val="2"/>
            <w:tcBorders>
              <w:top w:val="nil"/>
              <w:left w:val="nil"/>
              <w:bottom w:val="nil"/>
              <w:right w:val="nil"/>
            </w:tcBorders>
          </w:tcPr>
          <w:p w14:paraId="2086F06F" w14:textId="77777777" w:rsidR="00802D3E" w:rsidRDefault="00802D3E">
            <w:pPr>
              <w:pStyle w:val="MeasureTableTextLeftAligned"/>
            </w:pPr>
          </w:p>
        </w:tc>
      </w:tr>
      <w:tr w:rsidR="00802D3E" w14:paraId="2086F075" w14:textId="77777777" w:rsidTr="00802D3E">
        <w:trPr>
          <w:cantSplit/>
          <w:jc w:val="center"/>
        </w:trPr>
        <w:tc>
          <w:tcPr>
            <w:tcW w:w="1934" w:type="dxa"/>
            <w:gridSpan w:val="2"/>
            <w:tcBorders>
              <w:top w:val="nil"/>
              <w:left w:val="nil"/>
              <w:bottom w:val="nil"/>
              <w:right w:val="nil"/>
            </w:tcBorders>
            <w:hideMark/>
          </w:tcPr>
          <w:p w14:paraId="2086F07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072"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F07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074" w14:textId="77777777" w:rsidR="00802D3E" w:rsidRDefault="00802D3E">
            <w:pPr>
              <w:pStyle w:val="MeasureTableTextLeftAligned"/>
            </w:pPr>
          </w:p>
        </w:tc>
      </w:tr>
      <w:tr w:rsidR="00802D3E" w14:paraId="2086F078" w14:textId="77777777" w:rsidTr="00802D3E">
        <w:trPr>
          <w:cantSplit/>
          <w:jc w:val="center"/>
        </w:trPr>
        <w:tc>
          <w:tcPr>
            <w:tcW w:w="1934" w:type="dxa"/>
            <w:gridSpan w:val="2"/>
            <w:tcBorders>
              <w:top w:val="nil"/>
              <w:left w:val="nil"/>
              <w:bottom w:val="single" w:sz="2" w:space="0" w:color="auto"/>
              <w:right w:val="nil"/>
            </w:tcBorders>
            <w:hideMark/>
          </w:tcPr>
          <w:p w14:paraId="2086F07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077"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Item 6.3 of the table in Section 50-30 of the </w:t>
            </w:r>
            <w:r w:rsidRPr="00B029D6">
              <w:rPr>
                <w:rFonts w:ascii="Arial" w:hAnsi="Arial" w:cs="Arial"/>
                <w:i/>
                <w:iCs/>
                <w:color w:val="000000"/>
                <w:sz w:val="16"/>
                <w:szCs w:val="16"/>
              </w:rPr>
              <w:t>Income Tax Assessment Act 1997</w:t>
            </w:r>
          </w:p>
        </w:tc>
      </w:tr>
    </w:tbl>
    <w:p w14:paraId="2086F079" w14:textId="77777777" w:rsidR="00802D3E" w:rsidRDefault="00802D3E" w:rsidP="00506822">
      <w:pPr>
        <w:pStyle w:val="SingleParagraph"/>
      </w:pPr>
    </w:p>
    <w:p w14:paraId="2086F07A" w14:textId="77777777" w:rsidR="00802D3E" w:rsidRDefault="00802D3E" w:rsidP="00802D3E">
      <w:r>
        <w:t>The income of private health insurers</w:t>
      </w:r>
      <w:r>
        <w:fldChar w:fldCharType="begin"/>
      </w:r>
      <w:r>
        <w:instrText xml:space="preserve"> XE "Private health insurers" </w:instrText>
      </w:r>
      <w:r>
        <w:fldChar w:fldCharType="end"/>
      </w:r>
      <w:r>
        <w:t xml:space="preserve"> covered by the </w:t>
      </w:r>
      <w:r>
        <w:rPr>
          <w:i/>
        </w:rPr>
        <w:t xml:space="preserve">Private Health Insurance Act 2007 </w:t>
      </w:r>
      <w:r>
        <w:t xml:space="preserve">is exempt from income tax if the insurer is not operated for the gain or profit of its individual members. </w:t>
      </w:r>
    </w:p>
    <w:p w14:paraId="2086F07B" w14:textId="77777777" w:rsidR="00802D3E" w:rsidRDefault="00802D3E" w:rsidP="00802D3E">
      <w:pPr>
        <w:pStyle w:val="TESHeading5"/>
        <w:ind w:left="0" w:firstLine="0"/>
      </w:pPr>
      <w:r>
        <w:lastRenderedPageBreak/>
        <w:t>B19</w:t>
      </w:r>
      <w:r>
        <w:tab/>
        <w:t>Deductibility for entertainment provided without charge to those in need</w:t>
      </w:r>
    </w:p>
    <w:p w14:paraId="2086F07C"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085" w14:textId="77777777" w:rsidTr="00802D3E">
        <w:trPr>
          <w:cantSplit/>
          <w:jc w:val="center"/>
        </w:trPr>
        <w:tc>
          <w:tcPr>
            <w:tcW w:w="967" w:type="dxa"/>
            <w:tcBorders>
              <w:top w:val="single" w:sz="2" w:space="0" w:color="auto"/>
              <w:left w:val="nil"/>
              <w:bottom w:val="single" w:sz="2" w:space="0" w:color="auto"/>
              <w:right w:val="nil"/>
            </w:tcBorders>
            <w:hideMark/>
          </w:tcPr>
          <w:p w14:paraId="2086F07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07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07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08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08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08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08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084" w14:textId="77777777" w:rsidR="00802D3E" w:rsidRDefault="00802D3E">
            <w:pPr>
              <w:pStyle w:val="MeasureTableTextRightAligned"/>
            </w:pPr>
            <w:r>
              <w:t>2019-20</w:t>
            </w:r>
          </w:p>
        </w:tc>
      </w:tr>
      <w:tr w:rsidR="00802D3E" w14:paraId="2086F08E" w14:textId="77777777" w:rsidTr="00802D3E">
        <w:trPr>
          <w:cantSplit/>
          <w:jc w:val="center"/>
        </w:trPr>
        <w:tc>
          <w:tcPr>
            <w:tcW w:w="967" w:type="dxa"/>
            <w:tcBorders>
              <w:top w:val="single" w:sz="2" w:space="0" w:color="auto"/>
              <w:left w:val="nil"/>
              <w:bottom w:val="single" w:sz="2" w:space="0" w:color="auto"/>
              <w:right w:val="nil"/>
            </w:tcBorders>
            <w:hideMark/>
          </w:tcPr>
          <w:p w14:paraId="2086F08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08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8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8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8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08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08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08D" w14:textId="77777777" w:rsidR="00802D3E" w:rsidRDefault="00802D3E">
            <w:pPr>
              <w:pStyle w:val="MeasureTableTextRightAligned"/>
            </w:pPr>
            <w:r>
              <w:t>*</w:t>
            </w:r>
          </w:p>
        </w:tc>
      </w:tr>
      <w:tr w:rsidR="00802D3E" w14:paraId="2086F093" w14:textId="77777777" w:rsidTr="00802D3E">
        <w:trPr>
          <w:cantSplit/>
          <w:jc w:val="center"/>
        </w:trPr>
        <w:tc>
          <w:tcPr>
            <w:tcW w:w="1934" w:type="dxa"/>
            <w:gridSpan w:val="2"/>
            <w:tcBorders>
              <w:top w:val="single" w:sz="2" w:space="0" w:color="auto"/>
              <w:left w:val="nil"/>
              <w:bottom w:val="nil"/>
              <w:right w:val="nil"/>
            </w:tcBorders>
            <w:hideMark/>
          </w:tcPr>
          <w:p w14:paraId="2086F08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090"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09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092" w14:textId="77777777" w:rsidR="00802D3E" w:rsidRDefault="00802D3E">
            <w:pPr>
              <w:pStyle w:val="MeasureTableTextLeftAligned"/>
            </w:pPr>
            <w:r>
              <w:t>B21</w:t>
            </w:r>
          </w:p>
        </w:tc>
      </w:tr>
      <w:tr w:rsidR="00802D3E" w14:paraId="2086F098" w14:textId="77777777" w:rsidTr="00802D3E">
        <w:trPr>
          <w:cantSplit/>
          <w:jc w:val="center"/>
        </w:trPr>
        <w:tc>
          <w:tcPr>
            <w:tcW w:w="1934" w:type="dxa"/>
            <w:gridSpan w:val="2"/>
            <w:tcBorders>
              <w:top w:val="nil"/>
              <w:left w:val="nil"/>
              <w:bottom w:val="nil"/>
              <w:right w:val="nil"/>
            </w:tcBorders>
            <w:hideMark/>
          </w:tcPr>
          <w:p w14:paraId="2086F09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09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09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097" w14:textId="77777777" w:rsidR="00802D3E" w:rsidRDefault="00802D3E">
            <w:pPr>
              <w:pStyle w:val="MeasureTableTextLeftAligned"/>
            </w:pPr>
            <w:r>
              <w:t>1+</w:t>
            </w:r>
          </w:p>
        </w:tc>
      </w:tr>
      <w:tr w:rsidR="00802D3E" w14:paraId="2086F09D" w14:textId="77777777" w:rsidTr="00802D3E">
        <w:trPr>
          <w:cantSplit/>
          <w:jc w:val="center"/>
        </w:trPr>
        <w:tc>
          <w:tcPr>
            <w:tcW w:w="1934" w:type="dxa"/>
            <w:gridSpan w:val="2"/>
            <w:tcBorders>
              <w:top w:val="nil"/>
              <w:left w:val="nil"/>
              <w:bottom w:val="nil"/>
              <w:right w:val="nil"/>
            </w:tcBorders>
            <w:hideMark/>
          </w:tcPr>
          <w:p w14:paraId="2086F09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09A" w14:textId="77777777" w:rsidR="00802D3E" w:rsidRDefault="00802D3E">
            <w:pPr>
              <w:pStyle w:val="MeasureTableTextLeftAligned"/>
            </w:pPr>
            <w:r>
              <w:t>16 December 1985</w:t>
            </w:r>
          </w:p>
        </w:tc>
        <w:tc>
          <w:tcPr>
            <w:tcW w:w="1500" w:type="dxa"/>
            <w:gridSpan w:val="2"/>
            <w:tcBorders>
              <w:top w:val="nil"/>
              <w:left w:val="nil"/>
              <w:bottom w:val="nil"/>
              <w:right w:val="nil"/>
            </w:tcBorders>
            <w:hideMark/>
          </w:tcPr>
          <w:p w14:paraId="2086F09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09C" w14:textId="77777777" w:rsidR="00802D3E" w:rsidRDefault="00802D3E">
            <w:pPr>
              <w:pStyle w:val="MeasureTableTextLeftAligned"/>
            </w:pPr>
          </w:p>
        </w:tc>
      </w:tr>
      <w:tr w:rsidR="00802D3E" w14:paraId="2086F0A0" w14:textId="77777777" w:rsidTr="00802D3E">
        <w:trPr>
          <w:cantSplit/>
          <w:jc w:val="center"/>
        </w:trPr>
        <w:tc>
          <w:tcPr>
            <w:tcW w:w="1934" w:type="dxa"/>
            <w:gridSpan w:val="2"/>
            <w:tcBorders>
              <w:top w:val="nil"/>
              <w:left w:val="nil"/>
              <w:bottom w:val="single" w:sz="2" w:space="0" w:color="auto"/>
              <w:right w:val="nil"/>
            </w:tcBorders>
            <w:hideMark/>
          </w:tcPr>
          <w:p w14:paraId="2086F09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09F"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Section 32-50 of the</w:t>
            </w:r>
            <w:r w:rsidRPr="00B029D6">
              <w:rPr>
                <w:rFonts w:ascii="Arial" w:hAnsi="Arial" w:cs="Arial"/>
                <w:i/>
                <w:iCs/>
                <w:color w:val="000000"/>
                <w:sz w:val="16"/>
                <w:szCs w:val="16"/>
              </w:rPr>
              <w:t xml:space="preserve"> Income Tax Assessment Act 1997</w:t>
            </w:r>
          </w:p>
        </w:tc>
      </w:tr>
    </w:tbl>
    <w:p w14:paraId="2086F0A1" w14:textId="77777777" w:rsidR="00802D3E" w:rsidRDefault="00802D3E" w:rsidP="00506822">
      <w:pPr>
        <w:pStyle w:val="SingleParagraph"/>
      </w:pPr>
    </w:p>
    <w:p w14:paraId="2086F0A2" w14:textId="77777777" w:rsidR="00802D3E" w:rsidRDefault="00802D3E" w:rsidP="00802D3E">
      <w:r>
        <w:t xml:space="preserve">The cost of entertainment, such as food and drink, provided in the course of carrying on a business is usually denied as a deduction. This rule does not apply where the entertainment is provided without charge to members of the public who are in need. </w:t>
      </w:r>
    </w:p>
    <w:p w14:paraId="2086F0A3" w14:textId="77777777" w:rsidR="00802D3E" w:rsidRDefault="00802D3E" w:rsidP="00802D3E">
      <w:pPr>
        <w:pStyle w:val="TESHeading5"/>
        <w:ind w:left="0" w:firstLine="0"/>
      </w:pPr>
      <w:r>
        <w:t>B20</w:t>
      </w:r>
      <w:r>
        <w:tab/>
        <w:t>Exemption for payments for mining on Aboriginal land</w:t>
      </w:r>
    </w:p>
    <w:p w14:paraId="2086F0A4"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0AD" w14:textId="77777777" w:rsidTr="00802D3E">
        <w:trPr>
          <w:cantSplit/>
          <w:jc w:val="center"/>
        </w:trPr>
        <w:tc>
          <w:tcPr>
            <w:tcW w:w="967" w:type="dxa"/>
            <w:tcBorders>
              <w:top w:val="single" w:sz="2" w:space="0" w:color="auto"/>
              <w:left w:val="nil"/>
              <w:bottom w:val="single" w:sz="2" w:space="0" w:color="auto"/>
              <w:right w:val="nil"/>
            </w:tcBorders>
            <w:hideMark/>
          </w:tcPr>
          <w:p w14:paraId="2086F0A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0A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0A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0A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0A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0A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0A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0AC" w14:textId="77777777" w:rsidR="00802D3E" w:rsidRDefault="00802D3E">
            <w:pPr>
              <w:pStyle w:val="MeasureTableTextRightAligned"/>
            </w:pPr>
            <w:r>
              <w:t>2019-20</w:t>
            </w:r>
          </w:p>
        </w:tc>
      </w:tr>
      <w:tr w:rsidR="00802D3E" w14:paraId="2086F0B6" w14:textId="77777777" w:rsidTr="00802D3E">
        <w:trPr>
          <w:cantSplit/>
          <w:jc w:val="center"/>
        </w:trPr>
        <w:tc>
          <w:tcPr>
            <w:tcW w:w="967" w:type="dxa"/>
            <w:tcBorders>
              <w:top w:val="single" w:sz="2" w:space="0" w:color="auto"/>
              <w:left w:val="nil"/>
              <w:bottom w:val="single" w:sz="2" w:space="0" w:color="auto"/>
              <w:right w:val="nil"/>
            </w:tcBorders>
            <w:hideMark/>
          </w:tcPr>
          <w:p w14:paraId="2086F0A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0A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B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B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B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0B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0B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0B5" w14:textId="77777777" w:rsidR="00802D3E" w:rsidRDefault="00802D3E">
            <w:pPr>
              <w:pStyle w:val="MeasureTableTextRightAligned"/>
            </w:pPr>
            <w:r>
              <w:t>*</w:t>
            </w:r>
          </w:p>
        </w:tc>
      </w:tr>
      <w:tr w:rsidR="00802D3E" w14:paraId="2086F0BB" w14:textId="77777777" w:rsidTr="00802D3E">
        <w:trPr>
          <w:cantSplit/>
          <w:jc w:val="center"/>
        </w:trPr>
        <w:tc>
          <w:tcPr>
            <w:tcW w:w="1934" w:type="dxa"/>
            <w:gridSpan w:val="2"/>
            <w:tcBorders>
              <w:top w:val="single" w:sz="2" w:space="0" w:color="auto"/>
              <w:left w:val="nil"/>
              <w:bottom w:val="nil"/>
              <w:right w:val="nil"/>
            </w:tcBorders>
            <w:hideMark/>
          </w:tcPr>
          <w:p w14:paraId="2086F0B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0B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0B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0BA" w14:textId="77777777" w:rsidR="00802D3E" w:rsidRDefault="00802D3E">
            <w:pPr>
              <w:pStyle w:val="MeasureTableTextLeftAligned"/>
            </w:pPr>
            <w:r>
              <w:t>B23</w:t>
            </w:r>
          </w:p>
        </w:tc>
      </w:tr>
      <w:tr w:rsidR="00802D3E" w14:paraId="2086F0C0" w14:textId="77777777" w:rsidTr="00802D3E">
        <w:trPr>
          <w:cantSplit/>
          <w:jc w:val="center"/>
        </w:trPr>
        <w:tc>
          <w:tcPr>
            <w:tcW w:w="1934" w:type="dxa"/>
            <w:gridSpan w:val="2"/>
            <w:tcBorders>
              <w:top w:val="nil"/>
              <w:left w:val="nil"/>
              <w:bottom w:val="nil"/>
              <w:right w:val="nil"/>
            </w:tcBorders>
            <w:hideMark/>
          </w:tcPr>
          <w:p w14:paraId="2086F0B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0B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0B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0BF" w14:textId="77777777" w:rsidR="00802D3E" w:rsidRDefault="00802D3E">
            <w:pPr>
              <w:pStyle w:val="MeasureTableTextLeftAligned"/>
            </w:pPr>
            <w:r>
              <w:t>1+</w:t>
            </w:r>
          </w:p>
        </w:tc>
      </w:tr>
      <w:tr w:rsidR="00802D3E" w14:paraId="2086F0C5" w14:textId="77777777" w:rsidTr="00802D3E">
        <w:trPr>
          <w:cantSplit/>
          <w:jc w:val="center"/>
        </w:trPr>
        <w:tc>
          <w:tcPr>
            <w:tcW w:w="1934" w:type="dxa"/>
            <w:gridSpan w:val="2"/>
            <w:tcBorders>
              <w:top w:val="nil"/>
              <w:left w:val="nil"/>
              <w:bottom w:val="nil"/>
              <w:right w:val="nil"/>
            </w:tcBorders>
            <w:hideMark/>
          </w:tcPr>
          <w:p w14:paraId="2086F0C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0C2" w14:textId="77777777" w:rsidR="00802D3E" w:rsidRDefault="00802D3E">
            <w:pPr>
              <w:pStyle w:val="MeasureTableTextLeftAligned"/>
            </w:pPr>
            <w:r>
              <w:t>8 July 1997</w:t>
            </w:r>
          </w:p>
        </w:tc>
        <w:tc>
          <w:tcPr>
            <w:tcW w:w="1500" w:type="dxa"/>
            <w:gridSpan w:val="2"/>
            <w:tcBorders>
              <w:top w:val="nil"/>
              <w:left w:val="nil"/>
              <w:bottom w:val="nil"/>
              <w:right w:val="nil"/>
            </w:tcBorders>
            <w:hideMark/>
          </w:tcPr>
          <w:p w14:paraId="2086F0C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0C4" w14:textId="77777777" w:rsidR="00802D3E" w:rsidRDefault="00802D3E">
            <w:pPr>
              <w:pStyle w:val="MeasureTableTextLeftAligned"/>
            </w:pPr>
          </w:p>
        </w:tc>
      </w:tr>
      <w:tr w:rsidR="00802D3E" w14:paraId="2086F0C8" w14:textId="77777777" w:rsidTr="00802D3E">
        <w:trPr>
          <w:cantSplit/>
          <w:jc w:val="center"/>
        </w:trPr>
        <w:tc>
          <w:tcPr>
            <w:tcW w:w="1934" w:type="dxa"/>
            <w:gridSpan w:val="2"/>
            <w:tcBorders>
              <w:top w:val="nil"/>
              <w:left w:val="nil"/>
              <w:bottom w:val="single" w:sz="2" w:space="0" w:color="auto"/>
              <w:right w:val="nil"/>
            </w:tcBorders>
            <w:hideMark/>
          </w:tcPr>
          <w:p w14:paraId="2086F0C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0C7"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59-15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0C9" w14:textId="77777777" w:rsidR="00802D3E" w:rsidRDefault="00802D3E" w:rsidP="00506822">
      <w:pPr>
        <w:pStyle w:val="SingleParagraph"/>
      </w:pPr>
    </w:p>
    <w:p w14:paraId="2086F0CA" w14:textId="77777777" w:rsidR="00802D3E" w:rsidRDefault="00802D3E" w:rsidP="00802D3E">
      <w:r>
        <w:t>Certain mining payments</w:t>
      </w:r>
      <w:r>
        <w:fldChar w:fldCharType="begin"/>
      </w:r>
      <w:r>
        <w:instrText xml:space="preserve"> XE "Mining payments" </w:instrText>
      </w:r>
      <w:r>
        <w:fldChar w:fldCharType="end"/>
      </w:r>
      <w:r>
        <w:t xml:space="preserve"> to Aboriginal and Torres Strait Islander persons or certain distributing bodies are exempt from income tax. </w:t>
      </w:r>
    </w:p>
    <w:p w14:paraId="2086F0CB" w14:textId="77777777" w:rsidR="00262EF4" w:rsidRDefault="00262EF4" w:rsidP="00262EF4">
      <w:pPr>
        <w:pStyle w:val="TESHeading5"/>
        <w:ind w:left="0" w:firstLine="0"/>
      </w:pPr>
      <w:r>
        <w:t>B21</w:t>
      </w:r>
      <w:r>
        <w:tab/>
        <w:t>Life insurance investment income taxation concession</w:t>
      </w:r>
    </w:p>
    <w:p w14:paraId="2086F0CC" w14:textId="77777777" w:rsidR="00262EF4" w:rsidRDefault="00262EF4" w:rsidP="00262EF4">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262EF4" w14:paraId="2086F0D5" w14:textId="77777777" w:rsidTr="00B81EBB">
        <w:trPr>
          <w:cantSplit/>
          <w:jc w:val="center"/>
        </w:trPr>
        <w:tc>
          <w:tcPr>
            <w:tcW w:w="967" w:type="dxa"/>
            <w:tcBorders>
              <w:top w:val="single" w:sz="2" w:space="0" w:color="auto"/>
              <w:left w:val="nil"/>
              <w:bottom w:val="single" w:sz="2" w:space="0" w:color="auto"/>
              <w:right w:val="nil"/>
            </w:tcBorders>
            <w:hideMark/>
          </w:tcPr>
          <w:p w14:paraId="2086F0CD" w14:textId="77777777" w:rsidR="00262EF4" w:rsidRDefault="00262EF4" w:rsidP="00B81EBB">
            <w:pPr>
              <w:pStyle w:val="MeasureTableTextRightAligned"/>
            </w:pPr>
            <w:r>
              <w:t>2012-13</w:t>
            </w:r>
          </w:p>
        </w:tc>
        <w:tc>
          <w:tcPr>
            <w:tcW w:w="967" w:type="dxa"/>
            <w:tcBorders>
              <w:top w:val="single" w:sz="2" w:space="0" w:color="auto"/>
              <w:left w:val="nil"/>
              <w:bottom w:val="single" w:sz="2" w:space="0" w:color="auto"/>
              <w:right w:val="nil"/>
            </w:tcBorders>
            <w:hideMark/>
          </w:tcPr>
          <w:p w14:paraId="2086F0CE" w14:textId="77777777" w:rsidR="00262EF4" w:rsidRDefault="00262EF4" w:rsidP="00B81EBB">
            <w:pPr>
              <w:pStyle w:val="MeasureTableTextRightAligned"/>
            </w:pPr>
            <w:r>
              <w:t>2013-14</w:t>
            </w:r>
          </w:p>
        </w:tc>
        <w:tc>
          <w:tcPr>
            <w:tcW w:w="967" w:type="dxa"/>
            <w:tcBorders>
              <w:top w:val="single" w:sz="2" w:space="0" w:color="auto"/>
              <w:left w:val="nil"/>
              <w:bottom w:val="single" w:sz="2" w:space="0" w:color="auto"/>
              <w:right w:val="nil"/>
            </w:tcBorders>
            <w:hideMark/>
          </w:tcPr>
          <w:p w14:paraId="2086F0CF" w14:textId="77777777" w:rsidR="00262EF4" w:rsidRDefault="00262EF4" w:rsidP="00B81EBB">
            <w:pPr>
              <w:pStyle w:val="MeasureTableTextRightAligned"/>
            </w:pPr>
            <w:r>
              <w:t>2014-15</w:t>
            </w:r>
          </w:p>
        </w:tc>
        <w:tc>
          <w:tcPr>
            <w:tcW w:w="967" w:type="dxa"/>
            <w:tcBorders>
              <w:top w:val="single" w:sz="2" w:space="0" w:color="auto"/>
              <w:left w:val="nil"/>
              <w:bottom w:val="single" w:sz="2" w:space="0" w:color="auto"/>
              <w:right w:val="nil"/>
            </w:tcBorders>
            <w:hideMark/>
          </w:tcPr>
          <w:p w14:paraId="2086F0D0" w14:textId="77777777" w:rsidR="00262EF4" w:rsidRDefault="00262EF4" w:rsidP="00B81EBB">
            <w:pPr>
              <w:pStyle w:val="MeasureTableTextRightAligned"/>
            </w:pPr>
            <w:r>
              <w:t>2015-16</w:t>
            </w:r>
          </w:p>
        </w:tc>
        <w:tc>
          <w:tcPr>
            <w:tcW w:w="967" w:type="dxa"/>
            <w:tcBorders>
              <w:top w:val="single" w:sz="2" w:space="0" w:color="auto"/>
              <w:left w:val="nil"/>
              <w:bottom w:val="single" w:sz="2" w:space="0" w:color="auto"/>
              <w:right w:val="nil"/>
            </w:tcBorders>
            <w:hideMark/>
          </w:tcPr>
          <w:p w14:paraId="2086F0D1" w14:textId="77777777" w:rsidR="00262EF4" w:rsidRDefault="00262EF4" w:rsidP="00B81EBB">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0D2" w14:textId="77777777" w:rsidR="00262EF4" w:rsidRDefault="00262EF4" w:rsidP="00B81EBB">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0D3" w14:textId="77777777" w:rsidR="00262EF4" w:rsidRDefault="00262EF4" w:rsidP="00B81EBB">
            <w:pPr>
              <w:pStyle w:val="MeasureTableTextRightAligned"/>
            </w:pPr>
            <w:r>
              <w:t>2018-19</w:t>
            </w:r>
          </w:p>
        </w:tc>
        <w:tc>
          <w:tcPr>
            <w:tcW w:w="968" w:type="dxa"/>
            <w:tcBorders>
              <w:top w:val="single" w:sz="2" w:space="0" w:color="auto"/>
              <w:left w:val="nil"/>
              <w:bottom w:val="single" w:sz="2" w:space="0" w:color="auto"/>
              <w:right w:val="nil"/>
            </w:tcBorders>
            <w:hideMark/>
          </w:tcPr>
          <w:p w14:paraId="2086F0D4" w14:textId="77777777" w:rsidR="00262EF4" w:rsidRDefault="00262EF4" w:rsidP="00B81EBB">
            <w:pPr>
              <w:pStyle w:val="MeasureTableTextRightAligned"/>
            </w:pPr>
            <w:r>
              <w:t>2019-20</w:t>
            </w:r>
          </w:p>
        </w:tc>
      </w:tr>
      <w:tr w:rsidR="00262EF4" w14:paraId="2086F0DE" w14:textId="77777777" w:rsidTr="00B81EBB">
        <w:trPr>
          <w:cantSplit/>
          <w:jc w:val="center"/>
        </w:trPr>
        <w:tc>
          <w:tcPr>
            <w:tcW w:w="967" w:type="dxa"/>
            <w:tcBorders>
              <w:top w:val="single" w:sz="2" w:space="0" w:color="auto"/>
              <w:left w:val="nil"/>
              <w:bottom w:val="single" w:sz="2" w:space="0" w:color="auto"/>
              <w:right w:val="nil"/>
            </w:tcBorders>
            <w:hideMark/>
          </w:tcPr>
          <w:p w14:paraId="2086F0D6" w14:textId="77777777" w:rsidR="00262EF4" w:rsidRDefault="00262EF4" w:rsidP="00B81EBB">
            <w:pPr>
              <w:pStyle w:val="MeasureTableTextRightAligned"/>
            </w:pPr>
            <w:r>
              <w:t>*</w:t>
            </w:r>
          </w:p>
        </w:tc>
        <w:tc>
          <w:tcPr>
            <w:tcW w:w="967" w:type="dxa"/>
            <w:tcBorders>
              <w:top w:val="single" w:sz="2" w:space="0" w:color="auto"/>
              <w:left w:val="nil"/>
              <w:bottom w:val="single" w:sz="2" w:space="0" w:color="auto"/>
              <w:right w:val="nil"/>
            </w:tcBorders>
            <w:hideMark/>
          </w:tcPr>
          <w:p w14:paraId="2086F0D7" w14:textId="77777777" w:rsidR="00262EF4" w:rsidRDefault="00262EF4" w:rsidP="00B81EBB">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D8" w14:textId="77777777" w:rsidR="00262EF4" w:rsidRDefault="00262EF4" w:rsidP="00B81EBB">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D9" w14:textId="77777777" w:rsidR="00262EF4" w:rsidRDefault="00262EF4" w:rsidP="00B81EBB">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0DA" w14:textId="77777777" w:rsidR="00262EF4" w:rsidRDefault="00262EF4" w:rsidP="00B81EBB">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0DB" w14:textId="77777777" w:rsidR="00262EF4" w:rsidRDefault="00262EF4" w:rsidP="00B81EBB">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0DC" w14:textId="77777777" w:rsidR="00262EF4" w:rsidRDefault="00262EF4" w:rsidP="00B81EBB">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0DD" w14:textId="77777777" w:rsidR="00262EF4" w:rsidRDefault="00262EF4" w:rsidP="00B81EBB">
            <w:pPr>
              <w:pStyle w:val="MeasureTableTextRightAligned"/>
            </w:pPr>
            <w:r>
              <w:t>*</w:t>
            </w:r>
          </w:p>
        </w:tc>
      </w:tr>
      <w:tr w:rsidR="00262EF4" w14:paraId="2086F0E3" w14:textId="77777777" w:rsidTr="00B81EBB">
        <w:trPr>
          <w:cantSplit/>
          <w:jc w:val="center"/>
        </w:trPr>
        <w:tc>
          <w:tcPr>
            <w:tcW w:w="1934" w:type="dxa"/>
            <w:gridSpan w:val="2"/>
            <w:tcBorders>
              <w:top w:val="single" w:sz="2" w:space="0" w:color="auto"/>
              <w:left w:val="nil"/>
              <w:bottom w:val="nil"/>
              <w:right w:val="nil"/>
            </w:tcBorders>
            <w:hideMark/>
          </w:tcPr>
          <w:p w14:paraId="2086F0DF" w14:textId="77777777" w:rsidR="00262EF4" w:rsidRDefault="00262EF4" w:rsidP="00B81EBB">
            <w:pPr>
              <w:pStyle w:val="MeasureTableTextItalic"/>
            </w:pPr>
            <w:r>
              <w:t>Tax expenditure type:</w:t>
            </w:r>
          </w:p>
        </w:tc>
        <w:tc>
          <w:tcPr>
            <w:tcW w:w="3179" w:type="dxa"/>
            <w:gridSpan w:val="4"/>
            <w:tcBorders>
              <w:top w:val="single" w:sz="2" w:space="0" w:color="auto"/>
              <w:left w:val="nil"/>
              <w:bottom w:val="nil"/>
              <w:right w:val="nil"/>
            </w:tcBorders>
            <w:hideMark/>
          </w:tcPr>
          <w:p w14:paraId="2086F0E0" w14:textId="77777777" w:rsidR="00262EF4" w:rsidRDefault="00262EF4" w:rsidP="00B81EBB">
            <w:pPr>
              <w:pStyle w:val="MeasureTableTextLeftAligned"/>
            </w:pPr>
            <w:r>
              <w:t>Exemption, Offset, Concessional rate</w:t>
            </w:r>
          </w:p>
        </w:tc>
        <w:tc>
          <w:tcPr>
            <w:tcW w:w="1500" w:type="dxa"/>
            <w:gridSpan w:val="2"/>
            <w:tcBorders>
              <w:top w:val="single" w:sz="2" w:space="0" w:color="auto"/>
              <w:left w:val="nil"/>
              <w:bottom w:val="nil"/>
              <w:right w:val="nil"/>
            </w:tcBorders>
            <w:hideMark/>
          </w:tcPr>
          <w:p w14:paraId="2086F0E1" w14:textId="77777777" w:rsidR="00262EF4" w:rsidRDefault="00262EF4" w:rsidP="00B81EBB">
            <w:pPr>
              <w:pStyle w:val="MeasureTableTextItalic"/>
            </w:pPr>
            <w:r>
              <w:t>2015 TES code:</w:t>
            </w:r>
          </w:p>
        </w:tc>
        <w:tc>
          <w:tcPr>
            <w:tcW w:w="1124" w:type="dxa"/>
            <w:gridSpan w:val="2"/>
            <w:tcBorders>
              <w:top w:val="single" w:sz="2" w:space="0" w:color="auto"/>
              <w:left w:val="nil"/>
              <w:bottom w:val="nil"/>
              <w:right w:val="nil"/>
            </w:tcBorders>
            <w:hideMark/>
          </w:tcPr>
          <w:p w14:paraId="2086F0E2" w14:textId="77777777" w:rsidR="00262EF4" w:rsidRDefault="00262EF4" w:rsidP="00B81EBB">
            <w:pPr>
              <w:pStyle w:val="MeasureTableTextLeftAligned"/>
            </w:pPr>
            <w:r>
              <w:t>B22</w:t>
            </w:r>
          </w:p>
        </w:tc>
      </w:tr>
      <w:tr w:rsidR="00262EF4" w14:paraId="2086F0E8" w14:textId="77777777" w:rsidTr="00B81EBB">
        <w:trPr>
          <w:cantSplit/>
          <w:jc w:val="center"/>
        </w:trPr>
        <w:tc>
          <w:tcPr>
            <w:tcW w:w="1934" w:type="dxa"/>
            <w:gridSpan w:val="2"/>
            <w:tcBorders>
              <w:top w:val="nil"/>
              <w:left w:val="nil"/>
              <w:bottom w:val="nil"/>
              <w:right w:val="nil"/>
            </w:tcBorders>
            <w:hideMark/>
          </w:tcPr>
          <w:p w14:paraId="2086F0E4" w14:textId="77777777" w:rsidR="00262EF4" w:rsidRDefault="00262EF4" w:rsidP="00B81EBB">
            <w:pPr>
              <w:pStyle w:val="MeasureTableTextItalic"/>
            </w:pPr>
            <w:r>
              <w:t>Estimate Reliability:</w:t>
            </w:r>
          </w:p>
        </w:tc>
        <w:tc>
          <w:tcPr>
            <w:tcW w:w="3179" w:type="dxa"/>
            <w:gridSpan w:val="4"/>
            <w:tcBorders>
              <w:top w:val="nil"/>
              <w:left w:val="nil"/>
              <w:bottom w:val="nil"/>
              <w:right w:val="nil"/>
            </w:tcBorders>
            <w:hideMark/>
          </w:tcPr>
          <w:p w14:paraId="2086F0E5" w14:textId="77777777" w:rsidR="00262EF4" w:rsidRDefault="00262EF4" w:rsidP="00B81EBB">
            <w:pPr>
              <w:pStyle w:val="MeasureTableTextLeftAligned"/>
            </w:pPr>
            <w:r>
              <w:t>Not Applicable</w:t>
            </w:r>
          </w:p>
        </w:tc>
        <w:tc>
          <w:tcPr>
            <w:tcW w:w="1500" w:type="dxa"/>
            <w:gridSpan w:val="2"/>
            <w:tcBorders>
              <w:top w:val="nil"/>
              <w:left w:val="nil"/>
              <w:bottom w:val="nil"/>
              <w:right w:val="nil"/>
            </w:tcBorders>
            <w:hideMark/>
          </w:tcPr>
          <w:p w14:paraId="2086F0E6" w14:textId="77777777" w:rsidR="00262EF4" w:rsidRDefault="00262EF4" w:rsidP="00B81EBB">
            <w:pPr>
              <w:pStyle w:val="MeasureTableTextItalic"/>
            </w:pPr>
            <w:r>
              <w:t>* Category</w:t>
            </w:r>
          </w:p>
        </w:tc>
        <w:tc>
          <w:tcPr>
            <w:tcW w:w="1124" w:type="dxa"/>
            <w:gridSpan w:val="2"/>
            <w:tcBorders>
              <w:top w:val="nil"/>
              <w:left w:val="nil"/>
              <w:bottom w:val="nil"/>
              <w:right w:val="nil"/>
            </w:tcBorders>
            <w:hideMark/>
          </w:tcPr>
          <w:p w14:paraId="2086F0E7" w14:textId="77777777" w:rsidR="00262EF4" w:rsidRDefault="00262EF4" w:rsidP="00B81EBB">
            <w:pPr>
              <w:pStyle w:val="MeasureTableTextLeftAligned"/>
            </w:pPr>
            <w:r>
              <w:t>1+</w:t>
            </w:r>
          </w:p>
        </w:tc>
      </w:tr>
      <w:tr w:rsidR="00262EF4" w14:paraId="2086F0ED" w14:textId="77777777" w:rsidTr="00B81EBB">
        <w:trPr>
          <w:cantSplit/>
          <w:jc w:val="center"/>
        </w:trPr>
        <w:tc>
          <w:tcPr>
            <w:tcW w:w="1934" w:type="dxa"/>
            <w:gridSpan w:val="2"/>
            <w:tcBorders>
              <w:top w:val="nil"/>
              <w:left w:val="nil"/>
              <w:bottom w:val="nil"/>
              <w:right w:val="nil"/>
            </w:tcBorders>
            <w:hideMark/>
          </w:tcPr>
          <w:p w14:paraId="2086F0E9" w14:textId="77777777" w:rsidR="00262EF4" w:rsidRDefault="00262EF4" w:rsidP="00B81EBB">
            <w:pPr>
              <w:pStyle w:val="MeasureTableTextItalic"/>
            </w:pPr>
            <w:r>
              <w:t>Commencement date:</w:t>
            </w:r>
          </w:p>
        </w:tc>
        <w:tc>
          <w:tcPr>
            <w:tcW w:w="3179" w:type="dxa"/>
            <w:gridSpan w:val="4"/>
            <w:tcBorders>
              <w:top w:val="nil"/>
              <w:left w:val="nil"/>
              <w:bottom w:val="nil"/>
              <w:right w:val="nil"/>
            </w:tcBorders>
            <w:hideMark/>
          </w:tcPr>
          <w:p w14:paraId="2086F0EA" w14:textId="77777777" w:rsidR="00262EF4" w:rsidRDefault="00262EF4" w:rsidP="00B81EBB">
            <w:pPr>
              <w:pStyle w:val="MeasureTableTextLeftAligned"/>
            </w:pPr>
            <w:r>
              <w:t>2000</w:t>
            </w:r>
          </w:p>
        </w:tc>
        <w:tc>
          <w:tcPr>
            <w:tcW w:w="1500" w:type="dxa"/>
            <w:gridSpan w:val="2"/>
            <w:tcBorders>
              <w:top w:val="nil"/>
              <w:left w:val="nil"/>
              <w:bottom w:val="nil"/>
              <w:right w:val="nil"/>
            </w:tcBorders>
            <w:hideMark/>
          </w:tcPr>
          <w:p w14:paraId="2086F0EB" w14:textId="77777777" w:rsidR="00262EF4" w:rsidRDefault="00262EF4" w:rsidP="00B81EBB">
            <w:pPr>
              <w:pStyle w:val="MeasureTableTextItalic"/>
            </w:pPr>
            <w:r>
              <w:t>Expiry date:</w:t>
            </w:r>
          </w:p>
        </w:tc>
        <w:tc>
          <w:tcPr>
            <w:tcW w:w="1124" w:type="dxa"/>
            <w:gridSpan w:val="2"/>
            <w:tcBorders>
              <w:top w:val="nil"/>
              <w:left w:val="nil"/>
              <w:bottom w:val="nil"/>
              <w:right w:val="nil"/>
            </w:tcBorders>
          </w:tcPr>
          <w:p w14:paraId="2086F0EC" w14:textId="77777777" w:rsidR="00262EF4" w:rsidRDefault="00262EF4" w:rsidP="00B81EBB">
            <w:pPr>
              <w:pStyle w:val="MeasureTableTextLeftAligned"/>
            </w:pPr>
          </w:p>
        </w:tc>
      </w:tr>
      <w:tr w:rsidR="00262EF4" w14:paraId="2086F0F0" w14:textId="77777777" w:rsidTr="00B81EBB">
        <w:trPr>
          <w:cantSplit/>
          <w:jc w:val="center"/>
        </w:trPr>
        <w:tc>
          <w:tcPr>
            <w:tcW w:w="1934" w:type="dxa"/>
            <w:gridSpan w:val="2"/>
            <w:tcBorders>
              <w:top w:val="nil"/>
              <w:left w:val="nil"/>
              <w:bottom w:val="single" w:sz="2" w:space="0" w:color="auto"/>
              <w:right w:val="nil"/>
            </w:tcBorders>
            <w:hideMark/>
          </w:tcPr>
          <w:p w14:paraId="2086F0EE" w14:textId="77777777" w:rsidR="00262EF4" w:rsidRDefault="00262EF4" w:rsidP="00B81EBB">
            <w:pPr>
              <w:pStyle w:val="MeasureTableTextItalic"/>
            </w:pPr>
            <w:r>
              <w:t>Legislative reference:</w:t>
            </w:r>
          </w:p>
        </w:tc>
        <w:tc>
          <w:tcPr>
            <w:tcW w:w="5803" w:type="dxa"/>
            <w:gridSpan w:val="8"/>
            <w:tcBorders>
              <w:top w:val="nil"/>
              <w:left w:val="nil"/>
              <w:bottom w:val="single" w:sz="2" w:space="0" w:color="auto"/>
              <w:right w:val="nil"/>
            </w:tcBorders>
            <w:hideMark/>
          </w:tcPr>
          <w:p w14:paraId="2086F0EF" w14:textId="77777777" w:rsidR="00262EF4" w:rsidRPr="00B029D6" w:rsidRDefault="00262EF4" w:rsidP="00B81EBB">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Sections 26AH and 160AAB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1936</w:t>
            </w:r>
          </w:p>
        </w:tc>
      </w:tr>
    </w:tbl>
    <w:p w14:paraId="2086F0F1" w14:textId="77777777" w:rsidR="00262EF4" w:rsidRDefault="00262EF4" w:rsidP="00506822">
      <w:pPr>
        <w:pStyle w:val="SingleParagraph"/>
      </w:pPr>
    </w:p>
    <w:p w14:paraId="2086F0F2" w14:textId="77777777" w:rsidR="00262EF4" w:rsidRDefault="00262EF4" w:rsidP="00262EF4">
      <w:r>
        <w:t>Some life insurance investment</w:t>
      </w:r>
      <w:r>
        <w:fldChar w:fldCharType="begin"/>
      </w:r>
      <w:r>
        <w:instrText xml:space="preserve"> XE "Life insurance investment" </w:instrText>
      </w:r>
      <w:r>
        <w:fldChar w:fldCharType="end"/>
      </w:r>
      <w:r>
        <w:t xml:space="preserve"> policyholders receive a concessional rate of tax because the policyholders’ undistributed income is taxed at the company rate. This ensures that a reversionary bonus (the income distributed from a life insurance policy) on which the life insurance company has paid tax is not subject to double taxation in the hands of policyholders.</w:t>
      </w:r>
    </w:p>
    <w:p w14:paraId="2086F0F6" w14:textId="77777777" w:rsidR="00802D3E" w:rsidRDefault="00802D3E" w:rsidP="00802D3E">
      <w:pPr>
        <w:pStyle w:val="TESHeading5"/>
        <w:ind w:left="0" w:firstLine="0"/>
      </w:pPr>
      <w:r>
        <w:lastRenderedPageBreak/>
        <w:t>B22</w:t>
      </w:r>
      <w:r>
        <w:tab/>
        <w:t>Exemption of foreign currency gains and losses from certain low balance accounts</w:t>
      </w:r>
    </w:p>
    <w:p w14:paraId="2086F0F7"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100" w14:textId="77777777" w:rsidTr="00802D3E">
        <w:trPr>
          <w:cantSplit/>
          <w:jc w:val="center"/>
        </w:trPr>
        <w:tc>
          <w:tcPr>
            <w:tcW w:w="967" w:type="dxa"/>
            <w:tcBorders>
              <w:top w:val="single" w:sz="2" w:space="0" w:color="auto"/>
              <w:left w:val="nil"/>
              <w:bottom w:val="single" w:sz="2" w:space="0" w:color="auto"/>
              <w:right w:val="nil"/>
            </w:tcBorders>
            <w:hideMark/>
          </w:tcPr>
          <w:p w14:paraId="2086F0F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0F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0F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0F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0F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0F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0F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0FF" w14:textId="77777777" w:rsidR="00802D3E" w:rsidRDefault="00802D3E">
            <w:pPr>
              <w:pStyle w:val="MeasureTableTextRightAligned"/>
            </w:pPr>
            <w:r>
              <w:t>2019-20</w:t>
            </w:r>
          </w:p>
        </w:tc>
      </w:tr>
      <w:tr w:rsidR="00802D3E" w14:paraId="2086F109" w14:textId="77777777" w:rsidTr="00802D3E">
        <w:trPr>
          <w:cantSplit/>
          <w:jc w:val="center"/>
        </w:trPr>
        <w:tc>
          <w:tcPr>
            <w:tcW w:w="967" w:type="dxa"/>
            <w:tcBorders>
              <w:top w:val="single" w:sz="2" w:space="0" w:color="auto"/>
              <w:left w:val="nil"/>
              <w:bottom w:val="single" w:sz="2" w:space="0" w:color="auto"/>
              <w:right w:val="nil"/>
            </w:tcBorders>
            <w:hideMark/>
          </w:tcPr>
          <w:p w14:paraId="2086F10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10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0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0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0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10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107"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108" w14:textId="77777777" w:rsidR="00802D3E" w:rsidRDefault="00802D3E">
            <w:pPr>
              <w:pStyle w:val="MeasureTableTextRightAligned"/>
            </w:pPr>
            <w:r>
              <w:t>*</w:t>
            </w:r>
          </w:p>
        </w:tc>
      </w:tr>
      <w:tr w:rsidR="00802D3E" w14:paraId="2086F10E" w14:textId="77777777" w:rsidTr="00802D3E">
        <w:trPr>
          <w:cantSplit/>
          <w:jc w:val="center"/>
        </w:trPr>
        <w:tc>
          <w:tcPr>
            <w:tcW w:w="1934" w:type="dxa"/>
            <w:gridSpan w:val="2"/>
            <w:tcBorders>
              <w:top w:val="single" w:sz="2" w:space="0" w:color="auto"/>
              <w:left w:val="nil"/>
              <w:bottom w:val="nil"/>
              <w:right w:val="nil"/>
            </w:tcBorders>
            <w:hideMark/>
          </w:tcPr>
          <w:p w14:paraId="2086F10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10B"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10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10D" w14:textId="77777777" w:rsidR="00802D3E" w:rsidRDefault="00802D3E">
            <w:pPr>
              <w:pStyle w:val="MeasureTableTextLeftAligned"/>
            </w:pPr>
            <w:r>
              <w:t>B24</w:t>
            </w:r>
          </w:p>
        </w:tc>
      </w:tr>
      <w:tr w:rsidR="00802D3E" w14:paraId="2086F113" w14:textId="77777777" w:rsidTr="00802D3E">
        <w:trPr>
          <w:cantSplit/>
          <w:jc w:val="center"/>
        </w:trPr>
        <w:tc>
          <w:tcPr>
            <w:tcW w:w="1934" w:type="dxa"/>
            <w:gridSpan w:val="2"/>
            <w:tcBorders>
              <w:top w:val="nil"/>
              <w:left w:val="nil"/>
              <w:bottom w:val="nil"/>
              <w:right w:val="nil"/>
            </w:tcBorders>
            <w:hideMark/>
          </w:tcPr>
          <w:p w14:paraId="2086F10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110"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111"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112" w14:textId="77777777" w:rsidR="00802D3E" w:rsidRDefault="00802D3E">
            <w:pPr>
              <w:pStyle w:val="MeasureTableTextLeftAligned"/>
            </w:pPr>
            <w:r>
              <w:t>2+/-</w:t>
            </w:r>
          </w:p>
        </w:tc>
      </w:tr>
      <w:tr w:rsidR="00802D3E" w14:paraId="2086F118" w14:textId="77777777" w:rsidTr="00802D3E">
        <w:trPr>
          <w:cantSplit/>
          <w:jc w:val="center"/>
        </w:trPr>
        <w:tc>
          <w:tcPr>
            <w:tcW w:w="1934" w:type="dxa"/>
            <w:gridSpan w:val="2"/>
            <w:tcBorders>
              <w:top w:val="nil"/>
              <w:left w:val="nil"/>
              <w:bottom w:val="nil"/>
              <w:right w:val="nil"/>
            </w:tcBorders>
            <w:hideMark/>
          </w:tcPr>
          <w:p w14:paraId="2086F11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115" w14:textId="77777777" w:rsidR="00802D3E" w:rsidRDefault="00802D3E">
            <w:pPr>
              <w:pStyle w:val="MeasureTableTextLeftAligned"/>
            </w:pPr>
            <w:r>
              <w:t>1 July 2003</w:t>
            </w:r>
          </w:p>
        </w:tc>
        <w:tc>
          <w:tcPr>
            <w:tcW w:w="1500" w:type="dxa"/>
            <w:gridSpan w:val="2"/>
            <w:tcBorders>
              <w:top w:val="nil"/>
              <w:left w:val="nil"/>
              <w:bottom w:val="nil"/>
              <w:right w:val="nil"/>
            </w:tcBorders>
            <w:hideMark/>
          </w:tcPr>
          <w:p w14:paraId="2086F116"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117" w14:textId="77777777" w:rsidR="00802D3E" w:rsidRDefault="00802D3E">
            <w:pPr>
              <w:pStyle w:val="MeasureTableTextLeftAligned"/>
            </w:pPr>
          </w:p>
        </w:tc>
      </w:tr>
      <w:tr w:rsidR="00802D3E" w14:paraId="2086F11B" w14:textId="77777777" w:rsidTr="00802D3E">
        <w:trPr>
          <w:cantSplit/>
          <w:jc w:val="center"/>
        </w:trPr>
        <w:tc>
          <w:tcPr>
            <w:tcW w:w="1934" w:type="dxa"/>
            <w:gridSpan w:val="2"/>
            <w:tcBorders>
              <w:top w:val="nil"/>
              <w:left w:val="nil"/>
              <w:bottom w:val="single" w:sz="2" w:space="0" w:color="auto"/>
              <w:right w:val="nil"/>
            </w:tcBorders>
            <w:hideMark/>
          </w:tcPr>
          <w:p w14:paraId="2086F11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11A"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Subdivision 775-D of the </w:t>
            </w:r>
            <w:r w:rsidRPr="00B029D6">
              <w:rPr>
                <w:rFonts w:ascii="Arial" w:hAnsi="Arial" w:cs="Arial"/>
                <w:i/>
                <w:iCs/>
                <w:color w:val="000000"/>
                <w:sz w:val="16"/>
                <w:szCs w:val="16"/>
              </w:rPr>
              <w:t>Income Tax Assessment Act 1997</w:t>
            </w:r>
          </w:p>
        </w:tc>
      </w:tr>
    </w:tbl>
    <w:p w14:paraId="2086F11C" w14:textId="77777777" w:rsidR="00802D3E" w:rsidRDefault="00802D3E" w:rsidP="00506822">
      <w:pPr>
        <w:pStyle w:val="SingleParagraph"/>
      </w:pPr>
    </w:p>
    <w:p w14:paraId="2086F11D" w14:textId="77777777" w:rsidR="00802D3E" w:rsidRDefault="00054FF3" w:rsidP="00802D3E">
      <w:r>
        <w:fldChar w:fldCharType="begin"/>
      </w:r>
      <w:r>
        <w:instrText xml:space="preserve"> XE "Foreign currency gains and losses" </w:instrText>
      </w:r>
      <w:r>
        <w:fldChar w:fldCharType="end"/>
      </w:r>
      <w:r w:rsidR="00802D3E">
        <w:t>Taxpayers with low balance bank accounts or credit card accounts denominated in a foreign currency may elect to disregard gains and losses attributable to changes in exchange rates (made in respect of the account). This option is available to all taxpayers other than authorised deposit</w:t>
      </w:r>
      <w:r w:rsidR="00802D3E">
        <w:noBreakHyphen/>
        <w:t>taking institutions (ADIs) and non-ADI financial institutions. Accounts with a combined credit or debit balance that does not exceed the foreign currency equivalent of A$250,000 will generally be eligible.</w:t>
      </w:r>
    </w:p>
    <w:p w14:paraId="2086F11E" w14:textId="77777777" w:rsidR="00802D3E" w:rsidRDefault="00802D3E" w:rsidP="00802D3E">
      <w:pPr>
        <w:pStyle w:val="TESHeading5"/>
        <w:ind w:left="0" w:firstLine="0"/>
      </w:pPr>
      <w:r>
        <w:t>B23</w:t>
      </w:r>
      <w:r>
        <w:tab/>
        <w:t>Infrastructure – enhanced</w:t>
      </w:r>
      <w:r w:rsidR="00262EF4">
        <w:t xml:space="preserve"> </w:t>
      </w:r>
      <w:r>
        <w:t>loss utilisation for designated projects</w:t>
      </w:r>
    </w:p>
    <w:p w14:paraId="2086F11F"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128" w14:textId="77777777" w:rsidTr="00802D3E">
        <w:trPr>
          <w:cantSplit/>
          <w:jc w:val="center"/>
        </w:trPr>
        <w:tc>
          <w:tcPr>
            <w:tcW w:w="967" w:type="dxa"/>
            <w:tcBorders>
              <w:top w:val="single" w:sz="2" w:space="0" w:color="auto"/>
              <w:left w:val="nil"/>
              <w:bottom w:val="single" w:sz="2" w:space="0" w:color="auto"/>
              <w:right w:val="nil"/>
            </w:tcBorders>
            <w:hideMark/>
          </w:tcPr>
          <w:p w14:paraId="2086F12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12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12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12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12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12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12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127" w14:textId="77777777" w:rsidR="00802D3E" w:rsidRDefault="00802D3E">
            <w:pPr>
              <w:pStyle w:val="MeasureTableTextRightAligned"/>
            </w:pPr>
            <w:r>
              <w:t>2019-20</w:t>
            </w:r>
          </w:p>
        </w:tc>
      </w:tr>
      <w:tr w:rsidR="00802D3E" w14:paraId="2086F131" w14:textId="77777777" w:rsidTr="00802D3E">
        <w:trPr>
          <w:cantSplit/>
          <w:jc w:val="center"/>
        </w:trPr>
        <w:tc>
          <w:tcPr>
            <w:tcW w:w="967" w:type="dxa"/>
            <w:tcBorders>
              <w:top w:val="single" w:sz="2" w:space="0" w:color="auto"/>
              <w:left w:val="nil"/>
              <w:bottom w:val="single" w:sz="2" w:space="0" w:color="auto"/>
              <w:right w:val="nil"/>
            </w:tcBorders>
            <w:hideMark/>
          </w:tcPr>
          <w:p w14:paraId="2086F12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12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2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2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2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12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12F"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130" w14:textId="77777777" w:rsidR="00802D3E" w:rsidRDefault="00802D3E">
            <w:pPr>
              <w:pStyle w:val="MeasureTableTextRightAligned"/>
            </w:pPr>
            <w:r>
              <w:t>*</w:t>
            </w:r>
          </w:p>
        </w:tc>
      </w:tr>
      <w:tr w:rsidR="00802D3E" w14:paraId="2086F136" w14:textId="77777777" w:rsidTr="00802D3E">
        <w:trPr>
          <w:cantSplit/>
          <w:jc w:val="center"/>
        </w:trPr>
        <w:tc>
          <w:tcPr>
            <w:tcW w:w="1934" w:type="dxa"/>
            <w:gridSpan w:val="2"/>
            <w:tcBorders>
              <w:top w:val="single" w:sz="2" w:space="0" w:color="auto"/>
              <w:left w:val="nil"/>
              <w:bottom w:val="nil"/>
              <w:right w:val="nil"/>
            </w:tcBorders>
            <w:hideMark/>
          </w:tcPr>
          <w:p w14:paraId="2086F13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133"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13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135" w14:textId="77777777" w:rsidR="00802D3E" w:rsidRDefault="00802D3E">
            <w:pPr>
              <w:pStyle w:val="MeasureTableTextLeftAligned"/>
            </w:pPr>
            <w:r>
              <w:t>B25</w:t>
            </w:r>
          </w:p>
        </w:tc>
      </w:tr>
      <w:tr w:rsidR="00802D3E" w14:paraId="2086F13B" w14:textId="77777777" w:rsidTr="00802D3E">
        <w:trPr>
          <w:cantSplit/>
          <w:jc w:val="center"/>
        </w:trPr>
        <w:tc>
          <w:tcPr>
            <w:tcW w:w="1934" w:type="dxa"/>
            <w:gridSpan w:val="2"/>
            <w:tcBorders>
              <w:top w:val="nil"/>
              <w:left w:val="nil"/>
              <w:bottom w:val="nil"/>
              <w:right w:val="nil"/>
            </w:tcBorders>
            <w:hideMark/>
          </w:tcPr>
          <w:p w14:paraId="2086F13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138"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139"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13A" w14:textId="77777777" w:rsidR="00802D3E" w:rsidRDefault="00802D3E">
            <w:pPr>
              <w:pStyle w:val="MeasureTableTextLeftAligned"/>
            </w:pPr>
            <w:r>
              <w:t>2+</w:t>
            </w:r>
          </w:p>
        </w:tc>
      </w:tr>
      <w:tr w:rsidR="00802D3E" w14:paraId="2086F140" w14:textId="77777777" w:rsidTr="00802D3E">
        <w:trPr>
          <w:cantSplit/>
          <w:jc w:val="center"/>
        </w:trPr>
        <w:tc>
          <w:tcPr>
            <w:tcW w:w="1934" w:type="dxa"/>
            <w:gridSpan w:val="2"/>
            <w:tcBorders>
              <w:top w:val="nil"/>
              <w:left w:val="nil"/>
              <w:bottom w:val="nil"/>
              <w:right w:val="nil"/>
            </w:tcBorders>
            <w:hideMark/>
          </w:tcPr>
          <w:p w14:paraId="2086F13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13D" w14:textId="77777777" w:rsidR="00802D3E" w:rsidRDefault="00802D3E">
            <w:pPr>
              <w:pStyle w:val="MeasureTableTextLeftAligned"/>
            </w:pPr>
            <w:r>
              <w:t>2013</w:t>
            </w:r>
          </w:p>
        </w:tc>
        <w:tc>
          <w:tcPr>
            <w:tcW w:w="1500" w:type="dxa"/>
            <w:gridSpan w:val="2"/>
            <w:tcBorders>
              <w:top w:val="nil"/>
              <w:left w:val="nil"/>
              <w:bottom w:val="nil"/>
              <w:right w:val="nil"/>
            </w:tcBorders>
            <w:hideMark/>
          </w:tcPr>
          <w:p w14:paraId="2086F13E"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13F" w14:textId="77777777" w:rsidR="00802D3E" w:rsidRDefault="00802D3E">
            <w:pPr>
              <w:pStyle w:val="MeasureTableTextLeftAligned"/>
            </w:pPr>
          </w:p>
        </w:tc>
      </w:tr>
      <w:tr w:rsidR="00802D3E" w14:paraId="2086F144" w14:textId="77777777" w:rsidTr="00802D3E">
        <w:trPr>
          <w:cantSplit/>
          <w:jc w:val="center"/>
        </w:trPr>
        <w:tc>
          <w:tcPr>
            <w:tcW w:w="1934" w:type="dxa"/>
            <w:gridSpan w:val="2"/>
            <w:tcBorders>
              <w:top w:val="nil"/>
              <w:left w:val="nil"/>
              <w:bottom w:val="single" w:sz="2" w:space="0" w:color="auto"/>
              <w:right w:val="nil"/>
            </w:tcBorders>
            <w:hideMark/>
          </w:tcPr>
          <w:p w14:paraId="2086F14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142" w14:textId="77777777" w:rsidR="00802D3E" w:rsidRDefault="00802D3E" w:rsidP="00B029D6">
            <w:pPr>
              <w:widowControl w:val="0"/>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Section 272-100 of the </w:t>
            </w:r>
            <w:r>
              <w:rPr>
                <w:rFonts w:ascii="Arial" w:hAnsi="Arial" w:cs="Arial"/>
                <w:i/>
                <w:iCs/>
                <w:color w:val="000000"/>
                <w:sz w:val="16"/>
                <w:szCs w:val="16"/>
              </w:rPr>
              <w:t>Income Tax Assessment Act 1936</w:t>
            </w:r>
          </w:p>
          <w:p w14:paraId="2086F143"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Section 165-35 and Division 415 of the </w:t>
            </w:r>
            <w:r>
              <w:rPr>
                <w:rFonts w:ascii="Arial" w:hAnsi="Arial" w:cs="Arial"/>
                <w:i/>
                <w:iCs/>
                <w:color w:val="000000"/>
                <w:sz w:val="16"/>
                <w:szCs w:val="16"/>
              </w:rPr>
              <w:t>Income Tax Assessment Act 1997</w:t>
            </w:r>
          </w:p>
        </w:tc>
      </w:tr>
    </w:tbl>
    <w:p w14:paraId="2086F145" w14:textId="77777777" w:rsidR="00802D3E" w:rsidRDefault="00802D3E" w:rsidP="00506822">
      <w:pPr>
        <w:pStyle w:val="SingleParagraph"/>
      </w:pPr>
    </w:p>
    <w:p w14:paraId="2086F146" w14:textId="77777777" w:rsidR="00802D3E" w:rsidRDefault="00802D3E" w:rsidP="00802D3E">
      <w:r>
        <w:t>Income tax losses of a designated infrastructure project</w:t>
      </w:r>
      <w:r>
        <w:fldChar w:fldCharType="begin"/>
      </w:r>
      <w:r>
        <w:instrText xml:space="preserve"> XE "Infrastructure projects" </w:instrText>
      </w:r>
      <w:r>
        <w:fldChar w:fldCharType="end"/>
      </w:r>
      <w:r>
        <w:t xml:space="preserve"> are uplifted at the government bond rate and exempt from the loss recoupment tests.</w:t>
      </w:r>
    </w:p>
    <w:p w14:paraId="2086F147" w14:textId="77777777" w:rsidR="00802D3E" w:rsidRDefault="00802D3E" w:rsidP="00802D3E">
      <w:r>
        <w:t xml:space="preserve">Designated infrastructure project status is conferred by the Chief Executive Officer of Infrastructure Australia on privately financed infrastructure of national significance based on a range of criteria, including a global capital expenditure cap of $25 billion over the period from Royal Assent of the enabling legislation to 30 June 2017. </w:t>
      </w:r>
    </w:p>
    <w:p w14:paraId="2086F148" w14:textId="77777777" w:rsidR="00802D3E" w:rsidRDefault="00802D3E" w:rsidP="00802D3E">
      <w:pPr>
        <w:pStyle w:val="TESHeading5"/>
        <w:ind w:left="0" w:firstLine="0"/>
      </w:pPr>
      <w:r>
        <w:t>B24</w:t>
      </w:r>
      <w:r>
        <w:tab/>
        <w:t>Off-market share buy-backs</w:t>
      </w:r>
    </w:p>
    <w:p w14:paraId="2086F149"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152" w14:textId="77777777" w:rsidTr="00802D3E">
        <w:trPr>
          <w:cantSplit/>
          <w:jc w:val="center"/>
        </w:trPr>
        <w:tc>
          <w:tcPr>
            <w:tcW w:w="967" w:type="dxa"/>
            <w:tcBorders>
              <w:top w:val="single" w:sz="2" w:space="0" w:color="auto"/>
              <w:left w:val="nil"/>
              <w:bottom w:val="single" w:sz="2" w:space="0" w:color="auto"/>
              <w:right w:val="nil"/>
            </w:tcBorders>
            <w:hideMark/>
          </w:tcPr>
          <w:p w14:paraId="2086F14A"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14B"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14C"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14D"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14E"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14F"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150"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151" w14:textId="77777777" w:rsidR="00802D3E" w:rsidRDefault="00802D3E">
            <w:pPr>
              <w:pStyle w:val="MeasureTableTextRightAligned"/>
            </w:pPr>
            <w:r>
              <w:t>2019-20</w:t>
            </w:r>
          </w:p>
        </w:tc>
      </w:tr>
      <w:tr w:rsidR="00802D3E" w14:paraId="2086F15B" w14:textId="77777777" w:rsidTr="00802D3E">
        <w:trPr>
          <w:cantSplit/>
          <w:jc w:val="center"/>
        </w:trPr>
        <w:tc>
          <w:tcPr>
            <w:tcW w:w="967" w:type="dxa"/>
            <w:tcBorders>
              <w:top w:val="single" w:sz="2" w:space="0" w:color="auto"/>
              <w:left w:val="nil"/>
              <w:bottom w:val="single" w:sz="2" w:space="0" w:color="auto"/>
              <w:right w:val="nil"/>
            </w:tcBorders>
            <w:hideMark/>
          </w:tcPr>
          <w:p w14:paraId="2086F15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15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5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5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5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15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159"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15A" w14:textId="77777777" w:rsidR="00802D3E" w:rsidRDefault="00802D3E">
            <w:pPr>
              <w:pStyle w:val="MeasureTableTextRightAligned"/>
            </w:pPr>
            <w:r>
              <w:t>*</w:t>
            </w:r>
          </w:p>
        </w:tc>
      </w:tr>
      <w:tr w:rsidR="00802D3E" w14:paraId="2086F160" w14:textId="77777777" w:rsidTr="00802D3E">
        <w:trPr>
          <w:cantSplit/>
          <w:jc w:val="center"/>
        </w:trPr>
        <w:tc>
          <w:tcPr>
            <w:tcW w:w="1934" w:type="dxa"/>
            <w:gridSpan w:val="2"/>
            <w:tcBorders>
              <w:top w:val="single" w:sz="2" w:space="0" w:color="auto"/>
              <w:left w:val="nil"/>
              <w:bottom w:val="nil"/>
              <w:right w:val="nil"/>
            </w:tcBorders>
            <w:hideMark/>
          </w:tcPr>
          <w:p w14:paraId="2086F15C"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15D"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F15E"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15F" w14:textId="77777777" w:rsidR="00802D3E" w:rsidRDefault="00802D3E">
            <w:pPr>
              <w:pStyle w:val="MeasureTableTextLeftAligned"/>
            </w:pPr>
            <w:r>
              <w:t>B26</w:t>
            </w:r>
          </w:p>
        </w:tc>
      </w:tr>
      <w:tr w:rsidR="00802D3E" w14:paraId="2086F165" w14:textId="77777777" w:rsidTr="00802D3E">
        <w:trPr>
          <w:cantSplit/>
          <w:jc w:val="center"/>
        </w:trPr>
        <w:tc>
          <w:tcPr>
            <w:tcW w:w="1934" w:type="dxa"/>
            <w:gridSpan w:val="2"/>
            <w:tcBorders>
              <w:top w:val="nil"/>
              <w:left w:val="nil"/>
              <w:bottom w:val="nil"/>
              <w:right w:val="nil"/>
            </w:tcBorders>
            <w:hideMark/>
          </w:tcPr>
          <w:p w14:paraId="2086F161"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162"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163"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164" w14:textId="77777777" w:rsidR="00802D3E" w:rsidRDefault="00802D3E">
            <w:pPr>
              <w:pStyle w:val="MeasureTableTextLeftAligned"/>
            </w:pPr>
            <w:r>
              <w:t>4+</w:t>
            </w:r>
          </w:p>
        </w:tc>
      </w:tr>
      <w:tr w:rsidR="00802D3E" w14:paraId="2086F16A" w14:textId="77777777" w:rsidTr="00802D3E">
        <w:trPr>
          <w:cantSplit/>
          <w:jc w:val="center"/>
        </w:trPr>
        <w:tc>
          <w:tcPr>
            <w:tcW w:w="1934" w:type="dxa"/>
            <w:gridSpan w:val="2"/>
            <w:tcBorders>
              <w:top w:val="nil"/>
              <w:left w:val="nil"/>
              <w:bottom w:val="nil"/>
              <w:right w:val="nil"/>
            </w:tcBorders>
            <w:hideMark/>
          </w:tcPr>
          <w:p w14:paraId="2086F166"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167" w14:textId="77777777" w:rsidR="00802D3E" w:rsidRDefault="00802D3E">
            <w:pPr>
              <w:pStyle w:val="MeasureTableTextLeftAligned"/>
            </w:pPr>
            <w:r>
              <w:t>1990</w:t>
            </w:r>
          </w:p>
        </w:tc>
        <w:tc>
          <w:tcPr>
            <w:tcW w:w="1500" w:type="dxa"/>
            <w:gridSpan w:val="2"/>
            <w:tcBorders>
              <w:top w:val="nil"/>
              <w:left w:val="nil"/>
              <w:bottom w:val="nil"/>
              <w:right w:val="nil"/>
            </w:tcBorders>
            <w:hideMark/>
          </w:tcPr>
          <w:p w14:paraId="2086F168"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169" w14:textId="77777777" w:rsidR="00802D3E" w:rsidRDefault="00802D3E">
            <w:pPr>
              <w:pStyle w:val="MeasureTableTextLeftAligned"/>
            </w:pPr>
          </w:p>
        </w:tc>
      </w:tr>
      <w:tr w:rsidR="00802D3E" w14:paraId="2086F16D" w14:textId="77777777" w:rsidTr="00802D3E">
        <w:trPr>
          <w:cantSplit/>
          <w:jc w:val="center"/>
        </w:trPr>
        <w:tc>
          <w:tcPr>
            <w:tcW w:w="1934" w:type="dxa"/>
            <w:gridSpan w:val="2"/>
            <w:tcBorders>
              <w:top w:val="nil"/>
              <w:left w:val="nil"/>
              <w:bottom w:val="single" w:sz="2" w:space="0" w:color="auto"/>
              <w:right w:val="nil"/>
            </w:tcBorders>
            <w:hideMark/>
          </w:tcPr>
          <w:p w14:paraId="2086F16B"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16C"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Division 16K of Part III and 177EA of the</w:t>
            </w:r>
            <w:r>
              <w:rPr>
                <w:rFonts w:ascii="Microsoft Sans Serif" w:hAnsi="Microsoft Sans Serif" w:cs="Microsoft Sans Serif"/>
                <w:sz w:val="17"/>
                <w:szCs w:val="17"/>
              </w:rPr>
              <w:t xml:space="preserve"> </w:t>
            </w:r>
            <w:r>
              <w:rPr>
                <w:rFonts w:ascii="Arial" w:hAnsi="Arial" w:cs="Arial"/>
                <w:i/>
                <w:iCs/>
                <w:color w:val="000000"/>
                <w:sz w:val="16"/>
                <w:szCs w:val="16"/>
              </w:rPr>
              <w:t>Income Tax Assessment Act 1936</w:t>
            </w:r>
          </w:p>
        </w:tc>
      </w:tr>
    </w:tbl>
    <w:p w14:paraId="2086F16E" w14:textId="77777777" w:rsidR="00802D3E" w:rsidRDefault="00802D3E" w:rsidP="00506822">
      <w:pPr>
        <w:pStyle w:val="SingleParagraph"/>
      </w:pPr>
    </w:p>
    <w:p w14:paraId="6EDBB5F0" w14:textId="77777777" w:rsidR="00C04EB1" w:rsidRDefault="00C04EB1">
      <w:pPr>
        <w:spacing w:after="0" w:line="240" w:lineRule="auto"/>
        <w:jc w:val="left"/>
      </w:pPr>
      <w:r>
        <w:br w:type="page"/>
      </w:r>
    </w:p>
    <w:p w14:paraId="2086F16F" w14:textId="5DFDDB87" w:rsidR="00802D3E" w:rsidRDefault="00802D3E" w:rsidP="00A1526E">
      <w:r>
        <w:lastRenderedPageBreak/>
        <w:t>The proceeds paid to shareholders who participate in an off-market share buy-back</w:t>
      </w:r>
      <w:r>
        <w:fldChar w:fldCharType="begin"/>
      </w:r>
      <w:r>
        <w:instrText xml:space="preserve"> XE "Off-market share buy-back" </w:instrText>
      </w:r>
      <w:r>
        <w:fldChar w:fldCharType="end"/>
      </w:r>
      <w:r>
        <w:t xml:space="preserve"> are split into a dividend component and a capital component. The dividend component of the buy-back proceeds may be fully franked. This allows companies that undertake off-market share buy-backs to distribute franking credits to participating shareholders beyond the level that would normally be available. Treating part of the proceeds as a dividend makes off-market share buy</w:t>
      </w:r>
      <w:r>
        <w:noBreakHyphen/>
        <w:t xml:space="preserve">backs more attractive to low marginal tax rate taxpayers. This facilitates streaming of franking credits to those shareholders that can obtain the most benefit. The tax expenditure is equal to the difference in tax payable, had those franking credits been distributed uniformly to all shareholders. </w:t>
      </w:r>
    </w:p>
    <w:p w14:paraId="2086F170" w14:textId="77777777" w:rsidR="00802D3E" w:rsidRDefault="00802D3E" w:rsidP="00802D3E">
      <w:pPr>
        <w:pStyle w:val="TESHeading5"/>
        <w:ind w:left="0" w:firstLine="0"/>
      </w:pPr>
      <w:r>
        <w:t>B25</w:t>
      </w:r>
      <w:r>
        <w:tab/>
        <w:t>Tax assistance for victims of Australian natural disasters</w:t>
      </w:r>
    </w:p>
    <w:p w14:paraId="2086F171" w14:textId="77777777" w:rsidR="00802D3E" w:rsidRDefault="00802D3E" w:rsidP="00802D3E">
      <w:pPr>
        <w:pStyle w:val="MeasureTableHeading"/>
      </w:pPr>
      <w:r>
        <w:t xml:space="preserve">Other purposes </w:t>
      </w:r>
      <w:r w:rsidR="00262EF4">
        <w:t>–</w:t>
      </w:r>
      <w:r>
        <w:t xml:space="preserve"> Natural</w:t>
      </w:r>
      <w:r w:rsidR="00262EF4">
        <w:t xml:space="preserve"> </w:t>
      </w:r>
      <w:r>
        <w:t>disaster relief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17A" w14:textId="77777777" w:rsidTr="00802D3E">
        <w:trPr>
          <w:cantSplit/>
          <w:jc w:val="center"/>
        </w:trPr>
        <w:tc>
          <w:tcPr>
            <w:tcW w:w="967" w:type="dxa"/>
            <w:tcBorders>
              <w:top w:val="single" w:sz="2" w:space="0" w:color="auto"/>
              <w:left w:val="nil"/>
              <w:bottom w:val="single" w:sz="2" w:space="0" w:color="auto"/>
              <w:right w:val="nil"/>
            </w:tcBorders>
            <w:hideMark/>
          </w:tcPr>
          <w:p w14:paraId="2086F17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17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17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17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17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17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17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179" w14:textId="77777777" w:rsidR="00802D3E" w:rsidRDefault="00802D3E">
            <w:pPr>
              <w:pStyle w:val="MeasureTableTextRightAligned"/>
            </w:pPr>
            <w:r>
              <w:t>2019-20</w:t>
            </w:r>
          </w:p>
        </w:tc>
      </w:tr>
      <w:tr w:rsidR="00802D3E" w14:paraId="2086F183" w14:textId="77777777" w:rsidTr="00802D3E">
        <w:trPr>
          <w:cantSplit/>
          <w:jc w:val="center"/>
        </w:trPr>
        <w:tc>
          <w:tcPr>
            <w:tcW w:w="967" w:type="dxa"/>
            <w:tcBorders>
              <w:top w:val="single" w:sz="2" w:space="0" w:color="auto"/>
              <w:left w:val="nil"/>
              <w:bottom w:val="single" w:sz="2" w:space="0" w:color="auto"/>
              <w:right w:val="nil"/>
            </w:tcBorders>
            <w:hideMark/>
          </w:tcPr>
          <w:p w14:paraId="2086F17B" w14:textId="77777777" w:rsidR="00802D3E" w:rsidRDefault="00802D3E">
            <w:pPr>
              <w:pStyle w:val="MeasureTableTextRightAligned"/>
            </w:pPr>
            <w:r>
              <w:t>31</w:t>
            </w:r>
          </w:p>
        </w:tc>
        <w:tc>
          <w:tcPr>
            <w:tcW w:w="967" w:type="dxa"/>
            <w:tcBorders>
              <w:top w:val="single" w:sz="2" w:space="0" w:color="auto"/>
              <w:left w:val="nil"/>
              <w:bottom w:val="single" w:sz="2" w:space="0" w:color="auto"/>
              <w:right w:val="nil"/>
            </w:tcBorders>
            <w:hideMark/>
          </w:tcPr>
          <w:p w14:paraId="2086F17C" w14:textId="77777777" w:rsidR="00802D3E" w:rsidRDefault="00802D3E">
            <w:pPr>
              <w:pStyle w:val="MeasureTableTextRightAligned"/>
            </w:pPr>
            <w:r>
              <w:t>10</w:t>
            </w:r>
          </w:p>
        </w:tc>
        <w:tc>
          <w:tcPr>
            <w:tcW w:w="967" w:type="dxa"/>
            <w:tcBorders>
              <w:top w:val="single" w:sz="2" w:space="0" w:color="auto"/>
              <w:left w:val="nil"/>
              <w:bottom w:val="single" w:sz="2" w:space="0" w:color="auto"/>
              <w:right w:val="nil"/>
            </w:tcBorders>
            <w:vAlign w:val="bottom"/>
            <w:hideMark/>
          </w:tcPr>
          <w:p w14:paraId="2086F17D"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vAlign w:val="bottom"/>
            <w:hideMark/>
          </w:tcPr>
          <w:p w14:paraId="2086F17E"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vAlign w:val="bottom"/>
            <w:hideMark/>
          </w:tcPr>
          <w:p w14:paraId="2086F17F" w14:textId="77777777" w:rsidR="00802D3E" w:rsidRDefault="00802D3E">
            <w:pPr>
              <w:pStyle w:val="MeasureTableTextRightAligned"/>
            </w:pPr>
            <w:r>
              <w:t>3</w:t>
            </w:r>
          </w:p>
        </w:tc>
        <w:tc>
          <w:tcPr>
            <w:tcW w:w="967" w:type="dxa"/>
            <w:gridSpan w:val="2"/>
            <w:tcBorders>
              <w:top w:val="single" w:sz="2" w:space="0" w:color="auto"/>
              <w:left w:val="nil"/>
              <w:bottom w:val="single" w:sz="2" w:space="0" w:color="auto"/>
              <w:right w:val="nil"/>
            </w:tcBorders>
            <w:vAlign w:val="bottom"/>
            <w:hideMark/>
          </w:tcPr>
          <w:p w14:paraId="2086F18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181"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182" w14:textId="77777777" w:rsidR="00802D3E" w:rsidRDefault="00802D3E">
            <w:pPr>
              <w:pStyle w:val="MeasureTableTextRightAligned"/>
            </w:pPr>
            <w:r>
              <w:t>*</w:t>
            </w:r>
          </w:p>
        </w:tc>
      </w:tr>
      <w:tr w:rsidR="00802D3E" w14:paraId="2086F188" w14:textId="77777777" w:rsidTr="00802D3E">
        <w:trPr>
          <w:cantSplit/>
          <w:jc w:val="center"/>
        </w:trPr>
        <w:tc>
          <w:tcPr>
            <w:tcW w:w="1934" w:type="dxa"/>
            <w:gridSpan w:val="2"/>
            <w:tcBorders>
              <w:top w:val="single" w:sz="2" w:space="0" w:color="auto"/>
              <w:left w:val="nil"/>
              <w:bottom w:val="nil"/>
              <w:right w:val="nil"/>
            </w:tcBorders>
            <w:hideMark/>
          </w:tcPr>
          <w:p w14:paraId="2086F18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185"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18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187" w14:textId="77777777" w:rsidR="00802D3E" w:rsidRDefault="00802D3E">
            <w:pPr>
              <w:pStyle w:val="MeasureTableTextLeftAligned"/>
            </w:pPr>
            <w:r>
              <w:t>B27</w:t>
            </w:r>
          </w:p>
        </w:tc>
      </w:tr>
      <w:tr w:rsidR="00802D3E" w14:paraId="2086F18D" w14:textId="77777777" w:rsidTr="00802D3E">
        <w:trPr>
          <w:cantSplit/>
          <w:jc w:val="center"/>
        </w:trPr>
        <w:tc>
          <w:tcPr>
            <w:tcW w:w="1934" w:type="dxa"/>
            <w:gridSpan w:val="2"/>
            <w:tcBorders>
              <w:top w:val="nil"/>
              <w:left w:val="nil"/>
              <w:bottom w:val="nil"/>
              <w:right w:val="nil"/>
            </w:tcBorders>
            <w:hideMark/>
          </w:tcPr>
          <w:p w14:paraId="2086F18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18A" w14:textId="77777777" w:rsidR="00802D3E" w:rsidRDefault="00802D3E">
            <w:pPr>
              <w:pStyle w:val="MeasureTableTextLeftAligned"/>
            </w:pPr>
            <w:r>
              <w:t>Low</w:t>
            </w:r>
          </w:p>
        </w:tc>
        <w:tc>
          <w:tcPr>
            <w:tcW w:w="1500" w:type="dxa"/>
            <w:gridSpan w:val="2"/>
            <w:tcBorders>
              <w:top w:val="nil"/>
              <w:left w:val="nil"/>
              <w:bottom w:val="nil"/>
              <w:right w:val="nil"/>
            </w:tcBorders>
            <w:hideMark/>
          </w:tcPr>
          <w:p w14:paraId="2086F18B"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18C" w14:textId="77777777" w:rsidR="00802D3E" w:rsidRDefault="00802D3E">
            <w:pPr>
              <w:pStyle w:val="MeasureTableTextLeftAligned"/>
            </w:pPr>
            <w:r>
              <w:t>1+</w:t>
            </w:r>
          </w:p>
        </w:tc>
      </w:tr>
      <w:tr w:rsidR="00802D3E" w14:paraId="2086F192" w14:textId="77777777" w:rsidTr="00802D3E">
        <w:trPr>
          <w:cantSplit/>
          <w:jc w:val="center"/>
        </w:trPr>
        <w:tc>
          <w:tcPr>
            <w:tcW w:w="1934" w:type="dxa"/>
            <w:gridSpan w:val="2"/>
            <w:tcBorders>
              <w:top w:val="nil"/>
              <w:left w:val="nil"/>
              <w:bottom w:val="nil"/>
              <w:right w:val="nil"/>
            </w:tcBorders>
            <w:hideMark/>
          </w:tcPr>
          <w:p w14:paraId="2086F18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18F" w14:textId="77777777" w:rsidR="00802D3E" w:rsidRDefault="00802D3E">
            <w:pPr>
              <w:pStyle w:val="MeasureTableTextLeftAligned"/>
            </w:pPr>
            <w:r>
              <w:t>Various</w:t>
            </w:r>
          </w:p>
        </w:tc>
        <w:tc>
          <w:tcPr>
            <w:tcW w:w="1500" w:type="dxa"/>
            <w:gridSpan w:val="2"/>
            <w:tcBorders>
              <w:top w:val="nil"/>
              <w:left w:val="nil"/>
              <w:bottom w:val="nil"/>
              <w:right w:val="nil"/>
            </w:tcBorders>
            <w:hideMark/>
          </w:tcPr>
          <w:p w14:paraId="2086F190" w14:textId="77777777" w:rsidR="00802D3E" w:rsidRDefault="00802D3E">
            <w:pPr>
              <w:pStyle w:val="MeasureTableTextItalic"/>
            </w:pPr>
            <w:r>
              <w:t>Expiry date:</w:t>
            </w:r>
          </w:p>
        </w:tc>
        <w:tc>
          <w:tcPr>
            <w:tcW w:w="1124" w:type="dxa"/>
            <w:gridSpan w:val="2"/>
            <w:tcBorders>
              <w:top w:val="nil"/>
              <w:left w:val="nil"/>
              <w:bottom w:val="nil"/>
              <w:right w:val="nil"/>
            </w:tcBorders>
            <w:hideMark/>
          </w:tcPr>
          <w:p w14:paraId="2086F191" w14:textId="77777777" w:rsidR="00802D3E" w:rsidRDefault="00802D3E">
            <w:pPr>
              <w:pStyle w:val="MeasureTableTextLeftAligned"/>
            </w:pPr>
            <w:r>
              <w:t>1 July 2014</w:t>
            </w:r>
          </w:p>
        </w:tc>
      </w:tr>
      <w:tr w:rsidR="00802D3E" w14:paraId="2086F195" w14:textId="77777777" w:rsidTr="00802D3E">
        <w:trPr>
          <w:cantSplit/>
          <w:jc w:val="center"/>
        </w:trPr>
        <w:tc>
          <w:tcPr>
            <w:tcW w:w="1934" w:type="dxa"/>
            <w:gridSpan w:val="2"/>
            <w:tcBorders>
              <w:top w:val="nil"/>
              <w:left w:val="nil"/>
              <w:bottom w:val="single" w:sz="2" w:space="0" w:color="auto"/>
              <w:right w:val="nil"/>
            </w:tcBorders>
            <w:hideMark/>
          </w:tcPr>
          <w:p w14:paraId="2086F19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194"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Previously Sections 11-55, 59-55 and 59-60 of the</w:t>
            </w:r>
            <w:r>
              <w:rPr>
                <w:rFonts w:ascii="Arial" w:hAnsi="Arial" w:cs="Arial"/>
                <w:i/>
                <w:iCs/>
                <w:color w:val="000000"/>
                <w:sz w:val="16"/>
                <w:szCs w:val="16"/>
              </w:rPr>
              <w:t xml:space="preserve"> Income Tax Assessment Act 1997</w:t>
            </w:r>
            <w:r>
              <w:rPr>
                <w:rFonts w:ascii="Arial" w:hAnsi="Arial" w:cs="Arial"/>
                <w:color w:val="000000"/>
                <w:sz w:val="16"/>
                <w:szCs w:val="16"/>
              </w:rPr>
              <w:t xml:space="preserve"> (repealed)</w:t>
            </w:r>
            <w:r>
              <w:t xml:space="preserve"> </w:t>
            </w:r>
          </w:p>
        </w:tc>
      </w:tr>
    </w:tbl>
    <w:p w14:paraId="2086F196" w14:textId="77777777" w:rsidR="00802D3E" w:rsidRDefault="00802D3E" w:rsidP="00506822">
      <w:pPr>
        <w:pStyle w:val="SingleParagraph"/>
      </w:pPr>
    </w:p>
    <w:p w14:paraId="2086F197" w14:textId="4F104D08" w:rsidR="00802D3E" w:rsidRDefault="00802D3E" w:rsidP="00802D3E">
      <w:r>
        <w:t>Certain payments to victims of Australian natural disasters</w:t>
      </w:r>
      <w:r>
        <w:fldChar w:fldCharType="begin"/>
      </w:r>
      <w:r>
        <w:instrText xml:space="preserve"> XE "Natural disasters" </w:instrText>
      </w:r>
      <w:r>
        <w:fldChar w:fldCharType="end"/>
      </w:r>
      <w:r>
        <w:t xml:space="preserve"> are not taxable. Without a specific provision, such grants would generally be treated as assessable income. Expenses related to the carrying on of a business (that is, those funded by using the grant) would generally be deductible. </w:t>
      </w:r>
    </w:p>
    <w:p w14:paraId="2086F198" w14:textId="77777777" w:rsidR="00802D3E" w:rsidRDefault="00802D3E" w:rsidP="00802D3E">
      <w:pPr>
        <w:pStyle w:val="TESHeading5"/>
        <w:ind w:left="0" w:firstLine="0"/>
      </w:pPr>
      <w:r>
        <w:t>B26</w:t>
      </w:r>
      <w:r>
        <w:tab/>
        <w:t>Tax exemption for National Rental Affordability Scheme incentives</w:t>
      </w:r>
    </w:p>
    <w:p w14:paraId="2086F199" w14:textId="77777777" w:rsidR="00802D3E" w:rsidRDefault="00802D3E" w:rsidP="00802D3E">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1A2" w14:textId="77777777" w:rsidTr="00802D3E">
        <w:trPr>
          <w:cantSplit/>
          <w:jc w:val="center"/>
        </w:trPr>
        <w:tc>
          <w:tcPr>
            <w:tcW w:w="967" w:type="dxa"/>
            <w:tcBorders>
              <w:top w:val="single" w:sz="2" w:space="0" w:color="auto"/>
              <w:left w:val="nil"/>
              <w:bottom w:val="single" w:sz="2" w:space="0" w:color="auto"/>
              <w:right w:val="nil"/>
            </w:tcBorders>
            <w:hideMark/>
          </w:tcPr>
          <w:p w14:paraId="2086F19A"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19B"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19C"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19D"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19E"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19F"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1A0"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1A1" w14:textId="77777777" w:rsidR="00802D3E" w:rsidRDefault="00802D3E">
            <w:pPr>
              <w:pStyle w:val="MeasureTableTextRightAligned"/>
            </w:pPr>
            <w:r>
              <w:t>2019-20</w:t>
            </w:r>
          </w:p>
        </w:tc>
      </w:tr>
      <w:tr w:rsidR="00802D3E" w14:paraId="2086F1AB" w14:textId="77777777" w:rsidTr="00802D3E">
        <w:trPr>
          <w:cantSplit/>
          <w:jc w:val="center"/>
        </w:trPr>
        <w:tc>
          <w:tcPr>
            <w:tcW w:w="967" w:type="dxa"/>
            <w:tcBorders>
              <w:top w:val="single" w:sz="2" w:space="0" w:color="auto"/>
              <w:left w:val="nil"/>
              <w:bottom w:val="single" w:sz="2" w:space="0" w:color="auto"/>
              <w:right w:val="nil"/>
            </w:tcBorders>
            <w:hideMark/>
          </w:tcPr>
          <w:p w14:paraId="2086F1A3"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hideMark/>
          </w:tcPr>
          <w:p w14:paraId="2086F1A4"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6F1A5" w14:textId="77777777" w:rsidR="00802D3E" w:rsidRDefault="00802D3E">
            <w:pPr>
              <w:pStyle w:val="MeasureTableTextRightAligned"/>
            </w:pPr>
            <w:r>
              <w:t>15</w:t>
            </w:r>
          </w:p>
        </w:tc>
        <w:tc>
          <w:tcPr>
            <w:tcW w:w="967" w:type="dxa"/>
            <w:tcBorders>
              <w:top w:val="single" w:sz="2" w:space="0" w:color="auto"/>
              <w:left w:val="nil"/>
              <w:bottom w:val="single" w:sz="2" w:space="0" w:color="auto"/>
              <w:right w:val="nil"/>
            </w:tcBorders>
            <w:vAlign w:val="bottom"/>
            <w:hideMark/>
          </w:tcPr>
          <w:p w14:paraId="2086F1A6" w14:textId="77777777" w:rsidR="00802D3E" w:rsidRDefault="00802D3E">
            <w:pPr>
              <w:pStyle w:val="MeasureTableTextRightAligned"/>
            </w:pPr>
            <w:r>
              <w:t>35</w:t>
            </w:r>
          </w:p>
        </w:tc>
        <w:tc>
          <w:tcPr>
            <w:tcW w:w="967" w:type="dxa"/>
            <w:tcBorders>
              <w:top w:val="single" w:sz="2" w:space="0" w:color="auto"/>
              <w:left w:val="nil"/>
              <w:bottom w:val="single" w:sz="2" w:space="0" w:color="auto"/>
              <w:right w:val="nil"/>
            </w:tcBorders>
            <w:vAlign w:val="bottom"/>
            <w:hideMark/>
          </w:tcPr>
          <w:p w14:paraId="2086F1A7" w14:textId="77777777" w:rsidR="00802D3E" w:rsidRDefault="00802D3E">
            <w:pPr>
              <w:pStyle w:val="MeasureTableTextRightAligned"/>
            </w:pPr>
            <w:r>
              <w:t>53</w:t>
            </w:r>
          </w:p>
        </w:tc>
        <w:tc>
          <w:tcPr>
            <w:tcW w:w="967" w:type="dxa"/>
            <w:gridSpan w:val="2"/>
            <w:tcBorders>
              <w:top w:val="single" w:sz="2" w:space="0" w:color="auto"/>
              <w:left w:val="nil"/>
              <w:bottom w:val="single" w:sz="2" w:space="0" w:color="auto"/>
              <w:right w:val="nil"/>
            </w:tcBorders>
            <w:vAlign w:val="bottom"/>
            <w:hideMark/>
          </w:tcPr>
          <w:p w14:paraId="2086F1A8" w14:textId="77777777" w:rsidR="00802D3E" w:rsidRDefault="00802D3E">
            <w:pPr>
              <w:pStyle w:val="MeasureTableTextRightAligned"/>
            </w:pPr>
            <w:r>
              <w:t>82</w:t>
            </w:r>
          </w:p>
        </w:tc>
        <w:tc>
          <w:tcPr>
            <w:tcW w:w="967" w:type="dxa"/>
            <w:gridSpan w:val="2"/>
            <w:tcBorders>
              <w:top w:val="single" w:sz="2" w:space="0" w:color="auto"/>
              <w:left w:val="nil"/>
              <w:bottom w:val="single" w:sz="2" w:space="0" w:color="auto"/>
              <w:right w:val="nil"/>
            </w:tcBorders>
            <w:vAlign w:val="bottom"/>
            <w:hideMark/>
          </w:tcPr>
          <w:p w14:paraId="2086F1A9" w14:textId="77777777" w:rsidR="00802D3E" w:rsidRDefault="00802D3E">
            <w:pPr>
              <w:pStyle w:val="MeasureTableTextRightAligned"/>
            </w:pPr>
            <w:r>
              <w:t>96</w:t>
            </w:r>
          </w:p>
        </w:tc>
        <w:tc>
          <w:tcPr>
            <w:tcW w:w="968" w:type="dxa"/>
            <w:tcBorders>
              <w:top w:val="single" w:sz="2" w:space="0" w:color="auto"/>
              <w:left w:val="nil"/>
              <w:bottom w:val="single" w:sz="2" w:space="0" w:color="auto"/>
              <w:right w:val="nil"/>
            </w:tcBorders>
            <w:vAlign w:val="bottom"/>
            <w:hideMark/>
          </w:tcPr>
          <w:p w14:paraId="2086F1AA" w14:textId="77777777" w:rsidR="00802D3E" w:rsidRDefault="00802D3E">
            <w:pPr>
              <w:pStyle w:val="MeasureTableTextRightAligned"/>
            </w:pPr>
            <w:r>
              <w:t>98</w:t>
            </w:r>
          </w:p>
        </w:tc>
      </w:tr>
      <w:tr w:rsidR="00802D3E" w14:paraId="2086F1B0" w14:textId="77777777" w:rsidTr="00802D3E">
        <w:trPr>
          <w:cantSplit/>
          <w:jc w:val="center"/>
        </w:trPr>
        <w:tc>
          <w:tcPr>
            <w:tcW w:w="1934" w:type="dxa"/>
            <w:gridSpan w:val="2"/>
            <w:tcBorders>
              <w:top w:val="single" w:sz="2" w:space="0" w:color="auto"/>
              <w:left w:val="nil"/>
              <w:bottom w:val="nil"/>
              <w:right w:val="nil"/>
            </w:tcBorders>
            <w:hideMark/>
          </w:tcPr>
          <w:p w14:paraId="2086F1AC"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1AD"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1AE"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1AF" w14:textId="77777777" w:rsidR="00802D3E" w:rsidRDefault="00802D3E">
            <w:pPr>
              <w:pStyle w:val="MeasureTableTextLeftAligned"/>
            </w:pPr>
            <w:r>
              <w:t>B28</w:t>
            </w:r>
          </w:p>
        </w:tc>
      </w:tr>
      <w:tr w:rsidR="00802D3E" w14:paraId="2086F1B5" w14:textId="77777777" w:rsidTr="00802D3E">
        <w:trPr>
          <w:cantSplit/>
          <w:jc w:val="center"/>
        </w:trPr>
        <w:tc>
          <w:tcPr>
            <w:tcW w:w="1934" w:type="dxa"/>
            <w:gridSpan w:val="2"/>
            <w:tcBorders>
              <w:top w:val="nil"/>
              <w:left w:val="nil"/>
              <w:bottom w:val="nil"/>
              <w:right w:val="nil"/>
            </w:tcBorders>
            <w:hideMark/>
          </w:tcPr>
          <w:p w14:paraId="2086F1B1"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1B2" w14:textId="77777777" w:rsidR="00802D3E" w:rsidRDefault="00802D3E">
            <w:pPr>
              <w:pStyle w:val="MeasureTableTextLeftAligned"/>
            </w:pPr>
            <w:r>
              <w:t>Very Low</w:t>
            </w:r>
          </w:p>
        </w:tc>
        <w:tc>
          <w:tcPr>
            <w:tcW w:w="1500" w:type="dxa"/>
            <w:gridSpan w:val="2"/>
            <w:tcBorders>
              <w:top w:val="nil"/>
              <w:left w:val="nil"/>
              <w:bottom w:val="nil"/>
              <w:right w:val="nil"/>
            </w:tcBorders>
          </w:tcPr>
          <w:p w14:paraId="2086F1B3" w14:textId="77777777" w:rsidR="00802D3E" w:rsidRDefault="00802D3E">
            <w:pPr>
              <w:pStyle w:val="MeasureTableTextItalic"/>
            </w:pPr>
          </w:p>
        </w:tc>
        <w:tc>
          <w:tcPr>
            <w:tcW w:w="1124" w:type="dxa"/>
            <w:gridSpan w:val="2"/>
            <w:tcBorders>
              <w:top w:val="nil"/>
              <w:left w:val="nil"/>
              <w:bottom w:val="nil"/>
              <w:right w:val="nil"/>
            </w:tcBorders>
          </w:tcPr>
          <w:p w14:paraId="2086F1B4" w14:textId="77777777" w:rsidR="00802D3E" w:rsidRDefault="00802D3E">
            <w:pPr>
              <w:pStyle w:val="MeasureTableTextLeftAligned"/>
            </w:pPr>
          </w:p>
        </w:tc>
      </w:tr>
      <w:tr w:rsidR="00802D3E" w14:paraId="2086F1BA" w14:textId="77777777" w:rsidTr="00802D3E">
        <w:trPr>
          <w:cantSplit/>
          <w:jc w:val="center"/>
        </w:trPr>
        <w:tc>
          <w:tcPr>
            <w:tcW w:w="1934" w:type="dxa"/>
            <w:gridSpan w:val="2"/>
            <w:tcBorders>
              <w:top w:val="nil"/>
              <w:left w:val="nil"/>
              <w:bottom w:val="nil"/>
              <w:right w:val="nil"/>
            </w:tcBorders>
            <w:hideMark/>
          </w:tcPr>
          <w:p w14:paraId="2086F1B6"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1B7" w14:textId="77777777" w:rsidR="00802D3E" w:rsidRDefault="00802D3E">
            <w:pPr>
              <w:pStyle w:val="MeasureTableTextLeftAligned"/>
            </w:pPr>
            <w:r>
              <w:t>1 July 2008</w:t>
            </w:r>
          </w:p>
        </w:tc>
        <w:tc>
          <w:tcPr>
            <w:tcW w:w="1500" w:type="dxa"/>
            <w:gridSpan w:val="2"/>
            <w:tcBorders>
              <w:top w:val="nil"/>
              <w:left w:val="nil"/>
              <w:bottom w:val="nil"/>
              <w:right w:val="nil"/>
            </w:tcBorders>
            <w:hideMark/>
          </w:tcPr>
          <w:p w14:paraId="2086F1B8"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1B9" w14:textId="77777777" w:rsidR="00802D3E" w:rsidRDefault="00802D3E">
            <w:pPr>
              <w:pStyle w:val="MeasureTableTextLeftAligned"/>
            </w:pPr>
          </w:p>
        </w:tc>
      </w:tr>
      <w:tr w:rsidR="00802D3E" w14:paraId="2086F1BD" w14:textId="77777777" w:rsidTr="00802D3E">
        <w:trPr>
          <w:cantSplit/>
          <w:jc w:val="center"/>
        </w:trPr>
        <w:tc>
          <w:tcPr>
            <w:tcW w:w="1934" w:type="dxa"/>
            <w:gridSpan w:val="2"/>
            <w:tcBorders>
              <w:top w:val="nil"/>
              <w:left w:val="nil"/>
              <w:bottom w:val="single" w:sz="2" w:space="0" w:color="auto"/>
              <w:right w:val="nil"/>
            </w:tcBorders>
            <w:hideMark/>
          </w:tcPr>
          <w:p w14:paraId="2086F1BB"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1BC"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 xml:space="preserve">Division 380 of the </w:t>
            </w:r>
            <w:r w:rsidRPr="00B029D6">
              <w:rPr>
                <w:rFonts w:ascii="Arial" w:hAnsi="Arial" w:cs="Arial"/>
                <w:i/>
                <w:iCs/>
                <w:color w:val="000000"/>
                <w:sz w:val="16"/>
                <w:szCs w:val="16"/>
              </w:rPr>
              <w:t>Income Tax Assessment Act 1997</w:t>
            </w:r>
          </w:p>
        </w:tc>
      </w:tr>
    </w:tbl>
    <w:p w14:paraId="2086F1BE" w14:textId="77777777" w:rsidR="00802D3E" w:rsidRDefault="00802D3E" w:rsidP="00506822">
      <w:pPr>
        <w:pStyle w:val="SingleParagraph"/>
      </w:pPr>
    </w:p>
    <w:p w14:paraId="2086F1BF" w14:textId="77777777" w:rsidR="00802D3E" w:rsidRDefault="00802D3E" w:rsidP="00802D3E">
      <w:r>
        <w:t>The National Rental Affordability Scheme offers tax and cash incentives to providers of new dwellings on the condition that they are rented to low and moderate income households at a rate that is at least 20 per cent below market rates. The tax expenditure arises as the incentives are exempt from income tax.</w:t>
      </w:r>
    </w:p>
    <w:p w14:paraId="2086F1C0" w14:textId="77777777" w:rsidR="00802D3E" w:rsidRDefault="00802D3E" w:rsidP="00802D3E">
      <w:r>
        <w:t xml:space="preserve">The scheme is no longer open to new providers. </w:t>
      </w:r>
    </w:p>
    <w:p w14:paraId="2086F1C1" w14:textId="77777777" w:rsidR="00802D3E" w:rsidRDefault="00802D3E" w:rsidP="00802D3E">
      <w:pPr>
        <w:pStyle w:val="TESHeading5"/>
        <w:ind w:left="0" w:firstLine="0"/>
      </w:pPr>
      <w:r>
        <w:lastRenderedPageBreak/>
        <w:t>B27</w:t>
      </w:r>
      <w:r>
        <w:tab/>
        <w:t>Film industry concessions</w:t>
      </w:r>
    </w:p>
    <w:p w14:paraId="2086F1C2" w14:textId="77777777" w:rsidR="00802D3E" w:rsidRDefault="00802D3E" w:rsidP="00802D3E">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1CB" w14:textId="77777777" w:rsidTr="00802D3E">
        <w:trPr>
          <w:cantSplit/>
          <w:jc w:val="center"/>
        </w:trPr>
        <w:tc>
          <w:tcPr>
            <w:tcW w:w="967" w:type="dxa"/>
            <w:tcBorders>
              <w:top w:val="single" w:sz="2" w:space="0" w:color="auto"/>
              <w:left w:val="nil"/>
              <w:bottom w:val="single" w:sz="2" w:space="0" w:color="auto"/>
              <w:right w:val="nil"/>
            </w:tcBorders>
            <w:hideMark/>
          </w:tcPr>
          <w:p w14:paraId="2086F1C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1C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1C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1C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1C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1C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1C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1CA" w14:textId="77777777" w:rsidR="00802D3E" w:rsidRDefault="00802D3E">
            <w:pPr>
              <w:pStyle w:val="MeasureTableTextRightAligned"/>
            </w:pPr>
            <w:r>
              <w:t>2019-20</w:t>
            </w:r>
          </w:p>
        </w:tc>
      </w:tr>
      <w:tr w:rsidR="00802D3E" w14:paraId="2086F1D4" w14:textId="77777777" w:rsidTr="00802D3E">
        <w:trPr>
          <w:cantSplit/>
          <w:jc w:val="center"/>
        </w:trPr>
        <w:tc>
          <w:tcPr>
            <w:tcW w:w="967" w:type="dxa"/>
            <w:tcBorders>
              <w:top w:val="single" w:sz="2" w:space="0" w:color="auto"/>
              <w:left w:val="nil"/>
              <w:bottom w:val="single" w:sz="2" w:space="0" w:color="auto"/>
              <w:right w:val="nil"/>
            </w:tcBorders>
            <w:hideMark/>
          </w:tcPr>
          <w:p w14:paraId="2086F1CC"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hideMark/>
          </w:tcPr>
          <w:p w14:paraId="2086F1CD" w14:textId="77777777" w:rsidR="00802D3E" w:rsidRDefault="00802D3E">
            <w:pPr>
              <w:pStyle w:val="MeasureTableTextRightAligned"/>
            </w:pPr>
            <w:r>
              <w:t>61</w:t>
            </w:r>
          </w:p>
        </w:tc>
        <w:tc>
          <w:tcPr>
            <w:tcW w:w="967" w:type="dxa"/>
            <w:tcBorders>
              <w:top w:val="single" w:sz="2" w:space="0" w:color="auto"/>
              <w:left w:val="nil"/>
              <w:bottom w:val="single" w:sz="2" w:space="0" w:color="auto"/>
              <w:right w:val="nil"/>
            </w:tcBorders>
            <w:vAlign w:val="bottom"/>
            <w:hideMark/>
          </w:tcPr>
          <w:p w14:paraId="2086F1CE" w14:textId="77777777" w:rsidR="00802D3E" w:rsidRDefault="00802D3E">
            <w:pPr>
              <w:pStyle w:val="MeasureTableTextRightAligned"/>
            </w:pPr>
            <w:r>
              <w:t>69</w:t>
            </w:r>
          </w:p>
        </w:tc>
        <w:tc>
          <w:tcPr>
            <w:tcW w:w="967" w:type="dxa"/>
            <w:tcBorders>
              <w:top w:val="single" w:sz="2" w:space="0" w:color="auto"/>
              <w:left w:val="nil"/>
              <w:bottom w:val="single" w:sz="2" w:space="0" w:color="auto"/>
              <w:right w:val="nil"/>
            </w:tcBorders>
            <w:vAlign w:val="bottom"/>
            <w:hideMark/>
          </w:tcPr>
          <w:p w14:paraId="2086F1CF" w14:textId="77777777" w:rsidR="00802D3E" w:rsidRDefault="00802D3E">
            <w:pPr>
              <w:pStyle w:val="MeasureTableTextRightAligned"/>
            </w:pPr>
            <w:r>
              <w:t>50</w:t>
            </w:r>
          </w:p>
        </w:tc>
        <w:tc>
          <w:tcPr>
            <w:tcW w:w="967" w:type="dxa"/>
            <w:tcBorders>
              <w:top w:val="single" w:sz="2" w:space="0" w:color="auto"/>
              <w:left w:val="nil"/>
              <w:bottom w:val="single" w:sz="2" w:space="0" w:color="auto"/>
              <w:right w:val="nil"/>
            </w:tcBorders>
            <w:vAlign w:val="bottom"/>
            <w:hideMark/>
          </w:tcPr>
          <w:p w14:paraId="2086F1D0" w14:textId="77777777" w:rsidR="00802D3E" w:rsidRDefault="00802D3E">
            <w:pPr>
              <w:pStyle w:val="MeasureTableTextRightAligned"/>
            </w:pPr>
            <w:r>
              <w:t>62</w:t>
            </w:r>
          </w:p>
        </w:tc>
        <w:tc>
          <w:tcPr>
            <w:tcW w:w="967" w:type="dxa"/>
            <w:gridSpan w:val="2"/>
            <w:tcBorders>
              <w:top w:val="single" w:sz="2" w:space="0" w:color="auto"/>
              <w:left w:val="nil"/>
              <w:bottom w:val="single" w:sz="2" w:space="0" w:color="auto"/>
              <w:right w:val="nil"/>
            </w:tcBorders>
            <w:vAlign w:val="bottom"/>
            <w:hideMark/>
          </w:tcPr>
          <w:p w14:paraId="2086F1D1" w14:textId="77777777" w:rsidR="00802D3E" w:rsidRDefault="00802D3E">
            <w:pPr>
              <w:pStyle w:val="MeasureTableTextRightAligned"/>
            </w:pPr>
            <w:r>
              <w:t>79</w:t>
            </w:r>
          </w:p>
        </w:tc>
        <w:tc>
          <w:tcPr>
            <w:tcW w:w="967" w:type="dxa"/>
            <w:gridSpan w:val="2"/>
            <w:tcBorders>
              <w:top w:val="single" w:sz="2" w:space="0" w:color="auto"/>
              <w:left w:val="nil"/>
              <w:bottom w:val="single" w:sz="2" w:space="0" w:color="auto"/>
              <w:right w:val="nil"/>
            </w:tcBorders>
            <w:vAlign w:val="bottom"/>
            <w:hideMark/>
          </w:tcPr>
          <w:p w14:paraId="2086F1D2" w14:textId="77777777" w:rsidR="00802D3E" w:rsidRDefault="00802D3E">
            <w:pPr>
              <w:pStyle w:val="MeasureTableTextRightAligned"/>
            </w:pPr>
            <w:r>
              <w:t>64</w:t>
            </w:r>
          </w:p>
        </w:tc>
        <w:tc>
          <w:tcPr>
            <w:tcW w:w="968" w:type="dxa"/>
            <w:tcBorders>
              <w:top w:val="single" w:sz="2" w:space="0" w:color="auto"/>
              <w:left w:val="nil"/>
              <w:bottom w:val="single" w:sz="2" w:space="0" w:color="auto"/>
              <w:right w:val="nil"/>
            </w:tcBorders>
            <w:vAlign w:val="bottom"/>
            <w:hideMark/>
          </w:tcPr>
          <w:p w14:paraId="2086F1D3" w14:textId="77777777" w:rsidR="00802D3E" w:rsidRDefault="00802D3E">
            <w:pPr>
              <w:pStyle w:val="MeasureTableTextRightAligned"/>
            </w:pPr>
            <w:r>
              <w:t>57</w:t>
            </w:r>
          </w:p>
        </w:tc>
      </w:tr>
      <w:tr w:rsidR="00802D3E" w14:paraId="2086F1D9" w14:textId="77777777" w:rsidTr="00802D3E">
        <w:trPr>
          <w:cantSplit/>
          <w:jc w:val="center"/>
        </w:trPr>
        <w:tc>
          <w:tcPr>
            <w:tcW w:w="1934" w:type="dxa"/>
            <w:gridSpan w:val="2"/>
            <w:tcBorders>
              <w:top w:val="single" w:sz="2" w:space="0" w:color="auto"/>
              <w:left w:val="nil"/>
              <w:bottom w:val="nil"/>
              <w:right w:val="nil"/>
            </w:tcBorders>
            <w:hideMark/>
          </w:tcPr>
          <w:p w14:paraId="2086F1D5"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1D6"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1D7"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1D8" w14:textId="77777777" w:rsidR="00802D3E" w:rsidRDefault="00802D3E">
            <w:pPr>
              <w:pStyle w:val="MeasureTableTextLeftAligned"/>
            </w:pPr>
            <w:r>
              <w:t>B29</w:t>
            </w:r>
          </w:p>
        </w:tc>
      </w:tr>
      <w:tr w:rsidR="00802D3E" w14:paraId="2086F1DE" w14:textId="77777777" w:rsidTr="00802D3E">
        <w:trPr>
          <w:cantSplit/>
          <w:jc w:val="center"/>
        </w:trPr>
        <w:tc>
          <w:tcPr>
            <w:tcW w:w="1934" w:type="dxa"/>
            <w:gridSpan w:val="2"/>
            <w:tcBorders>
              <w:top w:val="nil"/>
              <w:left w:val="nil"/>
              <w:bottom w:val="nil"/>
              <w:right w:val="nil"/>
            </w:tcBorders>
            <w:hideMark/>
          </w:tcPr>
          <w:p w14:paraId="2086F1DA"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1DB"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1DC" w14:textId="77777777" w:rsidR="00802D3E" w:rsidRDefault="00802D3E">
            <w:pPr>
              <w:pStyle w:val="MeasureTableTextItalic"/>
            </w:pPr>
          </w:p>
        </w:tc>
        <w:tc>
          <w:tcPr>
            <w:tcW w:w="1124" w:type="dxa"/>
            <w:gridSpan w:val="2"/>
            <w:tcBorders>
              <w:top w:val="nil"/>
              <w:left w:val="nil"/>
              <w:bottom w:val="nil"/>
              <w:right w:val="nil"/>
            </w:tcBorders>
          </w:tcPr>
          <w:p w14:paraId="2086F1DD" w14:textId="77777777" w:rsidR="00802D3E" w:rsidRDefault="00802D3E">
            <w:pPr>
              <w:pStyle w:val="MeasureTableTextLeftAligned"/>
            </w:pPr>
          </w:p>
        </w:tc>
      </w:tr>
      <w:tr w:rsidR="00802D3E" w14:paraId="2086F1E3" w14:textId="77777777" w:rsidTr="00802D3E">
        <w:trPr>
          <w:cantSplit/>
          <w:jc w:val="center"/>
        </w:trPr>
        <w:tc>
          <w:tcPr>
            <w:tcW w:w="1934" w:type="dxa"/>
            <w:gridSpan w:val="2"/>
            <w:tcBorders>
              <w:top w:val="nil"/>
              <w:left w:val="nil"/>
              <w:bottom w:val="nil"/>
              <w:right w:val="nil"/>
            </w:tcBorders>
            <w:hideMark/>
          </w:tcPr>
          <w:p w14:paraId="2086F1DF"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1E0" w14:textId="77777777" w:rsidR="00802D3E" w:rsidRDefault="00802D3E">
            <w:pPr>
              <w:pStyle w:val="MeasureTableTextLeftAligned"/>
            </w:pPr>
            <w:r>
              <w:t>2001</w:t>
            </w:r>
          </w:p>
        </w:tc>
        <w:tc>
          <w:tcPr>
            <w:tcW w:w="1500" w:type="dxa"/>
            <w:gridSpan w:val="2"/>
            <w:tcBorders>
              <w:top w:val="nil"/>
              <w:left w:val="nil"/>
              <w:bottom w:val="nil"/>
              <w:right w:val="nil"/>
            </w:tcBorders>
            <w:hideMark/>
          </w:tcPr>
          <w:p w14:paraId="2086F1E1"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1E2" w14:textId="77777777" w:rsidR="00802D3E" w:rsidRDefault="00802D3E">
            <w:pPr>
              <w:pStyle w:val="MeasureTableTextLeftAligned"/>
            </w:pPr>
          </w:p>
        </w:tc>
      </w:tr>
      <w:tr w:rsidR="00802D3E" w14:paraId="2086F1E6" w14:textId="77777777" w:rsidTr="00802D3E">
        <w:trPr>
          <w:cantSplit/>
          <w:jc w:val="center"/>
        </w:trPr>
        <w:tc>
          <w:tcPr>
            <w:tcW w:w="1934" w:type="dxa"/>
            <w:gridSpan w:val="2"/>
            <w:tcBorders>
              <w:top w:val="nil"/>
              <w:left w:val="nil"/>
              <w:bottom w:val="single" w:sz="2" w:space="0" w:color="auto"/>
              <w:right w:val="nil"/>
            </w:tcBorders>
            <w:hideMark/>
          </w:tcPr>
          <w:p w14:paraId="2086F1E4"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1E5"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Division 376 of the </w:t>
            </w:r>
            <w:r w:rsidRPr="00B029D6">
              <w:rPr>
                <w:rFonts w:ascii="Arial" w:hAnsi="Arial" w:cs="Arial"/>
                <w:i/>
                <w:iCs/>
                <w:color w:val="000000"/>
                <w:sz w:val="16"/>
                <w:szCs w:val="16"/>
              </w:rPr>
              <w:t>Income Tax Assessment Act 1997</w:t>
            </w:r>
          </w:p>
        </w:tc>
      </w:tr>
    </w:tbl>
    <w:p w14:paraId="2086F1E7" w14:textId="77777777" w:rsidR="00802D3E" w:rsidRDefault="00802D3E" w:rsidP="00506822">
      <w:pPr>
        <w:pStyle w:val="SingleParagraph"/>
      </w:pPr>
    </w:p>
    <w:p w14:paraId="2086F1E8" w14:textId="77777777" w:rsidR="00802D3E" w:rsidRDefault="00054FF3" w:rsidP="00802D3E">
      <w:r>
        <w:fldChar w:fldCharType="begin"/>
      </w:r>
      <w:r>
        <w:instrText xml:space="preserve"> XE "Film concessions" </w:instrText>
      </w:r>
      <w:r>
        <w:fldChar w:fldCharType="end"/>
      </w:r>
      <w:r w:rsidR="00802D3E">
        <w:t xml:space="preserve">Film production companies incurring expenditure on certain productions in Australia may be eligible for refundable tax offsets. The tax offsets are the location offset, the producer offset and the post, digital and visual effects offset. </w:t>
      </w:r>
    </w:p>
    <w:p w14:paraId="2086F1E9" w14:textId="77777777" w:rsidR="00802D3E" w:rsidRDefault="00802D3E" w:rsidP="00802D3E">
      <w:r>
        <w:t xml:space="preserve">As the refundable tax offset is an expense item, it does not appear as a tax expenditure in its own right. However, a tax expenditure arises because payments made under this arrangement are exempt from tax. </w:t>
      </w:r>
    </w:p>
    <w:p w14:paraId="2086F1EA" w14:textId="77777777" w:rsidR="00802D3E" w:rsidRDefault="00802D3E" w:rsidP="00802D3E">
      <w:pPr>
        <w:pStyle w:val="TESHeading5"/>
        <w:ind w:left="0" w:firstLine="0"/>
      </w:pPr>
      <w:r>
        <w:t>B28</w:t>
      </w:r>
      <w:r>
        <w:tab/>
        <w:t>Exemption from the tax shelter prepayments measure for certain passive investments</w:t>
      </w:r>
    </w:p>
    <w:p w14:paraId="2086F1EB"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1F4" w14:textId="77777777" w:rsidTr="00802D3E">
        <w:trPr>
          <w:cantSplit/>
          <w:jc w:val="center"/>
        </w:trPr>
        <w:tc>
          <w:tcPr>
            <w:tcW w:w="967" w:type="dxa"/>
            <w:tcBorders>
              <w:top w:val="single" w:sz="2" w:space="0" w:color="auto"/>
              <w:left w:val="nil"/>
              <w:bottom w:val="single" w:sz="2" w:space="0" w:color="auto"/>
              <w:right w:val="nil"/>
            </w:tcBorders>
            <w:hideMark/>
          </w:tcPr>
          <w:p w14:paraId="2086F1E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1E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1E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1E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1F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1F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1F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1F3" w14:textId="77777777" w:rsidR="00802D3E" w:rsidRDefault="00802D3E">
            <w:pPr>
              <w:pStyle w:val="MeasureTableTextRightAligned"/>
            </w:pPr>
            <w:r>
              <w:t>2019-20</w:t>
            </w:r>
          </w:p>
        </w:tc>
      </w:tr>
      <w:tr w:rsidR="00802D3E" w14:paraId="2086F1FD" w14:textId="77777777" w:rsidTr="00802D3E">
        <w:trPr>
          <w:cantSplit/>
          <w:jc w:val="center"/>
        </w:trPr>
        <w:tc>
          <w:tcPr>
            <w:tcW w:w="967" w:type="dxa"/>
            <w:tcBorders>
              <w:top w:val="single" w:sz="2" w:space="0" w:color="auto"/>
              <w:left w:val="nil"/>
              <w:bottom w:val="single" w:sz="2" w:space="0" w:color="auto"/>
              <w:right w:val="nil"/>
            </w:tcBorders>
            <w:hideMark/>
          </w:tcPr>
          <w:p w14:paraId="2086F1F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1F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F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F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1F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1F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1F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1FC" w14:textId="77777777" w:rsidR="00802D3E" w:rsidRDefault="00802D3E">
            <w:pPr>
              <w:pStyle w:val="MeasureTableTextRightAligned"/>
            </w:pPr>
            <w:r>
              <w:t>*</w:t>
            </w:r>
          </w:p>
        </w:tc>
      </w:tr>
      <w:tr w:rsidR="00802D3E" w14:paraId="2086F202" w14:textId="77777777" w:rsidTr="00802D3E">
        <w:trPr>
          <w:cantSplit/>
          <w:jc w:val="center"/>
        </w:trPr>
        <w:tc>
          <w:tcPr>
            <w:tcW w:w="1934" w:type="dxa"/>
            <w:gridSpan w:val="2"/>
            <w:tcBorders>
              <w:top w:val="single" w:sz="2" w:space="0" w:color="auto"/>
              <w:left w:val="nil"/>
              <w:bottom w:val="nil"/>
              <w:right w:val="nil"/>
            </w:tcBorders>
            <w:hideMark/>
          </w:tcPr>
          <w:p w14:paraId="2086F1F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1FF"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20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201" w14:textId="77777777" w:rsidR="00802D3E" w:rsidRDefault="00802D3E">
            <w:pPr>
              <w:pStyle w:val="MeasureTableTextLeftAligned"/>
            </w:pPr>
            <w:r>
              <w:t>B30</w:t>
            </w:r>
          </w:p>
        </w:tc>
      </w:tr>
      <w:tr w:rsidR="00802D3E" w14:paraId="2086F207" w14:textId="77777777" w:rsidTr="00802D3E">
        <w:trPr>
          <w:cantSplit/>
          <w:jc w:val="center"/>
        </w:trPr>
        <w:tc>
          <w:tcPr>
            <w:tcW w:w="1934" w:type="dxa"/>
            <w:gridSpan w:val="2"/>
            <w:tcBorders>
              <w:top w:val="nil"/>
              <w:left w:val="nil"/>
              <w:bottom w:val="nil"/>
              <w:right w:val="nil"/>
            </w:tcBorders>
            <w:hideMark/>
          </w:tcPr>
          <w:p w14:paraId="2086F20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20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20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206" w14:textId="77777777" w:rsidR="00802D3E" w:rsidRDefault="00802D3E">
            <w:pPr>
              <w:pStyle w:val="MeasureTableTextLeftAligned"/>
            </w:pPr>
            <w:r>
              <w:t>2+</w:t>
            </w:r>
          </w:p>
        </w:tc>
      </w:tr>
      <w:tr w:rsidR="00802D3E" w14:paraId="2086F20C" w14:textId="77777777" w:rsidTr="00802D3E">
        <w:trPr>
          <w:cantSplit/>
          <w:jc w:val="center"/>
        </w:trPr>
        <w:tc>
          <w:tcPr>
            <w:tcW w:w="1934" w:type="dxa"/>
            <w:gridSpan w:val="2"/>
            <w:tcBorders>
              <w:top w:val="nil"/>
              <w:left w:val="nil"/>
              <w:bottom w:val="nil"/>
              <w:right w:val="nil"/>
            </w:tcBorders>
            <w:hideMark/>
          </w:tcPr>
          <w:p w14:paraId="2086F20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209" w14:textId="77777777" w:rsidR="00802D3E" w:rsidRDefault="00802D3E">
            <w:pPr>
              <w:pStyle w:val="MeasureTableTextLeftAligned"/>
            </w:pPr>
            <w:r>
              <w:t>1988</w:t>
            </w:r>
          </w:p>
        </w:tc>
        <w:tc>
          <w:tcPr>
            <w:tcW w:w="1500" w:type="dxa"/>
            <w:gridSpan w:val="2"/>
            <w:tcBorders>
              <w:top w:val="nil"/>
              <w:left w:val="nil"/>
              <w:bottom w:val="nil"/>
              <w:right w:val="nil"/>
            </w:tcBorders>
            <w:hideMark/>
          </w:tcPr>
          <w:p w14:paraId="2086F20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20B" w14:textId="77777777" w:rsidR="00802D3E" w:rsidRDefault="00802D3E">
            <w:pPr>
              <w:pStyle w:val="MeasureTableTextLeftAligned"/>
            </w:pPr>
          </w:p>
        </w:tc>
      </w:tr>
      <w:tr w:rsidR="00802D3E" w14:paraId="2086F20F" w14:textId="77777777" w:rsidTr="00802D3E">
        <w:trPr>
          <w:cantSplit/>
          <w:jc w:val="center"/>
        </w:trPr>
        <w:tc>
          <w:tcPr>
            <w:tcW w:w="1934" w:type="dxa"/>
            <w:gridSpan w:val="2"/>
            <w:tcBorders>
              <w:top w:val="nil"/>
              <w:left w:val="nil"/>
              <w:bottom w:val="single" w:sz="2" w:space="0" w:color="auto"/>
              <w:right w:val="nil"/>
            </w:tcBorders>
            <w:hideMark/>
          </w:tcPr>
          <w:p w14:paraId="2086F20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20E"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82KZME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1936</w:t>
            </w:r>
          </w:p>
        </w:tc>
      </w:tr>
    </w:tbl>
    <w:p w14:paraId="2086F210" w14:textId="77777777" w:rsidR="00802D3E" w:rsidRDefault="00802D3E" w:rsidP="00506822">
      <w:pPr>
        <w:pStyle w:val="SingleParagraph"/>
      </w:pPr>
    </w:p>
    <w:p w14:paraId="2086F211" w14:textId="77777777" w:rsidR="00802D3E" w:rsidRDefault="0051476F" w:rsidP="00802D3E">
      <w:r>
        <w:fldChar w:fldCharType="begin"/>
      </w:r>
      <w:r>
        <w:instrText xml:space="preserve"> XE "Small business" </w:instrText>
      </w:r>
      <w:r>
        <w:fldChar w:fldCharType="end"/>
      </w:r>
      <w:r w:rsidR="00802D3E">
        <w:t xml:space="preserve">The benchmark treatment of tax shelter prepayments is that they are deductible over the period in which the services are provided. However, a prepayment in relation to investments in infrastructure bonds, shares, units, rental property and arrangements entered into before 11 November 1999 to which product rulings apply, is immediately deductible. </w:t>
      </w:r>
    </w:p>
    <w:p w14:paraId="2086F212" w14:textId="77777777" w:rsidR="00802D3E" w:rsidRDefault="00802D3E" w:rsidP="00802D3E">
      <w:r>
        <w:t xml:space="preserve">In addition, eligible small businesses may immediately deduct prepaid expenditure subject to certain rules. </w:t>
      </w:r>
    </w:p>
    <w:p w14:paraId="2086F213" w14:textId="77777777" w:rsidR="00802D3E" w:rsidRDefault="00802D3E" w:rsidP="00802D3E">
      <w:pPr>
        <w:pStyle w:val="TESHeading5"/>
        <w:ind w:left="0" w:firstLine="0"/>
      </w:pPr>
      <w:r>
        <w:lastRenderedPageBreak/>
        <w:t>B29</w:t>
      </w:r>
      <w:r>
        <w:tab/>
        <w:t>Prepayment rule for small business taxpayers and non-business expenditure by individuals</w:t>
      </w:r>
    </w:p>
    <w:p w14:paraId="2086F214"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21D" w14:textId="77777777" w:rsidTr="00802D3E">
        <w:trPr>
          <w:cantSplit/>
          <w:jc w:val="center"/>
        </w:trPr>
        <w:tc>
          <w:tcPr>
            <w:tcW w:w="967" w:type="dxa"/>
            <w:tcBorders>
              <w:top w:val="single" w:sz="2" w:space="0" w:color="auto"/>
              <w:left w:val="nil"/>
              <w:bottom w:val="single" w:sz="2" w:space="0" w:color="auto"/>
              <w:right w:val="nil"/>
            </w:tcBorders>
            <w:hideMark/>
          </w:tcPr>
          <w:p w14:paraId="2086F21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21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21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21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21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21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21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21C" w14:textId="77777777" w:rsidR="00802D3E" w:rsidRDefault="00802D3E">
            <w:pPr>
              <w:pStyle w:val="MeasureTableTextRightAligned"/>
            </w:pPr>
            <w:r>
              <w:t>2019-20</w:t>
            </w:r>
          </w:p>
        </w:tc>
      </w:tr>
      <w:tr w:rsidR="00802D3E" w14:paraId="2086F226" w14:textId="77777777" w:rsidTr="00802D3E">
        <w:trPr>
          <w:cantSplit/>
          <w:jc w:val="center"/>
        </w:trPr>
        <w:tc>
          <w:tcPr>
            <w:tcW w:w="967" w:type="dxa"/>
            <w:tcBorders>
              <w:top w:val="single" w:sz="2" w:space="0" w:color="auto"/>
              <w:left w:val="nil"/>
              <w:bottom w:val="single" w:sz="2" w:space="0" w:color="auto"/>
              <w:right w:val="nil"/>
            </w:tcBorders>
            <w:hideMark/>
          </w:tcPr>
          <w:p w14:paraId="2086F21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21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2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2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2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22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22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225" w14:textId="77777777" w:rsidR="00802D3E" w:rsidRDefault="00802D3E">
            <w:pPr>
              <w:pStyle w:val="MeasureTableTextRightAligned"/>
            </w:pPr>
            <w:r>
              <w:t>*</w:t>
            </w:r>
          </w:p>
        </w:tc>
      </w:tr>
      <w:tr w:rsidR="00802D3E" w14:paraId="2086F22B" w14:textId="77777777" w:rsidTr="00802D3E">
        <w:trPr>
          <w:cantSplit/>
          <w:jc w:val="center"/>
        </w:trPr>
        <w:tc>
          <w:tcPr>
            <w:tcW w:w="1934" w:type="dxa"/>
            <w:gridSpan w:val="2"/>
            <w:tcBorders>
              <w:top w:val="single" w:sz="2" w:space="0" w:color="auto"/>
              <w:left w:val="nil"/>
              <w:bottom w:val="nil"/>
              <w:right w:val="nil"/>
            </w:tcBorders>
            <w:hideMark/>
          </w:tcPr>
          <w:p w14:paraId="2086F22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228"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22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22A" w14:textId="77777777" w:rsidR="00802D3E" w:rsidRDefault="00802D3E">
            <w:pPr>
              <w:pStyle w:val="MeasureTableTextLeftAligned"/>
            </w:pPr>
            <w:r>
              <w:t>B31</w:t>
            </w:r>
          </w:p>
        </w:tc>
      </w:tr>
      <w:tr w:rsidR="00802D3E" w14:paraId="2086F230" w14:textId="77777777" w:rsidTr="00802D3E">
        <w:trPr>
          <w:cantSplit/>
          <w:jc w:val="center"/>
        </w:trPr>
        <w:tc>
          <w:tcPr>
            <w:tcW w:w="1934" w:type="dxa"/>
            <w:gridSpan w:val="2"/>
            <w:tcBorders>
              <w:top w:val="nil"/>
              <w:left w:val="nil"/>
              <w:bottom w:val="nil"/>
              <w:right w:val="nil"/>
            </w:tcBorders>
            <w:hideMark/>
          </w:tcPr>
          <w:p w14:paraId="2086F22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22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22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22F" w14:textId="77777777" w:rsidR="00802D3E" w:rsidRDefault="00802D3E">
            <w:pPr>
              <w:pStyle w:val="MeasureTableTextLeftAligned"/>
            </w:pPr>
            <w:r>
              <w:t>2+</w:t>
            </w:r>
          </w:p>
        </w:tc>
      </w:tr>
      <w:tr w:rsidR="00802D3E" w14:paraId="2086F235" w14:textId="77777777" w:rsidTr="00802D3E">
        <w:trPr>
          <w:cantSplit/>
          <w:jc w:val="center"/>
        </w:trPr>
        <w:tc>
          <w:tcPr>
            <w:tcW w:w="1934" w:type="dxa"/>
            <w:gridSpan w:val="2"/>
            <w:tcBorders>
              <w:top w:val="nil"/>
              <w:left w:val="nil"/>
              <w:bottom w:val="nil"/>
              <w:right w:val="nil"/>
            </w:tcBorders>
            <w:hideMark/>
          </w:tcPr>
          <w:p w14:paraId="2086F23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232" w14:textId="77777777" w:rsidR="00802D3E" w:rsidRDefault="00802D3E">
            <w:pPr>
              <w:pStyle w:val="MeasureTableTextLeftAligned"/>
            </w:pPr>
            <w:r>
              <w:t>2001</w:t>
            </w:r>
          </w:p>
        </w:tc>
        <w:tc>
          <w:tcPr>
            <w:tcW w:w="1500" w:type="dxa"/>
            <w:gridSpan w:val="2"/>
            <w:tcBorders>
              <w:top w:val="nil"/>
              <w:left w:val="nil"/>
              <w:bottom w:val="nil"/>
              <w:right w:val="nil"/>
            </w:tcBorders>
            <w:hideMark/>
          </w:tcPr>
          <w:p w14:paraId="2086F23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234" w14:textId="77777777" w:rsidR="00802D3E" w:rsidRDefault="00802D3E">
            <w:pPr>
              <w:pStyle w:val="MeasureTableTextLeftAligned"/>
            </w:pPr>
          </w:p>
        </w:tc>
      </w:tr>
      <w:tr w:rsidR="00802D3E" w14:paraId="2086F238" w14:textId="77777777" w:rsidTr="00802D3E">
        <w:trPr>
          <w:cantSplit/>
          <w:jc w:val="center"/>
        </w:trPr>
        <w:tc>
          <w:tcPr>
            <w:tcW w:w="1934" w:type="dxa"/>
            <w:gridSpan w:val="2"/>
            <w:tcBorders>
              <w:top w:val="nil"/>
              <w:left w:val="nil"/>
              <w:bottom w:val="single" w:sz="2" w:space="0" w:color="auto"/>
              <w:right w:val="nil"/>
            </w:tcBorders>
            <w:hideMark/>
          </w:tcPr>
          <w:p w14:paraId="2086F23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237"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82KZM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1936</w:t>
            </w:r>
          </w:p>
        </w:tc>
      </w:tr>
    </w:tbl>
    <w:p w14:paraId="2086F239" w14:textId="77777777" w:rsidR="00802D3E" w:rsidRDefault="00802D3E" w:rsidP="00506822">
      <w:pPr>
        <w:pStyle w:val="SingleParagraph"/>
      </w:pPr>
    </w:p>
    <w:p w14:paraId="2086F23A" w14:textId="77777777" w:rsidR="00802D3E" w:rsidRDefault="00802D3E" w:rsidP="00802D3E">
      <w:r>
        <w:t>Prepayments for qualifying services by eligible small businesses</w:t>
      </w:r>
      <w:r>
        <w:fldChar w:fldCharType="begin"/>
      </w:r>
      <w:r>
        <w:instrText xml:space="preserve"> XE "Small business" </w:instrText>
      </w:r>
      <w:r>
        <w:fldChar w:fldCharType="end"/>
      </w:r>
      <w:r>
        <w:t xml:space="preserve"> and non-business prepayments by individual taxpayers are immediately deductible. </w:t>
      </w:r>
    </w:p>
    <w:p w14:paraId="2086F23B" w14:textId="77777777" w:rsidR="00802D3E" w:rsidRDefault="00802D3E" w:rsidP="00802D3E">
      <w:pPr>
        <w:pStyle w:val="TESHeading5"/>
        <w:ind w:left="0" w:firstLine="0"/>
      </w:pPr>
      <w:r>
        <w:t>B30</w:t>
      </w:r>
      <w:r>
        <w:tab/>
        <w:t>The 10-year rule for prepayments</w:t>
      </w:r>
    </w:p>
    <w:p w14:paraId="2086F23C"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245" w14:textId="77777777" w:rsidTr="00802D3E">
        <w:trPr>
          <w:cantSplit/>
          <w:jc w:val="center"/>
        </w:trPr>
        <w:tc>
          <w:tcPr>
            <w:tcW w:w="967" w:type="dxa"/>
            <w:tcBorders>
              <w:top w:val="single" w:sz="2" w:space="0" w:color="auto"/>
              <w:left w:val="nil"/>
              <w:bottom w:val="single" w:sz="2" w:space="0" w:color="auto"/>
              <w:right w:val="nil"/>
            </w:tcBorders>
            <w:hideMark/>
          </w:tcPr>
          <w:p w14:paraId="2086F23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23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23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24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24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24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24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244" w14:textId="77777777" w:rsidR="00802D3E" w:rsidRDefault="00802D3E">
            <w:pPr>
              <w:pStyle w:val="MeasureTableTextRightAligned"/>
            </w:pPr>
            <w:r>
              <w:t>2019-20</w:t>
            </w:r>
          </w:p>
        </w:tc>
      </w:tr>
      <w:tr w:rsidR="00802D3E" w14:paraId="2086F24E" w14:textId="77777777" w:rsidTr="00802D3E">
        <w:trPr>
          <w:cantSplit/>
          <w:jc w:val="center"/>
        </w:trPr>
        <w:tc>
          <w:tcPr>
            <w:tcW w:w="967" w:type="dxa"/>
            <w:tcBorders>
              <w:top w:val="single" w:sz="2" w:space="0" w:color="auto"/>
              <w:left w:val="nil"/>
              <w:bottom w:val="single" w:sz="2" w:space="0" w:color="auto"/>
              <w:right w:val="nil"/>
            </w:tcBorders>
            <w:hideMark/>
          </w:tcPr>
          <w:p w14:paraId="2086F24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24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4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4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4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24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24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24D" w14:textId="77777777" w:rsidR="00802D3E" w:rsidRDefault="00802D3E">
            <w:pPr>
              <w:pStyle w:val="MeasureTableTextRightAligned"/>
            </w:pPr>
            <w:r>
              <w:t>*</w:t>
            </w:r>
          </w:p>
        </w:tc>
      </w:tr>
      <w:tr w:rsidR="00802D3E" w14:paraId="2086F253" w14:textId="77777777" w:rsidTr="00802D3E">
        <w:trPr>
          <w:cantSplit/>
          <w:jc w:val="center"/>
        </w:trPr>
        <w:tc>
          <w:tcPr>
            <w:tcW w:w="1934" w:type="dxa"/>
            <w:gridSpan w:val="2"/>
            <w:tcBorders>
              <w:top w:val="single" w:sz="2" w:space="0" w:color="auto"/>
              <w:left w:val="nil"/>
              <w:bottom w:val="nil"/>
              <w:right w:val="nil"/>
            </w:tcBorders>
            <w:hideMark/>
          </w:tcPr>
          <w:p w14:paraId="2086F24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250"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25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252" w14:textId="77777777" w:rsidR="00802D3E" w:rsidRDefault="00802D3E">
            <w:pPr>
              <w:pStyle w:val="MeasureTableTextLeftAligned"/>
            </w:pPr>
            <w:r>
              <w:t>B32</w:t>
            </w:r>
          </w:p>
        </w:tc>
      </w:tr>
      <w:tr w:rsidR="00802D3E" w14:paraId="2086F258" w14:textId="77777777" w:rsidTr="00802D3E">
        <w:trPr>
          <w:cantSplit/>
          <w:jc w:val="center"/>
        </w:trPr>
        <w:tc>
          <w:tcPr>
            <w:tcW w:w="1934" w:type="dxa"/>
            <w:gridSpan w:val="2"/>
            <w:tcBorders>
              <w:top w:val="nil"/>
              <w:left w:val="nil"/>
              <w:bottom w:val="nil"/>
              <w:right w:val="nil"/>
            </w:tcBorders>
            <w:hideMark/>
          </w:tcPr>
          <w:p w14:paraId="2086F25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25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25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257" w14:textId="77777777" w:rsidR="00802D3E" w:rsidRDefault="00802D3E">
            <w:pPr>
              <w:pStyle w:val="MeasureTableTextLeftAligned"/>
            </w:pPr>
            <w:r>
              <w:t>1+</w:t>
            </w:r>
          </w:p>
        </w:tc>
      </w:tr>
      <w:tr w:rsidR="00802D3E" w14:paraId="2086F25D" w14:textId="77777777" w:rsidTr="00802D3E">
        <w:trPr>
          <w:cantSplit/>
          <w:jc w:val="center"/>
        </w:trPr>
        <w:tc>
          <w:tcPr>
            <w:tcW w:w="1934" w:type="dxa"/>
            <w:gridSpan w:val="2"/>
            <w:tcBorders>
              <w:top w:val="nil"/>
              <w:left w:val="nil"/>
              <w:bottom w:val="nil"/>
              <w:right w:val="nil"/>
            </w:tcBorders>
            <w:hideMark/>
          </w:tcPr>
          <w:p w14:paraId="2086F25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25A" w14:textId="77777777" w:rsidR="00802D3E" w:rsidRDefault="00802D3E">
            <w:pPr>
              <w:pStyle w:val="MeasureTableTextLeftAligned"/>
            </w:pPr>
            <w:r>
              <w:t>1988</w:t>
            </w:r>
          </w:p>
        </w:tc>
        <w:tc>
          <w:tcPr>
            <w:tcW w:w="1500" w:type="dxa"/>
            <w:gridSpan w:val="2"/>
            <w:tcBorders>
              <w:top w:val="nil"/>
              <w:left w:val="nil"/>
              <w:bottom w:val="nil"/>
              <w:right w:val="nil"/>
            </w:tcBorders>
            <w:hideMark/>
          </w:tcPr>
          <w:p w14:paraId="2086F25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25C" w14:textId="77777777" w:rsidR="00802D3E" w:rsidRDefault="00802D3E">
            <w:pPr>
              <w:pStyle w:val="MeasureTableTextLeftAligned"/>
            </w:pPr>
          </w:p>
        </w:tc>
      </w:tr>
      <w:tr w:rsidR="00802D3E" w14:paraId="2086F260" w14:textId="77777777" w:rsidTr="00802D3E">
        <w:trPr>
          <w:cantSplit/>
          <w:jc w:val="center"/>
        </w:trPr>
        <w:tc>
          <w:tcPr>
            <w:tcW w:w="1934" w:type="dxa"/>
            <w:gridSpan w:val="2"/>
            <w:tcBorders>
              <w:top w:val="nil"/>
              <w:left w:val="nil"/>
              <w:bottom w:val="single" w:sz="2" w:space="0" w:color="auto"/>
              <w:right w:val="nil"/>
            </w:tcBorders>
            <w:hideMark/>
          </w:tcPr>
          <w:p w14:paraId="2086F25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25F"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Subsection 82KZL(1)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1936</w:t>
            </w:r>
          </w:p>
        </w:tc>
      </w:tr>
    </w:tbl>
    <w:p w14:paraId="2086F261" w14:textId="77777777" w:rsidR="00802D3E" w:rsidRDefault="00802D3E" w:rsidP="00506822">
      <w:pPr>
        <w:pStyle w:val="SingleParagraph"/>
      </w:pPr>
    </w:p>
    <w:p w14:paraId="2086F262" w14:textId="082DC30C" w:rsidR="00802D3E" w:rsidRDefault="00802D3E" w:rsidP="00802D3E">
      <w:r>
        <w:t>A prepayment</w:t>
      </w:r>
      <w:r>
        <w:fldChar w:fldCharType="begin"/>
      </w:r>
      <w:r>
        <w:instrText xml:space="preserve"> XE "Prepayments" </w:instrText>
      </w:r>
      <w:r>
        <w:fldChar w:fldCharType="end"/>
      </w:r>
      <w:r>
        <w:t xml:space="preserve"> for services to be provided over a period of 10 years or more (for</w:t>
      </w:r>
      <w:r w:rsidR="00C04EB1">
        <w:t> </w:t>
      </w:r>
      <w:r>
        <w:t xml:space="preserve">example, life membership) is evenly deducted over the first 10 years of that period. The benchmark treatment of prepayments is that they are deductible over the period of the expenditure. The tax expenditure allows deductions to be spread over a shorter period and consequently it allows greater deductions in the first 10 years than the benchmark treatment. </w:t>
      </w:r>
    </w:p>
    <w:p w14:paraId="2086F263" w14:textId="77777777" w:rsidR="00802D3E" w:rsidRDefault="00802D3E" w:rsidP="00802D3E">
      <w:pPr>
        <w:pStyle w:val="TESHeading5"/>
        <w:ind w:left="0" w:firstLine="0"/>
      </w:pPr>
      <w:r>
        <w:t>B31</w:t>
      </w:r>
      <w:r>
        <w:tab/>
        <w:t>Accelerated write-off for forestry managed investment schemes</w:t>
      </w:r>
    </w:p>
    <w:p w14:paraId="2086F264"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26D" w14:textId="77777777" w:rsidTr="00802D3E">
        <w:trPr>
          <w:cantSplit/>
          <w:jc w:val="center"/>
        </w:trPr>
        <w:tc>
          <w:tcPr>
            <w:tcW w:w="967" w:type="dxa"/>
            <w:tcBorders>
              <w:top w:val="single" w:sz="2" w:space="0" w:color="auto"/>
              <w:left w:val="nil"/>
              <w:bottom w:val="single" w:sz="2" w:space="0" w:color="auto"/>
              <w:right w:val="nil"/>
            </w:tcBorders>
            <w:hideMark/>
          </w:tcPr>
          <w:p w14:paraId="2086F26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26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26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26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26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26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26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26C" w14:textId="77777777" w:rsidR="00802D3E" w:rsidRDefault="00802D3E">
            <w:pPr>
              <w:pStyle w:val="MeasureTableTextRightAligned"/>
            </w:pPr>
            <w:r>
              <w:t>2019-20</w:t>
            </w:r>
          </w:p>
        </w:tc>
      </w:tr>
      <w:tr w:rsidR="00802D3E" w14:paraId="2086F276" w14:textId="77777777" w:rsidTr="00802D3E">
        <w:trPr>
          <w:cantSplit/>
          <w:jc w:val="center"/>
        </w:trPr>
        <w:tc>
          <w:tcPr>
            <w:tcW w:w="967" w:type="dxa"/>
            <w:tcBorders>
              <w:top w:val="single" w:sz="2" w:space="0" w:color="auto"/>
              <w:left w:val="nil"/>
              <w:bottom w:val="single" w:sz="2" w:space="0" w:color="auto"/>
              <w:right w:val="nil"/>
            </w:tcBorders>
            <w:hideMark/>
          </w:tcPr>
          <w:p w14:paraId="2086F26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26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7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7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7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27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27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275" w14:textId="77777777" w:rsidR="00802D3E" w:rsidRDefault="00802D3E">
            <w:pPr>
              <w:pStyle w:val="MeasureTableTextRightAligned"/>
            </w:pPr>
            <w:r>
              <w:t>*</w:t>
            </w:r>
          </w:p>
        </w:tc>
      </w:tr>
      <w:tr w:rsidR="00802D3E" w14:paraId="2086F27B" w14:textId="77777777" w:rsidTr="00802D3E">
        <w:trPr>
          <w:cantSplit/>
          <w:jc w:val="center"/>
        </w:trPr>
        <w:tc>
          <w:tcPr>
            <w:tcW w:w="1934" w:type="dxa"/>
            <w:gridSpan w:val="2"/>
            <w:tcBorders>
              <w:top w:val="single" w:sz="2" w:space="0" w:color="auto"/>
              <w:left w:val="nil"/>
              <w:bottom w:val="nil"/>
              <w:right w:val="nil"/>
            </w:tcBorders>
            <w:hideMark/>
          </w:tcPr>
          <w:p w14:paraId="2086F27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278"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27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27A" w14:textId="77777777" w:rsidR="00802D3E" w:rsidRDefault="00802D3E">
            <w:pPr>
              <w:pStyle w:val="MeasureTableTextLeftAligned"/>
            </w:pPr>
            <w:r>
              <w:t>B83</w:t>
            </w:r>
          </w:p>
        </w:tc>
      </w:tr>
      <w:tr w:rsidR="00802D3E" w14:paraId="2086F280" w14:textId="77777777" w:rsidTr="00802D3E">
        <w:trPr>
          <w:cantSplit/>
          <w:jc w:val="center"/>
        </w:trPr>
        <w:tc>
          <w:tcPr>
            <w:tcW w:w="1934" w:type="dxa"/>
            <w:gridSpan w:val="2"/>
            <w:tcBorders>
              <w:top w:val="nil"/>
              <w:left w:val="nil"/>
              <w:bottom w:val="nil"/>
              <w:right w:val="nil"/>
            </w:tcBorders>
            <w:hideMark/>
          </w:tcPr>
          <w:p w14:paraId="2086F27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27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27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27F" w14:textId="77777777" w:rsidR="00802D3E" w:rsidRDefault="00802D3E">
            <w:pPr>
              <w:pStyle w:val="MeasureTableTextLeftAligned"/>
            </w:pPr>
            <w:r>
              <w:t>1+/-</w:t>
            </w:r>
          </w:p>
        </w:tc>
      </w:tr>
      <w:tr w:rsidR="00802D3E" w14:paraId="2086F285" w14:textId="77777777" w:rsidTr="00802D3E">
        <w:trPr>
          <w:cantSplit/>
          <w:jc w:val="center"/>
        </w:trPr>
        <w:tc>
          <w:tcPr>
            <w:tcW w:w="1934" w:type="dxa"/>
            <w:gridSpan w:val="2"/>
            <w:tcBorders>
              <w:top w:val="nil"/>
              <w:left w:val="nil"/>
              <w:bottom w:val="nil"/>
              <w:right w:val="nil"/>
            </w:tcBorders>
            <w:hideMark/>
          </w:tcPr>
          <w:p w14:paraId="2086F28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282" w14:textId="77777777" w:rsidR="00802D3E" w:rsidRDefault="00802D3E">
            <w:pPr>
              <w:pStyle w:val="MeasureTableTextLeftAligned"/>
            </w:pPr>
            <w:r>
              <w:t>1 July 2007</w:t>
            </w:r>
          </w:p>
        </w:tc>
        <w:tc>
          <w:tcPr>
            <w:tcW w:w="1500" w:type="dxa"/>
            <w:gridSpan w:val="2"/>
            <w:tcBorders>
              <w:top w:val="nil"/>
              <w:left w:val="nil"/>
              <w:bottom w:val="nil"/>
              <w:right w:val="nil"/>
            </w:tcBorders>
            <w:hideMark/>
          </w:tcPr>
          <w:p w14:paraId="2086F28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284" w14:textId="77777777" w:rsidR="00802D3E" w:rsidRDefault="00802D3E">
            <w:pPr>
              <w:pStyle w:val="MeasureTableTextLeftAligned"/>
            </w:pPr>
          </w:p>
        </w:tc>
      </w:tr>
      <w:tr w:rsidR="00802D3E" w14:paraId="2086F288" w14:textId="77777777" w:rsidTr="00802D3E">
        <w:trPr>
          <w:cantSplit/>
          <w:jc w:val="center"/>
        </w:trPr>
        <w:tc>
          <w:tcPr>
            <w:tcW w:w="1934" w:type="dxa"/>
            <w:gridSpan w:val="2"/>
            <w:tcBorders>
              <w:top w:val="nil"/>
              <w:left w:val="nil"/>
              <w:bottom w:val="single" w:sz="2" w:space="0" w:color="auto"/>
              <w:right w:val="nil"/>
            </w:tcBorders>
            <w:hideMark/>
          </w:tcPr>
          <w:p w14:paraId="2086F28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287"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Division 394 of the </w:t>
            </w:r>
            <w:r>
              <w:rPr>
                <w:rFonts w:ascii="Arial" w:hAnsi="Arial" w:cs="Arial"/>
                <w:i/>
                <w:iCs/>
                <w:color w:val="000000"/>
                <w:sz w:val="16"/>
                <w:szCs w:val="16"/>
              </w:rPr>
              <w:t>Income Tax Assessment Act 1997</w:t>
            </w:r>
          </w:p>
        </w:tc>
      </w:tr>
    </w:tbl>
    <w:p w14:paraId="2086F289" w14:textId="77777777" w:rsidR="00802D3E" w:rsidRDefault="00802D3E" w:rsidP="00506822">
      <w:pPr>
        <w:pStyle w:val="SingleParagraph"/>
      </w:pPr>
    </w:p>
    <w:p w14:paraId="2086F28A" w14:textId="77777777" w:rsidR="00802D3E" w:rsidRDefault="00802D3E" w:rsidP="00802D3E">
      <w:r>
        <w:t>Investors in forestry managed investment schemes</w:t>
      </w:r>
      <w:r>
        <w:fldChar w:fldCharType="begin"/>
      </w:r>
      <w:r>
        <w:instrText xml:space="preserve"> XE "Forestry managed investment schemes" </w:instrText>
      </w:r>
      <w:r>
        <w:fldChar w:fldCharType="end"/>
      </w:r>
      <w:r>
        <w:t xml:space="preserve"> are able to claim immediate upfront deductions for their expenditure on such schemes, provided that, amongst other requirements, at least 70 per cent of the expenditure is directly related to developing forestry. </w:t>
      </w:r>
    </w:p>
    <w:p w14:paraId="2086F28B" w14:textId="77777777" w:rsidR="00802D3E" w:rsidRDefault="00802D3E" w:rsidP="00802D3E">
      <w:pPr>
        <w:pStyle w:val="TESHeading5"/>
        <w:ind w:left="0" w:firstLine="0"/>
      </w:pPr>
      <w:r>
        <w:lastRenderedPageBreak/>
        <w:t>B32</w:t>
      </w:r>
      <w:r>
        <w:tab/>
        <w:t>Deferral of profit from early sale of double wool clips</w:t>
      </w:r>
    </w:p>
    <w:p w14:paraId="2086F28C"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295" w14:textId="77777777" w:rsidTr="00802D3E">
        <w:trPr>
          <w:cantSplit/>
          <w:jc w:val="center"/>
        </w:trPr>
        <w:tc>
          <w:tcPr>
            <w:tcW w:w="967" w:type="dxa"/>
            <w:tcBorders>
              <w:top w:val="single" w:sz="2" w:space="0" w:color="auto"/>
              <w:left w:val="nil"/>
              <w:bottom w:val="single" w:sz="2" w:space="0" w:color="auto"/>
              <w:right w:val="nil"/>
            </w:tcBorders>
            <w:hideMark/>
          </w:tcPr>
          <w:p w14:paraId="2086F28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28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28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29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29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29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29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294" w14:textId="77777777" w:rsidR="00802D3E" w:rsidRDefault="00802D3E">
            <w:pPr>
              <w:pStyle w:val="MeasureTableTextRightAligned"/>
            </w:pPr>
            <w:r>
              <w:t>2019-20</w:t>
            </w:r>
          </w:p>
        </w:tc>
      </w:tr>
      <w:tr w:rsidR="00802D3E" w14:paraId="2086F29E" w14:textId="77777777" w:rsidTr="00802D3E">
        <w:trPr>
          <w:cantSplit/>
          <w:jc w:val="center"/>
        </w:trPr>
        <w:tc>
          <w:tcPr>
            <w:tcW w:w="967" w:type="dxa"/>
            <w:tcBorders>
              <w:top w:val="single" w:sz="2" w:space="0" w:color="auto"/>
              <w:left w:val="nil"/>
              <w:bottom w:val="single" w:sz="2" w:space="0" w:color="auto"/>
              <w:right w:val="nil"/>
            </w:tcBorders>
            <w:hideMark/>
          </w:tcPr>
          <w:p w14:paraId="2086F29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29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9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9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9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29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29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29D" w14:textId="77777777" w:rsidR="00802D3E" w:rsidRDefault="00802D3E">
            <w:pPr>
              <w:pStyle w:val="MeasureTableTextRightAligned"/>
            </w:pPr>
            <w:r>
              <w:t>*</w:t>
            </w:r>
          </w:p>
        </w:tc>
      </w:tr>
      <w:tr w:rsidR="00802D3E" w14:paraId="2086F2A3" w14:textId="77777777" w:rsidTr="00802D3E">
        <w:trPr>
          <w:cantSplit/>
          <w:jc w:val="center"/>
        </w:trPr>
        <w:tc>
          <w:tcPr>
            <w:tcW w:w="1934" w:type="dxa"/>
            <w:gridSpan w:val="2"/>
            <w:tcBorders>
              <w:top w:val="single" w:sz="2" w:space="0" w:color="auto"/>
              <w:left w:val="nil"/>
              <w:bottom w:val="nil"/>
              <w:right w:val="nil"/>
            </w:tcBorders>
            <w:hideMark/>
          </w:tcPr>
          <w:p w14:paraId="2086F29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2A0"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6F2A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2A2" w14:textId="77777777" w:rsidR="00802D3E" w:rsidRDefault="00802D3E">
            <w:pPr>
              <w:pStyle w:val="MeasureTableTextLeftAligned"/>
            </w:pPr>
            <w:r>
              <w:t>B33</w:t>
            </w:r>
          </w:p>
        </w:tc>
      </w:tr>
      <w:tr w:rsidR="00802D3E" w14:paraId="2086F2A8" w14:textId="77777777" w:rsidTr="00802D3E">
        <w:trPr>
          <w:cantSplit/>
          <w:jc w:val="center"/>
        </w:trPr>
        <w:tc>
          <w:tcPr>
            <w:tcW w:w="1934" w:type="dxa"/>
            <w:gridSpan w:val="2"/>
            <w:tcBorders>
              <w:top w:val="nil"/>
              <w:left w:val="nil"/>
              <w:bottom w:val="nil"/>
              <w:right w:val="nil"/>
            </w:tcBorders>
            <w:hideMark/>
          </w:tcPr>
          <w:p w14:paraId="2086F2A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2A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2A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2A7" w14:textId="77777777" w:rsidR="00802D3E" w:rsidRDefault="00802D3E">
            <w:pPr>
              <w:pStyle w:val="MeasureTableTextLeftAligned"/>
            </w:pPr>
            <w:r>
              <w:t>1+</w:t>
            </w:r>
          </w:p>
        </w:tc>
      </w:tr>
      <w:tr w:rsidR="00802D3E" w14:paraId="2086F2AD" w14:textId="77777777" w:rsidTr="00802D3E">
        <w:trPr>
          <w:cantSplit/>
          <w:jc w:val="center"/>
        </w:trPr>
        <w:tc>
          <w:tcPr>
            <w:tcW w:w="1934" w:type="dxa"/>
            <w:gridSpan w:val="2"/>
            <w:tcBorders>
              <w:top w:val="nil"/>
              <w:left w:val="nil"/>
              <w:bottom w:val="nil"/>
              <w:right w:val="nil"/>
            </w:tcBorders>
            <w:hideMark/>
          </w:tcPr>
          <w:p w14:paraId="2086F2A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2AA" w14:textId="77777777" w:rsidR="00802D3E" w:rsidRDefault="00802D3E">
            <w:pPr>
              <w:pStyle w:val="MeasureTableTextLeftAligned"/>
            </w:pPr>
            <w:r>
              <w:t>1966</w:t>
            </w:r>
          </w:p>
        </w:tc>
        <w:tc>
          <w:tcPr>
            <w:tcW w:w="1500" w:type="dxa"/>
            <w:gridSpan w:val="2"/>
            <w:tcBorders>
              <w:top w:val="nil"/>
              <w:left w:val="nil"/>
              <w:bottom w:val="nil"/>
              <w:right w:val="nil"/>
            </w:tcBorders>
            <w:hideMark/>
          </w:tcPr>
          <w:p w14:paraId="2086F2A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2AC" w14:textId="77777777" w:rsidR="00802D3E" w:rsidRDefault="00802D3E">
            <w:pPr>
              <w:pStyle w:val="MeasureTableTextLeftAligned"/>
            </w:pPr>
          </w:p>
        </w:tc>
      </w:tr>
      <w:tr w:rsidR="00802D3E" w14:paraId="2086F2B0" w14:textId="77777777" w:rsidTr="00802D3E">
        <w:trPr>
          <w:cantSplit/>
          <w:jc w:val="center"/>
        </w:trPr>
        <w:tc>
          <w:tcPr>
            <w:tcW w:w="1934" w:type="dxa"/>
            <w:gridSpan w:val="2"/>
            <w:tcBorders>
              <w:top w:val="nil"/>
              <w:left w:val="nil"/>
              <w:bottom w:val="single" w:sz="2" w:space="0" w:color="auto"/>
              <w:right w:val="nil"/>
            </w:tcBorders>
            <w:hideMark/>
          </w:tcPr>
          <w:p w14:paraId="2086F2A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2AF"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385-135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2B1" w14:textId="77777777" w:rsidR="00802D3E" w:rsidRDefault="00802D3E" w:rsidP="00506822">
      <w:pPr>
        <w:pStyle w:val="SingleParagraph"/>
      </w:pPr>
    </w:p>
    <w:p w14:paraId="2086F2B2" w14:textId="77777777" w:rsidR="00802D3E" w:rsidRDefault="00802D3E" w:rsidP="00802D3E">
      <w:r>
        <w:t>As a consequence of drought, fire or flood, primary producers carrying on a sheep grazing business in Australia may conduct advanced shearing. In these circumstances, a woolgrower may elect to have the assessment of the profit from the advanced shearing</w:t>
      </w:r>
      <w:r>
        <w:fldChar w:fldCharType="begin"/>
      </w:r>
      <w:r>
        <w:instrText xml:space="preserve"> XE "Advanced shearing" </w:instrText>
      </w:r>
      <w:r>
        <w:fldChar w:fldCharType="end"/>
      </w:r>
      <w:r>
        <w:t xml:space="preserve"> deferred to the succeeding income year. </w:t>
      </w:r>
      <w:r>
        <w:fldChar w:fldCharType="begin"/>
      </w:r>
      <w:r>
        <w:instrText xml:space="preserve"> XE "Primary producers" </w:instrText>
      </w:r>
      <w:r>
        <w:fldChar w:fldCharType="end"/>
      </w:r>
    </w:p>
    <w:p w14:paraId="2086F2B3" w14:textId="77777777" w:rsidR="00802D3E" w:rsidRDefault="00802D3E" w:rsidP="00802D3E">
      <w:pPr>
        <w:pStyle w:val="TESHeading5"/>
        <w:ind w:left="0" w:firstLine="0"/>
      </w:pPr>
      <w:r>
        <w:t>B33</w:t>
      </w:r>
      <w:r>
        <w:tab/>
        <w:t>Deferral or spreading of profit from the forced disposal or death of livestock</w:t>
      </w:r>
    </w:p>
    <w:p w14:paraId="2086F2B4"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2BD" w14:textId="77777777" w:rsidTr="00802D3E">
        <w:trPr>
          <w:cantSplit/>
          <w:jc w:val="center"/>
        </w:trPr>
        <w:tc>
          <w:tcPr>
            <w:tcW w:w="967" w:type="dxa"/>
            <w:tcBorders>
              <w:top w:val="single" w:sz="2" w:space="0" w:color="auto"/>
              <w:left w:val="nil"/>
              <w:bottom w:val="single" w:sz="2" w:space="0" w:color="auto"/>
              <w:right w:val="nil"/>
            </w:tcBorders>
            <w:hideMark/>
          </w:tcPr>
          <w:p w14:paraId="2086F2B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2B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2B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2B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2B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2B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2B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2BC" w14:textId="77777777" w:rsidR="00802D3E" w:rsidRDefault="00802D3E">
            <w:pPr>
              <w:pStyle w:val="MeasureTableTextRightAligned"/>
            </w:pPr>
            <w:r>
              <w:t>2019-20</w:t>
            </w:r>
          </w:p>
        </w:tc>
      </w:tr>
      <w:tr w:rsidR="00802D3E" w14:paraId="2086F2C6" w14:textId="77777777" w:rsidTr="00802D3E">
        <w:trPr>
          <w:cantSplit/>
          <w:jc w:val="center"/>
        </w:trPr>
        <w:tc>
          <w:tcPr>
            <w:tcW w:w="967" w:type="dxa"/>
            <w:tcBorders>
              <w:top w:val="single" w:sz="2" w:space="0" w:color="auto"/>
              <w:left w:val="nil"/>
              <w:bottom w:val="single" w:sz="2" w:space="0" w:color="auto"/>
              <w:right w:val="nil"/>
            </w:tcBorders>
            <w:hideMark/>
          </w:tcPr>
          <w:p w14:paraId="2086F2B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2B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C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C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2C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2C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2C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2C5" w14:textId="77777777" w:rsidR="00802D3E" w:rsidRDefault="00802D3E">
            <w:pPr>
              <w:pStyle w:val="MeasureTableTextRightAligned"/>
            </w:pPr>
            <w:r>
              <w:t>*</w:t>
            </w:r>
          </w:p>
        </w:tc>
      </w:tr>
      <w:tr w:rsidR="00802D3E" w14:paraId="2086F2CB" w14:textId="77777777" w:rsidTr="00802D3E">
        <w:trPr>
          <w:cantSplit/>
          <w:jc w:val="center"/>
        </w:trPr>
        <w:tc>
          <w:tcPr>
            <w:tcW w:w="1934" w:type="dxa"/>
            <w:gridSpan w:val="2"/>
            <w:tcBorders>
              <w:top w:val="single" w:sz="2" w:space="0" w:color="auto"/>
              <w:left w:val="nil"/>
              <w:bottom w:val="nil"/>
              <w:right w:val="nil"/>
            </w:tcBorders>
            <w:hideMark/>
          </w:tcPr>
          <w:p w14:paraId="2086F2C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2C8"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6F2C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2CA" w14:textId="77777777" w:rsidR="00802D3E" w:rsidRDefault="00802D3E">
            <w:pPr>
              <w:pStyle w:val="MeasureTableTextLeftAligned"/>
            </w:pPr>
            <w:r>
              <w:t>B34</w:t>
            </w:r>
          </w:p>
        </w:tc>
      </w:tr>
      <w:tr w:rsidR="00802D3E" w14:paraId="2086F2D0" w14:textId="77777777" w:rsidTr="00802D3E">
        <w:trPr>
          <w:cantSplit/>
          <w:jc w:val="center"/>
        </w:trPr>
        <w:tc>
          <w:tcPr>
            <w:tcW w:w="1934" w:type="dxa"/>
            <w:gridSpan w:val="2"/>
            <w:tcBorders>
              <w:top w:val="nil"/>
              <w:left w:val="nil"/>
              <w:bottom w:val="nil"/>
              <w:right w:val="nil"/>
            </w:tcBorders>
            <w:hideMark/>
          </w:tcPr>
          <w:p w14:paraId="2086F2C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2C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2C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2CF" w14:textId="77777777" w:rsidR="00802D3E" w:rsidRDefault="00802D3E">
            <w:pPr>
              <w:pStyle w:val="MeasureTableTextLeftAligned"/>
            </w:pPr>
            <w:r>
              <w:t>2+/-</w:t>
            </w:r>
          </w:p>
        </w:tc>
      </w:tr>
      <w:tr w:rsidR="00802D3E" w14:paraId="2086F2D5" w14:textId="77777777" w:rsidTr="00802D3E">
        <w:trPr>
          <w:cantSplit/>
          <w:jc w:val="center"/>
        </w:trPr>
        <w:tc>
          <w:tcPr>
            <w:tcW w:w="1934" w:type="dxa"/>
            <w:gridSpan w:val="2"/>
            <w:tcBorders>
              <w:top w:val="nil"/>
              <w:left w:val="nil"/>
              <w:bottom w:val="nil"/>
              <w:right w:val="nil"/>
            </w:tcBorders>
            <w:hideMark/>
          </w:tcPr>
          <w:p w14:paraId="2086F2D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2D2" w14:textId="77777777" w:rsidR="00802D3E" w:rsidRDefault="00802D3E">
            <w:pPr>
              <w:pStyle w:val="MeasureTableTextLeftAligned"/>
            </w:pPr>
            <w:r>
              <w:t>1961</w:t>
            </w:r>
          </w:p>
        </w:tc>
        <w:tc>
          <w:tcPr>
            <w:tcW w:w="1500" w:type="dxa"/>
            <w:gridSpan w:val="2"/>
            <w:tcBorders>
              <w:top w:val="nil"/>
              <w:left w:val="nil"/>
              <w:bottom w:val="nil"/>
              <w:right w:val="nil"/>
            </w:tcBorders>
            <w:hideMark/>
          </w:tcPr>
          <w:p w14:paraId="2086F2D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2D4" w14:textId="77777777" w:rsidR="00802D3E" w:rsidRDefault="00802D3E">
            <w:pPr>
              <w:pStyle w:val="MeasureTableTextLeftAligned"/>
            </w:pPr>
          </w:p>
        </w:tc>
      </w:tr>
      <w:tr w:rsidR="00802D3E" w14:paraId="2086F2D8" w14:textId="77777777" w:rsidTr="00802D3E">
        <w:trPr>
          <w:cantSplit/>
          <w:jc w:val="center"/>
        </w:trPr>
        <w:tc>
          <w:tcPr>
            <w:tcW w:w="1934" w:type="dxa"/>
            <w:gridSpan w:val="2"/>
            <w:tcBorders>
              <w:top w:val="nil"/>
              <w:left w:val="nil"/>
              <w:bottom w:val="single" w:sz="2" w:space="0" w:color="auto"/>
              <w:right w:val="nil"/>
            </w:tcBorders>
            <w:hideMark/>
          </w:tcPr>
          <w:p w14:paraId="2086F2D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2D7"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Subdivision 385-E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2D9" w14:textId="77777777" w:rsidR="00802D3E" w:rsidRDefault="00802D3E" w:rsidP="00506822">
      <w:pPr>
        <w:pStyle w:val="SingleParagraph"/>
      </w:pPr>
    </w:p>
    <w:p w14:paraId="2086F2DA" w14:textId="77777777" w:rsidR="00802D3E" w:rsidRDefault="0051476F" w:rsidP="00802D3E">
      <w:r>
        <w:fldChar w:fldCharType="begin"/>
      </w:r>
      <w:r>
        <w:instrText xml:space="preserve"> XE "Primary producers" </w:instrText>
      </w:r>
      <w:r>
        <w:fldChar w:fldCharType="end"/>
      </w:r>
      <w:r w:rsidR="00802D3E">
        <w:t xml:space="preserve">Primary producers who receive income from the forced disposal or death of livestock can elect to defer this income and use it to reduce the cost of replacement livestock within the next five income years. Alternatively, primary producers can elect to spread profits over the next four income years (or 10 years if the forced disposal was in relation to the control of bovine tuberculosis). </w:t>
      </w:r>
    </w:p>
    <w:p w14:paraId="2086F2DB" w14:textId="77777777" w:rsidR="00802D3E" w:rsidRDefault="00802D3E" w:rsidP="00802D3E">
      <w:pPr>
        <w:pStyle w:val="TESHeading5"/>
        <w:ind w:left="0" w:firstLine="0"/>
      </w:pPr>
      <w:r>
        <w:t>B34</w:t>
      </w:r>
      <w:r>
        <w:tab/>
        <w:t>Farm Management Deposit scheme</w:t>
      </w:r>
    </w:p>
    <w:p w14:paraId="2086F2DC"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2E5" w14:textId="77777777" w:rsidTr="00802D3E">
        <w:trPr>
          <w:cantSplit/>
          <w:jc w:val="center"/>
        </w:trPr>
        <w:tc>
          <w:tcPr>
            <w:tcW w:w="967" w:type="dxa"/>
            <w:tcBorders>
              <w:top w:val="single" w:sz="2" w:space="0" w:color="auto"/>
              <w:left w:val="nil"/>
              <w:bottom w:val="single" w:sz="2" w:space="0" w:color="auto"/>
              <w:right w:val="nil"/>
            </w:tcBorders>
            <w:hideMark/>
          </w:tcPr>
          <w:p w14:paraId="2086F2D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2D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2D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2E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2E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2E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2E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2E4" w14:textId="77777777" w:rsidR="00802D3E" w:rsidRDefault="00802D3E">
            <w:pPr>
              <w:pStyle w:val="MeasureTableTextRightAligned"/>
            </w:pPr>
            <w:r>
              <w:t>2019-20</w:t>
            </w:r>
          </w:p>
        </w:tc>
      </w:tr>
      <w:tr w:rsidR="00802D3E" w14:paraId="2086F2EE" w14:textId="77777777" w:rsidTr="00802D3E">
        <w:trPr>
          <w:cantSplit/>
          <w:jc w:val="center"/>
        </w:trPr>
        <w:tc>
          <w:tcPr>
            <w:tcW w:w="967" w:type="dxa"/>
            <w:tcBorders>
              <w:top w:val="single" w:sz="2" w:space="0" w:color="auto"/>
              <w:left w:val="nil"/>
              <w:bottom w:val="single" w:sz="2" w:space="0" w:color="auto"/>
              <w:right w:val="nil"/>
            </w:tcBorders>
            <w:hideMark/>
          </w:tcPr>
          <w:p w14:paraId="2086F2E6" w14:textId="77777777" w:rsidR="00802D3E" w:rsidRDefault="00802D3E">
            <w:pPr>
              <w:pStyle w:val="MeasureTableTextRightAligned"/>
            </w:pPr>
            <w:r>
              <w:t>150</w:t>
            </w:r>
          </w:p>
        </w:tc>
        <w:tc>
          <w:tcPr>
            <w:tcW w:w="967" w:type="dxa"/>
            <w:tcBorders>
              <w:top w:val="single" w:sz="2" w:space="0" w:color="auto"/>
              <w:left w:val="nil"/>
              <w:bottom w:val="single" w:sz="2" w:space="0" w:color="auto"/>
              <w:right w:val="nil"/>
            </w:tcBorders>
            <w:hideMark/>
          </w:tcPr>
          <w:p w14:paraId="2086F2E7" w14:textId="77777777" w:rsidR="00802D3E" w:rsidRDefault="00802D3E">
            <w:pPr>
              <w:pStyle w:val="MeasureTableTextRightAligned"/>
            </w:pPr>
            <w:r>
              <w:t>145</w:t>
            </w:r>
          </w:p>
        </w:tc>
        <w:tc>
          <w:tcPr>
            <w:tcW w:w="967" w:type="dxa"/>
            <w:tcBorders>
              <w:top w:val="single" w:sz="2" w:space="0" w:color="auto"/>
              <w:left w:val="nil"/>
              <w:bottom w:val="single" w:sz="2" w:space="0" w:color="auto"/>
              <w:right w:val="nil"/>
            </w:tcBorders>
            <w:vAlign w:val="bottom"/>
            <w:hideMark/>
          </w:tcPr>
          <w:p w14:paraId="2086F2E8" w14:textId="77777777" w:rsidR="00802D3E" w:rsidRDefault="00802D3E">
            <w:pPr>
              <w:pStyle w:val="MeasureTableTextRightAligned"/>
            </w:pPr>
            <w:r>
              <w:t>170</w:t>
            </w:r>
          </w:p>
        </w:tc>
        <w:tc>
          <w:tcPr>
            <w:tcW w:w="967" w:type="dxa"/>
            <w:tcBorders>
              <w:top w:val="single" w:sz="2" w:space="0" w:color="auto"/>
              <w:left w:val="nil"/>
              <w:bottom w:val="single" w:sz="2" w:space="0" w:color="auto"/>
              <w:right w:val="nil"/>
            </w:tcBorders>
            <w:vAlign w:val="bottom"/>
            <w:hideMark/>
          </w:tcPr>
          <w:p w14:paraId="2086F2E9" w14:textId="77777777" w:rsidR="00802D3E" w:rsidRDefault="00802D3E">
            <w:pPr>
              <w:pStyle w:val="MeasureTableTextRightAligned"/>
            </w:pPr>
            <w:r>
              <w:t>240</w:t>
            </w:r>
          </w:p>
        </w:tc>
        <w:tc>
          <w:tcPr>
            <w:tcW w:w="967" w:type="dxa"/>
            <w:tcBorders>
              <w:top w:val="single" w:sz="2" w:space="0" w:color="auto"/>
              <w:left w:val="nil"/>
              <w:bottom w:val="single" w:sz="2" w:space="0" w:color="auto"/>
              <w:right w:val="nil"/>
            </w:tcBorders>
            <w:vAlign w:val="bottom"/>
            <w:hideMark/>
          </w:tcPr>
          <w:p w14:paraId="2086F2EA" w14:textId="77777777" w:rsidR="00802D3E" w:rsidRDefault="00802D3E">
            <w:pPr>
              <w:pStyle w:val="MeasureTableTextRightAligned"/>
            </w:pPr>
            <w:r>
              <w:t>285</w:t>
            </w:r>
          </w:p>
        </w:tc>
        <w:tc>
          <w:tcPr>
            <w:tcW w:w="967" w:type="dxa"/>
            <w:gridSpan w:val="2"/>
            <w:tcBorders>
              <w:top w:val="single" w:sz="2" w:space="0" w:color="auto"/>
              <w:left w:val="nil"/>
              <w:bottom w:val="single" w:sz="2" w:space="0" w:color="auto"/>
              <w:right w:val="nil"/>
            </w:tcBorders>
            <w:vAlign w:val="bottom"/>
            <w:hideMark/>
          </w:tcPr>
          <w:p w14:paraId="2086F2E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2E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2ED" w14:textId="77777777" w:rsidR="00802D3E" w:rsidRDefault="00802D3E">
            <w:pPr>
              <w:pStyle w:val="MeasureTableTextRightAligned"/>
            </w:pPr>
            <w:r>
              <w:t>*</w:t>
            </w:r>
          </w:p>
        </w:tc>
      </w:tr>
      <w:tr w:rsidR="00802D3E" w14:paraId="2086F2F3" w14:textId="77777777" w:rsidTr="00802D3E">
        <w:trPr>
          <w:cantSplit/>
          <w:jc w:val="center"/>
        </w:trPr>
        <w:tc>
          <w:tcPr>
            <w:tcW w:w="1934" w:type="dxa"/>
            <w:gridSpan w:val="2"/>
            <w:tcBorders>
              <w:top w:val="single" w:sz="2" w:space="0" w:color="auto"/>
              <w:left w:val="nil"/>
              <w:bottom w:val="nil"/>
              <w:right w:val="nil"/>
            </w:tcBorders>
            <w:hideMark/>
          </w:tcPr>
          <w:p w14:paraId="2086F2E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2F0"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6F2F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2F2" w14:textId="77777777" w:rsidR="00802D3E" w:rsidRDefault="00802D3E">
            <w:pPr>
              <w:pStyle w:val="MeasureTableTextLeftAligned"/>
            </w:pPr>
            <w:r>
              <w:t>B35</w:t>
            </w:r>
          </w:p>
        </w:tc>
      </w:tr>
      <w:tr w:rsidR="00802D3E" w14:paraId="2086F2F8" w14:textId="77777777" w:rsidTr="00802D3E">
        <w:trPr>
          <w:cantSplit/>
          <w:jc w:val="center"/>
        </w:trPr>
        <w:tc>
          <w:tcPr>
            <w:tcW w:w="1934" w:type="dxa"/>
            <w:gridSpan w:val="2"/>
            <w:tcBorders>
              <w:top w:val="nil"/>
              <w:left w:val="nil"/>
              <w:bottom w:val="nil"/>
              <w:right w:val="nil"/>
            </w:tcBorders>
            <w:hideMark/>
          </w:tcPr>
          <w:p w14:paraId="2086F2F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2F5" w14:textId="77777777" w:rsidR="00802D3E" w:rsidRDefault="00802D3E">
            <w:pPr>
              <w:pStyle w:val="MeasureTableTextLeftAligned"/>
            </w:pPr>
            <w:r>
              <w:t>Medium</w:t>
            </w:r>
          </w:p>
        </w:tc>
        <w:tc>
          <w:tcPr>
            <w:tcW w:w="1500" w:type="dxa"/>
            <w:gridSpan w:val="2"/>
            <w:tcBorders>
              <w:top w:val="nil"/>
              <w:left w:val="nil"/>
              <w:bottom w:val="nil"/>
              <w:right w:val="nil"/>
            </w:tcBorders>
            <w:hideMark/>
          </w:tcPr>
          <w:p w14:paraId="2086F2F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2F7" w14:textId="77777777" w:rsidR="00802D3E" w:rsidRDefault="00802D3E">
            <w:pPr>
              <w:pStyle w:val="MeasureTableTextLeftAligned"/>
            </w:pPr>
            <w:r>
              <w:t>3+</w:t>
            </w:r>
          </w:p>
        </w:tc>
      </w:tr>
      <w:tr w:rsidR="00802D3E" w14:paraId="2086F2FD" w14:textId="77777777" w:rsidTr="00802D3E">
        <w:trPr>
          <w:cantSplit/>
          <w:jc w:val="center"/>
        </w:trPr>
        <w:tc>
          <w:tcPr>
            <w:tcW w:w="1934" w:type="dxa"/>
            <w:gridSpan w:val="2"/>
            <w:tcBorders>
              <w:top w:val="nil"/>
              <w:left w:val="nil"/>
              <w:bottom w:val="nil"/>
              <w:right w:val="nil"/>
            </w:tcBorders>
            <w:hideMark/>
          </w:tcPr>
          <w:p w14:paraId="2086F2F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2FA" w14:textId="77777777" w:rsidR="00802D3E" w:rsidRDefault="00802D3E">
            <w:pPr>
              <w:pStyle w:val="MeasureTableTextLeftAligned"/>
            </w:pPr>
            <w:r>
              <w:t>1999</w:t>
            </w:r>
          </w:p>
        </w:tc>
        <w:tc>
          <w:tcPr>
            <w:tcW w:w="1500" w:type="dxa"/>
            <w:gridSpan w:val="2"/>
            <w:tcBorders>
              <w:top w:val="nil"/>
              <w:left w:val="nil"/>
              <w:bottom w:val="nil"/>
              <w:right w:val="nil"/>
            </w:tcBorders>
            <w:hideMark/>
          </w:tcPr>
          <w:p w14:paraId="2086F2F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2FC" w14:textId="77777777" w:rsidR="00802D3E" w:rsidRDefault="00802D3E">
            <w:pPr>
              <w:pStyle w:val="MeasureTableTextLeftAligned"/>
            </w:pPr>
          </w:p>
        </w:tc>
      </w:tr>
      <w:tr w:rsidR="00802D3E" w14:paraId="2086F300" w14:textId="77777777" w:rsidTr="00802D3E">
        <w:trPr>
          <w:cantSplit/>
          <w:jc w:val="center"/>
        </w:trPr>
        <w:tc>
          <w:tcPr>
            <w:tcW w:w="1934" w:type="dxa"/>
            <w:gridSpan w:val="2"/>
            <w:tcBorders>
              <w:top w:val="nil"/>
              <w:left w:val="nil"/>
              <w:bottom w:val="single" w:sz="2" w:space="0" w:color="auto"/>
              <w:right w:val="nil"/>
            </w:tcBorders>
            <w:hideMark/>
          </w:tcPr>
          <w:p w14:paraId="2086F2F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2FF"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Division 393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301" w14:textId="77777777" w:rsidR="00802D3E" w:rsidRDefault="00802D3E" w:rsidP="00506822">
      <w:pPr>
        <w:pStyle w:val="SingleParagraph"/>
      </w:pPr>
    </w:p>
    <w:p w14:paraId="2086F302" w14:textId="77777777" w:rsidR="00802D3E" w:rsidRDefault="00802D3E" w:rsidP="00802D3E">
      <w:r>
        <w:t xml:space="preserve">The Farm Management Deposit (FMD) </w:t>
      </w:r>
      <w:r>
        <w:fldChar w:fldCharType="begin"/>
      </w:r>
      <w:r>
        <w:instrText xml:space="preserve"> XE "Farm Management Deposits" </w:instrText>
      </w:r>
      <w:r>
        <w:fldChar w:fldCharType="end"/>
      </w:r>
      <w:r>
        <w:t>scheme allows primary producers (with no more than $100,000 of non</w:t>
      </w:r>
      <w:r>
        <w:noBreakHyphen/>
        <w:t xml:space="preserve">primary production income) to defer their income tax liability. Primary producers are able to claim deductions for their FMD made in the year of deposit, with subsequent withdrawals being subject to assessment in the year of withdrawal. The FMD has a maximum limit on deposits made prior to 1 July 2016 of $400,000 and $800,000 on deposits from 1 July 2016. </w:t>
      </w:r>
      <w:r>
        <w:fldChar w:fldCharType="begin"/>
      </w:r>
      <w:r>
        <w:instrText xml:space="preserve"> XE "Primary producers" </w:instrText>
      </w:r>
      <w:r>
        <w:fldChar w:fldCharType="end"/>
      </w:r>
    </w:p>
    <w:p w14:paraId="2086F303" w14:textId="77777777" w:rsidR="00802D3E" w:rsidRDefault="00802D3E" w:rsidP="00802D3E">
      <w:pPr>
        <w:pStyle w:val="TESHeading5"/>
        <w:ind w:left="0" w:firstLine="0"/>
      </w:pPr>
      <w:r>
        <w:lastRenderedPageBreak/>
        <w:t>B35</w:t>
      </w:r>
      <w:r>
        <w:tab/>
        <w:t>Income tax averaging for primary producers</w:t>
      </w:r>
    </w:p>
    <w:p w14:paraId="2086F304"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30D" w14:textId="77777777" w:rsidTr="00802D3E">
        <w:trPr>
          <w:cantSplit/>
          <w:jc w:val="center"/>
        </w:trPr>
        <w:tc>
          <w:tcPr>
            <w:tcW w:w="967" w:type="dxa"/>
            <w:tcBorders>
              <w:top w:val="single" w:sz="2" w:space="0" w:color="auto"/>
              <w:left w:val="nil"/>
              <w:bottom w:val="single" w:sz="2" w:space="0" w:color="auto"/>
              <w:right w:val="nil"/>
            </w:tcBorders>
            <w:hideMark/>
          </w:tcPr>
          <w:p w14:paraId="2086F30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30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30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30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30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30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30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30C" w14:textId="77777777" w:rsidR="00802D3E" w:rsidRDefault="00802D3E">
            <w:pPr>
              <w:pStyle w:val="MeasureTableTextRightAligned"/>
            </w:pPr>
            <w:r>
              <w:t>2019-20</w:t>
            </w:r>
          </w:p>
        </w:tc>
      </w:tr>
      <w:tr w:rsidR="00802D3E" w14:paraId="2086F316" w14:textId="77777777" w:rsidTr="00802D3E">
        <w:trPr>
          <w:cantSplit/>
          <w:jc w:val="center"/>
        </w:trPr>
        <w:tc>
          <w:tcPr>
            <w:tcW w:w="967" w:type="dxa"/>
            <w:tcBorders>
              <w:top w:val="single" w:sz="2" w:space="0" w:color="auto"/>
              <w:left w:val="nil"/>
              <w:bottom w:val="single" w:sz="2" w:space="0" w:color="auto"/>
              <w:right w:val="nil"/>
            </w:tcBorders>
            <w:hideMark/>
          </w:tcPr>
          <w:p w14:paraId="2086F30E" w14:textId="77777777" w:rsidR="00802D3E" w:rsidRDefault="00802D3E">
            <w:pPr>
              <w:pStyle w:val="MeasureTableTextRightAligned"/>
            </w:pPr>
            <w:r>
              <w:t>140</w:t>
            </w:r>
          </w:p>
        </w:tc>
        <w:tc>
          <w:tcPr>
            <w:tcW w:w="967" w:type="dxa"/>
            <w:tcBorders>
              <w:top w:val="single" w:sz="2" w:space="0" w:color="auto"/>
              <w:left w:val="nil"/>
              <w:bottom w:val="single" w:sz="2" w:space="0" w:color="auto"/>
              <w:right w:val="nil"/>
            </w:tcBorders>
            <w:hideMark/>
          </w:tcPr>
          <w:p w14:paraId="2086F30F" w14:textId="77777777" w:rsidR="00802D3E" w:rsidRDefault="00802D3E">
            <w:pPr>
              <w:pStyle w:val="MeasureTableTextRightAligned"/>
            </w:pPr>
            <w:r>
              <w:t>175</w:t>
            </w:r>
          </w:p>
        </w:tc>
        <w:tc>
          <w:tcPr>
            <w:tcW w:w="967" w:type="dxa"/>
            <w:tcBorders>
              <w:top w:val="single" w:sz="2" w:space="0" w:color="auto"/>
              <w:left w:val="nil"/>
              <w:bottom w:val="single" w:sz="2" w:space="0" w:color="auto"/>
              <w:right w:val="nil"/>
            </w:tcBorders>
            <w:vAlign w:val="bottom"/>
            <w:hideMark/>
          </w:tcPr>
          <w:p w14:paraId="2086F310" w14:textId="77777777" w:rsidR="00802D3E" w:rsidRDefault="00802D3E">
            <w:pPr>
              <w:pStyle w:val="MeasureTableTextRightAligned"/>
            </w:pPr>
            <w:r>
              <w:t>190</w:t>
            </w:r>
          </w:p>
        </w:tc>
        <w:tc>
          <w:tcPr>
            <w:tcW w:w="967" w:type="dxa"/>
            <w:tcBorders>
              <w:top w:val="single" w:sz="2" w:space="0" w:color="auto"/>
              <w:left w:val="nil"/>
              <w:bottom w:val="single" w:sz="2" w:space="0" w:color="auto"/>
              <w:right w:val="nil"/>
            </w:tcBorders>
            <w:vAlign w:val="bottom"/>
            <w:hideMark/>
          </w:tcPr>
          <w:p w14:paraId="2086F31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31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31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31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315" w14:textId="77777777" w:rsidR="00802D3E" w:rsidRDefault="00802D3E">
            <w:pPr>
              <w:pStyle w:val="MeasureTableTextRightAligned"/>
            </w:pPr>
            <w:r>
              <w:t>*</w:t>
            </w:r>
          </w:p>
        </w:tc>
      </w:tr>
      <w:tr w:rsidR="00802D3E" w14:paraId="2086F31B" w14:textId="77777777" w:rsidTr="00802D3E">
        <w:trPr>
          <w:cantSplit/>
          <w:jc w:val="center"/>
        </w:trPr>
        <w:tc>
          <w:tcPr>
            <w:tcW w:w="1934" w:type="dxa"/>
            <w:gridSpan w:val="2"/>
            <w:tcBorders>
              <w:top w:val="single" w:sz="2" w:space="0" w:color="auto"/>
              <w:left w:val="nil"/>
              <w:bottom w:val="nil"/>
              <w:right w:val="nil"/>
            </w:tcBorders>
            <w:hideMark/>
          </w:tcPr>
          <w:p w14:paraId="2086F31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318"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6F31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31A" w14:textId="77777777" w:rsidR="00802D3E" w:rsidRDefault="00802D3E">
            <w:pPr>
              <w:pStyle w:val="MeasureTableTextLeftAligned"/>
            </w:pPr>
            <w:r>
              <w:t>B36</w:t>
            </w:r>
          </w:p>
        </w:tc>
      </w:tr>
      <w:tr w:rsidR="00802D3E" w14:paraId="2086F320" w14:textId="77777777" w:rsidTr="00802D3E">
        <w:trPr>
          <w:cantSplit/>
          <w:jc w:val="center"/>
        </w:trPr>
        <w:tc>
          <w:tcPr>
            <w:tcW w:w="1934" w:type="dxa"/>
            <w:gridSpan w:val="2"/>
            <w:tcBorders>
              <w:top w:val="nil"/>
              <w:left w:val="nil"/>
              <w:bottom w:val="nil"/>
              <w:right w:val="nil"/>
            </w:tcBorders>
            <w:hideMark/>
          </w:tcPr>
          <w:p w14:paraId="2086F31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31D" w14:textId="77777777" w:rsidR="00802D3E" w:rsidRDefault="00802D3E">
            <w:pPr>
              <w:pStyle w:val="MeasureTableTextLeftAligned"/>
            </w:pPr>
            <w:r>
              <w:t>High</w:t>
            </w:r>
          </w:p>
        </w:tc>
        <w:tc>
          <w:tcPr>
            <w:tcW w:w="1500" w:type="dxa"/>
            <w:gridSpan w:val="2"/>
            <w:tcBorders>
              <w:top w:val="nil"/>
              <w:left w:val="nil"/>
              <w:bottom w:val="nil"/>
              <w:right w:val="nil"/>
            </w:tcBorders>
            <w:hideMark/>
          </w:tcPr>
          <w:p w14:paraId="2086F31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31F" w14:textId="77777777" w:rsidR="00802D3E" w:rsidRDefault="00802D3E">
            <w:pPr>
              <w:pStyle w:val="MeasureTableTextLeftAligned"/>
            </w:pPr>
            <w:r>
              <w:t>3+</w:t>
            </w:r>
          </w:p>
        </w:tc>
      </w:tr>
      <w:tr w:rsidR="00802D3E" w14:paraId="2086F325" w14:textId="77777777" w:rsidTr="00802D3E">
        <w:trPr>
          <w:cantSplit/>
          <w:jc w:val="center"/>
        </w:trPr>
        <w:tc>
          <w:tcPr>
            <w:tcW w:w="1934" w:type="dxa"/>
            <w:gridSpan w:val="2"/>
            <w:tcBorders>
              <w:top w:val="nil"/>
              <w:left w:val="nil"/>
              <w:bottom w:val="nil"/>
              <w:right w:val="nil"/>
            </w:tcBorders>
            <w:hideMark/>
          </w:tcPr>
          <w:p w14:paraId="2086F32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322" w14:textId="77777777" w:rsidR="00802D3E" w:rsidRDefault="00802D3E">
            <w:pPr>
              <w:pStyle w:val="MeasureTableTextLeftAligned"/>
            </w:pPr>
            <w:r>
              <w:t>1938</w:t>
            </w:r>
          </w:p>
        </w:tc>
        <w:tc>
          <w:tcPr>
            <w:tcW w:w="1500" w:type="dxa"/>
            <w:gridSpan w:val="2"/>
            <w:tcBorders>
              <w:top w:val="nil"/>
              <w:left w:val="nil"/>
              <w:bottom w:val="nil"/>
              <w:right w:val="nil"/>
            </w:tcBorders>
            <w:hideMark/>
          </w:tcPr>
          <w:p w14:paraId="2086F32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324" w14:textId="77777777" w:rsidR="00802D3E" w:rsidRDefault="00802D3E">
            <w:pPr>
              <w:pStyle w:val="MeasureTableTextLeftAligned"/>
            </w:pPr>
          </w:p>
        </w:tc>
      </w:tr>
      <w:tr w:rsidR="00802D3E" w14:paraId="2086F328" w14:textId="77777777" w:rsidTr="00802D3E">
        <w:trPr>
          <w:cantSplit/>
          <w:jc w:val="center"/>
        </w:trPr>
        <w:tc>
          <w:tcPr>
            <w:tcW w:w="1934" w:type="dxa"/>
            <w:gridSpan w:val="2"/>
            <w:tcBorders>
              <w:top w:val="nil"/>
              <w:left w:val="nil"/>
              <w:bottom w:val="single" w:sz="2" w:space="0" w:color="auto"/>
              <w:right w:val="nil"/>
            </w:tcBorders>
            <w:hideMark/>
          </w:tcPr>
          <w:p w14:paraId="2086F32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327"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Division 392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329" w14:textId="77777777" w:rsidR="00802D3E" w:rsidRDefault="00802D3E" w:rsidP="00506822">
      <w:pPr>
        <w:pStyle w:val="SingleParagraph"/>
      </w:pPr>
    </w:p>
    <w:p w14:paraId="2086F32A" w14:textId="77777777" w:rsidR="00802D3E" w:rsidRDefault="00802D3E" w:rsidP="00802D3E">
      <w:r>
        <w:t xml:space="preserve">Primary producers can elect to pay tax at a tax rate based on their average income earned over the previous five income years to smooth out their income tax liability. </w:t>
      </w:r>
      <w:r>
        <w:fldChar w:fldCharType="begin"/>
      </w:r>
      <w:r>
        <w:instrText xml:space="preserve"> XE "Primary producers" </w:instrText>
      </w:r>
      <w:r>
        <w:fldChar w:fldCharType="end"/>
      </w:r>
    </w:p>
    <w:p w14:paraId="2086F32B" w14:textId="77777777" w:rsidR="00802D3E" w:rsidRDefault="00802D3E" w:rsidP="00802D3E">
      <w:pPr>
        <w:pStyle w:val="TESHeading5"/>
        <w:ind w:left="0" w:firstLine="0"/>
      </w:pPr>
      <w:r>
        <w:t>B36</w:t>
      </w:r>
      <w:r>
        <w:tab/>
        <w:t>Spreading of insurance income for loss of timber or livestock</w:t>
      </w:r>
    </w:p>
    <w:p w14:paraId="2086F32C"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335" w14:textId="77777777" w:rsidTr="00802D3E">
        <w:trPr>
          <w:cantSplit/>
          <w:jc w:val="center"/>
        </w:trPr>
        <w:tc>
          <w:tcPr>
            <w:tcW w:w="967" w:type="dxa"/>
            <w:tcBorders>
              <w:top w:val="single" w:sz="2" w:space="0" w:color="auto"/>
              <w:left w:val="nil"/>
              <w:bottom w:val="single" w:sz="2" w:space="0" w:color="auto"/>
              <w:right w:val="nil"/>
            </w:tcBorders>
            <w:hideMark/>
          </w:tcPr>
          <w:p w14:paraId="2086F32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32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32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33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33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33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33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334" w14:textId="77777777" w:rsidR="00802D3E" w:rsidRDefault="00802D3E">
            <w:pPr>
              <w:pStyle w:val="MeasureTableTextRightAligned"/>
            </w:pPr>
            <w:r>
              <w:t>2019-20</w:t>
            </w:r>
          </w:p>
        </w:tc>
      </w:tr>
      <w:tr w:rsidR="00802D3E" w14:paraId="2086F33E" w14:textId="77777777" w:rsidTr="00802D3E">
        <w:trPr>
          <w:cantSplit/>
          <w:jc w:val="center"/>
        </w:trPr>
        <w:tc>
          <w:tcPr>
            <w:tcW w:w="967" w:type="dxa"/>
            <w:tcBorders>
              <w:top w:val="single" w:sz="2" w:space="0" w:color="auto"/>
              <w:left w:val="nil"/>
              <w:bottom w:val="single" w:sz="2" w:space="0" w:color="auto"/>
              <w:right w:val="nil"/>
            </w:tcBorders>
            <w:hideMark/>
          </w:tcPr>
          <w:p w14:paraId="2086F33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33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33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33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33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33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33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33D" w14:textId="77777777" w:rsidR="00802D3E" w:rsidRDefault="00802D3E">
            <w:pPr>
              <w:pStyle w:val="MeasureTableTextRightAligned"/>
            </w:pPr>
            <w:r>
              <w:t>*</w:t>
            </w:r>
          </w:p>
        </w:tc>
      </w:tr>
      <w:tr w:rsidR="00802D3E" w14:paraId="2086F343" w14:textId="77777777" w:rsidTr="00802D3E">
        <w:trPr>
          <w:cantSplit/>
          <w:jc w:val="center"/>
        </w:trPr>
        <w:tc>
          <w:tcPr>
            <w:tcW w:w="1934" w:type="dxa"/>
            <w:gridSpan w:val="2"/>
            <w:tcBorders>
              <w:top w:val="single" w:sz="2" w:space="0" w:color="auto"/>
              <w:left w:val="nil"/>
              <w:bottom w:val="nil"/>
              <w:right w:val="nil"/>
            </w:tcBorders>
            <w:hideMark/>
          </w:tcPr>
          <w:p w14:paraId="2086F33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340"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6F34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342" w14:textId="77777777" w:rsidR="00802D3E" w:rsidRDefault="00802D3E">
            <w:pPr>
              <w:pStyle w:val="MeasureTableTextLeftAligned"/>
            </w:pPr>
            <w:r>
              <w:t>B37</w:t>
            </w:r>
          </w:p>
        </w:tc>
      </w:tr>
      <w:tr w:rsidR="00802D3E" w14:paraId="2086F348" w14:textId="77777777" w:rsidTr="00802D3E">
        <w:trPr>
          <w:cantSplit/>
          <w:jc w:val="center"/>
        </w:trPr>
        <w:tc>
          <w:tcPr>
            <w:tcW w:w="1934" w:type="dxa"/>
            <w:gridSpan w:val="2"/>
            <w:tcBorders>
              <w:top w:val="nil"/>
              <w:left w:val="nil"/>
              <w:bottom w:val="nil"/>
              <w:right w:val="nil"/>
            </w:tcBorders>
            <w:hideMark/>
          </w:tcPr>
          <w:p w14:paraId="2086F34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34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34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347" w14:textId="77777777" w:rsidR="00802D3E" w:rsidRDefault="00802D3E">
            <w:pPr>
              <w:pStyle w:val="MeasureTableTextLeftAligned"/>
            </w:pPr>
            <w:r>
              <w:t>2+</w:t>
            </w:r>
          </w:p>
        </w:tc>
      </w:tr>
      <w:tr w:rsidR="00802D3E" w14:paraId="2086F34D" w14:textId="77777777" w:rsidTr="00802D3E">
        <w:trPr>
          <w:cantSplit/>
          <w:jc w:val="center"/>
        </w:trPr>
        <w:tc>
          <w:tcPr>
            <w:tcW w:w="1934" w:type="dxa"/>
            <w:gridSpan w:val="2"/>
            <w:tcBorders>
              <w:top w:val="nil"/>
              <w:left w:val="nil"/>
              <w:bottom w:val="nil"/>
              <w:right w:val="nil"/>
            </w:tcBorders>
            <w:hideMark/>
          </w:tcPr>
          <w:p w14:paraId="2086F34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34A" w14:textId="77777777" w:rsidR="00802D3E" w:rsidRDefault="00802D3E">
            <w:pPr>
              <w:pStyle w:val="MeasureTableTextLeftAligned"/>
            </w:pPr>
            <w:r>
              <w:t>1956</w:t>
            </w:r>
          </w:p>
        </w:tc>
        <w:tc>
          <w:tcPr>
            <w:tcW w:w="1500" w:type="dxa"/>
            <w:gridSpan w:val="2"/>
            <w:tcBorders>
              <w:top w:val="nil"/>
              <w:left w:val="nil"/>
              <w:bottom w:val="nil"/>
              <w:right w:val="nil"/>
            </w:tcBorders>
            <w:hideMark/>
          </w:tcPr>
          <w:p w14:paraId="2086F34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34C" w14:textId="77777777" w:rsidR="00802D3E" w:rsidRDefault="00802D3E">
            <w:pPr>
              <w:pStyle w:val="MeasureTableTextLeftAligned"/>
            </w:pPr>
          </w:p>
        </w:tc>
      </w:tr>
      <w:tr w:rsidR="00802D3E" w14:paraId="2086F350" w14:textId="77777777" w:rsidTr="00802D3E">
        <w:trPr>
          <w:cantSplit/>
          <w:jc w:val="center"/>
        </w:trPr>
        <w:tc>
          <w:tcPr>
            <w:tcW w:w="1934" w:type="dxa"/>
            <w:gridSpan w:val="2"/>
            <w:tcBorders>
              <w:top w:val="nil"/>
              <w:left w:val="nil"/>
              <w:bottom w:val="single" w:sz="2" w:space="0" w:color="auto"/>
              <w:right w:val="nil"/>
            </w:tcBorders>
            <w:hideMark/>
          </w:tcPr>
          <w:p w14:paraId="2086F34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34F"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385-130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351" w14:textId="77777777" w:rsidR="00802D3E" w:rsidRDefault="00802D3E" w:rsidP="00506822">
      <w:pPr>
        <w:pStyle w:val="SingleParagraph"/>
      </w:pPr>
    </w:p>
    <w:p w14:paraId="2086F352" w14:textId="77777777" w:rsidR="00802D3E" w:rsidRDefault="00802D3E" w:rsidP="00802D3E">
      <w:r>
        <w:t xml:space="preserve">Insurance payouts may be received in relation to timber lost because of fire, or livestock lost due to natural disasters. Primary producers who receive such insurance payouts can elect to spread the income equally over five income years, resulting in a tax deferral. </w:t>
      </w:r>
      <w:r>
        <w:fldChar w:fldCharType="begin"/>
      </w:r>
      <w:r>
        <w:instrText xml:space="preserve"> XE "Primary producers" </w:instrText>
      </w:r>
      <w:r>
        <w:fldChar w:fldCharType="end"/>
      </w:r>
    </w:p>
    <w:p w14:paraId="2086F353" w14:textId="77777777" w:rsidR="00802D3E" w:rsidRDefault="00802D3E" w:rsidP="00802D3E">
      <w:pPr>
        <w:pStyle w:val="TESHeading5"/>
        <w:ind w:left="0" w:firstLine="0"/>
      </w:pPr>
      <w:r>
        <w:t>B37</w:t>
      </w:r>
      <w:r>
        <w:tab/>
        <w:t>Sustainable Rural Water Use and Infrastructure Program</w:t>
      </w:r>
    </w:p>
    <w:p w14:paraId="2086F354"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35D" w14:textId="77777777" w:rsidTr="00802D3E">
        <w:trPr>
          <w:cantSplit/>
          <w:jc w:val="center"/>
        </w:trPr>
        <w:tc>
          <w:tcPr>
            <w:tcW w:w="967" w:type="dxa"/>
            <w:tcBorders>
              <w:top w:val="single" w:sz="2" w:space="0" w:color="auto"/>
              <w:left w:val="nil"/>
              <w:bottom w:val="single" w:sz="2" w:space="0" w:color="auto"/>
              <w:right w:val="nil"/>
            </w:tcBorders>
            <w:hideMark/>
          </w:tcPr>
          <w:p w14:paraId="2086F35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35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35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35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35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35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35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35C" w14:textId="77777777" w:rsidR="00802D3E" w:rsidRDefault="00802D3E">
            <w:pPr>
              <w:pStyle w:val="MeasureTableTextRightAligned"/>
            </w:pPr>
            <w:r>
              <w:t>2019-20</w:t>
            </w:r>
          </w:p>
        </w:tc>
      </w:tr>
      <w:tr w:rsidR="00802D3E" w14:paraId="2086F366" w14:textId="77777777" w:rsidTr="00802D3E">
        <w:trPr>
          <w:cantSplit/>
          <w:jc w:val="center"/>
        </w:trPr>
        <w:tc>
          <w:tcPr>
            <w:tcW w:w="967" w:type="dxa"/>
            <w:tcBorders>
              <w:top w:val="single" w:sz="2" w:space="0" w:color="auto"/>
              <w:left w:val="nil"/>
              <w:bottom w:val="single" w:sz="2" w:space="0" w:color="auto"/>
              <w:right w:val="nil"/>
            </w:tcBorders>
            <w:hideMark/>
          </w:tcPr>
          <w:p w14:paraId="2086F35E" w14:textId="77777777" w:rsidR="00802D3E" w:rsidRDefault="00802D3E">
            <w:pPr>
              <w:pStyle w:val="MeasureTableTextRightAligned"/>
            </w:pPr>
            <w:r>
              <w:t>30</w:t>
            </w:r>
          </w:p>
        </w:tc>
        <w:tc>
          <w:tcPr>
            <w:tcW w:w="967" w:type="dxa"/>
            <w:tcBorders>
              <w:top w:val="single" w:sz="2" w:space="0" w:color="auto"/>
              <w:left w:val="nil"/>
              <w:bottom w:val="single" w:sz="2" w:space="0" w:color="auto"/>
              <w:right w:val="nil"/>
            </w:tcBorders>
            <w:hideMark/>
          </w:tcPr>
          <w:p w14:paraId="2086F35F" w14:textId="77777777" w:rsidR="00802D3E" w:rsidRDefault="00802D3E">
            <w:pPr>
              <w:pStyle w:val="MeasureTableTextRightAligned"/>
            </w:pPr>
            <w:r>
              <w:t>15</w:t>
            </w:r>
          </w:p>
        </w:tc>
        <w:tc>
          <w:tcPr>
            <w:tcW w:w="967" w:type="dxa"/>
            <w:tcBorders>
              <w:top w:val="single" w:sz="2" w:space="0" w:color="auto"/>
              <w:left w:val="nil"/>
              <w:bottom w:val="single" w:sz="2" w:space="0" w:color="auto"/>
              <w:right w:val="nil"/>
            </w:tcBorders>
            <w:vAlign w:val="bottom"/>
            <w:hideMark/>
          </w:tcPr>
          <w:p w14:paraId="2086F360"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6F36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362" w14:textId="77777777" w:rsidR="00802D3E" w:rsidRDefault="00802D3E">
            <w:pPr>
              <w:pStyle w:val="MeasureTableTextRightAligned"/>
            </w:pPr>
            <w:r>
              <w:t>-10</w:t>
            </w:r>
          </w:p>
        </w:tc>
        <w:tc>
          <w:tcPr>
            <w:tcW w:w="967" w:type="dxa"/>
            <w:gridSpan w:val="2"/>
            <w:tcBorders>
              <w:top w:val="single" w:sz="2" w:space="0" w:color="auto"/>
              <w:left w:val="nil"/>
              <w:bottom w:val="single" w:sz="2" w:space="0" w:color="auto"/>
              <w:right w:val="nil"/>
            </w:tcBorders>
            <w:vAlign w:val="bottom"/>
            <w:hideMark/>
          </w:tcPr>
          <w:p w14:paraId="2086F363" w14:textId="77777777" w:rsidR="00802D3E" w:rsidRDefault="00802D3E">
            <w:pPr>
              <w:pStyle w:val="MeasureTableTextRightAligned"/>
            </w:pPr>
            <w:r>
              <w:t>10</w:t>
            </w:r>
          </w:p>
        </w:tc>
        <w:tc>
          <w:tcPr>
            <w:tcW w:w="967" w:type="dxa"/>
            <w:gridSpan w:val="2"/>
            <w:tcBorders>
              <w:top w:val="single" w:sz="2" w:space="0" w:color="auto"/>
              <w:left w:val="nil"/>
              <w:bottom w:val="single" w:sz="2" w:space="0" w:color="auto"/>
              <w:right w:val="nil"/>
            </w:tcBorders>
            <w:vAlign w:val="bottom"/>
            <w:hideMark/>
          </w:tcPr>
          <w:p w14:paraId="2086F364" w14:textId="77777777" w:rsidR="00802D3E" w:rsidRDefault="00802D3E">
            <w:pPr>
              <w:pStyle w:val="MeasureTableTextRightAligned"/>
            </w:pPr>
            <w:r>
              <w:t>5</w:t>
            </w:r>
          </w:p>
        </w:tc>
        <w:tc>
          <w:tcPr>
            <w:tcW w:w="968" w:type="dxa"/>
            <w:tcBorders>
              <w:top w:val="single" w:sz="2" w:space="0" w:color="auto"/>
              <w:left w:val="nil"/>
              <w:bottom w:val="single" w:sz="2" w:space="0" w:color="auto"/>
              <w:right w:val="nil"/>
            </w:tcBorders>
            <w:vAlign w:val="bottom"/>
            <w:hideMark/>
          </w:tcPr>
          <w:p w14:paraId="2086F365" w14:textId="77777777" w:rsidR="00802D3E" w:rsidRDefault="00802D3E">
            <w:pPr>
              <w:pStyle w:val="MeasureTableTextRightAligned"/>
            </w:pPr>
            <w:r>
              <w:t>-15</w:t>
            </w:r>
          </w:p>
        </w:tc>
      </w:tr>
      <w:tr w:rsidR="00802D3E" w14:paraId="2086F36B" w14:textId="77777777" w:rsidTr="00802D3E">
        <w:trPr>
          <w:cantSplit/>
          <w:jc w:val="center"/>
        </w:trPr>
        <w:tc>
          <w:tcPr>
            <w:tcW w:w="1934" w:type="dxa"/>
            <w:gridSpan w:val="2"/>
            <w:tcBorders>
              <w:top w:val="single" w:sz="2" w:space="0" w:color="auto"/>
              <w:left w:val="nil"/>
              <w:bottom w:val="nil"/>
              <w:right w:val="nil"/>
            </w:tcBorders>
            <w:hideMark/>
          </w:tcPr>
          <w:p w14:paraId="2086F36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36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36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36A" w14:textId="77777777" w:rsidR="00802D3E" w:rsidRDefault="00802D3E">
            <w:pPr>
              <w:pStyle w:val="MeasureTableTextLeftAligned"/>
            </w:pPr>
            <w:r>
              <w:t>B66</w:t>
            </w:r>
          </w:p>
        </w:tc>
      </w:tr>
      <w:tr w:rsidR="00802D3E" w14:paraId="2086F370" w14:textId="77777777" w:rsidTr="00802D3E">
        <w:trPr>
          <w:cantSplit/>
          <w:jc w:val="center"/>
        </w:trPr>
        <w:tc>
          <w:tcPr>
            <w:tcW w:w="1934" w:type="dxa"/>
            <w:gridSpan w:val="2"/>
            <w:tcBorders>
              <w:top w:val="nil"/>
              <w:left w:val="nil"/>
              <w:bottom w:val="nil"/>
              <w:right w:val="nil"/>
            </w:tcBorders>
            <w:hideMark/>
          </w:tcPr>
          <w:p w14:paraId="2086F36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36D"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F36E" w14:textId="77777777" w:rsidR="00802D3E" w:rsidRDefault="00802D3E">
            <w:pPr>
              <w:pStyle w:val="MeasureTableTextItalic"/>
            </w:pPr>
          </w:p>
        </w:tc>
        <w:tc>
          <w:tcPr>
            <w:tcW w:w="1124" w:type="dxa"/>
            <w:gridSpan w:val="2"/>
            <w:tcBorders>
              <w:top w:val="nil"/>
              <w:left w:val="nil"/>
              <w:bottom w:val="nil"/>
              <w:right w:val="nil"/>
            </w:tcBorders>
          </w:tcPr>
          <w:p w14:paraId="2086F36F" w14:textId="77777777" w:rsidR="00802D3E" w:rsidRDefault="00802D3E">
            <w:pPr>
              <w:pStyle w:val="MeasureTableTextLeftAligned"/>
            </w:pPr>
          </w:p>
        </w:tc>
      </w:tr>
      <w:tr w:rsidR="00802D3E" w14:paraId="2086F375" w14:textId="77777777" w:rsidTr="00802D3E">
        <w:trPr>
          <w:cantSplit/>
          <w:jc w:val="center"/>
        </w:trPr>
        <w:tc>
          <w:tcPr>
            <w:tcW w:w="1934" w:type="dxa"/>
            <w:gridSpan w:val="2"/>
            <w:tcBorders>
              <w:top w:val="nil"/>
              <w:left w:val="nil"/>
              <w:bottom w:val="nil"/>
              <w:right w:val="nil"/>
            </w:tcBorders>
            <w:hideMark/>
          </w:tcPr>
          <w:p w14:paraId="2086F37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372" w14:textId="77777777" w:rsidR="00802D3E" w:rsidRDefault="00802D3E">
            <w:pPr>
              <w:pStyle w:val="MeasureTableTextLeftAligned"/>
            </w:pPr>
            <w:r>
              <w:t>1 April 2010</w:t>
            </w:r>
          </w:p>
        </w:tc>
        <w:tc>
          <w:tcPr>
            <w:tcW w:w="1500" w:type="dxa"/>
            <w:gridSpan w:val="2"/>
            <w:tcBorders>
              <w:top w:val="nil"/>
              <w:left w:val="nil"/>
              <w:bottom w:val="nil"/>
              <w:right w:val="nil"/>
            </w:tcBorders>
            <w:hideMark/>
          </w:tcPr>
          <w:p w14:paraId="2086F37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374" w14:textId="77777777" w:rsidR="00802D3E" w:rsidRDefault="00802D3E">
            <w:pPr>
              <w:pStyle w:val="MeasureTableTextLeftAligned"/>
            </w:pPr>
          </w:p>
        </w:tc>
      </w:tr>
      <w:tr w:rsidR="00802D3E" w14:paraId="2086F378" w14:textId="77777777" w:rsidTr="00802D3E">
        <w:trPr>
          <w:cantSplit/>
          <w:jc w:val="center"/>
        </w:trPr>
        <w:tc>
          <w:tcPr>
            <w:tcW w:w="1934" w:type="dxa"/>
            <w:gridSpan w:val="2"/>
            <w:tcBorders>
              <w:top w:val="nil"/>
              <w:left w:val="nil"/>
              <w:bottom w:val="single" w:sz="2" w:space="0" w:color="auto"/>
              <w:right w:val="nil"/>
            </w:tcBorders>
            <w:hideMark/>
          </w:tcPr>
          <w:p w14:paraId="2086F37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377"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 xml:space="preserve">Section 59-65 of the </w:t>
            </w:r>
            <w:r w:rsidRPr="00B029D6">
              <w:rPr>
                <w:rFonts w:ascii="Arial" w:hAnsi="Arial" w:cs="Arial"/>
                <w:i/>
                <w:iCs/>
                <w:color w:val="000000"/>
                <w:sz w:val="16"/>
                <w:szCs w:val="16"/>
              </w:rPr>
              <w:t>Income Tax Assessment Act 1997</w:t>
            </w:r>
          </w:p>
        </w:tc>
      </w:tr>
    </w:tbl>
    <w:p w14:paraId="2086F379" w14:textId="77777777" w:rsidR="00802D3E" w:rsidRDefault="00802D3E" w:rsidP="00506822">
      <w:pPr>
        <w:pStyle w:val="SingleParagraph"/>
      </w:pPr>
    </w:p>
    <w:p w14:paraId="2086F37A" w14:textId="77777777" w:rsidR="00802D3E" w:rsidRDefault="00802D3E" w:rsidP="00802D3E">
      <w:r>
        <w:t>Taxpayers can choose to make payments received under eligible Sustainable Rural Water Use and Infrastructure Program</w:t>
      </w:r>
      <w:r>
        <w:fldChar w:fldCharType="begin"/>
      </w:r>
      <w:r>
        <w:instrText xml:space="preserve"> XE "Sustainable Rural Water Use and Infrastructure Program" </w:instrText>
      </w:r>
      <w:r>
        <w:fldChar w:fldCharType="end"/>
      </w:r>
      <w:r>
        <w:t xml:space="preserve"> agreements free of income tax (including capital gains tax), with expenditures funded by such payments not being deductible. </w:t>
      </w:r>
    </w:p>
    <w:p w14:paraId="2086F37B" w14:textId="77777777" w:rsidR="00802D3E" w:rsidRDefault="00802D3E" w:rsidP="00802D3E">
      <w:pPr>
        <w:pStyle w:val="TESHeading5"/>
        <w:ind w:left="0" w:firstLine="0"/>
      </w:pPr>
      <w:r>
        <w:lastRenderedPageBreak/>
        <w:t>B38</w:t>
      </w:r>
      <w:r>
        <w:tab/>
        <w:t>Valuation of livestock from natural increase</w:t>
      </w:r>
    </w:p>
    <w:p w14:paraId="2086F37C"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385" w14:textId="77777777" w:rsidTr="00802D3E">
        <w:trPr>
          <w:cantSplit/>
          <w:jc w:val="center"/>
        </w:trPr>
        <w:tc>
          <w:tcPr>
            <w:tcW w:w="967" w:type="dxa"/>
            <w:tcBorders>
              <w:top w:val="single" w:sz="2" w:space="0" w:color="auto"/>
              <w:left w:val="nil"/>
              <w:bottom w:val="single" w:sz="2" w:space="0" w:color="auto"/>
              <w:right w:val="nil"/>
            </w:tcBorders>
            <w:hideMark/>
          </w:tcPr>
          <w:p w14:paraId="2086F37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37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37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38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38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38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38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384" w14:textId="77777777" w:rsidR="00802D3E" w:rsidRDefault="00802D3E">
            <w:pPr>
              <w:pStyle w:val="MeasureTableTextRightAligned"/>
            </w:pPr>
            <w:r>
              <w:t>2019-20</w:t>
            </w:r>
          </w:p>
        </w:tc>
      </w:tr>
      <w:tr w:rsidR="00802D3E" w14:paraId="2086F38E" w14:textId="77777777" w:rsidTr="00802D3E">
        <w:trPr>
          <w:cantSplit/>
          <w:jc w:val="center"/>
        </w:trPr>
        <w:tc>
          <w:tcPr>
            <w:tcW w:w="967" w:type="dxa"/>
            <w:tcBorders>
              <w:top w:val="single" w:sz="2" w:space="0" w:color="auto"/>
              <w:left w:val="nil"/>
              <w:bottom w:val="single" w:sz="2" w:space="0" w:color="auto"/>
              <w:right w:val="nil"/>
            </w:tcBorders>
            <w:hideMark/>
          </w:tcPr>
          <w:p w14:paraId="2086F38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38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38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38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38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38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38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38D" w14:textId="77777777" w:rsidR="00802D3E" w:rsidRDefault="00802D3E">
            <w:pPr>
              <w:pStyle w:val="MeasureTableTextRightAligned"/>
            </w:pPr>
            <w:r>
              <w:t>*</w:t>
            </w:r>
          </w:p>
        </w:tc>
      </w:tr>
      <w:tr w:rsidR="00802D3E" w14:paraId="2086F393" w14:textId="77777777" w:rsidTr="00802D3E">
        <w:trPr>
          <w:cantSplit/>
          <w:jc w:val="center"/>
        </w:trPr>
        <w:tc>
          <w:tcPr>
            <w:tcW w:w="1934" w:type="dxa"/>
            <w:gridSpan w:val="2"/>
            <w:tcBorders>
              <w:top w:val="single" w:sz="2" w:space="0" w:color="auto"/>
              <w:left w:val="nil"/>
              <w:bottom w:val="nil"/>
              <w:right w:val="nil"/>
            </w:tcBorders>
            <w:hideMark/>
          </w:tcPr>
          <w:p w14:paraId="2086F38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390" w14:textId="77777777" w:rsidR="00802D3E" w:rsidRDefault="00802D3E">
            <w:pPr>
              <w:pStyle w:val="MeasureTableTextLeftAligned"/>
            </w:pPr>
            <w:r>
              <w:t>Discounted valuation</w:t>
            </w:r>
          </w:p>
        </w:tc>
        <w:tc>
          <w:tcPr>
            <w:tcW w:w="1500" w:type="dxa"/>
            <w:gridSpan w:val="2"/>
            <w:tcBorders>
              <w:top w:val="single" w:sz="2" w:space="0" w:color="auto"/>
              <w:left w:val="nil"/>
              <w:bottom w:val="nil"/>
              <w:right w:val="nil"/>
            </w:tcBorders>
            <w:hideMark/>
          </w:tcPr>
          <w:p w14:paraId="2086F39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392" w14:textId="77777777" w:rsidR="00802D3E" w:rsidRDefault="00802D3E">
            <w:pPr>
              <w:pStyle w:val="MeasureTableTextLeftAligned"/>
            </w:pPr>
            <w:r>
              <w:t>B38</w:t>
            </w:r>
          </w:p>
        </w:tc>
      </w:tr>
      <w:tr w:rsidR="00802D3E" w14:paraId="2086F398" w14:textId="77777777" w:rsidTr="00802D3E">
        <w:trPr>
          <w:cantSplit/>
          <w:jc w:val="center"/>
        </w:trPr>
        <w:tc>
          <w:tcPr>
            <w:tcW w:w="1934" w:type="dxa"/>
            <w:gridSpan w:val="2"/>
            <w:tcBorders>
              <w:top w:val="nil"/>
              <w:left w:val="nil"/>
              <w:bottom w:val="nil"/>
              <w:right w:val="nil"/>
            </w:tcBorders>
            <w:hideMark/>
          </w:tcPr>
          <w:p w14:paraId="2086F39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39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39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397" w14:textId="77777777" w:rsidR="00802D3E" w:rsidRDefault="00802D3E">
            <w:pPr>
              <w:pStyle w:val="MeasureTableTextLeftAligned"/>
            </w:pPr>
            <w:r>
              <w:t>2+</w:t>
            </w:r>
          </w:p>
        </w:tc>
      </w:tr>
      <w:tr w:rsidR="00802D3E" w14:paraId="2086F39D" w14:textId="77777777" w:rsidTr="00802D3E">
        <w:trPr>
          <w:cantSplit/>
          <w:jc w:val="center"/>
        </w:trPr>
        <w:tc>
          <w:tcPr>
            <w:tcW w:w="1934" w:type="dxa"/>
            <w:gridSpan w:val="2"/>
            <w:tcBorders>
              <w:top w:val="nil"/>
              <w:left w:val="nil"/>
              <w:bottom w:val="nil"/>
              <w:right w:val="nil"/>
            </w:tcBorders>
            <w:hideMark/>
          </w:tcPr>
          <w:p w14:paraId="2086F39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39A" w14:textId="77777777" w:rsidR="00802D3E" w:rsidRDefault="00802D3E">
            <w:pPr>
              <w:pStyle w:val="MeasureTableTextLeftAligned"/>
            </w:pPr>
            <w:r>
              <w:t>1951</w:t>
            </w:r>
          </w:p>
        </w:tc>
        <w:tc>
          <w:tcPr>
            <w:tcW w:w="1500" w:type="dxa"/>
            <w:gridSpan w:val="2"/>
            <w:tcBorders>
              <w:top w:val="nil"/>
              <w:left w:val="nil"/>
              <w:bottom w:val="nil"/>
              <w:right w:val="nil"/>
            </w:tcBorders>
            <w:hideMark/>
          </w:tcPr>
          <w:p w14:paraId="2086F39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39C" w14:textId="77777777" w:rsidR="00802D3E" w:rsidRDefault="00802D3E">
            <w:pPr>
              <w:pStyle w:val="MeasureTableTextLeftAligned"/>
            </w:pPr>
          </w:p>
        </w:tc>
      </w:tr>
      <w:tr w:rsidR="00802D3E" w14:paraId="2086F3A0" w14:textId="77777777" w:rsidTr="00802D3E">
        <w:trPr>
          <w:cantSplit/>
          <w:jc w:val="center"/>
        </w:trPr>
        <w:tc>
          <w:tcPr>
            <w:tcW w:w="1934" w:type="dxa"/>
            <w:gridSpan w:val="2"/>
            <w:tcBorders>
              <w:top w:val="nil"/>
              <w:left w:val="nil"/>
              <w:bottom w:val="single" w:sz="2" w:space="0" w:color="auto"/>
              <w:right w:val="nil"/>
            </w:tcBorders>
            <w:hideMark/>
          </w:tcPr>
          <w:p w14:paraId="2086F39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39F"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Subdivision 70-C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3A1" w14:textId="77777777" w:rsidR="00802D3E" w:rsidRDefault="00802D3E" w:rsidP="00506822">
      <w:pPr>
        <w:pStyle w:val="SingleParagraph"/>
      </w:pPr>
    </w:p>
    <w:p w14:paraId="2086F3A2" w14:textId="77777777" w:rsidR="00802D3E" w:rsidRDefault="00802D3E" w:rsidP="00802D3E">
      <w:r>
        <w:t xml:space="preserve">For the purpose of working out the value of trading stock, several different methods are available for determining the value of animals acquired by natural increase. These methods may produce a value different to the actual cost of production, creating a tax expenditure. </w:t>
      </w:r>
    </w:p>
    <w:p w14:paraId="2086F3A3" w14:textId="77777777" w:rsidR="00802D3E" w:rsidRDefault="00802D3E" w:rsidP="00802D3E">
      <w:pPr>
        <w:pStyle w:val="TESHeading5"/>
        <w:ind w:left="0" w:firstLine="0"/>
      </w:pPr>
      <w:r>
        <w:t>B39</w:t>
      </w:r>
      <w:r>
        <w:tab/>
        <w:t>Denial of depreciation deduction for car value above the car limit</w:t>
      </w:r>
    </w:p>
    <w:p w14:paraId="2086F3A4" w14:textId="77777777" w:rsidR="00802D3E" w:rsidRDefault="00802D3E" w:rsidP="00802D3E">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3AD" w14:textId="77777777" w:rsidTr="00802D3E">
        <w:trPr>
          <w:cantSplit/>
          <w:jc w:val="center"/>
        </w:trPr>
        <w:tc>
          <w:tcPr>
            <w:tcW w:w="967" w:type="dxa"/>
            <w:tcBorders>
              <w:top w:val="single" w:sz="2" w:space="0" w:color="auto"/>
              <w:left w:val="nil"/>
              <w:bottom w:val="single" w:sz="2" w:space="0" w:color="auto"/>
              <w:right w:val="nil"/>
            </w:tcBorders>
            <w:hideMark/>
          </w:tcPr>
          <w:p w14:paraId="2086F3A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3A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3A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3A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3A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3A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3A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3AC" w14:textId="77777777" w:rsidR="00802D3E" w:rsidRDefault="00802D3E">
            <w:pPr>
              <w:pStyle w:val="MeasureTableTextRightAligned"/>
            </w:pPr>
            <w:r>
              <w:t>2019-20</w:t>
            </w:r>
          </w:p>
        </w:tc>
      </w:tr>
      <w:tr w:rsidR="00802D3E" w14:paraId="2086F3B6" w14:textId="77777777" w:rsidTr="00802D3E">
        <w:trPr>
          <w:cantSplit/>
          <w:jc w:val="center"/>
        </w:trPr>
        <w:tc>
          <w:tcPr>
            <w:tcW w:w="967" w:type="dxa"/>
            <w:tcBorders>
              <w:top w:val="single" w:sz="2" w:space="0" w:color="auto"/>
              <w:left w:val="nil"/>
              <w:bottom w:val="single" w:sz="2" w:space="0" w:color="auto"/>
              <w:right w:val="nil"/>
            </w:tcBorders>
            <w:hideMark/>
          </w:tcPr>
          <w:p w14:paraId="2086F3AE" w14:textId="77777777" w:rsidR="00802D3E" w:rsidRDefault="00802D3E">
            <w:pPr>
              <w:pStyle w:val="MeasureTableTextRightAligned"/>
            </w:pPr>
            <w:r>
              <w:t>-140</w:t>
            </w:r>
          </w:p>
        </w:tc>
        <w:tc>
          <w:tcPr>
            <w:tcW w:w="967" w:type="dxa"/>
            <w:tcBorders>
              <w:top w:val="single" w:sz="2" w:space="0" w:color="auto"/>
              <w:left w:val="nil"/>
              <w:bottom w:val="single" w:sz="2" w:space="0" w:color="auto"/>
              <w:right w:val="nil"/>
            </w:tcBorders>
            <w:hideMark/>
          </w:tcPr>
          <w:p w14:paraId="2086F3AF" w14:textId="77777777" w:rsidR="00802D3E" w:rsidRDefault="00802D3E">
            <w:pPr>
              <w:pStyle w:val="MeasureTableTextRightAligned"/>
            </w:pPr>
            <w:r>
              <w:t>-130</w:t>
            </w:r>
          </w:p>
        </w:tc>
        <w:tc>
          <w:tcPr>
            <w:tcW w:w="967" w:type="dxa"/>
            <w:tcBorders>
              <w:top w:val="single" w:sz="2" w:space="0" w:color="auto"/>
              <w:left w:val="nil"/>
              <w:bottom w:val="single" w:sz="2" w:space="0" w:color="auto"/>
              <w:right w:val="nil"/>
            </w:tcBorders>
            <w:vAlign w:val="bottom"/>
            <w:hideMark/>
          </w:tcPr>
          <w:p w14:paraId="2086F3B0" w14:textId="77777777" w:rsidR="00802D3E" w:rsidRDefault="00802D3E">
            <w:pPr>
              <w:pStyle w:val="MeasureTableTextRightAligned"/>
            </w:pPr>
            <w:r>
              <w:t>-130</w:t>
            </w:r>
          </w:p>
        </w:tc>
        <w:tc>
          <w:tcPr>
            <w:tcW w:w="967" w:type="dxa"/>
            <w:tcBorders>
              <w:top w:val="single" w:sz="2" w:space="0" w:color="auto"/>
              <w:left w:val="nil"/>
              <w:bottom w:val="single" w:sz="2" w:space="0" w:color="auto"/>
              <w:right w:val="nil"/>
            </w:tcBorders>
            <w:vAlign w:val="bottom"/>
            <w:hideMark/>
          </w:tcPr>
          <w:p w14:paraId="2086F3B1" w14:textId="77777777" w:rsidR="00802D3E" w:rsidRDefault="00802D3E">
            <w:pPr>
              <w:pStyle w:val="MeasureTableTextRightAligned"/>
            </w:pPr>
            <w:r>
              <w:t>-140</w:t>
            </w:r>
          </w:p>
        </w:tc>
        <w:tc>
          <w:tcPr>
            <w:tcW w:w="967" w:type="dxa"/>
            <w:tcBorders>
              <w:top w:val="single" w:sz="2" w:space="0" w:color="auto"/>
              <w:left w:val="nil"/>
              <w:bottom w:val="single" w:sz="2" w:space="0" w:color="auto"/>
              <w:right w:val="nil"/>
            </w:tcBorders>
            <w:vAlign w:val="bottom"/>
            <w:hideMark/>
          </w:tcPr>
          <w:p w14:paraId="2086F3B2" w14:textId="77777777" w:rsidR="00802D3E" w:rsidRDefault="00802D3E">
            <w:pPr>
              <w:pStyle w:val="MeasureTableTextRightAligned"/>
            </w:pPr>
            <w:r>
              <w:t>-150</w:t>
            </w:r>
          </w:p>
        </w:tc>
        <w:tc>
          <w:tcPr>
            <w:tcW w:w="967" w:type="dxa"/>
            <w:gridSpan w:val="2"/>
            <w:tcBorders>
              <w:top w:val="single" w:sz="2" w:space="0" w:color="auto"/>
              <w:left w:val="nil"/>
              <w:bottom w:val="single" w:sz="2" w:space="0" w:color="auto"/>
              <w:right w:val="nil"/>
            </w:tcBorders>
            <w:vAlign w:val="bottom"/>
            <w:hideMark/>
          </w:tcPr>
          <w:p w14:paraId="2086F3B3" w14:textId="77777777" w:rsidR="00802D3E" w:rsidRDefault="00802D3E">
            <w:pPr>
              <w:pStyle w:val="MeasureTableTextRightAligned"/>
            </w:pPr>
            <w:r>
              <w:t>-150</w:t>
            </w:r>
          </w:p>
        </w:tc>
        <w:tc>
          <w:tcPr>
            <w:tcW w:w="967" w:type="dxa"/>
            <w:gridSpan w:val="2"/>
            <w:tcBorders>
              <w:top w:val="single" w:sz="2" w:space="0" w:color="auto"/>
              <w:left w:val="nil"/>
              <w:bottom w:val="single" w:sz="2" w:space="0" w:color="auto"/>
              <w:right w:val="nil"/>
            </w:tcBorders>
            <w:vAlign w:val="bottom"/>
            <w:hideMark/>
          </w:tcPr>
          <w:p w14:paraId="2086F3B4" w14:textId="77777777" w:rsidR="00802D3E" w:rsidRDefault="00802D3E">
            <w:pPr>
              <w:pStyle w:val="MeasureTableTextRightAligned"/>
            </w:pPr>
            <w:r>
              <w:t>-160</w:t>
            </w:r>
          </w:p>
        </w:tc>
        <w:tc>
          <w:tcPr>
            <w:tcW w:w="968" w:type="dxa"/>
            <w:tcBorders>
              <w:top w:val="single" w:sz="2" w:space="0" w:color="auto"/>
              <w:left w:val="nil"/>
              <w:bottom w:val="single" w:sz="2" w:space="0" w:color="auto"/>
              <w:right w:val="nil"/>
            </w:tcBorders>
            <w:vAlign w:val="bottom"/>
            <w:hideMark/>
          </w:tcPr>
          <w:p w14:paraId="2086F3B5" w14:textId="77777777" w:rsidR="00802D3E" w:rsidRDefault="00802D3E">
            <w:pPr>
              <w:pStyle w:val="MeasureTableTextRightAligned"/>
            </w:pPr>
            <w:r>
              <w:t>-160</w:t>
            </w:r>
          </w:p>
        </w:tc>
      </w:tr>
      <w:tr w:rsidR="00802D3E" w14:paraId="2086F3BB" w14:textId="77777777" w:rsidTr="00802D3E">
        <w:trPr>
          <w:cantSplit/>
          <w:jc w:val="center"/>
        </w:trPr>
        <w:tc>
          <w:tcPr>
            <w:tcW w:w="1934" w:type="dxa"/>
            <w:gridSpan w:val="2"/>
            <w:tcBorders>
              <w:top w:val="single" w:sz="2" w:space="0" w:color="auto"/>
              <w:left w:val="nil"/>
              <w:bottom w:val="nil"/>
              <w:right w:val="nil"/>
            </w:tcBorders>
            <w:hideMark/>
          </w:tcPr>
          <w:p w14:paraId="2086F3B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3B8" w14:textId="77777777" w:rsidR="00802D3E" w:rsidRDefault="00802D3E">
            <w:pPr>
              <w:pStyle w:val="MeasureTableTextLeftAligned"/>
            </w:pPr>
            <w:r>
              <w:t>Denial of deduction</w:t>
            </w:r>
          </w:p>
        </w:tc>
        <w:tc>
          <w:tcPr>
            <w:tcW w:w="1500" w:type="dxa"/>
            <w:gridSpan w:val="2"/>
            <w:tcBorders>
              <w:top w:val="single" w:sz="2" w:space="0" w:color="auto"/>
              <w:left w:val="nil"/>
              <w:bottom w:val="nil"/>
              <w:right w:val="nil"/>
            </w:tcBorders>
            <w:hideMark/>
          </w:tcPr>
          <w:p w14:paraId="2086F3B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3BA" w14:textId="77777777" w:rsidR="00802D3E" w:rsidRDefault="00802D3E">
            <w:pPr>
              <w:pStyle w:val="MeasureTableTextLeftAligned"/>
            </w:pPr>
            <w:r>
              <w:t>B39</w:t>
            </w:r>
          </w:p>
        </w:tc>
      </w:tr>
      <w:tr w:rsidR="00802D3E" w14:paraId="2086F3C0" w14:textId="77777777" w:rsidTr="00802D3E">
        <w:trPr>
          <w:cantSplit/>
          <w:jc w:val="center"/>
        </w:trPr>
        <w:tc>
          <w:tcPr>
            <w:tcW w:w="1934" w:type="dxa"/>
            <w:gridSpan w:val="2"/>
            <w:tcBorders>
              <w:top w:val="nil"/>
              <w:left w:val="nil"/>
              <w:bottom w:val="nil"/>
              <w:right w:val="nil"/>
            </w:tcBorders>
            <w:hideMark/>
          </w:tcPr>
          <w:p w14:paraId="2086F3B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3BD" w14:textId="77777777" w:rsidR="00802D3E" w:rsidRDefault="00802D3E">
            <w:pPr>
              <w:pStyle w:val="MeasureTableTextLeftAligned"/>
            </w:pPr>
            <w:r>
              <w:t>Low</w:t>
            </w:r>
          </w:p>
        </w:tc>
        <w:tc>
          <w:tcPr>
            <w:tcW w:w="1500" w:type="dxa"/>
            <w:gridSpan w:val="2"/>
            <w:tcBorders>
              <w:top w:val="nil"/>
              <w:left w:val="nil"/>
              <w:bottom w:val="nil"/>
              <w:right w:val="nil"/>
            </w:tcBorders>
          </w:tcPr>
          <w:p w14:paraId="2086F3BE" w14:textId="77777777" w:rsidR="00802D3E" w:rsidRDefault="00802D3E">
            <w:pPr>
              <w:pStyle w:val="MeasureTableTextItalic"/>
            </w:pPr>
          </w:p>
        </w:tc>
        <w:tc>
          <w:tcPr>
            <w:tcW w:w="1124" w:type="dxa"/>
            <w:gridSpan w:val="2"/>
            <w:tcBorders>
              <w:top w:val="nil"/>
              <w:left w:val="nil"/>
              <w:bottom w:val="nil"/>
              <w:right w:val="nil"/>
            </w:tcBorders>
          </w:tcPr>
          <w:p w14:paraId="2086F3BF" w14:textId="77777777" w:rsidR="00802D3E" w:rsidRDefault="00802D3E">
            <w:pPr>
              <w:pStyle w:val="MeasureTableTextLeftAligned"/>
            </w:pPr>
          </w:p>
        </w:tc>
      </w:tr>
      <w:tr w:rsidR="00802D3E" w14:paraId="2086F3C5" w14:textId="77777777" w:rsidTr="00802D3E">
        <w:trPr>
          <w:cantSplit/>
          <w:jc w:val="center"/>
        </w:trPr>
        <w:tc>
          <w:tcPr>
            <w:tcW w:w="1934" w:type="dxa"/>
            <w:gridSpan w:val="2"/>
            <w:tcBorders>
              <w:top w:val="nil"/>
              <w:left w:val="nil"/>
              <w:bottom w:val="nil"/>
              <w:right w:val="nil"/>
            </w:tcBorders>
            <w:hideMark/>
          </w:tcPr>
          <w:p w14:paraId="2086F3C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3C2" w14:textId="77777777" w:rsidR="00802D3E" w:rsidRDefault="00802D3E">
            <w:pPr>
              <w:pStyle w:val="MeasureTableTextLeftAligned"/>
            </w:pPr>
            <w:r>
              <w:t>1 July 2001</w:t>
            </w:r>
          </w:p>
        </w:tc>
        <w:tc>
          <w:tcPr>
            <w:tcW w:w="1500" w:type="dxa"/>
            <w:gridSpan w:val="2"/>
            <w:tcBorders>
              <w:top w:val="nil"/>
              <w:left w:val="nil"/>
              <w:bottom w:val="nil"/>
              <w:right w:val="nil"/>
            </w:tcBorders>
            <w:hideMark/>
          </w:tcPr>
          <w:p w14:paraId="2086F3C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3C4" w14:textId="77777777" w:rsidR="00802D3E" w:rsidRDefault="00802D3E">
            <w:pPr>
              <w:pStyle w:val="MeasureTableTextLeftAligned"/>
            </w:pPr>
          </w:p>
        </w:tc>
      </w:tr>
      <w:tr w:rsidR="00802D3E" w14:paraId="2086F3C8" w14:textId="77777777" w:rsidTr="00802D3E">
        <w:trPr>
          <w:cantSplit/>
          <w:jc w:val="center"/>
        </w:trPr>
        <w:tc>
          <w:tcPr>
            <w:tcW w:w="1934" w:type="dxa"/>
            <w:gridSpan w:val="2"/>
            <w:tcBorders>
              <w:top w:val="nil"/>
              <w:left w:val="nil"/>
              <w:bottom w:val="single" w:sz="2" w:space="0" w:color="auto"/>
              <w:right w:val="nil"/>
            </w:tcBorders>
            <w:hideMark/>
          </w:tcPr>
          <w:p w14:paraId="2086F3C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3C7"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 xml:space="preserve">Section 40-230 of the </w:t>
            </w:r>
            <w:r w:rsidRPr="00B029D6">
              <w:rPr>
                <w:rFonts w:ascii="Arial" w:hAnsi="Arial" w:cs="Arial"/>
                <w:i/>
                <w:iCs/>
                <w:color w:val="000000"/>
                <w:sz w:val="16"/>
                <w:szCs w:val="16"/>
              </w:rPr>
              <w:t>Income Tax Assessment Act 1997</w:t>
            </w:r>
          </w:p>
        </w:tc>
      </w:tr>
    </w:tbl>
    <w:p w14:paraId="2086F3C9" w14:textId="77777777" w:rsidR="00802D3E" w:rsidRDefault="00802D3E" w:rsidP="00506822">
      <w:pPr>
        <w:pStyle w:val="SingleParagraph"/>
      </w:pPr>
    </w:p>
    <w:p w14:paraId="2086F3CA" w14:textId="77777777" w:rsidR="00802D3E" w:rsidRDefault="00802D3E" w:rsidP="00802D3E">
      <w:r>
        <w:t>If the value of a car used for income</w:t>
      </w:r>
      <w:r>
        <w:noBreakHyphen/>
        <w:t xml:space="preserve">producing purposes exceeds a certain amount (‘car limit’), the amount of depreciation deductions that can be claimed is capped at the ‘car limit’. This represents a negative tax expenditure as the full value of the car should be depreciated under the benchmark. </w:t>
      </w:r>
    </w:p>
    <w:p w14:paraId="2086F3CB" w14:textId="77777777" w:rsidR="00802D3E" w:rsidRDefault="00802D3E" w:rsidP="00802D3E">
      <w:pPr>
        <w:pStyle w:val="TESHeading5"/>
        <w:ind w:left="0" w:firstLine="0"/>
      </w:pPr>
      <w:r>
        <w:t>B40</w:t>
      </w:r>
      <w:r>
        <w:tab/>
        <w:t>Shipping – investment</w:t>
      </w:r>
      <w:r w:rsidR="00262EF4">
        <w:t xml:space="preserve"> </w:t>
      </w:r>
      <w:r>
        <w:t>incentives</w:t>
      </w:r>
    </w:p>
    <w:p w14:paraId="2086F3CC" w14:textId="77777777" w:rsidR="00802D3E" w:rsidRDefault="00802D3E" w:rsidP="00802D3E">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3D5" w14:textId="77777777" w:rsidTr="00802D3E">
        <w:trPr>
          <w:cantSplit/>
          <w:jc w:val="center"/>
        </w:trPr>
        <w:tc>
          <w:tcPr>
            <w:tcW w:w="967" w:type="dxa"/>
            <w:tcBorders>
              <w:top w:val="single" w:sz="2" w:space="0" w:color="auto"/>
              <w:left w:val="nil"/>
              <w:bottom w:val="single" w:sz="2" w:space="0" w:color="auto"/>
              <w:right w:val="nil"/>
            </w:tcBorders>
            <w:hideMark/>
          </w:tcPr>
          <w:p w14:paraId="2086F3C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3C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3C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3D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3D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3D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3D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3D4" w14:textId="77777777" w:rsidR="00802D3E" w:rsidRDefault="00802D3E">
            <w:pPr>
              <w:pStyle w:val="MeasureTableTextRightAligned"/>
            </w:pPr>
            <w:r>
              <w:t>2019-20</w:t>
            </w:r>
          </w:p>
        </w:tc>
      </w:tr>
      <w:tr w:rsidR="00802D3E" w14:paraId="2086F3DE" w14:textId="77777777" w:rsidTr="00802D3E">
        <w:trPr>
          <w:cantSplit/>
          <w:jc w:val="center"/>
        </w:trPr>
        <w:tc>
          <w:tcPr>
            <w:tcW w:w="967" w:type="dxa"/>
            <w:tcBorders>
              <w:top w:val="single" w:sz="2" w:space="0" w:color="auto"/>
              <w:left w:val="nil"/>
              <w:bottom w:val="single" w:sz="2" w:space="0" w:color="auto"/>
              <w:right w:val="nil"/>
            </w:tcBorders>
            <w:hideMark/>
          </w:tcPr>
          <w:p w14:paraId="2086F3D6" w14:textId="77777777" w:rsidR="00802D3E" w:rsidRDefault="00802D3E">
            <w:pPr>
              <w:pStyle w:val="MeasureTableTextRightAligned"/>
            </w:pPr>
            <w:r>
              <w:t>30</w:t>
            </w:r>
          </w:p>
        </w:tc>
        <w:tc>
          <w:tcPr>
            <w:tcW w:w="967" w:type="dxa"/>
            <w:tcBorders>
              <w:top w:val="single" w:sz="2" w:space="0" w:color="auto"/>
              <w:left w:val="nil"/>
              <w:bottom w:val="single" w:sz="2" w:space="0" w:color="auto"/>
              <w:right w:val="nil"/>
            </w:tcBorders>
            <w:hideMark/>
          </w:tcPr>
          <w:p w14:paraId="2086F3D7" w14:textId="77777777" w:rsidR="00802D3E" w:rsidRDefault="00802D3E">
            <w:pPr>
              <w:pStyle w:val="MeasureTableTextRightAligned"/>
            </w:pPr>
            <w:r>
              <w:t>30</w:t>
            </w:r>
          </w:p>
        </w:tc>
        <w:tc>
          <w:tcPr>
            <w:tcW w:w="967" w:type="dxa"/>
            <w:tcBorders>
              <w:top w:val="single" w:sz="2" w:space="0" w:color="auto"/>
              <w:left w:val="nil"/>
              <w:bottom w:val="single" w:sz="2" w:space="0" w:color="auto"/>
              <w:right w:val="nil"/>
            </w:tcBorders>
            <w:vAlign w:val="bottom"/>
            <w:hideMark/>
          </w:tcPr>
          <w:p w14:paraId="2086F3D8" w14:textId="77777777" w:rsidR="00802D3E" w:rsidRDefault="00802D3E">
            <w:pPr>
              <w:pStyle w:val="MeasureTableTextRightAligned"/>
            </w:pPr>
            <w:r>
              <w:t>30</w:t>
            </w:r>
          </w:p>
        </w:tc>
        <w:tc>
          <w:tcPr>
            <w:tcW w:w="967" w:type="dxa"/>
            <w:tcBorders>
              <w:top w:val="single" w:sz="2" w:space="0" w:color="auto"/>
              <w:left w:val="nil"/>
              <w:bottom w:val="single" w:sz="2" w:space="0" w:color="auto"/>
              <w:right w:val="nil"/>
            </w:tcBorders>
            <w:vAlign w:val="bottom"/>
            <w:hideMark/>
          </w:tcPr>
          <w:p w14:paraId="2086F3D9" w14:textId="77777777" w:rsidR="00802D3E" w:rsidRDefault="00802D3E">
            <w:pPr>
              <w:pStyle w:val="MeasureTableTextRightAligned"/>
            </w:pPr>
            <w:r>
              <w:t>30</w:t>
            </w:r>
          </w:p>
        </w:tc>
        <w:tc>
          <w:tcPr>
            <w:tcW w:w="967" w:type="dxa"/>
            <w:tcBorders>
              <w:top w:val="single" w:sz="2" w:space="0" w:color="auto"/>
              <w:left w:val="nil"/>
              <w:bottom w:val="single" w:sz="2" w:space="0" w:color="auto"/>
              <w:right w:val="nil"/>
            </w:tcBorders>
            <w:vAlign w:val="bottom"/>
            <w:hideMark/>
          </w:tcPr>
          <w:p w14:paraId="2086F3DA" w14:textId="77777777" w:rsidR="00802D3E" w:rsidRDefault="00802D3E">
            <w:pPr>
              <w:pStyle w:val="MeasureTableTextRightAligned"/>
            </w:pPr>
            <w:r>
              <w:t>30</w:t>
            </w:r>
          </w:p>
        </w:tc>
        <w:tc>
          <w:tcPr>
            <w:tcW w:w="967" w:type="dxa"/>
            <w:gridSpan w:val="2"/>
            <w:tcBorders>
              <w:top w:val="single" w:sz="2" w:space="0" w:color="auto"/>
              <w:left w:val="nil"/>
              <w:bottom w:val="single" w:sz="2" w:space="0" w:color="auto"/>
              <w:right w:val="nil"/>
            </w:tcBorders>
            <w:vAlign w:val="bottom"/>
            <w:hideMark/>
          </w:tcPr>
          <w:p w14:paraId="2086F3DB" w14:textId="77777777" w:rsidR="00802D3E" w:rsidRDefault="00802D3E">
            <w:pPr>
              <w:pStyle w:val="MeasureTableTextRightAligned"/>
            </w:pPr>
            <w:r>
              <w:t>30</w:t>
            </w:r>
          </w:p>
        </w:tc>
        <w:tc>
          <w:tcPr>
            <w:tcW w:w="967" w:type="dxa"/>
            <w:gridSpan w:val="2"/>
            <w:tcBorders>
              <w:top w:val="single" w:sz="2" w:space="0" w:color="auto"/>
              <w:left w:val="nil"/>
              <w:bottom w:val="single" w:sz="2" w:space="0" w:color="auto"/>
              <w:right w:val="nil"/>
            </w:tcBorders>
            <w:vAlign w:val="bottom"/>
            <w:hideMark/>
          </w:tcPr>
          <w:p w14:paraId="2086F3DC" w14:textId="77777777" w:rsidR="00802D3E" w:rsidRDefault="00802D3E">
            <w:pPr>
              <w:pStyle w:val="MeasureTableTextRightAligned"/>
            </w:pPr>
            <w:r>
              <w:t>30</w:t>
            </w:r>
          </w:p>
        </w:tc>
        <w:tc>
          <w:tcPr>
            <w:tcW w:w="968" w:type="dxa"/>
            <w:tcBorders>
              <w:top w:val="single" w:sz="2" w:space="0" w:color="auto"/>
              <w:left w:val="nil"/>
              <w:bottom w:val="single" w:sz="2" w:space="0" w:color="auto"/>
              <w:right w:val="nil"/>
            </w:tcBorders>
            <w:vAlign w:val="bottom"/>
            <w:hideMark/>
          </w:tcPr>
          <w:p w14:paraId="2086F3DD" w14:textId="77777777" w:rsidR="00802D3E" w:rsidRDefault="00802D3E">
            <w:pPr>
              <w:pStyle w:val="MeasureTableTextRightAligned"/>
            </w:pPr>
            <w:r>
              <w:t>30</w:t>
            </w:r>
          </w:p>
        </w:tc>
      </w:tr>
      <w:tr w:rsidR="00802D3E" w14:paraId="2086F3E3" w14:textId="77777777" w:rsidTr="00802D3E">
        <w:trPr>
          <w:cantSplit/>
          <w:jc w:val="center"/>
        </w:trPr>
        <w:tc>
          <w:tcPr>
            <w:tcW w:w="1934" w:type="dxa"/>
            <w:gridSpan w:val="2"/>
            <w:tcBorders>
              <w:top w:val="single" w:sz="2" w:space="0" w:color="auto"/>
              <w:left w:val="nil"/>
              <w:bottom w:val="nil"/>
              <w:right w:val="nil"/>
            </w:tcBorders>
            <w:hideMark/>
          </w:tcPr>
          <w:p w14:paraId="2086F3D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3E0" w14:textId="77777777" w:rsidR="00802D3E" w:rsidRDefault="00802D3E">
            <w:pPr>
              <w:pStyle w:val="MeasureTableTextLeftAligned"/>
            </w:pPr>
            <w:r>
              <w:t>Exemption, Accelerated write-off, Deferral</w:t>
            </w:r>
          </w:p>
        </w:tc>
        <w:tc>
          <w:tcPr>
            <w:tcW w:w="1500" w:type="dxa"/>
            <w:gridSpan w:val="2"/>
            <w:tcBorders>
              <w:top w:val="single" w:sz="2" w:space="0" w:color="auto"/>
              <w:left w:val="nil"/>
              <w:bottom w:val="nil"/>
              <w:right w:val="nil"/>
            </w:tcBorders>
            <w:hideMark/>
          </w:tcPr>
          <w:p w14:paraId="2086F3E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3E2" w14:textId="77777777" w:rsidR="00802D3E" w:rsidRDefault="00802D3E">
            <w:pPr>
              <w:pStyle w:val="MeasureTableTextLeftAligned"/>
            </w:pPr>
            <w:r>
              <w:t>B40</w:t>
            </w:r>
          </w:p>
        </w:tc>
      </w:tr>
      <w:tr w:rsidR="00802D3E" w14:paraId="2086F3E8" w14:textId="77777777" w:rsidTr="00802D3E">
        <w:trPr>
          <w:cantSplit/>
          <w:jc w:val="center"/>
        </w:trPr>
        <w:tc>
          <w:tcPr>
            <w:tcW w:w="1934" w:type="dxa"/>
            <w:gridSpan w:val="2"/>
            <w:tcBorders>
              <w:top w:val="nil"/>
              <w:left w:val="nil"/>
              <w:bottom w:val="nil"/>
              <w:right w:val="nil"/>
            </w:tcBorders>
            <w:hideMark/>
          </w:tcPr>
          <w:p w14:paraId="2086F3E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3E5" w14:textId="77777777" w:rsidR="00802D3E" w:rsidRDefault="00802D3E">
            <w:pPr>
              <w:pStyle w:val="MeasureTableTextLeftAligned"/>
            </w:pPr>
            <w:r>
              <w:t>Very Low</w:t>
            </w:r>
          </w:p>
        </w:tc>
        <w:tc>
          <w:tcPr>
            <w:tcW w:w="1500" w:type="dxa"/>
            <w:gridSpan w:val="2"/>
            <w:tcBorders>
              <w:top w:val="nil"/>
              <w:left w:val="nil"/>
              <w:bottom w:val="nil"/>
              <w:right w:val="nil"/>
            </w:tcBorders>
          </w:tcPr>
          <w:p w14:paraId="2086F3E6" w14:textId="77777777" w:rsidR="00802D3E" w:rsidRDefault="00802D3E">
            <w:pPr>
              <w:pStyle w:val="MeasureTableTextItalic"/>
            </w:pPr>
          </w:p>
        </w:tc>
        <w:tc>
          <w:tcPr>
            <w:tcW w:w="1124" w:type="dxa"/>
            <w:gridSpan w:val="2"/>
            <w:tcBorders>
              <w:top w:val="nil"/>
              <w:left w:val="nil"/>
              <w:bottom w:val="nil"/>
              <w:right w:val="nil"/>
            </w:tcBorders>
          </w:tcPr>
          <w:p w14:paraId="2086F3E7" w14:textId="77777777" w:rsidR="00802D3E" w:rsidRDefault="00802D3E">
            <w:pPr>
              <w:pStyle w:val="MeasureTableTextLeftAligned"/>
            </w:pPr>
          </w:p>
        </w:tc>
      </w:tr>
      <w:tr w:rsidR="00802D3E" w14:paraId="2086F3ED" w14:textId="77777777" w:rsidTr="00802D3E">
        <w:trPr>
          <w:cantSplit/>
          <w:jc w:val="center"/>
        </w:trPr>
        <w:tc>
          <w:tcPr>
            <w:tcW w:w="1934" w:type="dxa"/>
            <w:gridSpan w:val="2"/>
            <w:tcBorders>
              <w:top w:val="nil"/>
              <w:left w:val="nil"/>
              <w:bottom w:val="nil"/>
              <w:right w:val="nil"/>
            </w:tcBorders>
            <w:hideMark/>
          </w:tcPr>
          <w:p w14:paraId="2086F3E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3EA" w14:textId="77777777" w:rsidR="00802D3E" w:rsidRDefault="00802D3E">
            <w:pPr>
              <w:pStyle w:val="MeasureTableTextLeftAligned"/>
            </w:pPr>
            <w:r>
              <w:t>1 July 2012</w:t>
            </w:r>
          </w:p>
        </w:tc>
        <w:tc>
          <w:tcPr>
            <w:tcW w:w="1500" w:type="dxa"/>
            <w:gridSpan w:val="2"/>
            <w:tcBorders>
              <w:top w:val="nil"/>
              <w:left w:val="nil"/>
              <w:bottom w:val="nil"/>
              <w:right w:val="nil"/>
            </w:tcBorders>
            <w:hideMark/>
          </w:tcPr>
          <w:p w14:paraId="2086F3E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3EC" w14:textId="77777777" w:rsidR="00802D3E" w:rsidRDefault="00802D3E">
            <w:pPr>
              <w:pStyle w:val="MeasureTableTextLeftAligned"/>
            </w:pPr>
          </w:p>
        </w:tc>
      </w:tr>
      <w:tr w:rsidR="00802D3E" w14:paraId="2086F3F3" w14:textId="77777777" w:rsidTr="00802D3E">
        <w:trPr>
          <w:cantSplit/>
          <w:jc w:val="center"/>
        </w:trPr>
        <w:tc>
          <w:tcPr>
            <w:tcW w:w="1934" w:type="dxa"/>
            <w:gridSpan w:val="2"/>
            <w:tcBorders>
              <w:top w:val="nil"/>
              <w:left w:val="nil"/>
              <w:bottom w:val="single" w:sz="2" w:space="0" w:color="auto"/>
              <w:right w:val="nil"/>
            </w:tcBorders>
            <w:hideMark/>
          </w:tcPr>
          <w:p w14:paraId="2086F3E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3EF"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Division 51-100 of the</w:t>
            </w:r>
            <w:r w:rsidRPr="00B029D6">
              <w:rPr>
                <w:rFonts w:ascii="Arial" w:hAnsi="Arial" w:cs="Arial"/>
                <w:i/>
                <w:iCs/>
                <w:color w:val="000000"/>
                <w:sz w:val="16"/>
                <w:szCs w:val="16"/>
              </w:rPr>
              <w:t xml:space="preserve"> Income Tax Assessment Act 1997</w:t>
            </w:r>
          </w:p>
          <w:p w14:paraId="2086F3F0"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Subsection 128B(3) of the </w:t>
            </w:r>
            <w:r w:rsidRPr="00B029D6">
              <w:rPr>
                <w:rFonts w:ascii="Arial" w:hAnsi="Arial" w:cs="Arial"/>
                <w:i/>
                <w:iCs/>
                <w:color w:val="000000"/>
                <w:sz w:val="16"/>
                <w:szCs w:val="16"/>
              </w:rPr>
              <w:t>Income Tax Assessment Act 1936</w:t>
            </w:r>
          </w:p>
          <w:p w14:paraId="2086F3F1" w14:textId="77777777" w:rsidR="00802D3E" w:rsidRPr="00B029D6" w:rsidRDefault="00802D3E" w:rsidP="00B029D6">
            <w:pPr>
              <w:widowControl w:val="0"/>
              <w:autoSpaceDE w:val="0"/>
              <w:autoSpaceDN w:val="0"/>
              <w:adjustRightInd w:val="0"/>
              <w:spacing w:after="0" w:line="240" w:lineRule="auto"/>
              <w:jc w:val="left"/>
              <w:rPr>
                <w:rFonts w:ascii="Arial" w:hAnsi="Arial" w:cs="Arial"/>
                <w:i/>
                <w:iCs/>
                <w:color w:val="000000"/>
                <w:sz w:val="16"/>
                <w:szCs w:val="16"/>
              </w:rPr>
            </w:pPr>
            <w:r w:rsidRPr="00B029D6">
              <w:rPr>
                <w:rFonts w:ascii="Arial" w:hAnsi="Arial" w:cs="Arial"/>
                <w:sz w:val="16"/>
                <w:szCs w:val="16"/>
              </w:rPr>
              <w:t xml:space="preserve">Item 10 of the table to Subsection 40-102(4) of the </w:t>
            </w:r>
            <w:r w:rsidRPr="00B029D6">
              <w:rPr>
                <w:rFonts w:ascii="Arial" w:hAnsi="Arial" w:cs="Arial"/>
                <w:i/>
                <w:iCs/>
                <w:color w:val="000000"/>
                <w:sz w:val="16"/>
                <w:szCs w:val="16"/>
              </w:rPr>
              <w:t>Income Tax Assessment Act 1997</w:t>
            </w:r>
          </w:p>
          <w:p w14:paraId="2086F3F2" w14:textId="77777777" w:rsidR="00802D3E" w:rsidRDefault="00802D3E" w:rsidP="00B029D6">
            <w:pPr>
              <w:widowControl w:val="0"/>
              <w:autoSpaceDE w:val="0"/>
              <w:autoSpaceDN w:val="0"/>
              <w:adjustRightInd w:val="0"/>
              <w:spacing w:after="0" w:line="240" w:lineRule="auto"/>
              <w:jc w:val="left"/>
            </w:pPr>
            <w:r w:rsidRPr="00B029D6">
              <w:rPr>
                <w:rFonts w:ascii="Arial" w:hAnsi="Arial" w:cs="Arial"/>
                <w:color w:val="000000"/>
                <w:sz w:val="16"/>
                <w:szCs w:val="16"/>
              </w:rPr>
              <w:t>S</w:t>
            </w:r>
            <w:r w:rsidRPr="00B029D6">
              <w:rPr>
                <w:rFonts w:ascii="Arial" w:hAnsi="Arial" w:cs="Arial"/>
                <w:sz w:val="16"/>
                <w:szCs w:val="16"/>
              </w:rPr>
              <w:t xml:space="preserve">ubsection 40-285(5) of the </w:t>
            </w:r>
            <w:r w:rsidRPr="00B029D6">
              <w:rPr>
                <w:rFonts w:ascii="Arial" w:hAnsi="Arial" w:cs="Arial"/>
                <w:i/>
                <w:iCs/>
                <w:color w:val="000000"/>
                <w:sz w:val="16"/>
                <w:szCs w:val="16"/>
              </w:rPr>
              <w:t>Income Tax Assessment Act 1997</w:t>
            </w:r>
          </w:p>
        </w:tc>
      </w:tr>
    </w:tbl>
    <w:p w14:paraId="2086F3F4" w14:textId="77777777" w:rsidR="00802D3E" w:rsidRDefault="00802D3E" w:rsidP="00506822">
      <w:pPr>
        <w:pStyle w:val="SingleParagraph"/>
      </w:pPr>
    </w:p>
    <w:p w14:paraId="2086F3F5" w14:textId="77777777" w:rsidR="00802D3E" w:rsidRDefault="00802D3E" w:rsidP="00802D3E">
      <w:pPr>
        <w:rPr>
          <w:rFonts w:eastAsia="Calibri"/>
          <w:lang w:eastAsia="en-US"/>
        </w:rPr>
      </w:pPr>
      <w:r>
        <w:rPr>
          <w:rFonts w:eastAsia="Calibri"/>
          <w:lang w:eastAsia="en-US"/>
        </w:rPr>
        <w:t>Tax incentives are provided to encourage investment in the Australian shipping industry and to facilitate Australian competition on international routes.</w:t>
      </w:r>
      <w:r>
        <w:rPr>
          <w:rFonts w:eastAsia="Calibri"/>
          <w:lang w:eastAsia="en-US"/>
        </w:rPr>
        <w:fldChar w:fldCharType="begin"/>
      </w:r>
      <w:r>
        <w:instrText xml:space="preserve"> XE "Shipping:Investment incentives" </w:instrText>
      </w:r>
      <w:r>
        <w:rPr>
          <w:rFonts w:eastAsia="Calibri"/>
          <w:lang w:eastAsia="en-US"/>
        </w:rPr>
        <w:fldChar w:fldCharType="end"/>
      </w:r>
    </w:p>
    <w:p w14:paraId="2086F3F6" w14:textId="77777777" w:rsidR="00802D3E" w:rsidRDefault="00802D3E" w:rsidP="00802D3E">
      <w:pPr>
        <w:pStyle w:val="TESHeading5"/>
        <w:ind w:left="0" w:firstLine="0"/>
      </w:pPr>
      <w:r>
        <w:lastRenderedPageBreak/>
        <w:t>B41</w:t>
      </w:r>
      <w:r>
        <w:tab/>
        <w:t>Shipping – refundable tax offset for employers of qualifying Australian seafarers</w:t>
      </w:r>
    </w:p>
    <w:p w14:paraId="2086F3F7" w14:textId="77777777" w:rsidR="00802D3E" w:rsidRDefault="00802D3E" w:rsidP="00802D3E">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400" w14:textId="77777777" w:rsidTr="00802D3E">
        <w:trPr>
          <w:cantSplit/>
          <w:jc w:val="center"/>
        </w:trPr>
        <w:tc>
          <w:tcPr>
            <w:tcW w:w="967" w:type="dxa"/>
            <w:tcBorders>
              <w:top w:val="single" w:sz="2" w:space="0" w:color="auto"/>
              <w:left w:val="nil"/>
              <w:bottom w:val="single" w:sz="2" w:space="0" w:color="auto"/>
              <w:right w:val="nil"/>
            </w:tcBorders>
            <w:hideMark/>
          </w:tcPr>
          <w:p w14:paraId="2086F3F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3F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3F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3F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3F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3F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3F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3FF" w14:textId="77777777" w:rsidR="00802D3E" w:rsidRDefault="00802D3E">
            <w:pPr>
              <w:pStyle w:val="MeasureTableTextRightAligned"/>
            </w:pPr>
            <w:r>
              <w:t>2019-20</w:t>
            </w:r>
          </w:p>
        </w:tc>
      </w:tr>
      <w:tr w:rsidR="00802D3E" w14:paraId="2086F409" w14:textId="77777777" w:rsidTr="00802D3E">
        <w:trPr>
          <w:cantSplit/>
          <w:jc w:val="center"/>
        </w:trPr>
        <w:tc>
          <w:tcPr>
            <w:tcW w:w="967" w:type="dxa"/>
            <w:tcBorders>
              <w:top w:val="single" w:sz="2" w:space="0" w:color="auto"/>
              <w:left w:val="nil"/>
              <w:bottom w:val="single" w:sz="2" w:space="0" w:color="auto"/>
              <w:right w:val="nil"/>
            </w:tcBorders>
            <w:hideMark/>
          </w:tcPr>
          <w:p w14:paraId="2086F40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40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03" w14:textId="77777777" w:rsidR="00802D3E" w:rsidRDefault="00802D3E">
            <w:pPr>
              <w:pStyle w:val="MeasureTableTextRightAligned"/>
            </w:pPr>
            <w:r>
              <w:t>2</w:t>
            </w:r>
          </w:p>
        </w:tc>
        <w:tc>
          <w:tcPr>
            <w:tcW w:w="967" w:type="dxa"/>
            <w:tcBorders>
              <w:top w:val="single" w:sz="2" w:space="0" w:color="auto"/>
              <w:left w:val="nil"/>
              <w:bottom w:val="single" w:sz="2" w:space="0" w:color="auto"/>
              <w:right w:val="nil"/>
            </w:tcBorders>
            <w:vAlign w:val="bottom"/>
            <w:hideMark/>
          </w:tcPr>
          <w:p w14:paraId="2086F40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05" w14:textId="77777777" w:rsidR="00802D3E" w:rsidRDefault="00802D3E">
            <w:pPr>
              <w:pStyle w:val="MeasureTableTextRightAligned"/>
            </w:pPr>
            <w:r>
              <w:t>4</w:t>
            </w:r>
          </w:p>
        </w:tc>
        <w:tc>
          <w:tcPr>
            <w:tcW w:w="967" w:type="dxa"/>
            <w:gridSpan w:val="2"/>
            <w:tcBorders>
              <w:top w:val="single" w:sz="2" w:space="0" w:color="auto"/>
              <w:left w:val="nil"/>
              <w:bottom w:val="single" w:sz="2" w:space="0" w:color="auto"/>
              <w:right w:val="nil"/>
            </w:tcBorders>
            <w:vAlign w:val="bottom"/>
            <w:hideMark/>
          </w:tcPr>
          <w:p w14:paraId="2086F406" w14:textId="77777777" w:rsidR="00802D3E" w:rsidRDefault="00802D3E">
            <w:pPr>
              <w:pStyle w:val="MeasureTableTextRightAligned"/>
            </w:pPr>
            <w:r>
              <w:t>-4</w:t>
            </w:r>
          </w:p>
        </w:tc>
        <w:tc>
          <w:tcPr>
            <w:tcW w:w="967" w:type="dxa"/>
            <w:gridSpan w:val="2"/>
            <w:tcBorders>
              <w:top w:val="single" w:sz="2" w:space="0" w:color="auto"/>
              <w:left w:val="nil"/>
              <w:bottom w:val="single" w:sz="2" w:space="0" w:color="auto"/>
              <w:right w:val="nil"/>
            </w:tcBorders>
            <w:vAlign w:val="bottom"/>
            <w:hideMark/>
          </w:tcPr>
          <w:p w14:paraId="2086F407"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408" w14:textId="77777777" w:rsidR="00802D3E" w:rsidRDefault="00802D3E">
            <w:pPr>
              <w:pStyle w:val="MeasureTableTextRightAligned"/>
            </w:pPr>
            <w:r>
              <w:t>-</w:t>
            </w:r>
          </w:p>
        </w:tc>
      </w:tr>
      <w:tr w:rsidR="00802D3E" w14:paraId="2086F40E" w14:textId="77777777" w:rsidTr="00802D3E">
        <w:trPr>
          <w:cantSplit/>
          <w:jc w:val="center"/>
        </w:trPr>
        <w:tc>
          <w:tcPr>
            <w:tcW w:w="1934" w:type="dxa"/>
            <w:gridSpan w:val="2"/>
            <w:tcBorders>
              <w:top w:val="single" w:sz="2" w:space="0" w:color="auto"/>
              <w:left w:val="nil"/>
              <w:bottom w:val="nil"/>
              <w:right w:val="nil"/>
            </w:tcBorders>
            <w:hideMark/>
          </w:tcPr>
          <w:p w14:paraId="2086F40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40B"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40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40D" w14:textId="77777777" w:rsidR="00802D3E" w:rsidRDefault="00802D3E">
            <w:pPr>
              <w:pStyle w:val="MeasureTableTextLeftAligned"/>
            </w:pPr>
            <w:r>
              <w:t>B41</w:t>
            </w:r>
          </w:p>
        </w:tc>
      </w:tr>
      <w:tr w:rsidR="00802D3E" w14:paraId="2086F413" w14:textId="77777777" w:rsidTr="00802D3E">
        <w:trPr>
          <w:cantSplit/>
          <w:jc w:val="center"/>
        </w:trPr>
        <w:tc>
          <w:tcPr>
            <w:tcW w:w="1934" w:type="dxa"/>
            <w:gridSpan w:val="2"/>
            <w:tcBorders>
              <w:top w:val="nil"/>
              <w:left w:val="nil"/>
              <w:bottom w:val="nil"/>
              <w:right w:val="nil"/>
            </w:tcBorders>
            <w:hideMark/>
          </w:tcPr>
          <w:p w14:paraId="2086F40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410"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411" w14:textId="77777777" w:rsidR="00802D3E" w:rsidRDefault="00802D3E">
            <w:pPr>
              <w:pStyle w:val="MeasureTableTextItalic"/>
            </w:pPr>
          </w:p>
        </w:tc>
        <w:tc>
          <w:tcPr>
            <w:tcW w:w="1124" w:type="dxa"/>
            <w:gridSpan w:val="2"/>
            <w:tcBorders>
              <w:top w:val="nil"/>
              <w:left w:val="nil"/>
              <w:bottom w:val="nil"/>
              <w:right w:val="nil"/>
            </w:tcBorders>
          </w:tcPr>
          <w:p w14:paraId="2086F412" w14:textId="77777777" w:rsidR="00802D3E" w:rsidRDefault="00802D3E">
            <w:pPr>
              <w:pStyle w:val="MeasureTableTextLeftAligned"/>
            </w:pPr>
          </w:p>
        </w:tc>
      </w:tr>
      <w:tr w:rsidR="00802D3E" w14:paraId="2086F418" w14:textId="77777777" w:rsidTr="00802D3E">
        <w:trPr>
          <w:cantSplit/>
          <w:jc w:val="center"/>
        </w:trPr>
        <w:tc>
          <w:tcPr>
            <w:tcW w:w="1934" w:type="dxa"/>
            <w:gridSpan w:val="2"/>
            <w:tcBorders>
              <w:top w:val="nil"/>
              <w:left w:val="nil"/>
              <w:bottom w:val="nil"/>
              <w:right w:val="nil"/>
            </w:tcBorders>
            <w:hideMark/>
          </w:tcPr>
          <w:p w14:paraId="2086F41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415" w14:textId="77777777" w:rsidR="00802D3E" w:rsidRDefault="00802D3E">
            <w:pPr>
              <w:pStyle w:val="MeasureTableTextLeftAligned"/>
            </w:pPr>
            <w:r>
              <w:t>1 July 2012</w:t>
            </w:r>
          </w:p>
        </w:tc>
        <w:tc>
          <w:tcPr>
            <w:tcW w:w="1500" w:type="dxa"/>
            <w:gridSpan w:val="2"/>
            <w:tcBorders>
              <w:top w:val="nil"/>
              <w:left w:val="nil"/>
              <w:bottom w:val="nil"/>
              <w:right w:val="nil"/>
            </w:tcBorders>
            <w:hideMark/>
          </w:tcPr>
          <w:p w14:paraId="2086F416" w14:textId="77777777" w:rsidR="00802D3E" w:rsidRDefault="00802D3E">
            <w:pPr>
              <w:pStyle w:val="MeasureTableTextItalic"/>
            </w:pPr>
            <w:r>
              <w:t>Expiry date:</w:t>
            </w:r>
          </w:p>
        </w:tc>
        <w:tc>
          <w:tcPr>
            <w:tcW w:w="1124" w:type="dxa"/>
            <w:gridSpan w:val="2"/>
            <w:tcBorders>
              <w:top w:val="nil"/>
              <w:left w:val="nil"/>
              <w:bottom w:val="nil"/>
              <w:right w:val="nil"/>
            </w:tcBorders>
            <w:hideMark/>
          </w:tcPr>
          <w:p w14:paraId="2086F417" w14:textId="77777777" w:rsidR="00802D3E" w:rsidRDefault="00802D3E" w:rsidP="0096352B">
            <w:pPr>
              <w:pStyle w:val="MeasureTableTextLeftAligned"/>
            </w:pPr>
            <w:r>
              <w:t>30 Jun 2015</w:t>
            </w:r>
          </w:p>
        </w:tc>
      </w:tr>
      <w:tr w:rsidR="00802D3E" w14:paraId="2086F41B" w14:textId="77777777" w:rsidTr="00802D3E">
        <w:trPr>
          <w:cantSplit/>
          <w:jc w:val="center"/>
        </w:trPr>
        <w:tc>
          <w:tcPr>
            <w:tcW w:w="1934" w:type="dxa"/>
            <w:gridSpan w:val="2"/>
            <w:tcBorders>
              <w:top w:val="nil"/>
              <w:left w:val="nil"/>
              <w:bottom w:val="single" w:sz="2" w:space="0" w:color="auto"/>
              <w:right w:val="nil"/>
            </w:tcBorders>
            <w:hideMark/>
          </w:tcPr>
          <w:p w14:paraId="2086F41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41A"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Subdivision 61-N of the</w:t>
            </w:r>
            <w:r w:rsidRPr="00B029D6">
              <w:rPr>
                <w:rFonts w:ascii="Arial" w:hAnsi="Arial" w:cs="Arial"/>
                <w:i/>
                <w:iCs/>
                <w:color w:val="000000"/>
                <w:sz w:val="16"/>
                <w:szCs w:val="16"/>
              </w:rPr>
              <w:t xml:space="preserve"> Income Tax Assessment Act 1997</w:t>
            </w:r>
          </w:p>
        </w:tc>
      </w:tr>
    </w:tbl>
    <w:p w14:paraId="2086F41C" w14:textId="77777777" w:rsidR="00802D3E" w:rsidRDefault="00802D3E" w:rsidP="00506822">
      <w:pPr>
        <w:pStyle w:val="SingleParagraph"/>
      </w:pPr>
    </w:p>
    <w:p w14:paraId="2086F41D" w14:textId="77777777" w:rsidR="00802D3E" w:rsidRDefault="00802D3E" w:rsidP="00802D3E">
      <w:r>
        <w:rPr>
          <w:rFonts w:eastAsia="Calibri"/>
          <w:lang w:eastAsia="en-US"/>
        </w:rPr>
        <w:t>A refundable tax offset is available to qualifying companies that employ qualifying Australian seafarers</w:t>
      </w:r>
      <w:r>
        <w:rPr>
          <w:rFonts w:eastAsia="Calibri"/>
          <w:lang w:eastAsia="en-US"/>
        </w:rPr>
        <w:fldChar w:fldCharType="begin"/>
      </w:r>
      <w:r>
        <w:instrText xml:space="preserve"> XE "Shipping:Seafarers" </w:instrText>
      </w:r>
      <w:r>
        <w:rPr>
          <w:rFonts w:eastAsia="Calibri"/>
          <w:lang w:eastAsia="en-US"/>
        </w:rPr>
        <w:fldChar w:fldCharType="end"/>
      </w:r>
      <w:r>
        <w:rPr>
          <w:rFonts w:eastAsia="Calibri"/>
          <w:lang w:eastAsia="en-US"/>
        </w:rPr>
        <w:t xml:space="preserve">. </w:t>
      </w:r>
      <w:r>
        <w:t xml:space="preserve">As the refundable tax offset is an expense item, it does not appear as a tax expenditure in its own right. However, a tax expenditure arises because payments made under this arrangement are exempt from tax. </w:t>
      </w:r>
      <w:r>
        <w:rPr>
          <w:rFonts w:eastAsia="Calibri"/>
          <w:lang w:eastAsia="en-US"/>
        </w:rPr>
        <w:t>The 2014-15 Budget included an announcement to abolish this offset, however legislation has not been passed to give effect to this decision. The estimates assume that the legislation repealing the offset is passed in 2017.</w:t>
      </w:r>
      <w:r>
        <w:t xml:space="preserve"> </w:t>
      </w:r>
    </w:p>
    <w:p w14:paraId="2086F41E" w14:textId="77777777" w:rsidR="00802D3E" w:rsidRDefault="00802D3E" w:rsidP="00802D3E">
      <w:pPr>
        <w:pStyle w:val="TESHeading5"/>
        <w:ind w:left="0" w:firstLine="0"/>
      </w:pPr>
      <w:r>
        <w:t>B42</w:t>
      </w:r>
      <w:r>
        <w:tab/>
        <w:t>Deductions for boat expenditure</w:t>
      </w:r>
    </w:p>
    <w:p w14:paraId="2086F41F" w14:textId="77777777" w:rsidR="00802D3E" w:rsidRDefault="00802D3E" w:rsidP="00802D3E">
      <w:pPr>
        <w:pStyle w:val="MeasureTableHeading"/>
      </w:pPr>
      <w:r>
        <w:t xml:space="preserve">Other economic affairs </w:t>
      </w:r>
      <w:r w:rsidR="00262EF4">
        <w:t>–</w:t>
      </w:r>
      <w:r>
        <w:t xml:space="preserve"> Tourism</w:t>
      </w:r>
      <w:r w:rsidR="00262EF4">
        <w:t xml:space="preserve"> </w:t>
      </w:r>
      <w:r>
        <w:t>and area promotion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428" w14:textId="77777777" w:rsidTr="00802D3E">
        <w:trPr>
          <w:cantSplit/>
          <w:jc w:val="center"/>
        </w:trPr>
        <w:tc>
          <w:tcPr>
            <w:tcW w:w="967" w:type="dxa"/>
            <w:tcBorders>
              <w:top w:val="single" w:sz="2" w:space="0" w:color="auto"/>
              <w:left w:val="nil"/>
              <w:bottom w:val="single" w:sz="2" w:space="0" w:color="auto"/>
              <w:right w:val="nil"/>
            </w:tcBorders>
            <w:hideMark/>
          </w:tcPr>
          <w:p w14:paraId="2086F42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42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42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42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42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42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42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427" w14:textId="77777777" w:rsidR="00802D3E" w:rsidRDefault="00802D3E">
            <w:pPr>
              <w:pStyle w:val="MeasureTableTextRightAligned"/>
            </w:pPr>
            <w:r>
              <w:t>2019-20</w:t>
            </w:r>
          </w:p>
        </w:tc>
      </w:tr>
      <w:tr w:rsidR="00802D3E" w14:paraId="2086F431" w14:textId="77777777" w:rsidTr="00802D3E">
        <w:trPr>
          <w:cantSplit/>
          <w:jc w:val="center"/>
        </w:trPr>
        <w:tc>
          <w:tcPr>
            <w:tcW w:w="967" w:type="dxa"/>
            <w:tcBorders>
              <w:top w:val="single" w:sz="2" w:space="0" w:color="auto"/>
              <w:left w:val="nil"/>
              <w:bottom w:val="single" w:sz="2" w:space="0" w:color="auto"/>
              <w:right w:val="nil"/>
            </w:tcBorders>
            <w:hideMark/>
          </w:tcPr>
          <w:p w14:paraId="2086F42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42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2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2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2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2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2F"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430" w14:textId="77777777" w:rsidR="00802D3E" w:rsidRDefault="00802D3E">
            <w:pPr>
              <w:pStyle w:val="MeasureTableTextRightAligned"/>
            </w:pPr>
            <w:r>
              <w:t>*</w:t>
            </w:r>
          </w:p>
        </w:tc>
      </w:tr>
      <w:tr w:rsidR="00802D3E" w14:paraId="2086F436" w14:textId="77777777" w:rsidTr="00802D3E">
        <w:trPr>
          <w:cantSplit/>
          <w:jc w:val="center"/>
        </w:trPr>
        <w:tc>
          <w:tcPr>
            <w:tcW w:w="1934" w:type="dxa"/>
            <w:gridSpan w:val="2"/>
            <w:tcBorders>
              <w:top w:val="single" w:sz="2" w:space="0" w:color="auto"/>
              <w:left w:val="nil"/>
              <w:bottom w:val="nil"/>
              <w:right w:val="nil"/>
            </w:tcBorders>
            <w:hideMark/>
          </w:tcPr>
          <w:p w14:paraId="2086F43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433"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43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435" w14:textId="77777777" w:rsidR="00802D3E" w:rsidRDefault="00802D3E">
            <w:pPr>
              <w:pStyle w:val="MeasureTableTextLeftAligned"/>
            </w:pPr>
            <w:r>
              <w:t>B42</w:t>
            </w:r>
          </w:p>
        </w:tc>
      </w:tr>
      <w:tr w:rsidR="00802D3E" w14:paraId="2086F43B" w14:textId="77777777" w:rsidTr="00802D3E">
        <w:trPr>
          <w:cantSplit/>
          <w:jc w:val="center"/>
        </w:trPr>
        <w:tc>
          <w:tcPr>
            <w:tcW w:w="1934" w:type="dxa"/>
            <w:gridSpan w:val="2"/>
            <w:tcBorders>
              <w:top w:val="nil"/>
              <w:left w:val="nil"/>
              <w:bottom w:val="nil"/>
              <w:right w:val="nil"/>
            </w:tcBorders>
            <w:hideMark/>
          </w:tcPr>
          <w:p w14:paraId="2086F43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438"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439"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43A" w14:textId="77777777" w:rsidR="00802D3E" w:rsidRDefault="00802D3E">
            <w:pPr>
              <w:pStyle w:val="MeasureTableTextLeftAligned"/>
            </w:pPr>
            <w:r>
              <w:t>1+</w:t>
            </w:r>
          </w:p>
        </w:tc>
      </w:tr>
      <w:tr w:rsidR="00802D3E" w14:paraId="2086F440" w14:textId="77777777" w:rsidTr="00802D3E">
        <w:trPr>
          <w:cantSplit/>
          <w:jc w:val="center"/>
        </w:trPr>
        <w:tc>
          <w:tcPr>
            <w:tcW w:w="1934" w:type="dxa"/>
            <w:gridSpan w:val="2"/>
            <w:tcBorders>
              <w:top w:val="nil"/>
              <w:left w:val="nil"/>
              <w:bottom w:val="nil"/>
              <w:right w:val="nil"/>
            </w:tcBorders>
            <w:hideMark/>
          </w:tcPr>
          <w:p w14:paraId="2086F43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43D" w14:textId="77777777" w:rsidR="00802D3E" w:rsidRDefault="00802D3E">
            <w:pPr>
              <w:pStyle w:val="MeasureTableTextLeftAligned"/>
            </w:pPr>
            <w:r>
              <w:t>2007</w:t>
            </w:r>
          </w:p>
        </w:tc>
        <w:tc>
          <w:tcPr>
            <w:tcW w:w="1500" w:type="dxa"/>
            <w:gridSpan w:val="2"/>
            <w:tcBorders>
              <w:top w:val="nil"/>
              <w:left w:val="nil"/>
              <w:bottom w:val="nil"/>
              <w:right w:val="nil"/>
            </w:tcBorders>
            <w:hideMark/>
          </w:tcPr>
          <w:p w14:paraId="2086F43E"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43F" w14:textId="77777777" w:rsidR="00802D3E" w:rsidRDefault="00802D3E">
            <w:pPr>
              <w:pStyle w:val="MeasureTableTextLeftAligned"/>
            </w:pPr>
          </w:p>
        </w:tc>
      </w:tr>
      <w:tr w:rsidR="00802D3E" w14:paraId="2086F443" w14:textId="77777777" w:rsidTr="00802D3E">
        <w:trPr>
          <w:cantSplit/>
          <w:jc w:val="center"/>
        </w:trPr>
        <w:tc>
          <w:tcPr>
            <w:tcW w:w="1934" w:type="dxa"/>
            <w:gridSpan w:val="2"/>
            <w:tcBorders>
              <w:top w:val="nil"/>
              <w:left w:val="nil"/>
              <w:bottom w:val="single" w:sz="2" w:space="0" w:color="auto"/>
              <w:right w:val="nil"/>
            </w:tcBorders>
            <w:hideMark/>
          </w:tcPr>
          <w:p w14:paraId="2086F44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442"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Section 26-47 of the </w:t>
            </w:r>
            <w:r>
              <w:rPr>
                <w:rFonts w:ascii="Arial" w:hAnsi="Arial" w:cs="Arial"/>
                <w:i/>
                <w:iCs/>
                <w:color w:val="000000"/>
                <w:sz w:val="16"/>
                <w:szCs w:val="16"/>
              </w:rPr>
              <w:t>Income Tax Assessment Act 1997</w:t>
            </w:r>
          </w:p>
        </w:tc>
      </w:tr>
    </w:tbl>
    <w:p w14:paraId="2086F444" w14:textId="77777777" w:rsidR="00802D3E" w:rsidRDefault="00802D3E" w:rsidP="00506822">
      <w:pPr>
        <w:pStyle w:val="SingleParagraph"/>
      </w:pPr>
    </w:p>
    <w:p w14:paraId="2086F445" w14:textId="77777777" w:rsidR="00802D3E" w:rsidRDefault="00802D3E" w:rsidP="00802D3E">
      <w:r>
        <w:t xml:space="preserve">Taxpayers who cannot demonstrate that they are carrying on a business using a boat can claim deductions for expenses incurred in boating activities </w:t>
      </w:r>
      <w:r>
        <w:fldChar w:fldCharType="begin"/>
      </w:r>
      <w:r>
        <w:instrText xml:space="preserve"> XE "Boat expenditure" </w:instrText>
      </w:r>
      <w:r>
        <w:fldChar w:fldCharType="end"/>
      </w:r>
      <w:r>
        <w:t xml:space="preserve">up to the level of income generated in that year from their boating activity, and carry forward any excess deductions and deduct them against income from that boating activity in future years. </w:t>
      </w:r>
    </w:p>
    <w:p w14:paraId="2086F446" w14:textId="77777777" w:rsidR="00802D3E" w:rsidRDefault="00802D3E" w:rsidP="00802D3E">
      <w:pPr>
        <w:pStyle w:val="TESHeading5"/>
        <w:ind w:left="0" w:firstLine="0"/>
      </w:pPr>
      <w:r>
        <w:t>B43</w:t>
      </w:r>
      <w:r>
        <w:tab/>
        <w:t>Capital gains tax concession for carried interests paid to venture capital partners</w:t>
      </w:r>
    </w:p>
    <w:p w14:paraId="2086F447"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450" w14:textId="77777777" w:rsidTr="00802D3E">
        <w:trPr>
          <w:cantSplit/>
          <w:jc w:val="center"/>
        </w:trPr>
        <w:tc>
          <w:tcPr>
            <w:tcW w:w="967" w:type="dxa"/>
            <w:tcBorders>
              <w:top w:val="single" w:sz="2" w:space="0" w:color="auto"/>
              <w:left w:val="nil"/>
              <w:bottom w:val="single" w:sz="2" w:space="0" w:color="auto"/>
              <w:right w:val="nil"/>
            </w:tcBorders>
            <w:hideMark/>
          </w:tcPr>
          <w:p w14:paraId="2086F44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44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44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44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44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44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44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44F" w14:textId="77777777" w:rsidR="00802D3E" w:rsidRDefault="00802D3E">
            <w:pPr>
              <w:pStyle w:val="MeasureTableTextRightAligned"/>
            </w:pPr>
            <w:r>
              <w:t>2019-20</w:t>
            </w:r>
          </w:p>
        </w:tc>
      </w:tr>
      <w:tr w:rsidR="00802D3E" w14:paraId="2086F459" w14:textId="77777777" w:rsidTr="00802D3E">
        <w:trPr>
          <w:cantSplit/>
          <w:jc w:val="center"/>
        </w:trPr>
        <w:tc>
          <w:tcPr>
            <w:tcW w:w="967" w:type="dxa"/>
            <w:tcBorders>
              <w:top w:val="single" w:sz="2" w:space="0" w:color="auto"/>
              <w:left w:val="nil"/>
              <w:bottom w:val="single" w:sz="2" w:space="0" w:color="auto"/>
              <w:right w:val="nil"/>
            </w:tcBorders>
            <w:hideMark/>
          </w:tcPr>
          <w:p w14:paraId="2086F45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45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5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5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5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5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57"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458" w14:textId="77777777" w:rsidR="00802D3E" w:rsidRDefault="00802D3E">
            <w:pPr>
              <w:pStyle w:val="MeasureTableTextRightAligned"/>
            </w:pPr>
            <w:r>
              <w:t>*</w:t>
            </w:r>
          </w:p>
        </w:tc>
      </w:tr>
      <w:tr w:rsidR="00802D3E" w14:paraId="2086F45E" w14:textId="77777777" w:rsidTr="00802D3E">
        <w:trPr>
          <w:cantSplit/>
          <w:jc w:val="center"/>
        </w:trPr>
        <w:tc>
          <w:tcPr>
            <w:tcW w:w="1934" w:type="dxa"/>
            <w:gridSpan w:val="2"/>
            <w:tcBorders>
              <w:top w:val="single" w:sz="2" w:space="0" w:color="auto"/>
              <w:left w:val="nil"/>
              <w:bottom w:val="nil"/>
              <w:right w:val="nil"/>
            </w:tcBorders>
            <w:hideMark/>
          </w:tcPr>
          <w:p w14:paraId="2086F45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45B" w14:textId="77777777" w:rsidR="00802D3E" w:rsidRDefault="00802D3E">
            <w:pPr>
              <w:pStyle w:val="MeasureTableTextLeftAligned"/>
            </w:pPr>
            <w:r>
              <w:t>Concessional rate, Deferral</w:t>
            </w:r>
          </w:p>
        </w:tc>
        <w:tc>
          <w:tcPr>
            <w:tcW w:w="1500" w:type="dxa"/>
            <w:gridSpan w:val="2"/>
            <w:tcBorders>
              <w:top w:val="single" w:sz="2" w:space="0" w:color="auto"/>
              <w:left w:val="nil"/>
              <w:bottom w:val="nil"/>
              <w:right w:val="nil"/>
            </w:tcBorders>
            <w:hideMark/>
          </w:tcPr>
          <w:p w14:paraId="2086F45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45D" w14:textId="77777777" w:rsidR="00802D3E" w:rsidRDefault="00802D3E">
            <w:pPr>
              <w:pStyle w:val="MeasureTableTextLeftAligned"/>
            </w:pPr>
            <w:r>
              <w:t>B44</w:t>
            </w:r>
          </w:p>
        </w:tc>
      </w:tr>
      <w:tr w:rsidR="00802D3E" w14:paraId="2086F463" w14:textId="77777777" w:rsidTr="00802D3E">
        <w:trPr>
          <w:cantSplit/>
          <w:jc w:val="center"/>
        </w:trPr>
        <w:tc>
          <w:tcPr>
            <w:tcW w:w="1934" w:type="dxa"/>
            <w:gridSpan w:val="2"/>
            <w:tcBorders>
              <w:top w:val="nil"/>
              <w:left w:val="nil"/>
              <w:bottom w:val="nil"/>
              <w:right w:val="nil"/>
            </w:tcBorders>
            <w:hideMark/>
          </w:tcPr>
          <w:p w14:paraId="2086F45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460"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461"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462" w14:textId="77777777" w:rsidR="00802D3E" w:rsidRDefault="00802D3E">
            <w:pPr>
              <w:pStyle w:val="MeasureTableTextLeftAligned"/>
            </w:pPr>
            <w:r>
              <w:t>1+</w:t>
            </w:r>
          </w:p>
        </w:tc>
      </w:tr>
      <w:tr w:rsidR="00802D3E" w14:paraId="2086F468" w14:textId="77777777" w:rsidTr="00802D3E">
        <w:trPr>
          <w:cantSplit/>
          <w:jc w:val="center"/>
        </w:trPr>
        <w:tc>
          <w:tcPr>
            <w:tcW w:w="1934" w:type="dxa"/>
            <w:gridSpan w:val="2"/>
            <w:tcBorders>
              <w:top w:val="nil"/>
              <w:left w:val="nil"/>
              <w:bottom w:val="nil"/>
              <w:right w:val="nil"/>
            </w:tcBorders>
            <w:hideMark/>
          </w:tcPr>
          <w:p w14:paraId="2086F46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465" w14:textId="77777777" w:rsidR="00802D3E" w:rsidRDefault="00802D3E">
            <w:pPr>
              <w:pStyle w:val="MeasureTableTextLeftAligned"/>
            </w:pPr>
            <w:r>
              <w:t>2002</w:t>
            </w:r>
          </w:p>
        </w:tc>
        <w:tc>
          <w:tcPr>
            <w:tcW w:w="1500" w:type="dxa"/>
            <w:gridSpan w:val="2"/>
            <w:tcBorders>
              <w:top w:val="nil"/>
              <w:left w:val="nil"/>
              <w:bottom w:val="nil"/>
              <w:right w:val="nil"/>
            </w:tcBorders>
            <w:hideMark/>
          </w:tcPr>
          <w:p w14:paraId="2086F466"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467" w14:textId="77777777" w:rsidR="00802D3E" w:rsidRDefault="00802D3E">
            <w:pPr>
              <w:pStyle w:val="MeasureTableTextLeftAligned"/>
            </w:pPr>
          </w:p>
        </w:tc>
      </w:tr>
      <w:tr w:rsidR="00802D3E" w14:paraId="2086F46C" w14:textId="77777777" w:rsidTr="00802D3E">
        <w:trPr>
          <w:cantSplit/>
          <w:jc w:val="center"/>
        </w:trPr>
        <w:tc>
          <w:tcPr>
            <w:tcW w:w="1934" w:type="dxa"/>
            <w:gridSpan w:val="2"/>
            <w:tcBorders>
              <w:top w:val="nil"/>
              <w:left w:val="nil"/>
              <w:bottom w:val="single" w:sz="2" w:space="0" w:color="auto"/>
              <w:right w:val="nil"/>
            </w:tcBorders>
            <w:hideMark/>
          </w:tcPr>
          <w:p w14:paraId="2086F46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46A" w14:textId="77777777" w:rsidR="00802D3E" w:rsidRPr="00B029D6" w:rsidRDefault="00802D3E" w:rsidP="00B029D6">
            <w:pPr>
              <w:widowControl w:val="0"/>
              <w:autoSpaceDE w:val="0"/>
              <w:autoSpaceDN w:val="0"/>
              <w:adjustRightInd w:val="0"/>
              <w:spacing w:after="0" w:line="240" w:lineRule="auto"/>
              <w:jc w:val="left"/>
              <w:rPr>
                <w:rFonts w:ascii="Arial" w:hAnsi="Arial" w:cs="Arial"/>
                <w:i/>
                <w:iCs/>
                <w:color w:val="000000"/>
                <w:sz w:val="16"/>
                <w:szCs w:val="16"/>
              </w:rPr>
            </w:pPr>
            <w:r w:rsidRPr="00B029D6">
              <w:rPr>
                <w:rFonts w:ascii="Arial" w:hAnsi="Arial" w:cs="Arial"/>
                <w:sz w:val="16"/>
                <w:szCs w:val="16"/>
              </w:rPr>
              <w:t xml:space="preserve">Sections 104-255 and 118-21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p w14:paraId="2086F46B"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i/>
                <w:iCs/>
                <w:color w:val="000000"/>
                <w:sz w:val="16"/>
                <w:szCs w:val="16"/>
              </w:rPr>
              <w:t>Venture Capital Act 2002</w:t>
            </w:r>
          </w:p>
        </w:tc>
      </w:tr>
    </w:tbl>
    <w:p w14:paraId="2086F46D" w14:textId="77777777" w:rsidR="00802D3E" w:rsidRDefault="00802D3E" w:rsidP="00506822">
      <w:pPr>
        <w:pStyle w:val="SingleParagraph"/>
      </w:pPr>
    </w:p>
    <w:p w14:paraId="2086F46E" w14:textId="77777777" w:rsidR="00802D3E" w:rsidRDefault="00802D3E" w:rsidP="00802D3E">
      <w:r>
        <w:t>Venture capital fund managers may be paid a performance-based share of partnership profits by investors. Such performance payments are ‘carried interests</w:t>
      </w:r>
      <w:r>
        <w:fldChar w:fldCharType="begin"/>
      </w:r>
      <w:r>
        <w:instrText xml:space="preserve"> XE "Carried interests" </w:instrText>
      </w:r>
      <w:r>
        <w:fldChar w:fldCharType="end"/>
      </w:r>
      <w:r>
        <w:t xml:space="preserve">’. Under the benchmark, these entitlements are taxable income of the fund managers as they accrue. Instead, under the law, an entitlement to receive a carried interest is a capital gains tax </w:t>
      </w:r>
      <w:r>
        <w:lastRenderedPageBreak/>
        <w:t>event in the hands of venture capital</w:t>
      </w:r>
      <w:r>
        <w:fldChar w:fldCharType="begin"/>
      </w:r>
      <w:r>
        <w:instrText xml:space="preserve"> XE "Venture capital" </w:instrText>
      </w:r>
      <w:r>
        <w:fldChar w:fldCharType="end"/>
      </w:r>
      <w:r>
        <w:t xml:space="preserve"> fund managers and is not treated as income. Consequently, taxation of the income is deferred until the gains are realised and individual managers are eligible for the 50 per cent discount on their carried interest. </w:t>
      </w:r>
    </w:p>
    <w:p w14:paraId="2086F46F" w14:textId="77777777" w:rsidR="00802D3E" w:rsidRDefault="00802D3E" w:rsidP="00802D3E">
      <w:pPr>
        <w:pStyle w:val="TESHeading5"/>
        <w:ind w:left="0" w:firstLine="0"/>
      </w:pPr>
      <w:r>
        <w:t>B44</w:t>
      </w:r>
      <w:r>
        <w:tab/>
        <w:t>Clarification of the debt or equity treatment of perpetual subordinated debt</w:t>
      </w:r>
    </w:p>
    <w:p w14:paraId="2086F470"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479" w14:textId="77777777" w:rsidTr="00802D3E">
        <w:trPr>
          <w:cantSplit/>
          <w:jc w:val="center"/>
        </w:trPr>
        <w:tc>
          <w:tcPr>
            <w:tcW w:w="967" w:type="dxa"/>
            <w:tcBorders>
              <w:top w:val="single" w:sz="2" w:space="0" w:color="auto"/>
              <w:left w:val="nil"/>
              <w:bottom w:val="single" w:sz="2" w:space="0" w:color="auto"/>
              <w:right w:val="nil"/>
            </w:tcBorders>
            <w:hideMark/>
          </w:tcPr>
          <w:p w14:paraId="2086F47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47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47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47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47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47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47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478" w14:textId="77777777" w:rsidR="00802D3E" w:rsidRDefault="00802D3E">
            <w:pPr>
              <w:pStyle w:val="MeasureTableTextRightAligned"/>
            </w:pPr>
            <w:r>
              <w:t>2019-20</w:t>
            </w:r>
          </w:p>
        </w:tc>
      </w:tr>
      <w:tr w:rsidR="00802D3E" w14:paraId="2086F482" w14:textId="77777777" w:rsidTr="00802D3E">
        <w:trPr>
          <w:cantSplit/>
          <w:jc w:val="center"/>
        </w:trPr>
        <w:tc>
          <w:tcPr>
            <w:tcW w:w="967" w:type="dxa"/>
            <w:tcBorders>
              <w:top w:val="single" w:sz="2" w:space="0" w:color="auto"/>
              <w:left w:val="nil"/>
              <w:bottom w:val="single" w:sz="2" w:space="0" w:color="auto"/>
              <w:right w:val="nil"/>
            </w:tcBorders>
            <w:hideMark/>
          </w:tcPr>
          <w:p w14:paraId="2086F47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47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7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7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7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7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80"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481" w14:textId="77777777" w:rsidR="00802D3E" w:rsidRDefault="00802D3E">
            <w:pPr>
              <w:pStyle w:val="MeasureTableTextRightAligned"/>
            </w:pPr>
            <w:r>
              <w:t>*</w:t>
            </w:r>
          </w:p>
        </w:tc>
      </w:tr>
      <w:tr w:rsidR="00802D3E" w14:paraId="2086F487" w14:textId="77777777" w:rsidTr="00802D3E">
        <w:trPr>
          <w:cantSplit/>
          <w:jc w:val="center"/>
        </w:trPr>
        <w:tc>
          <w:tcPr>
            <w:tcW w:w="1934" w:type="dxa"/>
            <w:gridSpan w:val="2"/>
            <w:tcBorders>
              <w:top w:val="single" w:sz="2" w:space="0" w:color="auto"/>
              <w:left w:val="nil"/>
              <w:bottom w:val="nil"/>
              <w:right w:val="nil"/>
            </w:tcBorders>
            <w:hideMark/>
          </w:tcPr>
          <w:p w14:paraId="2086F48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484"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48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486" w14:textId="77777777" w:rsidR="00802D3E" w:rsidRDefault="00802D3E">
            <w:pPr>
              <w:pStyle w:val="MeasureTableTextLeftAligned"/>
            </w:pPr>
            <w:r>
              <w:t>B45</w:t>
            </w:r>
          </w:p>
        </w:tc>
      </w:tr>
      <w:tr w:rsidR="00802D3E" w14:paraId="2086F48C" w14:textId="77777777" w:rsidTr="00802D3E">
        <w:trPr>
          <w:cantSplit/>
          <w:jc w:val="center"/>
        </w:trPr>
        <w:tc>
          <w:tcPr>
            <w:tcW w:w="1934" w:type="dxa"/>
            <w:gridSpan w:val="2"/>
            <w:tcBorders>
              <w:top w:val="nil"/>
              <w:left w:val="nil"/>
              <w:bottom w:val="nil"/>
              <w:right w:val="nil"/>
            </w:tcBorders>
            <w:hideMark/>
          </w:tcPr>
          <w:p w14:paraId="2086F48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489"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48A"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48B" w14:textId="77777777" w:rsidR="00802D3E" w:rsidRDefault="00802D3E">
            <w:pPr>
              <w:pStyle w:val="MeasureTableTextLeftAligned"/>
            </w:pPr>
            <w:r>
              <w:t>2+</w:t>
            </w:r>
          </w:p>
        </w:tc>
      </w:tr>
      <w:tr w:rsidR="00802D3E" w14:paraId="2086F491" w14:textId="77777777" w:rsidTr="00802D3E">
        <w:trPr>
          <w:cantSplit/>
          <w:jc w:val="center"/>
        </w:trPr>
        <w:tc>
          <w:tcPr>
            <w:tcW w:w="1934" w:type="dxa"/>
            <w:gridSpan w:val="2"/>
            <w:tcBorders>
              <w:top w:val="nil"/>
              <w:left w:val="nil"/>
              <w:bottom w:val="nil"/>
              <w:right w:val="nil"/>
            </w:tcBorders>
            <w:hideMark/>
          </w:tcPr>
          <w:p w14:paraId="2086F48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48E" w14:textId="77777777" w:rsidR="00802D3E" w:rsidRDefault="00802D3E">
            <w:pPr>
              <w:pStyle w:val="MeasureTableTextLeftAligned"/>
            </w:pPr>
            <w:r>
              <w:t>1 July 2001</w:t>
            </w:r>
          </w:p>
        </w:tc>
        <w:tc>
          <w:tcPr>
            <w:tcW w:w="1500" w:type="dxa"/>
            <w:gridSpan w:val="2"/>
            <w:tcBorders>
              <w:top w:val="nil"/>
              <w:left w:val="nil"/>
              <w:bottom w:val="nil"/>
              <w:right w:val="nil"/>
            </w:tcBorders>
            <w:hideMark/>
          </w:tcPr>
          <w:p w14:paraId="2086F48F"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490" w14:textId="77777777" w:rsidR="00802D3E" w:rsidRDefault="00802D3E">
            <w:pPr>
              <w:pStyle w:val="MeasureTableTextLeftAligned"/>
            </w:pPr>
          </w:p>
        </w:tc>
      </w:tr>
      <w:tr w:rsidR="00802D3E" w14:paraId="2086F494" w14:textId="77777777" w:rsidTr="00802D3E">
        <w:trPr>
          <w:cantSplit/>
          <w:jc w:val="center"/>
        </w:trPr>
        <w:tc>
          <w:tcPr>
            <w:tcW w:w="1934" w:type="dxa"/>
            <w:gridSpan w:val="2"/>
            <w:tcBorders>
              <w:top w:val="nil"/>
              <w:left w:val="nil"/>
              <w:bottom w:val="single" w:sz="2" w:space="0" w:color="auto"/>
              <w:right w:val="nil"/>
            </w:tcBorders>
            <w:hideMark/>
          </w:tcPr>
          <w:p w14:paraId="2086F49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493" w14:textId="77777777" w:rsidR="00802D3E" w:rsidRDefault="00802D3E" w:rsidP="0096352B">
            <w:pPr>
              <w:widowControl w:val="0"/>
              <w:autoSpaceDE w:val="0"/>
              <w:autoSpaceDN w:val="0"/>
              <w:adjustRightInd w:val="0"/>
              <w:spacing w:after="0" w:line="240" w:lineRule="auto"/>
              <w:jc w:val="left"/>
            </w:pPr>
            <w:r>
              <w:rPr>
                <w:rFonts w:ascii="Arial" w:hAnsi="Arial" w:cs="Arial"/>
                <w:color w:val="000000"/>
                <w:sz w:val="16"/>
                <w:szCs w:val="16"/>
              </w:rPr>
              <w:t xml:space="preserve">Division 974 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Division 974 of the </w:t>
            </w:r>
            <w:r>
              <w:rPr>
                <w:rFonts w:ascii="Arial" w:hAnsi="Arial" w:cs="Arial"/>
                <w:i/>
                <w:iCs/>
                <w:color w:val="000000"/>
                <w:sz w:val="16"/>
                <w:szCs w:val="16"/>
              </w:rPr>
              <w:t>Income Tax Assessment Regulations 1997</w:t>
            </w:r>
          </w:p>
        </w:tc>
      </w:tr>
    </w:tbl>
    <w:p w14:paraId="2086F495" w14:textId="77777777" w:rsidR="00802D3E" w:rsidRDefault="00802D3E" w:rsidP="00506822">
      <w:pPr>
        <w:pStyle w:val="SingleParagraph"/>
      </w:pPr>
    </w:p>
    <w:p w14:paraId="2086F496" w14:textId="77777777" w:rsidR="00802D3E" w:rsidRDefault="00802D3E" w:rsidP="00802D3E">
      <w:r>
        <w:t>Under certain circumstances, ‘profitability, insolvency or negative earnings conditions’ do not preclude Upper Tier 2</w:t>
      </w:r>
      <w:r>
        <w:fldChar w:fldCharType="begin"/>
      </w:r>
      <w:r>
        <w:instrText xml:space="preserve"> XE "Upper Tier 2" </w:instrText>
      </w:r>
      <w:r>
        <w:fldChar w:fldCharType="end"/>
      </w:r>
      <w:r>
        <w:t xml:space="preserve"> perpetual subordinated debt and similar instruments from being classified as debt</w:t>
      </w:r>
      <w:r>
        <w:fldChar w:fldCharType="begin"/>
      </w:r>
      <w:r>
        <w:instrText xml:space="preserve"> XE "Debt" </w:instrText>
      </w:r>
      <w:r>
        <w:fldChar w:fldCharType="end"/>
      </w:r>
      <w:r>
        <w:t xml:space="preserve"> for tax purposes. This means that distributions on such instruments may be treated as tax deductible interest payments rather than non-tax deductible dividend payments. Perpetual subordinated debt</w:t>
      </w:r>
      <w:r>
        <w:fldChar w:fldCharType="begin"/>
      </w:r>
      <w:r>
        <w:instrText xml:space="preserve"> XE "Perpetual subordinated debt" </w:instrText>
      </w:r>
      <w:r>
        <w:fldChar w:fldCharType="end"/>
      </w:r>
      <w:r>
        <w:t xml:space="preserve"> issued by financial institutions to raise regulatory capital would typically be classified as equity under the debt-equity rules. </w:t>
      </w:r>
    </w:p>
    <w:p w14:paraId="2086F497" w14:textId="77777777" w:rsidR="00802D3E" w:rsidRDefault="00802D3E" w:rsidP="00802D3E">
      <w:pPr>
        <w:pStyle w:val="TESHeading5"/>
        <w:ind w:left="0" w:firstLine="0"/>
      </w:pPr>
      <w:r>
        <w:t>B45</w:t>
      </w:r>
      <w:r>
        <w:tab/>
        <w:t>Deduction for borrowing expenses</w:t>
      </w:r>
    </w:p>
    <w:p w14:paraId="2086F498"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4A1" w14:textId="77777777" w:rsidTr="00802D3E">
        <w:trPr>
          <w:cantSplit/>
          <w:jc w:val="center"/>
        </w:trPr>
        <w:tc>
          <w:tcPr>
            <w:tcW w:w="967" w:type="dxa"/>
            <w:tcBorders>
              <w:top w:val="single" w:sz="2" w:space="0" w:color="auto"/>
              <w:left w:val="nil"/>
              <w:bottom w:val="single" w:sz="2" w:space="0" w:color="auto"/>
              <w:right w:val="nil"/>
            </w:tcBorders>
            <w:hideMark/>
          </w:tcPr>
          <w:p w14:paraId="2086F49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49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49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49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49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49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49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4A0" w14:textId="77777777" w:rsidR="00802D3E" w:rsidRDefault="00802D3E">
            <w:pPr>
              <w:pStyle w:val="MeasureTableTextRightAligned"/>
            </w:pPr>
            <w:r>
              <w:t>2019-20</w:t>
            </w:r>
          </w:p>
        </w:tc>
      </w:tr>
      <w:tr w:rsidR="00802D3E" w14:paraId="2086F4AA" w14:textId="77777777" w:rsidTr="00802D3E">
        <w:trPr>
          <w:cantSplit/>
          <w:jc w:val="center"/>
        </w:trPr>
        <w:tc>
          <w:tcPr>
            <w:tcW w:w="967" w:type="dxa"/>
            <w:tcBorders>
              <w:top w:val="single" w:sz="2" w:space="0" w:color="auto"/>
              <w:left w:val="nil"/>
              <w:bottom w:val="single" w:sz="2" w:space="0" w:color="auto"/>
              <w:right w:val="nil"/>
            </w:tcBorders>
            <w:hideMark/>
          </w:tcPr>
          <w:p w14:paraId="2086F4A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4A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A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A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A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A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A8"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4A9" w14:textId="77777777" w:rsidR="00802D3E" w:rsidRDefault="00802D3E">
            <w:pPr>
              <w:pStyle w:val="MeasureTableTextRightAligned"/>
            </w:pPr>
            <w:r>
              <w:t>*</w:t>
            </w:r>
          </w:p>
        </w:tc>
      </w:tr>
      <w:tr w:rsidR="00802D3E" w14:paraId="2086F4AF" w14:textId="77777777" w:rsidTr="00802D3E">
        <w:trPr>
          <w:cantSplit/>
          <w:jc w:val="center"/>
        </w:trPr>
        <w:tc>
          <w:tcPr>
            <w:tcW w:w="1934" w:type="dxa"/>
            <w:gridSpan w:val="2"/>
            <w:tcBorders>
              <w:top w:val="single" w:sz="2" w:space="0" w:color="auto"/>
              <w:left w:val="nil"/>
              <w:bottom w:val="nil"/>
              <w:right w:val="nil"/>
            </w:tcBorders>
            <w:hideMark/>
          </w:tcPr>
          <w:p w14:paraId="2086F4A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4AC"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4A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4AE" w14:textId="77777777" w:rsidR="00802D3E" w:rsidRDefault="00802D3E">
            <w:pPr>
              <w:pStyle w:val="MeasureTableTextLeftAligned"/>
            </w:pPr>
            <w:r>
              <w:t>B47</w:t>
            </w:r>
          </w:p>
        </w:tc>
      </w:tr>
      <w:tr w:rsidR="00802D3E" w14:paraId="2086F4B4" w14:textId="77777777" w:rsidTr="00802D3E">
        <w:trPr>
          <w:cantSplit/>
          <w:jc w:val="center"/>
        </w:trPr>
        <w:tc>
          <w:tcPr>
            <w:tcW w:w="1934" w:type="dxa"/>
            <w:gridSpan w:val="2"/>
            <w:tcBorders>
              <w:top w:val="nil"/>
              <w:left w:val="nil"/>
              <w:bottom w:val="nil"/>
              <w:right w:val="nil"/>
            </w:tcBorders>
            <w:hideMark/>
          </w:tcPr>
          <w:p w14:paraId="2086F4B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4B1"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4B2"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4B3" w14:textId="77777777" w:rsidR="00802D3E" w:rsidRDefault="00802D3E">
            <w:pPr>
              <w:pStyle w:val="MeasureTableTextLeftAligned"/>
            </w:pPr>
            <w:r>
              <w:t>2+</w:t>
            </w:r>
          </w:p>
        </w:tc>
      </w:tr>
      <w:tr w:rsidR="00802D3E" w14:paraId="2086F4B9" w14:textId="77777777" w:rsidTr="00802D3E">
        <w:trPr>
          <w:cantSplit/>
          <w:jc w:val="center"/>
        </w:trPr>
        <w:tc>
          <w:tcPr>
            <w:tcW w:w="1934" w:type="dxa"/>
            <w:gridSpan w:val="2"/>
            <w:tcBorders>
              <w:top w:val="nil"/>
              <w:left w:val="nil"/>
              <w:bottom w:val="nil"/>
              <w:right w:val="nil"/>
            </w:tcBorders>
            <w:hideMark/>
          </w:tcPr>
          <w:p w14:paraId="2086F4B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4B6" w14:textId="77777777" w:rsidR="00802D3E" w:rsidRDefault="00802D3E">
            <w:pPr>
              <w:pStyle w:val="MeasureTableTextLeftAligned"/>
            </w:pPr>
            <w:r>
              <w:t>1 July 1997</w:t>
            </w:r>
          </w:p>
        </w:tc>
        <w:tc>
          <w:tcPr>
            <w:tcW w:w="1500" w:type="dxa"/>
            <w:gridSpan w:val="2"/>
            <w:tcBorders>
              <w:top w:val="nil"/>
              <w:left w:val="nil"/>
              <w:bottom w:val="nil"/>
              <w:right w:val="nil"/>
            </w:tcBorders>
            <w:hideMark/>
          </w:tcPr>
          <w:p w14:paraId="2086F4B7"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4B8" w14:textId="77777777" w:rsidR="00802D3E" w:rsidRDefault="00802D3E">
            <w:pPr>
              <w:pStyle w:val="MeasureTableTextLeftAligned"/>
            </w:pPr>
          </w:p>
        </w:tc>
      </w:tr>
      <w:tr w:rsidR="00802D3E" w14:paraId="2086F4BC" w14:textId="77777777" w:rsidTr="00802D3E">
        <w:trPr>
          <w:cantSplit/>
          <w:jc w:val="center"/>
        </w:trPr>
        <w:tc>
          <w:tcPr>
            <w:tcW w:w="1934" w:type="dxa"/>
            <w:gridSpan w:val="2"/>
            <w:tcBorders>
              <w:top w:val="nil"/>
              <w:left w:val="nil"/>
              <w:bottom w:val="single" w:sz="2" w:space="0" w:color="auto"/>
              <w:right w:val="nil"/>
            </w:tcBorders>
            <w:hideMark/>
          </w:tcPr>
          <w:p w14:paraId="2086F4B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4BB"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 xml:space="preserve">Section 25-25 of the </w:t>
            </w:r>
            <w:r w:rsidRPr="00B029D6">
              <w:rPr>
                <w:rFonts w:ascii="Arial" w:hAnsi="Arial" w:cs="Arial"/>
                <w:i/>
                <w:iCs/>
                <w:color w:val="000000"/>
                <w:sz w:val="16"/>
                <w:szCs w:val="16"/>
              </w:rPr>
              <w:t>Income Tax Assessment Act 1997</w:t>
            </w:r>
          </w:p>
        </w:tc>
      </w:tr>
    </w:tbl>
    <w:p w14:paraId="2086F4BD" w14:textId="77777777" w:rsidR="00802D3E" w:rsidRDefault="00802D3E" w:rsidP="00506822">
      <w:pPr>
        <w:pStyle w:val="SingleParagraph"/>
      </w:pPr>
    </w:p>
    <w:p w14:paraId="2086F4BE" w14:textId="02B6C763" w:rsidR="00802D3E" w:rsidRDefault="00802D3E" w:rsidP="00802D3E">
      <w:r>
        <w:t>A taxpayer is able to claim a deduction (spread over the shorter of the term of the loan or five years) for borrowing expenses</w:t>
      </w:r>
      <w:r>
        <w:fldChar w:fldCharType="begin"/>
      </w:r>
      <w:r>
        <w:instrText xml:space="preserve"> XE "Borrowing expenses" </w:instrText>
      </w:r>
      <w:r>
        <w:fldChar w:fldCharType="end"/>
      </w:r>
      <w:r>
        <w:t xml:space="preserve"> incurred for borrowing money that is used for the purpose of producing assessable income. Borrowing expenses incurred in these circumstances would otherwise be capital in nature and included in the cost base of the</w:t>
      </w:r>
      <w:r w:rsidR="000B1D9D">
        <w:t> </w:t>
      </w:r>
      <w:r>
        <w:t xml:space="preserve">asset. </w:t>
      </w:r>
    </w:p>
    <w:p w14:paraId="2086F4BF" w14:textId="77777777" w:rsidR="00802D3E" w:rsidRDefault="00802D3E" w:rsidP="00802D3E">
      <w:pPr>
        <w:pStyle w:val="TESHeading5"/>
        <w:ind w:left="0" w:firstLine="0"/>
      </w:pPr>
      <w:r>
        <w:lastRenderedPageBreak/>
        <w:t>B46</w:t>
      </w:r>
      <w:r>
        <w:tab/>
        <w:t>Deduction for certain co-operatives repaying government loans</w:t>
      </w:r>
    </w:p>
    <w:p w14:paraId="2086F4C0"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4C9" w14:textId="77777777" w:rsidTr="00802D3E">
        <w:trPr>
          <w:cantSplit/>
          <w:jc w:val="center"/>
        </w:trPr>
        <w:tc>
          <w:tcPr>
            <w:tcW w:w="967" w:type="dxa"/>
            <w:tcBorders>
              <w:top w:val="single" w:sz="2" w:space="0" w:color="auto"/>
              <w:left w:val="nil"/>
              <w:bottom w:val="single" w:sz="2" w:space="0" w:color="auto"/>
              <w:right w:val="nil"/>
            </w:tcBorders>
            <w:hideMark/>
          </w:tcPr>
          <w:p w14:paraId="2086F4C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4C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4C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4C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4C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4C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4C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4C8" w14:textId="77777777" w:rsidR="00802D3E" w:rsidRDefault="00802D3E">
            <w:pPr>
              <w:pStyle w:val="MeasureTableTextRightAligned"/>
            </w:pPr>
            <w:r>
              <w:t>2019-20</w:t>
            </w:r>
          </w:p>
        </w:tc>
      </w:tr>
      <w:tr w:rsidR="00802D3E" w14:paraId="2086F4D2" w14:textId="77777777" w:rsidTr="00802D3E">
        <w:trPr>
          <w:cantSplit/>
          <w:jc w:val="center"/>
        </w:trPr>
        <w:tc>
          <w:tcPr>
            <w:tcW w:w="967" w:type="dxa"/>
            <w:tcBorders>
              <w:top w:val="single" w:sz="2" w:space="0" w:color="auto"/>
              <w:left w:val="nil"/>
              <w:bottom w:val="single" w:sz="2" w:space="0" w:color="auto"/>
              <w:right w:val="nil"/>
            </w:tcBorders>
            <w:hideMark/>
          </w:tcPr>
          <w:p w14:paraId="2086F4C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4C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C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C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C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C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D0"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4D1" w14:textId="77777777" w:rsidR="00802D3E" w:rsidRDefault="00802D3E">
            <w:pPr>
              <w:pStyle w:val="MeasureTableTextRightAligned"/>
            </w:pPr>
            <w:r>
              <w:t>*</w:t>
            </w:r>
          </w:p>
        </w:tc>
      </w:tr>
      <w:tr w:rsidR="00802D3E" w14:paraId="2086F4D7" w14:textId="77777777" w:rsidTr="00802D3E">
        <w:trPr>
          <w:cantSplit/>
          <w:jc w:val="center"/>
        </w:trPr>
        <w:tc>
          <w:tcPr>
            <w:tcW w:w="1934" w:type="dxa"/>
            <w:gridSpan w:val="2"/>
            <w:tcBorders>
              <w:top w:val="single" w:sz="2" w:space="0" w:color="auto"/>
              <w:left w:val="nil"/>
              <w:bottom w:val="nil"/>
              <w:right w:val="nil"/>
            </w:tcBorders>
            <w:hideMark/>
          </w:tcPr>
          <w:p w14:paraId="2086F4D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4D4"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4D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4D6" w14:textId="77777777" w:rsidR="00802D3E" w:rsidRDefault="00802D3E">
            <w:pPr>
              <w:pStyle w:val="MeasureTableTextLeftAligned"/>
            </w:pPr>
            <w:r>
              <w:t>B48</w:t>
            </w:r>
          </w:p>
        </w:tc>
      </w:tr>
      <w:tr w:rsidR="00802D3E" w14:paraId="2086F4DC" w14:textId="77777777" w:rsidTr="00802D3E">
        <w:trPr>
          <w:cantSplit/>
          <w:jc w:val="center"/>
        </w:trPr>
        <w:tc>
          <w:tcPr>
            <w:tcW w:w="1934" w:type="dxa"/>
            <w:gridSpan w:val="2"/>
            <w:tcBorders>
              <w:top w:val="nil"/>
              <w:left w:val="nil"/>
              <w:bottom w:val="nil"/>
              <w:right w:val="nil"/>
            </w:tcBorders>
            <w:hideMark/>
          </w:tcPr>
          <w:p w14:paraId="2086F4D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4D9"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4DA"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4DB" w14:textId="77777777" w:rsidR="00802D3E" w:rsidRDefault="00802D3E">
            <w:pPr>
              <w:pStyle w:val="MeasureTableTextLeftAligned"/>
            </w:pPr>
            <w:r>
              <w:t>2+</w:t>
            </w:r>
          </w:p>
        </w:tc>
      </w:tr>
      <w:tr w:rsidR="00802D3E" w14:paraId="2086F4E1" w14:textId="77777777" w:rsidTr="00802D3E">
        <w:trPr>
          <w:cantSplit/>
          <w:jc w:val="center"/>
        </w:trPr>
        <w:tc>
          <w:tcPr>
            <w:tcW w:w="1934" w:type="dxa"/>
            <w:gridSpan w:val="2"/>
            <w:tcBorders>
              <w:top w:val="nil"/>
              <w:left w:val="nil"/>
              <w:bottom w:val="nil"/>
              <w:right w:val="nil"/>
            </w:tcBorders>
            <w:hideMark/>
          </w:tcPr>
          <w:p w14:paraId="2086F4D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4DE" w14:textId="77777777" w:rsidR="00802D3E" w:rsidRDefault="00802D3E">
            <w:pPr>
              <w:pStyle w:val="MeasureTableTextLeftAligned"/>
            </w:pPr>
            <w:r>
              <w:t>1973</w:t>
            </w:r>
          </w:p>
        </w:tc>
        <w:tc>
          <w:tcPr>
            <w:tcW w:w="1500" w:type="dxa"/>
            <w:gridSpan w:val="2"/>
            <w:tcBorders>
              <w:top w:val="nil"/>
              <w:left w:val="nil"/>
              <w:bottom w:val="nil"/>
              <w:right w:val="nil"/>
            </w:tcBorders>
            <w:hideMark/>
          </w:tcPr>
          <w:p w14:paraId="2086F4DF"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4E0" w14:textId="77777777" w:rsidR="00802D3E" w:rsidRDefault="00802D3E">
            <w:pPr>
              <w:pStyle w:val="MeasureTableTextLeftAligned"/>
            </w:pPr>
          </w:p>
        </w:tc>
      </w:tr>
      <w:tr w:rsidR="00802D3E" w14:paraId="2086F4E4" w14:textId="77777777" w:rsidTr="00802D3E">
        <w:trPr>
          <w:cantSplit/>
          <w:jc w:val="center"/>
        </w:trPr>
        <w:tc>
          <w:tcPr>
            <w:tcW w:w="1934" w:type="dxa"/>
            <w:gridSpan w:val="2"/>
            <w:tcBorders>
              <w:top w:val="nil"/>
              <w:left w:val="nil"/>
              <w:bottom w:val="single" w:sz="2" w:space="0" w:color="auto"/>
              <w:right w:val="nil"/>
            </w:tcBorders>
            <w:hideMark/>
          </w:tcPr>
          <w:p w14:paraId="2086F4E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4E3"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Sections 117 and 120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1936</w:t>
            </w:r>
          </w:p>
        </w:tc>
      </w:tr>
    </w:tbl>
    <w:p w14:paraId="2086F4E5" w14:textId="77777777" w:rsidR="00802D3E" w:rsidRDefault="00802D3E" w:rsidP="00506822">
      <w:pPr>
        <w:pStyle w:val="SingleParagraph"/>
      </w:pPr>
    </w:p>
    <w:p w14:paraId="2086F4E6" w14:textId="77777777" w:rsidR="00802D3E" w:rsidRDefault="00802D3E" w:rsidP="00802D3E">
      <w:r>
        <w:t>Co</w:t>
      </w:r>
      <w:r>
        <w:noBreakHyphen/>
        <w:t>operative companies</w:t>
      </w:r>
      <w:r>
        <w:fldChar w:fldCharType="begin"/>
      </w:r>
      <w:r>
        <w:instrText xml:space="preserve"> XE "Co-operative companies" </w:instrText>
      </w:r>
      <w:r>
        <w:fldChar w:fldCharType="end"/>
      </w:r>
      <w:r>
        <w:t xml:space="preserve"> whose primary object is the acquisition from their shareholders of commodities or animals for disposal or distribution can claim a deduction for repayments of certain Australian and state government loans</w:t>
      </w:r>
      <w:r>
        <w:fldChar w:fldCharType="begin"/>
      </w:r>
      <w:r>
        <w:instrText xml:space="preserve"> XE "Australian and State Government loans" </w:instrText>
      </w:r>
      <w:r>
        <w:fldChar w:fldCharType="end"/>
      </w:r>
      <w:r>
        <w:t xml:space="preserve">. However, the deduction is allowed only if 90 per cent or more of the value of the company is held by shareholders who supply the company with the commodities or animals. </w:t>
      </w:r>
    </w:p>
    <w:p w14:paraId="2086F4E7" w14:textId="77777777" w:rsidR="00802D3E" w:rsidRDefault="00802D3E" w:rsidP="00802D3E">
      <w:pPr>
        <w:pStyle w:val="TESHeading5"/>
        <w:ind w:left="0" w:firstLine="0"/>
      </w:pPr>
      <w:r>
        <w:t>B47</w:t>
      </w:r>
      <w:r>
        <w:tab/>
        <w:t>Family trust loss rules</w:t>
      </w:r>
    </w:p>
    <w:p w14:paraId="2086F4E8"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4F1" w14:textId="77777777" w:rsidTr="00802D3E">
        <w:trPr>
          <w:cantSplit/>
          <w:jc w:val="center"/>
        </w:trPr>
        <w:tc>
          <w:tcPr>
            <w:tcW w:w="967" w:type="dxa"/>
            <w:tcBorders>
              <w:top w:val="single" w:sz="2" w:space="0" w:color="auto"/>
              <w:left w:val="nil"/>
              <w:bottom w:val="single" w:sz="2" w:space="0" w:color="auto"/>
              <w:right w:val="nil"/>
            </w:tcBorders>
            <w:hideMark/>
          </w:tcPr>
          <w:p w14:paraId="2086F4E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4E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4E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4E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4E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4E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4E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4F0" w14:textId="77777777" w:rsidR="00802D3E" w:rsidRDefault="00802D3E">
            <w:pPr>
              <w:pStyle w:val="MeasureTableTextRightAligned"/>
            </w:pPr>
            <w:r>
              <w:t>2019-20</w:t>
            </w:r>
          </w:p>
        </w:tc>
      </w:tr>
      <w:tr w:rsidR="00802D3E" w14:paraId="2086F4FA" w14:textId="77777777" w:rsidTr="00802D3E">
        <w:trPr>
          <w:cantSplit/>
          <w:jc w:val="center"/>
        </w:trPr>
        <w:tc>
          <w:tcPr>
            <w:tcW w:w="967" w:type="dxa"/>
            <w:tcBorders>
              <w:top w:val="single" w:sz="2" w:space="0" w:color="auto"/>
              <w:left w:val="nil"/>
              <w:bottom w:val="single" w:sz="2" w:space="0" w:color="auto"/>
              <w:right w:val="nil"/>
            </w:tcBorders>
            <w:hideMark/>
          </w:tcPr>
          <w:p w14:paraId="2086F4F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4F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F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F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4F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F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4F8"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4F9" w14:textId="77777777" w:rsidR="00802D3E" w:rsidRDefault="00802D3E">
            <w:pPr>
              <w:pStyle w:val="MeasureTableTextRightAligned"/>
            </w:pPr>
            <w:r>
              <w:t>*</w:t>
            </w:r>
          </w:p>
        </w:tc>
      </w:tr>
      <w:tr w:rsidR="00802D3E" w14:paraId="2086F4FF" w14:textId="77777777" w:rsidTr="00802D3E">
        <w:trPr>
          <w:cantSplit/>
          <w:jc w:val="center"/>
        </w:trPr>
        <w:tc>
          <w:tcPr>
            <w:tcW w:w="1934" w:type="dxa"/>
            <w:gridSpan w:val="2"/>
            <w:tcBorders>
              <w:top w:val="single" w:sz="2" w:space="0" w:color="auto"/>
              <w:left w:val="nil"/>
              <w:bottom w:val="nil"/>
              <w:right w:val="nil"/>
            </w:tcBorders>
            <w:hideMark/>
          </w:tcPr>
          <w:p w14:paraId="2086F4F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4FC"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4F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4FE" w14:textId="77777777" w:rsidR="00802D3E" w:rsidRDefault="00802D3E">
            <w:pPr>
              <w:pStyle w:val="MeasureTableTextLeftAligned"/>
            </w:pPr>
            <w:r>
              <w:t>B61</w:t>
            </w:r>
          </w:p>
        </w:tc>
      </w:tr>
      <w:tr w:rsidR="00802D3E" w14:paraId="2086F504" w14:textId="77777777" w:rsidTr="00802D3E">
        <w:trPr>
          <w:cantSplit/>
          <w:jc w:val="center"/>
        </w:trPr>
        <w:tc>
          <w:tcPr>
            <w:tcW w:w="1934" w:type="dxa"/>
            <w:gridSpan w:val="2"/>
            <w:tcBorders>
              <w:top w:val="nil"/>
              <w:left w:val="nil"/>
              <w:bottom w:val="nil"/>
              <w:right w:val="nil"/>
            </w:tcBorders>
            <w:hideMark/>
          </w:tcPr>
          <w:p w14:paraId="2086F50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501"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502"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503" w14:textId="77777777" w:rsidR="00802D3E" w:rsidRDefault="00802D3E">
            <w:pPr>
              <w:pStyle w:val="MeasureTableTextLeftAligned"/>
            </w:pPr>
            <w:r>
              <w:t>3+</w:t>
            </w:r>
          </w:p>
        </w:tc>
      </w:tr>
      <w:tr w:rsidR="00802D3E" w14:paraId="2086F509" w14:textId="77777777" w:rsidTr="00802D3E">
        <w:trPr>
          <w:cantSplit/>
          <w:jc w:val="center"/>
        </w:trPr>
        <w:tc>
          <w:tcPr>
            <w:tcW w:w="1934" w:type="dxa"/>
            <w:gridSpan w:val="2"/>
            <w:tcBorders>
              <w:top w:val="nil"/>
              <w:left w:val="nil"/>
              <w:bottom w:val="nil"/>
              <w:right w:val="nil"/>
            </w:tcBorders>
            <w:hideMark/>
          </w:tcPr>
          <w:p w14:paraId="2086F50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506" w14:textId="77777777" w:rsidR="00802D3E" w:rsidRDefault="00802D3E">
            <w:pPr>
              <w:pStyle w:val="MeasureTableTextLeftAligned"/>
            </w:pPr>
            <w:r>
              <w:t>9 May 1995</w:t>
            </w:r>
          </w:p>
        </w:tc>
        <w:tc>
          <w:tcPr>
            <w:tcW w:w="1500" w:type="dxa"/>
            <w:gridSpan w:val="2"/>
            <w:tcBorders>
              <w:top w:val="nil"/>
              <w:left w:val="nil"/>
              <w:bottom w:val="nil"/>
              <w:right w:val="nil"/>
            </w:tcBorders>
            <w:hideMark/>
          </w:tcPr>
          <w:p w14:paraId="2086F507"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508" w14:textId="77777777" w:rsidR="00802D3E" w:rsidRDefault="00802D3E">
            <w:pPr>
              <w:pStyle w:val="MeasureTableTextLeftAligned"/>
            </w:pPr>
          </w:p>
        </w:tc>
      </w:tr>
      <w:tr w:rsidR="00802D3E" w14:paraId="2086F50C" w14:textId="77777777" w:rsidTr="00802D3E">
        <w:trPr>
          <w:cantSplit/>
          <w:jc w:val="center"/>
        </w:trPr>
        <w:tc>
          <w:tcPr>
            <w:tcW w:w="1934" w:type="dxa"/>
            <w:gridSpan w:val="2"/>
            <w:tcBorders>
              <w:top w:val="nil"/>
              <w:left w:val="nil"/>
              <w:bottom w:val="single" w:sz="2" w:space="0" w:color="auto"/>
              <w:right w:val="nil"/>
            </w:tcBorders>
            <w:hideMark/>
          </w:tcPr>
          <w:p w14:paraId="2086F50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50B"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Subdivision 272-D of Schedule 2F to</w:t>
            </w:r>
            <w:r w:rsidRPr="00B029D6">
              <w:rPr>
                <w:rFonts w:ascii="Arial" w:hAnsi="Arial" w:cs="Arial"/>
                <w:color w:val="000000"/>
                <w:sz w:val="16"/>
                <w:szCs w:val="16"/>
              </w:rPr>
              <w:t xml:space="preserve"> the </w:t>
            </w:r>
            <w:r w:rsidRPr="00B029D6">
              <w:rPr>
                <w:rFonts w:ascii="Arial" w:hAnsi="Arial" w:cs="Arial"/>
                <w:i/>
                <w:iCs/>
                <w:color w:val="000000"/>
                <w:sz w:val="16"/>
                <w:szCs w:val="16"/>
              </w:rPr>
              <w:t>Income Tax Assessment Act 1936</w:t>
            </w:r>
          </w:p>
        </w:tc>
      </w:tr>
    </w:tbl>
    <w:p w14:paraId="2086F50D" w14:textId="77777777" w:rsidR="00802D3E" w:rsidRDefault="00802D3E" w:rsidP="00506822">
      <w:pPr>
        <w:pStyle w:val="SingleParagraph"/>
      </w:pPr>
    </w:p>
    <w:p w14:paraId="2086F50E" w14:textId="77777777" w:rsidR="00802D3E" w:rsidRDefault="00802D3E" w:rsidP="00802D3E">
      <w:r>
        <w:t>The family trust rules</w:t>
      </w:r>
      <w:r>
        <w:fldChar w:fldCharType="begin"/>
      </w:r>
      <w:r>
        <w:instrText xml:space="preserve"> XE "Family trust rules" </w:instrText>
      </w:r>
      <w:r>
        <w:fldChar w:fldCharType="end"/>
      </w:r>
      <w:r>
        <w:t xml:space="preserve"> provide a concession to the individual specified in a family trust election (the test individual) of a family trust, and their family group, by allowing the transfer of the benefit of losses and debt deductions to members of the family trust.</w:t>
      </w:r>
    </w:p>
    <w:p w14:paraId="2086F50F" w14:textId="77777777" w:rsidR="00802D3E" w:rsidRDefault="00802D3E" w:rsidP="00802D3E">
      <w:r>
        <w:t xml:space="preserve">The trust loss rules — the benchmark treatment — restrict trust losses and debt deductions from being transferred to persons who did not bear the economic burden. </w:t>
      </w:r>
    </w:p>
    <w:p w14:paraId="2086F510" w14:textId="77777777" w:rsidR="00802D3E" w:rsidRDefault="00802D3E" w:rsidP="00802D3E">
      <w:pPr>
        <w:pStyle w:val="TESHeading5"/>
        <w:ind w:left="0" w:firstLine="0"/>
      </w:pPr>
      <w:r>
        <w:t>B48</w:t>
      </w:r>
      <w:r>
        <w:tab/>
        <w:t>Income tax exemption for prescribed entities</w:t>
      </w:r>
    </w:p>
    <w:p w14:paraId="2086F511"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51A" w14:textId="77777777" w:rsidTr="00802D3E">
        <w:trPr>
          <w:cantSplit/>
          <w:jc w:val="center"/>
        </w:trPr>
        <w:tc>
          <w:tcPr>
            <w:tcW w:w="967" w:type="dxa"/>
            <w:tcBorders>
              <w:top w:val="single" w:sz="2" w:space="0" w:color="auto"/>
              <w:left w:val="nil"/>
              <w:bottom w:val="single" w:sz="2" w:space="0" w:color="auto"/>
              <w:right w:val="nil"/>
            </w:tcBorders>
            <w:hideMark/>
          </w:tcPr>
          <w:p w14:paraId="2086F51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51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51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51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51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51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51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519" w14:textId="77777777" w:rsidR="00802D3E" w:rsidRDefault="00802D3E">
            <w:pPr>
              <w:pStyle w:val="MeasureTableTextRightAligned"/>
            </w:pPr>
            <w:r>
              <w:t>2019-20</w:t>
            </w:r>
          </w:p>
        </w:tc>
      </w:tr>
      <w:tr w:rsidR="00802D3E" w14:paraId="2086F523" w14:textId="77777777" w:rsidTr="00802D3E">
        <w:trPr>
          <w:cantSplit/>
          <w:jc w:val="center"/>
        </w:trPr>
        <w:tc>
          <w:tcPr>
            <w:tcW w:w="967" w:type="dxa"/>
            <w:tcBorders>
              <w:top w:val="single" w:sz="2" w:space="0" w:color="auto"/>
              <w:left w:val="nil"/>
              <w:bottom w:val="single" w:sz="2" w:space="0" w:color="auto"/>
              <w:right w:val="nil"/>
            </w:tcBorders>
            <w:hideMark/>
          </w:tcPr>
          <w:p w14:paraId="2086F51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51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1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1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1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52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521"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522" w14:textId="77777777" w:rsidR="00802D3E" w:rsidRDefault="00802D3E">
            <w:pPr>
              <w:pStyle w:val="MeasureTableTextRightAligned"/>
            </w:pPr>
            <w:r>
              <w:t>*</w:t>
            </w:r>
          </w:p>
        </w:tc>
      </w:tr>
      <w:tr w:rsidR="00802D3E" w14:paraId="2086F528" w14:textId="77777777" w:rsidTr="00802D3E">
        <w:trPr>
          <w:cantSplit/>
          <w:jc w:val="center"/>
        </w:trPr>
        <w:tc>
          <w:tcPr>
            <w:tcW w:w="1934" w:type="dxa"/>
            <w:gridSpan w:val="2"/>
            <w:tcBorders>
              <w:top w:val="single" w:sz="2" w:space="0" w:color="auto"/>
              <w:left w:val="nil"/>
              <w:bottom w:val="nil"/>
              <w:right w:val="nil"/>
            </w:tcBorders>
            <w:hideMark/>
          </w:tcPr>
          <w:p w14:paraId="2086F52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525"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52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527" w14:textId="77777777" w:rsidR="00802D3E" w:rsidRDefault="00802D3E">
            <w:pPr>
              <w:pStyle w:val="MeasureTableTextLeftAligned"/>
            </w:pPr>
            <w:r>
              <w:t>B50</w:t>
            </w:r>
          </w:p>
        </w:tc>
      </w:tr>
      <w:tr w:rsidR="00802D3E" w14:paraId="2086F52D" w14:textId="77777777" w:rsidTr="00802D3E">
        <w:trPr>
          <w:cantSplit/>
          <w:jc w:val="center"/>
        </w:trPr>
        <w:tc>
          <w:tcPr>
            <w:tcW w:w="1934" w:type="dxa"/>
            <w:gridSpan w:val="2"/>
            <w:tcBorders>
              <w:top w:val="nil"/>
              <w:left w:val="nil"/>
              <w:bottom w:val="nil"/>
              <w:right w:val="nil"/>
            </w:tcBorders>
            <w:hideMark/>
          </w:tcPr>
          <w:p w14:paraId="2086F52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52A"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52B"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52C" w14:textId="77777777" w:rsidR="00802D3E" w:rsidRDefault="00802D3E">
            <w:pPr>
              <w:pStyle w:val="MeasureTableTextLeftAligned"/>
            </w:pPr>
            <w:r>
              <w:t>4+</w:t>
            </w:r>
          </w:p>
        </w:tc>
      </w:tr>
      <w:tr w:rsidR="00802D3E" w14:paraId="2086F532" w14:textId="77777777" w:rsidTr="00802D3E">
        <w:trPr>
          <w:cantSplit/>
          <w:jc w:val="center"/>
        </w:trPr>
        <w:tc>
          <w:tcPr>
            <w:tcW w:w="1934" w:type="dxa"/>
            <w:gridSpan w:val="2"/>
            <w:tcBorders>
              <w:top w:val="nil"/>
              <w:left w:val="nil"/>
              <w:bottom w:val="nil"/>
              <w:right w:val="nil"/>
            </w:tcBorders>
            <w:hideMark/>
          </w:tcPr>
          <w:p w14:paraId="2086F52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52F"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F530"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531" w14:textId="77777777" w:rsidR="00802D3E" w:rsidRDefault="00802D3E">
            <w:pPr>
              <w:pStyle w:val="MeasureTableTextLeftAligned"/>
            </w:pPr>
          </w:p>
        </w:tc>
      </w:tr>
      <w:tr w:rsidR="00802D3E" w14:paraId="2086F535" w14:textId="77777777" w:rsidTr="00802D3E">
        <w:trPr>
          <w:cantSplit/>
          <w:jc w:val="center"/>
        </w:trPr>
        <w:tc>
          <w:tcPr>
            <w:tcW w:w="1934" w:type="dxa"/>
            <w:gridSpan w:val="2"/>
            <w:tcBorders>
              <w:top w:val="nil"/>
              <w:left w:val="nil"/>
              <w:bottom w:val="single" w:sz="2" w:space="0" w:color="auto"/>
              <w:right w:val="nil"/>
            </w:tcBorders>
            <w:hideMark/>
          </w:tcPr>
          <w:p w14:paraId="2086F53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534"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 xml:space="preserve">Division 50 of the </w:t>
            </w:r>
            <w:r w:rsidRPr="00B029D6">
              <w:rPr>
                <w:rFonts w:ascii="Arial" w:hAnsi="Arial" w:cs="Arial"/>
                <w:i/>
                <w:iCs/>
                <w:color w:val="000000"/>
                <w:sz w:val="16"/>
                <w:szCs w:val="16"/>
              </w:rPr>
              <w:t>Income Tax Assessment Act 1997</w:t>
            </w:r>
          </w:p>
        </w:tc>
      </w:tr>
    </w:tbl>
    <w:p w14:paraId="2086F536" w14:textId="77777777" w:rsidR="00802D3E" w:rsidRDefault="00802D3E" w:rsidP="00506822">
      <w:pPr>
        <w:pStyle w:val="SingleParagraph"/>
      </w:pPr>
    </w:p>
    <w:p w14:paraId="2086F537" w14:textId="77777777" w:rsidR="00802D3E" w:rsidRDefault="00802D3E" w:rsidP="00802D3E">
      <w:r>
        <w:t xml:space="preserve">The income of various prescribed entities is exempt from income tax. Prescribed entities include, amongst other things: </w:t>
      </w:r>
    </w:p>
    <w:p w14:paraId="2086F538" w14:textId="77777777" w:rsidR="00802D3E" w:rsidRDefault="00802D3E" w:rsidP="00802D3E">
      <w:pPr>
        <w:pStyle w:val="Bullet"/>
        <w:numPr>
          <w:ilvl w:val="0"/>
          <w:numId w:val="9"/>
        </w:numPr>
      </w:pPr>
      <w:r>
        <w:t>Commonwealth, state and territory public authorities</w:t>
      </w:r>
      <w:r>
        <w:fldChar w:fldCharType="begin"/>
      </w:r>
      <w:r>
        <w:instrText xml:space="preserve"> XE "Public authorities" </w:instrText>
      </w:r>
      <w:r>
        <w:fldChar w:fldCharType="end"/>
      </w:r>
      <w:r>
        <w:t>;</w:t>
      </w:r>
    </w:p>
    <w:p w14:paraId="2086F539" w14:textId="77777777" w:rsidR="00802D3E" w:rsidRDefault="00802D3E" w:rsidP="00802D3E">
      <w:pPr>
        <w:pStyle w:val="Bullet"/>
        <w:numPr>
          <w:ilvl w:val="0"/>
          <w:numId w:val="9"/>
        </w:numPr>
      </w:pPr>
      <w:r>
        <w:t>public and not-for-profit hospitals</w:t>
      </w:r>
      <w:r>
        <w:fldChar w:fldCharType="begin"/>
      </w:r>
      <w:r>
        <w:instrText xml:space="preserve"> XE "Hospitals" </w:instrText>
      </w:r>
      <w:r>
        <w:fldChar w:fldCharType="end"/>
      </w:r>
      <w:r>
        <w:t>;</w:t>
      </w:r>
    </w:p>
    <w:p w14:paraId="2086F53A" w14:textId="77777777" w:rsidR="00802D3E" w:rsidRDefault="00802D3E" w:rsidP="00802D3E">
      <w:pPr>
        <w:pStyle w:val="Bullet"/>
        <w:numPr>
          <w:ilvl w:val="0"/>
          <w:numId w:val="9"/>
        </w:numPr>
      </w:pPr>
      <w:r>
        <w:lastRenderedPageBreak/>
        <w:t>trade unions</w:t>
      </w:r>
      <w:r>
        <w:fldChar w:fldCharType="begin"/>
      </w:r>
      <w:r>
        <w:instrText xml:space="preserve"> XE "Trade unions" </w:instrText>
      </w:r>
      <w:r>
        <w:fldChar w:fldCharType="end"/>
      </w:r>
      <w:r>
        <w:t xml:space="preserve"> and employer associations</w:t>
      </w:r>
      <w:r>
        <w:fldChar w:fldCharType="begin"/>
      </w:r>
      <w:r>
        <w:instrText xml:space="preserve"> XE "Employer associations" </w:instrText>
      </w:r>
      <w:r>
        <w:fldChar w:fldCharType="end"/>
      </w:r>
      <w:r>
        <w:t xml:space="preserve">; </w:t>
      </w:r>
    </w:p>
    <w:p w14:paraId="2086F53B" w14:textId="77777777" w:rsidR="00802D3E" w:rsidRDefault="00802D3E" w:rsidP="00802D3E">
      <w:pPr>
        <w:pStyle w:val="Bullet"/>
        <w:numPr>
          <w:ilvl w:val="0"/>
          <w:numId w:val="9"/>
        </w:numPr>
      </w:pPr>
      <w:r>
        <w:t>industry-specific not-for-profit associations predominantly devoted to promoting the development of aviation, tourism, agriculture, manufacturing or industry</w:t>
      </w:r>
      <w:r>
        <w:fldChar w:fldCharType="begin"/>
      </w:r>
      <w:r>
        <w:instrText xml:space="preserve"> XE "Not</w:instrText>
      </w:r>
      <w:r w:rsidR="006359F8">
        <w:noBreakHyphen/>
      </w:r>
      <w:r>
        <w:instrText>for</w:instrText>
      </w:r>
      <w:r w:rsidR="006359F8">
        <w:noBreakHyphen/>
      </w:r>
      <w:r>
        <w:instrText xml:space="preserve">profit associations" </w:instrText>
      </w:r>
      <w:r>
        <w:fldChar w:fldCharType="end"/>
      </w:r>
      <w:r>
        <w:t xml:space="preserve">; </w:t>
      </w:r>
    </w:p>
    <w:p w14:paraId="2086F53C" w14:textId="77777777" w:rsidR="00802D3E" w:rsidRDefault="00802D3E" w:rsidP="00802D3E">
      <w:pPr>
        <w:pStyle w:val="Bullet"/>
        <w:numPr>
          <w:ilvl w:val="0"/>
          <w:numId w:val="9"/>
        </w:numPr>
      </w:pPr>
      <w:r>
        <w:t>registered charities, public educational, scientific, and community service entities</w:t>
      </w:r>
      <w:r>
        <w:fldChar w:fldCharType="begin"/>
      </w:r>
      <w:r>
        <w:instrText xml:space="preserve"> XE "Charities" </w:instrText>
      </w:r>
      <w:r>
        <w:fldChar w:fldCharType="end"/>
      </w:r>
      <w:r>
        <w:t>; and</w:t>
      </w:r>
    </w:p>
    <w:p w14:paraId="2086F53D" w14:textId="77777777" w:rsidR="00802D3E" w:rsidRDefault="00802D3E" w:rsidP="00802D3E">
      <w:pPr>
        <w:pStyle w:val="Bullet"/>
        <w:numPr>
          <w:ilvl w:val="0"/>
          <w:numId w:val="9"/>
        </w:numPr>
      </w:pPr>
      <w:r>
        <w:t xml:space="preserve">associations and clubs established for the encouragement of sports, music, art or literature. </w:t>
      </w:r>
    </w:p>
    <w:p w14:paraId="2086F53E" w14:textId="77777777" w:rsidR="00802D3E" w:rsidRDefault="00802D3E" w:rsidP="00802D3E">
      <w:pPr>
        <w:pStyle w:val="TESHeading5"/>
        <w:ind w:left="0" w:firstLine="0"/>
      </w:pPr>
      <w:r>
        <w:t>B49</w:t>
      </w:r>
      <w:r>
        <w:tab/>
        <w:t>Income tax exemptions for foreign superannuation funds</w:t>
      </w:r>
    </w:p>
    <w:p w14:paraId="2086F53F"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548" w14:textId="77777777" w:rsidTr="00802D3E">
        <w:trPr>
          <w:cantSplit/>
          <w:jc w:val="center"/>
        </w:trPr>
        <w:tc>
          <w:tcPr>
            <w:tcW w:w="967" w:type="dxa"/>
            <w:tcBorders>
              <w:top w:val="single" w:sz="2" w:space="0" w:color="auto"/>
              <w:left w:val="nil"/>
              <w:bottom w:val="single" w:sz="2" w:space="0" w:color="auto"/>
              <w:right w:val="nil"/>
            </w:tcBorders>
            <w:hideMark/>
          </w:tcPr>
          <w:p w14:paraId="2086F54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54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54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54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54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54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54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547" w14:textId="77777777" w:rsidR="00802D3E" w:rsidRDefault="00802D3E">
            <w:pPr>
              <w:pStyle w:val="MeasureTableTextRightAligned"/>
            </w:pPr>
            <w:r>
              <w:t>2019-20</w:t>
            </w:r>
          </w:p>
        </w:tc>
      </w:tr>
      <w:tr w:rsidR="00802D3E" w14:paraId="2086F551" w14:textId="77777777" w:rsidTr="00802D3E">
        <w:trPr>
          <w:cantSplit/>
          <w:jc w:val="center"/>
        </w:trPr>
        <w:tc>
          <w:tcPr>
            <w:tcW w:w="967" w:type="dxa"/>
            <w:tcBorders>
              <w:top w:val="single" w:sz="2" w:space="0" w:color="auto"/>
              <w:left w:val="nil"/>
              <w:bottom w:val="single" w:sz="2" w:space="0" w:color="auto"/>
              <w:right w:val="nil"/>
            </w:tcBorders>
            <w:hideMark/>
          </w:tcPr>
          <w:p w14:paraId="2086F54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54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4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4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4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54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54F"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550" w14:textId="77777777" w:rsidR="00802D3E" w:rsidRDefault="00802D3E">
            <w:pPr>
              <w:pStyle w:val="MeasureTableTextRightAligned"/>
            </w:pPr>
            <w:r>
              <w:t>*</w:t>
            </w:r>
          </w:p>
        </w:tc>
      </w:tr>
      <w:tr w:rsidR="00802D3E" w14:paraId="2086F556" w14:textId="77777777" w:rsidTr="00802D3E">
        <w:trPr>
          <w:cantSplit/>
          <w:jc w:val="center"/>
        </w:trPr>
        <w:tc>
          <w:tcPr>
            <w:tcW w:w="1934" w:type="dxa"/>
            <w:gridSpan w:val="2"/>
            <w:tcBorders>
              <w:top w:val="single" w:sz="2" w:space="0" w:color="auto"/>
              <w:left w:val="nil"/>
              <w:bottom w:val="nil"/>
              <w:right w:val="nil"/>
            </w:tcBorders>
            <w:hideMark/>
          </w:tcPr>
          <w:p w14:paraId="2086F55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553"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55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555" w14:textId="77777777" w:rsidR="00802D3E" w:rsidRDefault="00802D3E">
            <w:pPr>
              <w:pStyle w:val="MeasureTableTextLeftAligned"/>
            </w:pPr>
            <w:r>
              <w:t>B51</w:t>
            </w:r>
          </w:p>
        </w:tc>
      </w:tr>
      <w:tr w:rsidR="00802D3E" w14:paraId="2086F55B" w14:textId="77777777" w:rsidTr="00802D3E">
        <w:trPr>
          <w:cantSplit/>
          <w:jc w:val="center"/>
        </w:trPr>
        <w:tc>
          <w:tcPr>
            <w:tcW w:w="1934" w:type="dxa"/>
            <w:gridSpan w:val="2"/>
            <w:tcBorders>
              <w:top w:val="nil"/>
              <w:left w:val="nil"/>
              <w:bottom w:val="nil"/>
              <w:right w:val="nil"/>
            </w:tcBorders>
            <w:hideMark/>
          </w:tcPr>
          <w:p w14:paraId="2086F55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558"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559"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55A" w14:textId="77777777" w:rsidR="00802D3E" w:rsidRDefault="00802D3E">
            <w:pPr>
              <w:pStyle w:val="MeasureTableTextLeftAligned"/>
            </w:pPr>
            <w:r>
              <w:t>1+</w:t>
            </w:r>
          </w:p>
        </w:tc>
      </w:tr>
      <w:tr w:rsidR="00802D3E" w14:paraId="2086F560" w14:textId="77777777" w:rsidTr="00802D3E">
        <w:trPr>
          <w:cantSplit/>
          <w:jc w:val="center"/>
        </w:trPr>
        <w:tc>
          <w:tcPr>
            <w:tcW w:w="1934" w:type="dxa"/>
            <w:gridSpan w:val="2"/>
            <w:tcBorders>
              <w:top w:val="nil"/>
              <w:left w:val="nil"/>
              <w:bottom w:val="nil"/>
              <w:right w:val="nil"/>
            </w:tcBorders>
            <w:hideMark/>
          </w:tcPr>
          <w:p w14:paraId="2086F55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55D" w14:textId="77777777" w:rsidR="00802D3E" w:rsidRDefault="00802D3E">
            <w:pPr>
              <w:pStyle w:val="MeasureTableTextLeftAligned"/>
            </w:pPr>
            <w:r>
              <w:t>1981</w:t>
            </w:r>
          </w:p>
        </w:tc>
        <w:tc>
          <w:tcPr>
            <w:tcW w:w="1500" w:type="dxa"/>
            <w:gridSpan w:val="2"/>
            <w:tcBorders>
              <w:top w:val="nil"/>
              <w:left w:val="nil"/>
              <w:bottom w:val="nil"/>
              <w:right w:val="nil"/>
            </w:tcBorders>
            <w:hideMark/>
          </w:tcPr>
          <w:p w14:paraId="2086F55E"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55F" w14:textId="77777777" w:rsidR="00802D3E" w:rsidRDefault="00802D3E">
            <w:pPr>
              <w:pStyle w:val="MeasureTableTextLeftAligned"/>
            </w:pPr>
          </w:p>
        </w:tc>
      </w:tr>
      <w:tr w:rsidR="00802D3E" w14:paraId="2086F563" w14:textId="77777777" w:rsidTr="00802D3E">
        <w:trPr>
          <w:cantSplit/>
          <w:jc w:val="center"/>
        </w:trPr>
        <w:tc>
          <w:tcPr>
            <w:tcW w:w="1934" w:type="dxa"/>
            <w:gridSpan w:val="2"/>
            <w:tcBorders>
              <w:top w:val="nil"/>
              <w:left w:val="nil"/>
              <w:bottom w:val="single" w:sz="2" w:space="0" w:color="auto"/>
              <w:right w:val="nil"/>
            </w:tcBorders>
            <w:hideMark/>
          </w:tcPr>
          <w:p w14:paraId="2086F56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562" w14:textId="7EF36892" w:rsidR="00802D3E" w:rsidRDefault="00802D3E" w:rsidP="000B1D9D">
            <w:pPr>
              <w:widowControl w:val="0"/>
              <w:autoSpaceDE w:val="0"/>
              <w:autoSpaceDN w:val="0"/>
              <w:adjustRightInd w:val="0"/>
              <w:spacing w:after="0" w:line="240" w:lineRule="auto"/>
              <w:jc w:val="left"/>
            </w:pPr>
            <w:r>
              <w:rPr>
                <w:rFonts w:ascii="Arial" w:hAnsi="Arial" w:cs="Arial"/>
                <w:color w:val="000000"/>
                <w:sz w:val="16"/>
                <w:szCs w:val="16"/>
              </w:rPr>
              <w:t>Section 128D and paragraph 128B(3)(</w:t>
            </w:r>
            <w:proofErr w:type="spellStart"/>
            <w:r>
              <w:rPr>
                <w:rFonts w:ascii="Arial" w:hAnsi="Arial" w:cs="Arial"/>
                <w:color w:val="000000"/>
                <w:sz w:val="16"/>
                <w:szCs w:val="16"/>
              </w:rPr>
              <w:t>jb</w:t>
            </w:r>
            <w:proofErr w:type="spellEnd"/>
            <w:r>
              <w:rPr>
                <w:rFonts w:ascii="Arial" w:hAnsi="Arial" w:cs="Arial"/>
                <w:color w:val="000000"/>
                <w:sz w:val="16"/>
                <w:szCs w:val="16"/>
              </w:rPr>
              <w:t xml:space="preserve">) of the </w:t>
            </w:r>
            <w:r>
              <w:rPr>
                <w:rFonts w:ascii="Arial" w:hAnsi="Arial" w:cs="Arial"/>
                <w:i/>
                <w:iCs/>
                <w:color w:val="000000"/>
                <w:sz w:val="16"/>
                <w:szCs w:val="16"/>
              </w:rPr>
              <w:t>Income Tax Assessment Act</w:t>
            </w:r>
            <w:r w:rsidR="000B1D9D">
              <w:rPr>
                <w:rFonts w:ascii="Arial" w:hAnsi="Arial" w:cs="Arial"/>
                <w:i/>
                <w:iCs/>
                <w:color w:val="000000"/>
                <w:sz w:val="16"/>
                <w:szCs w:val="16"/>
              </w:rPr>
              <w:t> </w:t>
            </w:r>
            <w:r>
              <w:rPr>
                <w:rFonts w:ascii="Arial" w:hAnsi="Arial" w:cs="Arial"/>
                <w:i/>
                <w:iCs/>
                <w:color w:val="000000"/>
                <w:sz w:val="16"/>
                <w:szCs w:val="16"/>
              </w:rPr>
              <w:t>1936</w:t>
            </w:r>
          </w:p>
        </w:tc>
      </w:tr>
    </w:tbl>
    <w:p w14:paraId="2086F564" w14:textId="77777777" w:rsidR="00802D3E" w:rsidRDefault="00802D3E" w:rsidP="00506822">
      <w:pPr>
        <w:pStyle w:val="SingleParagraph"/>
      </w:pPr>
    </w:p>
    <w:p w14:paraId="2086F565" w14:textId="77777777" w:rsidR="00802D3E" w:rsidRDefault="00802D3E" w:rsidP="00802D3E">
      <w:r>
        <w:t>Interest income and dividends received by foreign superannuation funds</w:t>
      </w:r>
      <w:r>
        <w:fldChar w:fldCharType="begin"/>
      </w:r>
      <w:r>
        <w:instrText xml:space="preserve"> XE "Foreign superannuation funds" </w:instrText>
      </w:r>
      <w:r>
        <w:fldChar w:fldCharType="end"/>
      </w:r>
      <w:r>
        <w:t xml:space="preserve"> are exempt from income tax. This income is also exempt from interest and dividend withholding taxes if it is exempt from income tax in the country in which the foreign superannuation fund resides. </w:t>
      </w:r>
    </w:p>
    <w:p w14:paraId="2086F566" w14:textId="77777777" w:rsidR="00802D3E" w:rsidRDefault="00802D3E" w:rsidP="00802D3E">
      <w:pPr>
        <w:pStyle w:val="TESHeading5"/>
        <w:ind w:left="0" w:firstLine="0"/>
      </w:pPr>
      <w:r>
        <w:t>B50</w:t>
      </w:r>
      <w:r>
        <w:tab/>
        <w:t>Lower company tax rate</w:t>
      </w:r>
    </w:p>
    <w:p w14:paraId="2086F567"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570" w14:textId="77777777" w:rsidTr="00802D3E">
        <w:trPr>
          <w:cantSplit/>
          <w:jc w:val="center"/>
        </w:trPr>
        <w:tc>
          <w:tcPr>
            <w:tcW w:w="967" w:type="dxa"/>
            <w:tcBorders>
              <w:top w:val="single" w:sz="2" w:space="0" w:color="auto"/>
              <w:left w:val="nil"/>
              <w:bottom w:val="single" w:sz="2" w:space="0" w:color="auto"/>
              <w:right w:val="nil"/>
            </w:tcBorders>
            <w:hideMark/>
          </w:tcPr>
          <w:p w14:paraId="2086F56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56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56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56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56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56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56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56F" w14:textId="77777777" w:rsidR="00802D3E" w:rsidRDefault="00802D3E">
            <w:pPr>
              <w:pStyle w:val="MeasureTableTextRightAligned"/>
            </w:pPr>
            <w:r>
              <w:t>2019-20</w:t>
            </w:r>
          </w:p>
        </w:tc>
      </w:tr>
      <w:tr w:rsidR="00802D3E" w14:paraId="2086F579" w14:textId="77777777" w:rsidTr="00802D3E">
        <w:trPr>
          <w:cantSplit/>
          <w:jc w:val="center"/>
        </w:trPr>
        <w:tc>
          <w:tcPr>
            <w:tcW w:w="967" w:type="dxa"/>
            <w:tcBorders>
              <w:top w:val="single" w:sz="2" w:space="0" w:color="auto"/>
              <w:left w:val="nil"/>
              <w:bottom w:val="single" w:sz="2" w:space="0" w:color="auto"/>
              <w:right w:val="nil"/>
            </w:tcBorders>
            <w:hideMark/>
          </w:tcPr>
          <w:p w14:paraId="2086F57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57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7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74" w14:textId="77777777" w:rsidR="00802D3E" w:rsidRDefault="00802D3E">
            <w:pPr>
              <w:pStyle w:val="MeasureTableTextRightAligned"/>
            </w:pPr>
            <w:r>
              <w:t>250</w:t>
            </w:r>
          </w:p>
        </w:tc>
        <w:tc>
          <w:tcPr>
            <w:tcW w:w="967" w:type="dxa"/>
            <w:tcBorders>
              <w:top w:val="single" w:sz="2" w:space="0" w:color="auto"/>
              <w:left w:val="nil"/>
              <w:bottom w:val="single" w:sz="2" w:space="0" w:color="auto"/>
              <w:right w:val="nil"/>
            </w:tcBorders>
            <w:vAlign w:val="bottom"/>
            <w:hideMark/>
          </w:tcPr>
          <w:p w14:paraId="2086F575" w14:textId="77777777" w:rsidR="00802D3E" w:rsidRDefault="00802D3E">
            <w:pPr>
              <w:pStyle w:val="MeasureTableTextRightAligned"/>
            </w:pPr>
            <w:r>
              <w:t>1,100</w:t>
            </w:r>
          </w:p>
        </w:tc>
        <w:tc>
          <w:tcPr>
            <w:tcW w:w="967" w:type="dxa"/>
            <w:gridSpan w:val="2"/>
            <w:tcBorders>
              <w:top w:val="single" w:sz="2" w:space="0" w:color="auto"/>
              <w:left w:val="nil"/>
              <w:bottom w:val="single" w:sz="2" w:space="0" w:color="auto"/>
              <w:right w:val="nil"/>
            </w:tcBorders>
            <w:vAlign w:val="bottom"/>
            <w:hideMark/>
          </w:tcPr>
          <w:p w14:paraId="2086F576" w14:textId="77777777" w:rsidR="00802D3E" w:rsidRDefault="00802D3E">
            <w:pPr>
              <w:pStyle w:val="MeasureTableTextRightAligned"/>
            </w:pPr>
            <w:r>
              <w:t>1,300</w:t>
            </w:r>
          </w:p>
        </w:tc>
        <w:tc>
          <w:tcPr>
            <w:tcW w:w="967" w:type="dxa"/>
            <w:gridSpan w:val="2"/>
            <w:tcBorders>
              <w:top w:val="single" w:sz="2" w:space="0" w:color="auto"/>
              <w:left w:val="nil"/>
              <w:bottom w:val="single" w:sz="2" w:space="0" w:color="auto"/>
              <w:right w:val="nil"/>
            </w:tcBorders>
            <w:vAlign w:val="bottom"/>
            <w:hideMark/>
          </w:tcPr>
          <w:p w14:paraId="2086F577" w14:textId="77777777" w:rsidR="00802D3E" w:rsidRDefault="00802D3E">
            <w:pPr>
              <w:pStyle w:val="MeasureTableTextRightAligned"/>
            </w:pPr>
            <w:r>
              <w:t>1,600</w:t>
            </w:r>
          </w:p>
        </w:tc>
        <w:tc>
          <w:tcPr>
            <w:tcW w:w="968" w:type="dxa"/>
            <w:tcBorders>
              <w:top w:val="single" w:sz="2" w:space="0" w:color="auto"/>
              <w:left w:val="nil"/>
              <w:bottom w:val="single" w:sz="2" w:space="0" w:color="auto"/>
              <w:right w:val="nil"/>
            </w:tcBorders>
            <w:vAlign w:val="bottom"/>
            <w:hideMark/>
          </w:tcPr>
          <w:p w14:paraId="2086F578" w14:textId="77777777" w:rsidR="00802D3E" w:rsidRDefault="00802D3E">
            <w:pPr>
              <w:pStyle w:val="MeasureTableTextRightAligned"/>
            </w:pPr>
            <w:r>
              <w:t>1,800</w:t>
            </w:r>
          </w:p>
        </w:tc>
      </w:tr>
      <w:tr w:rsidR="00802D3E" w14:paraId="2086F57E" w14:textId="77777777" w:rsidTr="00802D3E">
        <w:trPr>
          <w:cantSplit/>
          <w:jc w:val="center"/>
        </w:trPr>
        <w:tc>
          <w:tcPr>
            <w:tcW w:w="1934" w:type="dxa"/>
            <w:gridSpan w:val="2"/>
            <w:tcBorders>
              <w:top w:val="single" w:sz="2" w:space="0" w:color="auto"/>
              <w:left w:val="nil"/>
              <w:bottom w:val="nil"/>
              <w:right w:val="nil"/>
            </w:tcBorders>
            <w:hideMark/>
          </w:tcPr>
          <w:p w14:paraId="2086F57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57B"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6F57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57D" w14:textId="77777777" w:rsidR="00802D3E" w:rsidRDefault="00802D3E">
            <w:pPr>
              <w:pStyle w:val="MeasureTableTextLeftAligned"/>
            </w:pPr>
            <w:r>
              <w:t>B46</w:t>
            </w:r>
          </w:p>
        </w:tc>
      </w:tr>
      <w:tr w:rsidR="00802D3E" w14:paraId="2086F583" w14:textId="77777777" w:rsidTr="00802D3E">
        <w:trPr>
          <w:cantSplit/>
          <w:jc w:val="center"/>
        </w:trPr>
        <w:tc>
          <w:tcPr>
            <w:tcW w:w="1934" w:type="dxa"/>
            <w:gridSpan w:val="2"/>
            <w:tcBorders>
              <w:top w:val="nil"/>
              <w:left w:val="nil"/>
              <w:bottom w:val="nil"/>
              <w:right w:val="nil"/>
            </w:tcBorders>
            <w:hideMark/>
          </w:tcPr>
          <w:p w14:paraId="2086F57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580"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581" w14:textId="77777777" w:rsidR="00802D3E" w:rsidRDefault="00802D3E">
            <w:pPr>
              <w:pStyle w:val="MeasureTableTextItalic"/>
            </w:pPr>
          </w:p>
        </w:tc>
        <w:tc>
          <w:tcPr>
            <w:tcW w:w="1124" w:type="dxa"/>
            <w:gridSpan w:val="2"/>
            <w:tcBorders>
              <w:top w:val="nil"/>
              <w:left w:val="nil"/>
              <w:bottom w:val="nil"/>
              <w:right w:val="nil"/>
            </w:tcBorders>
          </w:tcPr>
          <w:p w14:paraId="2086F582" w14:textId="77777777" w:rsidR="00802D3E" w:rsidRDefault="00802D3E">
            <w:pPr>
              <w:pStyle w:val="MeasureTableTextLeftAligned"/>
            </w:pPr>
          </w:p>
        </w:tc>
      </w:tr>
      <w:tr w:rsidR="00802D3E" w14:paraId="2086F588" w14:textId="77777777" w:rsidTr="00802D3E">
        <w:trPr>
          <w:cantSplit/>
          <w:jc w:val="center"/>
        </w:trPr>
        <w:tc>
          <w:tcPr>
            <w:tcW w:w="1934" w:type="dxa"/>
            <w:gridSpan w:val="2"/>
            <w:tcBorders>
              <w:top w:val="nil"/>
              <w:left w:val="nil"/>
              <w:bottom w:val="nil"/>
              <w:right w:val="nil"/>
            </w:tcBorders>
            <w:hideMark/>
          </w:tcPr>
          <w:p w14:paraId="2086F58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585" w14:textId="77777777" w:rsidR="00802D3E" w:rsidRDefault="00802D3E">
            <w:pPr>
              <w:pStyle w:val="MeasureTableTextLeftAligned"/>
            </w:pPr>
            <w:r>
              <w:t>1 July 2015</w:t>
            </w:r>
          </w:p>
        </w:tc>
        <w:tc>
          <w:tcPr>
            <w:tcW w:w="1500" w:type="dxa"/>
            <w:gridSpan w:val="2"/>
            <w:tcBorders>
              <w:top w:val="nil"/>
              <w:left w:val="nil"/>
              <w:bottom w:val="nil"/>
              <w:right w:val="nil"/>
            </w:tcBorders>
            <w:hideMark/>
          </w:tcPr>
          <w:p w14:paraId="2086F586"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587" w14:textId="77777777" w:rsidR="00802D3E" w:rsidRDefault="00802D3E">
            <w:pPr>
              <w:pStyle w:val="MeasureTableTextLeftAligned"/>
            </w:pPr>
          </w:p>
        </w:tc>
      </w:tr>
      <w:tr w:rsidR="00802D3E" w14:paraId="2086F58B" w14:textId="77777777" w:rsidTr="00802D3E">
        <w:trPr>
          <w:cantSplit/>
          <w:jc w:val="center"/>
        </w:trPr>
        <w:tc>
          <w:tcPr>
            <w:tcW w:w="1934" w:type="dxa"/>
            <w:gridSpan w:val="2"/>
            <w:tcBorders>
              <w:top w:val="nil"/>
              <w:left w:val="nil"/>
              <w:bottom w:val="single" w:sz="2" w:space="0" w:color="auto"/>
              <w:right w:val="nil"/>
            </w:tcBorders>
            <w:hideMark/>
          </w:tcPr>
          <w:p w14:paraId="2086F58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58A"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Subsection 23(2) of the </w:t>
            </w:r>
            <w:r>
              <w:rPr>
                <w:rFonts w:ascii="Arial" w:hAnsi="Arial" w:cs="Arial"/>
                <w:i/>
                <w:iCs/>
                <w:color w:val="000000"/>
                <w:sz w:val="16"/>
                <w:szCs w:val="16"/>
              </w:rPr>
              <w:t>Income Tax Rates Act 1986</w:t>
            </w:r>
          </w:p>
        </w:tc>
      </w:tr>
    </w:tbl>
    <w:p w14:paraId="2086F58C" w14:textId="77777777" w:rsidR="00802D3E" w:rsidRDefault="00802D3E" w:rsidP="00506822">
      <w:pPr>
        <w:pStyle w:val="SingleParagraph"/>
      </w:pPr>
    </w:p>
    <w:p w14:paraId="2086F58D" w14:textId="77777777" w:rsidR="00802D3E" w:rsidRDefault="00802D3E" w:rsidP="00802D3E">
      <w:r>
        <w:t>In the 2015-16 income year the company tax rate was reduced to 28.5 per cent for companies with aggregated annual turnover less than $2 million. Subject to the passage of legislation, from the 2016-17 income year, the company tax rate will be lowered to 27.5 per cent for companies with turnover less than $10 million. This turnover threshold will then be progressively increased over time and the tax rate progressively lowered. Companies with an aggregated annual turnover above the threshold will continue to be subject to a 30 per cent rate on all their taxable income.</w:t>
      </w:r>
      <w:r>
        <w:fldChar w:fldCharType="begin"/>
      </w:r>
      <w:r>
        <w:instrText xml:space="preserve"> XE "Small business" </w:instrText>
      </w:r>
      <w:r>
        <w:fldChar w:fldCharType="end"/>
      </w:r>
    </w:p>
    <w:p w14:paraId="2086F58E" w14:textId="77777777" w:rsidR="00802D3E" w:rsidRDefault="00802D3E" w:rsidP="00802D3E">
      <w:pPr>
        <w:pStyle w:val="TESHeading5"/>
        <w:ind w:left="0" w:firstLine="0"/>
      </w:pPr>
      <w:r>
        <w:lastRenderedPageBreak/>
        <w:t>B51</w:t>
      </w:r>
      <w:r>
        <w:tab/>
        <w:t>Managed investment trusts — election to allow capital gains tax to be the primary code for disposals of certain assets</w:t>
      </w:r>
    </w:p>
    <w:p w14:paraId="2086F58F"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598" w14:textId="77777777" w:rsidTr="00802D3E">
        <w:trPr>
          <w:cantSplit/>
          <w:jc w:val="center"/>
        </w:trPr>
        <w:tc>
          <w:tcPr>
            <w:tcW w:w="967" w:type="dxa"/>
            <w:tcBorders>
              <w:top w:val="single" w:sz="2" w:space="0" w:color="auto"/>
              <w:left w:val="nil"/>
              <w:bottom w:val="single" w:sz="2" w:space="0" w:color="auto"/>
              <w:right w:val="nil"/>
            </w:tcBorders>
            <w:hideMark/>
          </w:tcPr>
          <w:p w14:paraId="2086F59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59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59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59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59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59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59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597" w14:textId="77777777" w:rsidR="00802D3E" w:rsidRDefault="00802D3E">
            <w:pPr>
              <w:pStyle w:val="MeasureTableTextRightAligned"/>
            </w:pPr>
            <w:r>
              <w:t>2019-20</w:t>
            </w:r>
          </w:p>
        </w:tc>
      </w:tr>
      <w:tr w:rsidR="00802D3E" w14:paraId="2086F5A1" w14:textId="77777777" w:rsidTr="00802D3E">
        <w:trPr>
          <w:cantSplit/>
          <w:jc w:val="center"/>
        </w:trPr>
        <w:tc>
          <w:tcPr>
            <w:tcW w:w="967" w:type="dxa"/>
            <w:tcBorders>
              <w:top w:val="single" w:sz="2" w:space="0" w:color="auto"/>
              <w:left w:val="nil"/>
              <w:bottom w:val="single" w:sz="2" w:space="0" w:color="auto"/>
              <w:right w:val="nil"/>
            </w:tcBorders>
            <w:hideMark/>
          </w:tcPr>
          <w:p w14:paraId="2086F59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59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9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9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9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59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59F"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5A0" w14:textId="77777777" w:rsidR="00802D3E" w:rsidRDefault="00802D3E">
            <w:pPr>
              <w:pStyle w:val="MeasureTableTextRightAligned"/>
            </w:pPr>
            <w:r>
              <w:t>*</w:t>
            </w:r>
          </w:p>
        </w:tc>
      </w:tr>
      <w:tr w:rsidR="00802D3E" w14:paraId="2086F5A6" w14:textId="77777777" w:rsidTr="00802D3E">
        <w:trPr>
          <w:cantSplit/>
          <w:jc w:val="center"/>
        </w:trPr>
        <w:tc>
          <w:tcPr>
            <w:tcW w:w="1934" w:type="dxa"/>
            <w:gridSpan w:val="2"/>
            <w:tcBorders>
              <w:top w:val="single" w:sz="2" w:space="0" w:color="auto"/>
              <w:left w:val="nil"/>
              <w:bottom w:val="nil"/>
              <w:right w:val="nil"/>
            </w:tcBorders>
            <w:hideMark/>
          </w:tcPr>
          <w:p w14:paraId="2086F5A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5A3"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6F5A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5A5" w14:textId="77777777" w:rsidR="00802D3E" w:rsidRDefault="00802D3E">
            <w:pPr>
              <w:pStyle w:val="MeasureTableTextLeftAligned"/>
            </w:pPr>
            <w:r>
              <w:t>B52</w:t>
            </w:r>
          </w:p>
        </w:tc>
      </w:tr>
      <w:tr w:rsidR="00802D3E" w14:paraId="2086F5AB" w14:textId="77777777" w:rsidTr="00802D3E">
        <w:trPr>
          <w:cantSplit/>
          <w:jc w:val="center"/>
        </w:trPr>
        <w:tc>
          <w:tcPr>
            <w:tcW w:w="1934" w:type="dxa"/>
            <w:gridSpan w:val="2"/>
            <w:tcBorders>
              <w:top w:val="nil"/>
              <w:left w:val="nil"/>
              <w:bottom w:val="nil"/>
              <w:right w:val="nil"/>
            </w:tcBorders>
            <w:hideMark/>
          </w:tcPr>
          <w:p w14:paraId="2086F5A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5A8"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5A9"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5AA" w14:textId="77777777" w:rsidR="00802D3E" w:rsidRDefault="00802D3E">
            <w:pPr>
              <w:pStyle w:val="MeasureTableTextLeftAligned"/>
            </w:pPr>
            <w:r>
              <w:t>3+</w:t>
            </w:r>
          </w:p>
        </w:tc>
      </w:tr>
      <w:tr w:rsidR="00802D3E" w14:paraId="2086F5B0" w14:textId="77777777" w:rsidTr="00802D3E">
        <w:trPr>
          <w:cantSplit/>
          <w:jc w:val="center"/>
        </w:trPr>
        <w:tc>
          <w:tcPr>
            <w:tcW w:w="1934" w:type="dxa"/>
            <w:gridSpan w:val="2"/>
            <w:tcBorders>
              <w:top w:val="nil"/>
              <w:left w:val="nil"/>
              <w:bottom w:val="nil"/>
              <w:right w:val="nil"/>
            </w:tcBorders>
            <w:hideMark/>
          </w:tcPr>
          <w:p w14:paraId="2086F5A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5AD" w14:textId="77777777" w:rsidR="00802D3E" w:rsidRDefault="00802D3E">
            <w:pPr>
              <w:pStyle w:val="MeasureTableTextLeftAligned"/>
            </w:pPr>
            <w:r>
              <w:t>1 July 2008</w:t>
            </w:r>
          </w:p>
        </w:tc>
        <w:tc>
          <w:tcPr>
            <w:tcW w:w="1500" w:type="dxa"/>
            <w:gridSpan w:val="2"/>
            <w:tcBorders>
              <w:top w:val="nil"/>
              <w:left w:val="nil"/>
              <w:bottom w:val="nil"/>
              <w:right w:val="nil"/>
            </w:tcBorders>
            <w:hideMark/>
          </w:tcPr>
          <w:p w14:paraId="2086F5AE"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5AF" w14:textId="77777777" w:rsidR="00802D3E" w:rsidRDefault="00802D3E">
            <w:pPr>
              <w:pStyle w:val="MeasureTableTextLeftAligned"/>
            </w:pPr>
          </w:p>
        </w:tc>
      </w:tr>
      <w:tr w:rsidR="00802D3E" w14:paraId="2086F5B3" w14:textId="77777777" w:rsidTr="00802D3E">
        <w:trPr>
          <w:cantSplit/>
          <w:jc w:val="center"/>
        </w:trPr>
        <w:tc>
          <w:tcPr>
            <w:tcW w:w="1934" w:type="dxa"/>
            <w:gridSpan w:val="2"/>
            <w:tcBorders>
              <w:top w:val="nil"/>
              <w:left w:val="nil"/>
              <w:bottom w:val="single" w:sz="2" w:space="0" w:color="auto"/>
              <w:right w:val="nil"/>
            </w:tcBorders>
            <w:hideMark/>
          </w:tcPr>
          <w:p w14:paraId="2086F5B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5B2"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Division 275 of the</w:t>
            </w:r>
            <w:r w:rsidRPr="00B029D6">
              <w:rPr>
                <w:rFonts w:ascii="Arial" w:hAnsi="Arial" w:cs="Arial"/>
                <w:i/>
                <w:iCs/>
                <w:color w:val="000000"/>
                <w:sz w:val="16"/>
                <w:szCs w:val="16"/>
              </w:rPr>
              <w:t xml:space="preserve"> Income Tax Assessment Act 1997</w:t>
            </w:r>
          </w:p>
        </w:tc>
      </w:tr>
    </w:tbl>
    <w:p w14:paraId="2086F5B4" w14:textId="77777777" w:rsidR="00802D3E" w:rsidRDefault="00802D3E" w:rsidP="00506822">
      <w:pPr>
        <w:pStyle w:val="SingleParagraph"/>
      </w:pPr>
    </w:p>
    <w:p w14:paraId="2086F5B5" w14:textId="77777777" w:rsidR="00802D3E" w:rsidRDefault="00802D3E" w:rsidP="00802D3E">
      <w:r>
        <w:t>From the 2008-09 income year eligible managed investment trusts</w:t>
      </w:r>
      <w:r>
        <w:fldChar w:fldCharType="begin"/>
      </w:r>
      <w:r>
        <w:instrText xml:space="preserve"> XE "Managed investment trusts:Capital account treatment" </w:instrText>
      </w:r>
      <w:r>
        <w:fldChar w:fldCharType="end"/>
      </w:r>
      <w:r>
        <w:t xml:space="preserve"> (MITs) can make an irrevocable election to apply the capital gains tax regime to gains and losses on disposals of certain assets (primarily shares, units and real property). If an eligible MIT does not make an irrevocable election to have capital account treatment, then gains and losses on disposals of shares and units will be treated on revenue account. </w:t>
      </w:r>
    </w:p>
    <w:p w14:paraId="2086F5B6" w14:textId="77777777" w:rsidR="00802D3E" w:rsidRDefault="00802D3E" w:rsidP="00802D3E">
      <w:pPr>
        <w:pStyle w:val="TESHeading5"/>
        <w:ind w:left="0" w:firstLine="0"/>
      </w:pPr>
      <w:r>
        <w:t>B52</w:t>
      </w:r>
      <w:r>
        <w:tab/>
        <w:t xml:space="preserve">Philanthropy </w:t>
      </w:r>
      <w:r w:rsidR="00262EF4">
        <w:t>–</w:t>
      </w:r>
      <w:r>
        <w:t xml:space="preserve"> income</w:t>
      </w:r>
      <w:r w:rsidR="00262EF4">
        <w:t xml:space="preserve"> </w:t>
      </w:r>
      <w:r>
        <w:t>tax exemption for small not-for-profit companies</w:t>
      </w:r>
    </w:p>
    <w:p w14:paraId="2086F5B7"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5C0" w14:textId="77777777" w:rsidTr="00802D3E">
        <w:trPr>
          <w:cantSplit/>
          <w:jc w:val="center"/>
        </w:trPr>
        <w:tc>
          <w:tcPr>
            <w:tcW w:w="967" w:type="dxa"/>
            <w:tcBorders>
              <w:top w:val="single" w:sz="2" w:space="0" w:color="auto"/>
              <w:left w:val="nil"/>
              <w:bottom w:val="single" w:sz="2" w:space="0" w:color="auto"/>
              <w:right w:val="nil"/>
            </w:tcBorders>
            <w:hideMark/>
          </w:tcPr>
          <w:p w14:paraId="2086F5B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5B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5B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5B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5B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5B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5B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5BF" w14:textId="77777777" w:rsidR="00802D3E" w:rsidRDefault="00802D3E">
            <w:pPr>
              <w:pStyle w:val="MeasureTableTextRightAligned"/>
            </w:pPr>
            <w:r>
              <w:t>2019-20</w:t>
            </w:r>
          </w:p>
        </w:tc>
      </w:tr>
      <w:tr w:rsidR="00802D3E" w14:paraId="2086F5C9" w14:textId="77777777" w:rsidTr="00802D3E">
        <w:trPr>
          <w:cantSplit/>
          <w:jc w:val="center"/>
        </w:trPr>
        <w:tc>
          <w:tcPr>
            <w:tcW w:w="967" w:type="dxa"/>
            <w:tcBorders>
              <w:top w:val="single" w:sz="2" w:space="0" w:color="auto"/>
              <w:left w:val="nil"/>
              <w:bottom w:val="single" w:sz="2" w:space="0" w:color="auto"/>
              <w:right w:val="nil"/>
            </w:tcBorders>
            <w:hideMark/>
          </w:tcPr>
          <w:p w14:paraId="2086F5C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5C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C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C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5C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5C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5C7"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5C8" w14:textId="77777777" w:rsidR="00802D3E" w:rsidRDefault="00802D3E">
            <w:pPr>
              <w:pStyle w:val="MeasureTableTextRightAligned"/>
            </w:pPr>
            <w:r>
              <w:t>..</w:t>
            </w:r>
          </w:p>
        </w:tc>
      </w:tr>
      <w:tr w:rsidR="00802D3E" w14:paraId="2086F5CE" w14:textId="77777777" w:rsidTr="00802D3E">
        <w:trPr>
          <w:cantSplit/>
          <w:jc w:val="center"/>
        </w:trPr>
        <w:tc>
          <w:tcPr>
            <w:tcW w:w="1934" w:type="dxa"/>
            <w:gridSpan w:val="2"/>
            <w:tcBorders>
              <w:top w:val="single" w:sz="2" w:space="0" w:color="auto"/>
              <w:left w:val="nil"/>
              <w:bottom w:val="nil"/>
              <w:right w:val="nil"/>
            </w:tcBorders>
            <w:hideMark/>
          </w:tcPr>
          <w:p w14:paraId="2086F5C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5CB"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5C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5CD" w14:textId="77777777" w:rsidR="00802D3E" w:rsidRDefault="00802D3E">
            <w:pPr>
              <w:pStyle w:val="MeasureTableTextLeftAligned"/>
            </w:pPr>
            <w:r>
              <w:t>B53</w:t>
            </w:r>
          </w:p>
        </w:tc>
      </w:tr>
      <w:tr w:rsidR="00802D3E" w14:paraId="2086F5D3" w14:textId="77777777" w:rsidTr="00802D3E">
        <w:trPr>
          <w:cantSplit/>
          <w:jc w:val="center"/>
        </w:trPr>
        <w:tc>
          <w:tcPr>
            <w:tcW w:w="1934" w:type="dxa"/>
            <w:gridSpan w:val="2"/>
            <w:tcBorders>
              <w:top w:val="nil"/>
              <w:left w:val="nil"/>
              <w:bottom w:val="nil"/>
              <w:right w:val="nil"/>
            </w:tcBorders>
            <w:hideMark/>
          </w:tcPr>
          <w:p w14:paraId="2086F5C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5D0" w14:textId="77777777" w:rsidR="00802D3E" w:rsidRDefault="00802D3E">
            <w:pPr>
              <w:pStyle w:val="MeasureTableTextLeftAligned"/>
            </w:pPr>
            <w:r>
              <w:t>Low</w:t>
            </w:r>
          </w:p>
        </w:tc>
        <w:tc>
          <w:tcPr>
            <w:tcW w:w="1500" w:type="dxa"/>
            <w:gridSpan w:val="2"/>
            <w:tcBorders>
              <w:top w:val="nil"/>
              <w:left w:val="nil"/>
              <w:bottom w:val="nil"/>
              <w:right w:val="nil"/>
            </w:tcBorders>
          </w:tcPr>
          <w:p w14:paraId="2086F5D1" w14:textId="77777777" w:rsidR="00802D3E" w:rsidRDefault="00802D3E">
            <w:pPr>
              <w:pStyle w:val="MeasureTableTextItalic"/>
            </w:pPr>
          </w:p>
        </w:tc>
        <w:tc>
          <w:tcPr>
            <w:tcW w:w="1124" w:type="dxa"/>
            <w:gridSpan w:val="2"/>
            <w:tcBorders>
              <w:top w:val="nil"/>
              <w:left w:val="nil"/>
              <w:bottom w:val="nil"/>
              <w:right w:val="nil"/>
            </w:tcBorders>
          </w:tcPr>
          <w:p w14:paraId="2086F5D2" w14:textId="77777777" w:rsidR="00802D3E" w:rsidRDefault="00802D3E">
            <w:pPr>
              <w:pStyle w:val="MeasureTableTextLeftAligned"/>
            </w:pPr>
          </w:p>
        </w:tc>
      </w:tr>
      <w:tr w:rsidR="00802D3E" w14:paraId="2086F5D8" w14:textId="77777777" w:rsidTr="00802D3E">
        <w:trPr>
          <w:cantSplit/>
          <w:jc w:val="center"/>
        </w:trPr>
        <w:tc>
          <w:tcPr>
            <w:tcW w:w="1934" w:type="dxa"/>
            <w:gridSpan w:val="2"/>
            <w:tcBorders>
              <w:top w:val="nil"/>
              <w:left w:val="nil"/>
              <w:bottom w:val="nil"/>
              <w:right w:val="nil"/>
            </w:tcBorders>
            <w:hideMark/>
          </w:tcPr>
          <w:p w14:paraId="2086F5D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5D5"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F5D6"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5D7" w14:textId="77777777" w:rsidR="00802D3E" w:rsidRDefault="00802D3E">
            <w:pPr>
              <w:pStyle w:val="MeasureTableTextLeftAligned"/>
            </w:pPr>
          </w:p>
        </w:tc>
      </w:tr>
      <w:tr w:rsidR="00802D3E" w14:paraId="2086F5DB" w14:textId="77777777" w:rsidTr="00802D3E">
        <w:trPr>
          <w:cantSplit/>
          <w:jc w:val="center"/>
        </w:trPr>
        <w:tc>
          <w:tcPr>
            <w:tcW w:w="1934" w:type="dxa"/>
            <w:gridSpan w:val="2"/>
            <w:tcBorders>
              <w:top w:val="nil"/>
              <w:left w:val="nil"/>
              <w:bottom w:val="single" w:sz="2" w:space="0" w:color="auto"/>
              <w:right w:val="nil"/>
            </w:tcBorders>
            <w:hideMark/>
          </w:tcPr>
          <w:p w14:paraId="2086F5D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5DA"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 xml:space="preserve">Subsection 23(6) of the </w:t>
            </w:r>
            <w:r w:rsidRPr="00B029D6">
              <w:rPr>
                <w:rFonts w:ascii="Arial" w:hAnsi="Arial" w:cs="Arial"/>
                <w:i/>
                <w:iCs/>
                <w:color w:val="000000"/>
                <w:sz w:val="16"/>
                <w:szCs w:val="16"/>
              </w:rPr>
              <w:t>Income Tax Rates Act 1986</w:t>
            </w:r>
          </w:p>
        </w:tc>
      </w:tr>
    </w:tbl>
    <w:p w14:paraId="2086F5DC" w14:textId="77777777" w:rsidR="00802D3E" w:rsidRDefault="00802D3E" w:rsidP="00506822">
      <w:pPr>
        <w:pStyle w:val="SingleParagraph"/>
      </w:pPr>
    </w:p>
    <w:p w14:paraId="2086F5DD" w14:textId="77777777" w:rsidR="00802D3E" w:rsidRDefault="00802D3E" w:rsidP="00802D3E">
      <w:r>
        <w:t>The rate of income tax payable by a not</w:t>
      </w:r>
      <w:r>
        <w:noBreakHyphen/>
        <w:t>for</w:t>
      </w:r>
      <w:r>
        <w:noBreakHyphen/>
        <w:t>profit company</w:t>
      </w:r>
      <w:r>
        <w:fldChar w:fldCharType="begin"/>
      </w:r>
      <w:r w:rsidR="006408C1">
        <w:instrText xml:space="preserve"> XE "Not</w:instrText>
      </w:r>
      <w:r w:rsidR="006408C1">
        <w:noBreakHyphen/>
      </w:r>
      <w:r>
        <w:instrText>for</w:instrText>
      </w:r>
      <w:r>
        <w:noBreakHyphen/>
        <w:instrText xml:space="preserve">profit company" </w:instrText>
      </w:r>
      <w:r>
        <w:fldChar w:fldCharType="end"/>
      </w:r>
      <w:r>
        <w:t xml:space="preserve"> that has a taxable income not exceeding $416 in a given income year is nil. Income tax is payable at a rate of 55</w:t>
      </w:r>
      <w:r w:rsidR="002A3EFA">
        <w:t> </w:t>
      </w:r>
      <w:r>
        <w:t>per cent on income between $416 and $915 or between $416 and $863 if the company is a small business entity. When a not-for-profit company has an income over $915 or $863 if a small business entity, the applicable company tax rate is applied from the first dollar.</w:t>
      </w:r>
    </w:p>
    <w:p w14:paraId="2086F5DE" w14:textId="77777777" w:rsidR="00802D3E" w:rsidRDefault="00802D3E" w:rsidP="00802D3E">
      <w:r>
        <w:t>This arrangement has the effect of providing an exemption from income tax for not</w:t>
      </w:r>
      <w:r>
        <w:noBreakHyphen/>
        <w:t>for</w:t>
      </w:r>
      <w:r>
        <w:noBreakHyphen/>
        <w:t>profit companies for the first $416 of income, and then phasing in the ordinary corporate income tax rate of 30 per cent on all income, including the first $416, when the company has income between $416 and $915. Alternatively, if the company is a small business entity, this arrangement has the effect of providing an exemption from income tax for the first $416 of income then phasing in the small business corporate income tax rate of 28.5 per cent on all income, including the first $416, when the company has income between $416 and $863.</w:t>
      </w:r>
      <w:r w:rsidR="002A3EFA">
        <w:t xml:space="preserve"> </w:t>
      </w:r>
      <w:r>
        <w:t>When a not</w:t>
      </w:r>
      <w:r>
        <w:noBreakHyphen/>
        <w:t>for</w:t>
      </w:r>
      <w:r>
        <w:noBreakHyphen/>
        <w:t xml:space="preserve">profit company has an income over $915 or $863 if a small business entity, the applicable company tax rate is applied from the first dollar. </w:t>
      </w:r>
    </w:p>
    <w:p w14:paraId="2086F5DF" w14:textId="77777777" w:rsidR="00802D3E" w:rsidRDefault="00802D3E" w:rsidP="00802D3E">
      <w:pPr>
        <w:pStyle w:val="TESHeading5"/>
        <w:ind w:left="0" w:firstLine="0"/>
      </w:pPr>
      <w:r>
        <w:lastRenderedPageBreak/>
        <w:t>B53</w:t>
      </w:r>
      <w:r>
        <w:tab/>
        <w:t xml:space="preserve">Philanthropy </w:t>
      </w:r>
      <w:r w:rsidR="00262EF4">
        <w:t>–</w:t>
      </w:r>
      <w:r>
        <w:t xml:space="preserve"> refund</w:t>
      </w:r>
      <w:r w:rsidR="00262EF4">
        <w:t xml:space="preserve"> </w:t>
      </w:r>
      <w:r>
        <w:t>of franking credits for certain income tax exempt philanthropic entities</w:t>
      </w:r>
    </w:p>
    <w:p w14:paraId="2086F5E0"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5E9" w14:textId="77777777" w:rsidTr="00802D3E">
        <w:trPr>
          <w:cantSplit/>
          <w:jc w:val="center"/>
        </w:trPr>
        <w:tc>
          <w:tcPr>
            <w:tcW w:w="967" w:type="dxa"/>
            <w:tcBorders>
              <w:top w:val="single" w:sz="2" w:space="0" w:color="auto"/>
              <w:left w:val="nil"/>
              <w:bottom w:val="single" w:sz="2" w:space="0" w:color="auto"/>
              <w:right w:val="nil"/>
            </w:tcBorders>
            <w:hideMark/>
          </w:tcPr>
          <w:p w14:paraId="2086F5E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5E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5E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5E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5E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5E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5E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5E8" w14:textId="77777777" w:rsidR="00802D3E" w:rsidRDefault="00802D3E">
            <w:pPr>
              <w:pStyle w:val="MeasureTableTextRightAligned"/>
            </w:pPr>
            <w:r>
              <w:t>2019-20</w:t>
            </w:r>
          </w:p>
        </w:tc>
      </w:tr>
      <w:tr w:rsidR="00802D3E" w14:paraId="2086F5F2" w14:textId="77777777" w:rsidTr="00802D3E">
        <w:trPr>
          <w:cantSplit/>
          <w:jc w:val="center"/>
        </w:trPr>
        <w:tc>
          <w:tcPr>
            <w:tcW w:w="967" w:type="dxa"/>
            <w:tcBorders>
              <w:top w:val="single" w:sz="2" w:space="0" w:color="auto"/>
              <w:left w:val="nil"/>
              <w:bottom w:val="single" w:sz="2" w:space="0" w:color="auto"/>
              <w:right w:val="nil"/>
            </w:tcBorders>
            <w:hideMark/>
          </w:tcPr>
          <w:p w14:paraId="2086F5EA" w14:textId="77777777" w:rsidR="00802D3E" w:rsidRDefault="00802D3E">
            <w:pPr>
              <w:pStyle w:val="MeasureTableTextRightAligned"/>
            </w:pPr>
            <w:r>
              <w:t>580</w:t>
            </w:r>
          </w:p>
        </w:tc>
        <w:tc>
          <w:tcPr>
            <w:tcW w:w="967" w:type="dxa"/>
            <w:tcBorders>
              <w:top w:val="single" w:sz="2" w:space="0" w:color="auto"/>
              <w:left w:val="nil"/>
              <w:bottom w:val="single" w:sz="2" w:space="0" w:color="auto"/>
              <w:right w:val="nil"/>
            </w:tcBorders>
            <w:hideMark/>
          </w:tcPr>
          <w:p w14:paraId="2086F5EB" w14:textId="77777777" w:rsidR="00802D3E" w:rsidRDefault="00802D3E">
            <w:pPr>
              <w:pStyle w:val="MeasureTableTextRightAligned"/>
            </w:pPr>
            <w:r>
              <w:t>560</w:t>
            </w:r>
          </w:p>
        </w:tc>
        <w:tc>
          <w:tcPr>
            <w:tcW w:w="967" w:type="dxa"/>
            <w:tcBorders>
              <w:top w:val="single" w:sz="2" w:space="0" w:color="auto"/>
              <w:left w:val="nil"/>
              <w:bottom w:val="single" w:sz="2" w:space="0" w:color="auto"/>
              <w:right w:val="nil"/>
            </w:tcBorders>
            <w:vAlign w:val="bottom"/>
            <w:hideMark/>
          </w:tcPr>
          <w:p w14:paraId="2086F5EC" w14:textId="77777777" w:rsidR="00802D3E" w:rsidRDefault="00802D3E">
            <w:pPr>
              <w:pStyle w:val="MeasureTableTextRightAligned"/>
            </w:pPr>
            <w:r>
              <w:t>740</w:t>
            </w:r>
          </w:p>
        </w:tc>
        <w:tc>
          <w:tcPr>
            <w:tcW w:w="967" w:type="dxa"/>
            <w:tcBorders>
              <w:top w:val="single" w:sz="2" w:space="0" w:color="auto"/>
              <w:left w:val="nil"/>
              <w:bottom w:val="single" w:sz="2" w:space="0" w:color="auto"/>
              <w:right w:val="nil"/>
            </w:tcBorders>
            <w:vAlign w:val="bottom"/>
            <w:hideMark/>
          </w:tcPr>
          <w:p w14:paraId="2086F5ED" w14:textId="77777777" w:rsidR="00802D3E" w:rsidRDefault="00802D3E">
            <w:pPr>
              <w:pStyle w:val="MeasureTableTextRightAligned"/>
            </w:pPr>
            <w:r>
              <w:t>1,160</w:t>
            </w:r>
          </w:p>
        </w:tc>
        <w:tc>
          <w:tcPr>
            <w:tcW w:w="967" w:type="dxa"/>
            <w:tcBorders>
              <w:top w:val="single" w:sz="2" w:space="0" w:color="auto"/>
              <w:left w:val="nil"/>
              <w:bottom w:val="single" w:sz="2" w:space="0" w:color="auto"/>
              <w:right w:val="nil"/>
            </w:tcBorders>
            <w:vAlign w:val="bottom"/>
            <w:hideMark/>
          </w:tcPr>
          <w:p w14:paraId="2086F5E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5E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5F0"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5F1" w14:textId="77777777" w:rsidR="00802D3E" w:rsidRDefault="00802D3E">
            <w:pPr>
              <w:pStyle w:val="MeasureTableTextRightAligned"/>
            </w:pPr>
            <w:r>
              <w:t>*</w:t>
            </w:r>
          </w:p>
        </w:tc>
      </w:tr>
      <w:tr w:rsidR="00802D3E" w14:paraId="2086F5F7" w14:textId="77777777" w:rsidTr="00802D3E">
        <w:trPr>
          <w:cantSplit/>
          <w:jc w:val="center"/>
        </w:trPr>
        <w:tc>
          <w:tcPr>
            <w:tcW w:w="1934" w:type="dxa"/>
            <w:gridSpan w:val="2"/>
            <w:tcBorders>
              <w:top w:val="single" w:sz="2" w:space="0" w:color="auto"/>
              <w:left w:val="nil"/>
              <w:bottom w:val="nil"/>
              <w:right w:val="nil"/>
            </w:tcBorders>
            <w:hideMark/>
          </w:tcPr>
          <w:p w14:paraId="2086F5F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5F4" w14:textId="77777777" w:rsidR="00802D3E" w:rsidRDefault="00802D3E">
            <w:pPr>
              <w:pStyle w:val="MeasureTableTextLeftAligned"/>
            </w:pPr>
            <w:r>
              <w:t>Rebate</w:t>
            </w:r>
          </w:p>
        </w:tc>
        <w:tc>
          <w:tcPr>
            <w:tcW w:w="1500" w:type="dxa"/>
            <w:gridSpan w:val="2"/>
            <w:tcBorders>
              <w:top w:val="single" w:sz="2" w:space="0" w:color="auto"/>
              <w:left w:val="nil"/>
              <w:bottom w:val="nil"/>
              <w:right w:val="nil"/>
            </w:tcBorders>
            <w:hideMark/>
          </w:tcPr>
          <w:p w14:paraId="2086F5F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5F6" w14:textId="77777777" w:rsidR="00802D3E" w:rsidRDefault="00802D3E">
            <w:pPr>
              <w:pStyle w:val="MeasureTableTextLeftAligned"/>
            </w:pPr>
            <w:r>
              <w:t>B54</w:t>
            </w:r>
          </w:p>
        </w:tc>
      </w:tr>
      <w:tr w:rsidR="00802D3E" w14:paraId="2086F5FC" w14:textId="77777777" w:rsidTr="00802D3E">
        <w:trPr>
          <w:cantSplit/>
          <w:jc w:val="center"/>
        </w:trPr>
        <w:tc>
          <w:tcPr>
            <w:tcW w:w="1934" w:type="dxa"/>
            <w:gridSpan w:val="2"/>
            <w:tcBorders>
              <w:top w:val="nil"/>
              <w:left w:val="nil"/>
              <w:bottom w:val="nil"/>
              <w:right w:val="nil"/>
            </w:tcBorders>
            <w:hideMark/>
          </w:tcPr>
          <w:p w14:paraId="2086F5F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5F9" w14:textId="77777777" w:rsidR="00802D3E" w:rsidRDefault="00802D3E">
            <w:pPr>
              <w:pStyle w:val="MeasureTableTextLeftAligned"/>
            </w:pPr>
            <w:r>
              <w:t>High</w:t>
            </w:r>
          </w:p>
        </w:tc>
        <w:tc>
          <w:tcPr>
            <w:tcW w:w="1500" w:type="dxa"/>
            <w:gridSpan w:val="2"/>
            <w:tcBorders>
              <w:top w:val="nil"/>
              <w:left w:val="nil"/>
              <w:bottom w:val="nil"/>
              <w:right w:val="nil"/>
            </w:tcBorders>
            <w:hideMark/>
          </w:tcPr>
          <w:p w14:paraId="2086F5FA"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5FB" w14:textId="77777777" w:rsidR="00802D3E" w:rsidRDefault="00802D3E">
            <w:pPr>
              <w:pStyle w:val="MeasureTableTextLeftAligned"/>
            </w:pPr>
            <w:r>
              <w:t>4+</w:t>
            </w:r>
          </w:p>
        </w:tc>
      </w:tr>
      <w:tr w:rsidR="00802D3E" w14:paraId="2086F601" w14:textId="77777777" w:rsidTr="00802D3E">
        <w:trPr>
          <w:cantSplit/>
          <w:jc w:val="center"/>
        </w:trPr>
        <w:tc>
          <w:tcPr>
            <w:tcW w:w="1934" w:type="dxa"/>
            <w:gridSpan w:val="2"/>
            <w:tcBorders>
              <w:top w:val="nil"/>
              <w:left w:val="nil"/>
              <w:bottom w:val="nil"/>
              <w:right w:val="nil"/>
            </w:tcBorders>
            <w:hideMark/>
          </w:tcPr>
          <w:p w14:paraId="2086F5F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5FE"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6F5FF"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600" w14:textId="77777777" w:rsidR="00802D3E" w:rsidRDefault="00802D3E">
            <w:pPr>
              <w:pStyle w:val="MeasureTableTextLeftAligned"/>
            </w:pPr>
          </w:p>
        </w:tc>
      </w:tr>
      <w:tr w:rsidR="00802D3E" w14:paraId="2086F604" w14:textId="77777777" w:rsidTr="00802D3E">
        <w:trPr>
          <w:cantSplit/>
          <w:jc w:val="center"/>
        </w:trPr>
        <w:tc>
          <w:tcPr>
            <w:tcW w:w="1934" w:type="dxa"/>
            <w:gridSpan w:val="2"/>
            <w:tcBorders>
              <w:top w:val="nil"/>
              <w:left w:val="nil"/>
              <w:bottom w:val="single" w:sz="2" w:space="0" w:color="auto"/>
              <w:right w:val="nil"/>
            </w:tcBorders>
            <w:hideMark/>
          </w:tcPr>
          <w:p w14:paraId="2086F60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603"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Subdivision 207-E of the </w:t>
            </w:r>
            <w:r>
              <w:rPr>
                <w:rFonts w:ascii="Arial" w:hAnsi="Arial" w:cs="Arial"/>
                <w:i/>
                <w:iCs/>
                <w:color w:val="000000"/>
                <w:sz w:val="16"/>
                <w:szCs w:val="16"/>
              </w:rPr>
              <w:t>Income Tax Assessment Act 1997</w:t>
            </w:r>
          </w:p>
        </w:tc>
      </w:tr>
    </w:tbl>
    <w:p w14:paraId="2086F605" w14:textId="77777777" w:rsidR="00802D3E" w:rsidRDefault="00802D3E" w:rsidP="00506822">
      <w:pPr>
        <w:pStyle w:val="SingleParagraph"/>
      </w:pPr>
    </w:p>
    <w:p w14:paraId="2086F606" w14:textId="77777777" w:rsidR="00802D3E" w:rsidRDefault="00802D3E" w:rsidP="00802D3E">
      <w:r>
        <w:t>Generally, entities that are not subject to Australian tax cannot benefit from franking credits on distributions from Australian companies. However, entities that are endorsed as income tax exempt charities</w:t>
      </w:r>
      <w:r>
        <w:fldChar w:fldCharType="begin"/>
      </w:r>
      <w:r>
        <w:instrText xml:space="preserve"> XE "Charitable institutions"</w:instrText>
      </w:r>
      <w:r>
        <w:fldChar w:fldCharType="end"/>
      </w:r>
      <w:r>
        <w:t xml:space="preserve"> or income tax exempt deductible gift recipients</w:t>
      </w:r>
      <w:r>
        <w:fldChar w:fldCharType="begin"/>
      </w:r>
      <w:r>
        <w:instrText xml:space="preserve"> XE "Deductible gift recipients"</w:instrText>
      </w:r>
      <w:r>
        <w:fldChar w:fldCharType="end"/>
      </w:r>
      <w:r>
        <w:t xml:space="preserve"> are able to claim a refund of franking credits on distributions from Australian companies. </w:t>
      </w:r>
    </w:p>
    <w:p w14:paraId="2086F607" w14:textId="77777777" w:rsidR="00802D3E" w:rsidRDefault="00802D3E" w:rsidP="00802D3E">
      <w:pPr>
        <w:pStyle w:val="TESHeading5"/>
        <w:ind w:left="0" w:firstLine="0"/>
      </w:pPr>
      <w:r>
        <w:t>B54</w:t>
      </w:r>
      <w:r>
        <w:tab/>
        <w:t>Small business immediate deduction for professional expenses</w:t>
      </w:r>
    </w:p>
    <w:p w14:paraId="2086F608"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611" w14:textId="77777777" w:rsidTr="00802D3E">
        <w:trPr>
          <w:cantSplit/>
          <w:jc w:val="center"/>
        </w:trPr>
        <w:tc>
          <w:tcPr>
            <w:tcW w:w="967" w:type="dxa"/>
            <w:tcBorders>
              <w:top w:val="single" w:sz="2" w:space="0" w:color="auto"/>
              <w:left w:val="nil"/>
              <w:bottom w:val="single" w:sz="2" w:space="0" w:color="auto"/>
              <w:right w:val="nil"/>
            </w:tcBorders>
            <w:hideMark/>
          </w:tcPr>
          <w:p w14:paraId="2086F60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60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60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60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60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60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60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610" w14:textId="77777777" w:rsidR="00802D3E" w:rsidRDefault="00802D3E">
            <w:pPr>
              <w:pStyle w:val="MeasureTableTextRightAligned"/>
            </w:pPr>
            <w:r>
              <w:t>2019-20</w:t>
            </w:r>
          </w:p>
        </w:tc>
      </w:tr>
      <w:tr w:rsidR="00802D3E" w14:paraId="2086F61A" w14:textId="77777777" w:rsidTr="00802D3E">
        <w:trPr>
          <w:cantSplit/>
          <w:jc w:val="center"/>
        </w:trPr>
        <w:tc>
          <w:tcPr>
            <w:tcW w:w="967" w:type="dxa"/>
            <w:tcBorders>
              <w:top w:val="single" w:sz="2" w:space="0" w:color="auto"/>
              <w:left w:val="nil"/>
              <w:bottom w:val="single" w:sz="2" w:space="0" w:color="auto"/>
              <w:right w:val="nil"/>
            </w:tcBorders>
            <w:hideMark/>
          </w:tcPr>
          <w:p w14:paraId="2086F61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61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1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1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16" w14:textId="77777777" w:rsidR="00802D3E" w:rsidRDefault="00802D3E">
            <w:pPr>
              <w:pStyle w:val="MeasureTableTextRightAligned"/>
            </w:pPr>
            <w:r>
              <w:t>10</w:t>
            </w:r>
          </w:p>
        </w:tc>
        <w:tc>
          <w:tcPr>
            <w:tcW w:w="967" w:type="dxa"/>
            <w:gridSpan w:val="2"/>
            <w:tcBorders>
              <w:top w:val="single" w:sz="2" w:space="0" w:color="auto"/>
              <w:left w:val="nil"/>
              <w:bottom w:val="single" w:sz="2" w:space="0" w:color="auto"/>
              <w:right w:val="nil"/>
            </w:tcBorders>
            <w:vAlign w:val="bottom"/>
            <w:hideMark/>
          </w:tcPr>
          <w:p w14:paraId="2086F617" w14:textId="77777777" w:rsidR="00802D3E" w:rsidRDefault="00802D3E">
            <w:pPr>
              <w:pStyle w:val="MeasureTableTextRightAligned"/>
            </w:pPr>
            <w:r>
              <w:t>10</w:t>
            </w:r>
          </w:p>
        </w:tc>
        <w:tc>
          <w:tcPr>
            <w:tcW w:w="967" w:type="dxa"/>
            <w:gridSpan w:val="2"/>
            <w:tcBorders>
              <w:top w:val="single" w:sz="2" w:space="0" w:color="auto"/>
              <w:left w:val="nil"/>
              <w:bottom w:val="single" w:sz="2" w:space="0" w:color="auto"/>
              <w:right w:val="nil"/>
            </w:tcBorders>
            <w:vAlign w:val="bottom"/>
            <w:hideMark/>
          </w:tcPr>
          <w:p w14:paraId="2086F618" w14:textId="77777777" w:rsidR="00802D3E" w:rsidRDefault="00802D3E">
            <w:pPr>
              <w:pStyle w:val="MeasureTableTextRightAligned"/>
            </w:pPr>
            <w:r>
              <w:t>10</w:t>
            </w:r>
          </w:p>
        </w:tc>
        <w:tc>
          <w:tcPr>
            <w:tcW w:w="968" w:type="dxa"/>
            <w:tcBorders>
              <w:top w:val="single" w:sz="2" w:space="0" w:color="auto"/>
              <w:left w:val="nil"/>
              <w:bottom w:val="single" w:sz="2" w:space="0" w:color="auto"/>
              <w:right w:val="nil"/>
            </w:tcBorders>
            <w:vAlign w:val="bottom"/>
            <w:hideMark/>
          </w:tcPr>
          <w:p w14:paraId="2086F619" w14:textId="77777777" w:rsidR="00802D3E" w:rsidRDefault="00802D3E">
            <w:pPr>
              <w:pStyle w:val="MeasureTableTextRightAligned"/>
            </w:pPr>
            <w:r>
              <w:t>10</w:t>
            </w:r>
          </w:p>
        </w:tc>
      </w:tr>
      <w:tr w:rsidR="00802D3E" w14:paraId="2086F61F" w14:textId="77777777" w:rsidTr="00802D3E">
        <w:trPr>
          <w:cantSplit/>
          <w:jc w:val="center"/>
        </w:trPr>
        <w:tc>
          <w:tcPr>
            <w:tcW w:w="1934" w:type="dxa"/>
            <w:gridSpan w:val="2"/>
            <w:tcBorders>
              <w:top w:val="single" w:sz="2" w:space="0" w:color="auto"/>
              <w:left w:val="nil"/>
              <w:bottom w:val="nil"/>
              <w:right w:val="nil"/>
            </w:tcBorders>
            <w:hideMark/>
          </w:tcPr>
          <w:p w14:paraId="2086F61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61C"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61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61E" w14:textId="77777777" w:rsidR="00802D3E" w:rsidRDefault="00802D3E">
            <w:pPr>
              <w:pStyle w:val="MeasureTableTextLeftAligned"/>
            </w:pPr>
            <w:r>
              <w:t>B49</w:t>
            </w:r>
          </w:p>
        </w:tc>
      </w:tr>
      <w:tr w:rsidR="00802D3E" w14:paraId="2086F624" w14:textId="77777777" w:rsidTr="00802D3E">
        <w:trPr>
          <w:cantSplit/>
          <w:jc w:val="center"/>
        </w:trPr>
        <w:tc>
          <w:tcPr>
            <w:tcW w:w="1934" w:type="dxa"/>
            <w:gridSpan w:val="2"/>
            <w:tcBorders>
              <w:top w:val="nil"/>
              <w:left w:val="nil"/>
              <w:bottom w:val="nil"/>
              <w:right w:val="nil"/>
            </w:tcBorders>
            <w:hideMark/>
          </w:tcPr>
          <w:p w14:paraId="2086F62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621" w14:textId="77777777" w:rsidR="00802D3E" w:rsidRDefault="00802D3E">
            <w:pPr>
              <w:pStyle w:val="MeasureTableTextLeftAligned"/>
            </w:pPr>
            <w:r>
              <w:t>Low</w:t>
            </w:r>
          </w:p>
        </w:tc>
        <w:tc>
          <w:tcPr>
            <w:tcW w:w="1500" w:type="dxa"/>
            <w:gridSpan w:val="2"/>
            <w:tcBorders>
              <w:top w:val="nil"/>
              <w:left w:val="nil"/>
              <w:bottom w:val="nil"/>
              <w:right w:val="nil"/>
            </w:tcBorders>
          </w:tcPr>
          <w:p w14:paraId="2086F622" w14:textId="77777777" w:rsidR="00802D3E" w:rsidRDefault="00802D3E">
            <w:pPr>
              <w:pStyle w:val="MeasureTableTextItalic"/>
            </w:pPr>
          </w:p>
        </w:tc>
        <w:tc>
          <w:tcPr>
            <w:tcW w:w="1124" w:type="dxa"/>
            <w:gridSpan w:val="2"/>
            <w:tcBorders>
              <w:top w:val="nil"/>
              <w:left w:val="nil"/>
              <w:bottom w:val="nil"/>
              <w:right w:val="nil"/>
            </w:tcBorders>
          </w:tcPr>
          <w:p w14:paraId="2086F623" w14:textId="77777777" w:rsidR="00802D3E" w:rsidRDefault="00802D3E">
            <w:pPr>
              <w:pStyle w:val="MeasureTableTextLeftAligned"/>
            </w:pPr>
          </w:p>
        </w:tc>
      </w:tr>
      <w:tr w:rsidR="00802D3E" w14:paraId="2086F629" w14:textId="77777777" w:rsidTr="00802D3E">
        <w:trPr>
          <w:cantSplit/>
          <w:jc w:val="center"/>
        </w:trPr>
        <w:tc>
          <w:tcPr>
            <w:tcW w:w="1934" w:type="dxa"/>
            <w:gridSpan w:val="2"/>
            <w:tcBorders>
              <w:top w:val="nil"/>
              <w:left w:val="nil"/>
              <w:bottom w:val="nil"/>
              <w:right w:val="nil"/>
            </w:tcBorders>
            <w:hideMark/>
          </w:tcPr>
          <w:p w14:paraId="2086F62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626" w14:textId="77777777" w:rsidR="00802D3E" w:rsidRDefault="00802D3E">
            <w:pPr>
              <w:pStyle w:val="MeasureTableTextLeftAligned"/>
            </w:pPr>
            <w:r>
              <w:t>1 July 2015</w:t>
            </w:r>
          </w:p>
        </w:tc>
        <w:tc>
          <w:tcPr>
            <w:tcW w:w="1500" w:type="dxa"/>
            <w:gridSpan w:val="2"/>
            <w:tcBorders>
              <w:top w:val="nil"/>
              <w:left w:val="nil"/>
              <w:bottom w:val="nil"/>
              <w:right w:val="nil"/>
            </w:tcBorders>
            <w:hideMark/>
          </w:tcPr>
          <w:p w14:paraId="2086F627"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628" w14:textId="77777777" w:rsidR="00802D3E" w:rsidRDefault="00802D3E">
            <w:pPr>
              <w:pStyle w:val="MeasureTableTextLeftAligned"/>
            </w:pPr>
          </w:p>
        </w:tc>
      </w:tr>
      <w:tr w:rsidR="00802D3E" w14:paraId="2086F62C" w14:textId="77777777" w:rsidTr="00802D3E">
        <w:trPr>
          <w:cantSplit/>
          <w:jc w:val="center"/>
        </w:trPr>
        <w:tc>
          <w:tcPr>
            <w:tcW w:w="1934" w:type="dxa"/>
            <w:gridSpan w:val="2"/>
            <w:tcBorders>
              <w:top w:val="nil"/>
              <w:left w:val="nil"/>
              <w:bottom w:val="single" w:sz="2" w:space="0" w:color="auto"/>
              <w:right w:val="nil"/>
            </w:tcBorders>
            <w:hideMark/>
          </w:tcPr>
          <w:p w14:paraId="2086F62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62B"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Section 40-880 of the </w:t>
            </w:r>
            <w:r>
              <w:rPr>
                <w:rFonts w:ascii="Arial" w:hAnsi="Arial" w:cs="Arial"/>
                <w:i/>
                <w:iCs/>
                <w:color w:val="000000"/>
                <w:sz w:val="16"/>
                <w:szCs w:val="16"/>
              </w:rPr>
              <w:t>Income Tax Assessment Act 1997</w:t>
            </w:r>
          </w:p>
        </w:tc>
      </w:tr>
    </w:tbl>
    <w:p w14:paraId="2086F62D" w14:textId="77777777" w:rsidR="00802D3E" w:rsidRDefault="00802D3E" w:rsidP="00506822">
      <w:pPr>
        <w:pStyle w:val="SingleParagraph"/>
      </w:pPr>
    </w:p>
    <w:p w14:paraId="2086F62E" w14:textId="77777777" w:rsidR="00802D3E" w:rsidRDefault="00802D3E" w:rsidP="00802D3E">
      <w:r>
        <w:t>Small business entities with an aggregated annual turnover of less than $2 million (increased to $10 million from 1 July 2016, subject to the passage of legislation) can immediately deduct a range of professional expenses associated with starting a new business, such as professional, legal and accounting advice.</w:t>
      </w:r>
      <w:r>
        <w:fldChar w:fldCharType="begin"/>
      </w:r>
      <w:r>
        <w:instrText xml:space="preserve"> XE "Small business" </w:instrText>
      </w:r>
      <w:r>
        <w:fldChar w:fldCharType="end"/>
      </w:r>
      <w:r>
        <w:t xml:space="preserve"> Previously, these professional costs were able to be deducted over a five year period, which is the benchmark treatment. </w:t>
      </w:r>
    </w:p>
    <w:p w14:paraId="2086F62F" w14:textId="77777777" w:rsidR="00802D3E" w:rsidRDefault="00802D3E" w:rsidP="00802D3E">
      <w:pPr>
        <w:pStyle w:val="TESHeading5"/>
        <w:ind w:left="0" w:firstLine="0"/>
      </w:pPr>
      <w:r>
        <w:t>B55</w:t>
      </w:r>
      <w:r>
        <w:tab/>
        <w:t>Tax exemption for small and medium credit unions</w:t>
      </w:r>
    </w:p>
    <w:p w14:paraId="2086F630"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639" w14:textId="77777777" w:rsidTr="00802D3E">
        <w:trPr>
          <w:cantSplit/>
          <w:jc w:val="center"/>
        </w:trPr>
        <w:tc>
          <w:tcPr>
            <w:tcW w:w="967" w:type="dxa"/>
            <w:tcBorders>
              <w:top w:val="single" w:sz="2" w:space="0" w:color="auto"/>
              <w:left w:val="nil"/>
              <w:bottom w:val="single" w:sz="2" w:space="0" w:color="auto"/>
              <w:right w:val="nil"/>
            </w:tcBorders>
            <w:hideMark/>
          </w:tcPr>
          <w:p w14:paraId="2086F63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63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63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63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63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63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63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638" w14:textId="77777777" w:rsidR="00802D3E" w:rsidRDefault="00802D3E">
            <w:pPr>
              <w:pStyle w:val="MeasureTableTextRightAligned"/>
            </w:pPr>
            <w:r>
              <w:t>2019-20</w:t>
            </w:r>
          </w:p>
        </w:tc>
      </w:tr>
      <w:tr w:rsidR="00802D3E" w14:paraId="2086F642" w14:textId="77777777" w:rsidTr="00802D3E">
        <w:trPr>
          <w:cantSplit/>
          <w:jc w:val="center"/>
        </w:trPr>
        <w:tc>
          <w:tcPr>
            <w:tcW w:w="967" w:type="dxa"/>
            <w:tcBorders>
              <w:top w:val="single" w:sz="2" w:space="0" w:color="auto"/>
              <w:left w:val="nil"/>
              <w:bottom w:val="single" w:sz="2" w:space="0" w:color="auto"/>
              <w:right w:val="nil"/>
            </w:tcBorders>
            <w:hideMark/>
          </w:tcPr>
          <w:p w14:paraId="2086F63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63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3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3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3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63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640"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641" w14:textId="77777777" w:rsidR="00802D3E" w:rsidRDefault="00802D3E">
            <w:pPr>
              <w:pStyle w:val="MeasureTableTextRightAligned"/>
            </w:pPr>
            <w:r>
              <w:t>..</w:t>
            </w:r>
          </w:p>
        </w:tc>
      </w:tr>
      <w:tr w:rsidR="00802D3E" w14:paraId="2086F647" w14:textId="77777777" w:rsidTr="00802D3E">
        <w:trPr>
          <w:cantSplit/>
          <w:jc w:val="center"/>
        </w:trPr>
        <w:tc>
          <w:tcPr>
            <w:tcW w:w="1934" w:type="dxa"/>
            <w:gridSpan w:val="2"/>
            <w:tcBorders>
              <w:top w:val="single" w:sz="2" w:space="0" w:color="auto"/>
              <w:left w:val="nil"/>
              <w:bottom w:val="nil"/>
              <w:right w:val="nil"/>
            </w:tcBorders>
            <w:hideMark/>
          </w:tcPr>
          <w:p w14:paraId="2086F64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644"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64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646" w14:textId="77777777" w:rsidR="00802D3E" w:rsidRDefault="00802D3E">
            <w:pPr>
              <w:pStyle w:val="MeasureTableTextLeftAligned"/>
            </w:pPr>
            <w:r>
              <w:t>B56</w:t>
            </w:r>
          </w:p>
        </w:tc>
      </w:tr>
      <w:tr w:rsidR="00802D3E" w14:paraId="2086F64C" w14:textId="77777777" w:rsidTr="00802D3E">
        <w:trPr>
          <w:cantSplit/>
          <w:jc w:val="center"/>
        </w:trPr>
        <w:tc>
          <w:tcPr>
            <w:tcW w:w="1934" w:type="dxa"/>
            <w:gridSpan w:val="2"/>
            <w:tcBorders>
              <w:top w:val="nil"/>
              <w:left w:val="nil"/>
              <w:bottom w:val="nil"/>
              <w:right w:val="nil"/>
            </w:tcBorders>
            <w:hideMark/>
          </w:tcPr>
          <w:p w14:paraId="2086F64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649"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64A" w14:textId="77777777" w:rsidR="00802D3E" w:rsidRDefault="00802D3E">
            <w:pPr>
              <w:pStyle w:val="MeasureTableTextItalic"/>
            </w:pPr>
          </w:p>
        </w:tc>
        <w:tc>
          <w:tcPr>
            <w:tcW w:w="1124" w:type="dxa"/>
            <w:gridSpan w:val="2"/>
            <w:tcBorders>
              <w:top w:val="nil"/>
              <w:left w:val="nil"/>
              <w:bottom w:val="nil"/>
              <w:right w:val="nil"/>
            </w:tcBorders>
          </w:tcPr>
          <w:p w14:paraId="2086F64B" w14:textId="77777777" w:rsidR="00802D3E" w:rsidRDefault="00802D3E">
            <w:pPr>
              <w:pStyle w:val="MeasureTableTextLeftAligned"/>
            </w:pPr>
          </w:p>
        </w:tc>
      </w:tr>
      <w:tr w:rsidR="00802D3E" w14:paraId="2086F651" w14:textId="77777777" w:rsidTr="00802D3E">
        <w:trPr>
          <w:cantSplit/>
          <w:jc w:val="center"/>
        </w:trPr>
        <w:tc>
          <w:tcPr>
            <w:tcW w:w="1934" w:type="dxa"/>
            <w:gridSpan w:val="2"/>
            <w:tcBorders>
              <w:top w:val="nil"/>
              <w:left w:val="nil"/>
              <w:bottom w:val="nil"/>
              <w:right w:val="nil"/>
            </w:tcBorders>
            <w:hideMark/>
          </w:tcPr>
          <w:p w14:paraId="2086F64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64E"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F64F"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650" w14:textId="77777777" w:rsidR="00802D3E" w:rsidRDefault="00802D3E">
            <w:pPr>
              <w:pStyle w:val="MeasureTableTextLeftAligned"/>
            </w:pPr>
          </w:p>
        </w:tc>
      </w:tr>
      <w:tr w:rsidR="00802D3E" w14:paraId="2086F654" w14:textId="77777777" w:rsidTr="00802D3E">
        <w:trPr>
          <w:cantSplit/>
          <w:jc w:val="center"/>
        </w:trPr>
        <w:tc>
          <w:tcPr>
            <w:tcW w:w="1934" w:type="dxa"/>
            <w:gridSpan w:val="2"/>
            <w:tcBorders>
              <w:top w:val="nil"/>
              <w:left w:val="nil"/>
              <w:bottom w:val="single" w:sz="2" w:space="0" w:color="auto"/>
              <w:right w:val="nil"/>
            </w:tcBorders>
            <w:hideMark/>
          </w:tcPr>
          <w:p w14:paraId="2086F65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653"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Sections 6H and 23G of the </w:t>
            </w:r>
            <w:r w:rsidRPr="00B029D6">
              <w:rPr>
                <w:rFonts w:ascii="Arial" w:hAnsi="Arial" w:cs="Arial"/>
                <w:i/>
                <w:iCs/>
                <w:color w:val="000000"/>
                <w:sz w:val="16"/>
                <w:szCs w:val="16"/>
              </w:rPr>
              <w:t>Income Tax Assessment Act 1936</w:t>
            </w:r>
            <w:r w:rsidRPr="00B029D6">
              <w:rPr>
                <w:rFonts w:ascii="Arial" w:hAnsi="Arial" w:cs="Arial"/>
                <w:i/>
                <w:iCs/>
                <w:color w:val="000000"/>
                <w:sz w:val="16"/>
                <w:szCs w:val="16"/>
              </w:rPr>
              <w:br/>
            </w:r>
            <w:r w:rsidRPr="00B029D6">
              <w:rPr>
                <w:rFonts w:ascii="Arial" w:hAnsi="Arial" w:cs="Arial"/>
                <w:sz w:val="16"/>
                <w:szCs w:val="16"/>
              </w:rPr>
              <w:t xml:space="preserve">Section 23(7) of the </w:t>
            </w:r>
            <w:r w:rsidRPr="00B029D6">
              <w:rPr>
                <w:rFonts w:ascii="Arial" w:hAnsi="Arial" w:cs="Arial"/>
                <w:i/>
                <w:iCs/>
                <w:color w:val="000000"/>
                <w:sz w:val="16"/>
                <w:szCs w:val="16"/>
              </w:rPr>
              <w:t>Income Tax Rates Act 1986</w:t>
            </w:r>
          </w:p>
        </w:tc>
      </w:tr>
    </w:tbl>
    <w:p w14:paraId="2086F655" w14:textId="77777777" w:rsidR="00802D3E" w:rsidRDefault="00802D3E" w:rsidP="00506822">
      <w:pPr>
        <w:pStyle w:val="SingleParagraph"/>
      </w:pPr>
    </w:p>
    <w:p w14:paraId="2086F656" w14:textId="77777777" w:rsidR="00802D3E" w:rsidRDefault="00802D3E" w:rsidP="00802D3E">
      <w:r>
        <w:t xml:space="preserve">Recognised small credit unions </w:t>
      </w:r>
      <w:r>
        <w:fldChar w:fldCharType="begin"/>
      </w:r>
      <w:r>
        <w:instrText xml:space="preserve"> XE "Credit unions" </w:instrText>
      </w:r>
      <w:r>
        <w:fldChar w:fldCharType="end"/>
      </w:r>
      <w:r>
        <w:t xml:space="preserve">are exempt from tax on interest derived from loans to members. Recognised medium credit unions are subject to an effective tax rate based on a sliding scale according to their level of taxable income. </w:t>
      </w:r>
    </w:p>
    <w:p w14:paraId="2086F657" w14:textId="77777777" w:rsidR="00802D3E" w:rsidRDefault="00802D3E" w:rsidP="00802D3E">
      <w:pPr>
        <w:pStyle w:val="TESHeading5"/>
        <w:ind w:left="0" w:firstLine="0"/>
      </w:pPr>
      <w:r>
        <w:lastRenderedPageBreak/>
        <w:t>B56</w:t>
      </w:r>
      <w:r>
        <w:tab/>
        <w:t>Tax exemption for Venture Capital Limited Partnerships and Early Stage Venture Capital Limited Partnerships</w:t>
      </w:r>
    </w:p>
    <w:p w14:paraId="2086F658"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732"/>
        <w:gridCol w:w="235"/>
        <w:gridCol w:w="968"/>
      </w:tblGrid>
      <w:tr w:rsidR="00802D3E" w14:paraId="2086F661" w14:textId="77777777" w:rsidTr="00802D3E">
        <w:trPr>
          <w:cantSplit/>
          <w:jc w:val="center"/>
        </w:trPr>
        <w:tc>
          <w:tcPr>
            <w:tcW w:w="967" w:type="dxa"/>
            <w:tcBorders>
              <w:top w:val="single" w:sz="2" w:space="0" w:color="auto"/>
              <w:left w:val="nil"/>
              <w:bottom w:val="single" w:sz="2" w:space="0" w:color="auto"/>
              <w:right w:val="nil"/>
            </w:tcBorders>
            <w:hideMark/>
          </w:tcPr>
          <w:p w14:paraId="2086F65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65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65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65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65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65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65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660" w14:textId="77777777" w:rsidR="00802D3E" w:rsidRDefault="00802D3E">
            <w:pPr>
              <w:pStyle w:val="MeasureTableTextRightAligned"/>
            </w:pPr>
            <w:r>
              <w:t>2019-20</w:t>
            </w:r>
          </w:p>
        </w:tc>
      </w:tr>
      <w:tr w:rsidR="00802D3E" w14:paraId="2086F66A" w14:textId="77777777" w:rsidTr="00802D3E">
        <w:trPr>
          <w:cantSplit/>
          <w:jc w:val="center"/>
        </w:trPr>
        <w:tc>
          <w:tcPr>
            <w:tcW w:w="967" w:type="dxa"/>
            <w:tcBorders>
              <w:top w:val="single" w:sz="2" w:space="0" w:color="auto"/>
              <w:left w:val="nil"/>
              <w:bottom w:val="single" w:sz="2" w:space="0" w:color="auto"/>
              <w:right w:val="nil"/>
            </w:tcBorders>
            <w:hideMark/>
          </w:tcPr>
          <w:p w14:paraId="2086F66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66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6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6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6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66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668"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669" w14:textId="77777777" w:rsidR="00802D3E" w:rsidRDefault="00802D3E">
            <w:pPr>
              <w:pStyle w:val="MeasureTableTextRightAligned"/>
            </w:pPr>
            <w:r>
              <w:t>*</w:t>
            </w:r>
          </w:p>
        </w:tc>
      </w:tr>
      <w:tr w:rsidR="00802D3E" w14:paraId="2086F66F" w14:textId="77777777" w:rsidTr="004C6742">
        <w:trPr>
          <w:cantSplit/>
          <w:jc w:val="center"/>
        </w:trPr>
        <w:tc>
          <w:tcPr>
            <w:tcW w:w="1934" w:type="dxa"/>
            <w:gridSpan w:val="2"/>
            <w:tcBorders>
              <w:top w:val="single" w:sz="2" w:space="0" w:color="auto"/>
              <w:left w:val="nil"/>
              <w:bottom w:val="nil"/>
              <w:right w:val="nil"/>
            </w:tcBorders>
            <w:hideMark/>
          </w:tcPr>
          <w:p w14:paraId="2086F66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66C" w14:textId="77777777" w:rsidR="00802D3E" w:rsidRDefault="00802D3E">
            <w:pPr>
              <w:pStyle w:val="MeasureTableTextLeftAligned"/>
            </w:pPr>
            <w:r>
              <w:t>Exemption</w:t>
            </w:r>
          </w:p>
        </w:tc>
        <w:tc>
          <w:tcPr>
            <w:tcW w:w="1421" w:type="dxa"/>
            <w:gridSpan w:val="2"/>
            <w:tcBorders>
              <w:top w:val="single" w:sz="2" w:space="0" w:color="auto"/>
              <w:left w:val="nil"/>
              <w:bottom w:val="nil"/>
              <w:right w:val="nil"/>
            </w:tcBorders>
            <w:hideMark/>
          </w:tcPr>
          <w:p w14:paraId="2086F66D" w14:textId="77777777" w:rsidR="00802D3E" w:rsidRDefault="00802D3E">
            <w:pPr>
              <w:pStyle w:val="MeasureTableTextItalic"/>
            </w:pPr>
            <w:r>
              <w:t>2015 TES code:</w:t>
            </w:r>
          </w:p>
        </w:tc>
        <w:tc>
          <w:tcPr>
            <w:tcW w:w="1203" w:type="dxa"/>
            <w:gridSpan w:val="2"/>
            <w:tcBorders>
              <w:top w:val="single" w:sz="2" w:space="0" w:color="auto"/>
              <w:left w:val="nil"/>
              <w:bottom w:val="nil"/>
              <w:right w:val="nil"/>
            </w:tcBorders>
            <w:hideMark/>
          </w:tcPr>
          <w:p w14:paraId="2086F66E" w14:textId="77777777" w:rsidR="00802D3E" w:rsidRDefault="00802D3E">
            <w:pPr>
              <w:pStyle w:val="MeasureTableTextLeftAligned"/>
            </w:pPr>
            <w:r>
              <w:t>B55 and E31</w:t>
            </w:r>
          </w:p>
        </w:tc>
      </w:tr>
      <w:tr w:rsidR="00802D3E" w14:paraId="2086F674" w14:textId="77777777" w:rsidTr="004C6742">
        <w:trPr>
          <w:cantSplit/>
          <w:jc w:val="center"/>
        </w:trPr>
        <w:tc>
          <w:tcPr>
            <w:tcW w:w="1934" w:type="dxa"/>
            <w:gridSpan w:val="2"/>
            <w:tcBorders>
              <w:top w:val="nil"/>
              <w:left w:val="nil"/>
              <w:bottom w:val="nil"/>
              <w:right w:val="nil"/>
            </w:tcBorders>
            <w:hideMark/>
          </w:tcPr>
          <w:p w14:paraId="2086F67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671" w14:textId="77777777" w:rsidR="00802D3E" w:rsidRDefault="00802D3E">
            <w:pPr>
              <w:pStyle w:val="MeasureTableTextLeftAligned"/>
            </w:pPr>
            <w:r>
              <w:t>Not Applicable</w:t>
            </w:r>
          </w:p>
        </w:tc>
        <w:tc>
          <w:tcPr>
            <w:tcW w:w="1421" w:type="dxa"/>
            <w:gridSpan w:val="2"/>
            <w:tcBorders>
              <w:top w:val="nil"/>
              <w:left w:val="nil"/>
              <w:bottom w:val="nil"/>
              <w:right w:val="nil"/>
            </w:tcBorders>
            <w:hideMark/>
          </w:tcPr>
          <w:p w14:paraId="2086F672" w14:textId="77777777" w:rsidR="00802D3E" w:rsidRDefault="00802D3E">
            <w:pPr>
              <w:pStyle w:val="MeasureTableTextItalic"/>
            </w:pPr>
            <w:r>
              <w:t>* Category</w:t>
            </w:r>
          </w:p>
        </w:tc>
        <w:tc>
          <w:tcPr>
            <w:tcW w:w="1203" w:type="dxa"/>
            <w:gridSpan w:val="2"/>
            <w:tcBorders>
              <w:top w:val="nil"/>
              <w:left w:val="nil"/>
              <w:bottom w:val="nil"/>
              <w:right w:val="nil"/>
            </w:tcBorders>
            <w:hideMark/>
          </w:tcPr>
          <w:p w14:paraId="2086F673" w14:textId="77777777" w:rsidR="00802D3E" w:rsidRDefault="00802D3E">
            <w:pPr>
              <w:pStyle w:val="MeasureTableTextLeftAligned"/>
            </w:pPr>
            <w:r>
              <w:t>2+</w:t>
            </w:r>
          </w:p>
        </w:tc>
      </w:tr>
      <w:tr w:rsidR="00802D3E" w14:paraId="2086F679" w14:textId="77777777" w:rsidTr="004C6742">
        <w:trPr>
          <w:cantSplit/>
          <w:jc w:val="center"/>
        </w:trPr>
        <w:tc>
          <w:tcPr>
            <w:tcW w:w="1934" w:type="dxa"/>
            <w:gridSpan w:val="2"/>
            <w:tcBorders>
              <w:top w:val="nil"/>
              <w:left w:val="nil"/>
              <w:bottom w:val="nil"/>
              <w:right w:val="nil"/>
            </w:tcBorders>
            <w:hideMark/>
          </w:tcPr>
          <w:p w14:paraId="2086F67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676" w14:textId="77777777" w:rsidR="00802D3E" w:rsidRDefault="00802D3E">
            <w:pPr>
              <w:pStyle w:val="MeasureTableTextLeftAligned"/>
            </w:pPr>
            <w:r>
              <w:t>2002 and 2006</w:t>
            </w:r>
          </w:p>
        </w:tc>
        <w:tc>
          <w:tcPr>
            <w:tcW w:w="1421" w:type="dxa"/>
            <w:gridSpan w:val="2"/>
            <w:tcBorders>
              <w:top w:val="nil"/>
              <w:left w:val="nil"/>
              <w:bottom w:val="nil"/>
              <w:right w:val="nil"/>
            </w:tcBorders>
            <w:hideMark/>
          </w:tcPr>
          <w:p w14:paraId="2086F677" w14:textId="77777777" w:rsidR="00802D3E" w:rsidRDefault="00802D3E">
            <w:pPr>
              <w:pStyle w:val="MeasureTableTextItalic"/>
            </w:pPr>
            <w:r>
              <w:t>Expiry date:</w:t>
            </w:r>
          </w:p>
        </w:tc>
        <w:tc>
          <w:tcPr>
            <w:tcW w:w="1203" w:type="dxa"/>
            <w:gridSpan w:val="2"/>
            <w:tcBorders>
              <w:top w:val="nil"/>
              <w:left w:val="nil"/>
              <w:bottom w:val="nil"/>
              <w:right w:val="nil"/>
            </w:tcBorders>
          </w:tcPr>
          <w:p w14:paraId="2086F678" w14:textId="77777777" w:rsidR="00802D3E" w:rsidRDefault="00802D3E">
            <w:pPr>
              <w:pStyle w:val="MeasureTableTextLeftAligned"/>
            </w:pPr>
          </w:p>
        </w:tc>
      </w:tr>
      <w:tr w:rsidR="00802D3E" w14:paraId="2086F67D" w14:textId="77777777" w:rsidTr="00802D3E">
        <w:trPr>
          <w:cantSplit/>
          <w:jc w:val="center"/>
        </w:trPr>
        <w:tc>
          <w:tcPr>
            <w:tcW w:w="1934" w:type="dxa"/>
            <w:gridSpan w:val="2"/>
            <w:tcBorders>
              <w:top w:val="nil"/>
              <w:left w:val="nil"/>
              <w:bottom w:val="single" w:sz="2" w:space="0" w:color="auto"/>
              <w:right w:val="nil"/>
            </w:tcBorders>
            <w:hideMark/>
          </w:tcPr>
          <w:p w14:paraId="2086F67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67B" w14:textId="77777777" w:rsidR="00802D3E" w:rsidRDefault="00802D3E" w:rsidP="00B029D6">
            <w:pPr>
              <w:widowControl w:val="0"/>
              <w:autoSpaceDE w:val="0"/>
              <w:autoSpaceDN w:val="0"/>
              <w:adjustRightInd w:val="0"/>
              <w:spacing w:after="0" w:line="240" w:lineRule="auto"/>
              <w:jc w:val="left"/>
              <w:rPr>
                <w:rFonts w:ascii="Arial" w:hAnsi="Arial" w:cs="Arial"/>
                <w:color w:val="000000"/>
                <w:sz w:val="16"/>
                <w:szCs w:val="16"/>
              </w:rPr>
            </w:pPr>
            <w:r>
              <w:rPr>
                <w:rFonts w:ascii="Arial" w:hAnsi="Arial" w:cs="Arial"/>
                <w:i/>
                <w:iCs/>
                <w:color w:val="000000"/>
                <w:sz w:val="16"/>
                <w:szCs w:val="16"/>
              </w:rPr>
              <w:t>Venture Capital Act 2002</w:t>
            </w:r>
          </w:p>
          <w:p w14:paraId="2086F67C"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Sections 26-68 (ESVCLPs), 51-52 and 51-54 and Subdivisions 118-F and 118</w:t>
            </w:r>
            <w:r w:rsidR="00C073FD">
              <w:rPr>
                <w:rFonts w:ascii="Arial" w:hAnsi="Arial" w:cs="Arial"/>
                <w:color w:val="000000"/>
                <w:sz w:val="16"/>
                <w:szCs w:val="16"/>
              </w:rPr>
              <w:noBreakHyphen/>
            </w:r>
            <w:r>
              <w:rPr>
                <w:rFonts w:ascii="Arial" w:hAnsi="Arial" w:cs="Arial"/>
                <w:color w:val="000000"/>
                <w:sz w:val="16"/>
                <w:szCs w:val="16"/>
              </w:rPr>
              <w:t xml:space="preserve">G (ESVCLPs and VCLPs) of the </w:t>
            </w:r>
            <w:r>
              <w:rPr>
                <w:rFonts w:ascii="Arial" w:hAnsi="Arial" w:cs="Arial"/>
                <w:i/>
                <w:iCs/>
                <w:color w:val="000000"/>
                <w:sz w:val="16"/>
                <w:szCs w:val="16"/>
              </w:rPr>
              <w:t>Income Tax Assessment Act 1997</w:t>
            </w:r>
          </w:p>
        </w:tc>
      </w:tr>
    </w:tbl>
    <w:p w14:paraId="2086F67E" w14:textId="77777777" w:rsidR="00802D3E" w:rsidRDefault="00802D3E" w:rsidP="00506822">
      <w:pPr>
        <w:pStyle w:val="SingleParagraph"/>
      </w:pPr>
    </w:p>
    <w:p w14:paraId="2086F67F" w14:textId="3F680359" w:rsidR="00802D3E" w:rsidRDefault="00802D3E" w:rsidP="00802D3E">
      <w:r>
        <w:t>Eligible investors are exempt from tax on gains derived in respect of their investments in Venture Capital Limited Partnerships</w:t>
      </w:r>
      <w:r>
        <w:fldChar w:fldCharType="begin"/>
      </w:r>
      <w:r>
        <w:instrText xml:space="preserve"> XE "Venture capital limited partnership" </w:instrText>
      </w:r>
      <w:r>
        <w:fldChar w:fldCharType="end"/>
      </w:r>
      <w:r>
        <w:t xml:space="preserve"> and Early Stage Venture Capital Limited Partnerships.</w:t>
      </w:r>
      <w:r>
        <w:fldChar w:fldCharType="begin"/>
      </w:r>
      <w:r>
        <w:instrText xml:space="preserve"> XE "Early stage venture capital limited partnership" </w:instrText>
      </w:r>
      <w:r>
        <w:fldChar w:fldCharType="end"/>
      </w:r>
      <w:r>
        <w:t xml:space="preserve"> </w:t>
      </w:r>
    </w:p>
    <w:p w14:paraId="2086F680" w14:textId="77777777" w:rsidR="00802D3E" w:rsidRDefault="00802D3E" w:rsidP="00802D3E">
      <w:pPr>
        <w:pStyle w:val="TESHeading5"/>
        <w:ind w:left="0" w:firstLine="0"/>
      </w:pPr>
      <w:r>
        <w:t>B57</w:t>
      </w:r>
      <w:r>
        <w:tab/>
        <w:t>Tax incentive for Standard Business Reporting software</w:t>
      </w:r>
    </w:p>
    <w:p w14:paraId="2086F681"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68A" w14:textId="77777777" w:rsidTr="00802D3E">
        <w:trPr>
          <w:cantSplit/>
          <w:jc w:val="center"/>
        </w:trPr>
        <w:tc>
          <w:tcPr>
            <w:tcW w:w="967" w:type="dxa"/>
            <w:tcBorders>
              <w:top w:val="single" w:sz="2" w:space="0" w:color="auto"/>
              <w:left w:val="nil"/>
              <w:bottom w:val="single" w:sz="2" w:space="0" w:color="auto"/>
              <w:right w:val="nil"/>
            </w:tcBorders>
            <w:hideMark/>
          </w:tcPr>
          <w:p w14:paraId="2086F68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68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68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68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68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68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68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689" w14:textId="77777777" w:rsidR="00802D3E" w:rsidRDefault="00802D3E">
            <w:pPr>
              <w:pStyle w:val="MeasureTableTextRightAligned"/>
            </w:pPr>
            <w:r>
              <w:t>2019-20</w:t>
            </w:r>
          </w:p>
        </w:tc>
      </w:tr>
      <w:tr w:rsidR="00802D3E" w14:paraId="2086F693" w14:textId="77777777" w:rsidTr="00802D3E">
        <w:trPr>
          <w:cantSplit/>
          <w:jc w:val="center"/>
        </w:trPr>
        <w:tc>
          <w:tcPr>
            <w:tcW w:w="967" w:type="dxa"/>
            <w:tcBorders>
              <w:top w:val="single" w:sz="2" w:space="0" w:color="auto"/>
              <w:left w:val="nil"/>
              <w:bottom w:val="single" w:sz="2" w:space="0" w:color="auto"/>
              <w:right w:val="nil"/>
            </w:tcBorders>
            <w:hideMark/>
          </w:tcPr>
          <w:p w14:paraId="2086F68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68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8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8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8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69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691" w14:textId="77777777" w:rsidR="00802D3E" w:rsidRDefault="00802D3E">
            <w:pPr>
              <w:pStyle w:val="MeasureTableTextRightAligned"/>
            </w:pPr>
            <w:r>
              <w:t>35</w:t>
            </w:r>
          </w:p>
        </w:tc>
        <w:tc>
          <w:tcPr>
            <w:tcW w:w="968" w:type="dxa"/>
            <w:tcBorders>
              <w:top w:val="single" w:sz="2" w:space="0" w:color="auto"/>
              <w:left w:val="nil"/>
              <w:bottom w:val="single" w:sz="2" w:space="0" w:color="auto"/>
              <w:right w:val="nil"/>
            </w:tcBorders>
            <w:vAlign w:val="bottom"/>
            <w:hideMark/>
          </w:tcPr>
          <w:p w14:paraId="2086F692" w14:textId="77777777" w:rsidR="00802D3E" w:rsidRDefault="00802D3E">
            <w:pPr>
              <w:pStyle w:val="MeasureTableTextRightAligned"/>
            </w:pPr>
            <w:r>
              <w:t>-</w:t>
            </w:r>
          </w:p>
        </w:tc>
      </w:tr>
      <w:tr w:rsidR="00802D3E" w14:paraId="2086F698" w14:textId="77777777" w:rsidTr="00802D3E">
        <w:trPr>
          <w:cantSplit/>
          <w:jc w:val="center"/>
        </w:trPr>
        <w:tc>
          <w:tcPr>
            <w:tcW w:w="1934" w:type="dxa"/>
            <w:gridSpan w:val="2"/>
            <w:tcBorders>
              <w:top w:val="single" w:sz="2" w:space="0" w:color="auto"/>
              <w:left w:val="nil"/>
              <w:bottom w:val="nil"/>
              <w:right w:val="nil"/>
            </w:tcBorders>
            <w:hideMark/>
          </w:tcPr>
          <w:p w14:paraId="2086F69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695"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F69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697" w14:textId="77777777" w:rsidR="00802D3E" w:rsidRDefault="00802D3E">
            <w:pPr>
              <w:pStyle w:val="MeasureTableTextLeftAligned"/>
            </w:pPr>
            <w:r>
              <w:t>B57</w:t>
            </w:r>
          </w:p>
        </w:tc>
      </w:tr>
      <w:tr w:rsidR="00802D3E" w14:paraId="2086F69D" w14:textId="77777777" w:rsidTr="00802D3E">
        <w:trPr>
          <w:cantSplit/>
          <w:jc w:val="center"/>
        </w:trPr>
        <w:tc>
          <w:tcPr>
            <w:tcW w:w="1934" w:type="dxa"/>
            <w:gridSpan w:val="2"/>
            <w:tcBorders>
              <w:top w:val="nil"/>
              <w:left w:val="nil"/>
              <w:bottom w:val="nil"/>
              <w:right w:val="nil"/>
            </w:tcBorders>
            <w:hideMark/>
          </w:tcPr>
          <w:p w14:paraId="2086F69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69A" w14:textId="77777777" w:rsidR="00802D3E" w:rsidRDefault="00802D3E">
            <w:pPr>
              <w:pStyle w:val="MeasureTableTextLeftAligned"/>
            </w:pPr>
            <w:r>
              <w:t>Very Low</w:t>
            </w:r>
          </w:p>
        </w:tc>
        <w:tc>
          <w:tcPr>
            <w:tcW w:w="1500" w:type="dxa"/>
            <w:gridSpan w:val="2"/>
            <w:tcBorders>
              <w:top w:val="nil"/>
              <w:left w:val="nil"/>
              <w:bottom w:val="nil"/>
              <w:right w:val="nil"/>
            </w:tcBorders>
          </w:tcPr>
          <w:p w14:paraId="2086F69B" w14:textId="77777777" w:rsidR="00802D3E" w:rsidRDefault="00802D3E">
            <w:pPr>
              <w:pStyle w:val="MeasureTableTextItalic"/>
            </w:pPr>
          </w:p>
        </w:tc>
        <w:tc>
          <w:tcPr>
            <w:tcW w:w="1124" w:type="dxa"/>
            <w:gridSpan w:val="2"/>
            <w:tcBorders>
              <w:top w:val="nil"/>
              <w:left w:val="nil"/>
              <w:bottom w:val="nil"/>
              <w:right w:val="nil"/>
            </w:tcBorders>
          </w:tcPr>
          <w:p w14:paraId="2086F69C" w14:textId="77777777" w:rsidR="00802D3E" w:rsidRDefault="00802D3E">
            <w:pPr>
              <w:pStyle w:val="MeasureTableTextLeftAligned"/>
            </w:pPr>
          </w:p>
        </w:tc>
      </w:tr>
      <w:tr w:rsidR="00802D3E" w14:paraId="2086F6A2" w14:textId="77777777" w:rsidTr="00802D3E">
        <w:trPr>
          <w:cantSplit/>
          <w:jc w:val="center"/>
        </w:trPr>
        <w:tc>
          <w:tcPr>
            <w:tcW w:w="1934" w:type="dxa"/>
            <w:gridSpan w:val="2"/>
            <w:tcBorders>
              <w:top w:val="nil"/>
              <w:left w:val="nil"/>
              <w:bottom w:val="nil"/>
              <w:right w:val="nil"/>
            </w:tcBorders>
            <w:hideMark/>
          </w:tcPr>
          <w:p w14:paraId="2086F69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69F" w14:textId="77777777" w:rsidR="00802D3E" w:rsidRDefault="00802D3E">
            <w:pPr>
              <w:pStyle w:val="MeasureTableTextLeftAligned"/>
            </w:pPr>
            <w:r>
              <w:t>1 July 2017</w:t>
            </w:r>
          </w:p>
        </w:tc>
        <w:tc>
          <w:tcPr>
            <w:tcW w:w="1500" w:type="dxa"/>
            <w:gridSpan w:val="2"/>
            <w:tcBorders>
              <w:top w:val="nil"/>
              <w:left w:val="nil"/>
              <w:bottom w:val="nil"/>
              <w:right w:val="nil"/>
            </w:tcBorders>
            <w:hideMark/>
          </w:tcPr>
          <w:p w14:paraId="2086F6A0" w14:textId="77777777" w:rsidR="00802D3E" w:rsidRDefault="00802D3E">
            <w:pPr>
              <w:pStyle w:val="MeasureTableTextItalic"/>
            </w:pPr>
            <w:r>
              <w:t>Expiry date:</w:t>
            </w:r>
          </w:p>
        </w:tc>
        <w:tc>
          <w:tcPr>
            <w:tcW w:w="1124" w:type="dxa"/>
            <w:gridSpan w:val="2"/>
            <w:tcBorders>
              <w:top w:val="nil"/>
              <w:left w:val="nil"/>
              <w:bottom w:val="nil"/>
              <w:right w:val="nil"/>
            </w:tcBorders>
            <w:hideMark/>
          </w:tcPr>
          <w:p w14:paraId="2086F6A1" w14:textId="77777777" w:rsidR="00802D3E" w:rsidRDefault="00802D3E">
            <w:pPr>
              <w:pStyle w:val="MeasureTableTextLeftAligned"/>
            </w:pPr>
            <w:r>
              <w:t>2018</w:t>
            </w:r>
          </w:p>
        </w:tc>
      </w:tr>
      <w:tr w:rsidR="00802D3E" w14:paraId="2086F6A5" w14:textId="77777777" w:rsidTr="00802D3E">
        <w:trPr>
          <w:cantSplit/>
          <w:jc w:val="center"/>
        </w:trPr>
        <w:tc>
          <w:tcPr>
            <w:tcW w:w="1934" w:type="dxa"/>
            <w:gridSpan w:val="2"/>
            <w:tcBorders>
              <w:top w:val="nil"/>
              <w:left w:val="nil"/>
              <w:bottom w:val="single" w:sz="2" w:space="0" w:color="auto"/>
              <w:right w:val="nil"/>
            </w:tcBorders>
            <w:hideMark/>
          </w:tcPr>
          <w:p w14:paraId="2086F6A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6A4"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Not yet legislated</w:t>
            </w:r>
          </w:p>
        </w:tc>
      </w:tr>
    </w:tbl>
    <w:p w14:paraId="2086F6A6" w14:textId="77777777" w:rsidR="00802D3E" w:rsidRDefault="00802D3E" w:rsidP="00506822">
      <w:pPr>
        <w:pStyle w:val="SingleParagraph"/>
      </w:pPr>
    </w:p>
    <w:p w14:paraId="2086F6A7" w14:textId="77777777" w:rsidR="00802D3E" w:rsidRDefault="00802D3E" w:rsidP="00802D3E">
      <w:pPr>
        <w:rPr>
          <w:lang w:val="en"/>
        </w:rPr>
      </w:pPr>
      <w:r>
        <w:rPr>
          <w:lang w:val="en"/>
        </w:rPr>
        <w:t>Small business</w:t>
      </w:r>
      <w:r>
        <w:rPr>
          <w:lang w:val="en"/>
        </w:rPr>
        <w:fldChar w:fldCharType="begin"/>
      </w:r>
      <w:r>
        <w:instrText xml:space="preserve"> XE "Small business" </w:instrText>
      </w:r>
      <w:r>
        <w:rPr>
          <w:lang w:val="en"/>
        </w:rPr>
        <w:fldChar w:fldCharType="end"/>
      </w:r>
      <w:r>
        <w:rPr>
          <w:lang w:val="en"/>
        </w:rPr>
        <w:t xml:space="preserve"> with an aggregated annual turnover of less than $10 million will be provided with a $100 non</w:t>
      </w:r>
      <w:r>
        <w:rPr>
          <w:lang w:val="en"/>
        </w:rPr>
        <w:noBreakHyphen/>
        <w:t>refundable tax offset for expenditure on Standard Business Reporting (SBR) enabled software. SBR software allows prefilling of business and accounting data into government reports and submission of the reports directly and securely to the government.</w:t>
      </w:r>
    </w:p>
    <w:p w14:paraId="2086F6A8" w14:textId="77777777" w:rsidR="00802D3E" w:rsidRDefault="00802D3E" w:rsidP="00802D3E">
      <w:r>
        <w:rPr>
          <w:lang w:val="en"/>
        </w:rPr>
        <w:t>This offset will apply from 1 July 2017, and will be available for software purchases or subscriptions made in the 2017</w:t>
      </w:r>
      <w:r>
        <w:rPr>
          <w:lang w:val="en"/>
        </w:rPr>
        <w:noBreakHyphen/>
        <w:t xml:space="preserve">18 financial year only. </w:t>
      </w:r>
    </w:p>
    <w:p w14:paraId="2086F6A9" w14:textId="77777777" w:rsidR="00802D3E" w:rsidRDefault="00802D3E" w:rsidP="00802D3E">
      <w:pPr>
        <w:pStyle w:val="TESHeading5"/>
        <w:ind w:left="0" w:firstLine="0"/>
      </w:pPr>
      <w:r>
        <w:t>B58</w:t>
      </w:r>
      <w:r>
        <w:tab/>
        <w:t>Tax incentives for early stage investors</w:t>
      </w:r>
    </w:p>
    <w:p w14:paraId="2086F6AA"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6B3" w14:textId="77777777" w:rsidTr="00802D3E">
        <w:trPr>
          <w:cantSplit/>
          <w:jc w:val="center"/>
        </w:trPr>
        <w:tc>
          <w:tcPr>
            <w:tcW w:w="967" w:type="dxa"/>
            <w:tcBorders>
              <w:top w:val="single" w:sz="2" w:space="0" w:color="auto"/>
              <w:left w:val="nil"/>
              <w:bottom w:val="single" w:sz="2" w:space="0" w:color="auto"/>
              <w:right w:val="nil"/>
            </w:tcBorders>
            <w:hideMark/>
          </w:tcPr>
          <w:p w14:paraId="2086F6AB"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6AC"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6AD"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6AE"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6AF"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6B0"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6B1"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6B2" w14:textId="77777777" w:rsidR="00802D3E" w:rsidRDefault="00802D3E">
            <w:pPr>
              <w:pStyle w:val="MeasureTableTextRightAligned"/>
            </w:pPr>
            <w:r>
              <w:t>2019-20</w:t>
            </w:r>
          </w:p>
        </w:tc>
      </w:tr>
      <w:tr w:rsidR="00802D3E" w14:paraId="2086F6BC" w14:textId="77777777" w:rsidTr="00802D3E">
        <w:trPr>
          <w:cantSplit/>
          <w:jc w:val="center"/>
        </w:trPr>
        <w:tc>
          <w:tcPr>
            <w:tcW w:w="967" w:type="dxa"/>
            <w:tcBorders>
              <w:top w:val="single" w:sz="2" w:space="0" w:color="auto"/>
              <w:left w:val="nil"/>
              <w:bottom w:val="single" w:sz="2" w:space="0" w:color="auto"/>
              <w:right w:val="nil"/>
            </w:tcBorders>
            <w:hideMark/>
          </w:tcPr>
          <w:p w14:paraId="2086F6B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6B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B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B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B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6B9" w14:textId="77777777" w:rsidR="00802D3E" w:rsidRDefault="00802D3E">
            <w:pPr>
              <w:pStyle w:val="MeasureTableTextRightAligned"/>
            </w:pPr>
            <w:r>
              <w:t>65</w:t>
            </w:r>
          </w:p>
        </w:tc>
        <w:tc>
          <w:tcPr>
            <w:tcW w:w="967" w:type="dxa"/>
            <w:gridSpan w:val="2"/>
            <w:tcBorders>
              <w:top w:val="single" w:sz="2" w:space="0" w:color="auto"/>
              <w:left w:val="nil"/>
              <w:bottom w:val="single" w:sz="2" w:space="0" w:color="auto"/>
              <w:right w:val="nil"/>
            </w:tcBorders>
            <w:vAlign w:val="bottom"/>
            <w:hideMark/>
          </w:tcPr>
          <w:p w14:paraId="2086F6BA" w14:textId="77777777" w:rsidR="00802D3E" w:rsidRDefault="00802D3E">
            <w:pPr>
              <w:pStyle w:val="MeasureTableTextRightAligned"/>
            </w:pPr>
            <w:r>
              <w:t>65</w:t>
            </w:r>
          </w:p>
        </w:tc>
        <w:tc>
          <w:tcPr>
            <w:tcW w:w="968" w:type="dxa"/>
            <w:tcBorders>
              <w:top w:val="single" w:sz="2" w:space="0" w:color="auto"/>
              <w:left w:val="nil"/>
              <w:bottom w:val="single" w:sz="2" w:space="0" w:color="auto"/>
              <w:right w:val="nil"/>
            </w:tcBorders>
            <w:vAlign w:val="bottom"/>
            <w:hideMark/>
          </w:tcPr>
          <w:p w14:paraId="2086F6BB" w14:textId="77777777" w:rsidR="00802D3E" w:rsidRDefault="00802D3E">
            <w:pPr>
              <w:pStyle w:val="MeasureTableTextRightAligned"/>
            </w:pPr>
            <w:r>
              <w:t>65</w:t>
            </w:r>
          </w:p>
        </w:tc>
      </w:tr>
      <w:tr w:rsidR="00802D3E" w14:paraId="2086F6C1" w14:textId="77777777" w:rsidTr="00802D3E">
        <w:trPr>
          <w:cantSplit/>
          <w:jc w:val="center"/>
        </w:trPr>
        <w:tc>
          <w:tcPr>
            <w:tcW w:w="1934" w:type="dxa"/>
            <w:gridSpan w:val="2"/>
            <w:tcBorders>
              <w:top w:val="single" w:sz="2" w:space="0" w:color="auto"/>
              <w:left w:val="nil"/>
              <w:bottom w:val="nil"/>
              <w:right w:val="nil"/>
            </w:tcBorders>
            <w:hideMark/>
          </w:tcPr>
          <w:p w14:paraId="2086F6BD"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6BE"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6BF"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6C0" w14:textId="77777777" w:rsidR="00802D3E" w:rsidRDefault="00802D3E">
            <w:pPr>
              <w:pStyle w:val="MeasureTableTextLeftAligned"/>
            </w:pPr>
            <w:r>
              <w:t>B58</w:t>
            </w:r>
          </w:p>
        </w:tc>
      </w:tr>
      <w:tr w:rsidR="00802D3E" w14:paraId="2086F6C6" w14:textId="77777777" w:rsidTr="00802D3E">
        <w:trPr>
          <w:cantSplit/>
          <w:jc w:val="center"/>
        </w:trPr>
        <w:tc>
          <w:tcPr>
            <w:tcW w:w="1934" w:type="dxa"/>
            <w:gridSpan w:val="2"/>
            <w:tcBorders>
              <w:top w:val="nil"/>
              <w:left w:val="nil"/>
              <w:bottom w:val="nil"/>
              <w:right w:val="nil"/>
            </w:tcBorders>
            <w:hideMark/>
          </w:tcPr>
          <w:p w14:paraId="2086F6C2"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6C3" w14:textId="77777777" w:rsidR="00802D3E" w:rsidRDefault="00802D3E">
            <w:pPr>
              <w:pStyle w:val="MeasureTableTextLeftAligned"/>
            </w:pPr>
            <w:r>
              <w:t>Low</w:t>
            </w:r>
          </w:p>
        </w:tc>
        <w:tc>
          <w:tcPr>
            <w:tcW w:w="1500" w:type="dxa"/>
            <w:gridSpan w:val="2"/>
            <w:tcBorders>
              <w:top w:val="nil"/>
              <w:left w:val="nil"/>
              <w:bottom w:val="nil"/>
              <w:right w:val="nil"/>
            </w:tcBorders>
          </w:tcPr>
          <w:p w14:paraId="2086F6C4" w14:textId="77777777" w:rsidR="00802D3E" w:rsidRDefault="00802D3E">
            <w:pPr>
              <w:pStyle w:val="MeasureTableTextItalic"/>
            </w:pPr>
          </w:p>
        </w:tc>
        <w:tc>
          <w:tcPr>
            <w:tcW w:w="1124" w:type="dxa"/>
            <w:gridSpan w:val="2"/>
            <w:tcBorders>
              <w:top w:val="nil"/>
              <w:left w:val="nil"/>
              <w:bottom w:val="nil"/>
              <w:right w:val="nil"/>
            </w:tcBorders>
          </w:tcPr>
          <w:p w14:paraId="2086F6C5" w14:textId="77777777" w:rsidR="00802D3E" w:rsidRDefault="00802D3E">
            <w:pPr>
              <w:pStyle w:val="MeasureTableTextLeftAligned"/>
            </w:pPr>
          </w:p>
        </w:tc>
      </w:tr>
      <w:tr w:rsidR="00802D3E" w14:paraId="2086F6CB" w14:textId="77777777" w:rsidTr="00802D3E">
        <w:trPr>
          <w:cantSplit/>
          <w:jc w:val="center"/>
        </w:trPr>
        <w:tc>
          <w:tcPr>
            <w:tcW w:w="1934" w:type="dxa"/>
            <w:gridSpan w:val="2"/>
            <w:tcBorders>
              <w:top w:val="nil"/>
              <w:left w:val="nil"/>
              <w:bottom w:val="nil"/>
              <w:right w:val="nil"/>
            </w:tcBorders>
            <w:hideMark/>
          </w:tcPr>
          <w:p w14:paraId="2086F6C7"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6C8" w14:textId="77777777" w:rsidR="00802D3E" w:rsidRDefault="00802D3E">
            <w:pPr>
              <w:pStyle w:val="MeasureTableTextLeftAligned"/>
            </w:pPr>
            <w:r>
              <w:t>2016</w:t>
            </w:r>
          </w:p>
        </w:tc>
        <w:tc>
          <w:tcPr>
            <w:tcW w:w="1500" w:type="dxa"/>
            <w:gridSpan w:val="2"/>
            <w:tcBorders>
              <w:top w:val="nil"/>
              <w:left w:val="nil"/>
              <w:bottom w:val="nil"/>
              <w:right w:val="nil"/>
            </w:tcBorders>
            <w:hideMark/>
          </w:tcPr>
          <w:p w14:paraId="2086F6C9"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6CA" w14:textId="77777777" w:rsidR="00802D3E" w:rsidRDefault="00802D3E">
            <w:pPr>
              <w:pStyle w:val="MeasureTableTextLeftAligned"/>
            </w:pPr>
          </w:p>
        </w:tc>
      </w:tr>
      <w:tr w:rsidR="00802D3E" w14:paraId="2086F6CE" w14:textId="77777777" w:rsidTr="00802D3E">
        <w:trPr>
          <w:cantSplit/>
          <w:jc w:val="center"/>
        </w:trPr>
        <w:tc>
          <w:tcPr>
            <w:tcW w:w="1934" w:type="dxa"/>
            <w:gridSpan w:val="2"/>
            <w:tcBorders>
              <w:top w:val="nil"/>
              <w:left w:val="nil"/>
              <w:bottom w:val="single" w:sz="2" w:space="0" w:color="auto"/>
              <w:right w:val="nil"/>
            </w:tcBorders>
            <w:hideMark/>
          </w:tcPr>
          <w:p w14:paraId="2086F6C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6CD"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Division 360 of the </w:t>
            </w:r>
            <w:r>
              <w:rPr>
                <w:rFonts w:ascii="Arial" w:hAnsi="Arial" w:cs="Arial"/>
                <w:i/>
                <w:iCs/>
                <w:color w:val="000000"/>
                <w:sz w:val="16"/>
                <w:szCs w:val="16"/>
              </w:rPr>
              <w:t>Income Tax Assessment Act 1997</w:t>
            </w:r>
          </w:p>
        </w:tc>
      </w:tr>
    </w:tbl>
    <w:p w14:paraId="2086F6CF" w14:textId="77777777" w:rsidR="00802D3E" w:rsidRDefault="00802D3E" w:rsidP="00506822">
      <w:pPr>
        <w:pStyle w:val="SingleParagraph"/>
      </w:pPr>
    </w:p>
    <w:p w14:paraId="7FCB651E" w14:textId="77777777" w:rsidR="00B210CF" w:rsidRDefault="00B210CF">
      <w:pPr>
        <w:spacing w:after="0" w:line="240" w:lineRule="auto"/>
        <w:jc w:val="left"/>
        <w:rPr>
          <w:lang w:val="en"/>
        </w:rPr>
      </w:pPr>
      <w:r>
        <w:rPr>
          <w:lang w:val="en"/>
        </w:rPr>
        <w:br w:type="page"/>
      </w:r>
    </w:p>
    <w:p w14:paraId="2086F6D0" w14:textId="18B556B0" w:rsidR="00802D3E" w:rsidRDefault="00802D3E" w:rsidP="00802D3E">
      <w:pPr>
        <w:pStyle w:val="Bullet"/>
        <w:numPr>
          <w:ilvl w:val="0"/>
          <w:numId w:val="0"/>
        </w:numPr>
        <w:tabs>
          <w:tab w:val="left" w:pos="720"/>
        </w:tabs>
        <w:rPr>
          <w:lang w:val="en"/>
        </w:rPr>
      </w:pPr>
      <w:r>
        <w:rPr>
          <w:lang w:val="en"/>
        </w:rPr>
        <w:lastRenderedPageBreak/>
        <w:t>Investments in small, early</w:t>
      </w:r>
      <w:r>
        <w:rPr>
          <w:lang w:val="en"/>
        </w:rPr>
        <w:noBreakHyphen/>
        <w:t>stage Australian companies will receive concessional tax treatment.</w:t>
      </w:r>
      <w:r>
        <w:rPr>
          <w:lang w:val="en"/>
        </w:rPr>
        <w:fldChar w:fldCharType="begin"/>
      </w:r>
      <w:r>
        <w:instrText xml:space="preserve"> XE "Early-stage investments" </w:instrText>
      </w:r>
      <w:r>
        <w:rPr>
          <w:lang w:val="en"/>
        </w:rPr>
        <w:fldChar w:fldCharType="end"/>
      </w:r>
      <w:r>
        <w:rPr>
          <w:lang w:val="en"/>
        </w:rPr>
        <w:t xml:space="preserve"> The tax incentive will provide investors with: </w:t>
      </w:r>
    </w:p>
    <w:p w14:paraId="2086F6D1" w14:textId="14554633" w:rsidR="00802D3E" w:rsidRDefault="00802D3E" w:rsidP="00802D3E">
      <w:pPr>
        <w:pStyle w:val="Bullet"/>
        <w:numPr>
          <w:ilvl w:val="0"/>
          <w:numId w:val="9"/>
        </w:numPr>
        <w:rPr>
          <w:lang w:val="en"/>
        </w:rPr>
      </w:pPr>
      <w:r>
        <w:rPr>
          <w:lang w:val="en"/>
        </w:rPr>
        <w:t>a 20 per cent non</w:t>
      </w:r>
      <w:r>
        <w:rPr>
          <w:lang w:val="en"/>
        </w:rPr>
        <w:noBreakHyphen/>
        <w:t>refundable tax offset based on the investment amount, capped at a total offset amount of $200,000 per investor; and</w:t>
      </w:r>
    </w:p>
    <w:p w14:paraId="2086F6D2" w14:textId="77777777" w:rsidR="00802D3E" w:rsidRDefault="00802D3E" w:rsidP="00802D3E">
      <w:pPr>
        <w:pStyle w:val="Bullet"/>
        <w:numPr>
          <w:ilvl w:val="0"/>
          <w:numId w:val="9"/>
        </w:numPr>
      </w:pPr>
      <w:r>
        <w:rPr>
          <w:lang w:val="en"/>
        </w:rPr>
        <w:t xml:space="preserve">a ten year exemption from capital gains tax on the investment provided a minimum twelve month holding period has been met. </w:t>
      </w:r>
    </w:p>
    <w:p w14:paraId="2086F6D3" w14:textId="77777777" w:rsidR="00802D3E" w:rsidRDefault="00802D3E" w:rsidP="00802D3E">
      <w:pPr>
        <w:pStyle w:val="TESHeading5"/>
        <w:ind w:left="0" w:firstLine="0"/>
      </w:pPr>
      <w:r>
        <w:t>B59</w:t>
      </w:r>
      <w:r>
        <w:tab/>
        <w:t>Treatment of distributions on certain term subordinated notes</w:t>
      </w:r>
    </w:p>
    <w:p w14:paraId="2086F6D4"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6DD" w14:textId="77777777" w:rsidTr="00802D3E">
        <w:trPr>
          <w:cantSplit/>
          <w:jc w:val="center"/>
        </w:trPr>
        <w:tc>
          <w:tcPr>
            <w:tcW w:w="967" w:type="dxa"/>
            <w:tcBorders>
              <w:top w:val="single" w:sz="2" w:space="0" w:color="auto"/>
              <w:left w:val="nil"/>
              <w:bottom w:val="single" w:sz="2" w:space="0" w:color="auto"/>
              <w:right w:val="nil"/>
            </w:tcBorders>
            <w:hideMark/>
          </w:tcPr>
          <w:p w14:paraId="2086F6D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6D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6D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6D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6D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6D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6D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6DC" w14:textId="77777777" w:rsidR="00802D3E" w:rsidRDefault="00802D3E">
            <w:pPr>
              <w:pStyle w:val="MeasureTableTextRightAligned"/>
            </w:pPr>
            <w:r>
              <w:t>2019-20</w:t>
            </w:r>
          </w:p>
        </w:tc>
      </w:tr>
      <w:tr w:rsidR="00802D3E" w14:paraId="2086F6E6" w14:textId="77777777" w:rsidTr="00802D3E">
        <w:trPr>
          <w:cantSplit/>
          <w:jc w:val="center"/>
        </w:trPr>
        <w:tc>
          <w:tcPr>
            <w:tcW w:w="967" w:type="dxa"/>
            <w:tcBorders>
              <w:top w:val="single" w:sz="2" w:space="0" w:color="auto"/>
              <w:left w:val="nil"/>
              <w:bottom w:val="single" w:sz="2" w:space="0" w:color="auto"/>
              <w:right w:val="nil"/>
            </w:tcBorders>
            <w:hideMark/>
          </w:tcPr>
          <w:p w14:paraId="2086F6D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6D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E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E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6E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6E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6E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6E5" w14:textId="77777777" w:rsidR="00802D3E" w:rsidRDefault="00802D3E">
            <w:pPr>
              <w:pStyle w:val="MeasureTableTextRightAligned"/>
            </w:pPr>
            <w:r>
              <w:t>*</w:t>
            </w:r>
          </w:p>
        </w:tc>
      </w:tr>
      <w:tr w:rsidR="00802D3E" w14:paraId="2086F6EB" w14:textId="77777777" w:rsidTr="00802D3E">
        <w:trPr>
          <w:cantSplit/>
          <w:jc w:val="center"/>
        </w:trPr>
        <w:tc>
          <w:tcPr>
            <w:tcW w:w="1934" w:type="dxa"/>
            <w:gridSpan w:val="2"/>
            <w:tcBorders>
              <w:top w:val="single" w:sz="2" w:space="0" w:color="auto"/>
              <w:left w:val="nil"/>
              <w:bottom w:val="nil"/>
              <w:right w:val="nil"/>
            </w:tcBorders>
            <w:hideMark/>
          </w:tcPr>
          <w:p w14:paraId="2086F6E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6E8"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6E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6EA" w14:textId="77777777" w:rsidR="00802D3E" w:rsidRDefault="00802D3E">
            <w:pPr>
              <w:pStyle w:val="MeasureTableTextLeftAligned"/>
            </w:pPr>
            <w:r>
              <w:t>B59</w:t>
            </w:r>
          </w:p>
        </w:tc>
      </w:tr>
      <w:tr w:rsidR="00802D3E" w14:paraId="2086F6F0" w14:textId="77777777" w:rsidTr="00802D3E">
        <w:trPr>
          <w:cantSplit/>
          <w:jc w:val="center"/>
        </w:trPr>
        <w:tc>
          <w:tcPr>
            <w:tcW w:w="1934" w:type="dxa"/>
            <w:gridSpan w:val="2"/>
            <w:tcBorders>
              <w:top w:val="nil"/>
              <w:left w:val="nil"/>
              <w:bottom w:val="nil"/>
              <w:right w:val="nil"/>
            </w:tcBorders>
            <w:hideMark/>
          </w:tcPr>
          <w:p w14:paraId="2086F6E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6E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6E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6EF" w14:textId="77777777" w:rsidR="00802D3E" w:rsidRDefault="00802D3E">
            <w:pPr>
              <w:pStyle w:val="MeasureTableTextLeftAligned"/>
            </w:pPr>
            <w:r>
              <w:t>1+</w:t>
            </w:r>
          </w:p>
        </w:tc>
      </w:tr>
      <w:tr w:rsidR="00802D3E" w14:paraId="2086F6F5" w14:textId="77777777" w:rsidTr="00802D3E">
        <w:trPr>
          <w:cantSplit/>
          <w:jc w:val="center"/>
        </w:trPr>
        <w:tc>
          <w:tcPr>
            <w:tcW w:w="1934" w:type="dxa"/>
            <w:gridSpan w:val="2"/>
            <w:tcBorders>
              <w:top w:val="nil"/>
              <w:left w:val="nil"/>
              <w:bottom w:val="nil"/>
              <w:right w:val="nil"/>
            </w:tcBorders>
            <w:hideMark/>
          </w:tcPr>
          <w:p w14:paraId="2086F6F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6F2" w14:textId="77777777" w:rsidR="00802D3E" w:rsidRDefault="00802D3E">
            <w:pPr>
              <w:pStyle w:val="MeasureTableTextLeftAligned"/>
            </w:pPr>
            <w:r>
              <w:t>1 July 2001</w:t>
            </w:r>
          </w:p>
        </w:tc>
        <w:tc>
          <w:tcPr>
            <w:tcW w:w="1500" w:type="dxa"/>
            <w:gridSpan w:val="2"/>
            <w:tcBorders>
              <w:top w:val="nil"/>
              <w:left w:val="nil"/>
              <w:bottom w:val="nil"/>
              <w:right w:val="nil"/>
            </w:tcBorders>
            <w:hideMark/>
          </w:tcPr>
          <w:p w14:paraId="2086F6F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6F4" w14:textId="77777777" w:rsidR="00802D3E" w:rsidRDefault="00802D3E">
            <w:pPr>
              <w:pStyle w:val="MeasureTableTextLeftAligned"/>
            </w:pPr>
          </w:p>
        </w:tc>
      </w:tr>
      <w:tr w:rsidR="00802D3E" w14:paraId="2086F6F8" w14:textId="77777777" w:rsidTr="00802D3E">
        <w:trPr>
          <w:cantSplit/>
          <w:jc w:val="center"/>
        </w:trPr>
        <w:tc>
          <w:tcPr>
            <w:tcW w:w="1934" w:type="dxa"/>
            <w:gridSpan w:val="2"/>
            <w:tcBorders>
              <w:top w:val="nil"/>
              <w:left w:val="nil"/>
              <w:bottom w:val="single" w:sz="2" w:space="0" w:color="auto"/>
              <w:right w:val="nil"/>
            </w:tcBorders>
            <w:hideMark/>
          </w:tcPr>
          <w:p w14:paraId="2086F6F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6F7"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Division 974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r w:rsidRPr="00B029D6">
              <w:rPr>
                <w:rFonts w:ascii="Arial" w:hAnsi="Arial" w:cs="Arial"/>
                <w:i/>
                <w:iCs/>
                <w:color w:val="000000"/>
                <w:sz w:val="16"/>
                <w:szCs w:val="16"/>
              </w:rPr>
              <w:br/>
            </w:r>
            <w:r w:rsidRPr="00B029D6">
              <w:rPr>
                <w:rFonts w:ascii="Arial" w:hAnsi="Arial" w:cs="Arial"/>
                <w:color w:val="000000"/>
                <w:sz w:val="16"/>
                <w:szCs w:val="16"/>
              </w:rPr>
              <w:t xml:space="preserve">Division 974 of the </w:t>
            </w:r>
            <w:r w:rsidRPr="00B029D6">
              <w:rPr>
                <w:rFonts w:ascii="Arial" w:hAnsi="Arial" w:cs="Arial"/>
                <w:i/>
                <w:iCs/>
                <w:color w:val="000000"/>
                <w:sz w:val="16"/>
                <w:szCs w:val="16"/>
              </w:rPr>
              <w:t>Income Tax Assessment Regulations 1997</w:t>
            </w:r>
          </w:p>
        </w:tc>
      </w:tr>
    </w:tbl>
    <w:p w14:paraId="2086F6F9" w14:textId="77777777" w:rsidR="00802D3E" w:rsidRDefault="00802D3E" w:rsidP="00506822">
      <w:pPr>
        <w:pStyle w:val="SingleParagraph"/>
      </w:pPr>
    </w:p>
    <w:p w14:paraId="2086F6FA" w14:textId="77777777" w:rsidR="00802D3E" w:rsidRDefault="00802D3E" w:rsidP="00802D3E">
      <w:r>
        <w:t>A solvency clause can allow the issuer to defer payment on subordinated notes if the payment would cause insolvency. These clauses</w:t>
      </w:r>
      <w:r>
        <w:fldChar w:fldCharType="begin"/>
      </w:r>
      <w:r>
        <w:instrText xml:space="preserve"> XE "Solvency clauses" </w:instrText>
      </w:r>
      <w:r>
        <w:fldChar w:fldCharType="end"/>
      </w:r>
      <w:r>
        <w:t xml:space="preserve"> do not preclude certain term subordinated notes</w:t>
      </w:r>
      <w:r>
        <w:fldChar w:fldCharType="begin"/>
      </w:r>
      <w:r>
        <w:instrText xml:space="preserve"> XE "Subordinated notes" </w:instrText>
      </w:r>
      <w:r>
        <w:fldChar w:fldCharType="end"/>
      </w:r>
      <w:r>
        <w:t xml:space="preserve"> from being classified as debt for tax purposes. The distributions on such notes may be treated as tax deductible interest payments rather than non-tax deductible dividend payments. Under the benchmark, term subordinated notes with solvency clauses would typically be classified as equity under the debt-equity rules</w:t>
      </w:r>
      <w:r>
        <w:fldChar w:fldCharType="begin"/>
      </w:r>
      <w:r>
        <w:instrText xml:space="preserve"> XE "Debt-equity rules" </w:instrText>
      </w:r>
      <w:r>
        <w:fldChar w:fldCharType="end"/>
      </w:r>
      <w:r>
        <w:t>.</w:t>
      </w:r>
    </w:p>
    <w:p w14:paraId="2086F6FB" w14:textId="77777777" w:rsidR="00802D3E" w:rsidRDefault="00802D3E" w:rsidP="00802D3E">
      <w:pPr>
        <w:pStyle w:val="TESHeading5"/>
        <w:ind w:left="0" w:firstLine="0"/>
      </w:pPr>
      <w:r>
        <w:t>B60</w:t>
      </w:r>
      <w:r>
        <w:tab/>
        <w:t>Treatment of finance leases</w:t>
      </w:r>
    </w:p>
    <w:p w14:paraId="2086F6FC"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705" w14:textId="77777777" w:rsidTr="00802D3E">
        <w:trPr>
          <w:cantSplit/>
          <w:jc w:val="center"/>
        </w:trPr>
        <w:tc>
          <w:tcPr>
            <w:tcW w:w="967" w:type="dxa"/>
            <w:tcBorders>
              <w:top w:val="single" w:sz="2" w:space="0" w:color="auto"/>
              <w:left w:val="nil"/>
              <w:bottom w:val="single" w:sz="2" w:space="0" w:color="auto"/>
              <w:right w:val="nil"/>
            </w:tcBorders>
            <w:hideMark/>
          </w:tcPr>
          <w:p w14:paraId="2086F6F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6F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6F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70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70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70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70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704" w14:textId="77777777" w:rsidR="00802D3E" w:rsidRDefault="00802D3E">
            <w:pPr>
              <w:pStyle w:val="MeasureTableTextRightAligned"/>
            </w:pPr>
            <w:r>
              <w:t>2019-20</w:t>
            </w:r>
          </w:p>
        </w:tc>
      </w:tr>
      <w:tr w:rsidR="00802D3E" w14:paraId="2086F70E" w14:textId="77777777" w:rsidTr="00802D3E">
        <w:trPr>
          <w:cantSplit/>
          <w:jc w:val="center"/>
        </w:trPr>
        <w:tc>
          <w:tcPr>
            <w:tcW w:w="967" w:type="dxa"/>
            <w:tcBorders>
              <w:top w:val="single" w:sz="2" w:space="0" w:color="auto"/>
              <w:left w:val="nil"/>
              <w:bottom w:val="single" w:sz="2" w:space="0" w:color="auto"/>
              <w:right w:val="nil"/>
            </w:tcBorders>
            <w:hideMark/>
          </w:tcPr>
          <w:p w14:paraId="2086F70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70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0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0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0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70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70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70D" w14:textId="77777777" w:rsidR="00802D3E" w:rsidRDefault="00802D3E">
            <w:pPr>
              <w:pStyle w:val="MeasureTableTextRightAligned"/>
            </w:pPr>
            <w:r>
              <w:t>*</w:t>
            </w:r>
          </w:p>
        </w:tc>
      </w:tr>
      <w:tr w:rsidR="00802D3E" w14:paraId="2086F713" w14:textId="77777777" w:rsidTr="00802D3E">
        <w:trPr>
          <w:cantSplit/>
          <w:jc w:val="center"/>
        </w:trPr>
        <w:tc>
          <w:tcPr>
            <w:tcW w:w="1934" w:type="dxa"/>
            <w:gridSpan w:val="2"/>
            <w:tcBorders>
              <w:top w:val="single" w:sz="2" w:space="0" w:color="auto"/>
              <w:left w:val="nil"/>
              <w:bottom w:val="nil"/>
              <w:right w:val="nil"/>
            </w:tcBorders>
            <w:hideMark/>
          </w:tcPr>
          <w:p w14:paraId="2086F70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710"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71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712" w14:textId="77777777" w:rsidR="00802D3E" w:rsidRDefault="00802D3E">
            <w:pPr>
              <w:pStyle w:val="MeasureTableTextLeftAligned"/>
            </w:pPr>
            <w:r>
              <w:t>B60</w:t>
            </w:r>
          </w:p>
        </w:tc>
      </w:tr>
      <w:tr w:rsidR="00802D3E" w14:paraId="2086F718" w14:textId="77777777" w:rsidTr="00802D3E">
        <w:trPr>
          <w:cantSplit/>
          <w:jc w:val="center"/>
        </w:trPr>
        <w:tc>
          <w:tcPr>
            <w:tcW w:w="1934" w:type="dxa"/>
            <w:gridSpan w:val="2"/>
            <w:tcBorders>
              <w:top w:val="nil"/>
              <w:left w:val="nil"/>
              <w:bottom w:val="nil"/>
              <w:right w:val="nil"/>
            </w:tcBorders>
            <w:hideMark/>
          </w:tcPr>
          <w:p w14:paraId="2086F71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71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71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717" w14:textId="77777777" w:rsidR="00802D3E" w:rsidRDefault="00802D3E">
            <w:pPr>
              <w:pStyle w:val="MeasureTableTextLeftAligned"/>
            </w:pPr>
            <w:r>
              <w:t>2+</w:t>
            </w:r>
          </w:p>
        </w:tc>
      </w:tr>
      <w:tr w:rsidR="00802D3E" w14:paraId="2086F71D" w14:textId="77777777" w:rsidTr="00802D3E">
        <w:trPr>
          <w:cantSplit/>
          <w:jc w:val="center"/>
        </w:trPr>
        <w:tc>
          <w:tcPr>
            <w:tcW w:w="1934" w:type="dxa"/>
            <w:gridSpan w:val="2"/>
            <w:tcBorders>
              <w:top w:val="nil"/>
              <w:left w:val="nil"/>
              <w:bottom w:val="nil"/>
              <w:right w:val="nil"/>
            </w:tcBorders>
            <w:hideMark/>
          </w:tcPr>
          <w:p w14:paraId="2086F71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71A" w14:textId="77777777" w:rsidR="00802D3E" w:rsidRDefault="00802D3E">
            <w:pPr>
              <w:pStyle w:val="MeasureTableTextLeftAligned"/>
            </w:pPr>
            <w:r>
              <w:t>1936</w:t>
            </w:r>
          </w:p>
        </w:tc>
        <w:tc>
          <w:tcPr>
            <w:tcW w:w="1500" w:type="dxa"/>
            <w:gridSpan w:val="2"/>
            <w:tcBorders>
              <w:top w:val="nil"/>
              <w:left w:val="nil"/>
              <w:bottom w:val="nil"/>
              <w:right w:val="nil"/>
            </w:tcBorders>
            <w:hideMark/>
          </w:tcPr>
          <w:p w14:paraId="2086F71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71C" w14:textId="77777777" w:rsidR="00802D3E" w:rsidRDefault="00802D3E">
            <w:pPr>
              <w:pStyle w:val="MeasureTableTextLeftAligned"/>
            </w:pPr>
          </w:p>
        </w:tc>
      </w:tr>
      <w:tr w:rsidR="00802D3E" w14:paraId="2086F720" w14:textId="77777777" w:rsidTr="00802D3E">
        <w:trPr>
          <w:cantSplit/>
          <w:jc w:val="center"/>
        </w:trPr>
        <w:tc>
          <w:tcPr>
            <w:tcW w:w="1934" w:type="dxa"/>
            <w:gridSpan w:val="2"/>
            <w:tcBorders>
              <w:top w:val="nil"/>
              <w:left w:val="nil"/>
              <w:bottom w:val="single" w:sz="2" w:space="0" w:color="auto"/>
              <w:right w:val="nil"/>
            </w:tcBorders>
            <w:hideMark/>
          </w:tcPr>
          <w:p w14:paraId="2086F71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tcPr>
          <w:p w14:paraId="2086F71F"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Divisions 240-242 and 250 of the </w:t>
            </w:r>
            <w:r w:rsidRPr="00B029D6">
              <w:rPr>
                <w:rFonts w:ascii="Arial" w:hAnsi="Arial" w:cs="Arial"/>
                <w:i/>
                <w:iCs/>
                <w:color w:val="000000"/>
                <w:sz w:val="16"/>
                <w:szCs w:val="16"/>
              </w:rPr>
              <w:t>Income Tax Assessment Act 1997</w:t>
            </w:r>
          </w:p>
        </w:tc>
      </w:tr>
    </w:tbl>
    <w:p w14:paraId="2086F721" w14:textId="77777777" w:rsidR="00802D3E" w:rsidRDefault="00802D3E" w:rsidP="00506822">
      <w:pPr>
        <w:pStyle w:val="SingleParagraph"/>
      </w:pPr>
    </w:p>
    <w:p w14:paraId="2086F722" w14:textId="77777777" w:rsidR="00802D3E" w:rsidRDefault="00802D3E" w:rsidP="00802D3E">
      <w:r>
        <w:t xml:space="preserve">A finance lease is, in substance, equivalent to a loan from the lessor to the lessee to finance the purchase of the leased asset. The lessor (financier) acquires the leased asset at the request of the lessee (borrower) and leases the asset to the lessee. On expiry of the lease, legal ownership of the asset is transferred to the lessee at minimal or no cost. During the term of the lease, while the lessor is the legal owner of the leased asset, the lessee has effective economic ownership through having control, use and enjoyment of the asset. </w:t>
      </w:r>
      <w:r>
        <w:fldChar w:fldCharType="begin"/>
      </w:r>
      <w:r>
        <w:instrText xml:space="preserve"> XE "Finance Leases" </w:instrText>
      </w:r>
      <w:r>
        <w:fldChar w:fldCharType="end"/>
      </w:r>
    </w:p>
    <w:p w14:paraId="2086F723" w14:textId="77777777" w:rsidR="00802D3E" w:rsidRDefault="00802D3E" w:rsidP="00802D3E">
      <w:r>
        <w:t xml:space="preserve">Except where specific provisions apply, for example, Divisions 240 and 250 of the </w:t>
      </w:r>
      <w:r>
        <w:rPr>
          <w:i/>
          <w:iCs/>
        </w:rPr>
        <w:t>Income Tax Assessment Act 1997</w:t>
      </w:r>
      <w:r>
        <w:t xml:space="preserve">, finance leases are taxed as leases rather than as loans. Given their economic substance, finance leases should be taxed as a loan from the </w:t>
      </w:r>
      <w:r>
        <w:lastRenderedPageBreak/>
        <w:t xml:space="preserve">lessor to the lessee to acquire the leased asset under the benchmark. That is, the interest payments should be deductible to the lessee and assessable to the lessor, and the lessee be able to claim depreciation deductions for the user cost of the leased asset. </w:t>
      </w:r>
    </w:p>
    <w:p w14:paraId="2086F724" w14:textId="77777777" w:rsidR="00802D3E" w:rsidRDefault="00802D3E" w:rsidP="00802D3E">
      <w:pPr>
        <w:pStyle w:val="TESHeading5"/>
        <w:ind w:left="0" w:firstLine="0"/>
      </w:pPr>
      <w:r>
        <w:t>B61</w:t>
      </w:r>
      <w:r>
        <w:tab/>
        <w:t>Unincorporated small business tax discount</w:t>
      </w:r>
    </w:p>
    <w:p w14:paraId="2086F725"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72E" w14:textId="77777777" w:rsidTr="00802D3E">
        <w:trPr>
          <w:cantSplit/>
          <w:jc w:val="center"/>
        </w:trPr>
        <w:tc>
          <w:tcPr>
            <w:tcW w:w="967" w:type="dxa"/>
            <w:tcBorders>
              <w:top w:val="single" w:sz="2" w:space="0" w:color="auto"/>
              <w:left w:val="nil"/>
              <w:bottom w:val="single" w:sz="2" w:space="0" w:color="auto"/>
              <w:right w:val="nil"/>
            </w:tcBorders>
            <w:hideMark/>
          </w:tcPr>
          <w:p w14:paraId="2086F726"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727"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728"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729"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72A"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72B"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72C"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72D" w14:textId="77777777" w:rsidR="00802D3E" w:rsidRDefault="00802D3E">
            <w:pPr>
              <w:pStyle w:val="MeasureTableTextRightAligned"/>
            </w:pPr>
            <w:r>
              <w:t>2019-20</w:t>
            </w:r>
          </w:p>
        </w:tc>
      </w:tr>
      <w:tr w:rsidR="00802D3E" w14:paraId="2086F737" w14:textId="77777777" w:rsidTr="00802D3E">
        <w:trPr>
          <w:cantSplit/>
          <w:jc w:val="center"/>
        </w:trPr>
        <w:tc>
          <w:tcPr>
            <w:tcW w:w="967" w:type="dxa"/>
            <w:tcBorders>
              <w:top w:val="single" w:sz="2" w:space="0" w:color="auto"/>
              <w:left w:val="nil"/>
              <w:bottom w:val="single" w:sz="2" w:space="0" w:color="auto"/>
              <w:right w:val="nil"/>
            </w:tcBorders>
            <w:hideMark/>
          </w:tcPr>
          <w:p w14:paraId="2086F72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73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3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3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33" w14:textId="77777777" w:rsidR="00802D3E" w:rsidRDefault="00802D3E">
            <w:pPr>
              <w:pStyle w:val="MeasureTableTextRightAligned"/>
            </w:pPr>
            <w:r>
              <w:t>550</w:t>
            </w:r>
          </w:p>
        </w:tc>
        <w:tc>
          <w:tcPr>
            <w:tcW w:w="967" w:type="dxa"/>
            <w:gridSpan w:val="2"/>
            <w:tcBorders>
              <w:top w:val="single" w:sz="2" w:space="0" w:color="auto"/>
              <w:left w:val="nil"/>
              <w:bottom w:val="single" w:sz="2" w:space="0" w:color="auto"/>
              <w:right w:val="nil"/>
            </w:tcBorders>
            <w:vAlign w:val="bottom"/>
            <w:hideMark/>
          </w:tcPr>
          <w:p w14:paraId="2086F734" w14:textId="77777777" w:rsidR="00802D3E" w:rsidRDefault="00802D3E">
            <w:pPr>
              <w:pStyle w:val="MeasureTableTextRightAligned"/>
            </w:pPr>
            <w:r>
              <w:t>750</w:t>
            </w:r>
          </w:p>
        </w:tc>
        <w:tc>
          <w:tcPr>
            <w:tcW w:w="967" w:type="dxa"/>
            <w:gridSpan w:val="2"/>
            <w:tcBorders>
              <w:top w:val="single" w:sz="2" w:space="0" w:color="auto"/>
              <w:left w:val="nil"/>
              <w:bottom w:val="single" w:sz="2" w:space="0" w:color="auto"/>
              <w:right w:val="nil"/>
            </w:tcBorders>
            <w:vAlign w:val="bottom"/>
            <w:hideMark/>
          </w:tcPr>
          <w:p w14:paraId="2086F735" w14:textId="77777777" w:rsidR="00802D3E" w:rsidRDefault="00802D3E">
            <w:pPr>
              <w:pStyle w:val="MeasureTableTextRightAligned"/>
            </w:pPr>
            <w:r>
              <w:t>800</w:t>
            </w:r>
          </w:p>
        </w:tc>
        <w:tc>
          <w:tcPr>
            <w:tcW w:w="968" w:type="dxa"/>
            <w:tcBorders>
              <w:top w:val="single" w:sz="2" w:space="0" w:color="auto"/>
              <w:left w:val="nil"/>
              <w:bottom w:val="single" w:sz="2" w:space="0" w:color="auto"/>
              <w:right w:val="nil"/>
            </w:tcBorders>
            <w:vAlign w:val="bottom"/>
            <w:hideMark/>
          </w:tcPr>
          <w:p w14:paraId="2086F736" w14:textId="77777777" w:rsidR="00802D3E" w:rsidRDefault="00802D3E">
            <w:pPr>
              <w:pStyle w:val="MeasureTableTextRightAligned"/>
            </w:pPr>
            <w:r>
              <w:t>800</w:t>
            </w:r>
          </w:p>
        </w:tc>
      </w:tr>
      <w:tr w:rsidR="00802D3E" w14:paraId="2086F73C" w14:textId="77777777" w:rsidTr="00802D3E">
        <w:trPr>
          <w:cantSplit/>
          <w:jc w:val="center"/>
        </w:trPr>
        <w:tc>
          <w:tcPr>
            <w:tcW w:w="1934" w:type="dxa"/>
            <w:gridSpan w:val="2"/>
            <w:tcBorders>
              <w:top w:val="single" w:sz="2" w:space="0" w:color="auto"/>
              <w:left w:val="nil"/>
              <w:bottom w:val="nil"/>
              <w:right w:val="nil"/>
            </w:tcBorders>
            <w:hideMark/>
          </w:tcPr>
          <w:p w14:paraId="2086F738"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739"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F73A"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73B" w14:textId="77777777" w:rsidR="00802D3E" w:rsidRDefault="00802D3E">
            <w:pPr>
              <w:pStyle w:val="MeasureTableTextLeftAligned"/>
            </w:pPr>
            <w:r>
              <w:t>New</w:t>
            </w:r>
          </w:p>
        </w:tc>
      </w:tr>
      <w:tr w:rsidR="00802D3E" w14:paraId="2086F741" w14:textId="77777777" w:rsidTr="00802D3E">
        <w:trPr>
          <w:cantSplit/>
          <w:jc w:val="center"/>
        </w:trPr>
        <w:tc>
          <w:tcPr>
            <w:tcW w:w="1934" w:type="dxa"/>
            <w:gridSpan w:val="2"/>
            <w:tcBorders>
              <w:top w:val="nil"/>
              <w:left w:val="nil"/>
              <w:bottom w:val="nil"/>
              <w:right w:val="nil"/>
            </w:tcBorders>
            <w:hideMark/>
          </w:tcPr>
          <w:p w14:paraId="2086F73D"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73E"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F73F" w14:textId="77777777" w:rsidR="00802D3E" w:rsidRDefault="00802D3E">
            <w:pPr>
              <w:pStyle w:val="MeasureTableTextItalic"/>
            </w:pPr>
          </w:p>
        </w:tc>
        <w:tc>
          <w:tcPr>
            <w:tcW w:w="1124" w:type="dxa"/>
            <w:gridSpan w:val="2"/>
            <w:tcBorders>
              <w:top w:val="nil"/>
              <w:left w:val="nil"/>
              <w:bottom w:val="nil"/>
              <w:right w:val="nil"/>
            </w:tcBorders>
          </w:tcPr>
          <w:p w14:paraId="2086F740" w14:textId="77777777" w:rsidR="00802D3E" w:rsidRDefault="00802D3E">
            <w:pPr>
              <w:pStyle w:val="MeasureTableTextLeftAligned"/>
            </w:pPr>
          </w:p>
        </w:tc>
      </w:tr>
      <w:tr w:rsidR="00802D3E" w14:paraId="2086F746" w14:textId="77777777" w:rsidTr="00802D3E">
        <w:trPr>
          <w:cantSplit/>
          <w:jc w:val="center"/>
        </w:trPr>
        <w:tc>
          <w:tcPr>
            <w:tcW w:w="1934" w:type="dxa"/>
            <w:gridSpan w:val="2"/>
            <w:tcBorders>
              <w:top w:val="nil"/>
              <w:left w:val="nil"/>
              <w:bottom w:val="nil"/>
              <w:right w:val="nil"/>
            </w:tcBorders>
            <w:hideMark/>
          </w:tcPr>
          <w:p w14:paraId="2086F742"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743" w14:textId="77777777" w:rsidR="00802D3E" w:rsidRDefault="00802D3E">
            <w:pPr>
              <w:pStyle w:val="MeasureTableTextLeftAligned"/>
            </w:pPr>
            <w:r>
              <w:t>1 July 2015</w:t>
            </w:r>
          </w:p>
        </w:tc>
        <w:tc>
          <w:tcPr>
            <w:tcW w:w="1500" w:type="dxa"/>
            <w:gridSpan w:val="2"/>
            <w:tcBorders>
              <w:top w:val="nil"/>
              <w:left w:val="nil"/>
              <w:bottom w:val="nil"/>
              <w:right w:val="nil"/>
            </w:tcBorders>
            <w:hideMark/>
          </w:tcPr>
          <w:p w14:paraId="2086F744"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745" w14:textId="77777777" w:rsidR="00802D3E" w:rsidRDefault="00802D3E">
            <w:pPr>
              <w:pStyle w:val="MeasureTableTextLeftAligned"/>
            </w:pPr>
          </w:p>
        </w:tc>
      </w:tr>
      <w:tr w:rsidR="00802D3E" w14:paraId="2086F749" w14:textId="77777777" w:rsidTr="00802D3E">
        <w:trPr>
          <w:cantSplit/>
          <w:jc w:val="center"/>
        </w:trPr>
        <w:tc>
          <w:tcPr>
            <w:tcW w:w="1934" w:type="dxa"/>
            <w:gridSpan w:val="2"/>
            <w:tcBorders>
              <w:top w:val="nil"/>
              <w:left w:val="nil"/>
              <w:bottom w:val="single" w:sz="2" w:space="0" w:color="auto"/>
              <w:right w:val="nil"/>
            </w:tcBorders>
            <w:hideMark/>
          </w:tcPr>
          <w:p w14:paraId="2086F747"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748"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Subdivision 328-F of the </w:t>
            </w:r>
            <w:r>
              <w:rPr>
                <w:rFonts w:ascii="Arial" w:hAnsi="Arial" w:cs="Arial"/>
                <w:i/>
                <w:iCs/>
                <w:color w:val="000000"/>
                <w:sz w:val="16"/>
                <w:szCs w:val="16"/>
              </w:rPr>
              <w:t>Income Tax Assessment Act 1997</w:t>
            </w:r>
          </w:p>
        </w:tc>
      </w:tr>
    </w:tbl>
    <w:p w14:paraId="2086F74A" w14:textId="77777777" w:rsidR="00802D3E" w:rsidRDefault="00802D3E" w:rsidP="00506822">
      <w:pPr>
        <w:pStyle w:val="SingleParagraph"/>
      </w:pPr>
    </w:p>
    <w:p w14:paraId="2086F74B" w14:textId="77777777" w:rsidR="00802D3E" w:rsidRDefault="00802D3E" w:rsidP="00802D3E">
      <w:r>
        <w:t>Individual taxpayers with business income from an unincorporated small business</w:t>
      </w:r>
      <w:r w:rsidR="00773D3F">
        <w:fldChar w:fldCharType="begin"/>
      </w:r>
      <w:r w:rsidR="00773D3F">
        <w:instrText xml:space="preserve"> XE "</w:instrText>
      </w:r>
      <w:r w:rsidR="00773D3F" w:rsidRPr="00AB35A1">
        <w:instrText>Small business</w:instrText>
      </w:r>
      <w:r w:rsidR="00773D3F">
        <w:instrText xml:space="preserve">" </w:instrText>
      </w:r>
      <w:r w:rsidR="00773D3F">
        <w:fldChar w:fldCharType="end"/>
      </w:r>
      <w:r>
        <w:t xml:space="preserve"> that has aggregated annual turnover less than $2 million are eligible for a 5 per cent tax discount on the income tax payable on that business income in the 2015-16 income year. Subject to the passage of legislation, from 2016-17 the turnover threshold will increase to $5 million and the tax discount rate will increase to 8 per cent. This discount rate will then be increased over time until it reaches 16 per cent in 2026-27. The discount is capped at $1,000 per individual for each income year and is delivered as a tax offset. </w:t>
      </w:r>
    </w:p>
    <w:p w14:paraId="2086F74C" w14:textId="77777777" w:rsidR="00802D3E" w:rsidRDefault="00802D3E" w:rsidP="00802D3E">
      <w:pPr>
        <w:pStyle w:val="TESHeading5"/>
        <w:ind w:left="0" w:firstLine="0"/>
      </w:pPr>
      <w:r>
        <w:t>B62</w:t>
      </w:r>
      <w:r>
        <w:tab/>
        <w:t>Accelerated depreciation of fencing and fodder storage assets for primary producers</w:t>
      </w:r>
    </w:p>
    <w:p w14:paraId="2086F74D"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756" w14:textId="77777777" w:rsidTr="00802D3E">
        <w:trPr>
          <w:cantSplit/>
          <w:jc w:val="center"/>
        </w:trPr>
        <w:tc>
          <w:tcPr>
            <w:tcW w:w="967" w:type="dxa"/>
            <w:tcBorders>
              <w:top w:val="single" w:sz="2" w:space="0" w:color="auto"/>
              <w:left w:val="nil"/>
              <w:bottom w:val="single" w:sz="2" w:space="0" w:color="auto"/>
              <w:right w:val="nil"/>
            </w:tcBorders>
            <w:hideMark/>
          </w:tcPr>
          <w:p w14:paraId="2086F74E"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74F"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750"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751"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752"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753"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754"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755" w14:textId="77777777" w:rsidR="00802D3E" w:rsidRDefault="00802D3E">
            <w:pPr>
              <w:pStyle w:val="MeasureTableTextRightAligned"/>
            </w:pPr>
            <w:r>
              <w:t>2019-20</w:t>
            </w:r>
          </w:p>
        </w:tc>
      </w:tr>
      <w:tr w:rsidR="00802D3E" w14:paraId="2086F75F" w14:textId="77777777" w:rsidTr="00802D3E">
        <w:trPr>
          <w:cantSplit/>
          <w:jc w:val="center"/>
        </w:trPr>
        <w:tc>
          <w:tcPr>
            <w:tcW w:w="967" w:type="dxa"/>
            <w:tcBorders>
              <w:top w:val="single" w:sz="2" w:space="0" w:color="auto"/>
              <w:left w:val="nil"/>
              <w:bottom w:val="single" w:sz="2" w:space="0" w:color="auto"/>
              <w:right w:val="nil"/>
            </w:tcBorders>
            <w:hideMark/>
          </w:tcPr>
          <w:p w14:paraId="2086F75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75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5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5A" w14:textId="77777777" w:rsidR="00802D3E" w:rsidRDefault="00802D3E">
            <w:pPr>
              <w:pStyle w:val="MeasureTableTextRightAligned"/>
            </w:pPr>
            <w:r>
              <w:t>2</w:t>
            </w:r>
          </w:p>
        </w:tc>
        <w:tc>
          <w:tcPr>
            <w:tcW w:w="967" w:type="dxa"/>
            <w:tcBorders>
              <w:top w:val="single" w:sz="2" w:space="0" w:color="auto"/>
              <w:left w:val="nil"/>
              <w:bottom w:val="single" w:sz="2" w:space="0" w:color="auto"/>
              <w:right w:val="nil"/>
            </w:tcBorders>
            <w:vAlign w:val="bottom"/>
            <w:hideMark/>
          </w:tcPr>
          <w:p w14:paraId="2086F75B" w14:textId="77777777" w:rsidR="00802D3E" w:rsidRDefault="00802D3E">
            <w:pPr>
              <w:pStyle w:val="MeasureTableTextRightAligned"/>
            </w:pPr>
            <w:r>
              <w:t>30</w:t>
            </w:r>
          </w:p>
        </w:tc>
        <w:tc>
          <w:tcPr>
            <w:tcW w:w="967" w:type="dxa"/>
            <w:gridSpan w:val="2"/>
            <w:tcBorders>
              <w:top w:val="single" w:sz="2" w:space="0" w:color="auto"/>
              <w:left w:val="nil"/>
              <w:bottom w:val="single" w:sz="2" w:space="0" w:color="auto"/>
              <w:right w:val="nil"/>
            </w:tcBorders>
            <w:vAlign w:val="bottom"/>
            <w:hideMark/>
          </w:tcPr>
          <w:p w14:paraId="2086F75C" w14:textId="77777777" w:rsidR="00802D3E" w:rsidRDefault="00802D3E">
            <w:pPr>
              <w:pStyle w:val="MeasureTableTextRightAligned"/>
            </w:pPr>
            <w:r>
              <w:t>45</w:t>
            </w:r>
          </w:p>
        </w:tc>
        <w:tc>
          <w:tcPr>
            <w:tcW w:w="967" w:type="dxa"/>
            <w:gridSpan w:val="2"/>
            <w:tcBorders>
              <w:top w:val="single" w:sz="2" w:space="0" w:color="auto"/>
              <w:left w:val="nil"/>
              <w:bottom w:val="single" w:sz="2" w:space="0" w:color="auto"/>
              <w:right w:val="nil"/>
            </w:tcBorders>
            <w:vAlign w:val="bottom"/>
            <w:hideMark/>
          </w:tcPr>
          <w:p w14:paraId="2086F75D" w14:textId="77777777" w:rsidR="00802D3E" w:rsidRDefault="00802D3E">
            <w:pPr>
              <w:pStyle w:val="MeasureTableTextRightAligned"/>
            </w:pPr>
            <w:r>
              <w:t>60</w:t>
            </w:r>
          </w:p>
        </w:tc>
        <w:tc>
          <w:tcPr>
            <w:tcW w:w="968" w:type="dxa"/>
            <w:tcBorders>
              <w:top w:val="single" w:sz="2" w:space="0" w:color="auto"/>
              <w:left w:val="nil"/>
              <w:bottom w:val="single" w:sz="2" w:space="0" w:color="auto"/>
              <w:right w:val="nil"/>
            </w:tcBorders>
            <w:vAlign w:val="bottom"/>
            <w:hideMark/>
          </w:tcPr>
          <w:p w14:paraId="2086F75E" w14:textId="77777777" w:rsidR="00802D3E" w:rsidRDefault="00802D3E">
            <w:pPr>
              <w:pStyle w:val="MeasureTableTextRightAligned"/>
            </w:pPr>
            <w:r>
              <w:t>60</w:t>
            </w:r>
          </w:p>
        </w:tc>
      </w:tr>
      <w:tr w:rsidR="00802D3E" w14:paraId="2086F764" w14:textId="77777777" w:rsidTr="00802D3E">
        <w:trPr>
          <w:cantSplit/>
          <w:jc w:val="center"/>
        </w:trPr>
        <w:tc>
          <w:tcPr>
            <w:tcW w:w="1934" w:type="dxa"/>
            <w:gridSpan w:val="2"/>
            <w:tcBorders>
              <w:top w:val="single" w:sz="2" w:space="0" w:color="auto"/>
              <w:left w:val="nil"/>
              <w:bottom w:val="nil"/>
              <w:right w:val="nil"/>
            </w:tcBorders>
            <w:hideMark/>
          </w:tcPr>
          <w:p w14:paraId="2086F760"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761"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762"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763" w14:textId="77777777" w:rsidR="00802D3E" w:rsidRDefault="00802D3E">
            <w:pPr>
              <w:pStyle w:val="MeasureTableTextLeftAligned"/>
            </w:pPr>
            <w:r>
              <w:t>B43</w:t>
            </w:r>
          </w:p>
        </w:tc>
      </w:tr>
      <w:tr w:rsidR="00802D3E" w14:paraId="2086F769" w14:textId="77777777" w:rsidTr="00802D3E">
        <w:trPr>
          <w:cantSplit/>
          <w:jc w:val="center"/>
        </w:trPr>
        <w:tc>
          <w:tcPr>
            <w:tcW w:w="1934" w:type="dxa"/>
            <w:gridSpan w:val="2"/>
            <w:tcBorders>
              <w:top w:val="nil"/>
              <w:left w:val="nil"/>
              <w:bottom w:val="nil"/>
              <w:right w:val="nil"/>
            </w:tcBorders>
            <w:hideMark/>
          </w:tcPr>
          <w:p w14:paraId="2086F765"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766" w14:textId="77777777" w:rsidR="00802D3E" w:rsidRDefault="00802D3E">
            <w:pPr>
              <w:pStyle w:val="MeasureTableTextLeftAligned"/>
            </w:pPr>
            <w:r>
              <w:t>Low</w:t>
            </w:r>
          </w:p>
        </w:tc>
        <w:tc>
          <w:tcPr>
            <w:tcW w:w="1500" w:type="dxa"/>
            <w:gridSpan w:val="2"/>
            <w:tcBorders>
              <w:top w:val="nil"/>
              <w:left w:val="nil"/>
              <w:bottom w:val="nil"/>
              <w:right w:val="nil"/>
            </w:tcBorders>
          </w:tcPr>
          <w:p w14:paraId="2086F767" w14:textId="77777777" w:rsidR="00802D3E" w:rsidRDefault="00802D3E">
            <w:pPr>
              <w:pStyle w:val="MeasureTableTextItalic"/>
            </w:pPr>
          </w:p>
        </w:tc>
        <w:tc>
          <w:tcPr>
            <w:tcW w:w="1124" w:type="dxa"/>
            <w:gridSpan w:val="2"/>
            <w:tcBorders>
              <w:top w:val="nil"/>
              <w:left w:val="nil"/>
              <w:bottom w:val="nil"/>
              <w:right w:val="nil"/>
            </w:tcBorders>
          </w:tcPr>
          <w:p w14:paraId="2086F768" w14:textId="77777777" w:rsidR="00802D3E" w:rsidRDefault="00802D3E">
            <w:pPr>
              <w:pStyle w:val="MeasureTableTextLeftAligned"/>
            </w:pPr>
          </w:p>
        </w:tc>
      </w:tr>
      <w:tr w:rsidR="00802D3E" w14:paraId="2086F76E" w14:textId="77777777" w:rsidTr="00802D3E">
        <w:trPr>
          <w:cantSplit/>
          <w:jc w:val="center"/>
        </w:trPr>
        <w:tc>
          <w:tcPr>
            <w:tcW w:w="1934" w:type="dxa"/>
            <w:gridSpan w:val="2"/>
            <w:tcBorders>
              <w:top w:val="nil"/>
              <w:left w:val="nil"/>
              <w:bottom w:val="nil"/>
              <w:right w:val="nil"/>
            </w:tcBorders>
            <w:hideMark/>
          </w:tcPr>
          <w:p w14:paraId="2086F76A"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76B" w14:textId="77777777" w:rsidR="00802D3E" w:rsidRDefault="00802D3E">
            <w:pPr>
              <w:pStyle w:val="MeasureTableTextLeftAligned"/>
            </w:pPr>
            <w:r>
              <w:t>12 May 2015</w:t>
            </w:r>
          </w:p>
        </w:tc>
        <w:tc>
          <w:tcPr>
            <w:tcW w:w="1500" w:type="dxa"/>
            <w:gridSpan w:val="2"/>
            <w:tcBorders>
              <w:top w:val="nil"/>
              <w:left w:val="nil"/>
              <w:bottom w:val="nil"/>
              <w:right w:val="nil"/>
            </w:tcBorders>
            <w:hideMark/>
          </w:tcPr>
          <w:p w14:paraId="2086F76C"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76D" w14:textId="77777777" w:rsidR="00802D3E" w:rsidRDefault="00802D3E">
            <w:pPr>
              <w:pStyle w:val="MeasureTableTextLeftAligned"/>
            </w:pPr>
          </w:p>
        </w:tc>
      </w:tr>
      <w:tr w:rsidR="00802D3E" w14:paraId="2086F771" w14:textId="77777777" w:rsidTr="00802D3E">
        <w:trPr>
          <w:cantSplit/>
          <w:jc w:val="center"/>
        </w:trPr>
        <w:tc>
          <w:tcPr>
            <w:tcW w:w="1934" w:type="dxa"/>
            <w:gridSpan w:val="2"/>
            <w:tcBorders>
              <w:top w:val="nil"/>
              <w:left w:val="nil"/>
              <w:bottom w:val="single" w:sz="2" w:space="0" w:color="auto"/>
              <w:right w:val="nil"/>
            </w:tcBorders>
            <w:hideMark/>
          </w:tcPr>
          <w:p w14:paraId="2086F76F"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770"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 xml:space="preserve">Section 40-10 and Subdivision 40-F of the </w:t>
            </w:r>
            <w:r w:rsidRPr="00B029D6">
              <w:rPr>
                <w:rFonts w:ascii="Arial" w:hAnsi="Arial" w:cs="Arial"/>
                <w:i/>
                <w:iCs/>
                <w:color w:val="000000"/>
                <w:sz w:val="16"/>
                <w:szCs w:val="16"/>
              </w:rPr>
              <w:t>Income Tax Assessment Act 1997</w:t>
            </w:r>
          </w:p>
        </w:tc>
      </w:tr>
    </w:tbl>
    <w:p w14:paraId="2086F772" w14:textId="77777777" w:rsidR="00802D3E" w:rsidRDefault="00802D3E" w:rsidP="00506822">
      <w:pPr>
        <w:pStyle w:val="SingleParagraph"/>
      </w:pPr>
    </w:p>
    <w:p w14:paraId="2086F773" w14:textId="77777777" w:rsidR="00802D3E" w:rsidRDefault="00802D3E" w:rsidP="00802D3E">
      <w:pPr>
        <w:rPr>
          <w:lang w:val="en"/>
        </w:rPr>
      </w:pPr>
      <w:r>
        <w:t>Primary producers can immediately deduct capital expenditure on fencing assets</w:t>
      </w:r>
      <w:r>
        <w:fldChar w:fldCharType="begin"/>
      </w:r>
      <w:r>
        <w:instrText xml:space="preserve"> XE "Accelerated depreciation:Fencing" </w:instrText>
      </w:r>
      <w:r>
        <w:fldChar w:fldCharType="end"/>
      </w:r>
      <w:r>
        <w:t xml:space="preserve"> and </w:t>
      </w:r>
      <w:r>
        <w:rPr>
          <w:lang w:val="en"/>
        </w:rPr>
        <w:t>depreciate over three income years capital expenditure on fodder storage assets such as silos and tanks used to store grain and other animal feed</w:t>
      </w:r>
      <w:r>
        <w:rPr>
          <w:lang w:val="en"/>
        </w:rPr>
        <w:fldChar w:fldCharType="begin"/>
      </w:r>
      <w:r>
        <w:instrText xml:space="preserve"> XE "Accelerated depreciation:Fodder storage assets" </w:instrText>
      </w:r>
      <w:r>
        <w:rPr>
          <w:lang w:val="en"/>
        </w:rPr>
        <w:fldChar w:fldCharType="end"/>
      </w:r>
      <w:r>
        <w:rPr>
          <w:lang w:val="en"/>
        </w:rPr>
        <w:t xml:space="preserve">. </w:t>
      </w:r>
    </w:p>
    <w:p w14:paraId="2086F774" w14:textId="77777777" w:rsidR="00802D3E" w:rsidRDefault="00802D3E" w:rsidP="00802D3E">
      <w:r>
        <w:rPr>
          <w:lang w:val="en"/>
        </w:rPr>
        <w:t xml:space="preserve">Currently, the effective life for fences is up to 30 years and fodder storage assets is up to 50 years. </w:t>
      </w:r>
    </w:p>
    <w:p w14:paraId="2086F775" w14:textId="77777777" w:rsidR="00802D3E" w:rsidRDefault="00802D3E" w:rsidP="00802D3E">
      <w:pPr>
        <w:pStyle w:val="TESHeading5"/>
        <w:ind w:left="0" w:firstLine="0"/>
      </w:pPr>
      <w:r>
        <w:lastRenderedPageBreak/>
        <w:t>B63</w:t>
      </w:r>
      <w:r>
        <w:tab/>
        <w:t>Accelerated write-off for expenditure on water facilities for primary producers</w:t>
      </w:r>
    </w:p>
    <w:p w14:paraId="2086F776"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77F" w14:textId="77777777" w:rsidTr="00802D3E">
        <w:trPr>
          <w:cantSplit/>
          <w:jc w:val="center"/>
        </w:trPr>
        <w:tc>
          <w:tcPr>
            <w:tcW w:w="967" w:type="dxa"/>
            <w:tcBorders>
              <w:top w:val="single" w:sz="2" w:space="0" w:color="auto"/>
              <w:left w:val="nil"/>
              <w:bottom w:val="single" w:sz="2" w:space="0" w:color="auto"/>
              <w:right w:val="nil"/>
            </w:tcBorders>
            <w:hideMark/>
          </w:tcPr>
          <w:p w14:paraId="2086F77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77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77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77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77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77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77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77E" w14:textId="77777777" w:rsidR="00802D3E" w:rsidRDefault="00802D3E">
            <w:pPr>
              <w:pStyle w:val="MeasureTableTextRightAligned"/>
            </w:pPr>
            <w:r>
              <w:t>2019-20</w:t>
            </w:r>
          </w:p>
        </w:tc>
      </w:tr>
      <w:tr w:rsidR="00802D3E" w14:paraId="2086F788" w14:textId="77777777" w:rsidTr="00802D3E">
        <w:trPr>
          <w:cantSplit/>
          <w:jc w:val="center"/>
        </w:trPr>
        <w:tc>
          <w:tcPr>
            <w:tcW w:w="967" w:type="dxa"/>
            <w:tcBorders>
              <w:top w:val="single" w:sz="2" w:space="0" w:color="auto"/>
              <w:left w:val="nil"/>
              <w:bottom w:val="single" w:sz="2" w:space="0" w:color="auto"/>
              <w:right w:val="nil"/>
            </w:tcBorders>
            <w:hideMark/>
          </w:tcPr>
          <w:p w14:paraId="2086F780" w14:textId="77777777" w:rsidR="00802D3E" w:rsidRDefault="00802D3E">
            <w:pPr>
              <w:pStyle w:val="MeasureTableTextRightAligned"/>
            </w:pPr>
            <w:r>
              <w:t>80</w:t>
            </w:r>
          </w:p>
        </w:tc>
        <w:tc>
          <w:tcPr>
            <w:tcW w:w="967" w:type="dxa"/>
            <w:tcBorders>
              <w:top w:val="single" w:sz="2" w:space="0" w:color="auto"/>
              <w:left w:val="nil"/>
              <w:bottom w:val="single" w:sz="2" w:space="0" w:color="auto"/>
              <w:right w:val="nil"/>
            </w:tcBorders>
            <w:hideMark/>
          </w:tcPr>
          <w:p w14:paraId="2086F781" w14:textId="77777777" w:rsidR="00802D3E" w:rsidRDefault="00802D3E">
            <w:pPr>
              <w:pStyle w:val="MeasureTableTextRightAligned"/>
            </w:pPr>
            <w:r>
              <w:t>65</w:t>
            </w:r>
          </w:p>
        </w:tc>
        <w:tc>
          <w:tcPr>
            <w:tcW w:w="967" w:type="dxa"/>
            <w:tcBorders>
              <w:top w:val="single" w:sz="2" w:space="0" w:color="auto"/>
              <w:left w:val="nil"/>
              <w:bottom w:val="single" w:sz="2" w:space="0" w:color="auto"/>
              <w:right w:val="nil"/>
            </w:tcBorders>
            <w:vAlign w:val="bottom"/>
            <w:hideMark/>
          </w:tcPr>
          <w:p w14:paraId="2086F782"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6F783" w14:textId="77777777" w:rsidR="00802D3E" w:rsidRDefault="00802D3E">
            <w:pPr>
              <w:pStyle w:val="MeasureTableTextRightAligned"/>
            </w:pPr>
            <w:r>
              <w:t>-2</w:t>
            </w:r>
          </w:p>
        </w:tc>
        <w:tc>
          <w:tcPr>
            <w:tcW w:w="967" w:type="dxa"/>
            <w:tcBorders>
              <w:top w:val="single" w:sz="2" w:space="0" w:color="auto"/>
              <w:left w:val="nil"/>
              <w:bottom w:val="single" w:sz="2" w:space="0" w:color="auto"/>
              <w:right w:val="nil"/>
            </w:tcBorders>
            <w:vAlign w:val="bottom"/>
            <w:hideMark/>
          </w:tcPr>
          <w:p w14:paraId="2086F784" w14:textId="77777777" w:rsidR="00802D3E" w:rsidRDefault="00802D3E">
            <w:pPr>
              <w:pStyle w:val="MeasureTableTextRightAligned"/>
            </w:pPr>
            <w:r>
              <w:t>15</w:t>
            </w:r>
          </w:p>
        </w:tc>
        <w:tc>
          <w:tcPr>
            <w:tcW w:w="967" w:type="dxa"/>
            <w:gridSpan w:val="2"/>
            <w:tcBorders>
              <w:top w:val="single" w:sz="2" w:space="0" w:color="auto"/>
              <w:left w:val="nil"/>
              <w:bottom w:val="single" w:sz="2" w:space="0" w:color="auto"/>
              <w:right w:val="nil"/>
            </w:tcBorders>
            <w:vAlign w:val="bottom"/>
            <w:hideMark/>
          </w:tcPr>
          <w:p w14:paraId="2086F785" w14:textId="77777777" w:rsidR="00802D3E" w:rsidRDefault="00802D3E">
            <w:pPr>
              <w:pStyle w:val="MeasureTableTextRightAligned"/>
            </w:pPr>
            <w:r>
              <w:t>15</w:t>
            </w:r>
          </w:p>
        </w:tc>
        <w:tc>
          <w:tcPr>
            <w:tcW w:w="967" w:type="dxa"/>
            <w:gridSpan w:val="2"/>
            <w:tcBorders>
              <w:top w:val="single" w:sz="2" w:space="0" w:color="auto"/>
              <w:left w:val="nil"/>
              <w:bottom w:val="single" w:sz="2" w:space="0" w:color="auto"/>
              <w:right w:val="nil"/>
            </w:tcBorders>
            <w:vAlign w:val="bottom"/>
            <w:hideMark/>
          </w:tcPr>
          <w:p w14:paraId="2086F786" w14:textId="77777777" w:rsidR="00802D3E" w:rsidRDefault="00802D3E">
            <w:pPr>
              <w:pStyle w:val="MeasureTableTextRightAligned"/>
            </w:pPr>
            <w:r>
              <w:t>10</w:t>
            </w:r>
          </w:p>
        </w:tc>
        <w:tc>
          <w:tcPr>
            <w:tcW w:w="968" w:type="dxa"/>
            <w:tcBorders>
              <w:top w:val="single" w:sz="2" w:space="0" w:color="auto"/>
              <w:left w:val="nil"/>
              <w:bottom w:val="single" w:sz="2" w:space="0" w:color="auto"/>
              <w:right w:val="nil"/>
            </w:tcBorders>
            <w:vAlign w:val="bottom"/>
            <w:hideMark/>
          </w:tcPr>
          <w:p w14:paraId="2086F787" w14:textId="77777777" w:rsidR="00802D3E" w:rsidRDefault="00802D3E">
            <w:pPr>
              <w:pStyle w:val="MeasureTableTextRightAligned"/>
            </w:pPr>
            <w:r>
              <w:t>5</w:t>
            </w:r>
          </w:p>
        </w:tc>
      </w:tr>
      <w:tr w:rsidR="00802D3E" w14:paraId="2086F78D" w14:textId="77777777" w:rsidTr="00802D3E">
        <w:trPr>
          <w:cantSplit/>
          <w:jc w:val="center"/>
        </w:trPr>
        <w:tc>
          <w:tcPr>
            <w:tcW w:w="1934" w:type="dxa"/>
            <w:gridSpan w:val="2"/>
            <w:tcBorders>
              <w:top w:val="single" w:sz="2" w:space="0" w:color="auto"/>
              <w:left w:val="nil"/>
              <w:bottom w:val="nil"/>
              <w:right w:val="nil"/>
            </w:tcBorders>
            <w:hideMark/>
          </w:tcPr>
          <w:p w14:paraId="2086F78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78A"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78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78C" w14:textId="77777777" w:rsidR="00802D3E" w:rsidRDefault="00802D3E">
            <w:pPr>
              <w:pStyle w:val="MeasureTableTextLeftAligned"/>
            </w:pPr>
            <w:r>
              <w:t>B62</w:t>
            </w:r>
          </w:p>
        </w:tc>
      </w:tr>
      <w:tr w:rsidR="00802D3E" w14:paraId="2086F792" w14:textId="77777777" w:rsidTr="00802D3E">
        <w:trPr>
          <w:cantSplit/>
          <w:jc w:val="center"/>
        </w:trPr>
        <w:tc>
          <w:tcPr>
            <w:tcW w:w="1934" w:type="dxa"/>
            <w:gridSpan w:val="2"/>
            <w:tcBorders>
              <w:top w:val="nil"/>
              <w:left w:val="nil"/>
              <w:bottom w:val="nil"/>
              <w:right w:val="nil"/>
            </w:tcBorders>
            <w:hideMark/>
          </w:tcPr>
          <w:p w14:paraId="2086F78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78F"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F790" w14:textId="77777777" w:rsidR="00802D3E" w:rsidRDefault="00802D3E">
            <w:pPr>
              <w:pStyle w:val="MeasureTableTextItalic"/>
            </w:pPr>
          </w:p>
        </w:tc>
        <w:tc>
          <w:tcPr>
            <w:tcW w:w="1124" w:type="dxa"/>
            <w:gridSpan w:val="2"/>
            <w:tcBorders>
              <w:top w:val="nil"/>
              <w:left w:val="nil"/>
              <w:bottom w:val="nil"/>
              <w:right w:val="nil"/>
            </w:tcBorders>
          </w:tcPr>
          <w:p w14:paraId="2086F791" w14:textId="77777777" w:rsidR="00802D3E" w:rsidRDefault="00802D3E">
            <w:pPr>
              <w:pStyle w:val="MeasureTableTextLeftAligned"/>
            </w:pPr>
          </w:p>
        </w:tc>
      </w:tr>
      <w:tr w:rsidR="00802D3E" w14:paraId="2086F797" w14:textId="77777777" w:rsidTr="00802D3E">
        <w:trPr>
          <w:cantSplit/>
          <w:jc w:val="center"/>
        </w:trPr>
        <w:tc>
          <w:tcPr>
            <w:tcW w:w="1934" w:type="dxa"/>
            <w:gridSpan w:val="2"/>
            <w:tcBorders>
              <w:top w:val="nil"/>
              <w:left w:val="nil"/>
              <w:bottom w:val="nil"/>
              <w:right w:val="nil"/>
            </w:tcBorders>
            <w:hideMark/>
          </w:tcPr>
          <w:p w14:paraId="2086F79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794" w14:textId="77777777" w:rsidR="00802D3E" w:rsidRDefault="00802D3E">
            <w:pPr>
              <w:pStyle w:val="MeasureTableTextLeftAligned"/>
            </w:pPr>
            <w:r>
              <w:t>23 May 1980</w:t>
            </w:r>
          </w:p>
        </w:tc>
        <w:tc>
          <w:tcPr>
            <w:tcW w:w="1500" w:type="dxa"/>
            <w:gridSpan w:val="2"/>
            <w:tcBorders>
              <w:top w:val="nil"/>
              <w:left w:val="nil"/>
              <w:bottom w:val="nil"/>
              <w:right w:val="nil"/>
            </w:tcBorders>
            <w:hideMark/>
          </w:tcPr>
          <w:p w14:paraId="2086F795"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796" w14:textId="77777777" w:rsidR="00802D3E" w:rsidRDefault="00802D3E">
            <w:pPr>
              <w:pStyle w:val="MeasureTableTextLeftAligned"/>
            </w:pPr>
          </w:p>
        </w:tc>
      </w:tr>
      <w:tr w:rsidR="00802D3E" w14:paraId="2086F79A" w14:textId="77777777" w:rsidTr="00802D3E">
        <w:trPr>
          <w:cantSplit/>
          <w:jc w:val="center"/>
        </w:trPr>
        <w:tc>
          <w:tcPr>
            <w:tcW w:w="1934" w:type="dxa"/>
            <w:gridSpan w:val="2"/>
            <w:tcBorders>
              <w:top w:val="nil"/>
              <w:left w:val="nil"/>
              <w:bottom w:val="single" w:sz="2" w:space="0" w:color="auto"/>
              <w:right w:val="nil"/>
            </w:tcBorders>
            <w:hideMark/>
          </w:tcPr>
          <w:p w14:paraId="2086F79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799"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Subdivision 40-F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79B" w14:textId="77777777" w:rsidR="00802D3E" w:rsidRDefault="00802D3E" w:rsidP="00802D3E">
      <w:pPr>
        <w:pStyle w:val="Source"/>
      </w:pPr>
      <w:r>
        <w:t>Note: estimates include tax expenditures B63, B67 and B66</w:t>
      </w:r>
    </w:p>
    <w:p w14:paraId="2086F79C" w14:textId="77777777" w:rsidR="00802D3E" w:rsidRDefault="00802D3E" w:rsidP="00506822">
      <w:pPr>
        <w:pStyle w:val="SingleParagraph"/>
      </w:pPr>
    </w:p>
    <w:p w14:paraId="2086F79D" w14:textId="77777777" w:rsidR="00802D3E" w:rsidRDefault="00802D3E" w:rsidP="00802D3E">
      <w:r>
        <w:t>Primary producers</w:t>
      </w:r>
      <w:r>
        <w:fldChar w:fldCharType="begin"/>
      </w:r>
      <w:r>
        <w:instrText xml:space="preserve"> XE "Primary producers" </w:instrText>
      </w:r>
      <w:r>
        <w:fldChar w:fldCharType="end"/>
      </w:r>
      <w:r>
        <w:t xml:space="preserve"> can immediately deduct capital expenditure on water facilities, such as dams, tanks and pumps, from 12 May 2015</w:t>
      </w:r>
      <w:r>
        <w:fldChar w:fldCharType="begin"/>
      </w:r>
      <w:r>
        <w:instrText xml:space="preserve"> XE "Accelerated depreciation:Water facilities" </w:instrText>
      </w:r>
      <w:r>
        <w:fldChar w:fldCharType="end"/>
      </w:r>
      <w:r>
        <w:t xml:space="preserve">. Previously this expenditure was deductible over three years. The expenditure must be incurred primarily for conserving or conveying water for use in primary production. </w:t>
      </w:r>
    </w:p>
    <w:p w14:paraId="2086F79E" w14:textId="77777777" w:rsidR="00802D3E" w:rsidRDefault="00802D3E" w:rsidP="00802D3E">
      <w:pPr>
        <w:pStyle w:val="TESHeading5"/>
        <w:ind w:left="0" w:firstLine="0"/>
      </w:pPr>
      <w:r>
        <w:t>B64</w:t>
      </w:r>
      <w:r>
        <w:tab/>
        <w:t>Accelerated write-off for horse breeding stock</w:t>
      </w:r>
    </w:p>
    <w:p w14:paraId="2086F79F"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7A8" w14:textId="77777777" w:rsidTr="00802D3E">
        <w:trPr>
          <w:cantSplit/>
          <w:jc w:val="center"/>
        </w:trPr>
        <w:tc>
          <w:tcPr>
            <w:tcW w:w="967" w:type="dxa"/>
            <w:tcBorders>
              <w:top w:val="single" w:sz="2" w:space="0" w:color="auto"/>
              <w:left w:val="nil"/>
              <w:bottom w:val="single" w:sz="2" w:space="0" w:color="auto"/>
              <w:right w:val="nil"/>
            </w:tcBorders>
            <w:hideMark/>
          </w:tcPr>
          <w:p w14:paraId="2086F7A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7A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7A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7A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7A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7A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7A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7A7" w14:textId="77777777" w:rsidR="00802D3E" w:rsidRDefault="00802D3E">
            <w:pPr>
              <w:pStyle w:val="MeasureTableTextRightAligned"/>
            </w:pPr>
            <w:r>
              <w:t>2019-20</w:t>
            </w:r>
          </w:p>
        </w:tc>
      </w:tr>
      <w:tr w:rsidR="00802D3E" w14:paraId="2086F7B1" w14:textId="77777777" w:rsidTr="00802D3E">
        <w:trPr>
          <w:cantSplit/>
          <w:jc w:val="center"/>
        </w:trPr>
        <w:tc>
          <w:tcPr>
            <w:tcW w:w="967" w:type="dxa"/>
            <w:tcBorders>
              <w:top w:val="single" w:sz="2" w:space="0" w:color="auto"/>
              <w:left w:val="nil"/>
              <w:bottom w:val="single" w:sz="2" w:space="0" w:color="auto"/>
              <w:right w:val="nil"/>
            </w:tcBorders>
            <w:hideMark/>
          </w:tcPr>
          <w:p w14:paraId="2086F7A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7A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A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A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A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7A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7AF"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7B0" w14:textId="77777777" w:rsidR="00802D3E" w:rsidRDefault="00802D3E">
            <w:pPr>
              <w:pStyle w:val="MeasureTableTextRightAligned"/>
            </w:pPr>
            <w:r>
              <w:t>*</w:t>
            </w:r>
          </w:p>
        </w:tc>
      </w:tr>
      <w:tr w:rsidR="00802D3E" w14:paraId="2086F7B6" w14:textId="77777777" w:rsidTr="00802D3E">
        <w:trPr>
          <w:cantSplit/>
          <w:jc w:val="center"/>
        </w:trPr>
        <w:tc>
          <w:tcPr>
            <w:tcW w:w="1934" w:type="dxa"/>
            <w:gridSpan w:val="2"/>
            <w:tcBorders>
              <w:top w:val="single" w:sz="2" w:space="0" w:color="auto"/>
              <w:left w:val="nil"/>
              <w:bottom w:val="nil"/>
              <w:right w:val="nil"/>
            </w:tcBorders>
            <w:hideMark/>
          </w:tcPr>
          <w:p w14:paraId="2086F7B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7B3"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7B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7B5" w14:textId="77777777" w:rsidR="00802D3E" w:rsidRDefault="00802D3E">
            <w:pPr>
              <w:pStyle w:val="MeasureTableTextLeftAligned"/>
            </w:pPr>
            <w:r>
              <w:t>B63</w:t>
            </w:r>
          </w:p>
        </w:tc>
      </w:tr>
      <w:tr w:rsidR="00802D3E" w14:paraId="2086F7BB" w14:textId="77777777" w:rsidTr="00802D3E">
        <w:trPr>
          <w:cantSplit/>
          <w:jc w:val="center"/>
        </w:trPr>
        <w:tc>
          <w:tcPr>
            <w:tcW w:w="1934" w:type="dxa"/>
            <w:gridSpan w:val="2"/>
            <w:tcBorders>
              <w:top w:val="nil"/>
              <w:left w:val="nil"/>
              <w:bottom w:val="nil"/>
              <w:right w:val="nil"/>
            </w:tcBorders>
            <w:hideMark/>
          </w:tcPr>
          <w:p w14:paraId="2086F7B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7B8"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7B9"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7BA" w14:textId="77777777" w:rsidR="00802D3E" w:rsidRDefault="00802D3E">
            <w:pPr>
              <w:pStyle w:val="MeasureTableTextLeftAligned"/>
            </w:pPr>
            <w:r>
              <w:t>2+</w:t>
            </w:r>
          </w:p>
        </w:tc>
      </w:tr>
      <w:tr w:rsidR="00802D3E" w14:paraId="2086F7C0" w14:textId="77777777" w:rsidTr="00802D3E">
        <w:trPr>
          <w:cantSplit/>
          <w:jc w:val="center"/>
        </w:trPr>
        <w:tc>
          <w:tcPr>
            <w:tcW w:w="1934" w:type="dxa"/>
            <w:gridSpan w:val="2"/>
            <w:tcBorders>
              <w:top w:val="nil"/>
              <w:left w:val="nil"/>
              <w:bottom w:val="nil"/>
              <w:right w:val="nil"/>
            </w:tcBorders>
            <w:hideMark/>
          </w:tcPr>
          <w:p w14:paraId="2086F7B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7BD" w14:textId="77777777" w:rsidR="00802D3E" w:rsidRDefault="00802D3E">
            <w:pPr>
              <w:pStyle w:val="MeasureTableTextLeftAligned"/>
            </w:pPr>
            <w:r>
              <w:t>1992</w:t>
            </w:r>
          </w:p>
        </w:tc>
        <w:tc>
          <w:tcPr>
            <w:tcW w:w="1500" w:type="dxa"/>
            <w:gridSpan w:val="2"/>
            <w:tcBorders>
              <w:top w:val="nil"/>
              <w:left w:val="nil"/>
              <w:bottom w:val="nil"/>
              <w:right w:val="nil"/>
            </w:tcBorders>
            <w:hideMark/>
          </w:tcPr>
          <w:p w14:paraId="2086F7BE"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7BF" w14:textId="77777777" w:rsidR="00802D3E" w:rsidRDefault="00802D3E">
            <w:pPr>
              <w:pStyle w:val="MeasureTableTextLeftAligned"/>
            </w:pPr>
          </w:p>
        </w:tc>
      </w:tr>
      <w:tr w:rsidR="00802D3E" w14:paraId="2086F7C3" w14:textId="77777777" w:rsidTr="00802D3E">
        <w:trPr>
          <w:cantSplit/>
          <w:jc w:val="center"/>
        </w:trPr>
        <w:tc>
          <w:tcPr>
            <w:tcW w:w="1934" w:type="dxa"/>
            <w:gridSpan w:val="2"/>
            <w:tcBorders>
              <w:top w:val="nil"/>
              <w:left w:val="nil"/>
              <w:bottom w:val="single" w:sz="2" w:space="0" w:color="auto"/>
              <w:right w:val="nil"/>
            </w:tcBorders>
            <w:hideMark/>
          </w:tcPr>
          <w:p w14:paraId="2086F7C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7C2"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Sections 70-60 and 70-65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7C4" w14:textId="77777777" w:rsidR="00802D3E" w:rsidRDefault="00802D3E" w:rsidP="00506822">
      <w:pPr>
        <w:pStyle w:val="SingleParagraph"/>
      </w:pPr>
    </w:p>
    <w:p w14:paraId="2086F7C5" w14:textId="77777777" w:rsidR="00802D3E" w:rsidRDefault="00802D3E" w:rsidP="00802D3E">
      <w:r>
        <w:t>Taxpayers can elect to write off horse breeding stock</w:t>
      </w:r>
      <w:r>
        <w:fldChar w:fldCharType="begin"/>
      </w:r>
      <w:r>
        <w:instrText xml:space="preserve"> XE "Accelerated depreciation:Horse breeding stock" </w:instrText>
      </w:r>
      <w:r>
        <w:fldChar w:fldCharType="end"/>
      </w:r>
      <w:r>
        <w:t>, acquired on or after 19 August 1992, at up to 25 per cent of the cost of sires per annum and up to 33</w:t>
      </w:r>
      <w:r>
        <w:rPr>
          <w:rFonts w:ascii="Times New Roman" w:hAnsi="Times New Roman"/>
        </w:rPr>
        <w:t>⅓</w:t>
      </w:r>
      <w:r>
        <w:t xml:space="preserve"> per cent of the cost of mares per annum, on a prime cost basis. </w:t>
      </w:r>
    </w:p>
    <w:p w14:paraId="2086F7C6" w14:textId="77777777" w:rsidR="00802D3E" w:rsidRDefault="00802D3E" w:rsidP="00802D3E">
      <w:pPr>
        <w:pStyle w:val="TESHeading5"/>
        <w:ind w:left="0" w:firstLine="0"/>
      </w:pPr>
      <w:r>
        <w:t>B65</w:t>
      </w:r>
      <w:r>
        <w:tab/>
        <w:t>Accelerated write-off for horticultural plants</w:t>
      </w:r>
    </w:p>
    <w:p w14:paraId="2086F7C7"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7D0" w14:textId="77777777" w:rsidTr="00802D3E">
        <w:trPr>
          <w:cantSplit/>
          <w:jc w:val="center"/>
        </w:trPr>
        <w:tc>
          <w:tcPr>
            <w:tcW w:w="967" w:type="dxa"/>
            <w:tcBorders>
              <w:top w:val="single" w:sz="2" w:space="0" w:color="auto"/>
              <w:left w:val="nil"/>
              <w:bottom w:val="single" w:sz="2" w:space="0" w:color="auto"/>
              <w:right w:val="nil"/>
            </w:tcBorders>
            <w:hideMark/>
          </w:tcPr>
          <w:p w14:paraId="2086F7C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7C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7C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7C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7C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7C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7C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7CF" w14:textId="77777777" w:rsidR="00802D3E" w:rsidRDefault="00802D3E">
            <w:pPr>
              <w:pStyle w:val="MeasureTableTextRightAligned"/>
            </w:pPr>
            <w:r>
              <w:t>2019-20</w:t>
            </w:r>
          </w:p>
        </w:tc>
      </w:tr>
      <w:tr w:rsidR="00802D3E" w14:paraId="2086F7D9" w14:textId="77777777" w:rsidTr="00802D3E">
        <w:trPr>
          <w:cantSplit/>
          <w:jc w:val="center"/>
        </w:trPr>
        <w:tc>
          <w:tcPr>
            <w:tcW w:w="967" w:type="dxa"/>
            <w:tcBorders>
              <w:top w:val="single" w:sz="2" w:space="0" w:color="auto"/>
              <w:left w:val="nil"/>
              <w:bottom w:val="single" w:sz="2" w:space="0" w:color="auto"/>
              <w:right w:val="nil"/>
            </w:tcBorders>
            <w:hideMark/>
          </w:tcPr>
          <w:p w14:paraId="2086F7D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7D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D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D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7D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7D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7D7"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7D8" w14:textId="77777777" w:rsidR="00802D3E" w:rsidRDefault="00802D3E">
            <w:pPr>
              <w:pStyle w:val="MeasureTableTextRightAligned"/>
            </w:pPr>
            <w:r>
              <w:t>*</w:t>
            </w:r>
          </w:p>
        </w:tc>
      </w:tr>
      <w:tr w:rsidR="00802D3E" w14:paraId="2086F7DE" w14:textId="77777777" w:rsidTr="00802D3E">
        <w:trPr>
          <w:cantSplit/>
          <w:jc w:val="center"/>
        </w:trPr>
        <w:tc>
          <w:tcPr>
            <w:tcW w:w="1934" w:type="dxa"/>
            <w:gridSpan w:val="2"/>
            <w:tcBorders>
              <w:top w:val="single" w:sz="2" w:space="0" w:color="auto"/>
              <w:left w:val="nil"/>
              <w:bottom w:val="nil"/>
              <w:right w:val="nil"/>
            </w:tcBorders>
            <w:hideMark/>
          </w:tcPr>
          <w:p w14:paraId="2086F7D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7DB"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7D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7DD" w14:textId="77777777" w:rsidR="00802D3E" w:rsidRDefault="00802D3E">
            <w:pPr>
              <w:pStyle w:val="MeasureTableTextLeftAligned"/>
            </w:pPr>
            <w:r>
              <w:t>B67</w:t>
            </w:r>
          </w:p>
        </w:tc>
      </w:tr>
      <w:tr w:rsidR="00802D3E" w14:paraId="2086F7E3" w14:textId="77777777" w:rsidTr="00802D3E">
        <w:trPr>
          <w:cantSplit/>
          <w:jc w:val="center"/>
        </w:trPr>
        <w:tc>
          <w:tcPr>
            <w:tcW w:w="1934" w:type="dxa"/>
            <w:gridSpan w:val="2"/>
            <w:tcBorders>
              <w:top w:val="nil"/>
              <w:left w:val="nil"/>
              <w:bottom w:val="nil"/>
              <w:right w:val="nil"/>
            </w:tcBorders>
            <w:hideMark/>
          </w:tcPr>
          <w:p w14:paraId="2086F7D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7E0"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7E1"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7E2" w14:textId="77777777" w:rsidR="00802D3E" w:rsidRDefault="00802D3E">
            <w:pPr>
              <w:pStyle w:val="MeasureTableTextLeftAligned"/>
            </w:pPr>
            <w:r>
              <w:t>1+</w:t>
            </w:r>
          </w:p>
        </w:tc>
      </w:tr>
      <w:tr w:rsidR="00802D3E" w14:paraId="2086F7E8" w14:textId="77777777" w:rsidTr="00802D3E">
        <w:trPr>
          <w:cantSplit/>
          <w:jc w:val="center"/>
        </w:trPr>
        <w:tc>
          <w:tcPr>
            <w:tcW w:w="1934" w:type="dxa"/>
            <w:gridSpan w:val="2"/>
            <w:tcBorders>
              <w:top w:val="nil"/>
              <w:left w:val="nil"/>
              <w:bottom w:val="nil"/>
              <w:right w:val="nil"/>
            </w:tcBorders>
            <w:hideMark/>
          </w:tcPr>
          <w:p w14:paraId="2086F7E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7E5" w14:textId="77777777" w:rsidR="00802D3E" w:rsidRDefault="00802D3E">
            <w:pPr>
              <w:pStyle w:val="MeasureTableTextLeftAligned"/>
            </w:pPr>
            <w:r>
              <w:t>1995</w:t>
            </w:r>
          </w:p>
        </w:tc>
        <w:tc>
          <w:tcPr>
            <w:tcW w:w="1500" w:type="dxa"/>
            <w:gridSpan w:val="2"/>
            <w:tcBorders>
              <w:top w:val="nil"/>
              <w:left w:val="nil"/>
              <w:bottom w:val="nil"/>
              <w:right w:val="nil"/>
            </w:tcBorders>
            <w:hideMark/>
          </w:tcPr>
          <w:p w14:paraId="2086F7E6"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7E7" w14:textId="77777777" w:rsidR="00802D3E" w:rsidRDefault="00802D3E">
            <w:pPr>
              <w:pStyle w:val="MeasureTableTextLeftAligned"/>
            </w:pPr>
          </w:p>
        </w:tc>
      </w:tr>
      <w:tr w:rsidR="00802D3E" w14:paraId="2086F7EB" w14:textId="77777777" w:rsidTr="00802D3E">
        <w:trPr>
          <w:cantSplit/>
          <w:jc w:val="center"/>
        </w:trPr>
        <w:tc>
          <w:tcPr>
            <w:tcW w:w="1934" w:type="dxa"/>
            <w:gridSpan w:val="2"/>
            <w:tcBorders>
              <w:top w:val="nil"/>
              <w:left w:val="nil"/>
              <w:bottom w:val="single" w:sz="2" w:space="0" w:color="auto"/>
              <w:right w:val="nil"/>
            </w:tcBorders>
            <w:hideMark/>
          </w:tcPr>
          <w:p w14:paraId="2086F7E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7EA"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Subdivision 40-F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7EC" w14:textId="77777777" w:rsidR="00802D3E" w:rsidRDefault="00802D3E" w:rsidP="00506822">
      <w:pPr>
        <w:pStyle w:val="SingleParagraph"/>
      </w:pPr>
    </w:p>
    <w:p w14:paraId="2086F7ED" w14:textId="77777777" w:rsidR="00802D3E" w:rsidRDefault="00802D3E" w:rsidP="00802D3E">
      <w:r>
        <w:t>Capital expenditure incurred in establishing horticultural plants</w:t>
      </w:r>
      <w:r>
        <w:fldChar w:fldCharType="begin"/>
      </w:r>
      <w:r>
        <w:instrText xml:space="preserve"> XE "Accelerated depreciation:Horticultural plants" </w:instrText>
      </w:r>
      <w:r>
        <w:fldChar w:fldCharType="end"/>
      </w:r>
      <w:r>
        <w:t xml:space="preserve"> can be written off using an accelerated depreciation regime, with deductions available from the first commercial season. The cost of establishing plants with an effective life of less than three years can be written off in the first commercial year. Plants with an effective life of more than three years can be depreciated over a shorter period than their effective life using the maximum write-off periods set out in the legislation. </w:t>
      </w:r>
    </w:p>
    <w:p w14:paraId="2086F7EE" w14:textId="77777777" w:rsidR="00802D3E" w:rsidRDefault="00802D3E" w:rsidP="00802D3E">
      <w:pPr>
        <w:pStyle w:val="TESHeading5"/>
        <w:ind w:left="0" w:firstLine="0"/>
      </w:pPr>
      <w:r>
        <w:lastRenderedPageBreak/>
        <w:t>B66</w:t>
      </w:r>
      <w:r>
        <w:tab/>
        <w:t>Accelerated write-off for irrigation water providers</w:t>
      </w:r>
    </w:p>
    <w:p w14:paraId="2086F7EF"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7F8" w14:textId="77777777" w:rsidTr="00802D3E">
        <w:trPr>
          <w:cantSplit/>
          <w:jc w:val="center"/>
        </w:trPr>
        <w:tc>
          <w:tcPr>
            <w:tcW w:w="967" w:type="dxa"/>
            <w:tcBorders>
              <w:top w:val="single" w:sz="2" w:space="0" w:color="auto"/>
              <w:left w:val="nil"/>
              <w:bottom w:val="single" w:sz="2" w:space="0" w:color="auto"/>
              <w:right w:val="nil"/>
            </w:tcBorders>
            <w:hideMark/>
          </w:tcPr>
          <w:p w14:paraId="2086F7F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7F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7F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7F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7F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7F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7F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7F7" w14:textId="77777777" w:rsidR="00802D3E" w:rsidRDefault="00802D3E">
            <w:pPr>
              <w:pStyle w:val="MeasureTableTextRightAligned"/>
            </w:pPr>
            <w:r>
              <w:t>2019-20</w:t>
            </w:r>
          </w:p>
        </w:tc>
      </w:tr>
      <w:tr w:rsidR="00802D3E" w14:paraId="2086F7FA" w14:textId="77777777" w:rsidTr="00802D3E">
        <w:trPr>
          <w:cantSplit/>
          <w:jc w:val="center"/>
        </w:trPr>
        <w:tc>
          <w:tcPr>
            <w:tcW w:w="7737" w:type="dxa"/>
            <w:gridSpan w:val="10"/>
            <w:tcBorders>
              <w:top w:val="single" w:sz="2" w:space="0" w:color="auto"/>
              <w:left w:val="nil"/>
              <w:bottom w:val="single" w:sz="2" w:space="0" w:color="auto"/>
              <w:right w:val="nil"/>
            </w:tcBorders>
            <w:hideMark/>
          </w:tcPr>
          <w:p w14:paraId="2086F7F9" w14:textId="77777777" w:rsidR="00802D3E" w:rsidRDefault="00802D3E">
            <w:pPr>
              <w:pStyle w:val="MeasureTableTextRightAligned"/>
              <w:jc w:val="center"/>
            </w:pPr>
            <w:r>
              <w:t>Included in B63</w:t>
            </w:r>
          </w:p>
        </w:tc>
      </w:tr>
      <w:tr w:rsidR="00802D3E" w14:paraId="2086F7FF" w14:textId="77777777" w:rsidTr="00802D3E">
        <w:trPr>
          <w:cantSplit/>
          <w:jc w:val="center"/>
        </w:trPr>
        <w:tc>
          <w:tcPr>
            <w:tcW w:w="1934" w:type="dxa"/>
            <w:gridSpan w:val="2"/>
            <w:tcBorders>
              <w:top w:val="single" w:sz="2" w:space="0" w:color="auto"/>
              <w:left w:val="nil"/>
              <w:bottom w:val="nil"/>
              <w:right w:val="nil"/>
            </w:tcBorders>
            <w:hideMark/>
          </w:tcPr>
          <w:p w14:paraId="2086F7F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7FC"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7F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7FE" w14:textId="77777777" w:rsidR="00802D3E" w:rsidRDefault="00802D3E">
            <w:pPr>
              <w:pStyle w:val="MeasureTableTextLeftAligned"/>
            </w:pPr>
            <w:r>
              <w:t>B68</w:t>
            </w:r>
          </w:p>
        </w:tc>
      </w:tr>
      <w:tr w:rsidR="00802D3E" w14:paraId="2086F804" w14:textId="77777777" w:rsidTr="00802D3E">
        <w:trPr>
          <w:cantSplit/>
          <w:jc w:val="center"/>
        </w:trPr>
        <w:tc>
          <w:tcPr>
            <w:tcW w:w="1934" w:type="dxa"/>
            <w:gridSpan w:val="2"/>
            <w:tcBorders>
              <w:top w:val="nil"/>
              <w:left w:val="nil"/>
              <w:bottom w:val="nil"/>
              <w:right w:val="nil"/>
            </w:tcBorders>
            <w:hideMark/>
          </w:tcPr>
          <w:p w14:paraId="2086F800" w14:textId="77777777" w:rsidR="00802D3E" w:rsidRDefault="00802D3E">
            <w:pPr>
              <w:pStyle w:val="MeasureTableTextItalic"/>
            </w:pPr>
            <w:r>
              <w:t>Estimate Reliability:</w:t>
            </w:r>
          </w:p>
        </w:tc>
        <w:tc>
          <w:tcPr>
            <w:tcW w:w="3179" w:type="dxa"/>
            <w:gridSpan w:val="4"/>
            <w:tcBorders>
              <w:top w:val="nil"/>
              <w:left w:val="nil"/>
              <w:bottom w:val="nil"/>
              <w:right w:val="nil"/>
            </w:tcBorders>
          </w:tcPr>
          <w:p w14:paraId="2086F801" w14:textId="77777777" w:rsidR="00802D3E" w:rsidRDefault="00802D3E">
            <w:pPr>
              <w:pStyle w:val="MeasureTableTextLeftAligned"/>
            </w:pPr>
          </w:p>
        </w:tc>
        <w:tc>
          <w:tcPr>
            <w:tcW w:w="1500" w:type="dxa"/>
            <w:gridSpan w:val="2"/>
            <w:tcBorders>
              <w:top w:val="nil"/>
              <w:left w:val="nil"/>
              <w:bottom w:val="nil"/>
              <w:right w:val="nil"/>
            </w:tcBorders>
          </w:tcPr>
          <w:p w14:paraId="2086F802" w14:textId="77777777" w:rsidR="00802D3E" w:rsidRDefault="00802D3E">
            <w:pPr>
              <w:pStyle w:val="MeasureTableTextItalic"/>
            </w:pPr>
          </w:p>
        </w:tc>
        <w:tc>
          <w:tcPr>
            <w:tcW w:w="1124" w:type="dxa"/>
            <w:gridSpan w:val="2"/>
            <w:tcBorders>
              <w:top w:val="nil"/>
              <w:left w:val="nil"/>
              <w:bottom w:val="nil"/>
              <w:right w:val="nil"/>
            </w:tcBorders>
          </w:tcPr>
          <w:p w14:paraId="2086F803" w14:textId="77777777" w:rsidR="00802D3E" w:rsidRDefault="00802D3E">
            <w:pPr>
              <w:pStyle w:val="MeasureTableTextLeftAligned"/>
            </w:pPr>
          </w:p>
        </w:tc>
      </w:tr>
      <w:tr w:rsidR="00802D3E" w14:paraId="2086F809" w14:textId="77777777" w:rsidTr="00802D3E">
        <w:trPr>
          <w:cantSplit/>
          <w:jc w:val="center"/>
        </w:trPr>
        <w:tc>
          <w:tcPr>
            <w:tcW w:w="1934" w:type="dxa"/>
            <w:gridSpan w:val="2"/>
            <w:tcBorders>
              <w:top w:val="nil"/>
              <w:left w:val="nil"/>
              <w:bottom w:val="nil"/>
              <w:right w:val="nil"/>
            </w:tcBorders>
            <w:hideMark/>
          </w:tcPr>
          <w:p w14:paraId="2086F80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806" w14:textId="77777777" w:rsidR="00802D3E" w:rsidRDefault="00802D3E">
            <w:pPr>
              <w:pStyle w:val="MeasureTableTextLeftAligned"/>
            </w:pPr>
            <w:r>
              <w:t>1 July 2004</w:t>
            </w:r>
          </w:p>
        </w:tc>
        <w:tc>
          <w:tcPr>
            <w:tcW w:w="1500" w:type="dxa"/>
            <w:gridSpan w:val="2"/>
            <w:tcBorders>
              <w:top w:val="nil"/>
              <w:left w:val="nil"/>
              <w:bottom w:val="nil"/>
              <w:right w:val="nil"/>
            </w:tcBorders>
            <w:hideMark/>
          </w:tcPr>
          <w:p w14:paraId="2086F807"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808" w14:textId="77777777" w:rsidR="00802D3E" w:rsidRDefault="00802D3E">
            <w:pPr>
              <w:pStyle w:val="MeasureTableTextLeftAligned"/>
            </w:pPr>
          </w:p>
        </w:tc>
      </w:tr>
      <w:tr w:rsidR="00802D3E" w14:paraId="2086F80C" w14:textId="77777777" w:rsidTr="00802D3E">
        <w:trPr>
          <w:cantSplit/>
          <w:jc w:val="center"/>
        </w:trPr>
        <w:tc>
          <w:tcPr>
            <w:tcW w:w="1934" w:type="dxa"/>
            <w:gridSpan w:val="2"/>
            <w:tcBorders>
              <w:top w:val="nil"/>
              <w:left w:val="nil"/>
              <w:bottom w:val="single" w:sz="2" w:space="0" w:color="auto"/>
              <w:right w:val="nil"/>
            </w:tcBorders>
            <w:hideMark/>
          </w:tcPr>
          <w:p w14:paraId="2086F80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80B" w14:textId="77777777" w:rsidR="00802D3E" w:rsidRDefault="00802D3E" w:rsidP="00B029D6">
            <w:pPr>
              <w:widowControl w:val="0"/>
              <w:autoSpaceDE w:val="0"/>
              <w:autoSpaceDN w:val="0"/>
              <w:adjustRightInd w:val="0"/>
              <w:spacing w:after="0" w:line="240" w:lineRule="auto"/>
              <w:jc w:val="left"/>
            </w:pPr>
            <w:r w:rsidRPr="00720060">
              <w:rPr>
                <w:rFonts w:ascii="Arial" w:hAnsi="Arial" w:cs="Arial"/>
                <w:sz w:val="16"/>
                <w:szCs w:val="16"/>
              </w:rPr>
              <w:t xml:space="preserve">Subdivision 40-F </w:t>
            </w:r>
            <w:r w:rsidRPr="00720060">
              <w:rPr>
                <w:rFonts w:ascii="Arial" w:hAnsi="Arial" w:cs="Arial"/>
                <w:color w:val="000000"/>
                <w:sz w:val="16"/>
                <w:szCs w:val="16"/>
              </w:rPr>
              <w:t xml:space="preserve">of the </w:t>
            </w:r>
            <w:r w:rsidRPr="00720060">
              <w:rPr>
                <w:rFonts w:ascii="Arial" w:hAnsi="Arial" w:cs="Arial"/>
                <w:i/>
                <w:iCs/>
                <w:color w:val="000000"/>
                <w:sz w:val="16"/>
                <w:szCs w:val="16"/>
              </w:rPr>
              <w:t>Income</w:t>
            </w:r>
            <w:r>
              <w:rPr>
                <w:rFonts w:ascii="Arial" w:hAnsi="Arial" w:cs="Arial"/>
                <w:i/>
                <w:iCs/>
                <w:color w:val="000000"/>
                <w:sz w:val="16"/>
                <w:szCs w:val="16"/>
              </w:rPr>
              <w:t xml:space="preserve"> Tax Assessment Act 1997</w:t>
            </w:r>
          </w:p>
        </w:tc>
      </w:tr>
    </w:tbl>
    <w:p w14:paraId="2086F80D" w14:textId="77777777" w:rsidR="00802D3E" w:rsidRDefault="00802D3E" w:rsidP="00506822">
      <w:pPr>
        <w:pStyle w:val="SingleParagraph"/>
      </w:pPr>
    </w:p>
    <w:p w14:paraId="2086F80E" w14:textId="77777777" w:rsidR="00802D3E" w:rsidRDefault="00802D3E" w:rsidP="00802D3E">
      <w:r>
        <w:t xml:space="preserve">Certain irrigation water providers can claim an immediate deduction for capital expenditure on </w:t>
      </w:r>
      <w:proofErr w:type="spellStart"/>
      <w:r>
        <w:t>landcare</w:t>
      </w:r>
      <w:proofErr w:type="spellEnd"/>
      <w:r>
        <w:fldChar w:fldCharType="begin"/>
      </w:r>
      <w:r>
        <w:instrText xml:space="preserve"> XE "Landcare" </w:instrText>
      </w:r>
      <w:r>
        <w:fldChar w:fldCharType="end"/>
      </w:r>
      <w:r>
        <w:t xml:space="preserve"> activities and a deduction for capital expenditure on water facilities</w:t>
      </w:r>
      <w:r>
        <w:fldChar w:fldCharType="begin"/>
      </w:r>
      <w:r>
        <w:instrText xml:space="preserve"> XE "Water facilities" </w:instrText>
      </w:r>
      <w:r>
        <w:fldChar w:fldCharType="end"/>
      </w:r>
      <w:r>
        <w:t xml:space="preserve"> over three years. </w:t>
      </w:r>
    </w:p>
    <w:p w14:paraId="2086F80F" w14:textId="77777777" w:rsidR="00802D3E" w:rsidRDefault="00802D3E" w:rsidP="00802D3E">
      <w:pPr>
        <w:pStyle w:val="TESHeading5"/>
        <w:ind w:left="0" w:firstLine="0"/>
      </w:pPr>
      <w:r>
        <w:t>B67</w:t>
      </w:r>
      <w:r>
        <w:tab/>
        <w:t xml:space="preserve">Accelerated write-off for </w:t>
      </w:r>
      <w:proofErr w:type="spellStart"/>
      <w:r>
        <w:t>landcare</w:t>
      </w:r>
      <w:proofErr w:type="spellEnd"/>
      <w:r>
        <w:t xml:space="preserve"> operations</w:t>
      </w:r>
    </w:p>
    <w:p w14:paraId="2086F810"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819" w14:textId="77777777" w:rsidTr="00802D3E">
        <w:trPr>
          <w:cantSplit/>
          <w:jc w:val="center"/>
        </w:trPr>
        <w:tc>
          <w:tcPr>
            <w:tcW w:w="967" w:type="dxa"/>
            <w:tcBorders>
              <w:top w:val="single" w:sz="2" w:space="0" w:color="auto"/>
              <w:left w:val="nil"/>
              <w:bottom w:val="single" w:sz="2" w:space="0" w:color="auto"/>
              <w:right w:val="nil"/>
            </w:tcBorders>
            <w:hideMark/>
          </w:tcPr>
          <w:p w14:paraId="2086F81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81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81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81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81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81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81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818" w14:textId="77777777" w:rsidR="00802D3E" w:rsidRDefault="00802D3E">
            <w:pPr>
              <w:pStyle w:val="MeasureTableTextRightAligned"/>
            </w:pPr>
            <w:r>
              <w:t>2019-20</w:t>
            </w:r>
          </w:p>
        </w:tc>
      </w:tr>
      <w:tr w:rsidR="00802D3E" w14:paraId="2086F81B" w14:textId="77777777" w:rsidTr="00802D3E">
        <w:trPr>
          <w:cantSplit/>
          <w:jc w:val="center"/>
        </w:trPr>
        <w:tc>
          <w:tcPr>
            <w:tcW w:w="7737" w:type="dxa"/>
            <w:gridSpan w:val="10"/>
            <w:tcBorders>
              <w:top w:val="single" w:sz="2" w:space="0" w:color="auto"/>
              <w:left w:val="nil"/>
              <w:bottom w:val="single" w:sz="2" w:space="0" w:color="auto"/>
              <w:right w:val="nil"/>
            </w:tcBorders>
            <w:hideMark/>
          </w:tcPr>
          <w:p w14:paraId="2086F81A" w14:textId="77777777" w:rsidR="00802D3E" w:rsidRDefault="00802D3E">
            <w:pPr>
              <w:pStyle w:val="MeasureTableTextRightAligned"/>
              <w:jc w:val="center"/>
            </w:pPr>
            <w:r>
              <w:t>Included in B63</w:t>
            </w:r>
          </w:p>
        </w:tc>
      </w:tr>
      <w:tr w:rsidR="00802D3E" w14:paraId="2086F820" w14:textId="77777777" w:rsidTr="00802D3E">
        <w:trPr>
          <w:cantSplit/>
          <w:jc w:val="center"/>
        </w:trPr>
        <w:tc>
          <w:tcPr>
            <w:tcW w:w="1934" w:type="dxa"/>
            <w:gridSpan w:val="2"/>
            <w:tcBorders>
              <w:top w:val="single" w:sz="2" w:space="0" w:color="auto"/>
              <w:left w:val="nil"/>
              <w:bottom w:val="nil"/>
              <w:right w:val="nil"/>
            </w:tcBorders>
            <w:hideMark/>
          </w:tcPr>
          <w:p w14:paraId="2086F81C"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81D"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81E"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81F" w14:textId="77777777" w:rsidR="00802D3E" w:rsidRDefault="00802D3E">
            <w:pPr>
              <w:pStyle w:val="MeasureTableTextLeftAligned"/>
            </w:pPr>
            <w:r>
              <w:t>B65</w:t>
            </w:r>
          </w:p>
        </w:tc>
      </w:tr>
      <w:tr w:rsidR="00802D3E" w14:paraId="2086F825" w14:textId="77777777" w:rsidTr="00802D3E">
        <w:trPr>
          <w:cantSplit/>
          <w:jc w:val="center"/>
        </w:trPr>
        <w:tc>
          <w:tcPr>
            <w:tcW w:w="1934" w:type="dxa"/>
            <w:gridSpan w:val="2"/>
            <w:tcBorders>
              <w:top w:val="nil"/>
              <w:left w:val="nil"/>
              <w:bottom w:val="nil"/>
              <w:right w:val="nil"/>
            </w:tcBorders>
            <w:hideMark/>
          </w:tcPr>
          <w:p w14:paraId="2086F821" w14:textId="77777777" w:rsidR="00802D3E" w:rsidRDefault="00802D3E">
            <w:pPr>
              <w:pStyle w:val="MeasureTableTextItalic"/>
            </w:pPr>
            <w:r>
              <w:t>Estimate Reliability:</w:t>
            </w:r>
          </w:p>
        </w:tc>
        <w:tc>
          <w:tcPr>
            <w:tcW w:w="3179" w:type="dxa"/>
            <w:gridSpan w:val="4"/>
            <w:tcBorders>
              <w:top w:val="nil"/>
              <w:left w:val="nil"/>
              <w:bottom w:val="nil"/>
              <w:right w:val="nil"/>
            </w:tcBorders>
          </w:tcPr>
          <w:p w14:paraId="2086F822" w14:textId="77777777" w:rsidR="00802D3E" w:rsidRDefault="00802D3E">
            <w:pPr>
              <w:pStyle w:val="MeasureTableTextLeftAligned"/>
            </w:pPr>
          </w:p>
        </w:tc>
        <w:tc>
          <w:tcPr>
            <w:tcW w:w="1500" w:type="dxa"/>
            <w:gridSpan w:val="2"/>
            <w:tcBorders>
              <w:top w:val="nil"/>
              <w:left w:val="nil"/>
              <w:bottom w:val="nil"/>
              <w:right w:val="nil"/>
            </w:tcBorders>
          </w:tcPr>
          <w:p w14:paraId="2086F823" w14:textId="77777777" w:rsidR="00802D3E" w:rsidRDefault="00802D3E">
            <w:pPr>
              <w:pStyle w:val="MeasureTableTextItalic"/>
            </w:pPr>
          </w:p>
        </w:tc>
        <w:tc>
          <w:tcPr>
            <w:tcW w:w="1124" w:type="dxa"/>
            <w:gridSpan w:val="2"/>
            <w:tcBorders>
              <w:top w:val="nil"/>
              <w:left w:val="nil"/>
              <w:bottom w:val="nil"/>
              <w:right w:val="nil"/>
            </w:tcBorders>
          </w:tcPr>
          <w:p w14:paraId="2086F824" w14:textId="77777777" w:rsidR="00802D3E" w:rsidRDefault="00802D3E">
            <w:pPr>
              <w:pStyle w:val="MeasureTableTextLeftAligned"/>
            </w:pPr>
          </w:p>
        </w:tc>
      </w:tr>
      <w:tr w:rsidR="00802D3E" w14:paraId="2086F82A" w14:textId="77777777" w:rsidTr="00802D3E">
        <w:trPr>
          <w:cantSplit/>
          <w:jc w:val="center"/>
        </w:trPr>
        <w:tc>
          <w:tcPr>
            <w:tcW w:w="1934" w:type="dxa"/>
            <w:gridSpan w:val="2"/>
            <w:tcBorders>
              <w:top w:val="nil"/>
              <w:left w:val="nil"/>
              <w:bottom w:val="nil"/>
              <w:right w:val="nil"/>
            </w:tcBorders>
            <w:hideMark/>
          </w:tcPr>
          <w:p w14:paraId="2086F826"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827" w14:textId="77777777" w:rsidR="00802D3E" w:rsidRDefault="00802D3E">
            <w:pPr>
              <w:pStyle w:val="MeasureTableTextLeftAligned"/>
            </w:pPr>
            <w:r>
              <w:t>11 December 1973</w:t>
            </w:r>
          </w:p>
        </w:tc>
        <w:tc>
          <w:tcPr>
            <w:tcW w:w="1500" w:type="dxa"/>
            <w:gridSpan w:val="2"/>
            <w:tcBorders>
              <w:top w:val="nil"/>
              <w:left w:val="nil"/>
              <w:bottom w:val="nil"/>
              <w:right w:val="nil"/>
            </w:tcBorders>
            <w:hideMark/>
          </w:tcPr>
          <w:p w14:paraId="2086F828"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829" w14:textId="77777777" w:rsidR="00802D3E" w:rsidRDefault="00802D3E">
            <w:pPr>
              <w:pStyle w:val="MeasureTableTextLeftAligned"/>
            </w:pPr>
          </w:p>
        </w:tc>
      </w:tr>
      <w:tr w:rsidR="00802D3E" w14:paraId="2086F82D" w14:textId="77777777" w:rsidTr="00802D3E">
        <w:trPr>
          <w:cantSplit/>
          <w:jc w:val="center"/>
        </w:trPr>
        <w:tc>
          <w:tcPr>
            <w:tcW w:w="1934" w:type="dxa"/>
            <w:gridSpan w:val="2"/>
            <w:tcBorders>
              <w:top w:val="nil"/>
              <w:left w:val="nil"/>
              <w:bottom w:val="single" w:sz="2" w:space="0" w:color="auto"/>
              <w:right w:val="nil"/>
            </w:tcBorders>
            <w:hideMark/>
          </w:tcPr>
          <w:p w14:paraId="2086F82B"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82C"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Subdivision 40-G of the </w:t>
            </w:r>
            <w:r>
              <w:rPr>
                <w:rFonts w:ascii="Arial" w:hAnsi="Arial" w:cs="Arial"/>
                <w:i/>
                <w:iCs/>
                <w:color w:val="000000"/>
                <w:sz w:val="16"/>
                <w:szCs w:val="16"/>
              </w:rPr>
              <w:t>Income Tax Assessment Act 1997</w:t>
            </w:r>
          </w:p>
        </w:tc>
      </w:tr>
    </w:tbl>
    <w:p w14:paraId="2086F82E" w14:textId="77777777" w:rsidR="00802D3E" w:rsidRDefault="00802D3E" w:rsidP="00506822">
      <w:pPr>
        <w:pStyle w:val="SingleParagraph"/>
      </w:pPr>
    </w:p>
    <w:p w14:paraId="2086F82F" w14:textId="77777777" w:rsidR="00802D3E" w:rsidRDefault="00802D3E" w:rsidP="00802D3E">
      <w:pPr>
        <w:tabs>
          <w:tab w:val="left" w:pos="6237"/>
        </w:tabs>
      </w:pPr>
      <w:r>
        <w:t>Primary producers</w:t>
      </w:r>
      <w:r>
        <w:fldChar w:fldCharType="begin"/>
      </w:r>
      <w:r>
        <w:instrText xml:space="preserve"> XE "Primary producers" </w:instrText>
      </w:r>
      <w:r>
        <w:fldChar w:fldCharType="end"/>
      </w:r>
      <w:r>
        <w:t xml:space="preserve"> and business users of rural land can claim an immediate deduction for capital expenditure on </w:t>
      </w:r>
      <w:proofErr w:type="spellStart"/>
      <w:r>
        <w:t>landcare</w:t>
      </w:r>
      <w:proofErr w:type="spellEnd"/>
      <w:r>
        <w:t xml:space="preserve"> operations, such as constructing a levee or prevention of land degradation. </w:t>
      </w:r>
    </w:p>
    <w:p w14:paraId="2086F830" w14:textId="77777777" w:rsidR="00802D3E" w:rsidRDefault="00802D3E" w:rsidP="00802D3E">
      <w:pPr>
        <w:pStyle w:val="TESHeading5"/>
        <w:ind w:left="0" w:firstLine="0"/>
      </w:pPr>
      <w:r>
        <w:t>B68</w:t>
      </w:r>
      <w:r>
        <w:tab/>
        <w:t>Accelerated write-off for telephone lines and electricity connections</w:t>
      </w:r>
    </w:p>
    <w:p w14:paraId="2086F831"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83A" w14:textId="77777777" w:rsidTr="00802D3E">
        <w:trPr>
          <w:cantSplit/>
          <w:jc w:val="center"/>
        </w:trPr>
        <w:tc>
          <w:tcPr>
            <w:tcW w:w="967" w:type="dxa"/>
            <w:tcBorders>
              <w:top w:val="single" w:sz="2" w:space="0" w:color="auto"/>
              <w:left w:val="nil"/>
              <w:bottom w:val="single" w:sz="2" w:space="0" w:color="auto"/>
              <w:right w:val="nil"/>
            </w:tcBorders>
            <w:hideMark/>
          </w:tcPr>
          <w:p w14:paraId="2086F83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83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83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83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83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83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83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839" w14:textId="77777777" w:rsidR="00802D3E" w:rsidRDefault="00802D3E">
            <w:pPr>
              <w:pStyle w:val="MeasureTableTextRightAligned"/>
            </w:pPr>
            <w:r>
              <w:t>2019-20</w:t>
            </w:r>
          </w:p>
        </w:tc>
      </w:tr>
      <w:tr w:rsidR="00802D3E" w14:paraId="2086F843" w14:textId="77777777" w:rsidTr="00802D3E">
        <w:trPr>
          <w:cantSplit/>
          <w:jc w:val="center"/>
        </w:trPr>
        <w:tc>
          <w:tcPr>
            <w:tcW w:w="967" w:type="dxa"/>
            <w:tcBorders>
              <w:top w:val="single" w:sz="2" w:space="0" w:color="auto"/>
              <w:left w:val="nil"/>
              <w:bottom w:val="single" w:sz="2" w:space="0" w:color="auto"/>
              <w:right w:val="nil"/>
            </w:tcBorders>
            <w:hideMark/>
          </w:tcPr>
          <w:p w14:paraId="2086F83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83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83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83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83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84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841"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842" w14:textId="77777777" w:rsidR="00802D3E" w:rsidRDefault="00802D3E">
            <w:pPr>
              <w:pStyle w:val="MeasureTableTextRightAligned"/>
            </w:pPr>
            <w:r>
              <w:t>*</w:t>
            </w:r>
          </w:p>
        </w:tc>
      </w:tr>
      <w:tr w:rsidR="00802D3E" w14:paraId="2086F848" w14:textId="77777777" w:rsidTr="00802D3E">
        <w:trPr>
          <w:cantSplit/>
          <w:jc w:val="center"/>
        </w:trPr>
        <w:tc>
          <w:tcPr>
            <w:tcW w:w="1934" w:type="dxa"/>
            <w:gridSpan w:val="2"/>
            <w:tcBorders>
              <w:top w:val="single" w:sz="2" w:space="0" w:color="auto"/>
              <w:left w:val="nil"/>
              <w:bottom w:val="nil"/>
              <w:right w:val="nil"/>
            </w:tcBorders>
            <w:hideMark/>
          </w:tcPr>
          <w:p w14:paraId="2086F84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845"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84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847" w14:textId="77777777" w:rsidR="00802D3E" w:rsidRDefault="00802D3E">
            <w:pPr>
              <w:pStyle w:val="MeasureTableTextLeftAligned"/>
            </w:pPr>
            <w:r>
              <w:t>B64</w:t>
            </w:r>
          </w:p>
        </w:tc>
      </w:tr>
      <w:tr w:rsidR="00802D3E" w14:paraId="2086F84D" w14:textId="77777777" w:rsidTr="00802D3E">
        <w:trPr>
          <w:cantSplit/>
          <w:jc w:val="center"/>
        </w:trPr>
        <w:tc>
          <w:tcPr>
            <w:tcW w:w="1934" w:type="dxa"/>
            <w:gridSpan w:val="2"/>
            <w:tcBorders>
              <w:top w:val="nil"/>
              <w:left w:val="nil"/>
              <w:bottom w:val="nil"/>
              <w:right w:val="nil"/>
            </w:tcBorders>
            <w:hideMark/>
          </w:tcPr>
          <w:p w14:paraId="2086F84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84A"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84B"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84C" w14:textId="77777777" w:rsidR="00802D3E" w:rsidRDefault="00802D3E">
            <w:pPr>
              <w:pStyle w:val="MeasureTableTextLeftAligned"/>
            </w:pPr>
            <w:r>
              <w:t>1+</w:t>
            </w:r>
          </w:p>
        </w:tc>
      </w:tr>
      <w:tr w:rsidR="00802D3E" w14:paraId="2086F852" w14:textId="77777777" w:rsidTr="00802D3E">
        <w:trPr>
          <w:cantSplit/>
          <w:jc w:val="center"/>
        </w:trPr>
        <w:tc>
          <w:tcPr>
            <w:tcW w:w="1934" w:type="dxa"/>
            <w:gridSpan w:val="2"/>
            <w:tcBorders>
              <w:top w:val="nil"/>
              <w:left w:val="nil"/>
              <w:bottom w:val="nil"/>
              <w:right w:val="nil"/>
            </w:tcBorders>
            <w:hideMark/>
          </w:tcPr>
          <w:p w14:paraId="2086F84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84F" w14:textId="77777777" w:rsidR="00802D3E" w:rsidRDefault="00802D3E">
            <w:pPr>
              <w:pStyle w:val="MeasureTableTextLeftAligned"/>
            </w:pPr>
            <w:r>
              <w:t>24 June 1981</w:t>
            </w:r>
          </w:p>
        </w:tc>
        <w:tc>
          <w:tcPr>
            <w:tcW w:w="1500" w:type="dxa"/>
            <w:gridSpan w:val="2"/>
            <w:tcBorders>
              <w:top w:val="nil"/>
              <w:left w:val="nil"/>
              <w:bottom w:val="nil"/>
              <w:right w:val="nil"/>
            </w:tcBorders>
            <w:hideMark/>
          </w:tcPr>
          <w:p w14:paraId="2086F850"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851" w14:textId="77777777" w:rsidR="00802D3E" w:rsidRDefault="00802D3E">
            <w:pPr>
              <w:pStyle w:val="MeasureTableTextLeftAligned"/>
            </w:pPr>
          </w:p>
        </w:tc>
      </w:tr>
      <w:tr w:rsidR="00802D3E" w14:paraId="2086F855" w14:textId="77777777" w:rsidTr="00802D3E">
        <w:trPr>
          <w:cantSplit/>
          <w:jc w:val="center"/>
        </w:trPr>
        <w:tc>
          <w:tcPr>
            <w:tcW w:w="1934" w:type="dxa"/>
            <w:gridSpan w:val="2"/>
            <w:tcBorders>
              <w:top w:val="nil"/>
              <w:left w:val="nil"/>
              <w:bottom w:val="single" w:sz="2" w:space="0" w:color="auto"/>
              <w:right w:val="nil"/>
            </w:tcBorders>
            <w:hideMark/>
          </w:tcPr>
          <w:p w14:paraId="2086F85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854"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Subdivision 40-G of the </w:t>
            </w:r>
            <w:r>
              <w:rPr>
                <w:rFonts w:ascii="Arial" w:hAnsi="Arial" w:cs="Arial"/>
                <w:i/>
                <w:iCs/>
                <w:color w:val="000000"/>
                <w:sz w:val="16"/>
                <w:szCs w:val="16"/>
              </w:rPr>
              <w:t>Income Tax Assessment Act 1997</w:t>
            </w:r>
          </w:p>
        </w:tc>
      </w:tr>
    </w:tbl>
    <w:p w14:paraId="2086F856" w14:textId="77777777" w:rsidR="00802D3E" w:rsidRDefault="00802D3E" w:rsidP="00A109BC">
      <w:pPr>
        <w:pStyle w:val="SingleParagraph"/>
      </w:pPr>
    </w:p>
    <w:p w14:paraId="2086F857" w14:textId="77777777" w:rsidR="00802D3E" w:rsidRDefault="00802D3E" w:rsidP="00802D3E">
      <w:r>
        <w:t>Capital expenditure incurred in connecting a telephone line</w:t>
      </w:r>
      <w:r>
        <w:fldChar w:fldCharType="begin"/>
      </w:r>
      <w:r>
        <w:instrText xml:space="preserve"> XE "Accelerated depreciation:Telephone lines and electricity connections" </w:instrText>
      </w:r>
      <w:r>
        <w:fldChar w:fldCharType="end"/>
      </w:r>
      <w:r>
        <w:t xml:space="preserve"> to a primary production property and capital expenditure incurred in connecting or upgrading mains electricity to a property on which a business is conducted can be deducted in equal instalments over 10 years. </w:t>
      </w:r>
    </w:p>
    <w:p w14:paraId="2086F858" w14:textId="77777777" w:rsidR="00802D3E" w:rsidRDefault="00802D3E" w:rsidP="00802D3E">
      <w:pPr>
        <w:pStyle w:val="TESHeading5"/>
        <w:ind w:left="0" w:firstLine="0"/>
      </w:pPr>
      <w:r>
        <w:lastRenderedPageBreak/>
        <w:t>B69</w:t>
      </w:r>
      <w:r>
        <w:tab/>
        <w:t>Absence of depreciation recapture for certain assets</w:t>
      </w:r>
    </w:p>
    <w:p w14:paraId="2086F859" w14:textId="77777777" w:rsidR="00802D3E" w:rsidRDefault="00802D3E" w:rsidP="00802D3E">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862" w14:textId="77777777" w:rsidTr="00802D3E">
        <w:trPr>
          <w:cantSplit/>
          <w:jc w:val="center"/>
        </w:trPr>
        <w:tc>
          <w:tcPr>
            <w:tcW w:w="967" w:type="dxa"/>
            <w:tcBorders>
              <w:top w:val="single" w:sz="2" w:space="0" w:color="auto"/>
              <w:left w:val="nil"/>
              <w:bottom w:val="single" w:sz="2" w:space="0" w:color="auto"/>
              <w:right w:val="nil"/>
            </w:tcBorders>
            <w:hideMark/>
          </w:tcPr>
          <w:p w14:paraId="2086F85A"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85B"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85C"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85D"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85E"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85F"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860"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861" w14:textId="77777777" w:rsidR="00802D3E" w:rsidRDefault="00802D3E">
            <w:pPr>
              <w:pStyle w:val="MeasureTableTextRightAligned"/>
            </w:pPr>
            <w:r>
              <w:t>2019-20</w:t>
            </w:r>
          </w:p>
        </w:tc>
      </w:tr>
      <w:tr w:rsidR="00802D3E" w14:paraId="2086F86B" w14:textId="77777777" w:rsidTr="00802D3E">
        <w:trPr>
          <w:cantSplit/>
          <w:jc w:val="center"/>
        </w:trPr>
        <w:tc>
          <w:tcPr>
            <w:tcW w:w="967" w:type="dxa"/>
            <w:tcBorders>
              <w:top w:val="single" w:sz="2" w:space="0" w:color="auto"/>
              <w:left w:val="nil"/>
              <w:bottom w:val="single" w:sz="2" w:space="0" w:color="auto"/>
              <w:right w:val="nil"/>
            </w:tcBorders>
            <w:hideMark/>
          </w:tcPr>
          <w:p w14:paraId="2086F86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86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86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86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86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86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869"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86A" w14:textId="77777777" w:rsidR="00802D3E" w:rsidRDefault="00802D3E">
            <w:pPr>
              <w:pStyle w:val="MeasureTableTextRightAligned"/>
            </w:pPr>
            <w:r>
              <w:t>*</w:t>
            </w:r>
          </w:p>
        </w:tc>
      </w:tr>
      <w:tr w:rsidR="00802D3E" w14:paraId="2086F870" w14:textId="77777777" w:rsidTr="00802D3E">
        <w:trPr>
          <w:cantSplit/>
          <w:jc w:val="center"/>
        </w:trPr>
        <w:tc>
          <w:tcPr>
            <w:tcW w:w="1934" w:type="dxa"/>
            <w:gridSpan w:val="2"/>
            <w:tcBorders>
              <w:top w:val="single" w:sz="2" w:space="0" w:color="auto"/>
              <w:left w:val="nil"/>
              <w:bottom w:val="nil"/>
              <w:right w:val="nil"/>
            </w:tcBorders>
            <w:hideMark/>
          </w:tcPr>
          <w:p w14:paraId="2086F86C"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86D"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86E"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86F" w14:textId="77777777" w:rsidR="00802D3E" w:rsidRDefault="00802D3E">
            <w:pPr>
              <w:pStyle w:val="MeasureTableTextLeftAligned"/>
            </w:pPr>
            <w:r>
              <w:t>B69</w:t>
            </w:r>
          </w:p>
        </w:tc>
      </w:tr>
      <w:tr w:rsidR="00802D3E" w14:paraId="2086F875" w14:textId="77777777" w:rsidTr="00802D3E">
        <w:trPr>
          <w:cantSplit/>
          <w:jc w:val="center"/>
        </w:trPr>
        <w:tc>
          <w:tcPr>
            <w:tcW w:w="1934" w:type="dxa"/>
            <w:gridSpan w:val="2"/>
            <w:tcBorders>
              <w:top w:val="nil"/>
              <w:left w:val="nil"/>
              <w:bottom w:val="nil"/>
              <w:right w:val="nil"/>
            </w:tcBorders>
            <w:hideMark/>
          </w:tcPr>
          <w:p w14:paraId="2086F871"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872"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873"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874" w14:textId="77777777" w:rsidR="00802D3E" w:rsidRDefault="00802D3E">
            <w:pPr>
              <w:pStyle w:val="MeasureTableTextLeftAligned"/>
            </w:pPr>
            <w:r>
              <w:t>2+</w:t>
            </w:r>
          </w:p>
        </w:tc>
      </w:tr>
      <w:tr w:rsidR="00802D3E" w14:paraId="2086F87A" w14:textId="77777777" w:rsidTr="00802D3E">
        <w:trPr>
          <w:cantSplit/>
          <w:jc w:val="center"/>
        </w:trPr>
        <w:tc>
          <w:tcPr>
            <w:tcW w:w="1934" w:type="dxa"/>
            <w:gridSpan w:val="2"/>
            <w:tcBorders>
              <w:top w:val="nil"/>
              <w:left w:val="nil"/>
              <w:bottom w:val="nil"/>
              <w:right w:val="nil"/>
            </w:tcBorders>
            <w:hideMark/>
          </w:tcPr>
          <w:p w14:paraId="2086F876"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877" w14:textId="77777777" w:rsidR="00802D3E" w:rsidRDefault="00802D3E">
            <w:pPr>
              <w:pStyle w:val="MeasureTableTextLeftAligned"/>
            </w:pPr>
            <w:r>
              <w:t>1982</w:t>
            </w:r>
          </w:p>
        </w:tc>
        <w:tc>
          <w:tcPr>
            <w:tcW w:w="1500" w:type="dxa"/>
            <w:gridSpan w:val="2"/>
            <w:tcBorders>
              <w:top w:val="nil"/>
              <w:left w:val="nil"/>
              <w:bottom w:val="nil"/>
              <w:right w:val="nil"/>
            </w:tcBorders>
            <w:hideMark/>
          </w:tcPr>
          <w:p w14:paraId="2086F878"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879" w14:textId="77777777" w:rsidR="00802D3E" w:rsidRDefault="00802D3E">
            <w:pPr>
              <w:pStyle w:val="MeasureTableTextLeftAligned"/>
            </w:pPr>
          </w:p>
        </w:tc>
      </w:tr>
      <w:tr w:rsidR="00802D3E" w14:paraId="2086F87D" w14:textId="77777777" w:rsidTr="00802D3E">
        <w:trPr>
          <w:cantSplit/>
          <w:jc w:val="center"/>
        </w:trPr>
        <w:tc>
          <w:tcPr>
            <w:tcW w:w="1934" w:type="dxa"/>
            <w:gridSpan w:val="2"/>
            <w:tcBorders>
              <w:top w:val="nil"/>
              <w:left w:val="nil"/>
              <w:bottom w:val="single" w:sz="2" w:space="0" w:color="auto"/>
              <w:right w:val="nil"/>
            </w:tcBorders>
            <w:hideMark/>
          </w:tcPr>
          <w:p w14:paraId="2086F87B"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87C"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Division 43 and Section 110-45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87E" w14:textId="77777777" w:rsidR="00802D3E" w:rsidRDefault="00802D3E" w:rsidP="00A109BC">
      <w:pPr>
        <w:pStyle w:val="SingleParagraph"/>
      </w:pPr>
    </w:p>
    <w:p w14:paraId="2086F87F" w14:textId="77777777" w:rsidR="00802D3E" w:rsidRDefault="00802D3E" w:rsidP="00802D3E">
      <w:r>
        <w:t>Certain buildings and structures</w:t>
      </w:r>
      <w:r>
        <w:fldChar w:fldCharType="begin"/>
      </w:r>
      <w:r>
        <w:instrText xml:space="preserve"> XE "Buildings and structures" </w:instrText>
      </w:r>
      <w:r>
        <w:fldChar w:fldCharType="end"/>
      </w:r>
      <w:r>
        <w:t xml:space="preserve"> receive deductions that are not recaptured by balancing adjustment on disposal of the asset. This tax expenditure is offset by reductions in the capital gains tax cost base of the assets concerned. </w:t>
      </w:r>
    </w:p>
    <w:p w14:paraId="2086F880" w14:textId="77777777" w:rsidR="00802D3E" w:rsidRDefault="00802D3E" w:rsidP="00802D3E">
      <w:pPr>
        <w:pStyle w:val="TESHeading5"/>
        <w:ind w:left="0" w:firstLine="0"/>
      </w:pPr>
      <w:r>
        <w:t>B70</w:t>
      </w:r>
      <w:r>
        <w:tab/>
        <w:t>Exploration and prospecting deduction</w:t>
      </w:r>
    </w:p>
    <w:p w14:paraId="2086F881" w14:textId="77777777" w:rsidR="00802D3E" w:rsidRDefault="00802D3E" w:rsidP="00802D3E">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88A" w14:textId="77777777" w:rsidTr="00802D3E">
        <w:trPr>
          <w:cantSplit/>
          <w:jc w:val="center"/>
        </w:trPr>
        <w:tc>
          <w:tcPr>
            <w:tcW w:w="967" w:type="dxa"/>
            <w:tcBorders>
              <w:top w:val="single" w:sz="2" w:space="0" w:color="auto"/>
              <w:left w:val="nil"/>
              <w:bottom w:val="single" w:sz="2" w:space="0" w:color="auto"/>
              <w:right w:val="nil"/>
            </w:tcBorders>
            <w:hideMark/>
          </w:tcPr>
          <w:p w14:paraId="2086F88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88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88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88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88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88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88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889" w14:textId="77777777" w:rsidR="00802D3E" w:rsidRDefault="00802D3E">
            <w:pPr>
              <w:pStyle w:val="MeasureTableTextRightAligned"/>
            </w:pPr>
            <w:r>
              <w:t>2019-20</w:t>
            </w:r>
          </w:p>
        </w:tc>
      </w:tr>
      <w:tr w:rsidR="00802D3E" w14:paraId="2086F893" w14:textId="77777777" w:rsidTr="00802D3E">
        <w:trPr>
          <w:cantSplit/>
          <w:jc w:val="center"/>
        </w:trPr>
        <w:tc>
          <w:tcPr>
            <w:tcW w:w="967" w:type="dxa"/>
            <w:tcBorders>
              <w:top w:val="single" w:sz="2" w:space="0" w:color="auto"/>
              <w:left w:val="nil"/>
              <w:bottom w:val="single" w:sz="2" w:space="0" w:color="auto"/>
              <w:right w:val="nil"/>
            </w:tcBorders>
            <w:hideMark/>
          </w:tcPr>
          <w:p w14:paraId="2086F88B" w14:textId="77777777" w:rsidR="00802D3E" w:rsidRDefault="00802D3E">
            <w:pPr>
              <w:pStyle w:val="MeasureTableTextRightAligned"/>
            </w:pPr>
            <w:r>
              <w:t>500</w:t>
            </w:r>
          </w:p>
        </w:tc>
        <w:tc>
          <w:tcPr>
            <w:tcW w:w="967" w:type="dxa"/>
            <w:tcBorders>
              <w:top w:val="single" w:sz="2" w:space="0" w:color="auto"/>
              <w:left w:val="nil"/>
              <w:bottom w:val="single" w:sz="2" w:space="0" w:color="auto"/>
              <w:right w:val="nil"/>
            </w:tcBorders>
            <w:hideMark/>
          </w:tcPr>
          <w:p w14:paraId="2086F88C" w14:textId="77777777" w:rsidR="00802D3E" w:rsidRDefault="00802D3E">
            <w:pPr>
              <w:pStyle w:val="MeasureTableTextRightAligned"/>
            </w:pPr>
            <w:r>
              <w:t>-450</w:t>
            </w:r>
          </w:p>
        </w:tc>
        <w:tc>
          <w:tcPr>
            <w:tcW w:w="967" w:type="dxa"/>
            <w:tcBorders>
              <w:top w:val="single" w:sz="2" w:space="0" w:color="auto"/>
              <w:left w:val="nil"/>
              <w:bottom w:val="single" w:sz="2" w:space="0" w:color="auto"/>
              <w:right w:val="nil"/>
            </w:tcBorders>
            <w:vAlign w:val="bottom"/>
            <w:hideMark/>
          </w:tcPr>
          <w:p w14:paraId="2086F88D" w14:textId="77777777" w:rsidR="00802D3E" w:rsidRDefault="00802D3E">
            <w:pPr>
              <w:pStyle w:val="MeasureTableTextRightAligned"/>
            </w:pPr>
            <w:r>
              <w:t>-450</w:t>
            </w:r>
          </w:p>
        </w:tc>
        <w:tc>
          <w:tcPr>
            <w:tcW w:w="967" w:type="dxa"/>
            <w:tcBorders>
              <w:top w:val="single" w:sz="2" w:space="0" w:color="auto"/>
              <w:left w:val="nil"/>
              <w:bottom w:val="single" w:sz="2" w:space="0" w:color="auto"/>
              <w:right w:val="nil"/>
            </w:tcBorders>
            <w:vAlign w:val="bottom"/>
            <w:hideMark/>
          </w:tcPr>
          <w:p w14:paraId="2086F88E" w14:textId="77777777" w:rsidR="00802D3E" w:rsidRDefault="00802D3E">
            <w:pPr>
              <w:pStyle w:val="MeasureTableTextRightAligned"/>
            </w:pPr>
            <w:r>
              <w:t>-450</w:t>
            </w:r>
          </w:p>
        </w:tc>
        <w:tc>
          <w:tcPr>
            <w:tcW w:w="967" w:type="dxa"/>
            <w:tcBorders>
              <w:top w:val="single" w:sz="2" w:space="0" w:color="auto"/>
              <w:left w:val="nil"/>
              <w:bottom w:val="single" w:sz="2" w:space="0" w:color="auto"/>
              <w:right w:val="nil"/>
            </w:tcBorders>
            <w:vAlign w:val="bottom"/>
            <w:hideMark/>
          </w:tcPr>
          <w:p w14:paraId="2086F88F" w14:textId="77777777" w:rsidR="00802D3E" w:rsidRDefault="00802D3E">
            <w:pPr>
              <w:pStyle w:val="MeasureTableTextRightAligned"/>
            </w:pPr>
            <w:r>
              <w:t>-450</w:t>
            </w:r>
          </w:p>
        </w:tc>
        <w:tc>
          <w:tcPr>
            <w:tcW w:w="967" w:type="dxa"/>
            <w:gridSpan w:val="2"/>
            <w:tcBorders>
              <w:top w:val="single" w:sz="2" w:space="0" w:color="auto"/>
              <w:left w:val="nil"/>
              <w:bottom w:val="single" w:sz="2" w:space="0" w:color="auto"/>
              <w:right w:val="nil"/>
            </w:tcBorders>
            <w:vAlign w:val="bottom"/>
            <w:hideMark/>
          </w:tcPr>
          <w:p w14:paraId="2086F890" w14:textId="77777777" w:rsidR="00802D3E" w:rsidRDefault="00802D3E">
            <w:pPr>
              <w:pStyle w:val="MeasureTableTextRightAligned"/>
            </w:pPr>
            <w:r>
              <w:t>-400</w:t>
            </w:r>
          </w:p>
        </w:tc>
        <w:tc>
          <w:tcPr>
            <w:tcW w:w="967" w:type="dxa"/>
            <w:gridSpan w:val="2"/>
            <w:tcBorders>
              <w:top w:val="single" w:sz="2" w:space="0" w:color="auto"/>
              <w:left w:val="nil"/>
              <w:bottom w:val="single" w:sz="2" w:space="0" w:color="auto"/>
              <w:right w:val="nil"/>
            </w:tcBorders>
            <w:vAlign w:val="bottom"/>
            <w:hideMark/>
          </w:tcPr>
          <w:p w14:paraId="2086F891" w14:textId="77777777" w:rsidR="00802D3E" w:rsidRDefault="00802D3E">
            <w:pPr>
              <w:pStyle w:val="MeasureTableTextRightAligned"/>
            </w:pPr>
            <w:r>
              <w:t>-350</w:t>
            </w:r>
          </w:p>
        </w:tc>
        <w:tc>
          <w:tcPr>
            <w:tcW w:w="968" w:type="dxa"/>
            <w:tcBorders>
              <w:top w:val="single" w:sz="2" w:space="0" w:color="auto"/>
              <w:left w:val="nil"/>
              <w:bottom w:val="single" w:sz="2" w:space="0" w:color="auto"/>
              <w:right w:val="nil"/>
            </w:tcBorders>
            <w:vAlign w:val="bottom"/>
            <w:hideMark/>
          </w:tcPr>
          <w:p w14:paraId="2086F892" w14:textId="77777777" w:rsidR="00802D3E" w:rsidRDefault="00802D3E">
            <w:pPr>
              <w:pStyle w:val="MeasureTableTextRightAligned"/>
            </w:pPr>
            <w:r>
              <w:t>-350</w:t>
            </w:r>
          </w:p>
        </w:tc>
      </w:tr>
      <w:tr w:rsidR="00802D3E" w14:paraId="2086F898" w14:textId="77777777" w:rsidTr="00802D3E">
        <w:trPr>
          <w:cantSplit/>
          <w:jc w:val="center"/>
        </w:trPr>
        <w:tc>
          <w:tcPr>
            <w:tcW w:w="1934" w:type="dxa"/>
            <w:gridSpan w:val="2"/>
            <w:tcBorders>
              <w:top w:val="single" w:sz="2" w:space="0" w:color="auto"/>
              <w:left w:val="nil"/>
              <w:bottom w:val="nil"/>
              <w:right w:val="nil"/>
            </w:tcBorders>
            <w:hideMark/>
          </w:tcPr>
          <w:p w14:paraId="2086F89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895"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89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897" w14:textId="77777777" w:rsidR="00802D3E" w:rsidRDefault="00802D3E">
            <w:pPr>
              <w:pStyle w:val="MeasureTableTextLeftAligned"/>
            </w:pPr>
            <w:r>
              <w:t>B70</w:t>
            </w:r>
          </w:p>
        </w:tc>
      </w:tr>
      <w:tr w:rsidR="00802D3E" w14:paraId="2086F89D" w14:textId="77777777" w:rsidTr="00802D3E">
        <w:trPr>
          <w:cantSplit/>
          <w:jc w:val="center"/>
        </w:trPr>
        <w:tc>
          <w:tcPr>
            <w:tcW w:w="1934" w:type="dxa"/>
            <w:gridSpan w:val="2"/>
            <w:tcBorders>
              <w:top w:val="nil"/>
              <w:left w:val="nil"/>
              <w:bottom w:val="nil"/>
              <w:right w:val="nil"/>
            </w:tcBorders>
            <w:hideMark/>
          </w:tcPr>
          <w:p w14:paraId="2086F89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89A"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89B" w14:textId="77777777" w:rsidR="00802D3E" w:rsidRDefault="00802D3E">
            <w:pPr>
              <w:pStyle w:val="MeasureTableTextItalic"/>
            </w:pPr>
          </w:p>
        </w:tc>
        <w:tc>
          <w:tcPr>
            <w:tcW w:w="1124" w:type="dxa"/>
            <w:gridSpan w:val="2"/>
            <w:tcBorders>
              <w:top w:val="nil"/>
              <w:left w:val="nil"/>
              <w:bottom w:val="nil"/>
              <w:right w:val="nil"/>
            </w:tcBorders>
          </w:tcPr>
          <w:p w14:paraId="2086F89C" w14:textId="77777777" w:rsidR="00802D3E" w:rsidRDefault="00802D3E">
            <w:pPr>
              <w:pStyle w:val="MeasureTableTextLeftAligned"/>
            </w:pPr>
          </w:p>
        </w:tc>
      </w:tr>
      <w:tr w:rsidR="00802D3E" w14:paraId="2086F8A2" w14:textId="77777777" w:rsidTr="00802D3E">
        <w:trPr>
          <w:cantSplit/>
          <w:jc w:val="center"/>
        </w:trPr>
        <w:tc>
          <w:tcPr>
            <w:tcW w:w="1934" w:type="dxa"/>
            <w:gridSpan w:val="2"/>
            <w:tcBorders>
              <w:top w:val="nil"/>
              <w:left w:val="nil"/>
              <w:bottom w:val="nil"/>
              <w:right w:val="nil"/>
            </w:tcBorders>
            <w:hideMark/>
          </w:tcPr>
          <w:p w14:paraId="2086F89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89F" w14:textId="77777777" w:rsidR="00802D3E" w:rsidRDefault="00802D3E">
            <w:pPr>
              <w:pStyle w:val="MeasureTableTextLeftAligned"/>
            </w:pPr>
            <w:r>
              <w:t>1968</w:t>
            </w:r>
          </w:p>
        </w:tc>
        <w:tc>
          <w:tcPr>
            <w:tcW w:w="1500" w:type="dxa"/>
            <w:gridSpan w:val="2"/>
            <w:tcBorders>
              <w:top w:val="nil"/>
              <w:left w:val="nil"/>
              <w:bottom w:val="nil"/>
              <w:right w:val="nil"/>
            </w:tcBorders>
            <w:hideMark/>
          </w:tcPr>
          <w:p w14:paraId="2086F8A0"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8A1" w14:textId="77777777" w:rsidR="00802D3E" w:rsidRDefault="00802D3E">
            <w:pPr>
              <w:pStyle w:val="MeasureTableTextLeftAligned"/>
            </w:pPr>
          </w:p>
        </w:tc>
      </w:tr>
      <w:tr w:rsidR="00802D3E" w14:paraId="2086F8A5" w14:textId="77777777" w:rsidTr="00802D3E">
        <w:trPr>
          <w:cantSplit/>
          <w:jc w:val="center"/>
        </w:trPr>
        <w:tc>
          <w:tcPr>
            <w:tcW w:w="1934" w:type="dxa"/>
            <w:gridSpan w:val="2"/>
            <w:tcBorders>
              <w:top w:val="nil"/>
              <w:left w:val="nil"/>
              <w:bottom w:val="single" w:sz="2" w:space="0" w:color="auto"/>
              <w:right w:val="nil"/>
            </w:tcBorders>
            <w:hideMark/>
          </w:tcPr>
          <w:p w14:paraId="2086F8A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8A4"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Sections 40-25 and 40-730, and Subsections 40-80(1) and 40-95(12) of the </w:t>
            </w:r>
            <w:r>
              <w:rPr>
                <w:rFonts w:ascii="Arial" w:hAnsi="Arial" w:cs="Arial"/>
                <w:i/>
                <w:iCs/>
                <w:color w:val="000000"/>
                <w:sz w:val="16"/>
                <w:szCs w:val="16"/>
              </w:rPr>
              <w:t>Income Tax Assessment Act 1997</w:t>
            </w:r>
          </w:p>
        </w:tc>
      </w:tr>
    </w:tbl>
    <w:p w14:paraId="2086F8A6" w14:textId="77777777" w:rsidR="00802D3E" w:rsidRDefault="00802D3E" w:rsidP="00A109BC">
      <w:pPr>
        <w:pStyle w:val="SingleParagraph"/>
      </w:pPr>
    </w:p>
    <w:p w14:paraId="2086F8A7" w14:textId="77777777" w:rsidR="00802D3E" w:rsidRDefault="00802D3E" w:rsidP="00A109BC">
      <w:pPr>
        <w:rPr>
          <w:color w:val="auto"/>
        </w:rPr>
      </w:pPr>
      <w:r>
        <w:t>Expenditure on exploration</w:t>
      </w:r>
      <w:r>
        <w:fldChar w:fldCharType="begin"/>
      </w:r>
      <w:r>
        <w:instrText xml:space="preserve"> XE "Exploration" </w:instrText>
      </w:r>
      <w:r>
        <w:fldChar w:fldCharType="end"/>
      </w:r>
      <w:r>
        <w:t xml:space="preserve"> or prospecting</w:t>
      </w:r>
      <w:r>
        <w:fldChar w:fldCharType="begin"/>
      </w:r>
      <w:r>
        <w:instrText xml:space="preserve"> XE "Prospecting" </w:instrText>
      </w:r>
      <w:r>
        <w:fldChar w:fldCharType="end"/>
      </w:r>
      <w:r>
        <w:t xml:space="preserve"> for the purpose of mining (including for petroleum) and quarrying</w:t>
      </w:r>
      <w:r>
        <w:fldChar w:fldCharType="begin"/>
      </w:r>
      <w:r>
        <w:instrText xml:space="preserve"> XE "Mining and quarrying" </w:instrText>
      </w:r>
      <w:r>
        <w:fldChar w:fldCharType="end"/>
      </w:r>
      <w:r>
        <w:t xml:space="preserve"> is immediately deductible. In addition, the cost of a depreciating asset is immediately deductible if the taxpayer first uses the asset for exploration or prospecting for minerals (including petroleum) or quarry materials obtainable by mining operations, subject to certain conditions. </w:t>
      </w:r>
    </w:p>
    <w:p w14:paraId="2086F8A8" w14:textId="77777777" w:rsidR="00802D3E" w:rsidRDefault="00802D3E" w:rsidP="00802D3E">
      <w:pPr>
        <w:rPr>
          <w:color w:val="auto"/>
        </w:rPr>
      </w:pPr>
      <w:r>
        <w:t xml:space="preserve">From 14 May 2013, the cost of a mining, quarrying or prospecting right or information first used for exploration is generally deductible over its effective life or 15 years, whichever is shorter. However, realignment and farm-in, farm-out arrangements remain immediately deductible. </w:t>
      </w:r>
    </w:p>
    <w:p w14:paraId="2086F8A9" w14:textId="77777777" w:rsidR="00802D3E" w:rsidRDefault="00802D3E" w:rsidP="00802D3E">
      <w:pPr>
        <w:pStyle w:val="TESHeading5"/>
        <w:ind w:left="0" w:firstLine="0"/>
      </w:pPr>
      <w:r>
        <w:t>B71</w:t>
      </w:r>
      <w:r>
        <w:tab/>
        <w:t>Statutory effective life caps</w:t>
      </w:r>
    </w:p>
    <w:p w14:paraId="2086F8AA" w14:textId="77777777" w:rsidR="00802D3E" w:rsidRDefault="00802D3E" w:rsidP="00802D3E">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8B3" w14:textId="77777777" w:rsidTr="00802D3E">
        <w:trPr>
          <w:cantSplit/>
          <w:jc w:val="center"/>
        </w:trPr>
        <w:tc>
          <w:tcPr>
            <w:tcW w:w="967" w:type="dxa"/>
            <w:tcBorders>
              <w:top w:val="single" w:sz="2" w:space="0" w:color="auto"/>
              <w:left w:val="nil"/>
              <w:bottom w:val="single" w:sz="2" w:space="0" w:color="auto"/>
              <w:right w:val="nil"/>
            </w:tcBorders>
            <w:hideMark/>
          </w:tcPr>
          <w:p w14:paraId="2086F8AB"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8AC"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8AD"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8AE"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8AF"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8B0"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8B1"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8B2" w14:textId="77777777" w:rsidR="00802D3E" w:rsidRDefault="00802D3E">
            <w:pPr>
              <w:pStyle w:val="MeasureTableTextRightAligned"/>
            </w:pPr>
            <w:r>
              <w:t>2019-20</w:t>
            </w:r>
          </w:p>
        </w:tc>
      </w:tr>
      <w:tr w:rsidR="00802D3E" w14:paraId="2086F8BC" w14:textId="77777777" w:rsidTr="00802D3E">
        <w:trPr>
          <w:cantSplit/>
          <w:jc w:val="center"/>
        </w:trPr>
        <w:tc>
          <w:tcPr>
            <w:tcW w:w="967" w:type="dxa"/>
            <w:tcBorders>
              <w:top w:val="single" w:sz="2" w:space="0" w:color="auto"/>
              <w:left w:val="nil"/>
              <w:bottom w:val="single" w:sz="2" w:space="0" w:color="auto"/>
              <w:right w:val="nil"/>
            </w:tcBorders>
            <w:hideMark/>
          </w:tcPr>
          <w:p w14:paraId="2086F8B4" w14:textId="77777777" w:rsidR="00802D3E" w:rsidRDefault="00802D3E">
            <w:pPr>
              <w:pStyle w:val="MeasureTableTextRightAligned"/>
            </w:pPr>
            <w:r>
              <w:t>1,710</w:t>
            </w:r>
          </w:p>
        </w:tc>
        <w:tc>
          <w:tcPr>
            <w:tcW w:w="967" w:type="dxa"/>
            <w:tcBorders>
              <w:top w:val="single" w:sz="2" w:space="0" w:color="auto"/>
              <w:left w:val="nil"/>
              <w:bottom w:val="single" w:sz="2" w:space="0" w:color="auto"/>
              <w:right w:val="nil"/>
            </w:tcBorders>
            <w:hideMark/>
          </w:tcPr>
          <w:p w14:paraId="2086F8B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8B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8B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8B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8B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8BA"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8BB" w14:textId="77777777" w:rsidR="00802D3E" w:rsidRDefault="00802D3E">
            <w:pPr>
              <w:pStyle w:val="MeasureTableTextRightAligned"/>
            </w:pPr>
            <w:r>
              <w:t>*</w:t>
            </w:r>
          </w:p>
        </w:tc>
      </w:tr>
      <w:tr w:rsidR="00802D3E" w14:paraId="2086F8C1" w14:textId="77777777" w:rsidTr="00802D3E">
        <w:trPr>
          <w:cantSplit/>
          <w:jc w:val="center"/>
        </w:trPr>
        <w:tc>
          <w:tcPr>
            <w:tcW w:w="1934" w:type="dxa"/>
            <w:gridSpan w:val="2"/>
            <w:tcBorders>
              <w:top w:val="single" w:sz="2" w:space="0" w:color="auto"/>
              <w:left w:val="nil"/>
              <w:bottom w:val="nil"/>
              <w:right w:val="nil"/>
            </w:tcBorders>
            <w:hideMark/>
          </w:tcPr>
          <w:p w14:paraId="2086F8BD"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8BE"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8BF"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8C0" w14:textId="77777777" w:rsidR="00802D3E" w:rsidRDefault="00802D3E">
            <w:pPr>
              <w:pStyle w:val="MeasureTableTextLeftAligned"/>
            </w:pPr>
            <w:r>
              <w:t>B71</w:t>
            </w:r>
          </w:p>
        </w:tc>
      </w:tr>
      <w:tr w:rsidR="00802D3E" w14:paraId="2086F8C6" w14:textId="77777777" w:rsidTr="00802D3E">
        <w:trPr>
          <w:cantSplit/>
          <w:jc w:val="center"/>
        </w:trPr>
        <w:tc>
          <w:tcPr>
            <w:tcW w:w="1934" w:type="dxa"/>
            <w:gridSpan w:val="2"/>
            <w:tcBorders>
              <w:top w:val="nil"/>
              <w:left w:val="nil"/>
              <w:bottom w:val="nil"/>
              <w:right w:val="nil"/>
            </w:tcBorders>
            <w:hideMark/>
          </w:tcPr>
          <w:p w14:paraId="2086F8C2"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8C3" w14:textId="77777777" w:rsidR="00802D3E" w:rsidRDefault="00802D3E">
            <w:pPr>
              <w:pStyle w:val="MeasureTableTextLeftAligned"/>
            </w:pPr>
            <w:r>
              <w:t>Low</w:t>
            </w:r>
          </w:p>
        </w:tc>
        <w:tc>
          <w:tcPr>
            <w:tcW w:w="1500" w:type="dxa"/>
            <w:gridSpan w:val="2"/>
            <w:tcBorders>
              <w:top w:val="nil"/>
              <w:left w:val="nil"/>
              <w:bottom w:val="nil"/>
              <w:right w:val="nil"/>
            </w:tcBorders>
            <w:hideMark/>
          </w:tcPr>
          <w:p w14:paraId="2086F8C4"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8C5" w14:textId="77777777" w:rsidR="00802D3E" w:rsidRDefault="00802D3E">
            <w:pPr>
              <w:pStyle w:val="MeasureTableTextLeftAligned"/>
            </w:pPr>
            <w:r>
              <w:t>4+</w:t>
            </w:r>
          </w:p>
        </w:tc>
      </w:tr>
      <w:tr w:rsidR="00802D3E" w14:paraId="2086F8CB" w14:textId="77777777" w:rsidTr="00802D3E">
        <w:trPr>
          <w:cantSplit/>
          <w:jc w:val="center"/>
        </w:trPr>
        <w:tc>
          <w:tcPr>
            <w:tcW w:w="1934" w:type="dxa"/>
            <w:gridSpan w:val="2"/>
            <w:tcBorders>
              <w:top w:val="nil"/>
              <w:left w:val="nil"/>
              <w:bottom w:val="nil"/>
              <w:right w:val="nil"/>
            </w:tcBorders>
            <w:hideMark/>
          </w:tcPr>
          <w:p w14:paraId="2086F8C7"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8C8" w14:textId="77777777" w:rsidR="00802D3E" w:rsidRDefault="00802D3E">
            <w:pPr>
              <w:pStyle w:val="MeasureTableTextLeftAligned"/>
            </w:pPr>
            <w:r>
              <w:t>2002</w:t>
            </w:r>
          </w:p>
        </w:tc>
        <w:tc>
          <w:tcPr>
            <w:tcW w:w="1500" w:type="dxa"/>
            <w:gridSpan w:val="2"/>
            <w:tcBorders>
              <w:top w:val="nil"/>
              <w:left w:val="nil"/>
              <w:bottom w:val="nil"/>
              <w:right w:val="nil"/>
            </w:tcBorders>
            <w:hideMark/>
          </w:tcPr>
          <w:p w14:paraId="2086F8C9"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8CA" w14:textId="77777777" w:rsidR="00802D3E" w:rsidRDefault="00802D3E">
            <w:pPr>
              <w:pStyle w:val="MeasureTableTextLeftAligned"/>
            </w:pPr>
          </w:p>
        </w:tc>
      </w:tr>
      <w:tr w:rsidR="00802D3E" w14:paraId="2086F8CE" w14:textId="77777777" w:rsidTr="00802D3E">
        <w:trPr>
          <w:cantSplit/>
          <w:jc w:val="center"/>
        </w:trPr>
        <w:tc>
          <w:tcPr>
            <w:tcW w:w="1934" w:type="dxa"/>
            <w:gridSpan w:val="2"/>
            <w:tcBorders>
              <w:top w:val="nil"/>
              <w:left w:val="nil"/>
              <w:bottom w:val="single" w:sz="2" w:space="0" w:color="auto"/>
              <w:right w:val="nil"/>
            </w:tcBorders>
            <w:hideMark/>
          </w:tcPr>
          <w:p w14:paraId="2086F8C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8CD"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40-102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8CF" w14:textId="77777777" w:rsidR="00802D3E" w:rsidRDefault="00802D3E" w:rsidP="00A109BC">
      <w:pPr>
        <w:pStyle w:val="SingleParagraph"/>
      </w:pPr>
    </w:p>
    <w:p w14:paraId="2086F8D0" w14:textId="2672D657" w:rsidR="00802D3E" w:rsidRDefault="00802D3E" w:rsidP="00802D3E">
      <w:r>
        <w:t>Statutory effective life caps provide a shorter write</w:t>
      </w:r>
      <w:r>
        <w:noBreakHyphen/>
        <w:t>off period for some assets, where the cap is below the effective life determined by the Commissioner of Taxation.</w:t>
      </w:r>
      <w:r>
        <w:fldChar w:fldCharType="begin"/>
      </w:r>
      <w:r>
        <w:instrText xml:space="preserve"> XE "Accelerated depreciation:Statutory effective life caps" </w:instrText>
      </w:r>
      <w:r>
        <w:fldChar w:fldCharType="end"/>
      </w:r>
      <w:r>
        <w:t xml:space="preserve"> </w:t>
      </w:r>
      <w:r>
        <w:lastRenderedPageBreak/>
        <w:t xml:space="preserve">Statutory caps exist for assets such as aircraft, trucks, truck trailers, buses, tractors and harvesters. </w:t>
      </w:r>
    </w:p>
    <w:p w14:paraId="2086F8D1" w14:textId="77777777" w:rsidR="00802D3E" w:rsidRDefault="00802D3E" w:rsidP="00802D3E">
      <w:pPr>
        <w:pStyle w:val="TESHeading5"/>
        <w:ind w:left="0" w:firstLine="0"/>
      </w:pPr>
      <w:r>
        <w:t>B72</w:t>
      </w:r>
      <w:r>
        <w:tab/>
        <w:t>Accelerated depreciation for in-house software</w:t>
      </w:r>
    </w:p>
    <w:p w14:paraId="2086F8D2"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8DB" w14:textId="77777777" w:rsidTr="00802D3E">
        <w:trPr>
          <w:cantSplit/>
          <w:jc w:val="center"/>
        </w:trPr>
        <w:tc>
          <w:tcPr>
            <w:tcW w:w="967" w:type="dxa"/>
            <w:tcBorders>
              <w:top w:val="single" w:sz="2" w:space="0" w:color="auto"/>
              <w:left w:val="nil"/>
              <w:bottom w:val="single" w:sz="2" w:space="0" w:color="auto"/>
              <w:right w:val="nil"/>
            </w:tcBorders>
            <w:hideMark/>
          </w:tcPr>
          <w:p w14:paraId="2086F8D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8D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8D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8D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8D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8D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8D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8DA" w14:textId="77777777" w:rsidR="00802D3E" w:rsidRDefault="00802D3E">
            <w:pPr>
              <w:pStyle w:val="MeasureTableTextRightAligned"/>
            </w:pPr>
            <w:r>
              <w:t>2019-20</w:t>
            </w:r>
          </w:p>
        </w:tc>
      </w:tr>
      <w:tr w:rsidR="00802D3E" w14:paraId="2086F8E4" w14:textId="77777777" w:rsidTr="00802D3E">
        <w:trPr>
          <w:cantSplit/>
          <w:jc w:val="center"/>
        </w:trPr>
        <w:tc>
          <w:tcPr>
            <w:tcW w:w="967" w:type="dxa"/>
            <w:tcBorders>
              <w:top w:val="single" w:sz="2" w:space="0" w:color="auto"/>
              <w:left w:val="nil"/>
              <w:bottom w:val="single" w:sz="2" w:space="0" w:color="auto"/>
              <w:right w:val="nil"/>
            </w:tcBorders>
            <w:hideMark/>
          </w:tcPr>
          <w:p w14:paraId="2086F8DC" w14:textId="77777777" w:rsidR="00802D3E" w:rsidRDefault="00802D3E">
            <w:pPr>
              <w:pStyle w:val="MeasureTableTextRightAligned"/>
            </w:pPr>
            <w:r>
              <w:t>-80</w:t>
            </w:r>
          </w:p>
        </w:tc>
        <w:tc>
          <w:tcPr>
            <w:tcW w:w="967" w:type="dxa"/>
            <w:tcBorders>
              <w:top w:val="single" w:sz="2" w:space="0" w:color="auto"/>
              <w:left w:val="nil"/>
              <w:bottom w:val="single" w:sz="2" w:space="0" w:color="auto"/>
              <w:right w:val="nil"/>
            </w:tcBorders>
            <w:hideMark/>
          </w:tcPr>
          <w:p w14:paraId="2086F8DD"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6F8DE" w14:textId="77777777" w:rsidR="00802D3E" w:rsidRDefault="00802D3E">
            <w:pPr>
              <w:pStyle w:val="MeasureTableTextRightAligned"/>
            </w:pPr>
            <w:r>
              <w:t>15</w:t>
            </w:r>
          </w:p>
        </w:tc>
        <w:tc>
          <w:tcPr>
            <w:tcW w:w="967" w:type="dxa"/>
            <w:tcBorders>
              <w:top w:val="single" w:sz="2" w:space="0" w:color="auto"/>
              <w:left w:val="nil"/>
              <w:bottom w:val="single" w:sz="2" w:space="0" w:color="auto"/>
              <w:right w:val="nil"/>
            </w:tcBorders>
            <w:vAlign w:val="bottom"/>
            <w:hideMark/>
          </w:tcPr>
          <w:p w14:paraId="2086F8D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8E0" w14:textId="77777777" w:rsidR="00802D3E" w:rsidRDefault="00802D3E">
            <w:pPr>
              <w:pStyle w:val="MeasureTableTextRightAligned"/>
            </w:pPr>
            <w:r>
              <w:t>-50</w:t>
            </w:r>
          </w:p>
        </w:tc>
        <w:tc>
          <w:tcPr>
            <w:tcW w:w="967" w:type="dxa"/>
            <w:gridSpan w:val="2"/>
            <w:tcBorders>
              <w:top w:val="single" w:sz="2" w:space="0" w:color="auto"/>
              <w:left w:val="nil"/>
              <w:bottom w:val="single" w:sz="2" w:space="0" w:color="auto"/>
              <w:right w:val="nil"/>
            </w:tcBorders>
            <w:vAlign w:val="bottom"/>
            <w:hideMark/>
          </w:tcPr>
          <w:p w14:paraId="2086F8E1" w14:textId="77777777" w:rsidR="00802D3E" w:rsidRDefault="00802D3E">
            <w:pPr>
              <w:pStyle w:val="MeasureTableTextRightAligned"/>
            </w:pPr>
            <w:r>
              <w:t>-120</w:t>
            </w:r>
          </w:p>
        </w:tc>
        <w:tc>
          <w:tcPr>
            <w:tcW w:w="967" w:type="dxa"/>
            <w:gridSpan w:val="2"/>
            <w:tcBorders>
              <w:top w:val="single" w:sz="2" w:space="0" w:color="auto"/>
              <w:left w:val="nil"/>
              <w:bottom w:val="single" w:sz="2" w:space="0" w:color="auto"/>
              <w:right w:val="nil"/>
            </w:tcBorders>
            <w:vAlign w:val="bottom"/>
            <w:hideMark/>
          </w:tcPr>
          <w:p w14:paraId="2086F8E2" w14:textId="77777777" w:rsidR="00802D3E" w:rsidRDefault="00802D3E">
            <w:pPr>
              <w:pStyle w:val="MeasureTableTextRightAligned"/>
            </w:pPr>
            <w:r>
              <w:t>-195</w:t>
            </w:r>
          </w:p>
        </w:tc>
        <w:tc>
          <w:tcPr>
            <w:tcW w:w="968" w:type="dxa"/>
            <w:tcBorders>
              <w:top w:val="single" w:sz="2" w:space="0" w:color="auto"/>
              <w:left w:val="nil"/>
              <w:bottom w:val="single" w:sz="2" w:space="0" w:color="auto"/>
              <w:right w:val="nil"/>
            </w:tcBorders>
            <w:vAlign w:val="bottom"/>
            <w:hideMark/>
          </w:tcPr>
          <w:p w14:paraId="2086F8E3" w14:textId="77777777" w:rsidR="00802D3E" w:rsidRDefault="00802D3E">
            <w:pPr>
              <w:pStyle w:val="MeasureTableTextRightAligned"/>
            </w:pPr>
            <w:r>
              <w:t>-175</w:t>
            </w:r>
          </w:p>
        </w:tc>
      </w:tr>
      <w:tr w:rsidR="00802D3E" w14:paraId="2086F8E9" w14:textId="77777777" w:rsidTr="00802D3E">
        <w:trPr>
          <w:cantSplit/>
          <w:jc w:val="center"/>
        </w:trPr>
        <w:tc>
          <w:tcPr>
            <w:tcW w:w="1934" w:type="dxa"/>
            <w:gridSpan w:val="2"/>
            <w:tcBorders>
              <w:top w:val="single" w:sz="2" w:space="0" w:color="auto"/>
              <w:left w:val="nil"/>
              <w:bottom w:val="nil"/>
              <w:right w:val="nil"/>
            </w:tcBorders>
            <w:hideMark/>
          </w:tcPr>
          <w:p w14:paraId="2086F8E5"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8E6"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8E7"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8E8" w14:textId="77777777" w:rsidR="00802D3E" w:rsidRDefault="00802D3E">
            <w:pPr>
              <w:pStyle w:val="MeasureTableTextLeftAligned"/>
            </w:pPr>
            <w:r>
              <w:t>B72</w:t>
            </w:r>
          </w:p>
        </w:tc>
      </w:tr>
      <w:tr w:rsidR="00802D3E" w14:paraId="2086F8EE" w14:textId="77777777" w:rsidTr="00802D3E">
        <w:trPr>
          <w:cantSplit/>
          <w:jc w:val="center"/>
        </w:trPr>
        <w:tc>
          <w:tcPr>
            <w:tcW w:w="1934" w:type="dxa"/>
            <w:gridSpan w:val="2"/>
            <w:tcBorders>
              <w:top w:val="nil"/>
              <w:left w:val="nil"/>
              <w:bottom w:val="nil"/>
              <w:right w:val="nil"/>
            </w:tcBorders>
            <w:hideMark/>
          </w:tcPr>
          <w:p w14:paraId="2086F8EA"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8EB" w14:textId="77777777" w:rsidR="00802D3E" w:rsidRDefault="00802D3E">
            <w:pPr>
              <w:pStyle w:val="MeasureTableTextLeftAligned"/>
            </w:pPr>
            <w:r>
              <w:t>Low</w:t>
            </w:r>
          </w:p>
        </w:tc>
        <w:tc>
          <w:tcPr>
            <w:tcW w:w="1500" w:type="dxa"/>
            <w:gridSpan w:val="2"/>
            <w:tcBorders>
              <w:top w:val="nil"/>
              <w:left w:val="nil"/>
              <w:bottom w:val="nil"/>
              <w:right w:val="nil"/>
            </w:tcBorders>
          </w:tcPr>
          <w:p w14:paraId="2086F8EC" w14:textId="77777777" w:rsidR="00802D3E" w:rsidRDefault="00802D3E">
            <w:pPr>
              <w:pStyle w:val="MeasureTableTextItalic"/>
            </w:pPr>
          </w:p>
        </w:tc>
        <w:tc>
          <w:tcPr>
            <w:tcW w:w="1124" w:type="dxa"/>
            <w:gridSpan w:val="2"/>
            <w:tcBorders>
              <w:top w:val="nil"/>
              <w:left w:val="nil"/>
              <w:bottom w:val="nil"/>
              <w:right w:val="nil"/>
            </w:tcBorders>
          </w:tcPr>
          <w:p w14:paraId="2086F8ED" w14:textId="77777777" w:rsidR="00802D3E" w:rsidRDefault="00802D3E">
            <w:pPr>
              <w:pStyle w:val="MeasureTableTextLeftAligned"/>
            </w:pPr>
          </w:p>
        </w:tc>
      </w:tr>
      <w:tr w:rsidR="00802D3E" w14:paraId="2086F8F3" w14:textId="77777777" w:rsidTr="00802D3E">
        <w:trPr>
          <w:cantSplit/>
          <w:jc w:val="center"/>
        </w:trPr>
        <w:tc>
          <w:tcPr>
            <w:tcW w:w="1934" w:type="dxa"/>
            <w:gridSpan w:val="2"/>
            <w:tcBorders>
              <w:top w:val="nil"/>
              <w:left w:val="nil"/>
              <w:bottom w:val="nil"/>
              <w:right w:val="nil"/>
            </w:tcBorders>
            <w:hideMark/>
          </w:tcPr>
          <w:p w14:paraId="2086F8EF"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8F0" w14:textId="77777777" w:rsidR="00802D3E" w:rsidRDefault="00802D3E">
            <w:pPr>
              <w:pStyle w:val="MeasureTableTextLeftAligned"/>
            </w:pPr>
            <w:r>
              <w:t>1998</w:t>
            </w:r>
          </w:p>
        </w:tc>
        <w:tc>
          <w:tcPr>
            <w:tcW w:w="1500" w:type="dxa"/>
            <w:gridSpan w:val="2"/>
            <w:tcBorders>
              <w:top w:val="nil"/>
              <w:left w:val="nil"/>
              <w:bottom w:val="nil"/>
              <w:right w:val="nil"/>
            </w:tcBorders>
            <w:hideMark/>
          </w:tcPr>
          <w:p w14:paraId="2086F8F1"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8F2" w14:textId="77777777" w:rsidR="00802D3E" w:rsidRDefault="00802D3E">
            <w:pPr>
              <w:pStyle w:val="MeasureTableTextLeftAligned"/>
            </w:pPr>
          </w:p>
        </w:tc>
      </w:tr>
      <w:tr w:rsidR="00802D3E" w14:paraId="2086F8F6" w14:textId="77777777" w:rsidTr="00802D3E">
        <w:trPr>
          <w:cantSplit/>
          <w:jc w:val="center"/>
        </w:trPr>
        <w:tc>
          <w:tcPr>
            <w:tcW w:w="1934" w:type="dxa"/>
            <w:gridSpan w:val="2"/>
            <w:tcBorders>
              <w:top w:val="nil"/>
              <w:left w:val="nil"/>
              <w:bottom w:val="single" w:sz="2" w:space="0" w:color="auto"/>
              <w:right w:val="nil"/>
            </w:tcBorders>
            <w:hideMark/>
          </w:tcPr>
          <w:p w14:paraId="2086F8F4"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8F5"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Subdivisions 40-B and 40-E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8F7" w14:textId="77777777" w:rsidR="00802D3E" w:rsidRDefault="00802D3E" w:rsidP="00A109BC">
      <w:pPr>
        <w:pStyle w:val="SingleParagraph"/>
      </w:pPr>
    </w:p>
    <w:p w14:paraId="2086F8F8" w14:textId="77777777" w:rsidR="00802D3E" w:rsidRDefault="0051476F" w:rsidP="00802D3E">
      <w:r>
        <w:fldChar w:fldCharType="begin"/>
      </w:r>
      <w:r>
        <w:instrText xml:space="preserve"> XE "Accelerated depreciation:Software" </w:instrText>
      </w:r>
      <w:r>
        <w:fldChar w:fldCharType="end"/>
      </w:r>
      <w:r w:rsidR="00802D3E">
        <w:t>Expenditure on acquiring in-house software is depreciated over a statutory effective life of four years, rather than an effective life that is self</w:t>
      </w:r>
      <w:r w:rsidR="00802D3E">
        <w:noBreakHyphen/>
        <w:t xml:space="preserve">assessed by the taxpayer or that is determined by the Commissioner of Taxation. Expenditure incurred on developing software may be allocated to a software development pool and deducted over four years, enabling a deduction to be claimed during development and before completion. </w:t>
      </w:r>
    </w:p>
    <w:p w14:paraId="2086F8F9" w14:textId="77777777" w:rsidR="00802D3E" w:rsidRDefault="00802D3E" w:rsidP="00802D3E">
      <w:r>
        <w:t>From 1 July 2015, the statutory effective life was increased to five years, which is consistent with the benchmark treatment.</w:t>
      </w:r>
    </w:p>
    <w:p w14:paraId="2086F8FA" w14:textId="77777777" w:rsidR="00802D3E" w:rsidRDefault="00802D3E" w:rsidP="00802D3E">
      <w:r>
        <w:t>From 1 July 2016, businesses will have the option to self-assess the effective life of acquired in-house software.</w:t>
      </w:r>
    </w:p>
    <w:p w14:paraId="2086F8FB" w14:textId="77777777" w:rsidR="00802D3E" w:rsidRDefault="00802D3E" w:rsidP="00802D3E">
      <w:pPr>
        <w:pStyle w:val="TESHeading5"/>
        <w:ind w:left="0" w:firstLine="0"/>
      </w:pPr>
      <w:r>
        <w:t>B73</w:t>
      </w:r>
      <w:r>
        <w:tab/>
        <w:t>Capital works expenditure deduction</w:t>
      </w:r>
    </w:p>
    <w:p w14:paraId="2086F8FC"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905" w14:textId="77777777" w:rsidTr="00802D3E">
        <w:trPr>
          <w:cantSplit/>
          <w:jc w:val="center"/>
        </w:trPr>
        <w:tc>
          <w:tcPr>
            <w:tcW w:w="967" w:type="dxa"/>
            <w:tcBorders>
              <w:top w:val="single" w:sz="2" w:space="0" w:color="auto"/>
              <w:left w:val="nil"/>
              <w:bottom w:val="single" w:sz="2" w:space="0" w:color="auto"/>
              <w:right w:val="nil"/>
            </w:tcBorders>
            <w:hideMark/>
          </w:tcPr>
          <w:p w14:paraId="2086F8F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8F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8F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90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90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90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90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904" w14:textId="77777777" w:rsidR="00802D3E" w:rsidRDefault="00802D3E">
            <w:pPr>
              <w:pStyle w:val="MeasureTableTextRightAligned"/>
            </w:pPr>
            <w:r>
              <w:t>2019-20</w:t>
            </w:r>
          </w:p>
        </w:tc>
      </w:tr>
      <w:tr w:rsidR="00802D3E" w14:paraId="2086F90E" w14:textId="77777777" w:rsidTr="00802D3E">
        <w:trPr>
          <w:cantSplit/>
          <w:jc w:val="center"/>
        </w:trPr>
        <w:tc>
          <w:tcPr>
            <w:tcW w:w="967" w:type="dxa"/>
            <w:tcBorders>
              <w:top w:val="single" w:sz="2" w:space="0" w:color="auto"/>
              <w:left w:val="nil"/>
              <w:bottom w:val="single" w:sz="2" w:space="0" w:color="auto"/>
              <w:right w:val="nil"/>
            </w:tcBorders>
            <w:hideMark/>
          </w:tcPr>
          <w:p w14:paraId="2086F906" w14:textId="77777777" w:rsidR="00802D3E" w:rsidRDefault="00802D3E">
            <w:pPr>
              <w:pStyle w:val="MeasureTableTextRightAligned"/>
            </w:pPr>
            <w:r>
              <w:t>895</w:t>
            </w:r>
          </w:p>
        </w:tc>
        <w:tc>
          <w:tcPr>
            <w:tcW w:w="967" w:type="dxa"/>
            <w:tcBorders>
              <w:top w:val="single" w:sz="2" w:space="0" w:color="auto"/>
              <w:left w:val="nil"/>
              <w:bottom w:val="single" w:sz="2" w:space="0" w:color="auto"/>
              <w:right w:val="nil"/>
            </w:tcBorders>
            <w:hideMark/>
          </w:tcPr>
          <w:p w14:paraId="2086F907" w14:textId="77777777" w:rsidR="00802D3E" w:rsidRDefault="00802D3E">
            <w:pPr>
              <w:pStyle w:val="MeasureTableTextRightAligned"/>
            </w:pPr>
            <w:r>
              <w:t>960</w:t>
            </w:r>
          </w:p>
        </w:tc>
        <w:tc>
          <w:tcPr>
            <w:tcW w:w="967" w:type="dxa"/>
            <w:tcBorders>
              <w:top w:val="single" w:sz="2" w:space="0" w:color="auto"/>
              <w:left w:val="nil"/>
              <w:bottom w:val="single" w:sz="2" w:space="0" w:color="auto"/>
              <w:right w:val="nil"/>
            </w:tcBorders>
            <w:vAlign w:val="bottom"/>
            <w:hideMark/>
          </w:tcPr>
          <w:p w14:paraId="2086F908" w14:textId="77777777" w:rsidR="00802D3E" w:rsidRDefault="00802D3E">
            <w:pPr>
              <w:pStyle w:val="MeasureTableTextRightAligned"/>
            </w:pPr>
            <w:r>
              <w:t>1,030</w:t>
            </w:r>
          </w:p>
        </w:tc>
        <w:tc>
          <w:tcPr>
            <w:tcW w:w="967" w:type="dxa"/>
            <w:tcBorders>
              <w:top w:val="single" w:sz="2" w:space="0" w:color="auto"/>
              <w:left w:val="nil"/>
              <w:bottom w:val="single" w:sz="2" w:space="0" w:color="auto"/>
              <w:right w:val="nil"/>
            </w:tcBorders>
            <w:vAlign w:val="bottom"/>
            <w:hideMark/>
          </w:tcPr>
          <w:p w14:paraId="2086F909" w14:textId="77777777" w:rsidR="00802D3E" w:rsidRDefault="00802D3E">
            <w:pPr>
              <w:pStyle w:val="MeasureTableTextRightAligned"/>
            </w:pPr>
            <w:r>
              <w:t>1,090</w:t>
            </w:r>
          </w:p>
        </w:tc>
        <w:tc>
          <w:tcPr>
            <w:tcW w:w="967" w:type="dxa"/>
            <w:tcBorders>
              <w:top w:val="single" w:sz="2" w:space="0" w:color="auto"/>
              <w:left w:val="nil"/>
              <w:bottom w:val="single" w:sz="2" w:space="0" w:color="auto"/>
              <w:right w:val="nil"/>
            </w:tcBorders>
            <w:vAlign w:val="bottom"/>
            <w:hideMark/>
          </w:tcPr>
          <w:p w14:paraId="2086F90A" w14:textId="77777777" w:rsidR="00802D3E" w:rsidRDefault="00802D3E">
            <w:pPr>
              <w:pStyle w:val="MeasureTableTextRightAligned"/>
            </w:pPr>
            <w:r>
              <w:t>1,165</w:t>
            </w:r>
          </w:p>
        </w:tc>
        <w:tc>
          <w:tcPr>
            <w:tcW w:w="967" w:type="dxa"/>
            <w:gridSpan w:val="2"/>
            <w:tcBorders>
              <w:top w:val="single" w:sz="2" w:space="0" w:color="auto"/>
              <w:left w:val="nil"/>
              <w:bottom w:val="single" w:sz="2" w:space="0" w:color="auto"/>
              <w:right w:val="nil"/>
            </w:tcBorders>
            <w:vAlign w:val="bottom"/>
            <w:hideMark/>
          </w:tcPr>
          <w:p w14:paraId="2086F90B" w14:textId="77777777" w:rsidR="00802D3E" w:rsidRDefault="00802D3E">
            <w:pPr>
              <w:pStyle w:val="MeasureTableTextRightAligned"/>
            </w:pPr>
            <w:r>
              <w:t>1,240</w:t>
            </w:r>
          </w:p>
        </w:tc>
        <w:tc>
          <w:tcPr>
            <w:tcW w:w="967" w:type="dxa"/>
            <w:gridSpan w:val="2"/>
            <w:tcBorders>
              <w:top w:val="single" w:sz="2" w:space="0" w:color="auto"/>
              <w:left w:val="nil"/>
              <w:bottom w:val="single" w:sz="2" w:space="0" w:color="auto"/>
              <w:right w:val="nil"/>
            </w:tcBorders>
            <w:vAlign w:val="bottom"/>
            <w:hideMark/>
          </w:tcPr>
          <w:p w14:paraId="2086F90C" w14:textId="77777777" w:rsidR="00802D3E" w:rsidRDefault="00802D3E">
            <w:pPr>
              <w:pStyle w:val="MeasureTableTextRightAligned"/>
            </w:pPr>
            <w:r>
              <w:t>1,320</w:t>
            </w:r>
          </w:p>
        </w:tc>
        <w:tc>
          <w:tcPr>
            <w:tcW w:w="968" w:type="dxa"/>
            <w:tcBorders>
              <w:top w:val="single" w:sz="2" w:space="0" w:color="auto"/>
              <w:left w:val="nil"/>
              <w:bottom w:val="single" w:sz="2" w:space="0" w:color="auto"/>
              <w:right w:val="nil"/>
            </w:tcBorders>
            <w:vAlign w:val="bottom"/>
            <w:hideMark/>
          </w:tcPr>
          <w:p w14:paraId="2086F90D" w14:textId="77777777" w:rsidR="00802D3E" w:rsidRDefault="00802D3E">
            <w:pPr>
              <w:pStyle w:val="MeasureTableTextRightAligned"/>
            </w:pPr>
            <w:r>
              <w:t>1,410</w:t>
            </w:r>
          </w:p>
        </w:tc>
      </w:tr>
      <w:tr w:rsidR="00802D3E" w14:paraId="2086F913" w14:textId="77777777" w:rsidTr="00802D3E">
        <w:trPr>
          <w:cantSplit/>
          <w:jc w:val="center"/>
        </w:trPr>
        <w:tc>
          <w:tcPr>
            <w:tcW w:w="1934" w:type="dxa"/>
            <w:gridSpan w:val="2"/>
            <w:tcBorders>
              <w:top w:val="single" w:sz="2" w:space="0" w:color="auto"/>
              <w:left w:val="nil"/>
              <w:bottom w:val="nil"/>
              <w:right w:val="nil"/>
            </w:tcBorders>
            <w:hideMark/>
          </w:tcPr>
          <w:p w14:paraId="2086F90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910"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91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912" w14:textId="77777777" w:rsidR="00802D3E" w:rsidRDefault="00802D3E">
            <w:pPr>
              <w:pStyle w:val="MeasureTableTextLeftAligned"/>
            </w:pPr>
            <w:r>
              <w:t>B73</w:t>
            </w:r>
          </w:p>
        </w:tc>
      </w:tr>
      <w:tr w:rsidR="00802D3E" w14:paraId="2086F918" w14:textId="77777777" w:rsidTr="00802D3E">
        <w:trPr>
          <w:cantSplit/>
          <w:jc w:val="center"/>
        </w:trPr>
        <w:tc>
          <w:tcPr>
            <w:tcW w:w="1934" w:type="dxa"/>
            <w:gridSpan w:val="2"/>
            <w:tcBorders>
              <w:top w:val="nil"/>
              <w:left w:val="nil"/>
              <w:bottom w:val="nil"/>
              <w:right w:val="nil"/>
            </w:tcBorders>
            <w:hideMark/>
          </w:tcPr>
          <w:p w14:paraId="2086F91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915" w14:textId="77777777" w:rsidR="00802D3E" w:rsidRDefault="00802D3E">
            <w:pPr>
              <w:pStyle w:val="MeasureTableTextLeftAligned"/>
            </w:pPr>
            <w:r>
              <w:t>Low</w:t>
            </w:r>
          </w:p>
        </w:tc>
        <w:tc>
          <w:tcPr>
            <w:tcW w:w="1500" w:type="dxa"/>
            <w:gridSpan w:val="2"/>
            <w:tcBorders>
              <w:top w:val="nil"/>
              <w:left w:val="nil"/>
              <w:bottom w:val="nil"/>
              <w:right w:val="nil"/>
            </w:tcBorders>
          </w:tcPr>
          <w:p w14:paraId="2086F916" w14:textId="77777777" w:rsidR="00802D3E" w:rsidRDefault="00802D3E">
            <w:pPr>
              <w:pStyle w:val="MeasureTableTextItalic"/>
            </w:pPr>
          </w:p>
        </w:tc>
        <w:tc>
          <w:tcPr>
            <w:tcW w:w="1124" w:type="dxa"/>
            <w:gridSpan w:val="2"/>
            <w:tcBorders>
              <w:top w:val="nil"/>
              <w:left w:val="nil"/>
              <w:bottom w:val="nil"/>
              <w:right w:val="nil"/>
            </w:tcBorders>
          </w:tcPr>
          <w:p w14:paraId="2086F917" w14:textId="77777777" w:rsidR="00802D3E" w:rsidRDefault="00802D3E">
            <w:pPr>
              <w:pStyle w:val="MeasureTableTextLeftAligned"/>
            </w:pPr>
          </w:p>
        </w:tc>
      </w:tr>
      <w:tr w:rsidR="00802D3E" w14:paraId="2086F91D" w14:textId="77777777" w:rsidTr="00802D3E">
        <w:trPr>
          <w:cantSplit/>
          <w:jc w:val="center"/>
        </w:trPr>
        <w:tc>
          <w:tcPr>
            <w:tcW w:w="1934" w:type="dxa"/>
            <w:gridSpan w:val="2"/>
            <w:tcBorders>
              <w:top w:val="nil"/>
              <w:left w:val="nil"/>
              <w:bottom w:val="nil"/>
              <w:right w:val="nil"/>
            </w:tcBorders>
            <w:hideMark/>
          </w:tcPr>
          <w:p w14:paraId="2086F91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91A" w14:textId="77777777" w:rsidR="00802D3E" w:rsidRDefault="00802D3E">
            <w:pPr>
              <w:pStyle w:val="MeasureTableTextLeftAligned"/>
            </w:pPr>
            <w:r>
              <w:t>21 August 1979</w:t>
            </w:r>
          </w:p>
        </w:tc>
        <w:tc>
          <w:tcPr>
            <w:tcW w:w="1500" w:type="dxa"/>
            <w:gridSpan w:val="2"/>
            <w:tcBorders>
              <w:top w:val="nil"/>
              <w:left w:val="nil"/>
              <w:bottom w:val="nil"/>
              <w:right w:val="nil"/>
            </w:tcBorders>
            <w:hideMark/>
          </w:tcPr>
          <w:p w14:paraId="2086F91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91C" w14:textId="77777777" w:rsidR="00802D3E" w:rsidRDefault="00802D3E">
            <w:pPr>
              <w:pStyle w:val="MeasureTableTextLeftAligned"/>
            </w:pPr>
          </w:p>
        </w:tc>
      </w:tr>
      <w:tr w:rsidR="00802D3E" w14:paraId="2086F920" w14:textId="77777777" w:rsidTr="00802D3E">
        <w:trPr>
          <w:cantSplit/>
          <w:jc w:val="center"/>
        </w:trPr>
        <w:tc>
          <w:tcPr>
            <w:tcW w:w="1934" w:type="dxa"/>
            <w:gridSpan w:val="2"/>
            <w:tcBorders>
              <w:top w:val="nil"/>
              <w:left w:val="nil"/>
              <w:bottom w:val="single" w:sz="2" w:space="0" w:color="auto"/>
              <w:right w:val="nil"/>
            </w:tcBorders>
            <w:hideMark/>
          </w:tcPr>
          <w:p w14:paraId="2086F91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91F"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Division 43 of the</w:t>
            </w:r>
            <w:r>
              <w:rPr>
                <w:rFonts w:ascii="Arial" w:hAnsi="Arial" w:cs="Arial"/>
                <w:i/>
                <w:iCs/>
                <w:color w:val="000000"/>
                <w:sz w:val="16"/>
                <w:szCs w:val="16"/>
              </w:rPr>
              <w:t xml:space="preserve"> Income Tax Assessment Act 1997</w:t>
            </w:r>
          </w:p>
        </w:tc>
      </w:tr>
    </w:tbl>
    <w:p w14:paraId="2086F921" w14:textId="77777777" w:rsidR="00802D3E" w:rsidRDefault="00802D3E" w:rsidP="00A109BC">
      <w:pPr>
        <w:pStyle w:val="SingleParagraph"/>
      </w:pPr>
    </w:p>
    <w:p w14:paraId="2086F922" w14:textId="1E9589D8" w:rsidR="00802D3E" w:rsidRDefault="00802D3E" w:rsidP="00802D3E">
      <w:pPr>
        <w:autoSpaceDE w:val="0"/>
        <w:autoSpaceDN w:val="0"/>
        <w:adjustRightInd w:val="0"/>
      </w:pPr>
      <w:r>
        <w:rPr>
          <w:rFonts w:cs="Book Antiqua"/>
        </w:rPr>
        <w:t>A taxpayer can claim a deduction for capital works expenditure</w:t>
      </w:r>
      <w:r>
        <w:rPr>
          <w:rFonts w:cs="Book Antiqua"/>
        </w:rPr>
        <w:fldChar w:fldCharType="begin"/>
      </w:r>
      <w:r>
        <w:instrText xml:space="preserve"> XE "Accelerated depreciation:</w:instrText>
      </w:r>
      <w:r>
        <w:rPr>
          <w:rFonts w:cs="Book Antiqua"/>
        </w:rPr>
        <w:instrText>Capital works expenditure</w:instrText>
      </w:r>
      <w:r>
        <w:instrText xml:space="preserve">" </w:instrText>
      </w:r>
      <w:r>
        <w:rPr>
          <w:rFonts w:cs="Book Antiqua"/>
        </w:rPr>
        <w:fldChar w:fldCharType="end"/>
      </w:r>
      <w:r>
        <w:rPr>
          <w:rFonts w:cs="Book Antiqua"/>
        </w:rPr>
        <w:t xml:space="preserve"> </w:t>
      </w:r>
      <w:r>
        <w:t>over a period that is generally shorter than the effective life of the asset.</w:t>
      </w:r>
      <w:r>
        <w:rPr>
          <w:rFonts w:cs="Book Antiqua"/>
        </w:rPr>
        <w:t xml:space="preserve"> Capital works can be deducted at either 2.5 per cent (over 40 years) or 4 per cent (over 25 years) of the construction expenditure, depending on when construction started and how the capital works are used.</w:t>
      </w:r>
      <w:r>
        <w:t xml:space="preserve"> </w:t>
      </w:r>
    </w:p>
    <w:p w14:paraId="2086F923" w14:textId="77777777" w:rsidR="00802D3E" w:rsidRDefault="00802D3E" w:rsidP="00802D3E">
      <w:pPr>
        <w:pStyle w:val="TESHeading5"/>
        <w:ind w:left="0" w:firstLine="0"/>
      </w:pPr>
      <w:r>
        <w:lastRenderedPageBreak/>
        <w:t>B74</w:t>
      </w:r>
      <w:r>
        <w:tab/>
        <w:t>Depreciation balancing adjustment roll-over relief</w:t>
      </w:r>
    </w:p>
    <w:p w14:paraId="2086F924"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92D" w14:textId="77777777" w:rsidTr="00802D3E">
        <w:trPr>
          <w:cantSplit/>
          <w:jc w:val="center"/>
        </w:trPr>
        <w:tc>
          <w:tcPr>
            <w:tcW w:w="967" w:type="dxa"/>
            <w:tcBorders>
              <w:top w:val="single" w:sz="2" w:space="0" w:color="auto"/>
              <w:left w:val="nil"/>
              <w:bottom w:val="single" w:sz="2" w:space="0" w:color="auto"/>
              <w:right w:val="nil"/>
            </w:tcBorders>
            <w:hideMark/>
          </w:tcPr>
          <w:p w14:paraId="2086F92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92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92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92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92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92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92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92C" w14:textId="77777777" w:rsidR="00802D3E" w:rsidRDefault="00802D3E">
            <w:pPr>
              <w:pStyle w:val="MeasureTableTextRightAligned"/>
            </w:pPr>
            <w:r>
              <w:t>2019-20</w:t>
            </w:r>
          </w:p>
        </w:tc>
      </w:tr>
      <w:tr w:rsidR="00802D3E" w14:paraId="2086F936" w14:textId="77777777" w:rsidTr="00802D3E">
        <w:trPr>
          <w:cantSplit/>
          <w:jc w:val="center"/>
        </w:trPr>
        <w:tc>
          <w:tcPr>
            <w:tcW w:w="967" w:type="dxa"/>
            <w:tcBorders>
              <w:top w:val="single" w:sz="2" w:space="0" w:color="auto"/>
              <w:left w:val="nil"/>
              <w:bottom w:val="single" w:sz="2" w:space="0" w:color="auto"/>
              <w:right w:val="nil"/>
            </w:tcBorders>
            <w:hideMark/>
          </w:tcPr>
          <w:p w14:paraId="2086F92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92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93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93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93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93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93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935" w14:textId="77777777" w:rsidR="00802D3E" w:rsidRDefault="00802D3E">
            <w:pPr>
              <w:pStyle w:val="MeasureTableTextRightAligned"/>
            </w:pPr>
            <w:r>
              <w:t>*</w:t>
            </w:r>
          </w:p>
        </w:tc>
      </w:tr>
      <w:tr w:rsidR="00802D3E" w14:paraId="2086F93B" w14:textId="77777777" w:rsidTr="00802D3E">
        <w:trPr>
          <w:cantSplit/>
          <w:jc w:val="center"/>
        </w:trPr>
        <w:tc>
          <w:tcPr>
            <w:tcW w:w="1934" w:type="dxa"/>
            <w:gridSpan w:val="2"/>
            <w:tcBorders>
              <w:top w:val="single" w:sz="2" w:space="0" w:color="auto"/>
              <w:left w:val="nil"/>
              <w:bottom w:val="nil"/>
              <w:right w:val="nil"/>
            </w:tcBorders>
            <w:hideMark/>
          </w:tcPr>
          <w:p w14:paraId="2086F93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938"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6F93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93A" w14:textId="77777777" w:rsidR="00802D3E" w:rsidRDefault="00802D3E">
            <w:pPr>
              <w:pStyle w:val="MeasureTableTextLeftAligned"/>
            </w:pPr>
            <w:r>
              <w:t>B74</w:t>
            </w:r>
          </w:p>
        </w:tc>
      </w:tr>
      <w:tr w:rsidR="00802D3E" w14:paraId="2086F940" w14:textId="77777777" w:rsidTr="00802D3E">
        <w:trPr>
          <w:cantSplit/>
          <w:jc w:val="center"/>
        </w:trPr>
        <w:tc>
          <w:tcPr>
            <w:tcW w:w="1934" w:type="dxa"/>
            <w:gridSpan w:val="2"/>
            <w:tcBorders>
              <w:top w:val="nil"/>
              <w:left w:val="nil"/>
              <w:bottom w:val="nil"/>
              <w:right w:val="nil"/>
            </w:tcBorders>
            <w:hideMark/>
          </w:tcPr>
          <w:p w14:paraId="2086F93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93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93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93F" w14:textId="77777777" w:rsidR="00802D3E" w:rsidRDefault="00802D3E">
            <w:pPr>
              <w:pStyle w:val="MeasureTableTextLeftAligned"/>
            </w:pPr>
            <w:r>
              <w:t>1+</w:t>
            </w:r>
          </w:p>
        </w:tc>
      </w:tr>
      <w:tr w:rsidR="00802D3E" w14:paraId="2086F945" w14:textId="77777777" w:rsidTr="00802D3E">
        <w:trPr>
          <w:cantSplit/>
          <w:jc w:val="center"/>
        </w:trPr>
        <w:tc>
          <w:tcPr>
            <w:tcW w:w="1934" w:type="dxa"/>
            <w:gridSpan w:val="2"/>
            <w:tcBorders>
              <w:top w:val="nil"/>
              <w:left w:val="nil"/>
              <w:bottom w:val="nil"/>
              <w:right w:val="nil"/>
            </w:tcBorders>
            <w:hideMark/>
          </w:tcPr>
          <w:p w14:paraId="2086F94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942" w14:textId="77777777" w:rsidR="00802D3E" w:rsidRDefault="00802D3E">
            <w:pPr>
              <w:pStyle w:val="MeasureTableTextLeftAligned"/>
            </w:pPr>
            <w:r>
              <w:t>1952</w:t>
            </w:r>
          </w:p>
        </w:tc>
        <w:tc>
          <w:tcPr>
            <w:tcW w:w="1500" w:type="dxa"/>
            <w:gridSpan w:val="2"/>
            <w:tcBorders>
              <w:top w:val="nil"/>
              <w:left w:val="nil"/>
              <w:bottom w:val="nil"/>
              <w:right w:val="nil"/>
            </w:tcBorders>
            <w:hideMark/>
          </w:tcPr>
          <w:p w14:paraId="2086F94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944" w14:textId="77777777" w:rsidR="00802D3E" w:rsidRDefault="00802D3E">
            <w:pPr>
              <w:pStyle w:val="MeasureTableTextLeftAligned"/>
            </w:pPr>
          </w:p>
        </w:tc>
      </w:tr>
      <w:tr w:rsidR="00802D3E" w14:paraId="2086F948" w14:textId="77777777" w:rsidTr="00802D3E">
        <w:trPr>
          <w:cantSplit/>
          <w:jc w:val="center"/>
        </w:trPr>
        <w:tc>
          <w:tcPr>
            <w:tcW w:w="1934" w:type="dxa"/>
            <w:gridSpan w:val="2"/>
            <w:tcBorders>
              <w:top w:val="nil"/>
              <w:left w:val="nil"/>
              <w:bottom w:val="single" w:sz="2" w:space="0" w:color="auto"/>
              <w:right w:val="nil"/>
            </w:tcBorders>
            <w:hideMark/>
          </w:tcPr>
          <w:p w14:paraId="2086F94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947"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Section 40-340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949" w14:textId="77777777" w:rsidR="00802D3E" w:rsidRDefault="00802D3E" w:rsidP="00A109BC">
      <w:pPr>
        <w:pStyle w:val="SingleParagraph"/>
      </w:pPr>
    </w:p>
    <w:p w14:paraId="2086F94A" w14:textId="77777777" w:rsidR="00802D3E" w:rsidRDefault="00802D3E" w:rsidP="00802D3E">
      <w:r>
        <w:t>‘Balancing adjustments</w:t>
      </w:r>
      <w:r>
        <w:fldChar w:fldCharType="begin"/>
      </w:r>
      <w:r>
        <w:instrText xml:space="preserve"> XE "Balancing adjustments" </w:instrText>
      </w:r>
      <w:r>
        <w:fldChar w:fldCharType="end"/>
      </w:r>
      <w:r>
        <w:t xml:space="preserve">’ arise when the disposal value of a depreciating asset exceeds its depreciated value. The tax liability for such balancing adjustments can be deferred where the balancing adjustment arises from certain changes in ownership, such as disposal as a result of a marriage breakdown. The transferee is taken to acquire the asset at the written down value and must depreciate the asset in the same way as the transferor. </w:t>
      </w:r>
    </w:p>
    <w:p w14:paraId="2086F94B" w14:textId="77777777" w:rsidR="00802D3E" w:rsidRDefault="00802D3E" w:rsidP="00802D3E">
      <w:pPr>
        <w:pStyle w:val="TESHeading5"/>
        <w:ind w:left="0" w:firstLine="0"/>
      </w:pPr>
      <w:r>
        <w:t>B75</w:t>
      </w:r>
      <w:r>
        <w:tab/>
        <w:t>Depreciation pooling for low value assets</w:t>
      </w:r>
    </w:p>
    <w:p w14:paraId="2086F94C"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955" w14:textId="77777777" w:rsidTr="00802D3E">
        <w:trPr>
          <w:cantSplit/>
          <w:jc w:val="center"/>
        </w:trPr>
        <w:tc>
          <w:tcPr>
            <w:tcW w:w="967" w:type="dxa"/>
            <w:tcBorders>
              <w:top w:val="single" w:sz="2" w:space="0" w:color="auto"/>
              <w:left w:val="nil"/>
              <w:bottom w:val="single" w:sz="2" w:space="0" w:color="auto"/>
              <w:right w:val="nil"/>
            </w:tcBorders>
            <w:hideMark/>
          </w:tcPr>
          <w:p w14:paraId="2086F94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94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94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95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95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95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95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954" w14:textId="77777777" w:rsidR="00802D3E" w:rsidRDefault="00802D3E">
            <w:pPr>
              <w:pStyle w:val="MeasureTableTextRightAligned"/>
            </w:pPr>
            <w:r>
              <w:t>2019-20</w:t>
            </w:r>
          </w:p>
        </w:tc>
      </w:tr>
      <w:tr w:rsidR="00802D3E" w14:paraId="2086F95E" w14:textId="77777777" w:rsidTr="00802D3E">
        <w:trPr>
          <w:cantSplit/>
          <w:jc w:val="center"/>
        </w:trPr>
        <w:tc>
          <w:tcPr>
            <w:tcW w:w="967" w:type="dxa"/>
            <w:tcBorders>
              <w:top w:val="single" w:sz="2" w:space="0" w:color="auto"/>
              <w:left w:val="nil"/>
              <w:bottom w:val="single" w:sz="2" w:space="0" w:color="auto"/>
              <w:right w:val="nil"/>
            </w:tcBorders>
            <w:hideMark/>
          </w:tcPr>
          <w:p w14:paraId="2086F956"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hideMark/>
          </w:tcPr>
          <w:p w14:paraId="2086F957" w14:textId="77777777" w:rsidR="00802D3E" w:rsidRDefault="00802D3E">
            <w:pPr>
              <w:pStyle w:val="MeasureTableTextRightAligned"/>
            </w:pPr>
            <w:r>
              <w:t>10</w:t>
            </w:r>
          </w:p>
        </w:tc>
        <w:tc>
          <w:tcPr>
            <w:tcW w:w="967" w:type="dxa"/>
            <w:tcBorders>
              <w:top w:val="single" w:sz="2" w:space="0" w:color="auto"/>
              <w:left w:val="nil"/>
              <w:bottom w:val="single" w:sz="2" w:space="0" w:color="auto"/>
              <w:right w:val="nil"/>
            </w:tcBorders>
            <w:vAlign w:val="bottom"/>
            <w:hideMark/>
          </w:tcPr>
          <w:p w14:paraId="2086F958" w14:textId="77777777" w:rsidR="00802D3E" w:rsidRDefault="00802D3E">
            <w:pPr>
              <w:pStyle w:val="MeasureTableTextRightAligned"/>
            </w:pPr>
            <w:r>
              <w:t>10</w:t>
            </w:r>
          </w:p>
        </w:tc>
        <w:tc>
          <w:tcPr>
            <w:tcW w:w="967" w:type="dxa"/>
            <w:tcBorders>
              <w:top w:val="single" w:sz="2" w:space="0" w:color="auto"/>
              <w:left w:val="nil"/>
              <w:bottom w:val="single" w:sz="2" w:space="0" w:color="auto"/>
              <w:right w:val="nil"/>
            </w:tcBorders>
            <w:vAlign w:val="bottom"/>
            <w:hideMark/>
          </w:tcPr>
          <w:p w14:paraId="2086F959"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6F95A" w14:textId="77777777" w:rsidR="00802D3E" w:rsidRDefault="00802D3E">
            <w:pPr>
              <w:pStyle w:val="MeasureTableTextRightAligned"/>
            </w:pPr>
            <w:r>
              <w:t>5</w:t>
            </w:r>
          </w:p>
        </w:tc>
        <w:tc>
          <w:tcPr>
            <w:tcW w:w="967" w:type="dxa"/>
            <w:gridSpan w:val="2"/>
            <w:tcBorders>
              <w:top w:val="single" w:sz="2" w:space="0" w:color="auto"/>
              <w:left w:val="nil"/>
              <w:bottom w:val="single" w:sz="2" w:space="0" w:color="auto"/>
              <w:right w:val="nil"/>
            </w:tcBorders>
            <w:vAlign w:val="bottom"/>
            <w:hideMark/>
          </w:tcPr>
          <w:p w14:paraId="2086F95B" w14:textId="77777777" w:rsidR="00802D3E" w:rsidRDefault="00802D3E">
            <w:pPr>
              <w:pStyle w:val="MeasureTableTextRightAligned"/>
            </w:pPr>
            <w:r>
              <w:t>5</w:t>
            </w:r>
          </w:p>
        </w:tc>
        <w:tc>
          <w:tcPr>
            <w:tcW w:w="967" w:type="dxa"/>
            <w:gridSpan w:val="2"/>
            <w:tcBorders>
              <w:top w:val="single" w:sz="2" w:space="0" w:color="auto"/>
              <w:left w:val="nil"/>
              <w:bottom w:val="single" w:sz="2" w:space="0" w:color="auto"/>
              <w:right w:val="nil"/>
            </w:tcBorders>
            <w:vAlign w:val="bottom"/>
            <w:hideMark/>
          </w:tcPr>
          <w:p w14:paraId="2086F95C" w14:textId="77777777" w:rsidR="00802D3E" w:rsidRDefault="00802D3E">
            <w:pPr>
              <w:pStyle w:val="MeasureTableTextRightAligned"/>
            </w:pPr>
            <w:r>
              <w:t>5</w:t>
            </w:r>
          </w:p>
        </w:tc>
        <w:tc>
          <w:tcPr>
            <w:tcW w:w="968" w:type="dxa"/>
            <w:tcBorders>
              <w:top w:val="single" w:sz="2" w:space="0" w:color="auto"/>
              <w:left w:val="nil"/>
              <w:bottom w:val="single" w:sz="2" w:space="0" w:color="auto"/>
              <w:right w:val="nil"/>
            </w:tcBorders>
            <w:vAlign w:val="bottom"/>
            <w:hideMark/>
          </w:tcPr>
          <w:p w14:paraId="2086F95D" w14:textId="77777777" w:rsidR="00802D3E" w:rsidRDefault="00802D3E">
            <w:pPr>
              <w:pStyle w:val="MeasureTableTextRightAligned"/>
            </w:pPr>
            <w:r>
              <w:t>10</w:t>
            </w:r>
          </w:p>
        </w:tc>
      </w:tr>
      <w:tr w:rsidR="00802D3E" w14:paraId="2086F963" w14:textId="77777777" w:rsidTr="00802D3E">
        <w:trPr>
          <w:cantSplit/>
          <w:jc w:val="center"/>
        </w:trPr>
        <w:tc>
          <w:tcPr>
            <w:tcW w:w="1934" w:type="dxa"/>
            <w:gridSpan w:val="2"/>
            <w:tcBorders>
              <w:top w:val="single" w:sz="2" w:space="0" w:color="auto"/>
              <w:left w:val="nil"/>
              <w:bottom w:val="nil"/>
              <w:right w:val="nil"/>
            </w:tcBorders>
            <w:hideMark/>
          </w:tcPr>
          <w:p w14:paraId="2086F95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960"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96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962" w14:textId="77777777" w:rsidR="00802D3E" w:rsidRDefault="00802D3E">
            <w:pPr>
              <w:pStyle w:val="MeasureTableTextLeftAligned"/>
            </w:pPr>
            <w:r>
              <w:t>B75</w:t>
            </w:r>
          </w:p>
        </w:tc>
      </w:tr>
      <w:tr w:rsidR="00802D3E" w14:paraId="2086F968" w14:textId="77777777" w:rsidTr="00802D3E">
        <w:trPr>
          <w:cantSplit/>
          <w:jc w:val="center"/>
        </w:trPr>
        <w:tc>
          <w:tcPr>
            <w:tcW w:w="1934" w:type="dxa"/>
            <w:gridSpan w:val="2"/>
            <w:tcBorders>
              <w:top w:val="nil"/>
              <w:left w:val="nil"/>
              <w:bottom w:val="nil"/>
              <w:right w:val="nil"/>
            </w:tcBorders>
            <w:hideMark/>
          </w:tcPr>
          <w:p w14:paraId="2086F96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965"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966" w14:textId="77777777" w:rsidR="00802D3E" w:rsidRDefault="00802D3E">
            <w:pPr>
              <w:pStyle w:val="MeasureTableTextItalic"/>
            </w:pPr>
          </w:p>
        </w:tc>
        <w:tc>
          <w:tcPr>
            <w:tcW w:w="1124" w:type="dxa"/>
            <w:gridSpan w:val="2"/>
            <w:tcBorders>
              <w:top w:val="nil"/>
              <w:left w:val="nil"/>
              <w:bottom w:val="nil"/>
              <w:right w:val="nil"/>
            </w:tcBorders>
          </w:tcPr>
          <w:p w14:paraId="2086F967" w14:textId="77777777" w:rsidR="00802D3E" w:rsidRDefault="00802D3E">
            <w:pPr>
              <w:pStyle w:val="MeasureTableTextLeftAligned"/>
            </w:pPr>
          </w:p>
        </w:tc>
      </w:tr>
      <w:tr w:rsidR="00802D3E" w14:paraId="2086F96D" w14:textId="77777777" w:rsidTr="00802D3E">
        <w:trPr>
          <w:cantSplit/>
          <w:jc w:val="center"/>
        </w:trPr>
        <w:tc>
          <w:tcPr>
            <w:tcW w:w="1934" w:type="dxa"/>
            <w:gridSpan w:val="2"/>
            <w:tcBorders>
              <w:top w:val="nil"/>
              <w:left w:val="nil"/>
              <w:bottom w:val="nil"/>
              <w:right w:val="nil"/>
            </w:tcBorders>
            <w:hideMark/>
          </w:tcPr>
          <w:p w14:paraId="2086F96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96A" w14:textId="77777777" w:rsidR="00802D3E" w:rsidRDefault="00802D3E">
            <w:pPr>
              <w:pStyle w:val="MeasureTableTextLeftAligned"/>
            </w:pPr>
            <w:r>
              <w:t>2000</w:t>
            </w:r>
          </w:p>
        </w:tc>
        <w:tc>
          <w:tcPr>
            <w:tcW w:w="1500" w:type="dxa"/>
            <w:gridSpan w:val="2"/>
            <w:tcBorders>
              <w:top w:val="nil"/>
              <w:left w:val="nil"/>
              <w:bottom w:val="nil"/>
              <w:right w:val="nil"/>
            </w:tcBorders>
            <w:hideMark/>
          </w:tcPr>
          <w:p w14:paraId="2086F96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96C" w14:textId="77777777" w:rsidR="00802D3E" w:rsidRDefault="00802D3E">
            <w:pPr>
              <w:pStyle w:val="MeasureTableTextLeftAligned"/>
            </w:pPr>
          </w:p>
        </w:tc>
      </w:tr>
      <w:tr w:rsidR="00802D3E" w14:paraId="2086F970" w14:textId="77777777" w:rsidTr="00802D3E">
        <w:trPr>
          <w:cantSplit/>
          <w:jc w:val="center"/>
        </w:trPr>
        <w:tc>
          <w:tcPr>
            <w:tcW w:w="1934" w:type="dxa"/>
            <w:gridSpan w:val="2"/>
            <w:tcBorders>
              <w:top w:val="nil"/>
              <w:left w:val="nil"/>
              <w:bottom w:val="single" w:sz="2" w:space="0" w:color="auto"/>
              <w:right w:val="nil"/>
            </w:tcBorders>
            <w:hideMark/>
          </w:tcPr>
          <w:p w14:paraId="2086F96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96F"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Subdivision 40-E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971" w14:textId="77777777" w:rsidR="00802D3E" w:rsidRDefault="00802D3E" w:rsidP="00A109BC">
      <w:pPr>
        <w:pStyle w:val="SingleParagraph"/>
      </w:pPr>
    </w:p>
    <w:p w14:paraId="2086F972" w14:textId="77777777" w:rsidR="00802D3E" w:rsidRDefault="00802D3E" w:rsidP="00802D3E">
      <w:r>
        <w:t xml:space="preserve">Assets costing less than $1,000 can be written off at the declining balance rate of 37.5 per cent through a low value asset pool. Once a taxpayer elects to create a low value pool, all assets that cost less than $1,000 are subject to the declining balance rate treatment. </w:t>
      </w:r>
      <w:r>
        <w:fldChar w:fldCharType="begin"/>
      </w:r>
      <w:r>
        <w:instrText xml:space="preserve"> XE "Accelerated depreciation:Low value asset pooling" </w:instrText>
      </w:r>
      <w:r>
        <w:fldChar w:fldCharType="end"/>
      </w:r>
      <w:r>
        <w:t xml:space="preserve"> </w:t>
      </w:r>
    </w:p>
    <w:p w14:paraId="2086F973" w14:textId="77777777" w:rsidR="00802D3E" w:rsidRDefault="00802D3E" w:rsidP="00802D3E">
      <w:pPr>
        <w:pStyle w:val="TESHeading5"/>
        <w:ind w:left="0" w:firstLine="0"/>
      </w:pPr>
      <w:r>
        <w:t>B76</w:t>
      </w:r>
      <w:r>
        <w:tab/>
        <w:t>Depreciation to nil value rather than estimated scrap value</w:t>
      </w:r>
    </w:p>
    <w:p w14:paraId="2086F974" w14:textId="77777777" w:rsidR="00802D3E" w:rsidRDefault="00802D3E" w:rsidP="00802D3E">
      <w:pPr>
        <w:pStyle w:val="MeasureTableHeading"/>
      </w:pPr>
      <w:r>
        <w:t xml:space="preserve">Other economic affairs </w:t>
      </w:r>
      <w:r w:rsidR="00262EF4">
        <w:t>–</w:t>
      </w:r>
      <w:r>
        <w:t xml:space="preserve"> Other</w:t>
      </w:r>
      <w:r w:rsidR="00262EF4">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97D" w14:textId="77777777" w:rsidTr="00802D3E">
        <w:trPr>
          <w:cantSplit/>
          <w:jc w:val="center"/>
        </w:trPr>
        <w:tc>
          <w:tcPr>
            <w:tcW w:w="967" w:type="dxa"/>
            <w:tcBorders>
              <w:top w:val="single" w:sz="2" w:space="0" w:color="auto"/>
              <w:left w:val="nil"/>
              <w:bottom w:val="single" w:sz="2" w:space="0" w:color="auto"/>
              <w:right w:val="nil"/>
            </w:tcBorders>
            <w:hideMark/>
          </w:tcPr>
          <w:p w14:paraId="2086F97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97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97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97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97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97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97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97C" w14:textId="77777777" w:rsidR="00802D3E" w:rsidRDefault="00802D3E">
            <w:pPr>
              <w:pStyle w:val="MeasureTableTextRightAligned"/>
            </w:pPr>
            <w:r>
              <w:t>2019-20</w:t>
            </w:r>
          </w:p>
        </w:tc>
      </w:tr>
      <w:tr w:rsidR="00802D3E" w14:paraId="2086F986" w14:textId="77777777" w:rsidTr="00802D3E">
        <w:trPr>
          <w:cantSplit/>
          <w:jc w:val="center"/>
        </w:trPr>
        <w:tc>
          <w:tcPr>
            <w:tcW w:w="967" w:type="dxa"/>
            <w:tcBorders>
              <w:top w:val="single" w:sz="2" w:space="0" w:color="auto"/>
              <w:left w:val="nil"/>
              <w:bottom w:val="single" w:sz="2" w:space="0" w:color="auto"/>
              <w:right w:val="nil"/>
            </w:tcBorders>
            <w:hideMark/>
          </w:tcPr>
          <w:p w14:paraId="2086F97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97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98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98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98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98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98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985" w14:textId="77777777" w:rsidR="00802D3E" w:rsidRDefault="00802D3E">
            <w:pPr>
              <w:pStyle w:val="MeasureTableTextRightAligned"/>
            </w:pPr>
            <w:r>
              <w:t>*</w:t>
            </w:r>
          </w:p>
        </w:tc>
      </w:tr>
      <w:tr w:rsidR="00802D3E" w14:paraId="2086F98B" w14:textId="77777777" w:rsidTr="00802D3E">
        <w:trPr>
          <w:cantSplit/>
          <w:jc w:val="center"/>
        </w:trPr>
        <w:tc>
          <w:tcPr>
            <w:tcW w:w="1934" w:type="dxa"/>
            <w:gridSpan w:val="2"/>
            <w:tcBorders>
              <w:top w:val="single" w:sz="2" w:space="0" w:color="auto"/>
              <w:left w:val="nil"/>
              <w:bottom w:val="nil"/>
              <w:right w:val="nil"/>
            </w:tcBorders>
            <w:hideMark/>
          </w:tcPr>
          <w:p w14:paraId="2086F98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988"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6F98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98A" w14:textId="77777777" w:rsidR="00802D3E" w:rsidRDefault="00802D3E">
            <w:pPr>
              <w:pStyle w:val="MeasureTableTextLeftAligned"/>
            </w:pPr>
            <w:r>
              <w:t>B76</w:t>
            </w:r>
          </w:p>
        </w:tc>
      </w:tr>
      <w:tr w:rsidR="00802D3E" w14:paraId="2086F990" w14:textId="77777777" w:rsidTr="00802D3E">
        <w:trPr>
          <w:cantSplit/>
          <w:jc w:val="center"/>
        </w:trPr>
        <w:tc>
          <w:tcPr>
            <w:tcW w:w="1934" w:type="dxa"/>
            <w:gridSpan w:val="2"/>
            <w:tcBorders>
              <w:top w:val="nil"/>
              <w:left w:val="nil"/>
              <w:bottom w:val="nil"/>
              <w:right w:val="nil"/>
            </w:tcBorders>
            <w:hideMark/>
          </w:tcPr>
          <w:p w14:paraId="2086F98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98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98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98F" w14:textId="77777777" w:rsidR="00802D3E" w:rsidRDefault="00802D3E">
            <w:pPr>
              <w:pStyle w:val="MeasureTableTextLeftAligned"/>
            </w:pPr>
            <w:r>
              <w:t>1+</w:t>
            </w:r>
          </w:p>
        </w:tc>
      </w:tr>
      <w:tr w:rsidR="00802D3E" w14:paraId="2086F995" w14:textId="77777777" w:rsidTr="00802D3E">
        <w:trPr>
          <w:cantSplit/>
          <w:jc w:val="center"/>
        </w:trPr>
        <w:tc>
          <w:tcPr>
            <w:tcW w:w="1934" w:type="dxa"/>
            <w:gridSpan w:val="2"/>
            <w:tcBorders>
              <w:top w:val="nil"/>
              <w:left w:val="nil"/>
              <w:bottom w:val="nil"/>
              <w:right w:val="nil"/>
            </w:tcBorders>
            <w:hideMark/>
          </w:tcPr>
          <w:p w14:paraId="2086F99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992" w14:textId="77777777" w:rsidR="00802D3E" w:rsidRDefault="00802D3E">
            <w:pPr>
              <w:pStyle w:val="MeasureTableTextLeftAligned"/>
            </w:pPr>
            <w:r>
              <w:t>1936</w:t>
            </w:r>
          </w:p>
        </w:tc>
        <w:tc>
          <w:tcPr>
            <w:tcW w:w="1500" w:type="dxa"/>
            <w:gridSpan w:val="2"/>
            <w:tcBorders>
              <w:top w:val="nil"/>
              <w:left w:val="nil"/>
              <w:bottom w:val="nil"/>
              <w:right w:val="nil"/>
            </w:tcBorders>
            <w:hideMark/>
          </w:tcPr>
          <w:p w14:paraId="2086F99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994" w14:textId="77777777" w:rsidR="00802D3E" w:rsidRDefault="00802D3E">
            <w:pPr>
              <w:pStyle w:val="MeasureTableTextLeftAligned"/>
            </w:pPr>
          </w:p>
        </w:tc>
      </w:tr>
      <w:tr w:rsidR="00802D3E" w14:paraId="2086F998" w14:textId="77777777" w:rsidTr="00802D3E">
        <w:trPr>
          <w:cantSplit/>
          <w:jc w:val="center"/>
        </w:trPr>
        <w:tc>
          <w:tcPr>
            <w:tcW w:w="1934" w:type="dxa"/>
            <w:gridSpan w:val="2"/>
            <w:tcBorders>
              <w:top w:val="nil"/>
              <w:left w:val="nil"/>
              <w:bottom w:val="single" w:sz="2" w:space="0" w:color="auto"/>
              <w:right w:val="nil"/>
            </w:tcBorders>
            <w:hideMark/>
          </w:tcPr>
          <w:p w14:paraId="2086F99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997"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Division 40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999" w14:textId="77777777" w:rsidR="00802D3E" w:rsidRDefault="00802D3E" w:rsidP="00A109BC">
      <w:pPr>
        <w:pStyle w:val="SingleParagraph"/>
      </w:pPr>
    </w:p>
    <w:p w14:paraId="2086F99A" w14:textId="77777777" w:rsidR="00802D3E" w:rsidRDefault="00802D3E" w:rsidP="00802D3E">
      <w:r>
        <w:t>Taxpayers are entitled to write-off the cost of depreciating assets to zero value</w:t>
      </w:r>
      <w:r>
        <w:fldChar w:fldCharType="begin"/>
      </w:r>
      <w:r>
        <w:instrText xml:space="preserve"> XE "Depreciating assets to zero value" </w:instrText>
      </w:r>
      <w:r>
        <w:fldChar w:fldCharType="end"/>
      </w:r>
      <w:r>
        <w:t xml:space="preserve">, rather than to the estimated disposal value of the asset. Any gain on disposal of the asset is assessed as income at the time of disposal through a balancing adjustment. This results in a tax deferral. </w:t>
      </w:r>
    </w:p>
    <w:p w14:paraId="2086F99B" w14:textId="77777777" w:rsidR="00802D3E" w:rsidRDefault="00802D3E" w:rsidP="00802D3E">
      <w:pPr>
        <w:pStyle w:val="TESHeading5"/>
        <w:ind w:left="0" w:firstLine="0"/>
      </w:pPr>
      <w:r>
        <w:lastRenderedPageBreak/>
        <w:t>B77</w:t>
      </w:r>
      <w:r>
        <w:tab/>
        <w:t>Research and development — exemption of refundable tax offset</w:t>
      </w:r>
    </w:p>
    <w:p w14:paraId="2086F99C"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9A5" w14:textId="77777777" w:rsidTr="00802D3E">
        <w:trPr>
          <w:cantSplit/>
          <w:jc w:val="center"/>
        </w:trPr>
        <w:tc>
          <w:tcPr>
            <w:tcW w:w="967" w:type="dxa"/>
            <w:tcBorders>
              <w:top w:val="single" w:sz="2" w:space="0" w:color="auto"/>
              <w:left w:val="nil"/>
              <w:bottom w:val="single" w:sz="2" w:space="0" w:color="auto"/>
              <w:right w:val="nil"/>
            </w:tcBorders>
            <w:hideMark/>
          </w:tcPr>
          <w:p w14:paraId="2086F99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99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99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9A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9A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9A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9A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9A4" w14:textId="77777777" w:rsidR="00802D3E" w:rsidRDefault="00802D3E">
            <w:pPr>
              <w:pStyle w:val="MeasureTableTextRightAligned"/>
            </w:pPr>
            <w:r>
              <w:t>2019-20</w:t>
            </w:r>
          </w:p>
        </w:tc>
      </w:tr>
      <w:tr w:rsidR="00802D3E" w14:paraId="2086F9AE" w14:textId="77777777" w:rsidTr="00802D3E">
        <w:trPr>
          <w:cantSplit/>
          <w:jc w:val="center"/>
        </w:trPr>
        <w:tc>
          <w:tcPr>
            <w:tcW w:w="967" w:type="dxa"/>
            <w:tcBorders>
              <w:top w:val="single" w:sz="2" w:space="0" w:color="auto"/>
              <w:left w:val="nil"/>
              <w:bottom w:val="single" w:sz="2" w:space="0" w:color="auto"/>
              <w:right w:val="nil"/>
            </w:tcBorders>
            <w:hideMark/>
          </w:tcPr>
          <w:p w14:paraId="2086F9A6" w14:textId="77777777" w:rsidR="00802D3E" w:rsidRDefault="00802D3E">
            <w:pPr>
              <w:pStyle w:val="MeasureTableTextRightAligned"/>
            </w:pPr>
            <w:r>
              <w:t>-190</w:t>
            </w:r>
          </w:p>
        </w:tc>
        <w:tc>
          <w:tcPr>
            <w:tcW w:w="967" w:type="dxa"/>
            <w:tcBorders>
              <w:top w:val="single" w:sz="2" w:space="0" w:color="auto"/>
              <w:left w:val="nil"/>
              <w:bottom w:val="single" w:sz="2" w:space="0" w:color="auto"/>
              <w:right w:val="nil"/>
            </w:tcBorders>
            <w:hideMark/>
          </w:tcPr>
          <w:p w14:paraId="2086F9A7" w14:textId="77777777" w:rsidR="00802D3E" w:rsidRDefault="00802D3E">
            <w:pPr>
              <w:pStyle w:val="MeasureTableTextRightAligned"/>
            </w:pPr>
            <w:r>
              <w:t>-290</w:t>
            </w:r>
          </w:p>
        </w:tc>
        <w:tc>
          <w:tcPr>
            <w:tcW w:w="967" w:type="dxa"/>
            <w:tcBorders>
              <w:top w:val="single" w:sz="2" w:space="0" w:color="auto"/>
              <w:left w:val="nil"/>
              <w:bottom w:val="single" w:sz="2" w:space="0" w:color="auto"/>
              <w:right w:val="nil"/>
            </w:tcBorders>
            <w:vAlign w:val="bottom"/>
            <w:hideMark/>
          </w:tcPr>
          <w:p w14:paraId="2086F9A8" w14:textId="77777777" w:rsidR="00802D3E" w:rsidRDefault="00802D3E">
            <w:pPr>
              <w:pStyle w:val="MeasureTableTextRightAligned"/>
            </w:pPr>
            <w:r>
              <w:t>-370</w:t>
            </w:r>
          </w:p>
        </w:tc>
        <w:tc>
          <w:tcPr>
            <w:tcW w:w="967" w:type="dxa"/>
            <w:tcBorders>
              <w:top w:val="single" w:sz="2" w:space="0" w:color="auto"/>
              <w:left w:val="nil"/>
              <w:bottom w:val="single" w:sz="2" w:space="0" w:color="auto"/>
              <w:right w:val="nil"/>
            </w:tcBorders>
            <w:vAlign w:val="bottom"/>
            <w:hideMark/>
          </w:tcPr>
          <w:p w14:paraId="2086F9A9" w14:textId="77777777" w:rsidR="00802D3E" w:rsidRDefault="00802D3E">
            <w:pPr>
              <w:pStyle w:val="MeasureTableTextRightAligned"/>
            </w:pPr>
            <w:r>
              <w:t>-430</w:t>
            </w:r>
          </w:p>
        </w:tc>
        <w:tc>
          <w:tcPr>
            <w:tcW w:w="967" w:type="dxa"/>
            <w:tcBorders>
              <w:top w:val="single" w:sz="2" w:space="0" w:color="auto"/>
              <w:left w:val="nil"/>
              <w:bottom w:val="single" w:sz="2" w:space="0" w:color="auto"/>
              <w:right w:val="nil"/>
            </w:tcBorders>
            <w:vAlign w:val="bottom"/>
            <w:hideMark/>
          </w:tcPr>
          <w:p w14:paraId="2086F9AA" w14:textId="77777777" w:rsidR="00802D3E" w:rsidRDefault="00802D3E">
            <w:pPr>
              <w:pStyle w:val="MeasureTableTextRightAligned"/>
            </w:pPr>
            <w:r>
              <w:t>-470</w:t>
            </w:r>
          </w:p>
        </w:tc>
        <w:tc>
          <w:tcPr>
            <w:tcW w:w="967" w:type="dxa"/>
            <w:gridSpan w:val="2"/>
            <w:tcBorders>
              <w:top w:val="single" w:sz="2" w:space="0" w:color="auto"/>
              <w:left w:val="nil"/>
              <w:bottom w:val="single" w:sz="2" w:space="0" w:color="auto"/>
              <w:right w:val="nil"/>
            </w:tcBorders>
            <w:vAlign w:val="bottom"/>
            <w:hideMark/>
          </w:tcPr>
          <w:p w14:paraId="2086F9AB" w14:textId="77777777" w:rsidR="00802D3E" w:rsidRDefault="00802D3E">
            <w:pPr>
              <w:pStyle w:val="MeasureTableTextRightAligned"/>
            </w:pPr>
            <w:r>
              <w:t>-550</w:t>
            </w:r>
          </w:p>
        </w:tc>
        <w:tc>
          <w:tcPr>
            <w:tcW w:w="967" w:type="dxa"/>
            <w:gridSpan w:val="2"/>
            <w:tcBorders>
              <w:top w:val="single" w:sz="2" w:space="0" w:color="auto"/>
              <w:left w:val="nil"/>
              <w:bottom w:val="single" w:sz="2" w:space="0" w:color="auto"/>
              <w:right w:val="nil"/>
            </w:tcBorders>
            <w:vAlign w:val="bottom"/>
            <w:hideMark/>
          </w:tcPr>
          <w:p w14:paraId="2086F9AC" w14:textId="77777777" w:rsidR="00802D3E" w:rsidRDefault="00802D3E">
            <w:pPr>
              <w:pStyle w:val="MeasureTableTextRightAligned"/>
            </w:pPr>
            <w:r>
              <w:t>-605</w:t>
            </w:r>
          </w:p>
        </w:tc>
        <w:tc>
          <w:tcPr>
            <w:tcW w:w="968" w:type="dxa"/>
            <w:tcBorders>
              <w:top w:val="single" w:sz="2" w:space="0" w:color="auto"/>
              <w:left w:val="nil"/>
              <w:bottom w:val="single" w:sz="2" w:space="0" w:color="auto"/>
              <w:right w:val="nil"/>
            </w:tcBorders>
            <w:vAlign w:val="bottom"/>
            <w:hideMark/>
          </w:tcPr>
          <w:p w14:paraId="2086F9AD" w14:textId="77777777" w:rsidR="00802D3E" w:rsidRDefault="00802D3E">
            <w:pPr>
              <w:pStyle w:val="MeasureTableTextRightAligned"/>
            </w:pPr>
            <w:r>
              <w:t>-655</w:t>
            </w:r>
          </w:p>
        </w:tc>
      </w:tr>
      <w:tr w:rsidR="00802D3E" w14:paraId="2086F9B3" w14:textId="77777777" w:rsidTr="00802D3E">
        <w:trPr>
          <w:cantSplit/>
          <w:jc w:val="center"/>
        </w:trPr>
        <w:tc>
          <w:tcPr>
            <w:tcW w:w="1934" w:type="dxa"/>
            <w:gridSpan w:val="2"/>
            <w:tcBorders>
              <w:top w:val="single" w:sz="2" w:space="0" w:color="auto"/>
              <w:left w:val="nil"/>
              <w:bottom w:val="nil"/>
              <w:right w:val="nil"/>
            </w:tcBorders>
            <w:hideMark/>
          </w:tcPr>
          <w:p w14:paraId="2086F9A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9B0" w14:textId="77777777" w:rsidR="00802D3E" w:rsidRDefault="00802D3E">
            <w:pPr>
              <w:pStyle w:val="MeasureTableTextLeftAligned"/>
            </w:pPr>
            <w:r>
              <w:t>Exemption, Denial of deduction</w:t>
            </w:r>
          </w:p>
        </w:tc>
        <w:tc>
          <w:tcPr>
            <w:tcW w:w="1500" w:type="dxa"/>
            <w:gridSpan w:val="2"/>
            <w:tcBorders>
              <w:top w:val="single" w:sz="2" w:space="0" w:color="auto"/>
              <w:left w:val="nil"/>
              <w:bottom w:val="nil"/>
              <w:right w:val="nil"/>
            </w:tcBorders>
            <w:hideMark/>
          </w:tcPr>
          <w:p w14:paraId="2086F9B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9B2" w14:textId="77777777" w:rsidR="00802D3E" w:rsidRDefault="00802D3E">
            <w:pPr>
              <w:pStyle w:val="MeasureTableTextLeftAligned"/>
            </w:pPr>
            <w:r>
              <w:t>B77</w:t>
            </w:r>
          </w:p>
        </w:tc>
      </w:tr>
      <w:tr w:rsidR="00802D3E" w14:paraId="2086F9B8" w14:textId="77777777" w:rsidTr="00802D3E">
        <w:trPr>
          <w:cantSplit/>
          <w:jc w:val="center"/>
        </w:trPr>
        <w:tc>
          <w:tcPr>
            <w:tcW w:w="1934" w:type="dxa"/>
            <w:gridSpan w:val="2"/>
            <w:tcBorders>
              <w:top w:val="nil"/>
              <w:left w:val="nil"/>
              <w:bottom w:val="nil"/>
              <w:right w:val="nil"/>
            </w:tcBorders>
            <w:hideMark/>
          </w:tcPr>
          <w:p w14:paraId="2086F9B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9B5"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F9B6" w14:textId="77777777" w:rsidR="00802D3E" w:rsidRDefault="00802D3E">
            <w:pPr>
              <w:pStyle w:val="MeasureTableTextItalic"/>
            </w:pPr>
          </w:p>
        </w:tc>
        <w:tc>
          <w:tcPr>
            <w:tcW w:w="1124" w:type="dxa"/>
            <w:gridSpan w:val="2"/>
            <w:tcBorders>
              <w:top w:val="nil"/>
              <w:left w:val="nil"/>
              <w:bottom w:val="nil"/>
              <w:right w:val="nil"/>
            </w:tcBorders>
          </w:tcPr>
          <w:p w14:paraId="2086F9B7" w14:textId="77777777" w:rsidR="00802D3E" w:rsidRDefault="00802D3E">
            <w:pPr>
              <w:pStyle w:val="MeasureTableTextLeftAligned"/>
            </w:pPr>
          </w:p>
        </w:tc>
      </w:tr>
      <w:tr w:rsidR="00802D3E" w14:paraId="2086F9BD" w14:textId="77777777" w:rsidTr="00802D3E">
        <w:trPr>
          <w:cantSplit/>
          <w:jc w:val="center"/>
        </w:trPr>
        <w:tc>
          <w:tcPr>
            <w:tcW w:w="1934" w:type="dxa"/>
            <w:gridSpan w:val="2"/>
            <w:tcBorders>
              <w:top w:val="nil"/>
              <w:left w:val="nil"/>
              <w:bottom w:val="nil"/>
              <w:right w:val="nil"/>
            </w:tcBorders>
            <w:hideMark/>
          </w:tcPr>
          <w:p w14:paraId="2086F9B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9BA" w14:textId="77777777" w:rsidR="00802D3E" w:rsidRDefault="00802D3E">
            <w:pPr>
              <w:pStyle w:val="MeasureTableTextLeftAligned"/>
            </w:pPr>
            <w:r>
              <w:t>1 July 2011</w:t>
            </w:r>
          </w:p>
        </w:tc>
        <w:tc>
          <w:tcPr>
            <w:tcW w:w="1500" w:type="dxa"/>
            <w:gridSpan w:val="2"/>
            <w:tcBorders>
              <w:top w:val="nil"/>
              <w:left w:val="nil"/>
              <w:bottom w:val="nil"/>
              <w:right w:val="nil"/>
            </w:tcBorders>
            <w:hideMark/>
          </w:tcPr>
          <w:p w14:paraId="2086F9BB"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9BC" w14:textId="77777777" w:rsidR="00802D3E" w:rsidRDefault="00802D3E">
            <w:pPr>
              <w:pStyle w:val="MeasureTableTextLeftAligned"/>
            </w:pPr>
          </w:p>
        </w:tc>
      </w:tr>
      <w:tr w:rsidR="00802D3E" w14:paraId="2086F9C0" w14:textId="77777777" w:rsidTr="00802D3E">
        <w:trPr>
          <w:cantSplit/>
          <w:jc w:val="center"/>
        </w:trPr>
        <w:tc>
          <w:tcPr>
            <w:tcW w:w="1934" w:type="dxa"/>
            <w:gridSpan w:val="2"/>
            <w:tcBorders>
              <w:top w:val="nil"/>
              <w:left w:val="nil"/>
              <w:bottom w:val="single" w:sz="2" w:space="0" w:color="auto"/>
              <w:right w:val="nil"/>
            </w:tcBorders>
            <w:hideMark/>
          </w:tcPr>
          <w:p w14:paraId="2086F9B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9BF" w14:textId="77777777" w:rsidR="00802D3E" w:rsidRPr="00B029D6" w:rsidRDefault="00802D3E" w:rsidP="00B029D6">
            <w:pPr>
              <w:widowControl w:val="0"/>
              <w:autoSpaceDE w:val="0"/>
              <w:autoSpaceDN w:val="0"/>
              <w:adjustRightInd w:val="0"/>
              <w:spacing w:after="0" w:line="240" w:lineRule="auto"/>
              <w:jc w:val="left"/>
              <w:rPr>
                <w:sz w:val="16"/>
                <w:szCs w:val="16"/>
              </w:rPr>
            </w:pPr>
            <w:r w:rsidRPr="00B029D6">
              <w:rPr>
                <w:rFonts w:ascii="Arial" w:hAnsi="Arial" w:cs="Arial"/>
                <w:sz w:val="16"/>
                <w:szCs w:val="16"/>
              </w:rPr>
              <w:t xml:space="preserve">Division 355 of the </w:t>
            </w:r>
            <w:r w:rsidRPr="00B029D6">
              <w:rPr>
                <w:rFonts w:ascii="Arial" w:hAnsi="Arial" w:cs="Arial"/>
                <w:i/>
                <w:iCs/>
                <w:color w:val="000000"/>
                <w:sz w:val="16"/>
                <w:szCs w:val="16"/>
              </w:rPr>
              <w:t>Income Tax Assessment Act 1997</w:t>
            </w:r>
          </w:p>
        </w:tc>
      </w:tr>
    </w:tbl>
    <w:p w14:paraId="2086F9C1" w14:textId="77777777" w:rsidR="00802D3E" w:rsidRDefault="00802D3E" w:rsidP="00A109BC">
      <w:pPr>
        <w:pStyle w:val="SingleParagraph"/>
      </w:pPr>
    </w:p>
    <w:p w14:paraId="2086F9C2" w14:textId="61FF846B" w:rsidR="00802D3E" w:rsidRDefault="00802D3E" w:rsidP="00802D3E">
      <w:r>
        <w:t>The</w:t>
      </w:r>
      <w:r>
        <w:rPr>
          <w:b/>
        </w:rPr>
        <w:t xml:space="preserve"> </w:t>
      </w:r>
      <w:r>
        <w:t>research and development (R&amp;D)</w:t>
      </w:r>
      <w:r>
        <w:rPr>
          <w:b/>
        </w:rPr>
        <w:t xml:space="preserve"> </w:t>
      </w:r>
      <w:r>
        <w:t>refundable tax offset</w:t>
      </w:r>
      <w:r>
        <w:fldChar w:fldCharType="begin"/>
      </w:r>
      <w:r>
        <w:instrText xml:space="preserve"> XE "Research and development: Refundable tax offset" </w:instrText>
      </w:r>
      <w:r>
        <w:fldChar w:fldCharType="end"/>
      </w:r>
      <w:r>
        <w:t xml:space="preserve"> is available to companies with a turnover of less than $20 million at a rate of 43.5 per cent for the first</w:t>
      </w:r>
      <w:r w:rsidR="00B210CF">
        <w:t> </w:t>
      </w:r>
      <w:r>
        <w:t xml:space="preserve">$100 million of expenditure on eligible R&amp;D activities for income years beginning from 1 July 2016. A refundable tax offset at the prevailing company tax rate applies to the amount of the expenditure that exceeds $100 million. For previous income years, the refundable tax offset rate is 45 per cent for all eligible expenditure. </w:t>
      </w:r>
    </w:p>
    <w:p w14:paraId="2086F9C3" w14:textId="77777777" w:rsidR="00802D3E" w:rsidRDefault="00802D3E" w:rsidP="00802D3E">
      <w:r>
        <w:t xml:space="preserve">If a taxpayer’s income tax liability is reduced to zero, the unused refundable tax offset amount can be applied to reduce other tax liabilities. Any residual unused amounts can be refunded as cash to the company. </w:t>
      </w:r>
    </w:p>
    <w:p w14:paraId="2086F9C4" w14:textId="77777777" w:rsidR="00802D3E" w:rsidRDefault="00802D3E" w:rsidP="00802D3E">
      <w:r>
        <w:t xml:space="preserve">Companies that claim the R&amp;D refundable tax offset are unable to claim deductions for the R&amp;D expenditure. The absence of these deductions constitutes a negative tax expenditure. </w:t>
      </w:r>
    </w:p>
    <w:p w14:paraId="2086F9C5" w14:textId="77777777" w:rsidR="00802D3E" w:rsidRDefault="00802D3E" w:rsidP="00802D3E">
      <w:pPr>
        <w:pStyle w:val="TESHeading5"/>
        <w:ind w:left="0" w:firstLine="0"/>
      </w:pPr>
      <w:r>
        <w:t>B78</w:t>
      </w:r>
      <w:r>
        <w:tab/>
        <w:t>Research and development — non-refundable tax offset</w:t>
      </w:r>
    </w:p>
    <w:p w14:paraId="2086F9C6"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9CF" w14:textId="77777777" w:rsidTr="00802D3E">
        <w:trPr>
          <w:cantSplit/>
          <w:jc w:val="center"/>
        </w:trPr>
        <w:tc>
          <w:tcPr>
            <w:tcW w:w="967" w:type="dxa"/>
            <w:tcBorders>
              <w:top w:val="single" w:sz="2" w:space="0" w:color="auto"/>
              <w:left w:val="nil"/>
              <w:bottom w:val="single" w:sz="2" w:space="0" w:color="auto"/>
              <w:right w:val="nil"/>
            </w:tcBorders>
            <w:hideMark/>
          </w:tcPr>
          <w:p w14:paraId="2086F9C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9C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9C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9C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9C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9C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9C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9CE" w14:textId="77777777" w:rsidR="00802D3E" w:rsidRDefault="00802D3E">
            <w:pPr>
              <w:pStyle w:val="MeasureTableTextRightAligned"/>
            </w:pPr>
            <w:r>
              <w:t>2019-20</w:t>
            </w:r>
          </w:p>
        </w:tc>
      </w:tr>
      <w:tr w:rsidR="00802D3E" w14:paraId="2086F9D8" w14:textId="77777777" w:rsidTr="00802D3E">
        <w:trPr>
          <w:cantSplit/>
          <w:jc w:val="center"/>
        </w:trPr>
        <w:tc>
          <w:tcPr>
            <w:tcW w:w="967" w:type="dxa"/>
            <w:tcBorders>
              <w:top w:val="single" w:sz="2" w:space="0" w:color="auto"/>
              <w:left w:val="nil"/>
              <w:bottom w:val="single" w:sz="2" w:space="0" w:color="auto"/>
              <w:right w:val="nil"/>
            </w:tcBorders>
            <w:hideMark/>
          </w:tcPr>
          <w:p w14:paraId="2086F9D0" w14:textId="77777777" w:rsidR="00802D3E" w:rsidRDefault="00802D3E">
            <w:pPr>
              <w:pStyle w:val="MeasureTableTextRightAligned"/>
            </w:pPr>
            <w:r>
              <w:t>1,090</w:t>
            </w:r>
          </w:p>
        </w:tc>
        <w:tc>
          <w:tcPr>
            <w:tcW w:w="967" w:type="dxa"/>
            <w:tcBorders>
              <w:top w:val="single" w:sz="2" w:space="0" w:color="auto"/>
              <w:left w:val="nil"/>
              <w:bottom w:val="single" w:sz="2" w:space="0" w:color="auto"/>
              <w:right w:val="nil"/>
            </w:tcBorders>
            <w:hideMark/>
          </w:tcPr>
          <w:p w14:paraId="2086F9D1" w14:textId="77777777" w:rsidR="00802D3E" w:rsidRDefault="00802D3E">
            <w:pPr>
              <w:pStyle w:val="MeasureTableTextRightAligned"/>
            </w:pPr>
            <w:r>
              <w:t>1,170</w:t>
            </w:r>
          </w:p>
        </w:tc>
        <w:tc>
          <w:tcPr>
            <w:tcW w:w="967" w:type="dxa"/>
            <w:tcBorders>
              <w:top w:val="single" w:sz="2" w:space="0" w:color="auto"/>
              <w:left w:val="nil"/>
              <w:bottom w:val="single" w:sz="2" w:space="0" w:color="auto"/>
              <w:right w:val="nil"/>
            </w:tcBorders>
            <w:vAlign w:val="bottom"/>
            <w:hideMark/>
          </w:tcPr>
          <w:p w14:paraId="2086F9D2" w14:textId="77777777" w:rsidR="00802D3E" w:rsidRDefault="00802D3E">
            <w:pPr>
              <w:pStyle w:val="MeasureTableTextRightAligned"/>
            </w:pPr>
            <w:r>
              <w:t>1,020</w:t>
            </w:r>
          </w:p>
        </w:tc>
        <w:tc>
          <w:tcPr>
            <w:tcW w:w="967" w:type="dxa"/>
            <w:tcBorders>
              <w:top w:val="single" w:sz="2" w:space="0" w:color="auto"/>
              <w:left w:val="nil"/>
              <w:bottom w:val="single" w:sz="2" w:space="0" w:color="auto"/>
              <w:right w:val="nil"/>
            </w:tcBorders>
            <w:vAlign w:val="bottom"/>
            <w:hideMark/>
          </w:tcPr>
          <w:p w14:paraId="2086F9D3" w14:textId="77777777" w:rsidR="00802D3E" w:rsidRDefault="00802D3E">
            <w:pPr>
              <w:pStyle w:val="MeasureTableTextRightAligned"/>
            </w:pPr>
            <w:r>
              <w:t>890</w:t>
            </w:r>
          </w:p>
        </w:tc>
        <w:tc>
          <w:tcPr>
            <w:tcW w:w="967" w:type="dxa"/>
            <w:tcBorders>
              <w:top w:val="single" w:sz="2" w:space="0" w:color="auto"/>
              <w:left w:val="nil"/>
              <w:bottom w:val="single" w:sz="2" w:space="0" w:color="auto"/>
              <w:right w:val="nil"/>
            </w:tcBorders>
            <w:vAlign w:val="bottom"/>
            <w:hideMark/>
          </w:tcPr>
          <w:p w14:paraId="2086F9D4" w14:textId="77777777" w:rsidR="00802D3E" w:rsidRDefault="00802D3E">
            <w:pPr>
              <w:pStyle w:val="MeasureTableTextRightAligned"/>
            </w:pPr>
            <w:r>
              <w:t>870</w:t>
            </w:r>
          </w:p>
        </w:tc>
        <w:tc>
          <w:tcPr>
            <w:tcW w:w="967" w:type="dxa"/>
            <w:gridSpan w:val="2"/>
            <w:tcBorders>
              <w:top w:val="single" w:sz="2" w:space="0" w:color="auto"/>
              <w:left w:val="nil"/>
              <w:bottom w:val="single" w:sz="2" w:space="0" w:color="auto"/>
              <w:right w:val="nil"/>
            </w:tcBorders>
            <w:vAlign w:val="bottom"/>
            <w:hideMark/>
          </w:tcPr>
          <w:p w14:paraId="2086F9D5" w14:textId="77777777" w:rsidR="00802D3E" w:rsidRDefault="00802D3E">
            <w:pPr>
              <w:pStyle w:val="MeasureTableTextRightAligned"/>
            </w:pPr>
            <w:r>
              <w:t>810</w:t>
            </w:r>
          </w:p>
        </w:tc>
        <w:tc>
          <w:tcPr>
            <w:tcW w:w="967" w:type="dxa"/>
            <w:gridSpan w:val="2"/>
            <w:tcBorders>
              <w:top w:val="single" w:sz="2" w:space="0" w:color="auto"/>
              <w:left w:val="nil"/>
              <w:bottom w:val="single" w:sz="2" w:space="0" w:color="auto"/>
              <w:right w:val="nil"/>
            </w:tcBorders>
            <w:vAlign w:val="bottom"/>
            <w:hideMark/>
          </w:tcPr>
          <w:p w14:paraId="2086F9D6" w14:textId="77777777" w:rsidR="00802D3E" w:rsidRDefault="00802D3E">
            <w:pPr>
              <w:pStyle w:val="MeasureTableTextRightAligned"/>
            </w:pPr>
            <w:r>
              <w:t>740</w:t>
            </w:r>
          </w:p>
        </w:tc>
        <w:tc>
          <w:tcPr>
            <w:tcW w:w="968" w:type="dxa"/>
            <w:tcBorders>
              <w:top w:val="single" w:sz="2" w:space="0" w:color="auto"/>
              <w:left w:val="nil"/>
              <w:bottom w:val="single" w:sz="2" w:space="0" w:color="auto"/>
              <w:right w:val="nil"/>
            </w:tcBorders>
            <w:vAlign w:val="bottom"/>
            <w:hideMark/>
          </w:tcPr>
          <w:p w14:paraId="2086F9D7" w14:textId="77777777" w:rsidR="00802D3E" w:rsidRDefault="00802D3E">
            <w:pPr>
              <w:pStyle w:val="MeasureTableTextRightAligned"/>
            </w:pPr>
            <w:r>
              <w:t>740</w:t>
            </w:r>
          </w:p>
        </w:tc>
      </w:tr>
      <w:tr w:rsidR="00802D3E" w14:paraId="2086F9DD" w14:textId="77777777" w:rsidTr="00802D3E">
        <w:trPr>
          <w:cantSplit/>
          <w:jc w:val="center"/>
        </w:trPr>
        <w:tc>
          <w:tcPr>
            <w:tcW w:w="1934" w:type="dxa"/>
            <w:gridSpan w:val="2"/>
            <w:tcBorders>
              <w:top w:val="single" w:sz="2" w:space="0" w:color="auto"/>
              <w:left w:val="nil"/>
              <w:bottom w:val="nil"/>
              <w:right w:val="nil"/>
            </w:tcBorders>
            <w:hideMark/>
          </w:tcPr>
          <w:p w14:paraId="2086F9D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9DA" w14:textId="77777777" w:rsidR="00802D3E" w:rsidRDefault="00802D3E">
            <w:pPr>
              <w:pStyle w:val="MeasureTableTextLeftAligned"/>
            </w:pPr>
            <w:r>
              <w:t>Offset</w:t>
            </w:r>
          </w:p>
        </w:tc>
        <w:tc>
          <w:tcPr>
            <w:tcW w:w="1500" w:type="dxa"/>
            <w:gridSpan w:val="2"/>
            <w:tcBorders>
              <w:top w:val="single" w:sz="2" w:space="0" w:color="auto"/>
              <w:left w:val="nil"/>
              <w:bottom w:val="nil"/>
              <w:right w:val="nil"/>
            </w:tcBorders>
            <w:hideMark/>
          </w:tcPr>
          <w:p w14:paraId="2086F9D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9DC" w14:textId="77777777" w:rsidR="00802D3E" w:rsidRDefault="00802D3E">
            <w:pPr>
              <w:pStyle w:val="MeasureTableTextLeftAligned"/>
            </w:pPr>
            <w:r>
              <w:t>B78</w:t>
            </w:r>
          </w:p>
        </w:tc>
      </w:tr>
      <w:tr w:rsidR="00802D3E" w14:paraId="2086F9E2" w14:textId="77777777" w:rsidTr="00802D3E">
        <w:trPr>
          <w:cantSplit/>
          <w:jc w:val="center"/>
        </w:trPr>
        <w:tc>
          <w:tcPr>
            <w:tcW w:w="1934" w:type="dxa"/>
            <w:gridSpan w:val="2"/>
            <w:tcBorders>
              <w:top w:val="nil"/>
              <w:left w:val="nil"/>
              <w:bottom w:val="nil"/>
              <w:right w:val="nil"/>
            </w:tcBorders>
            <w:hideMark/>
          </w:tcPr>
          <w:p w14:paraId="2086F9D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9DF" w14:textId="77777777" w:rsidR="00802D3E" w:rsidRDefault="00802D3E">
            <w:pPr>
              <w:pStyle w:val="MeasureTableTextLeftAligned"/>
            </w:pPr>
            <w:r>
              <w:t>Low</w:t>
            </w:r>
          </w:p>
        </w:tc>
        <w:tc>
          <w:tcPr>
            <w:tcW w:w="1500" w:type="dxa"/>
            <w:gridSpan w:val="2"/>
            <w:tcBorders>
              <w:top w:val="nil"/>
              <w:left w:val="nil"/>
              <w:bottom w:val="nil"/>
              <w:right w:val="nil"/>
            </w:tcBorders>
          </w:tcPr>
          <w:p w14:paraId="2086F9E0" w14:textId="77777777" w:rsidR="00802D3E" w:rsidRDefault="00802D3E">
            <w:pPr>
              <w:pStyle w:val="MeasureTableTextItalic"/>
            </w:pPr>
          </w:p>
        </w:tc>
        <w:tc>
          <w:tcPr>
            <w:tcW w:w="1124" w:type="dxa"/>
            <w:gridSpan w:val="2"/>
            <w:tcBorders>
              <w:top w:val="nil"/>
              <w:left w:val="nil"/>
              <w:bottom w:val="nil"/>
              <w:right w:val="nil"/>
            </w:tcBorders>
          </w:tcPr>
          <w:p w14:paraId="2086F9E1" w14:textId="77777777" w:rsidR="00802D3E" w:rsidRDefault="00802D3E">
            <w:pPr>
              <w:pStyle w:val="MeasureTableTextLeftAligned"/>
            </w:pPr>
          </w:p>
        </w:tc>
      </w:tr>
      <w:tr w:rsidR="00802D3E" w14:paraId="2086F9E7" w14:textId="77777777" w:rsidTr="00802D3E">
        <w:trPr>
          <w:cantSplit/>
          <w:jc w:val="center"/>
        </w:trPr>
        <w:tc>
          <w:tcPr>
            <w:tcW w:w="1934" w:type="dxa"/>
            <w:gridSpan w:val="2"/>
            <w:tcBorders>
              <w:top w:val="nil"/>
              <w:left w:val="nil"/>
              <w:bottom w:val="nil"/>
              <w:right w:val="nil"/>
            </w:tcBorders>
            <w:hideMark/>
          </w:tcPr>
          <w:p w14:paraId="2086F9E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9E4" w14:textId="77777777" w:rsidR="00802D3E" w:rsidRDefault="00802D3E">
            <w:pPr>
              <w:pStyle w:val="MeasureTableTextLeftAligned"/>
            </w:pPr>
            <w:r>
              <w:t>2011</w:t>
            </w:r>
          </w:p>
        </w:tc>
        <w:tc>
          <w:tcPr>
            <w:tcW w:w="1500" w:type="dxa"/>
            <w:gridSpan w:val="2"/>
            <w:tcBorders>
              <w:top w:val="nil"/>
              <w:left w:val="nil"/>
              <w:bottom w:val="nil"/>
              <w:right w:val="nil"/>
            </w:tcBorders>
            <w:hideMark/>
          </w:tcPr>
          <w:p w14:paraId="2086F9E5"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9E6" w14:textId="77777777" w:rsidR="00802D3E" w:rsidRDefault="00802D3E">
            <w:pPr>
              <w:pStyle w:val="MeasureTableTextLeftAligned"/>
            </w:pPr>
          </w:p>
        </w:tc>
      </w:tr>
      <w:tr w:rsidR="00802D3E" w14:paraId="2086F9EA" w14:textId="77777777" w:rsidTr="00802D3E">
        <w:trPr>
          <w:cantSplit/>
          <w:jc w:val="center"/>
        </w:trPr>
        <w:tc>
          <w:tcPr>
            <w:tcW w:w="1934" w:type="dxa"/>
            <w:gridSpan w:val="2"/>
            <w:tcBorders>
              <w:top w:val="nil"/>
              <w:left w:val="nil"/>
              <w:bottom w:val="single" w:sz="2" w:space="0" w:color="auto"/>
              <w:right w:val="nil"/>
            </w:tcBorders>
            <w:hideMark/>
          </w:tcPr>
          <w:p w14:paraId="2086F9E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9E9"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Division 355 of the </w:t>
            </w:r>
            <w:r>
              <w:rPr>
                <w:rFonts w:ascii="Arial" w:hAnsi="Arial" w:cs="Arial"/>
                <w:i/>
                <w:iCs/>
                <w:color w:val="000000"/>
                <w:sz w:val="16"/>
                <w:szCs w:val="16"/>
              </w:rPr>
              <w:t>Income Tax Assessment Act 1997</w:t>
            </w:r>
          </w:p>
        </w:tc>
      </w:tr>
    </w:tbl>
    <w:p w14:paraId="2086F9EB" w14:textId="77777777" w:rsidR="00802D3E" w:rsidRDefault="00802D3E" w:rsidP="00A109BC">
      <w:pPr>
        <w:pStyle w:val="SingleParagraph"/>
      </w:pPr>
    </w:p>
    <w:p w14:paraId="2086F9EC" w14:textId="77777777" w:rsidR="00802D3E" w:rsidRDefault="00802D3E" w:rsidP="00802D3E">
      <w:r>
        <w:t>The</w:t>
      </w:r>
      <w:r>
        <w:rPr>
          <w:b/>
        </w:rPr>
        <w:t xml:space="preserve"> </w:t>
      </w:r>
      <w:r>
        <w:t xml:space="preserve">R&amp;D non-refundable tax offset </w:t>
      </w:r>
      <w:r>
        <w:fldChar w:fldCharType="begin"/>
      </w:r>
      <w:r>
        <w:instrText xml:space="preserve"> XE "Research and development:Non-refundable tax offset" </w:instrText>
      </w:r>
      <w:r>
        <w:fldChar w:fldCharType="end"/>
      </w:r>
      <w:r>
        <w:t>is available to companies at a rate of 38.5 per cent for the first $100 million of expenditure on eligible R&amp;D activities for income years beginning from 1 July 2016. A non-refundable tax offset at the prevailing company tax rate applies to the amount of the expenditure that exceeds $100 million. For previous income years, the non-refundable tax offset rate is 40 per cent for all eligible expenditure.</w:t>
      </w:r>
    </w:p>
    <w:p w14:paraId="2086F9ED" w14:textId="77777777" w:rsidR="00802D3E" w:rsidRDefault="00802D3E" w:rsidP="00802D3E">
      <w:r>
        <w:t xml:space="preserve">The non-refundable tax offset can be carried forward to be applied against future income tax liabilities. If a company’s income tax liability is zero, unused offset amounts cannot be applied to reduce other tax liabilities. </w:t>
      </w:r>
    </w:p>
    <w:p w14:paraId="2086F9EE" w14:textId="77777777" w:rsidR="00802D3E" w:rsidRDefault="00802D3E" w:rsidP="00802D3E">
      <w:pPr>
        <w:pStyle w:val="TESHeading5"/>
        <w:ind w:left="0" w:firstLine="0"/>
      </w:pPr>
      <w:r>
        <w:lastRenderedPageBreak/>
        <w:t>B79</w:t>
      </w:r>
      <w:r>
        <w:tab/>
        <w:t>Small business simplified depreciation rules</w:t>
      </w:r>
    </w:p>
    <w:p w14:paraId="2086F9EF"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9F8" w14:textId="77777777" w:rsidTr="00802D3E">
        <w:trPr>
          <w:cantSplit/>
          <w:jc w:val="center"/>
        </w:trPr>
        <w:tc>
          <w:tcPr>
            <w:tcW w:w="967" w:type="dxa"/>
            <w:tcBorders>
              <w:top w:val="single" w:sz="2" w:space="0" w:color="auto"/>
              <w:left w:val="nil"/>
              <w:bottom w:val="single" w:sz="2" w:space="0" w:color="auto"/>
              <w:right w:val="nil"/>
            </w:tcBorders>
            <w:hideMark/>
          </w:tcPr>
          <w:p w14:paraId="2086F9F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9F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9F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9F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9F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9F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9F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9F7" w14:textId="77777777" w:rsidR="00802D3E" w:rsidRDefault="00802D3E">
            <w:pPr>
              <w:pStyle w:val="MeasureTableTextRightAligned"/>
            </w:pPr>
            <w:r>
              <w:t>2019-20</w:t>
            </w:r>
          </w:p>
        </w:tc>
      </w:tr>
      <w:tr w:rsidR="00802D3E" w14:paraId="2086FA01" w14:textId="77777777" w:rsidTr="00802D3E">
        <w:trPr>
          <w:cantSplit/>
          <w:jc w:val="center"/>
        </w:trPr>
        <w:tc>
          <w:tcPr>
            <w:tcW w:w="967" w:type="dxa"/>
            <w:tcBorders>
              <w:top w:val="single" w:sz="2" w:space="0" w:color="auto"/>
              <w:left w:val="nil"/>
              <w:bottom w:val="single" w:sz="2" w:space="0" w:color="auto"/>
              <w:right w:val="nil"/>
            </w:tcBorders>
            <w:hideMark/>
          </w:tcPr>
          <w:p w14:paraId="2086F9F9"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hideMark/>
          </w:tcPr>
          <w:p w14:paraId="2086F9FA" w14:textId="77777777" w:rsidR="00802D3E" w:rsidRDefault="00802D3E">
            <w:pPr>
              <w:pStyle w:val="MeasureTableTextRightAligned"/>
            </w:pPr>
            <w:r>
              <w:t>215</w:t>
            </w:r>
          </w:p>
        </w:tc>
        <w:tc>
          <w:tcPr>
            <w:tcW w:w="967" w:type="dxa"/>
            <w:tcBorders>
              <w:top w:val="single" w:sz="2" w:space="0" w:color="auto"/>
              <w:left w:val="nil"/>
              <w:bottom w:val="single" w:sz="2" w:space="0" w:color="auto"/>
              <w:right w:val="nil"/>
            </w:tcBorders>
            <w:vAlign w:val="bottom"/>
            <w:hideMark/>
          </w:tcPr>
          <w:p w14:paraId="2086F9FB" w14:textId="77777777" w:rsidR="00802D3E" w:rsidRDefault="00802D3E">
            <w:pPr>
              <w:pStyle w:val="MeasureTableTextRightAligned"/>
            </w:pPr>
            <w:r>
              <w:t>-165</w:t>
            </w:r>
          </w:p>
        </w:tc>
        <w:tc>
          <w:tcPr>
            <w:tcW w:w="967" w:type="dxa"/>
            <w:tcBorders>
              <w:top w:val="single" w:sz="2" w:space="0" w:color="auto"/>
              <w:left w:val="nil"/>
              <w:bottom w:val="single" w:sz="2" w:space="0" w:color="auto"/>
              <w:right w:val="nil"/>
            </w:tcBorders>
            <w:vAlign w:val="bottom"/>
            <w:hideMark/>
          </w:tcPr>
          <w:p w14:paraId="2086F9FC" w14:textId="77777777" w:rsidR="00802D3E" w:rsidRDefault="00802D3E">
            <w:pPr>
              <w:pStyle w:val="MeasureTableTextRightAligned"/>
            </w:pPr>
            <w:r>
              <w:t>-440</w:t>
            </w:r>
          </w:p>
        </w:tc>
        <w:tc>
          <w:tcPr>
            <w:tcW w:w="967" w:type="dxa"/>
            <w:tcBorders>
              <w:top w:val="single" w:sz="2" w:space="0" w:color="auto"/>
              <w:left w:val="nil"/>
              <w:bottom w:val="single" w:sz="2" w:space="0" w:color="auto"/>
              <w:right w:val="nil"/>
            </w:tcBorders>
            <w:vAlign w:val="bottom"/>
            <w:hideMark/>
          </w:tcPr>
          <w:p w14:paraId="2086F9FD" w14:textId="77777777" w:rsidR="00802D3E" w:rsidRDefault="00802D3E">
            <w:pPr>
              <w:pStyle w:val="MeasureTableTextRightAligned"/>
            </w:pPr>
            <w:r>
              <w:t>1,020</w:t>
            </w:r>
          </w:p>
        </w:tc>
        <w:tc>
          <w:tcPr>
            <w:tcW w:w="967" w:type="dxa"/>
            <w:gridSpan w:val="2"/>
            <w:tcBorders>
              <w:top w:val="single" w:sz="2" w:space="0" w:color="auto"/>
              <w:left w:val="nil"/>
              <w:bottom w:val="single" w:sz="2" w:space="0" w:color="auto"/>
              <w:right w:val="nil"/>
            </w:tcBorders>
            <w:vAlign w:val="bottom"/>
            <w:hideMark/>
          </w:tcPr>
          <w:p w14:paraId="2086F9FE" w14:textId="77777777" w:rsidR="00802D3E" w:rsidRDefault="00802D3E">
            <w:pPr>
              <w:pStyle w:val="MeasureTableTextRightAligned"/>
            </w:pPr>
            <w:r>
              <w:t>1,010</w:t>
            </w:r>
          </w:p>
        </w:tc>
        <w:tc>
          <w:tcPr>
            <w:tcW w:w="967" w:type="dxa"/>
            <w:gridSpan w:val="2"/>
            <w:tcBorders>
              <w:top w:val="single" w:sz="2" w:space="0" w:color="auto"/>
              <w:left w:val="nil"/>
              <w:bottom w:val="single" w:sz="2" w:space="0" w:color="auto"/>
              <w:right w:val="nil"/>
            </w:tcBorders>
            <w:vAlign w:val="bottom"/>
            <w:hideMark/>
          </w:tcPr>
          <w:p w14:paraId="2086F9FF" w14:textId="77777777" w:rsidR="00802D3E" w:rsidRDefault="00802D3E">
            <w:pPr>
              <w:pStyle w:val="MeasureTableTextRightAligned"/>
            </w:pPr>
            <w:r>
              <w:t>-470</w:t>
            </w:r>
          </w:p>
        </w:tc>
        <w:tc>
          <w:tcPr>
            <w:tcW w:w="968" w:type="dxa"/>
            <w:tcBorders>
              <w:top w:val="single" w:sz="2" w:space="0" w:color="auto"/>
              <w:left w:val="nil"/>
              <w:bottom w:val="single" w:sz="2" w:space="0" w:color="auto"/>
              <w:right w:val="nil"/>
            </w:tcBorders>
            <w:vAlign w:val="bottom"/>
            <w:hideMark/>
          </w:tcPr>
          <w:p w14:paraId="2086FA00" w14:textId="77777777" w:rsidR="00802D3E" w:rsidRDefault="00802D3E">
            <w:pPr>
              <w:pStyle w:val="MeasureTableTextRightAligned"/>
            </w:pPr>
            <w:r>
              <w:t>-705</w:t>
            </w:r>
          </w:p>
        </w:tc>
      </w:tr>
      <w:tr w:rsidR="00802D3E" w14:paraId="2086FA06" w14:textId="77777777" w:rsidTr="00802D3E">
        <w:trPr>
          <w:cantSplit/>
          <w:jc w:val="center"/>
        </w:trPr>
        <w:tc>
          <w:tcPr>
            <w:tcW w:w="1934" w:type="dxa"/>
            <w:gridSpan w:val="2"/>
            <w:tcBorders>
              <w:top w:val="single" w:sz="2" w:space="0" w:color="auto"/>
              <w:left w:val="nil"/>
              <w:bottom w:val="nil"/>
              <w:right w:val="nil"/>
            </w:tcBorders>
            <w:hideMark/>
          </w:tcPr>
          <w:p w14:paraId="2086FA0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A03" w14:textId="77777777" w:rsidR="00802D3E" w:rsidRDefault="00802D3E">
            <w:pPr>
              <w:pStyle w:val="MeasureTableTextLeftAligned"/>
            </w:pPr>
            <w:r>
              <w:t>Accelerated write-off</w:t>
            </w:r>
          </w:p>
        </w:tc>
        <w:tc>
          <w:tcPr>
            <w:tcW w:w="1500" w:type="dxa"/>
            <w:gridSpan w:val="2"/>
            <w:tcBorders>
              <w:top w:val="single" w:sz="2" w:space="0" w:color="auto"/>
              <w:left w:val="nil"/>
              <w:bottom w:val="nil"/>
              <w:right w:val="nil"/>
            </w:tcBorders>
            <w:hideMark/>
          </w:tcPr>
          <w:p w14:paraId="2086FA0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A05" w14:textId="77777777" w:rsidR="00802D3E" w:rsidRDefault="00802D3E">
            <w:pPr>
              <w:pStyle w:val="MeasureTableTextLeftAligned"/>
            </w:pPr>
            <w:r>
              <w:t>B79</w:t>
            </w:r>
          </w:p>
        </w:tc>
      </w:tr>
      <w:tr w:rsidR="00802D3E" w14:paraId="2086FA0B" w14:textId="77777777" w:rsidTr="00802D3E">
        <w:trPr>
          <w:cantSplit/>
          <w:jc w:val="center"/>
        </w:trPr>
        <w:tc>
          <w:tcPr>
            <w:tcW w:w="1934" w:type="dxa"/>
            <w:gridSpan w:val="2"/>
            <w:tcBorders>
              <w:top w:val="nil"/>
              <w:left w:val="nil"/>
              <w:bottom w:val="nil"/>
              <w:right w:val="nil"/>
            </w:tcBorders>
            <w:hideMark/>
          </w:tcPr>
          <w:p w14:paraId="2086FA0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A08"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FA09" w14:textId="77777777" w:rsidR="00802D3E" w:rsidRDefault="00802D3E">
            <w:pPr>
              <w:pStyle w:val="MeasureTableTextItalic"/>
            </w:pPr>
          </w:p>
        </w:tc>
        <w:tc>
          <w:tcPr>
            <w:tcW w:w="1124" w:type="dxa"/>
            <w:gridSpan w:val="2"/>
            <w:tcBorders>
              <w:top w:val="nil"/>
              <w:left w:val="nil"/>
              <w:bottom w:val="nil"/>
              <w:right w:val="nil"/>
            </w:tcBorders>
          </w:tcPr>
          <w:p w14:paraId="2086FA0A" w14:textId="77777777" w:rsidR="00802D3E" w:rsidRDefault="00802D3E">
            <w:pPr>
              <w:pStyle w:val="MeasureTableTextLeftAligned"/>
            </w:pPr>
          </w:p>
        </w:tc>
      </w:tr>
      <w:tr w:rsidR="00802D3E" w14:paraId="2086FA10" w14:textId="77777777" w:rsidTr="00802D3E">
        <w:trPr>
          <w:cantSplit/>
          <w:jc w:val="center"/>
        </w:trPr>
        <w:tc>
          <w:tcPr>
            <w:tcW w:w="1934" w:type="dxa"/>
            <w:gridSpan w:val="2"/>
            <w:tcBorders>
              <w:top w:val="nil"/>
              <w:left w:val="nil"/>
              <w:bottom w:val="nil"/>
              <w:right w:val="nil"/>
            </w:tcBorders>
            <w:hideMark/>
          </w:tcPr>
          <w:p w14:paraId="2086FA0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A0D" w14:textId="77777777" w:rsidR="00802D3E" w:rsidRDefault="00802D3E">
            <w:pPr>
              <w:pStyle w:val="MeasureTableTextLeftAligned"/>
            </w:pPr>
            <w:r>
              <w:t>2007</w:t>
            </w:r>
          </w:p>
        </w:tc>
        <w:tc>
          <w:tcPr>
            <w:tcW w:w="1500" w:type="dxa"/>
            <w:gridSpan w:val="2"/>
            <w:tcBorders>
              <w:top w:val="nil"/>
              <w:left w:val="nil"/>
              <w:bottom w:val="nil"/>
              <w:right w:val="nil"/>
            </w:tcBorders>
            <w:hideMark/>
          </w:tcPr>
          <w:p w14:paraId="2086FA0E"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A0F" w14:textId="77777777" w:rsidR="00802D3E" w:rsidRDefault="00802D3E">
            <w:pPr>
              <w:pStyle w:val="MeasureTableTextLeftAligned"/>
            </w:pPr>
          </w:p>
        </w:tc>
      </w:tr>
      <w:tr w:rsidR="00802D3E" w14:paraId="2086FA13" w14:textId="77777777" w:rsidTr="00802D3E">
        <w:trPr>
          <w:cantSplit/>
          <w:jc w:val="center"/>
        </w:trPr>
        <w:tc>
          <w:tcPr>
            <w:tcW w:w="1934" w:type="dxa"/>
            <w:gridSpan w:val="2"/>
            <w:tcBorders>
              <w:top w:val="nil"/>
              <w:left w:val="nil"/>
              <w:bottom w:val="single" w:sz="2" w:space="0" w:color="auto"/>
              <w:right w:val="nil"/>
            </w:tcBorders>
            <w:hideMark/>
          </w:tcPr>
          <w:p w14:paraId="2086FA1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A12"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Subdivision 328-D of the </w:t>
            </w:r>
            <w:r>
              <w:rPr>
                <w:rFonts w:ascii="Arial" w:hAnsi="Arial" w:cs="Arial"/>
                <w:i/>
                <w:iCs/>
                <w:color w:val="000000"/>
                <w:sz w:val="16"/>
                <w:szCs w:val="16"/>
              </w:rPr>
              <w:t>Income Tax Assessment Act 1997</w:t>
            </w:r>
          </w:p>
        </w:tc>
      </w:tr>
    </w:tbl>
    <w:p w14:paraId="2086FA14" w14:textId="77777777" w:rsidR="00802D3E" w:rsidRDefault="00802D3E" w:rsidP="00A109BC">
      <w:pPr>
        <w:pStyle w:val="SingleParagraph"/>
      </w:pPr>
    </w:p>
    <w:p w14:paraId="2086FA15" w14:textId="2D87C014" w:rsidR="00802D3E" w:rsidRDefault="00802D3E" w:rsidP="00802D3E">
      <w:r>
        <w:t>Small business entities with an aggregated annual turnover of less than $2 million (increased to $10 million from 1 July 2016, subject to the passage of legislation) are able to access concessional depreciation arrangements for business assets.</w:t>
      </w:r>
      <w:r>
        <w:fldChar w:fldCharType="begin"/>
      </w:r>
      <w:r>
        <w:instrText xml:space="preserve"> XE "Small business" </w:instrText>
      </w:r>
      <w:r>
        <w:fldChar w:fldCharType="end"/>
      </w:r>
      <w:r>
        <w:t xml:space="preserve"> Under the concessions, small business entities can immediately deduct assets that cost less than a threshold amount. From 1 July 2012 to 1 January 2014 the threshold was $6,500. From 1</w:t>
      </w:r>
      <w:r w:rsidR="00C073FD">
        <w:t> </w:t>
      </w:r>
      <w:r>
        <w:t>January 2014 to 7.30pm (AEST) on 12 May 2015 the threshold was $1,000. Between</w:t>
      </w:r>
      <w:r w:rsidR="000B1D9D">
        <w:t> </w:t>
      </w:r>
      <w:r>
        <w:t>7.30pm (AEST) on 12 May 2015 and 1 July 2017 the threshold is $20,000. The threshold will return to $1,000 from 1 July 2017.</w:t>
      </w:r>
    </w:p>
    <w:p w14:paraId="2086FA16" w14:textId="77777777" w:rsidR="00802D3E" w:rsidRDefault="00802D3E" w:rsidP="00802D3E">
      <w:r>
        <w:t xml:space="preserve">In addition to the immediate write-off, assets above the threshold are depreciated through simplified pooling arrangements at a rate of 30 per cent per year (15 per cent in the first year). The general small business pool can also be immediately deducted at the end of the income year if its value is less than the immediate write-off threshold (before deducting depreciation for the year). </w:t>
      </w:r>
    </w:p>
    <w:p w14:paraId="2086FA17" w14:textId="77777777" w:rsidR="00802D3E" w:rsidRDefault="00802D3E" w:rsidP="00802D3E">
      <w:pPr>
        <w:pStyle w:val="TESHeading5"/>
        <w:ind w:left="0" w:firstLine="0"/>
      </w:pPr>
      <w:r>
        <w:t>B80</w:t>
      </w:r>
      <w:r>
        <w:tab/>
        <w:t>Small business simplified trading stock rules</w:t>
      </w:r>
    </w:p>
    <w:p w14:paraId="2086FA18"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A21" w14:textId="77777777" w:rsidTr="00802D3E">
        <w:trPr>
          <w:cantSplit/>
          <w:jc w:val="center"/>
        </w:trPr>
        <w:tc>
          <w:tcPr>
            <w:tcW w:w="967" w:type="dxa"/>
            <w:tcBorders>
              <w:top w:val="single" w:sz="2" w:space="0" w:color="auto"/>
              <w:left w:val="nil"/>
              <w:bottom w:val="single" w:sz="2" w:space="0" w:color="auto"/>
              <w:right w:val="nil"/>
            </w:tcBorders>
            <w:hideMark/>
          </w:tcPr>
          <w:p w14:paraId="2086FA1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A1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A1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A1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A1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A1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A1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A20" w14:textId="77777777" w:rsidR="00802D3E" w:rsidRDefault="00802D3E">
            <w:pPr>
              <w:pStyle w:val="MeasureTableTextRightAligned"/>
            </w:pPr>
            <w:r>
              <w:t>2019-20</w:t>
            </w:r>
          </w:p>
        </w:tc>
      </w:tr>
      <w:tr w:rsidR="00802D3E" w14:paraId="2086FA2A" w14:textId="77777777" w:rsidTr="00802D3E">
        <w:trPr>
          <w:cantSplit/>
          <w:jc w:val="center"/>
        </w:trPr>
        <w:tc>
          <w:tcPr>
            <w:tcW w:w="967" w:type="dxa"/>
            <w:tcBorders>
              <w:top w:val="single" w:sz="2" w:space="0" w:color="auto"/>
              <w:left w:val="nil"/>
              <w:bottom w:val="single" w:sz="2" w:space="0" w:color="auto"/>
              <w:right w:val="nil"/>
            </w:tcBorders>
            <w:hideMark/>
          </w:tcPr>
          <w:p w14:paraId="2086FA2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A2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A2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A2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A2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A2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A28"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A29" w14:textId="77777777" w:rsidR="00802D3E" w:rsidRDefault="00802D3E">
            <w:pPr>
              <w:pStyle w:val="MeasureTableTextRightAligned"/>
            </w:pPr>
            <w:r>
              <w:t>*</w:t>
            </w:r>
          </w:p>
        </w:tc>
      </w:tr>
      <w:tr w:rsidR="00802D3E" w14:paraId="2086FA2F" w14:textId="77777777" w:rsidTr="00802D3E">
        <w:trPr>
          <w:cantSplit/>
          <w:jc w:val="center"/>
        </w:trPr>
        <w:tc>
          <w:tcPr>
            <w:tcW w:w="1934" w:type="dxa"/>
            <w:gridSpan w:val="2"/>
            <w:tcBorders>
              <w:top w:val="single" w:sz="2" w:space="0" w:color="auto"/>
              <w:left w:val="nil"/>
              <w:bottom w:val="nil"/>
              <w:right w:val="nil"/>
            </w:tcBorders>
            <w:hideMark/>
          </w:tcPr>
          <w:p w14:paraId="2086FA2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A2C"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6FA2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A2E" w14:textId="77777777" w:rsidR="00802D3E" w:rsidRDefault="00802D3E">
            <w:pPr>
              <w:pStyle w:val="MeasureTableTextLeftAligned"/>
            </w:pPr>
            <w:r>
              <w:t>B80</w:t>
            </w:r>
          </w:p>
        </w:tc>
      </w:tr>
      <w:tr w:rsidR="00802D3E" w14:paraId="2086FA34" w14:textId="77777777" w:rsidTr="00802D3E">
        <w:trPr>
          <w:cantSplit/>
          <w:jc w:val="center"/>
        </w:trPr>
        <w:tc>
          <w:tcPr>
            <w:tcW w:w="1934" w:type="dxa"/>
            <w:gridSpan w:val="2"/>
            <w:tcBorders>
              <w:top w:val="nil"/>
              <w:left w:val="nil"/>
              <w:bottom w:val="nil"/>
              <w:right w:val="nil"/>
            </w:tcBorders>
            <w:hideMark/>
          </w:tcPr>
          <w:p w14:paraId="2086FA3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A31"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A32"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A33" w14:textId="77777777" w:rsidR="00802D3E" w:rsidRDefault="00802D3E">
            <w:pPr>
              <w:pStyle w:val="MeasureTableTextLeftAligned"/>
            </w:pPr>
            <w:r>
              <w:t>1+</w:t>
            </w:r>
          </w:p>
        </w:tc>
      </w:tr>
      <w:tr w:rsidR="00802D3E" w14:paraId="2086FA39" w14:textId="77777777" w:rsidTr="00802D3E">
        <w:trPr>
          <w:cantSplit/>
          <w:jc w:val="center"/>
        </w:trPr>
        <w:tc>
          <w:tcPr>
            <w:tcW w:w="1934" w:type="dxa"/>
            <w:gridSpan w:val="2"/>
            <w:tcBorders>
              <w:top w:val="nil"/>
              <w:left w:val="nil"/>
              <w:bottom w:val="nil"/>
              <w:right w:val="nil"/>
            </w:tcBorders>
            <w:hideMark/>
          </w:tcPr>
          <w:p w14:paraId="2086FA3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A36" w14:textId="77777777" w:rsidR="00802D3E" w:rsidRDefault="00802D3E">
            <w:pPr>
              <w:pStyle w:val="MeasureTableTextLeftAligned"/>
            </w:pPr>
            <w:r>
              <w:t>2007</w:t>
            </w:r>
          </w:p>
        </w:tc>
        <w:tc>
          <w:tcPr>
            <w:tcW w:w="1500" w:type="dxa"/>
            <w:gridSpan w:val="2"/>
            <w:tcBorders>
              <w:top w:val="nil"/>
              <w:left w:val="nil"/>
              <w:bottom w:val="nil"/>
              <w:right w:val="nil"/>
            </w:tcBorders>
            <w:hideMark/>
          </w:tcPr>
          <w:p w14:paraId="2086FA37"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A38" w14:textId="77777777" w:rsidR="00802D3E" w:rsidRDefault="00802D3E">
            <w:pPr>
              <w:pStyle w:val="MeasureTableTextLeftAligned"/>
            </w:pPr>
          </w:p>
        </w:tc>
      </w:tr>
      <w:tr w:rsidR="00802D3E" w14:paraId="2086FA3C" w14:textId="77777777" w:rsidTr="00802D3E">
        <w:trPr>
          <w:cantSplit/>
          <w:jc w:val="center"/>
        </w:trPr>
        <w:tc>
          <w:tcPr>
            <w:tcW w:w="1934" w:type="dxa"/>
            <w:gridSpan w:val="2"/>
            <w:tcBorders>
              <w:top w:val="nil"/>
              <w:left w:val="nil"/>
              <w:bottom w:val="single" w:sz="2" w:space="0" w:color="auto"/>
              <w:right w:val="nil"/>
            </w:tcBorders>
            <w:hideMark/>
          </w:tcPr>
          <w:p w14:paraId="2086FA3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A3B"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Subdivision 328-E of the </w:t>
            </w:r>
            <w:r>
              <w:rPr>
                <w:rFonts w:ascii="Arial" w:hAnsi="Arial" w:cs="Arial"/>
                <w:i/>
                <w:iCs/>
                <w:color w:val="000000"/>
                <w:sz w:val="16"/>
                <w:szCs w:val="16"/>
              </w:rPr>
              <w:t>Income Tax Assessment Act 1997</w:t>
            </w:r>
          </w:p>
        </w:tc>
      </w:tr>
    </w:tbl>
    <w:p w14:paraId="2086FA3D" w14:textId="77777777" w:rsidR="00802D3E" w:rsidRDefault="00802D3E" w:rsidP="00A109BC">
      <w:pPr>
        <w:pStyle w:val="SingleParagraph"/>
      </w:pPr>
    </w:p>
    <w:p w14:paraId="2086FA3E" w14:textId="77777777" w:rsidR="00802D3E" w:rsidRDefault="00802D3E" w:rsidP="00802D3E">
      <w:r>
        <w:t>Small business entities with aggregated annual turnover of less than $2 million (increased to $10 million from 1 July 2016, subject to the passage of legislation) may choose to use a simplified trading stock</w:t>
      </w:r>
      <w:r>
        <w:fldChar w:fldCharType="begin"/>
      </w:r>
      <w:r>
        <w:instrText xml:space="preserve"> XE "Simplified trading stock rules" </w:instrText>
      </w:r>
      <w:r>
        <w:fldChar w:fldCharType="end"/>
      </w:r>
      <w:r>
        <w:t xml:space="preserve"> regime. Under this regime, in certain circumstances, changes in the value of trading stock do not have to be accounted for and stocktaking is not required at the end of the income year. </w:t>
      </w:r>
      <w:r>
        <w:fldChar w:fldCharType="begin"/>
      </w:r>
      <w:r>
        <w:instrText xml:space="preserve"> XE "Small business" </w:instrText>
      </w:r>
      <w:r>
        <w:fldChar w:fldCharType="end"/>
      </w:r>
    </w:p>
    <w:p w14:paraId="2086FA3F" w14:textId="77777777" w:rsidR="00802D3E" w:rsidRDefault="00802D3E" w:rsidP="00802D3E">
      <w:pPr>
        <w:pStyle w:val="TESHeading5"/>
        <w:ind w:left="0" w:firstLine="0"/>
      </w:pPr>
      <w:r>
        <w:lastRenderedPageBreak/>
        <w:t>B81</w:t>
      </w:r>
      <w:r>
        <w:tab/>
        <w:t>International tax – concessional</w:t>
      </w:r>
      <w:r w:rsidR="000B181C">
        <w:t xml:space="preserve"> </w:t>
      </w:r>
      <w:r>
        <w:t>rate of final withholding tax on certain distributions by Australian managed investment trusts to foreign residents</w:t>
      </w:r>
    </w:p>
    <w:p w14:paraId="2086FA40" w14:textId="77777777" w:rsidR="00802D3E" w:rsidRDefault="00802D3E" w:rsidP="00802D3E">
      <w:pPr>
        <w:pStyle w:val="MeasureTableHeading"/>
      </w:pPr>
      <w:r>
        <w:t xml:space="preserve">General public services </w:t>
      </w:r>
      <w:r w:rsidR="000B181C">
        <w:t>–</w:t>
      </w:r>
      <w:r>
        <w:t xml:space="preserve"> General</w:t>
      </w:r>
      <w:r w:rsidR="000B181C">
        <w:t xml:space="preserve"> </w:t>
      </w:r>
      <w:r>
        <w:t>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A49" w14:textId="77777777" w:rsidTr="00802D3E">
        <w:trPr>
          <w:cantSplit/>
          <w:jc w:val="center"/>
        </w:trPr>
        <w:tc>
          <w:tcPr>
            <w:tcW w:w="967" w:type="dxa"/>
            <w:tcBorders>
              <w:top w:val="single" w:sz="2" w:space="0" w:color="auto"/>
              <w:left w:val="nil"/>
              <w:bottom w:val="single" w:sz="2" w:space="0" w:color="auto"/>
              <w:right w:val="nil"/>
            </w:tcBorders>
            <w:hideMark/>
          </w:tcPr>
          <w:p w14:paraId="2086FA4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A4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A4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A4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A4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A4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A4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A48" w14:textId="77777777" w:rsidR="00802D3E" w:rsidRDefault="00802D3E">
            <w:pPr>
              <w:pStyle w:val="MeasureTableTextRightAligned"/>
            </w:pPr>
            <w:r>
              <w:t>2019-20</w:t>
            </w:r>
          </w:p>
        </w:tc>
      </w:tr>
      <w:tr w:rsidR="00802D3E" w14:paraId="2086FA52" w14:textId="77777777" w:rsidTr="00802D3E">
        <w:trPr>
          <w:cantSplit/>
          <w:jc w:val="center"/>
        </w:trPr>
        <w:tc>
          <w:tcPr>
            <w:tcW w:w="967" w:type="dxa"/>
            <w:tcBorders>
              <w:top w:val="single" w:sz="2" w:space="0" w:color="auto"/>
              <w:left w:val="nil"/>
              <w:bottom w:val="single" w:sz="2" w:space="0" w:color="auto"/>
              <w:right w:val="nil"/>
            </w:tcBorders>
            <w:hideMark/>
          </w:tcPr>
          <w:p w14:paraId="2086FA4A" w14:textId="77777777" w:rsidR="00802D3E" w:rsidRDefault="00802D3E">
            <w:pPr>
              <w:pStyle w:val="MeasureTableTextRightAligned"/>
            </w:pPr>
            <w:r>
              <w:t>140</w:t>
            </w:r>
          </w:p>
        </w:tc>
        <w:tc>
          <w:tcPr>
            <w:tcW w:w="967" w:type="dxa"/>
            <w:tcBorders>
              <w:top w:val="single" w:sz="2" w:space="0" w:color="auto"/>
              <w:left w:val="nil"/>
              <w:bottom w:val="single" w:sz="2" w:space="0" w:color="auto"/>
              <w:right w:val="nil"/>
            </w:tcBorders>
            <w:hideMark/>
          </w:tcPr>
          <w:p w14:paraId="2086FA4B" w14:textId="77777777" w:rsidR="00802D3E" w:rsidRDefault="00802D3E">
            <w:pPr>
              <w:pStyle w:val="MeasureTableTextRightAligned"/>
            </w:pPr>
            <w:r>
              <w:t>285</w:t>
            </w:r>
          </w:p>
        </w:tc>
        <w:tc>
          <w:tcPr>
            <w:tcW w:w="967" w:type="dxa"/>
            <w:tcBorders>
              <w:top w:val="single" w:sz="2" w:space="0" w:color="auto"/>
              <w:left w:val="nil"/>
              <w:bottom w:val="single" w:sz="2" w:space="0" w:color="auto"/>
              <w:right w:val="nil"/>
            </w:tcBorders>
            <w:vAlign w:val="bottom"/>
            <w:hideMark/>
          </w:tcPr>
          <w:p w14:paraId="2086FA4C" w14:textId="77777777" w:rsidR="00802D3E" w:rsidRDefault="00802D3E">
            <w:pPr>
              <w:pStyle w:val="MeasureTableTextRightAligned"/>
            </w:pPr>
            <w:r>
              <w:t>210</w:t>
            </w:r>
          </w:p>
        </w:tc>
        <w:tc>
          <w:tcPr>
            <w:tcW w:w="967" w:type="dxa"/>
            <w:tcBorders>
              <w:top w:val="single" w:sz="2" w:space="0" w:color="auto"/>
              <w:left w:val="nil"/>
              <w:bottom w:val="single" w:sz="2" w:space="0" w:color="auto"/>
              <w:right w:val="nil"/>
            </w:tcBorders>
            <w:vAlign w:val="bottom"/>
            <w:hideMark/>
          </w:tcPr>
          <w:p w14:paraId="2086FA4D" w14:textId="77777777" w:rsidR="00802D3E" w:rsidRDefault="00802D3E">
            <w:pPr>
              <w:pStyle w:val="MeasureTableTextRightAligned"/>
            </w:pPr>
            <w:r>
              <w:t>180</w:t>
            </w:r>
          </w:p>
        </w:tc>
        <w:tc>
          <w:tcPr>
            <w:tcW w:w="967" w:type="dxa"/>
            <w:tcBorders>
              <w:top w:val="single" w:sz="2" w:space="0" w:color="auto"/>
              <w:left w:val="nil"/>
              <w:bottom w:val="single" w:sz="2" w:space="0" w:color="auto"/>
              <w:right w:val="nil"/>
            </w:tcBorders>
            <w:vAlign w:val="bottom"/>
            <w:hideMark/>
          </w:tcPr>
          <w:p w14:paraId="2086FA4E" w14:textId="77777777" w:rsidR="00802D3E" w:rsidRDefault="00802D3E">
            <w:pPr>
              <w:pStyle w:val="MeasureTableTextRightAligned"/>
            </w:pPr>
            <w:r>
              <w:t>190</w:t>
            </w:r>
          </w:p>
        </w:tc>
        <w:tc>
          <w:tcPr>
            <w:tcW w:w="967" w:type="dxa"/>
            <w:gridSpan w:val="2"/>
            <w:tcBorders>
              <w:top w:val="single" w:sz="2" w:space="0" w:color="auto"/>
              <w:left w:val="nil"/>
              <w:bottom w:val="single" w:sz="2" w:space="0" w:color="auto"/>
              <w:right w:val="nil"/>
            </w:tcBorders>
            <w:vAlign w:val="bottom"/>
            <w:hideMark/>
          </w:tcPr>
          <w:p w14:paraId="2086FA4F" w14:textId="77777777" w:rsidR="00802D3E" w:rsidRDefault="00802D3E">
            <w:pPr>
              <w:pStyle w:val="MeasureTableTextRightAligned"/>
            </w:pPr>
            <w:r>
              <w:t>200</w:t>
            </w:r>
          </w:p>
        </w:tc>
        <w:tc>
          <w:tcPr>
            <w:tcW w:w="967" w:type="dxa"/>
            <w:gridSpan w:val="2"/>
            <w:tcBorders>
              <w:top w:val="single" w:sz="2" w:space="0" w:color="auto"/>
              <w:left w:val="nil"/>
              <w:bottom w:val="single" w:sz="2" w:space="0" w:color="auto"/>
              <w:right w:val="nil"/>
            </w:tcBorders>
            <w:vAlign w:val="bottom"/>
            <w:hideMark/>
          </w:tcPr>
          <w:p w14:paraId="2086FA50" w14:textId="77777777" w:rsidR="00802D3E" w:rsidRDefault="00802D3E">
            <w:pPr>
              <w:pStyle w:val="MeasureTableTextRightAligned"/>
            </w:pPr>
            <w:r>
              <w:t>210</w:t>
            </w:r>
          </w:p>
        </w:tc>
        <w:tc>
          <w:tcPr>
            <w:tcW w:w="968" w:type="dxa"/>
            <w:tcBorders>
              <w:top w:val="single" w:sz="2" w:space="0" w:color="auto"/>
              <w:left w:val="nil"/>
              <w:bottom w:val="single" w:sz="2" w:space="0" w:color="auto"/>
              <w:right w:val="nil"/>
            </w:tcBorders>
            <w:vAlign w:val="bottom"/>
            <w:hideMark/>
          </w:tcPr>
          <w:p w14:paraId="2086FA51" w14:textId="77777777" w:rsidR="00802D3E" w:rsidRDefault="00802D3E">
            <w:pPr>
              <w:pStyle w:val="MeasureTableTextRightAligned"/>
            </w:pPr>
            <w:r>
              <w:t>225</w:t>
            </w:r>
          </w:p>
        </w:tc>
      </w:tr>
      <w:tr w:rsidR="00802D3E" w14:paraId="2086FA57" w14:textId="77777777" w:rsidTr="00802D3E">
        <w:trPr>
          <w:cantSplit/>
          <w:jc w:val="center"/>
        </w:trPr>
        <w:tc>
          <w:tcPr>
            <w:tcW w:w="1934" w:type="dxa"/>
            <w:gridSpan w:val="2"/>
            <w:tcBorders>
              <w:top w:val="single" w:sz="2" w:space="0" w:color="auto"/>
              <w:left w:val="nil"/>
              <w:bottom w:val="nil"/>
              <w:right w:val="nil"/>
            </w:tcBorders>
            <w:hideMark/>
          </w:tcPr>
          <w:p w14:paraId="2086FA5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A54"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6FA5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A56" w14:textId="77777777" w:rsidR="00802D3E" w:rsidRDefault="00802D3E">
            <w:pPr>
              <w:pStyle w:val="MeasureTableTextLeftAligned"/>
            </w:pPr>
            <w:r>
              <w:t>B81</w:t>
            </w:r>
          </w:p>
        </w:tc>
      </w:tr>
      <w:tr w:rsidR="00802D3E" w14:paraId="2086FA5C" w14:textId="77777777" w:rsidTr="00802D3E">
        <w:trPr>
          <w:cantSplit/>
          <w:jc w:val="center"/>
        </w:trPr>
        <w:tc>
          <w:tcPr>
            <w:tcW w:w="1934" w:type="dxa"/>
            <w:gridSpan w:val="2"/>
            <w:tcBorders>
              <w:top w:val="nil"/>
              <w:left w:val="nil"/>
              <w:bottom w:val="nil"/>
              <w:right w:val="nil"/>
            </w:tcBorders>
            <w:hideMark/>
          </w:tcPr>
          <w:p w14:paraId="2086FA5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A59" w14:textId="77777777" w:rsidR="00802D3E" w:rsidRDefault="00802D3E">
            <w:pPr>
              <w:pStyle w:val="MeasureTableTextLeftAligned"/>
            </w:pPr>
            <w:r>
              <w:t>Low</w:t>
            </w:r>
          </w:p>
        </w:tc>
        <w:tc>
          <w:tcPr>
            <w:tcW w:w="1500" w:type="dxa"/>
            <w:gridSpan w:val="2"/>
            <w:tcBorders>
              <w:top w:val="nil"/>
              <w:left w:val="nil"/>
              <w:bottom w:val="nil"/>
              <w:right w:val="nil"/>
            </w:tcBorders>
          </w:tcPr>
          <w:p w14:paraId="2086FA5A" w14:textId="77777777" w:rsidR="00802D3E" w:rsidRDefault="00802D3E">
            <w:pPr>
              <w:pStyle w:val="MeasureTableTextItalic"/>
            </w:pPr>
          </w:p>
        </w:tc>
        <w:tc>
          <w:tcPr>
            <w:tcW w:w="1124" w:type="dxa"/>
            <w:gridSpan w:val="2"/>
            <w:tcBorders>
              <w:top w:val="nil"/>
              <w:left w:val="nil"/>
              <w:bottom w:val="nil"/>
              <w:right w:val="nil"/>
            </w:tcBorders>
          </w:tcPr>
          <w:p w14:paraId="2086FA5B" w14:textId="77777777" w:rsidR="00802D3E" w:rsidRDefault="00802D3E">
            <w:pPr>
              <w:pStyle w:val="MeasureTableTextLeftAligned"/>
            </w:pPr>
          </w:p>
        </w:tc>
      </w:tr>
      <w:tr w:rsidR="00802D3E" w14:paraId="2086FA61" w14:textId="77777777" w:rsidTr="00802D3E">
        <w:trPr>
          <w:cantSplit/>
          <w:jc w:val="center"/>
        </w:trPr>
        <w:tc>
          <w:tcPr>
            <w:tcW w:w="1934" w:type="dxa"/>
            <w:gridSpan w:val="2"/>
            <w:tcBorders>
              <w:top w:val="nil"/>
              <w:left w:val="nil"/>
              <w:bottom w:val="nil"/>
              <w:right w:val="nil"/>
            </w:tcBorders>
            <w:hideMark/>
          </w:tcPr>
          <w:p w14:paraId="2086FA5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A5E" w14:textId="77777777" w:rsidR="00802D3E" w:rsidRDefault="00802D3E">
            <w:pPr>
              <w:pStyle w:val="MeasureTableTextLeftAligned"/>
            </w:pPr>
            <w:r>
              <w:t>1 July 2008</w:t>
            </w:r>
          </w:p>
        </w:tc>
        <w:tc>
          <w:tcPr>
            <w:tcW w:w="1500" w:type="dxa"/>
            <w:gridSpan w:val="2"/>
            <w:tcBorders>
              <w:top w:val="nil"/>
              <w:left w:val="nil"/>
              <w:bottom w:val="nil"/>
              <w:right w:val="nil"/>
            </w:tcBorders>
            <w:hideMark/>
          </w:tcPr>
          <w:p w14:paraId="2086FA5F"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A60" w14:textId="77777777" w:rsidR="00802D3E" w:rsidRDefault="00802D3E">
            <w:pPr>
              <w:pStyle w:val="MeasureTableTextLeftAligned"/>
            </w:pPr>
          </w:p>
        </w:tc>
      </w:tr>
      <w:tr w:rsidR="00802D3E" w14:paraId="2086FA64" w14:textId="77777777" w:rsidTr="00802D3E">
        <w:trPr>
          <w:cantSplit/>
          <w:jc w:val="center"/>
        </w:trPr>
        <w:tc>
          <w:tcPr>
            <w:tcW w:w="1934" w:type="dxa"/>
            <w:gridSpan w:val="2"/>
            <w:tcBorders>
              <w:top w:val="nil"/>
              <w:left w:val="nil"/>
              <w:bottom w:val="single" w:sz="2" w:space="0" w:color="auto"/>
              <w:right w:val="nil"/>
            </w:tcBorders>
            <w:hideMark/>
          </w:tcPr>
          <w:p w14:paraId="2086FA6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A63" w14:textId="77777777" w:rsidR="00802D3E" w:rsidRDefault="00802D3E" w:rsidP="00B029D6">
            <w:pPr>
              <w:widowControl w:val="0"/>
              <w:autoSpaceDE w:val="0"/>
              <w:autoSpaceDN w:val="0"/>
              <w:adjustRightInd w:val="0"/>
              <w:spacing w:after="0" w:line="240" w:lineRule="auto"/>
              <w:jc w:val="left"/>
            </w:pPr>
            <w:r>
              <w:rPr>
                <w:rFonts w:ascii="Arial" w:hAnsi="Arial" w:cs="Arial"/>
                <w:color w:val="000000"/>
                <w:sz w:val="16"/>
                <w:szCs w:val="16"/>
              </w:rPr>
              <w:t xml:space="preserve">Subdivision 12-H of Schedule 1 to the </w:t>
            </w:r>
            <w:r>
              <w:rPr>
                <w:rFonts w:ascii="Arial" w:hAnsi="Arial" w:cs="Arial"/>
                <w:i/>
                <w:iCs/>
                <w:color w:val="000000"/>
                <w:sz w:val="16"/>
                <w:szCs w:val="16"/>
              </w:rPr>
              <w:t>Taxation Administration Act 1953</w:t>
            </w:r>
            <w:r>
              <w:rPr>
                <w:rFonts w:ascii="Arial" w:hAnsi="Arial" w:cs="Arial"/>
                <w:i/>
                <w:iCs/>
                <w:color w:val="000000"/>
                <w:sz w:val="16"/>
                <w:szCs w:val="16"/>
              </w:rPr>
              <w:br/>
            </w:r>
            <w:r>
              <w:rPr>
                <w:rFonts w:ascii="Arial" w:hAnsi="Arial" w:cs="Arial"/>
                <w:color w:val="000000"/>
                <w:sz w:val="16"/>
                <w:szCs w:val="16"/>
              </w:rPr>
              <w:t xml:space="preserve">Division 7 of the </w:t>
            </w:r>
            <w:r>
              <w:rPr>
                <w:rFonts w:ascii="Arial" w:hAnsi="Arial" w:cs="Arial"/>
                <w:i/>
                <w:iCs/>
                <w:color w:val="000000"/>
                <w:sz w:val="16"/>
                <w:szCs w:val="16"/>
              </w:rPr>
              <w:t>Taxation Administration Regulations 1976</w:t>
            </w:r>
          </w:p>
        </w:tc>
      </w:tr>
    </w:tbl>
    <w:p w14:paraId="2086FA65" w14:textId="77777777" w:rsidR="00802D3E" w:rsidRDefault="00802D3E" w:rsidP="00802D3E">
      <w:pPr>
        <w:pStyle w:val="Source"/>
      </w:pPr>
      <w:r>
        <w:t>Note: estimates include tax expenditures B81 and B15</w:t>
      </w:r>
    </w:p>
    <w:p w14:paraId="2086FA66" w14:textId="77777777" w:rsidR="00802D3E" w:rsidRDefault="00802D3E" w:rsidP="00A109BC">
      <w:pPr>
        <w:pStyle w:val="SingleParagraph"/>
      </w:pPr>
    </w:p>
    <w:p w14:paraId="2086FA67" w14:textId="77777777" w:rsidR="00802D3E" w:rsidRDefault="00802D3E" w:rsidP="00802D3E">
      <w:r>
        <w:t>Distributions of Australian source net income (other than dividends, interest and royalties) by Australian managed investment trusts</w:t>
      </w:r>
      <w:r>
        <w:fldChar w:fldCharType="begin"/>
      </w:r>
      <w:r>
        <w:instrText xml:space="preserve"> XE "Managed investment trusts:Distributions to foreign residents" </w:instrText>
      </w:r>
      <w:r>
        <w:fldChar w:fldCharType="end"/>
      </w:r>
      <w:r>
        <w:t xml:space="preserve"> to foreign residents are subject to a final withholding tax. The general rate of 30 per cent was reduced to 15 per cent from 1</w:t>
      </w:r>
      <w:r w:rsidR="00C073FD">
        <w:t> </w:t>
      </w:r>
      <w:r>
        <w:t xml:space="preserve">July 2012 for residents of countries specified in the regulations. </w:t>
      </w:r>
    </w:p>
    <w:p w14:paraId="2086FA68" w14:textId="77777777" w:rsidR="00802D3E" w:rsidRDefault="00802D3E" w:rsidP="00802D3E">
      <w:pPr>
        <w:pStyle w:val="TESHeading5"/>
        <w:ind w:left="0" w:firstLine="0"/>
      </w:pPr>
      <w:r>
        <w:t>B82</w:t>
      </w:r>
      <w:r>
        <w:tab/>
        <w:t>Exception to equity interest test for certain related party at call loans</w:t>
      </w:r>
    </w:p>
    <w:p w14:paraId="2086FA69"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A72" w14:textId="77777777" w:rsidTr="00802D3E">
        <w:trPr>
          <w:cantSplit/>
          <w:jc w:val="center"/>
        </w:trPr>
        <w:tc>
          <w:tcPr>
            <w:tcW w:w="967" w:type="dxa"/>
            <w:tcBorders>
              <w:top w:val="single" w:sz="2" w:space="0" w:color="auto"/>
              <w:left w:val="nil"/>
              <w:bottom w:val="single" w:sz="2" w:space="0" w:color="auto"/>
              <w:right w:val="nil"/>
            </w:tcBorders>
            <w:hideMark/>
          </w:tcPr>
          <w:p w14:paraId="2086FA6A"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A6B"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A6C"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A6D"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A6E"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A6F"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A70"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A71" w14:textId="77777777" w:rsidR="00802D3E" w:rsidRDefault="00802D3E">
            <w:pPr>
              <w:pStyle w:val="MeasureTableTextRightAligned"/>
            </w:pPr>
            <w:r>
              <w:t>2019-20</w:t>
            </w:r>
          </w:p>
        </w:tc>
      </w:tr>
      <w:tr w:rsidR="00802D3E" w14:paraId="2086FA7B" w14:textId="77777777" w:rsidTr="00802D3E">
        <w:trPr>
          <w:cantSplit/>
          <w:jc w:val="center"/>
        </w:trPr>
        <w:tc>
          <w:tcPr>
            <w:tcW w:w="967" w:type="dxa"/>
            <w:tcBorders>
              <w:top w:val="single" w:sz="2" w:space="0" w:color="auto"/>
              <w:left w:val="nil"/>
              <w:bottom w:val="single" w:sz="2" w:space="0" w:color="auto"/>
              <w:right w:val="nil"/>
            </w:tcBorders>
            <w:hideMark/>
          </w:tcPr>
          <w:p w14:paraId="2086FA7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A7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A7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A7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A7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A7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A79"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A7A" w14:textId="77777777" w:rsidR="00802D3E" w:rsidRDefault="00802D3E">
            <w:pPr>
              <w:pStyle w:val="MeasureTableTextRightAligned"/>
            </w:pPr>
            <w:r>
              <w:t>*</w:t>
            </w:r>
          </w:p>
        </w:tc>
      </w:tr>
      <w:tr w:rsidR="00802D3E" w14:paraId="2086FA80" w14:textId="77777777" w:rsidTr="00802D3E">
        <w:trPr>
          <w:cantSplit/>
          <w:jc w:val="center"/>
        </w:trPr>
        <w:tc>
          <w:tcPr>
            <w:tcW w:w="1934" w:type="dxa"/>
            <w:gridSpan w:val="2"/>
            <w:tcBorders>
              <w:top w:val="single" w:sz="2" w:space="0" w:color="auto"/>
              <w:left w:val="nil"/>
              <w:bottom w:val="nil"/>
              <w:right w:val="nil"/>
            </w:tcBorders>
            <w:hideMark/>
          </w:tcPr>
          <w:p w14:paraId="2086FA7C"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A7D"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6FA7E"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A7F" w14:textId="77777777" w:rsidR="00802D3E" w:rsidRDefault="00802D3E">
            <w:pPr>
              <w:pStyle w:val="MeasureTableTextLeftAligned"/>
            </w:pPr>
            <w:r>
              <w:t>B82</w:t>
            </w:r>
          </w:p>
        </w:tc>
      </w:tr>
      <w:tr w:rsidR="00802D3E" w14:paraId="2086FA85" w14:textId="77777777" w:rsidTr="00802D3E">
        <w:trPr>
          <w:cantSplit/>
          <w:jc w:val="center"/>
        </w:trPr>
        <w:tc>
          <w:tcPr>
            <w:tcW w:w="1934" w:type="dxa"/>
            <w:gridSpan w:val="2"/>
            <w:tcBorders>
              <w:top w:val="nil"/>
              <w:left w:val="nil"/>
              <w:bottom w:val="nil"/>
              <w:right w:val="nil"/>
            </w:tcBorders>
            <w:hideMark/>
          </w:tcPr>
          <w:p w14:paraId="2086FA81"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A82"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A83"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A84" w14:textId="77777777" w:rsidR="00802D3E" w:rsidRDefault="00802D3E">
            <w:pPr>
              <w:pStyle w:val="MeasureTableTextLeftAligned"/>
            </w:pPr>
            <w:r>
              <w:t>2+</w:t>
            </w:r>
          </w:p>
        </w:tc>
      </w:tr>
      <w:tr w:rsidR="00802D3E" w14:paraId="2086FA8A" w14:textId="77777777" w:rsidTr="00802D3E">
        <w:trPr>
          <w:cantSplit/>
          <w:jc w:val="center"/>
        </w:trPr>
        <w:tc>
          <w:tcPr>
            <w:tcW w:w="1934" w:type="dxa"/>
            <w:gridSpan w:val="2"/>
            <w:tcBorders>
              <w:top w:val="nil"/>
              <w:left w:val="nil"/>
              <w:bottom w:val="nil"/>
              <w:right w:val="nil"/>
            </w:tcBorders>
            <w:hideMark/>
          </w:tcPr>
          <w:p w14:paraId="2086FA86"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A87" w14:textId="77777777" w:rsidR="00802D3E" w:rsidRDefault="00802D3E">
            <w:pPr>
              <w:pStyle w:val="MeasureTableTextLeftAligned"/>
            </w:pPr>
            <w:r>
              <w:t>1 July 2005</w:t>
            </w:r>
          </w:p>
        </w:tc>
        <w:tc>
          <w:tcPr>
            <w:tcW w:w="1500" w:type="dxa"/>
            <w:gridSpan w:val="2"/>
            <w:tcBorders>
              <w:top w:val="nil"/>
              <w:left w:val="nil"/>
              <w:bottom w:val="nil"/>
              <w:right w:val="nil"/>
            </w:tcBorders>
            <w:hideMark/>
          </w:tcPr>
          <w:p w14:paraId="2086FA88"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A89" w14:textId="77777777" w:rsidR="00802D3E" w:rsidRDefault="00802D3E">
            <w:pPr>
              <w:pStyle w:val="MeasureTableTextLeftAligned"/>
            </w:pPr>
          </w:p>
        </w:tc>
      </w:tr>
      <w:tr w:rsidR="00802D3E" w14:paraId="2086FA8D" w14:textId="77777777" w:rsidTr="00802D3E">
        <w:trPr>
          <w:cantSplit/>
          <w:jc w:val="center"/>
        </w:trPr>
        <w:tc>
          <w:tcPr>
            <w:tcW w:w="1934" w:type="dxa"/>
            <w:gridSpan w:val="2"/>
            <w:tcBorders>
              <w:top w:val="nil"/>
              <w:left w:val="nil"/>
              <w:bottom w:val="single" w:sz="2" w:space="0" w:color="auto"/>
              <w:right w:val="nil"/>
            </w:tcBorders>
            <w:hideMark/>
          </w:tcPr>
          <w:p w14:paraId="2086FA8B"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A8C" w14:textId="77777777" w:rsidR="00802D3E" w:rsidRPr="00B029D6" w:rsidRDefault="00802D3E" w:rsidP="00B029D6">
            <w:pPr>
              <w:widowControl w:val="0"/>
              <w:autoSpaceDE w:val="0"/>
              <w:autoSpaceDN w:val="0"/>
              <w:adjustRightInd w:val="0"/>
              <w:spacing w:after="0" w:line="240" w:lineRule="auto"/>
              <w:jc w:val="left"/>
              <w:rPr>
                <w:rFonts w:ascii="Arial" w:hAnsi="Arial" w:cs="Arial"/>
                <w:sz w:val="16"/>
                <w:szCs w:val="16"/>
              </w:rPr>
            </w:pPr>
            <w:r w:rsidRPr="00B029D6">
              <w:rPr>
                <w:rFonts w:ascii="Arial" w:hAnsi="Arial" w:cs="Arial"/>
                <w:sz w:val="16"/>
                <w:szCs w:val="16"/>
              </w:rPr>
              <w:t xml:space="preserve">Division 974 </w:t>
            </w:r>
            <w:r w:rsidRPr="00B029D6">
              <w:rPr>
                <w:rFonts w:ascii="Arial" w:hAnsi="Arial" w:cs="Arial"/>
                <w:color w:val="000000"/>
                <w:sz w:val="16"/>
                <w:szCs w:val="16"/>
              </w:rPr>
              <w:t xml:space="preserve">of the </w:t>
            </w:r>
            <w:r w:rsidRPr="00B029D6">
              <w:rPr>
                <w:rFonts w:ascii="Arial" w:hAnsi="Arial" w:cs="Arial"/>
                <w:i/>
                <w:iCs/>
                <w:color w:val="000000"/>
                <w:sz w:val="16"/>
                <w:szCs w:val="16"/>
              </w:rPr>
              <w:t>Income Tax Assessment Act 1997</w:t>
            </w:r>
          </w:p>
        </w:tc>
      </w:tr>
    </w:tbl>
    <w:p w14:paraId="2086FA8E" w14:textId="77777777" w:rsidR="00802D3E" w:rsidRDefault="00802D3E" w:rsidP="00A109BC">
      <w:pPr>
        <w:pStyle w:val="SingleParagraph"/>
      </w:pPr>
    </w:p>
    <w:p w14:paraId="2086FA8F" w14:textId="20C738BD" w:rsidR="00802D3E" w:rsidRDefault="00802D3E" w:rsidP="00802D3E">
      <w:r>
        <w:t>Related party at call loans</w:t>
      </w:r>
      <w:r>
        <w:fldChar w:fldCharType="begin"/>
      </w:r>
      <w:r>
        <w:instrText xml:space="preserve"> XE "At call loans" </w:instrText>
      </w:r>
      <w:r>
        <w:fldChar w:fldCharType="end"/>
      </w:r>
      <w:r>
        <w:t>, which would generally give rise to an equity interest, are taken to be debt interests</w:t>
      </w:r>
      <w:r>
        <w:fldChar w:fldCharType="begin"/>
      </w:r>
      <w:r>
        <w:instrText xml:space="preserve"> XE "Debt interests" </w:instrText>
      </w:r>
      <w:r>
        <w:fldChar w:fldCharType="end"/>
      </w:r>
      <w:r>
        <w:t xml:space="preserve"> for companies that have an annual turnover of less than</w:t>
      </w:r>
      <w:r w:rsidR="00B210CF">
        <w:t xml:space="preserve"> </w:t>
      </w:r>
      <w:r>
        <w:t>$20</w:t>
      </w:r>
      <w:r w:rsidR="00B210CF">
        <w:t> </w:t>
      </w:r>
      <w:r>
        <w:t xml:space="preserve">million. Therefore, payments on the loan are deductible debt interest whereas they are treated as a non-deductible equity interest under the benchmark. </w:t>
      </w:r>
    </w:p>
    <w:p w14:paraId="2086FA90" w14:textId="77777777" w:rsidR="00C073FD" w:rsidRDefault="00C073FD">
      <w:pPr>
        <w:spacing w:after="0" w:line="240" w:lineRule="auto"/>
        <w:jc w:val="left"/>
        <w:rPr>
          <w:rFonts w:ascii="Arial" w:hAnsi="Arial"/>
          <w:b/>
          <w:smallCaps/>
          <w:color w:val="000000"/>
          <w:sz w:val="25"/>
        </w:rPr>
      </w:pPr>
      <w:r>
        <w:br w:type="page"/>
      </w:r>
    </w:p>
    <w:p w14:paraId="2086FA91" w14:textId="77777777" w:rsidR="00802D3E" w:rsidRDefault="00802D3E" w:rsidP="00802D3E">
      <w:pPr>
        <w:pStyle w:val="Heading3"/>
      </w:pPr>
      <w:r>
        <w:lastRenderedPageBreak/>
        <w:t>Retirement savings</w:t>
      </w:r>
    </w:p>
    <w:p w14:paraId="2086FA92" w14:textId="77777777" w:rsidR="00802D3E" w:rsidRDefault="00802D3E" w:rsidP="00802D3E">
      <w:pPr>
        <w:pStyle w:val="TESHeading5"/>
        <w:ind w:left="0" w:firstLine="0"/>
      </w:pPr>
      <w:r>
        <w:t>C1</w:t>
      </w:r>
      <w:r>
        <w:tab/>
        <w:t>Concessional taxation of capital gains for superannuation funds</w:t>
      </w:r>
    </w:p>
    <w:p w14:paraId="2086FA93"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A9C" w14:textId="77777777" w:rsidTr="00802D3E">
        <w:trPr>
          <w:cantSplit/>
          <w:jc w:val="center"/>
        </w:trPr>
        <w:tc>
          <w:tcPr>
            <w:tcW w:w="967" w:type="dxa"/>
            <w:tcBorders>
              <w:top w:val="single" w:sz="2" w:space="0" w:color="auto"/>
              <w:left w:val="nil"/>
              <w:bottom w:val="single" w:sz="2" w:space="0" w:color="auto"/>
              <w:right w:val="nil"/>
            </w:tcBorders>
            <w:hideMark/>
          </w:tcPr>
          <w:p w14:paraId="2086FA9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A9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A9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A9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A9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A9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A9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A9B" w14:textId="77777777" w:rsidR="00802D3E" w:rsidRDefault="00802D3E">
            <w:pPr>
              <w:pStyle w:val="MeasureTableTextRightAligned"/>
            </w:pPr>
            <w:r>
              <w:t>2019-20</w:t>
            </w:r>
          </w:p>
        </w:tc>
      </w:tr>
      <w:tr w:rsidR="00802D3E" w14:paraId="2086FAA5" w14:textId="77777777" w:rsidTr="00802D3E">
        <w:trPr>
          <w:cantSplit/>
          <w:jc w:val="center"/>
        </w:trPr>
        <w:tc>
          <w:tcPr>
            <w:tcW w:w="967" w:type="dxa"/>
            <w:tcBorders>
              <w:top w:val="single" w:sz="2" w:space="0" w:color="auto"/>
              <w:left w:val="nil"/>
              <w:bottom w:val="single" w:sz="2" w:space="0" w:color="auto"/>
              <w:right w:val="nil"/>
            </w:tcBorders>
            <w:hideMark/>
          </w:tcPr>
          <w:p w14:paraId="2086FA9D" w14:textId="77777777" w:rsidR="00802D3E" w:rsidRDefault="00802D3E">
            <w:pPr>
              <w:pStyle w:val="MeasureTableTextRightAligned"/>
            </w:pPr>
            <w:r>
              <w:t>85</w:t>
            </w:r>
          </w:p>
        </w:tc>
        <w:tc>
          <w:tcPr>
            <w:tcW w:w="967" w:type="dxa"/>
            <w:tcBorders>
              <w:top w:val="single" w:sz="2" w:space="0" w:color="auto"/>
              <w:left w:val="nil"/>
              <w:bottom w:val="single" w:sz="2" w:space="0" w:color="auto"/>
              <w:right w:val="nil"/>
            </w:tcBorders>
            <w:hideMark/>
          </w:tcPr>
          <w:p w14:paraId="2086FA9E" w14:textId="77777777" w:rsidR="00802D3E" w:rsidRDefault="00802D3E">
            <w:pPr>
              <w:pStyle w:val="MeasureTableTextRightAligned"/>
            </w:pPr>
            <w:r>
              <w:t>170</w:t>
            </w:r>
          </w:p>
        </w:tc>
        <w:tc>
          <w:tcPr>
            <w:tcW w:w="967" w:type="dxa"/>
            <w:tcBorders>
              <w:top w:val="single" w:sz="2" w:space="0" w:color="auto"/>
              <w:left w:val="nil"/>
              <w:bottom w:val="single" w:sz="2" w:space="0" w:color="auto"/>
              <w:right w:val="nil"/>
            </w:tcBorders>
            <w:vAlign w:val="bottom"/>
            <w:hideMark/>
          </w:tcPr>
          <w:p w14:paraId="2086FA9F" w14:textId="77777777" w:rsidR="00802D3E" w:rsidRDefault="00802D3E">
            <w:pPr>
              <w:pStyle w:val="MeasureTableTextRightAligned"/>
            </w:pPr>
            <w:r>
              <w:t>470</w:t>
            </w:r>
          </w:p>
        </w:tc>
        <w:tc>
          <w:tcPr>
            <w:tcW w:w="967" w:type="dxa"/>
            <w:tcBorders>
              <w:top w:val="single" w:sz="2" w:space="0" w:color="auto"/>
              <w:left w:val="nil"/>
              <w:bottom w:val="single" w:sz="2" w:space="0" w:color="auto"/>
              <w:right w:val="nil"/>
            </w:tcBorders>
            <w:vAlign w:val="bottom"/>
            <w:hideMark/>
          </w:tcPr>
          <w:p w14:paraId="2086FAA0" w14:textId="77777777" w:rsidR="00802D3E" w:rsidRDefault="00802D3E">
            <w:pPr>
              <w:pStyle w:val="MeasureTableTextRightAligned"/>
            </w:pPr>
            <w:r>
              <w:t>630</w:t>
            </w:r>
          </w:p>
        </w:tc>
        <w:tc>
          <w:tcPr>
            <w:tcW w:w="967" w:type="dxa"/>
            <w:tcBorders>
              <w:top w:val="single" w:sz="2" w:space="0" w:color="auto"/>
              <w:left w:val="nil"/>
              <w:bottom w:val="single" w:sz="2" w:space="0" w:color="auto"/>
              <w:right w:val="nil"/>
            </w:tcBorders>
            <w:vAlign w:val="bottom"/>
            <w:hideMark/>
          </w:tcPr>
          <w:p w14:paraId="2086FAA1" w14:textId="77777777" w:rsidR="00802D3E" w:rsidRDefault="00802D3E">
            <w:pPr>
              <w:pStyle w:val="MeasureTableTextRightAligned"/>
            </w:pPr>
            <w:r>
              <w:t>940</w:t>
            </w:r>
          </w:p>
        </w:tc>
        <w:tc>
          <w:tcPr>
            <w:tcW w:w="967" w:type="dxa"/>
            <w:gridSpan w:val="2"/>
            <w:tcBorders>
              <w:top w:val="single" w:sz="2" w:space="0" w:color="auto"/>
              <w:left w:val="nil"/>
              <w:bottom w:val="single" w:sz="2" w:space="0" w:color="auto"/>
              <w:right w:val="nil"/>
            </w:tcBorders>
            <w:vAlign w:val="bottom"/>
            <w:hideMark/>
          </w:tcPr>
          <w:p w14:paraId="2086FAA2" w14:textId="77777777" w:rsidR="00802D3E" w:rsidRDefault="00802D3E">
            <w:pPr>
              <w:pStyle w:val="MeasureTableTextRightAligned"/>
            </w:pPr>
            <w:r>
              <w:t>1,250</w:t>
            </w:r>
          </w:p>
        </w:tc>
        <w:tc>
          <w:tcPr>
            <w:tcW w:w="967" w:type="dxa"/>
            <w:gridSpan w:val="2"/>
            <w:tcBorders>
              <w:top w:val="single" w:sz="2" w:space="0" w:color="auto"/>
              <w:left w:val="nil"/>
              <w:bottom w:val="single" w:sz="2" w:space="0" w:color="auto"/>
              <w:right w:val="nil"/>
            </w:tcBorders>
            <w:vAlign w:val="bottom"/>
            <w:hideMark/>
          </w:tcPr>
          <w:p w14:paraId="2086FAA3" w14:textId="77777777" w:rsidR="00802D3E" w:rsidRDefault="00802D3E">
            <w:pPr>
              <w:pStyle w:val="MeasureTableTextRightAligned"/>
            </w:pPr>
            <w:r>
              <w:t>1,600</w:t>
            </w:r>
          </w:p>
        </w:tc>
        <w:tc>
          <w:tcPr>
            <w:tcW w:w="968" w:type="dxa"/>
            <w:tcBorders>
              <w:top w:val="single" w:sz="2" w:space="0" w:color="auto"/>
              <w:left w:val="nil"/>
              <w:bottom w:val="single" w:sz="2" w:space="0" w:color="auto"/>
              <w:right w:val="nil"/>
            </w:tcBorders>
            <w:vAlign w:val="bottom"/>
            <w:hideMark/>
          </w:tcPr>
          <w:p w14:paraId="2086FAA4" w14:textId="77777777" w:rsidR="00802D3E" w:rsidRDefault="00802D3E">
            <w:pPr>
              <w:pStyle w:val="MeasureTableTextRightAligned"/>
            </w:pPr>
            <w:r>
              <w:t>1,850</w:t>
            </w:r>
          </w:p>
        </w:tc>
      </w:tr>
      <w:tr w:rsidR="00802D3E" w14:paraId="2086FAAA" w14:textId="77777777" w:rsidTr="00802D3E">
        <w:trPr>
          <w:cantSplit/>
          <w:jc w:val="center"/>
        </w:trPr>
        <w:tc>
          <w:tcPr>
            <w:tcW w:w="1934" w:type="dxa"/>
            <w:gridSpan w:val="2"/>
            <w:tcBorders>
              <w:top w:val="single" w:sz="2" w:space="0" w:color="auto"/>
              <w:left w:val="nil"/>
              <w:bottom w:val="nil"/>
              <w:right w:val="nil"/>
            </w:tcBorders>
            <w:hideMark/>
          </w:tcPr>
          <w:p w14:paraId="2086FAA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AA7" w14:textId="77777777" w:rsidR="00802D3E" w:rsidRDefault="00802D3E">
            <w:pPr>
              <w:pStyle w:val="MeasureTableTextLeftAligned"/>
            </w:pPr>
            <w:r>
              <w:t>Reduction in taxable value</w:t>
            </w:r>
          </w:p>
        </w:tc>
        <w:tc>
          <w:tcPr>
            <w:tcW w:w="1500" w:type="dxa"/>
            <w:gridSpan w:val="2"/>
            <w:tcBorders>
              <w:top w:val="single" w:sz="2" w:space="0" w:color="auto"/>
              <w:left w:val="nil"/>
              <w:bottom w:val="nil"/>
              <w:right w:val="nil"/>
            </w:tcBorders>
            <w:hideMark/>
          </w:tcPr>
          <w:p w14:paraId="2086FAA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AA9" w14:textId="77777777" w:rsidR="00802D3E" w:rsidRDefault="00802D3E">
            <w:pPr>
              <w:pStyle w:val="MeasureTableTextLeftAligned"/>
            </w:pPr>
            <w:r>
              <w:t>C2</w:t>
            </w:r>
          </w:p>
        </w:tc>
      </w:tr>
      <w:tr w:rsidR="00802D3E" w14:paraId="2086FAAF" w14:textId="77777777" w:rsidTr="00802D3E">
        <w:trPr>
          <w:cantSplit/>
          <w:jc w:val="center"/>
        </w:trPr>
        <w:tc>
          <w:tcPr>
            <w:tcW w:w="1934" w:type="dxa"/>
            <w:gridSpan w:val="2"/>
            <w:tcBorders>
              <w:top w:val="nil"/>
              <w:left w:val="nil"/>
              <w:bottom w:val="nil"/>
              <w:right w:val="nil"/>
            </w:tcBorders>
            <w:hideMark/>
          </w:tcPr>
          <w:p w14:paraId="2086FAA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AAC" w14:textId="77777777" w:rsidR="00802D3E" w:rsidRDefault="00802D3E">
            <w:pPr>
              <w:pStyle w:val="MeasureTableTextLeftAligned"/>
            </w:pPr>
            <w:r>
              <w:t>Low</w:t>
            </w:r>
          </w:p>
        </w:tc>
        <w:tc>
          <w:tcPr>
            <w:tcW w:w="1500" w:type="dxa"/>
            <w:gridSpan w:val="2"/>
            <w:tcBorders>
              <w:top w:val="nil"/>
              <w:left w:val="nil"/>
              <w:bottom w:val="nil"/>
              <w:right w:val="nil"/>
            </w:tcBorders>
          </w:tcPr>
          <w:p w14:paraId="2086FAAD" w14:textId="77777777" w:rsidR="00802D3E" w:rsidRDefault="00802D3E">
            <w:pPr>
              <w:pStyle w:val="MeasureTableTextItalic"/>
            </w:pPr>
          </w:p>
        </w:tc>
        <w:tc>
          <w:tcPr>
            <w:tcW w:w="1124" w:type="dxa"/>
            <w:gridSpan w:val="2"/>
            <w:tcBorders>
              <w:top w:val="nil"/>
              <w:left w:val="nil"/>
              <w:bottom w:val="nil"/>
              <w:right w:val="nil"/>
            </w:tcBorders>
          </w:tcPr>
          <w:p w14:paraId="2086FAAE" w14:textId="77777777" w:rsidR="00802D3E" w:rsidRDefault="00802D3E">
            <w:pPr>
              <w:pStyle w:val="MeasureTableTextLeftAligned"/>
            </w:pPr>
          </w:p>
        </w:tc>
      </w:tr>
      <w:tr w:rsidR="00802D3E" w14:paraId="2086FAB4" w14:textId="77777777" w:rsidTr="00802D3E">
        <w:trPr>
          <w:cantSplit/>
          <w:jc w:val="center"/>
        </w:trPr>
        <w:tc>
          <w:tcPr>
            <w:tcW w:w="1934" w:type="dxa"/>
            <w:gridSpan w:val="2"/>
            <w:tcBorders>
              <w:top w:val="nil"/>
              <w:left w:val="nil"/>
              <w:bottom w:val="nil"/>
              <w:right w:val="nil"/>
            </w:tcBorders>
            <w:hideMark/>
          </w:tcPr>
          <w:p w14:paraId="2086FAB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AB1" w14:textId="77777777" w:rsidR="00802D3E" w:rsidRDefault="00802D3E">
            <w:pPr>
              <w:pStyle w:val="MeasureTableTextLeftAligned"/>
            </w:pPr>
            <w:r>
              <w:t>1999</w:t>
            </w:r>
          </w:p>
        </w:tc>
        <w:tc>
          <w:tcPr>
            <w:tcW w:w="1500" w:type="dxa"/>
            <w:gridSpan w:val="2"/>
            <w:tcBorders>
              <w:top w:val="nil"/>
              <w:left w:val="nil"/>
              <w:bottom w:val="nil"/>
              <w:right w:val="nil"/>
            </w:tcBorders>
            <w:hideMark/>
          </w:tcPr>
          <w:p w14:paraId="2086FAB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AB3" w14:textId="77777777" w:rsidR="00802D3E" w:rsidRDefault="00802D3E">
            <w:pPr>
              <w:pStyle w:val="MeasureTableTextLeftAligned"/>
            </w:pPr>
          </w:p>
        </w:tc>
      </w:tr>
      <w:tr w:rsidR="00802D3E" w14:paraId="2086FAB7" w14:textId="77777777" w:rsidTr="00802D3E">
        <w:trPr>
          <w:cantSplit/>
          <w:jc w:val="center"/>
        </w:trPr>
        <w:tc>
          <w:tcPr>
            <w:tcW w:w="1934" w:type="dxa"/>
            <w:gridSpan w:val="2"/>
            <w:tcBorders>
              <w:top w:val="nil"/>
              <w:left w:val="nil"/>
              <w:bottom w:val="single" w:sz="2" w:space="0" w:color="auto"/>
              <w:right w:val="nil"/>
            </w:tcBorders>
            <w:hideMark/>
          </w:tcPr>
          <w:p w14:paraId="2086FAB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AB6" w14:textId="77777777" w:rsidR="00802D3E" w:rsidRPr="00482063" w:rsidRDefault="00802D3E" w:rsidP="00482063">
            <w:pPr>
              <w:widowControl w:val="0"/>
              <w:autoSpaceDE w:val="0"/>
              <w:autoSpaceDN w:val="0"/>
              <w:adjustRightInd w:val="0"/>
              <w:spacing w:after="0" w:line="240" w:lineRule="auto"/>
              <w:jc w:val="left"/>
              <w:rPr>
                <w:sz w:val="16"/>
                <w:szCs w:val="16"/>
              </w:rPr>
            </w:pPr>
            <w:r w:rsidRPr="00482063">
              <w:rPr>
                <w:rFonts w:ascii="Arial" w:hAnsi="Arial" w:cs="Arial"/>
                <w:sz w:val="16"/>
                <w:szCs w:val="16"/>
              </w:rPr>
              <w:t>Paragraph 115-10(b) and subparagraph 115-100(b)(</w:t>
            </w:r>
            <w:proofErr w:type="spellStart"/>
            <w:r w:rsidRPr="00482063">
              <w:rPr>
                <w:rFonts w:ascii="Arial" w:hAnsi="Arial" w:cs="Arial"/>
                <w:sz w:val="16"/>
                <w:szCs w:val="16"/>
              </w:rPr>
              <w:t>i</w:t>
            </w:r>
            <w:proofErr w:type="spellEnd"/>
            <w:r w:rsidRPr="00482063">
              <w:rPr>
                <w:rFonts w:ascii="Arial" w:hAnsi="Arial" w:cs="Arial"/>
                <w:sz w:val="16"/>
                <w:szCs w:val="16"/>
              </w:rPr>
              <w:t xml:space="preserve">) </w:t>
            </w:r>
            <w:r w:rsidRPr="00482063">
              <w:rPr>
                <w:rFonts w:ascii="Arial" w:hAnsi="Arial" w:cs="Arial"/>
                <w:color w:val="000000"/>
                <w:sz w:val="16"/>
                <w:szCs w:val="16"/>
              </w:rPr>
              <w:t xml:space="preserve">of the </w:t>
            </w:r>
            <w:r w:rsidRPr="00482063">
              <w:rPr>
                <w:rFonts w:ascii="Arial" w:hAnsi="Arial" w:cs="Arial"/>
                <w:i/>
                <w:iCs/>
                <w:color w:val="000000"/>
                <w:sz w:val="16"/>
                <w:szCs w:val="16"/>
              </w:rPr>
              <w:t>Income Tax Assessment Act 1997</w:t>
            </w:r>
          </w:p>
        </w:tc>
      </w:tr>
    </w:tbl>
    <w:p w14:paraId="2086FAB8" w14:textId="77777777" w:rsidR="00802D3E" w:rsidRPr="00B210CF" w:rsidRDefault="00802D3E" w:rsidP="00A109BC">
      <w:pPr>
        <w:pStyle w:val="SingleParagraph"/>
        <w:rPr>
          <w:sz w:val="18"/>
        </w:rPr>
      </w:pPr>
    </w:p>
    <w:p w14:paraId="2086FAB9" w14:textId="77777777" w:rsidR="00802D3E" w:rsidRDefault="00802D3E" w:rsidP="00802D3E">
      <w:r>
        <w:t>Two</w:t>
      </w:r>
      <w:r>
        <w:noBreakHyphen/>
        <w:t>thirds of any nominal capital gain made from a capital gains tax event occurring on or after 21 September 1999 is included in the assessable income of a fund, provided the fund has held the asset for at least 12 months.</w:t>
      </w:r>
      <w:r>
        <w:fldChar w:fldCharType="begin"/>
      </w:r>
      <w:r>
        <w:instrText xml:space="preserve"> XE "Superannuation:Fund capital gains" </w:instrText>
      </w:r>
      <w:r>
        <w:fldChar w:fldCharType="end"/>
      </w:r>
      <w:r>
        <w:t xml:space="preserve"> </w:t>
      </w:r>
    </w:p>
    <w:p w14:paraId="2086FABA" w14:textId="77777777" w:rsidR="00802D3E" w:rsidRDefault="00802D3E" w:rsidP="00802D3E">
      <w:pPr>
        <w:pStyle w:val="TESHeading5"/>
        <w:ind w:left="0" w:firstLine="0"/>
      </w:pPr>
      <w:r>
        <w:t>C2</w:t>
      </w:r>
      <w:r>
        <w:tab/>
        <w:t>Concessional taxation of employer superannuation contributions</w:t>
      </w:r>
    </w:p>
    <w:p w14:paraId="2086FABB"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AC4" w14:textId="77777777" w:rsidTr="00802D3E">
        <w:trPr>
          <w:cantSplit/>
          <w:jc w:val="center"/>
        </w:trPr>
        <w:tc>
          <w:tcPr>
            <w:tcW w:w="967" w:type="dxa"/>
            <w:tcBorders>
              <w:top w:val="single" w:sz="2" w:space="0" w:color="auto"/>
              <w:left w:val="nil"/>
              <w:bottom w:val="single" w:sz="2" w:space="0" w:color="auto"/>
              <w:right w:val="nil"/>
            </w:tcBorders>
            <w:hideMark/>
          </w:tcPr>
          <w:p w14:paraId="2086FAB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AB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AB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AB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AC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AC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AC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AC3" w14:textId="77777777" w:rsidR="00802D3E" w:rsidRDefault="00802D3E">
            <w:pPr>
              <w:pStyle w:val="MeasureTableTextRightAligned"/>
            </w:pPr>
            <w:r>
              <w:t>2019-20</w:t>
            </w:r>
          </w:p>
        </w:tc>
      </w:tr>
      <w:tr w:rsidR="00802D3E" w14:paraId="2086FACD" w14:textId="77777777" w:rsidTr="00802D3E">
        <w:trPr>
          <w:cantSplit/>
          <w:jc w:val="center"/>
        </w:trPr>
        <w:tc>
          <w:tcPr>
            <w:tcW w:w="967" w:type="dxa"/>
            <w:tcBorders>
              <w:top w:val="single" w:sz="2" w:space="0" w:color="auto"/>
              <w:left w:val="nil"/>
              <w:bottom w:val="single" w:sz="2" w:space="0" w:color="auto"/>
              <w:right w:val="nil"/>
            </w:tcBorders>
            <w:hideMark/>
          </w:tcPr>
          <w:p w14:paraId="2086FAC5" w14:textId="77777777" w:rsidR="00802D3E" w:rsidRDefault="00802D3E">
            <w:pPr>
              <w:pStyle w:val="MeasureTableTextRightAligned"/>
            </w:pPr>
            <w:r>
              <w:t>13,900</w:t>
            </w:r>
          </w:p>
        </w:tc>
        <w:tc>
          <w:tcPr>
            <w:tcW w:w="967" w:type="dxa"/>
            <w:tcBorders>
              <w:top w:val="single" w:sz="2" w:space="0" w:color="auto"/>
              <w:left w:val="nil"/>
              <w:bottom w:val="single" w:sz="2" w:space="0" w:color="auto"/>
              <w:right w:val="nil"/>
            </w:tcBorders>
            <w:hideMark/>
          </w:tcPr>
          <w:p w14:paraId="2086FAC6" w14:textId="77777777" w:rsidR="00802D3E" w:rsidRDefault="00802D3E">
            <w:pPr>
              <w:pStyle w:val="MeasureTableTextRightAligned"/>
            </w:pPr>
            <w:r>
              <w:t>14,550</w:t>
            </w:r>
          </w:p>
        </w:tc>
        <w:tc>
          <w:tcPr>
            <w:tcW w:w="967" w:type="dxa"/>
            <w:tcBorders>
              <w:top w:val="single" w:sz="2" w:space="0" w:color="auto"/>
              <w:left w:val="nil"/>
              <w:bottom w:val="single" w:sz="2" w:space="0" w:color="auto"/>
              <w:right w:val="nil"/>
            </w:tcBorders>
            <w:vAlign w:val="bottom"/>
            <w:hideMark/>
          </w:tcPr>
          <w:p w14:paraId="2086FAC7" w14:textId="77777777" w:rsidR="00802D3E" w:rsidRDefault="00802D3E">
            <w:pPr>
              <w:pStyle w:val="MeasureTableTextRightAligned"/>
            </w:pPr>
            <w:r>
              <w:t>16,100</w:t>
            </w:r>
          </w:p>
        </w:tc>
        <w:tc>
          <w:tcPr>
            <w:tcW w:w="967" w:type="dxa"/>
            <w:tcBorders>
              <w:top w:val="single" w:sz="2" w:space="0" w:color="auto"/>
              <w:left w:val="nil"/>
              <w:bottom w:val="single" w:sz="2" w:space="0" w:color="auto"/>
              <w:right w:val="nil"/>
            </w:tcBorders>
            <w:vAlign w:val="bottom"/>
            <w:hideMark/>
          </w:tcPr>
          <w:p w14:paraId="2086FAC8" w14:textId="77777777" w:rsidR="00802D3E" w:rsidRDefault="00802D3E">
            <w:pPr>
              <w:pStyle w:val="MeasureTableTextRightAligned"/>
            </w:pPr>
            <w:r>
              <w:t>16,600</w:t>
            </w:r>
          </w:p>
        </w:tc>
        <w:tc>
          <w:tcPr>
            <w:tcW w:w="967" w:type="dxa"/>
            <w:tcBorders>
              <w:top w:val="single" w:sz="2" w:space="0" w:color="auto"/>
              <w:left w:val="nil"/>
              <w:bottom w:val="single" w:sz="2" w:space="0" w:color="auto"/>
              <w:right w:val="nil"/>
            </w:tcBorders>
            <w:vAlign w:val="bottom"/>
            <w:hideMark/>
          </w:tcPr>
          <w:p w14:paraId="2086FAC9" w14:textId="77777777" w:rsidR="00802D3E" w:rsidRDefault="00802D3E">
            <w:pPr>
              <w:pStyle w:val="MeasureTableTextRightAligned"/>
            </w:pPr>
            <w:r>
              <w:t>16,250</w:t>
            </w:r>
          </w:p>
        </w:tc>
        <w:tc>
          <w:tcPr>
            <w:tcW w:w="967" w:type="dxa"/>
            <w:gridSpan w:val="2"/>
            <w:tcBorders>
              <w:top w:val="single" w:sz="2" w:space="0" w:color="auto"/>
              <w:left w:val="nil"/>
              <w:bottom w:val="single" w:sz="2" w:space="0" w:color="auto"/>
              <w:right w:val="nil"/>
            </w:tcBorders>
            <w:vAlign w:val="bottom"/>
            <w:hideMark/>
          </w:tcPr>
          <w:p w14:paraId="2086FACA" w14:textId="77777777" w:rsidR="00802D3E" w:rsidRDefault="00802D3E">
            <w:pPr>
              <w:pStyle w:val="MeasureTableTextRightAligned"/>
            </w:pPr>
            <w:r>
              <w:t>16,200</w:t>
            </w:r>
          </w:p>
        </w:tc>
        <w:tc>
          <w:tcPr>
            <w:tcW w:w="967" w:type="dxa"/>
            <w:gridSpan w:val="2"/>
            <w:tcBorders>
              <w:top w:val="single" w:sz="2" w:space="0" w:color="auto"/>
              <w:left w:val="nil"/>
              <w:bottom w:val="single" w:sz="2" w:space="0" w:color="auto"/>
              <w:right w:val="nil"/>
            </w:tcBorders>
            <w:vAlign w:val="bottom"/>
            <w:hideMark/>
          </w:tcPr>
          <w:p w14:paraId="2086FACB" w14:textId="77777777" w:rsidR="00802D3E" w:rsidRDefault="00802D3E">
            <w:pPr>
              <w:pStyle w:val="MeasureTableTextRightAligned"/>
            </w:pPr>
            <w:r>
              <w:t>17,800</w:t>
            </w:r>
          </w:p>
        </w:tc>
        <w:tc>
          <w:tcPr>
            <w:tcW w:w="968" w:type="dxa"/>
            <w:tcBorders>
              <w:top w:val="single" w:sz="2" w:space="0" w:color="auto"/>
              <w:left w:val="nil"/>
              <w:bottom w:val="single" w:sz="2" w:space="0" w:color="auto"/>
              <w:right w:val="nil"/>
            </w:tcBorders>
            <w:vAlign w:val="bottom"/>
            <w:hideMark/>
          </w:tcPr>
          <w:p w14:paraId="2086FACC" w14:textId="77777777" w:rsidR="00802D3E" w:rsidRDefault="00802D3E">
            <w:pPr>
              <w:pStyle w:val="MeasureTableTextRightAligned"/>
            </w:pPr>
            <w:r>
              <w:t>18,800</w:t>
            </w:r>
          </w:p>
        </w:tc>
      </w:tr>
      <w:tr w:rsidR="00802D3E" w14:paraId="2086FAD2" w14:textId="77777777" w:rsidTr="00802D3E">
        <w:trPr>
          <w:cantSplit/>
          <w:jc w:val="center"/>
        </w:trPr>
        <w:tc>
          <w:tcPr>
            <w:tcW w:w="1934" w:type="dxa"/>
            <w:gridSpan w:val="2"/>
            <w:tcBorders>
              <w:top w:val="single" w:sz="2" w:space="0" w:color="auto"/>
              <w:left w:val="nil"/>
              <w:bottom w:val="nil"/>
              <w:right w:val="nil"/>
            </w:tcBorders>
            <w:hideMark/>
          </w:tcPr>
          <w:p w14:paraId="2086FAC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ACF" w14:textId="77777777" w:rsidR="00802D3E" w:rsidRDefault="00802D3E">
            <w:pPr>
              <w:pStyle w:val="MeasureTableTextLeftAligned"/>
            </w:pPr>
            <w:r>
              <w:t>Exemption, Concessional rate</w:t>
            </w:r>
          </w:p>
        </w:tc>
        <w:tc>
          <w:tcPr>
            <w:tcW w:w="1500" w:type="dxa"/>
            <w:gridSpan w:val="2"/>
            <w:tcBorders>
              <w:top w:val="single" w:sz="2" w:space="0" w:color="auto"/>
              <w:left w:val="nil"/>
              <w:bottom w:val="nil"/>
              <w:right w:val="nil"/>
            </w:tcBorders>
            <w:hideMark/>
          </w:tcPr>
          <w:p w14:paraId="2086FAD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AD1" w14:textId="77777777" w:rsidR="00802D3E" w:rsidRDefault="00802D3E">
            <w:pPr>
              <w:pStyle w:val="MeasureTableTextLeftAligned"/>
            </w:pPr>
            <w:r>
              <w:t>C3</w:t>
            </w:r>
          </w:p>
        </w:tc>
      </w:tr>
      <w:tr w:rsidR="00802D3E" w14:paraId="2086FAD7" w14:textId="77777777" w:rsidTr="00802D3E">
        <w:trPr>
          <w:cantSplit/>
          <w:jc w:val="center"/>
        </w:trPr>
        <w:tc>
          <w:tcPr>
            <w:tcW w:w="1934" w:type="dxa"/>
            <w:gridSpan w:val="2"/>
            <w:tcBorders>
              <w:top w:val="nil"/>
              <w:left w:val="nil"/>
              <w:bottom w:val="nil"/>
              <w:right w:val="nil"/>
            </w:tcBorders>
            <w:hideMark/>
          </w:tcPr>
          <w:p w14:paraId="2086FAD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AD4"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AD5" w14:textId="77777777" w:rsidR="00802D3E" w:rsidRDefault="00802D3E">
            <w:pPr>
              <w:pStyle w:val="MeasureTableTextItalic"/>
            </w:pPr>
          </w:p>
        </w:tc>
        <w:tc>
          <w:tcPr>
            <w:tcW w:w="1124" w:type="dxa"/>
            <w:gridSpan w:val="2"/>
            <w:tcBorders>
              <w:top w:val="nil"/>
              <w:left w:val="nil"/>
              <w:bottom w:val="nil"/>
              <w:right w:val="nil"/>
            </w:tcBorders>
          </w:tcPr>
          <w:p w14:paraId="2086FAD6" w14:textId="77777777" w:rsidR="00802D3E" w:rsidRDefault="00802D3E">
            <w:pPr>
              <w:pStyle w:val="MeasureTableTextLeftAligned"/>
            </w:pPr>
          </w:p>
        </w:tc>
      </w:tr>
      <w:tr w:rsidR="00802D3E" w14:paraId="2086FADC" w14:textId="77777777" w:rsidTr="00802D3E">
        <w:trPr>
          <w:cantSplit/>
          <w:jc w:val="center"/>
        </w:trPr>
        <w:tc>
          <w:tcPr>
            <w:tcW w:w="1934" w:type="dxa"/>
            <w:gridSpan w:val="2"/>
            <w:tcBorders>
              <w:top w:val="nil"/>
              <w:left w:val="nil"/>
              <w:bottom w:val="nil"/>
              <w:right w:val="nil"/>
            </w:tcBorders>
            <w:hideMark/>
          </w:tcPr>
          <w:p w14:paraId="2086FAD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AD9"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FAD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ADB" w14:textId="77777777" w:rsidR="00802D3E" w:rsidRDefault="00802D3E">
            <w:pPr>
              <w:pStyle w:val="MeasureTableTextLeftAligned"/>
            </w:pPr>
          </w:p>
        </w:tc>
      </w:tr>
      <w:tr w:rsidR="00802D3E" w14:paraId="2086FADF" w14:textId="77777777" w:rsidTr="00802D3E">
        <w:trPr>
          <w:cantSplit/>
          <w:jc w:val="center"/>
        </w:trPr>
        <w:tc>
          <w:tcPr>
            <w:tcW w:w="1934" w:type="dxa"/>
            <w:gridSpan w:val="2"/>
            <w:tcBorders>
              <w:top w:val="nil"/>
              <w:left w:val="nil"/>
              <w:bottom w:val="single" w:sz="2" w:space="0" w:color="auto"/>
              <w:right w:val="nil"/>
            </w:tcBorders>
            <w:hideMark/>
          </w:tcPr>
          <w:p w14:paraId="2086FAD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ADE" w14:textId="77777777" w:rsidR="00802D3E" w:rsidRPr="00482063" w:rsidRDefault="00802D3E" w:rsidP="00482063">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Divisions 290, 291, 293 and 295 of the </w:t>
            </w:r>
            <w:r w:rsidRPr="00482063">
              <w:rPr>
                <w:rFonts w:ascii="Arial" w:hAnsi="Arial" w:cs="Arial"/>
                <w:i/>
                <w:iCs/>
                <w:color w:val="000000"/>
                <w:sz w:val="16"/>
                <w:szCs w:val="16"/>
              </w:rPr>
              <w:t>Income Tax Assessment Act 1997</w:t>
            </w:r>
          </w:p>
        </w:tc>
      </w:tr>
    </w:tbl>
    <w:p w14:paraId="2086FAE0" w14:textId="77777777" w:rsidR="00802D3E" w:rsidRPr="00B210CF" w:rsidRDefault="00802D3E" w:rsidP="00A109BC">
      <w:pPr>
        <w:pStyle w:val="SingleParagraph"/>
        <w:rPr>
          <w:sz w:val="18"/>
        </w:rPr>
      </w:pPr>
    </w:p>
    <w:p w14:paraId="2086FAE1" w14:textId="2F49C2F5" w:rsidR="00802D3E" w:rsidRDefault="00802D3E" w:rsidP="00802D3E">
      <w:pPr>
        <w:autoSpaceDE w:val="0"/>
        <w:autoSpaceDN w:val="0"/>
        <w:adjustRightInd w:val="0"/>
      </w:pPr>
      <w:r>
        <w:t xml:space="preserve">Employer contributions, up to the concessional contributions caps, are included in the assessable income of a superannuation entity and taxed at a concessional rate of 15 per cent. For individuals whose combined income and concessional contributions exceeds $300,000, the effective rate is 30 per cent. </w:t>
      </w:r>
    </w:p>
    <w:p w14:paraId="2086FAE2" w14:textId="77777777" w:rsidR="00802D3E" w:rsidRDefault="00802D3E" w:rsidP="00802D3E">
      <w:pPr>
        <w:autoSpaceDE w:val="0"/>
        <w:autoSpaceDN w:val="0"/>
        <w:adjustRightInd w:val="0"/>
      </w:pPr>
      <w:r>
        <w:t>From 1 July 2017, the effective rate will be 30 per cent for individuals whose combined income and concessional contributions exceeds $250,000.</w:t>
      </w:r>
      <w:r>
        <w:fldChar w:fldCharType="begin"/>
      </w:r>
      <w:r>
        <w:instrText xml:space="preserve"> XE "Superannuation:Employer contributions" </w:instrText>
      </w:r>
      <w:r>
        <w:fldChar w:fldCharType="end"/>
      </w:r>
    </w:p>
    <w:p w14:paraId="2086FAE3" w14:textId="77777777" w:rsidR="00802D3E" w:rsidRDefault="00802D3E" w:rsidP="00802D3E">
      <w:pPr>
        <w:pStyle w:val="TESHeading5"/>
        <w:ind w:left="0" w:firstLine="0"/>
      </w:pPr>
      <w:r>
        <w:t>C3</w:t>
      </w:r>
      <w:r>
        <w:tab/>
        <w:t>Concessional taxation of personal superannuation contributions</w:t>
      </w:r>
    </w:p>
    <w:p w14:paraId="2086FAE4"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AED" w14:textId="77777777" w:rsidTr="00802D3E">
        <w:trPr>
          <w:cantSplit/>
          <w:jc w:val="center"/>
        </w:trPr>
        <w:tc>
          <w:tcPr>
            <w:tcW w:w="967" w:type="dxa"/>
            <w:tcBorders>
              <w:top w:val="single" w:sz="2" w:space="0" w:color="auto"/>
              <w:left w:val="nil"/>
              <w:bottom w:val="single" w:sz="2" w:space="0" w:color="auto"/>
              <w:right w:val="nil"/>
            </w:tcBorders>
            <w:hideMark/>
          </w:tcPr>
          <w:p w14:paraId="2086FAE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AE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AE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AE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AE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AE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AE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AEC" w14:textId="77777777" w:rsidR="00802D3E" w:rsidRDefault="00802D3E">
            <w:pPr>
              <w:pStyle w:val="MeasureTableTextRightAligned"/>
            </w:pPr>
            <w:r>
              <w:t>2019-20</w:t>
            </w:r>
          </w:p>
        </w:tc>
      </w:tr>
      <w:tr w:rsidR="00802D3E" w14:paraId="2086FAF6" w14:textId="77777777" w:rsidTr="00802D3E">
        <w:trPr>
          <w:cantSplit/>
          <w:jc w:val="center"/>
        </w:trPr>
        <w:tc>
          <w:tcPr>
            <w:tcW w:w="967" w:type="dxa"/>
            <w:tcBorders>
              <w:top w:val="single" w:sz="2" w:space="0" w:color="auto"/>
              <w:left w:val="nil"/>
              <w:bottom w:val="single" w:sz="2" w:space="0" w:color="auto"/>
              <w:right w:val="nil"/>
            </w:tcBorders>
            <w:hideMark/>
          </w:tcPr>
          <w:p w14:paraId="2086FAEE" w14:textId="77777777" w:rsidR="00802D3E" w:rsidRDefault="00802D3E">
            <w:pPr>
              <w:pStyle w:val="MeasureTableTextRightAligned"/>
            </w:pPr>
            <w:r>
              <w:t>1,150</w:t>
            </w:r>
          </w:p>
        </w:tc>
        <w:tc>
          <w:tcPr>
            <w:tcW w:w="967" w:type="dxa"/>
            <w:tcBorders>
              <w:top w:val="single" w:sz="2" w:space="0" w:color="auto"/>
              <w:left w:val="nil"/>
              <w:bottom w:val="single" w:sz="2" w:space="0" w:color="auto"/>
              <w:right w:val="nil"/>
            </w:tcBorders>
            <w:hideMark/>
          </w:tcPr>
          <w:p w14:paraId="2086FAEF" w14:textId="77777777" w:rsidR="00802D3E" w:rsidRDefault="00802D3E">
            <w:pPr>
              <w:pStyle w:val="MeasureTableTextRightAligned"/>
            </w:pPr>
            <w:r>
              <w:t>570</w:t>
            </w:r>
          </w:p>
        </w:tc>
        <w:tc>
          <w:tcPr>
            <w:tcW w:w="967" w:type="dxa"/>
            <w:tcBorders>
              <w:top w:val="single" w:sz="2" w:space="0" w:color="auto"/>
              <w:left w:val="nil"/>
              <w:bottom w:val="single" w:sz="2" w:space="0" w:color="auto"/>
              <w:right w:val="nil"/>
            </w:tcBorders>
            <w:vAlign w:val="bottom"/>
            <w:hideMark/>
          </w:tcPr>
          <w:p w14:paraId="2086FAF0" w14:textId="77777777" w:rsidR="00802D3E" w:rsidRDefault="00802D3E">
            <w:pPr>
              <w:pStyle w:val="MeasureTableTextRightAligned"/>
            </w:pPr>
            <w:r>
              <w:t>700</w:t>
            </w:r>
          </w:p>
        </w:tc>
        <w:tc>
          <w:tcPr>
            <w:tcW w:w="967" w:type="dxa"/>
            <w:tcBorders>
              <w:top w:val="single" w:sz="2" w:space="0" w:color="auto"/>
              <w:left w:val="nil"/>
              <w:bottom w:val="single" w:sz="2" w:space="0" w:color="auto"/>
              <w:right w:val="nil"/>
            </w:tcBorders>
            <w:vAlign w:val="bottom"/>
            <w:hideMark/>
          </w:tcPr>
          <w:p w14:paraId="2086FAF1" w14:textId="77777777" w:rsidR="00802D3E" w:rsidRDefault="00802D3E">
            <w:pPr>
              <w:pStyle w:val="MeasureTableTextRightAligned"/>
            </w:pPr>
            <w:r>
              <w:t>970</w:t>
            </w:r>
          </w:p>
        </w:tc>
        <w:tc>
          <w:tcPr>
            <w:tcW w:w="967" w:type="dxa"/>
            <w:tcBorders>
              <w:top w:val="single" w:sz="2" w:space="0" w:color="auto"/>
              <w:left w:val="nil"/>
              <w:bottom w:val="single" w:sz="2" w:space="0" w:color="auto"/>
              <w:right w:val="nil"/>
            </w:tcBorders>
            <w:vAlign w:val="bottom"/>
            <w:hideMark/>
          </w:tcPr>
          <w:p w14:paraId="2086FAF2" w14:textId="77777777" w:rsidR="00802D3E" w:rsidRDefault="00802D3E">
            <w:pPr>
              <w:pStyle w:val="MeasureTableTextRightAligned"/>
            </w:pPr>
            <w:r>
              <w:t>970</w:t>
            </w:r>
          </w:p>
        </w:tc>
        <w:tc>
          <w:tcPr>
            <w:tcW w:w="967" w:type="dxa"/>
            <w:gridSpan w:val="2"/>
            <w:tcBorders>
              <w:top w:val="single" w:sz="2" w:space="0" w:color="auto"/>
              <w:left w:val="nil"/>
              <w:bottom w:val="single" w:sz="2" w:space="0" w:color="auto"/>
              <w:right w:val="nil"/>
            </w:tcBorders>
            <w:vAlign w:val="bottom"/>
            <w:hideMark/>
          </w:tcPr>
          <w:p w14:paraId="2086FAF3" w14:textId="77777777" w:rsidR="00802D3E" w:rsidRDefault="00802D3E">
            <w:pPr>
              <w:pStyle w:val="MeasureTableTextRightAligned"/>
            </w:pPr>
            <w:r>
              <w:t>690</w:t>
            </w:r>
          </w:p>
        </w:tc>
        <w:tc>
          <w:tcPr>
            <w:tcW w:w="967" w:type="dxa"/>
            <w:gridSpan w:val="2"/>
            <w:tcBorders>
              <w:top w:val="single" w:sz="2" w:space="0" w:color="auto"/>
              <w:left w:val="nil"/>
              <w:bottom w:val="single" w:sz="2" w:space="0" w:color="auto"/>
              <w:right w:val="nil"/>
            </w:tcBorders>
            <w:vAlign w:val="bottom"/>
            <w:hideMark/>
          </w:tcPr>
          <w:p w14:paraId="2086FAF4" w14:textId="77777777" w:rsidR="00802D3E" w:rsidRDefault="00802D3E">
            <w:pPr>
              <w:pStyle w:val="MeasureTableTextRightAligned"/>
            </w:pPr>
            <w:r>
              <w:t>1,750</w:t>
            </w:r>
          </w:p>
        </w:tc>
        <w:tc>
          <w:tcPr>
            <w:tcW w:w="968" w:type="dxa"/>
            <w:tcBorders>
              <w:top w:val="single" w:sz="2" w:space="0" w:color="auto"/>
              <w:left w:val="nil"/>
              <w:bottom w:val="single" w:sz="2" w:space="0" w:color="auto"/>
              <w:right w:val="nil"/>
            </w:tcBorders>
            <w:vAlign w:val="bottom"/>
            <w:hideMark/>
          </w:tcPr>
          <w:p w14:paraId="2086FAF5" w14:textId="77777777" w:rsidR="00802D3E" w:rsidRDefault="00802D3E">
            <w:pPr>
              <w:pStyle w:val="MeasureTableTextRightAligned"/>
            </w:pPr>
            <w:r>
              <w:t>1,700</w:t>
            </w:r>
          </w:p>
        </w:tc>
      </w:tr>
      <w:tr w:rsidR="00802D3E" w14:paraId="2086FAFB" w14:textId="77777777" w:rsidTr="00802D3E">
        <w:trPr>
          <w:cantSplit/>
          <w:jc w:val="center"/>
        </w:trPr>
        <w:tc>
          <w:tcPr>
            <w:tcW w:w="1934" w:type="dxa"/>
            <w:gridSpan w:val="2"/>
            <w:tcBorders>
              <w:top w:val="single" w:sz="2" w:space="0" w:color="auto"/>
              <w:left w:val="nil"/>
              <w:bottom w:val="nil"/>
              <w:right w:val="nil"/>
            </w:tcBorders>
            <w:hideMark/>
          </w:tcPr>
          <w:p w14:paraId="2086FAF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AF8" w14:textId="77777777" w:rsidR="00802D3E" w:rsidRDefault="00802D3E">
            <w:pPr>
              <w:pStyle w:val="MeasureTableTextLeftAligned"/>
            </w:pPr>
            <w:r>
              <w:t>Exemption, Concessional rate</w:t>
            </w:r>
          </w:p>
        </w:tc>
        <w:tc>
          <w:tcPr>
            <w:tcW w:w="1500" w:type="dxa"/>
            <w:gridSpan w:val="2"/>
            <w:tcBorders>
              <w:top w:val="single" w:sz="2" w:space="0" w:color="auto"/>
              <w:left w:val="nil"/>
              <w:bottom w:val="nil"/>
              <w:right w:val="nil"/>
            </w:tcBorders>
            <w:hideMark/>
          </w:tcPr>
          <w:p w14:paraId="2086FAF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AFA" w14:textId="77777777" w:rsidR="00802D3E" w:rsidRDefault="00802D3E">
            <w:pPr>
              <w:pStyle w:val="MeasureTableTextLeftAligned"/>
            </w:pPr>
            <w:r>
              <w:t>C1</w:t>
            </w:r>
          </w:p>
        </w:tc>
      </w:tr>
      <w:tr w:rsidR="00802D3E" w14:paraId="2086FB00" w14:textId="77777777" w:rsidTr="00802D3E">
        <w:trPr>
          <w:cantSplit/>
          <w:jc w:val="center"/>
        </w:trPr>
        <w:tc>
          <w:tcPr>
            <w:tcW w:w="1934" w:type="dxa"/>
            <w:gridSpan w:val="2"/>
            <w:tcBorders>
              <w:top w:val="nil"/>
              <w:left w:val="nil"/>
              <w:bottom w:val="nil"/>
              <w:right w:val="nil"/>
            </w:tcBorders>
            <w:hideMark/>
          </w:tcPr>
          <w:p w14:paraId="2086FAF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AFD"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AFE" w14:textId="77777777" w:rsidR="00802D3E" w:rsidRDefault="00802D3E">
            <w:pPr>
              <w:pStyle w:val="MeasureTableTextItalic"/>
            </w:pPr>
          </w:p>
        </w:tc>
        <w:tc>
          <w:tcPr>
            <w:tcW w:w="1124" w:type="dxa"/>
            <w:gridSpan w:val="2"/>
            <w:tcBorders>
              <w:top w:val="nil"/>
              <w:left w:val="nil"/>
              <w:bottom w:val="nil"/>
              <w:right w:val="nil"/>
            </w:tcBorders>
          </w:tcPr>
          <w:p w14:paraId="2086FAFF" w14:textId="77777777" w:rsidR="00802D3E" w:rsidRDefault="00802D3E">
            <w:pPr>
              <w:pStyle w:val="MeasureTableTextLeftAligned"/>
            </w:pPr>
          </w:p>
        </w:tc>
      </w:tr>
      <w:tr w:rsidR="00802D3E" w14:paraId="2086FB05" w14:textId="77777777" w:rsidTr="00802D3E">
        <w:trPr>
          <w:cantSplit/>
          <w:jc w:val="center"/>
        </w:trPr>
        <w:tc>
          <w:tcPr>
            <w:tcW w:w="1934" w:type="dxa"/>
            <w:gridSpan w:val="2"/>
            <w:tcBorders>
              <w:top w:val="nil"/>
              <w:left w:val="nil"/>
              <w:bottom w:val="nil"/>
              <w:right w:val="nil"/>
            </w:tcBorders>
            <w:hideMark/>
          </w:tcPr>
          <w:p w14:paraId="2086FB0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B02"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FB0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B04" w14:textId="77777777" w:rsidR="00802D3E" w:rsidRDefault="00802D3E">
            <w:pPr>
              <w:pStyle w:val="MeasureTableTextLeftAligned"/>
            </w:pPr>
          </w:p>
        </w:tc>
      </w:tr>
      <w:tr w:rsidR="00802D3E" w14:paraId="2086FB08" w14:textId="77777777" w:rsidTr="00802D3E">
        <w:trPr>
          <w:cantSplit/>
          <w:jc w:val="center"/>
        </w:trPr>
        <w:tc>
          <w:tcPr>
            <w:tcW w:w="1934" w:type="dxa"/>
            <w:gridSpan w:val="2"/>
            <w:tcBorders>
              <w:top w:val="nil"/>
              <w:left w:val="nil"/>
              <w:bottom w:val="single" w:sz="2" w:space="0" w:color="auto"/>
              <w:right w:val="nil"/>
            </w:tcBorders>
            <w:hideMark/>
          </w:tcPr>
          <w:p w14:paraId="2086FB0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B07" w14:textId="77777777" w:rsidR="00802D3E" w:rsidRDefault="00802D3E" w:rsidP="00482063">
            <w:pPr>
              <w:keepNext/>
              <w:widowControl w:val="0"/>
              <w:autoSpaceDE w:val="0"/>
              <w:autoSpaceDN w:val="0"/>
              <w:adjustRightInd w:val="0"/>
              <w:spacing w:after="0" w:line="240" w:lineRule="auto"/>
              <w:jc w:val="left"/>
            </w:pPr>
            <w:r>
              <w:rPr>
                <w:rFonts w:ascii="Arial" w:hAnsi="Arial" w:cs="Arial"/>
                <w:color w:val="000000"/>
                <w:sz w:val="16"/>
                <w:szCs w:val="16"/>
              </w:rPr>
              <w:t xml:space="preserve">Divisions 290, 291, 293 and 295 of the </w:t>
            </w:r>
            <w:r>
              <w:rPr>
                <w:rFonts w:ascii="Arial" w:hAnsi="Arial" w:cs="Arial"/>
                <w:i/>
                <w:iCs/>
                <w:color w:val="000000"/>
                <w:sz w:val="16"/>
                <w:szCs w:val="16"/>
              </w:rPr>
              <w:t>Income Tax Assessment Act 1997</w:t>
            </w:r>
          </w:p>
        </w:tc>
      </w:tr>
    </w:tbl>
    <w:p w14:paraId="2086FB09" w14:textId="77777777" w:rsidR="00802D3E" w:rsidRPr="00B210CF" w:rsidRDefault="00802D3E" w:rsidP="00A109BC">
      <w:pPr>
        <w:pStyle w:val="SingleParagraph"/>
        <w:rPr>
          <w:sz w:val="18"/>
        </w:rPr>
      </w:pPr>
    </w:p>
    <w:p w14:paraId="2086FB0A" w14:textId="3BC8F989" w:rsidR="00802D3E" w:rsidRDefault="00802D3E" w:rsidP="00802D3E">
      <w:pPr>
        <w:autoSpaceDE w:val="0"/>
        <w:autoSpaceDN w:val="0"/>
        <w:adjustRightInd w:val="0"/>
      </w:pPr>
      <w:r>
        <w:rPr>
          <w:rFonts w:cs="Book Antiqua"/>
        </w:rPr>
        <w:t>Subject to the concessional contributions caps, deducted personal superannuation contributions to eligible superannuation funds for certain persons earning less than</w:t>
      </w:r>
      <w:r w:rsidR="000B1D9D">
        <w:rPr>
          <w:rFonts w:cs="Book Antiqua"/>
        </w:rPr>
        <w:t> </w:t>
      </w:r>
      <w:r>
        <w:rPr>
          <w:rFonts w:cs="Book Antiqua"/>
        </w:rPr>
        <w:t>10</w:t>
      </w:r>
      <w:r w:rsidR="00C073FD">
        <w:rPr>
          <w:rFonts w:cs="Book Antiqua"/>
        </w:rPr>
        <w:t> </w:t>
      </w:r>
      <w:r>
        <w:rPr>
          <w:rFonts w:cs="Book Antiqua"/>
        </w:rPr>
        <w:t>per cent of their income as an employee are taxed at a concessional rate of 15</w:t>
      </w:r>
      <w:r w:rsidR="000B1D9D">
        <w:rPr>
          <w:rFonts w:cs="Book Antiqua"/>
        </w:rPr>
        <w:t> </w:t>
      </w:r>
      <w:r>
        <w:rPr>
          <w:rFonts w:cs="Book Antiqua"/>
        </w:rPr>
        <w:t xml:space="preserve">per cent. </w:t>
      </w:r>
      <w:r>
        <w:t xml:space="preserve">For individuals whose combined income and concessional contributions exceeds $300,000, the effective rate is 30 per cent. </w:t>
      </w:r>
    </w:p>
    <w:p w14:paraId="2086FB0B" w14:textId="77777777" w:rsidR="00802D3E" w:rsidRDefault="00802D3E" w:rsidP="00802D3E">
      <w:pPr>
        <w:autoSpaceDE w:val="0"/>
        <w:autoSpaceDN w:val="0"/>
        <w:adjustRightInd w:val="0"/>
      </w:pPr>
      <w:r>
        <w:lastRenderedPageBreak/>
        <w:t xml:space="preserve">From 1 July 2017 individuals, regardless of the proportion of their income earned as an employee, will be able to make deductible personal superannuation contributions up to the concessional cap to eligible superannuation funds. From 1 July 2017 for individuals whose combined income and concessional contributions exceeds $250,000 the effective rate will be 30 per cent. </w:t>
      </w:r>
    </w:p>
    <w:p w14:paraId="2086FB0C" w14:textId="77777777" w:rsidR="00802D3E" w:rsidRDefault="00802D3E" w:rsidP="00802D3E">
      <w:pPr>
        <w:pStyle w:val="TESHeading5"/>
        <w:ind w:left="0" w:firstLine="0"/>
      </w:pPr>
      <w:r>
        <w:t>C4</w:t>
      </w:r>
      <w:r>
        <w:tab/>
        <w:t>Concessional taxation of superannuation entity earnings</w:t>
      </w:r>
    </w:p>
    <w:p w14:paraId="2086FB0D"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B16" w14:textId="77777777" w:rsidTr="00802D3E">
        <w:trPr>
          <w:cantSplit/>
          <w:jc w:val="center"/>
        </w:trPr>
        <w:tc>
          <w:tcPr>
            <w:tcW w:w="967" w:type="dxa"/>
            <w:tcBorders>
              <w:top w:val="single" w:sz="2" w:space="0" w:color="auto"/>
              <w:left w:val="nil"/>
              <w:bottom w:val="single" w:sz="2" w:space="0" w:color="auto"/>
              <w:right w:val="nil"/>
            </w:tcBorders>
            <w:hideMark/>
          </w:tcPr>
          <w:p w14:paraId="2086FB0E"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B0F"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B10"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B11"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B12"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B13"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B14"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B15" w14:textId="77777777" w:rsidR="00802D3E" w:rsidRDefault="00802D3E">
            <w:pPr>
              <w:pStyle w:val="MeasureTableTextRightAligned"/>
            </w:pPr>
            <w:r>
              <w:t>2019-20</w:t>
            </w:r>
          </w:p>
        </w:tc>
      </w:tr>
      <w:tr w:rsidR="00802D3E" w14:paraId="2086FB1F" w14:textId="77777777" w:rsidTr="00802D3E">
        <w:trPr>
          <w:cantSplit/>
          <w:jc w:val="center"/>
        </w:trPr>
        <w:tc>
          <w:tcPr>
            <w:tcW w:w="967" w:type="dxa"/>
            <w:tcBorders>
              <w:top w:val="single" w:sz="2" w:space="0" w:color="auto"/>
              <w:left w:val="nil"/>
              <w:bottom w:val="single" w:sz="2" w:space="0" w:color="auto"/>
              <w:right w:val="nil"/>
            </w:tcBorders>
            <w:hideMark/>
          </w:tcPr>
          <w:p w14:paraId="2086FB17" w14:textId="77777777" w:rsidR="00802D3E" w:rsidRDefault="00802D3E">
            <w:pPr>
              <w:pStyle w:val="MeasureTableTextRightAligned"/>
            </w:pPr>
            <w:r>
              <w:t>11,600</w:t>
            </w:r>
          </w:p>
        </w:tc>
        <w:tc>
          <w:tcPr>
            <w:tcW w:w="967" w:type="dxa"/>
            <w:tcBorders>
              <w:top w:val="single" w:sz="2" w:space="0" w:color="auto"/>
              <w:left w:val="nil"/>
              <w:bottom w:val="single" w:sz="2" w:space="0" w:color="auto"/>
              <w:right w:val="nil"/>
            </w:tcBorders>
            <w:hideMark/>
          </w:tcPr>
          <w:p w14:paraId="2086FB18" w14:textId="77777777" w:rsidR="00802D3E" w:rsidRDefault="00802D3E">
            <w:pPr>
              <w:pStyle w:val="MeasureTableTextRightAligned"/>
            </w:pPr>
            <w:r>
              <w:t>11,300</w:t>
            </w:r>
          </w:p>
        </w:tc>
        <w:tc>
          <w:tcPr>
            <w:tcW w:w="967" w:type="dxa"/>
            <w:tcBorders>
              <w:top w:val="single" w:sz="2" w:space="0" w:color="auto"/>
              <w:left w:val="nil"/>
              <w:bottom w:val="single" w:sz="2" w:space="0" w:color="auto"/>
              <w:right w:val="nil"/>
            </w:tcBorders>
            <w:vAlign w:val="bottom"/>
            <w:hideMark/>
          </w:tcPr>
          <w:p w14:paraId="2086FB19" w14:textId="77777777" w:rsidR="00802D3E" w:rsidRDefault="00802D3E">
            <w:pPr>
              <w:pStyle w:val="MeasureTableTextRightAligned"/>
            </w:pPr>
            <w:r>
              <w:t>12,300</w:t>
            </w:r>
          </w:p>
        </w:tc>
        <w:tc>
          <w:tcPr>
            <w:tcW w:w="967" w:type="dxa"/>
            <w:tcBorders>
              <w:top w:val="single" w:sz="2" w:space="0" w:color="auto"/>
              <w:left w:val="nil"/>
              <w:bottom w:val="single" w:sz="2" w:space="0" w:color="auto"/>
              <w:right w:val="nil"/>
            </w:tcBorders>
            <w:vAlign w:val="bottom"/>
            <w:hideMark/>
          </w:tcPr>
          <w:p w14:paraId="2086FB1A" w14:textId="77777777" w:rsidR="00802D3E" w:rsidRDefault="00802D3E">
            <w:pPr>
              <w:pStyle w:val="MeasureTableTextRightAligned"/>
            </w:pPr>
            <w:r>
              <w:t>16,250</w:t>
            </w:r>
          </w:p>
        </w:tc>
        <w:tc>
          <w:tcPr>
            <w:tcW w:w="967" w:type="dxa"/>
            <w:tcBorders>
              <w:top w:val="single" w:sz="2" w:space="0" w:color="auto"/>
              <w:left w:val="nil"/>
              <w:bottom w:val="single" w:sz="2" w:space="0" w:color="auto"/>
              <w:right w:val="nil"/>
            </w:tcBorders>
            <w:vAlign w:val="bottom"/>
            <w:hideMark/>
          </w:tcPr>
          <w:p w14:paraId="2086FB1B" w14:textId="77777777" w:rsidR="00802D3E" w:rsidRDefault="00802D3E">
            <w:pPr>
              <w:pStyle w:val="MeasureTableTextRightAligned"/>
            </w:pPr>
            <w:r>
              <w:t>16,850</w:t>
            </w:r>
          </w:p>
        </w:tc>
        <w:tc>
          <w:tcPr>
            <w:tcW w:w="967" w:type="dxa"/>
            <w:gridSpan w:val="2"/>
            <w:tcBorders>
              <w:top w:val="single" w:sz="2" w:space="0" w:color="auto"/>
              <w:left w:val="nil"/>
              <w:bottom w:val="single" w:sz="2" w:space="0" w:color="auto"/>
              <w:right w:val="nil"/>
            </w:tcBorders>
            <w:vAlign w:val="bottom"/>
            <w:hideMark/>
          </w:tcPr>
          <w:p w14:paraId="2086FB1C" w14:textId="77777777" w:rsidR="00802D3E" w:rsidRDefault="00802D3E">
            <w:pPr>
              <w:pStyle w:val="MeasureTableTextRightAligned"/>
            </w:pPr>
            <w:r>
              <w:t>17,700</w:t>
            </w:r>
          </w:p>
        </w:tc>
        <w:tc>
          <w:tcPr>
            <w:tcW w:w="967" w:type="dxa"/>
            <w:gridSpan w:val="2"/>
            <w:tcBorders>
              <w:top w:val="single" w:sz="2" w:space="0" w:color="auto"/>
              <w:left w:val="nil"/>
              <w:bottom w:val="single" w:sz="2" w:space="0" w:color="auto"/>
              <w:right w:val="nil"/>
            </w:tcBorders>
            <w:vAlign w:val="bottom"/>
            <w:hideMark/>
          </w:tcPr>
          <w:p w14:paraId="2086FB1D" w14:textId="77777777" w:rsidR="00802D3E" w:rsidRDefault="00802D3E">
            <w:pPr>
              <w:pStyle w:val="MeasureTableTextRightAligned"/>
            </w:pPr>
            <w:r>
              <w:t>20,650</w:t>
            </w:r>
          </w:p>
        </w:tc>
        <w:tc>
          <w:tcPr>
            <w:tcW w:w="968" w:type="dxa"/>
            <w:tcBorders>
              <w:top w:val="single" w:sz="2" w:space="0" w:color="auto"/>
              <w:left w:val="nil"/>
              <w:bottom w:val="single" w:sz="2" w:space="0" w:color="auto"/>
              <w:right w:val="nil"/>
            </w:tcBorders>
            <w:vAlign w:val="bottom"/>
            <w:hideMark/>
          </w:tcPr>
          <w:p w14:paraId="2086FB1E" w14:textId="77777777" w:rsidR="00802D3E" w:rsidRDefault="00802D3E">
            <w:pPr>
              <w:pStyle w:val="MeasureTableTextRightAligned"/>
            </w:pPr>
            <w:r>
              <w:t>24,050</w:t>
            </w:r>
          </w:p>
        </w:tc>
      </w:tr>
      <w:tr w:rsidR="00802D3E" w14:paraId="2086FB24" w14:textId="77777777" w:rsidTr="00802D3E">
        <w:trPr>
          <w:cantSplit/>
          <w:jc w:val="center"/>
        </w:trPr>
        <w:tc>
          <w:tcPr>
            <w:tcW w:w="1934" w:type="dxa"/>
            <w:gridSpan w:val="2"/>
            <w:tcBorders>
              <w:top w:val="single" w:sz="2" w:space="0" w:color="auto"/>
              <w:left w:val="nil"/>
              <w:bottom w:val="nil"/>
              <w:right w:val="nil"/>
            </w:tcBorders>
            <w:hideMark/>
          </w:tcPr>
          <w:p w14:paraId="2086FB20"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B21" w14:textId="77777777" w:rsidR="00802D3E" w:rsidRDefault="00802D3E">
            <w:pPr>
              <w:pStyle w:val="MeasureTableTextLeftAligned"/>
            </w:pPr>
            <w:r>
              <w:t>Exemption, Concessional rate</w:t>
            </w:r>
          </w:p>
        </w:tc>
        <w:tc>
          <w:tcPr>
            <w:tcW w:w="1500" w:type="dxa"/>
            <w:gridSpan w:val="2"/>
            <w:tcBorders>
              <w:top w:val="single" w:sz="2" w:space="0" w:color="auto"/>
              <w:left w:val="nil"/>
              <w:bottom w:val="nil"/>
              <w:right w:val="nil"/>
            </w:tcBorders>
            <w:hideMark/>
          </w:tcPr>
          <w:p w14:paraId="2086FB22"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B23" w14:textId="77777777" w:rsidR="00802D3E" w:rsidRDefault="00802D3E">
            <w:pPr>
              <w:pStyle w:val="MeasureTableTextLeftAligned"/>
            </w:pPr>
            <w:r>
              <w:t>C6</w:t>
            </w:r>
          </w:p>
        </w:tc>
      </w:tr>
      <w:tr w:rsidR="00802D3E" w14:paraId="2086FB29" w14:textId="77777777" w:rsidTr="00802D3E">
        <w:trPr>
          <w:cantSplit/>
          <w:jc w:val="center"/>
        </w:trPr>
        <w:tc>
          <w:tcPr>
            <w:tcW w:w="1934" w:type="dxa"/>
            <w:gridSpan w:val="2"/>
            <w:tcBorders>
              <w:top w:val="nil"/>
              <w:left w:val="nil"/>
              <w:bottom w:val="nil"/>
              <w:right w:val="nil"/>
            </w:tcBorders>
            <w:hideMark/>
          </w:tcPr>
          <w:p w14:paraId="2086FB25"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B26" w14:textId="77777777" w:rsidR="00802D3E" w:rsidRDefault="00802D3E">
            <w:pPr>
              <w:pStyle w:val="MeasureTableTextLeftAligned"/>
            </w:pPr>
            <w:r>
              <w:t>Low</w:t>
            </w:r>
          </w:p>
        </w:tc>
        <w:tc>
          <w:tcPr>
            <w:tcW w:w="1500" w:type="dxa"/>
            <w:gridSpan w:val="2"/>
            <w:tcBorders>
              <w:top w:val="nil"/>
              <w:left w:val="nil"/>
              <w:bottom w:val="nil"/>
              <w:right w:val="nil"/>
            </w:tcBorders>
          </w:tcPr>
          <w:p w14:paraId="2086FB27" w14:textId="77777777" w:rsidR="00802D3E" w:rsidRDefault="00802D3E">
            <w:pPr>
              <w:pStyle w:val="MeasureTableTextItalic"/>
            </w:pPr>
          </w:p>
        </w:tc>
        <w:tc>
          <w:tcPr>
            <w:tcW w:w="1124" w:type="dxa"/>
            <w:gridSpan w:val="2"/>
            <w:tcBorders>
              <w:top w:val="nil"/>
              <w:left w:val="nil"/>
              <w:bottom w:val="nil"/>
              <w:right w:val="nil"/>
            </w:tcBorders>
          </w:tcPr>
          <w:p w14:paraId="2086FB28" w14:textId="77777777" w:rsidR="00802D3E" w:rsidRDefault="00802D3E">
            <w:pPr>
              <w:pStyle w:val="MeasureTableTextLeftAligned"/>
            </w:pPr>
          </w:p>
        </w:tc>
      </w:tr>
      <w:tr w:rsidR="00802D3E" w14:paraId="2086FB2E" w14:textId="77777777" w:rsidTr="00802D3E">
        <w:trPr>
          <w:cantSplit/>
          <w:jc w:val="center"/>
        </w:trPr>
        <w:tc>
          <w:tcPr>
            <w:tcW w:w="1934" w:type="dxa"/>
            <w:gridSpan w:val="2"/>
            <w:tcBorders>
              <w:top w:val="nil"/>
              <w:left w:val="nil"/>
              <w:bottom w:val="nil"/>
              <w:right w:val="nil"/>
            </w:tcBorders>
            <w:hideMark/>
          </w:tcPr>
          <w:p w14:paraId="2086FB2A"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B2B"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FB2C"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B2D" w14:textId="77777777" w:rsidR="00802D3E" w:rsidRDefault="00802D3E">
            <w:pPr>
              <w:pStyle w:val="MeasureTableTextLeftAligned"/>
            </w:pPr>
          </w:p>
        </w:tc>
      </w:tr>
      <w:tr w:rsidR="00802D3E" w14:paraId="2086FB31" w14:textId="77777777" w:rsidTr="00802D3E">
        <w:trPr>
          <w:cantSplit/>
          <w:jc w:val="center"/>
        </w:trPr>
        <w:tc>
          <w:tcPr>
            <w:tcW w:w="1934" w:type="dxa"/>
            <w:gridSpan w:val="2"/>
            <w:tcBorders>
              <w:top w:val="nil"/>
              <w:left w:val="nil"/>
              <w:bottom w:val="single" w:sz="2" w:space="0" w:color="auto"/>
              <w:right w:val="nil"/>
            </w:tcBorders>
            <w:hideMark/>
          </w:tcPr>
          <w:p w14:paraId="2086FB2F"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B30" w14:textId="77777777" w:rsidR="00802D3E" w:rsidRPr="00482063" w:rsidRDefault="00802D3E" w:rsidP="00482063">
            <w:pPr>
              <w:widowControl w:val="0"/>
              <w:autoSpaceDE w:val="0"/>
              <w:autoSpaceDN w:val="0"/>
              <w:adjustRightInd w:val="0"/>
              <w:spacing w:after="0" w:line="240" w:lineRule="auto"/>
              <w:jc w:val="left"/>
              <w:rPr>
                <w:sz w:val="16"/>
                <w:szCs w:val="16"/>
              </w:rPr>
            </w:pPr>
            <w:r w:rsidRPr="00482063">
              <w:rPr>
                <w:rFonts w:ascii="Arial" w:hAnsi="Arial" w:cs="Arial"/>
                <w:sz w:val="16"/>
                <w:szCs w:val="16"/>
              </w:rPr>
              <w:t>Division 295</w:t>
            </w:r>
            <w:r w:rsidRPr="00482063">
              <w:rPr>
                <w:rFonts w:ascii="Arial" w:hAnsi="Arial" w:cs="Arial"/>
                <w:color w:val="000000"/>
                <w:sz w:val="16"/>
                <w:szCs w:val="16"/>
              </w:rPr>
              <w:t xml:space="preserve"> of the </w:t>
            </w:r>
            <w:r w:rsidRPr="00482063">
              <w:rPr>
                <w:rFonts w:ascii="Arial" w:hAnsi="Arial" w:cs="Arial"/>
                <w:i/>
                <w:iCs/>
                <w:color w:val="000000"/>
                <w:sz w:val="16"/>
                <w:szCs w:val="16"/>
              </w:rPr>
              <w:t>Income Tax Assessment Act 1997</w:t>
            </w:r>
          </w:p>
        </w:tc>
      </w:tr>
    </w:tbl>
    <w:p w14:paraId="2086FB32" w14:textId="77777777" w:rsidR="00802D3E" w:rsidRDefault="00802D3E" w:rsidP="00A109BC">
      <w:pPr>
        <w:pStyle w:val="SingleParagraph"/>
      </w:pPr>
    </w:p>
    <w:p w14:paraId="2086FB33" w14:textId="77777777" w:rsidR="00802D3E" w:rsidRDefault="00802D3E" w:rsidP="00802D3E">
      <w:r>
        <w:t xml:space="preserve">The tax rate on earnings for complying superannuation entities is 15 per cent (accumulation phase) or nil where the earnings are derived from assets which are used to meet current pension liabilities (retirement phase). Complying superannuation entities are entitled to refunds of excess imputation credits attached to dividends payable to them. </w:t>
      </w:r>
      <w:r>
        <w:fldChar w:fldCharType="begin"/>
      </w:r>
      <w:r>
        <w:instrText xml:space="preserve"> XE "Superannuation:Entity earnings" </w:instrText>
      </w:r>
      <w:r>
        <w:fldChar w:fldCharType="end"/>
      </w:r>
    </w:p>
    <w:p w14:paraId="2086FB34" w14:textId="77777777" w:rsidR="00802D3E" w:rsidRDefault="00802D3E" w:rsidP="00802D3E">
      <w:pPr>
        <w:rPr>
          <w:i/>
        </w:rPr>
      </w:pPr>
      <w:r>
        <w:t xml:space="preserve">A complying superannuation entity is one that has elected to be regulated and has complied with certain prudential requirements in the </w:t>
      </w:r>
      <w:r>
        <w:rPr>
          <w:i/>
        </w:rPr>
        <w:t>Superannuation Industry (Supervision) Act 1993.</w:t>
      </w:r>
    </w:p>
    <w:p w14:paraId="2086FB35" w14:textId="77777777" w:rsidR="00802D3E" w:rsidRDefault="00802D3E" w:rsidP="00802D3E">
      <w:r>
        <w:t xml:space="preserve">From 1 July 2017, the value of assets transferred to the retirement phase will be limited by the general transfer balance cap. </w:t>
      </w:r>
    </w:p>
    <w:p w14:paraId="2086FB36" w14:textId="77777777" w:rsidR="00802D3E" w:rsidRDefault="00802D3E" w:rsidP="00802D3E">
      <w:pPr>
        <w:pStyle w:val="TESHeading5"/>
        <w:ind w:left="0" w:firstLine="0"/>
      </w:pPr>
      <w:r>
        <w:t>C5</w:t>
      </w:r>
      <w:r>
        <w:tab/>
        <w:t>Concessional taxation of unfunded superannuation</w:t>
      </w:r>
    </w:p>
    <w:p w14:paraId="2086FB37"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B40" w14:textId="77777777" w:rsidTr="00802D3E">
        <w:trPr>
          <w:cantSplit/>
          <w:jc w:val="center"/>
        </w:trPr>
        <w:tc>
          <w:tcPr>
            <w:tcW w:w="967" w:type="dxa"/>
            <w:tcBorders>
              <w:top w:val="single" w:sz="2" w:space="0" w:color="auto"/>
              <w:left w:val="nil"/>
              <w:bottom w:val="single" w:sz="2" w:space="0" w:color="auto"/>
              <w:right w:val="nil"/>
            </w:tcBorders>
            <w:hideMark/>
          </w:tcPr>
          <w:p w14:paraId="2086FB3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B3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B3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B3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B3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B3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B3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B3F" w14:textId="77777777" w:rsidR="00802D3E" w:rsidRDefault="00802D3E">
            <w:pPr>
              <w:pStyle w:val="MeasureTableTextRightAligned"/>
            </w:pPr>
            <w:r>
              <w:t>2019-20</w:t>
            </w:r>
          </w:p>
        </w:tc>
      </w:tr>
      <w:tr w:rsidR="00802D3E" w14:paraId="2086FB49" w14:textId="77777777" w:rsidTr="00802D3E">
        <w:trPr>
          <w:cantSplit/>
          <w:jc w:val="center"/>
        </w:trPr>
        <w:tc>
          <w:tcPr>
            <w:tcW w:w="967" w:type="dxa"/>
            <w:tcBorders>
              <w:top w:val="single" w:sz="2" w:space="0" w:color="auto"/>
              <w:left w:val="nil"/>
              <w:bottom w:val="single" w:sz="2" w:space="0" w:color="auto"/>
              <w:right w:val="nil"/>
            </w:tcBorders>
            <w:hideMark/>
          </w:tcPr>
          <w:p w14:paraId="2086FB41" w14:textId="77777777" w:rsidR="00802D3E" w:rsidRDefault="00802D3E">
            <w:pPr>
              <w:pStyle w:val="MeasureTableTextRightAligned"/>
            </w:pPr>
            <w:r>
              <w:t>470</w:t>
            </w:r>
          </w:p>
        </w:tc>
        <w:tc>
          <w:tcPr>
            <w:tcW w:w="967" w:type="dxa"/>
            <w:tcBorders>
              <w:top w:val="single" w:sz="2" w:space="0" w:color="auto"/>
              <w:left w:val="nil"/>
              <w:bottom w:val="single" w:sz="2" w:space="0" w:color="auto"/>
              <w:right w:val="nil"/>
            </w:tcBorders>
            <w:hideMark/>
          </w:tcPr>
          <w:p w14:paraId="2086FB42" w14:textId="77777777" w:rsidR="00802D3E" w:rsidRDefault="00802D3E">
            <w:pPr>
              <w:pStyle w:val="MeasureTableTextRightAligned"/>
            </w:pPr>
            <w:r>
              <w:t>500</w:t>
            </w:r>
          </w:p>
        </w:tc>
        <w:tc>
          <w:tcPr>
            <w:tcW w:w="967" w:type="dxa"/>
            <w:tcBorders>
              <w:top w:val="single" w:sz="2" w:space="0" w:color="auto"/>
              <w:left w:val="nil"/>
              <w:bottom w:val="single" w:sz="2" w:space="0" w:color="auto"/>
              <w:right w:val="nil"/>
            </w:tcBorders>
            <w:vAlign w:val="bottom"/>
            <w:hideMark/>
          </w:tcPr>
          <w:p w14:paraId="2086FB43" w14:textId="77777777" w:rsidR="00802D3E" w:rsidRDefault="00802D3E">
            <w:pPr>
              <w:pStyle w:val="MeasureTableTextRightAligned"/>
            </w:pPr>
            <w:r>
              <w:t>550</w:t>
            </w:r>
          </w:p>
        </w:tc>
        <w:tc>
          <w:tcPr>
            <w:tcW w:w="967" w:type="dxa"/>
            <w:tcBorders>
              <w:top w:val="single" w:sz="2" w:space="0" w:color="auto"/>
              <w:left w:val="nil"/>
              <w:bottom w:val="single" w:sz="2" w:space="0" w:color="auto"/>
              <w:right w:val="nil"/>
            </w:tcBorders>
            <w:vAlign w:val="bottom"/>
            <w:hideMark/>
          </w:tcPr>
          <w:p w14:paraId="2086FB44" w14:textId="77777777" w:rsidR="00802D3E" w:rsidRDefault="00802D3E">
            <w:pPr>
              <w:pStyle w:val="MeasureTableTextRightAligned"/>
            </w:pPr>
            <w:r>
              <w:t>590</w:t>
            </w:r>
          </w:p>
        </w:tc>
        <w:tc>
          <w:tcPr>
            <w:tcW w:w="967" w:type="dxa"/>
            <w:tcBorders>
              <w:top w:val="single" w:sz="2" w:space="0" w:color="auto"/>
              <w:left w:val="nil"/>
              <w:bottom w:val="single" w:sz="2" w:space="0" w:color="auto"/>
              <w:right w:val="nil"/>
            </w:tcBorders>
            <w:vAlign w:val="bottom"/>
            <w:hideMark/>
          </w:tcPr>
          <w:p w14:paraId="2086FB45" w14:textId="77777777" w:rsidR="00802D3E" w:rsidRDefault="00802D3E">
            <w:pPr>
              <w:pStyle w:val="MeasureTableTextRightAligned"/>
            </w:pPr>
            <w:r>
              <w:t>630</w:t>
            </w:r>
          </w:p>
        </w:tc>
        <w:tc>
          <w:tcPr>
            <w:tcW w:w="967" w:type="dxa"/>
            <w:gridSpan w:val="2"/>
            <w:tcBorders>
              <w:top w:val="single" w:sz="2" w:space="0" w:color="auto"/>
              <w:left w:val="nil"/>
              <w:bottom w:val="single" w:sz="2" w:space="0" w:color="auto"/>
              <w:right w:val="nil"/>
            </w:tcBorders>
            <w:vAlign w:val="bottom"/>
            <w:hideMark/>
          </w:tcPr>
          <w:p w14:paraId="2086FB46" w14:textId="77777777" w:rsidR="00802D3E" w:rsidRDefault="00802D3E">
            <w:pPr>
              <w:pStyle w:val="MeasureTableTextRightAligned"/>
            </w:pPr>
            <w:r>
              <w:t>660</w:t>
            </w:r>
          </w:p>
        </w:tc>
        <w:tc>
          <w:tcPr>
            <w:tcW w:w="967" w:type="dxa"/>
            <w:gridSpan w:val="2"/>
            <w:tcBorders>
              <w:top w:val="single" w:sz="2" w:space="0" w:color="auto"/>
              <w:left w:val="nil"/>
              <w:bottom w:val="single" w:sz="2" w:space="0" w:color="auto"/>
              <w:right w:val="nil"/>
            </w:tcBorders>
            <w:vAlign w:val="bottom"/>
            <w:hideMark/>
          </w:tcPr>
          <w:p w14:paraId="2086FB47" w14:textId="77777777" w:rsidR="00802D3E" w:rsidRDefault="00802D3E">
            <w:pPr>
              <w:pStyle w:val="MeasureTableTextRightAligned"/>
            </w:pPr>
            <w:r>
              <w:t>710</w:t>
            </w:r>
          </w:p>
        </w:tc>
        <w:tc>
          <w:tcPr>
            <w:tcW w:w="968" w:type="dxa"/>
            <w:tcBorders>
              <w:top w:val="single" w:sz="2" w:space="0" w:color="auto"/>
              <w:left w:val="nil"/>
              <w:bottom w:val="single" w:sz="2" w:space="0" w:color="auto"/>
              <w:right w:val="nil"/>
            </w:tcBorders>
            <w:vAlign w:val="bottom"/>
            <w:hideMark/>
          </w:tcPr>
          <w:p w14:paraId="2086FB48" w14:textId="77777777" w:rsidR="00802D3E" w:rsidRDefault="00802D3E">
            <w:pPr>
              <w:pStyle w:val="MeasureTableTextRightAligned"/>
            </w:pPr>
            <w:r>
              <w:t>750</w:t>
            </w:r>
          </w:p>
        </w:tc>
      </w:tr>
      <w:tr w:rsidR="00802D3E" w14:paraId="2086FB4E" w14:textId="77777777" w:rsidTr="00802D3E">
        <w:trPr>
          <w:cantSplit/>
          <w:jc w:val="center"/>
        </w:trPr>
        <w:tc>
          <w:tcPr>
            <w:tcW w:w="1934" w:type="dxa"/>
            <w:gridSpan w:val="2"/>
            <w:tcBorders>
              <w:top w:val="single" w:sz="2" w:space="0" w:color="auto"/>
              <w:left w:val="nil"/>
              <w:bottom w:val="nil"/>
              <w:right w:val="nil"/>
            </w:tcBorders>
            <w:hideMark/>
          </w:tcPr>
          <w:p w14:paraId="2086FB4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B4B" w14:textId="77777777" w:rsidR="00802D3E" w:rsidRDefault="00802D3E">
            <w:pPr>
              <w:pStyle w:val="MeasureTableTextLeftAligned"/>
            </w:pPr>
            <w:r>
              <w:t>Exemption, Offset, Concessional rate</w:t>
            </w:r>
          </w:p>
        </w:tc>
        <w:tc>
          <w:tcPr>
            <w:tcW w:w="1500" w:type="dxa"/>
            <w:gridSpan w:val="2"/>
            <w:tcBorders>
              <w:top w:val="single" w:sz="2" w:space="0" w:color="auto"/>
              <w:left w:val="nil"/>
              <w:bottom w:val="nil"/>
              <w:right w:val="nil"/>
            </w:tcBorders>
            <w:hideMark/>
          </w:tcPr>
          <w:p w14:paraId="2086FB4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B4D" w14:textId="77777777" w:rsidR="00802D3E" w:rsidRDefault="00802D3E">
            <w:pPr>
              <w:pStyle w:val="MeasureTableTextLeftAligned"/>
            </w:pPr>
            <w:r>
              <w:t>C7</w:t>
            </w:r>
          </w:p>
        </w:tc>
      </w:tr>
      <w:tr w:rsidR="00802D3E" w14:paraId="2086FB53" w14:textId="77777777" w:rsidTr="00802D3E">
        <w:trPr>
          <w:cantSplit/>
          <w:jc w:val="center"/>
        </w:trPr>
        <w:tc>
          <w:tcPr>
            <w:tcW w:w="1934" w:type="dxa"/>
            <w:gridSpan w:val="2"/>
            <w:tcBorders>
              <w:top w:val="nil"/>
              <w:left w:val="nil"/>
              <w:bottom w:val="nil"/>
              <w:right w:val="nil"/>
            </w:tcBorders>
            <w:hideMark/>
          </w:tcPr>
          <w:p w14:paraId="2086FB4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B50"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B51" w14:textId="77777777" w:rsidR="00802D3E" w:rsidRDefault="00802D3E">
            <w:pPr>
              <w:pStyle w:val="MeasureTableTextItalic"/>
            </w:pPr>
          </w:p>
        </w:tc>
        <w:tc>
          <w:tcPr>
            <w:tcW w:w="1124" w:type="dxa"/>
            <w:gridSpan w:val="2"/>
            <w:tcBorders>
              <w:top w:val="nil"/>
              <w:left w:val="nil"/>
              <w:bottom w:val="nil"/>
              <w:right w:val="nil"/>
            </w:tcBorders>
          </w:tcPr>
          <w:p w14:paraId="2086FB52" w14:textId="77777777" w:rsidR="00802D3E" w:rsidRDefault="00802D3E">
            <w:pPr>
              <w:pStyle w:val="MeasureTableTextLeftAligned"/>
            </w:pPr>
          </w:p>
        </w:tc>
      </w:tr>
      <w:tr w:rsidR="00802D3E" w14:paraId="2086FB58" w14:textId="77777777" w:rsidTr="00802D3E">
        <w:trPr>
          <w:cantSplit/>
          <w:jc w:val="center"/>
        </w:trPr>
        <w:tc>
          <w:tcPr>
            <w:tcW w:w="1934" w:type="dxa"/>
            <w:gridSpan w:val="2"/>
            <w:tcBorders>
              <w:top w:val="nil"/>
              <w:left w:val="nil"/>
              <w:bottom w:val="nil"/>
              <w:right w:val="nil"/>
            </w:tcBorders>
            <w:hideMark/>
          </w:tcPr>
          <w:p w14:paraId="2086FB5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B55"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FB56"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B57" w14:textId="77777777" w:rsidR="00802D3E" w:rsidRDefault="00802D3E">
            <w:pPr>
              <w:pStyle w:val="MeasureTableTextLeftAligned"/>
            </w:pPr>
          </w:p>
        </w:tc>
      </w:tr>
      <w:tr w:rsidR="00802D3E" w14:paraId="2086FB5B" w14:textId="77777777" w:rsidTr="00802D3E">
        <w:trPr>
          <w:cantSplit/>
          <w:jc w:val="center"/>
        </w:trPr>
        <w:tc>
          <w:tcPr>
            <w:tcW w:w="1934" w:type="dxa"/>
            <w:gridSpan w:val="2"/>
            <w:tcBorders>
              <w:top w:val="nil"/>
              <w:left w:val="nil"/>
              <w:bottom w:val="single" w:sz="2" w:space="0" w:color="auto"/>
              <w:right w:val="nil"/>
            </w:tcBorders>
            <w:hideMark/>
          </w:tcPr>
          <w:p w14:paraId="2086FB5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B5A" w14:textId="77777777" w:rsidR="00802D3E" w:rsidRPr="00482063" w:rsidRDefault="00802D3E" w:rsidP="00482063">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Part 3-30 and </w:t>
            </w:r>
            <w:r w:rsidRPr="00482063">
              <w:rPr>
                <w:rFonts w:ascii="Arial" w:hAnsi="Arial" w:cs="Arial"/>
                <w:color w:val="000000"/>
                <w:sz w:val="16"/>
                <w:szCs w:val="16"/>
              </w:rPr>
              <w:t xml:space="preserve">Subdivision 320-D </w:t>
            </w:r>
            <w:r w:rsidRPr="00482063">
              <w:rPr>
                <w:rFonts w:ascii="Arial" w:hAnsi="Arial" w:cs="Arial"/>
                <w:sz w:val="16"/>
                <w:szCs w:val="16"/>
              </w:rPr>
              <w:t xml:space="preserve">of the </w:t>
            </w:r>
            <w:r w:rsidRPr="00482063">
              <w:rPr>
                <w:rFonts w:ascii="Arial" w:hAnsi="Arial" w:cs="Arial"/>
                <w:i/>
                <w:iCs/>
                <w:color w:val="000000"/>
                <w:sz w:val="16"/>
                <w:szCs w:val="16"/>
              </w:rPr>
              <w:t>Income Tax Assessment Act 1997</w:t>
            </w:r>
            <w:r w:rsidRPr="00482063">
              <w:rPr>
                <w:rFonts w:ascii="Arial" w:hAnsi="Arial" w:cs="Arial"/>
                <w:i/>
                <w:iCs/>
                <w:color w:val="000000"/>
                <w:sz w:val="16"/>
                <w:szCs w:val="16"/>
              </w:rPr>
              <w:br/>
            </w:r>
            <w:r w:rsidRPr="00482063">
              <w:rPr>
                <w:rFonts w:ascii="Arial" w:hAnsi="Arial" w:cs="Arial"/>
                <w:color w:val="000000"/>
                <w:sz w:val="16"/>
                <w:szCs w:val="16"/>
              </w:rPr>
              <w:t xml:space="preserve">Part 3-30 of the </w:t>
            </w:r>
            <w:r w:rsidRPr="00482063">
              <w:rPr>
                <w:rFonts w:ascii="Arial" w:hAnsi="Arial" w:cs="Arial"/>
                <w:i/>
                <w:iCs/>
                <w:color w:val="000000"/>
                <w:sz w:val="16"/>
                <w:szCs w:val="16"/>
              </w:rPr>
              <w:t>Income Tax (Transitional Provisions) Act 1997</w:t>
            </w:r>
          </w:p>
        </w:tc>
      </w:tr>
    </w:tbl>
    <w:p w14:paraId="2086FB5C" w14:textId="77777777" w:rsidR="00802D3E" w:rsidRDefault="00802D3E" w:rsidP="00A109BC">
      <w:pPr>
        <w:pStyle w:val="SingleParagraph"/>
      </w:pPr>
    </w:p>
    <w:p w14:paraId="2086FB5D" w14:textId="77777777" w:rsidR="00802D3E" w:rsidRDefault="00802D3E" w:rsidP="00802D3E">
      <w:r>
        <w:t xml:space="preserve">In the case of unfunded superannuation, no employer contributions are made until the benefit is provided on the member’s retirement. The appropriate benchmark treatment of these amounts is taxation at personal rates on receipt by the member. </w:t>
      </w:r>
      <w:r>
        <w:fldChar w:fldCharType="begin"/>
      </w:r>
      <w:r>
        <w:instrText xml:space="preserve"> XE "Superannuation:Unfunded superannuation" </w:instrText>
      </w:r>
      <w:r>
        <w:fldChar w:fldCharType="end"/>
      </w:r>
    </w:p>
    <w:p w14:paraId="2086FB5E" w14:textId="77777777" w:rsidR="00802D3E" w:rsidRDefault="00802D3E" w:rsidP="00802D3E">
      <w:r>
        <w:t xml:space="preserve">Unfunded superannuation lump sums are taxed in the same way as funded superannuation lump sums from untaxed </w:t>
      </w:r>
      <w:r w:rsidRPr="004C6742">
        <w:t>funds (see C1</w:t>
      </w:r>
      <w:r w:rsidR="004C6742" w:rsidRPr="004C6742">
        <w:t>0</w:t>
      </w:r>
      <w:r w:rsidRPr="004C6742">
        <w:t>). Similarly, unfunded superannuation income streams are taxed in the same way as funded superannuation income st</w:t>
      </w:r>
      <w:r w:rsidR="004C6742" w:rsidRPr="004C6742">
        <w:t>reams from untaxed funds (see C9</w:t>
      </w:r>
      <w:r w:rsidRPr="004C6742">
        <w:t>). The tax treatment</w:t>
      </w:r>
      <w:r>
        <w:t xml:space="preserve"> of a death benefit paid </w:t>
      </w:r>
      <w:r>
        <w:lastRenderedPageBreak/>
        <w:t>to a dependant as an income stream depends on the age of the fund member and the dependant. If either was aged 60 or over at the time of death, then the taxable component of payments to the dependant will be taxed at marginal rates with a 10</w:t>
      </w:r>
      <w:r w:rsidR="00C073FD">
        <w:t> </w:t>
      </w:r>
      <w:r>
        <w:t>per</w:t>
      </w:r>
      <w:r w:rsidR="00C073FD">
        <w:t> </w:t>
      </w:r>
      <w:r>
        <w:t>cent tax offset. If both were under age 60 at the time of death, the taxable component of the pension will be taxed at the dependant’s marginal rate and will become eligible for the 10 per cent offset once the dependant reaches age 60.</w:t>
      </w:r>
    </w:p>
    <w:p w14:paraId="2086FB5F" w14:textId="77777777" w:rsidR="00802D3E" w:rsidRDefault="00802D3E" w:rsidP="00802D3E">
      <w:r>
        <w:t xml:space="preserve">From 1 July 2017, where an individual’s income stream from an unfunded scheme exceeds a $100,000 threshold, the amount in excess of the threshold will not receive the 10 per cent tax offset. </w:t>
      </w:r>
    </w:p>
    <w:p w14:paraId="2086FB60" w14:textId="77777777" w:rsidR="00802D3E" w:rsidRDefault="00802D3E" w:rsidP="00802D3E">
      <w:pPr>
        <w:pStyle w:val="TESHeading5"/>
        <w:ind w:left="0" w:firstLine="0"/>
      </w:pPr>
      <w:r>
        <w:t>C6</w:t>
      </w:r>
      <w:r>
        <w:tab/>
        <w:t>Small business capital gains retirement exemption</w:t>
      </w:r>
    </w:p>
    <w:p w14:paraId="2086FB61"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B6A" w14:textId="77777777" w:rsidTr="00802D3E">
        <w:trPr>
          <w:cantSplit/>
          <w:jc w:val="center"/>
        </w:trPr>
        <w:tc>
          <w:tcPr>
            <w:tcW w:w="967" w:type="dxa"/>
            <w:tcBorders>
              <w:top w:val="single" w:sz="2" w:space="0" w:color="auto"/>
              <w:left w:val="nil"/>
              <w:bottom w:val="single" w:sz="2" w:space="0" w:color="auto"/>
              <w:right w:val="nil"/>
            </w:tcBorders>
            <w:hideMark/>
          </w:tcPr>
          <w:p w14:paraId="2086FB6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B6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B6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B6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B6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B6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B6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B69" w14:textId="77777777" w:rsidR="00802D3E" w:rsidRDefault="00802D3E">
            <w:pPr>
              <w:pStyle w:val="MeasureTableTextRightAligned"/>
            </w:pPr>
            <w:r>
              <w:t>2019-20</w:t>
            </w:r>
          </w:p>
        </w:tc>
      </w:tr>
      <w:tr w:rsidR="00802D3E" w14:paraId="2086FB73" w14:textId="77777777" w:rsidTr="00802D3E">
        <w:trPr>
          <w:cantSplit/>
          <w:jc w:val="center"/>
        </w:trPr>
        <w:tc>
          <w:tcPr>
            <w:tcW w:w="967" w:type="dxa"/>
            <w:tcBorders>
              <w:top w:val="single" w:sz="2" w:space="0" w:color="auto"/>
              <w:left w:val="nil"/>
              <w:bottom w:val="single" w:sz="2" w:space="0" w:color="auto"/>
              <w:right w:val="nil"/>
            </w:tcBorders>
            <w:hideMark/>
          </w:tcPr>
          <w:p w14:paraId="2086FB6B" w14:textId="77777777" w:rsidR="00802D3E" w:rsidRDefault="00802D3E">
            <w:pPr>
              <w:pStyle w:val="MeasureTableTextRightAligned"/>
            </w:pPr>
            <w:r>
              <w:t>380</w:t>
            </w:r>
          </w:p>
        </w:tc>
        <w:tc>
          <w:tcPr>
            <w:tcW w:w="967" w:type="dxa"/>
            <w:tcBorders>
              <w:top w:val="single" w:sz="2" w:space="0" w:color="auto"/>
              <w:left w:val="nil"/>
              <w:bottom w:val="single" w:sz="2" w:space="0" w:color="auto"/>
              <w:right w:val="nil"/>
            </w:tcBorders>
            <w:hideMark/>
          </w:tcPr>
          <w:p w14:paraId="2086FB6C" w14:textId="77777777" w:rsidR="00802D3E" w:rsidRDefault="00802D3E">
            <w:pPr>
              <w:pStyle w:val="MeasureTableTextRightAligned"/>
            </w:pPr>
            <w:r>
              <w:t>410</w:t>
            </w:r>
          </w:p>
        </w:tc>
        <w:tc>
          <w:tcPr>
            <w:tcW w:w="967" w:type="dxa"/>
            <w:tcBorders>
              <w:top w:val="single" w:sz="2" w:space="0" w:color="auto"/>
              <w:left w:val="nil"/>
              <w:bottom w:val="single" w:sz="2" w:space="0" w:color="auto"/>
              <w:right w:val="nil"/>
            </w:tcBorders>
            <w:vAlign w:val="bottom"/>
            <w:hideMark/>
          </w:tcPr>
          <w:p w14:paraId="2086FB6D" w14:textId="77777777" w:rsidR="00802D3E" w:rsidRDefault="00802D3E">
            <w:pPr>
              <w:pStyle w:val="MeasureTableTextRightAligned"/>
            </w:pPr>
            <w:r>
              <w:t>380</w:t>
            </w:r>
          </w:p>
        </w:tc>
        <w:tc>
          <w:tcPr>
            <w:tcW w:w="967" w:type="dxa"/>
            <w:tcBorders>
              <w:top w:val="single" w:sz="2" w:space="0" w:color="auto"/>
              <w:left w:val="nil"/>
              <w:bottom w:val="single" w:sz="2" w:space="0" w:color="auto"/>
              <w:right w:val="nil"/>
            </w:tcBorders>
            <w:vAlign w:val="bottom"/>
            <w:hideMark/>
          </w:tcPr>
          <w:p w14:paraId="2086FB6E" w14:textId="77777777" w:rsidR="00802D3E" w:rsidRDefault="00802D3E">
            <w:pPr>
              <w:pStyle w:val="MeasureTableTextRightAligned"/>
            </w:pPr>
            <w:r>
              <w:t>420</w:t>
            </w:r>
          </w:p>
        </w:tc>
        <w:tc>
          <w:tcPr>
            <w:tcW w:w="967" w:type="dxa"/>
            <w:tcBorders>
              <w:top w:val="single" w:sz="2" w:space="0" w:color="auto"/>
              <w:left w:val="nil"/>
              <w:bottom w:val="single" w:sz="2" w:space="0" w:color="auto"/>
              <w:right w:val="nil"/>
            </w:tcBorders>
            <w:vAlign w:val="bottom"/>
            <w:hideMark/>
          </w:tcPr>
          <w:p w14:paraId="2086FB6F" w14:textId="77777777" w:rsidR="00802D3E" w:rsidRDefault="00802D3E">
            <w:pPr>
              <w:pStyle w:val="MeasureTableTextRightAligned"/>
            </w:pPr>
            <w:r>
              <w:t>450</w:t>
            </w:r>
          </w:p>
        </w:tc>
        <w:tc>
          <w:tcPr>
            <w:tcW w:w="967" w:type="dxa"/>
            <w:gridSpan w:val="2"/>
            <w:tcBorders>
              <w:top w:val="single" w:sz="2" w:space="0" w:color="auto"/>
              <w:left w:val="nil"/>
              <w:bottom w:val="single" w:sz="2" w:space="0" w:color="auto"/>
              <w:right w:val="nil"/>
            </w:tcBorders>
            <w:vAlign w:val="bottom"/>
            <w:hideMark/>
          </w:tcPr>
          <w:p w14:paraId="2086FB70" w14:textId="77777777" w:rsidR="00802D3E" w:rsidRDefault="00802D3E">
            <w:pPr>
              <w:pStyle w:val="MeasureTableTextRightAligned"/>
            </w:pPr>
            <w:r>
              <w:t>460</w:t>
            </w:r>
          </w:p>
        </w:tc>
        <w:tc>
          <w:tcPr>
            <w:tcW w:w="967" w:type="dxa"/>
            <w:gridSpan w:val="2"/>
            <w:tcBorders>
              <w:top w:val="single" w:sz="2" w:space="0" w:color="auto"/>
              <w:left w:val="nil"/>
              <w:bottom w:val="single" w:sz="2" w:space="0" w:color="auto"/>
              <w:right w:val="nil"/>
            </w:tcBorders>
            <w:vAlign w:val="bottom"/>
            <w:hideMark/>
          </w:tcPr>
          <w:p w14:paraId="2086FB71" w14:textId="77777777" w:rsidR="00802D3E" w:rsidRDefault="00802D3E">
            <w:pPr>
              <w:pStyle w:val="MeasureTableTextRightAligned"/>
            </w:pPr>
            <w:r>
              <w:t>470</w:t>
            </w:r>
          </w:p>
        </w:tc>
        <w:tc>
          <w:tcPr>
            <w:tcW w:w="968" w:type="dxa"/>
            <w:tcBorders>
              <w:top w:val="single" w:sz="2" w:space="0" w:color="auto"/>
              <w:left w:val="nil"/>
              <w:bottom w:val="single" w:sz="2" w:space="0" w:color="auto"/>
              <w:right w:val="nil"/>
            </w:tcBorders>
            <w:vAlign w:val="bottom"/>
            <w:hideMark/>
          </w:tcPr>
          <w:p w14:paraId="2086FB72" w14:textId="77777777" w:rsidR="00802D3E" w:rsidRDefault="00802D3E">
            <w:pPr>
              <w:pStyle w:val="MeasureTableTextRightAligned"/>
            </w:pPr>
            <w:r>
              <w:t>490</w:t>
            </w:r>
          </w:p>
        </w:tc>
      </w:tr>
      <w:tr w:rsidR="00802D3E" w14:paraId="2086FB78" w14:textId="77777777" w:rsidTr="00802D3E">
        <w:trPr>
          <w:cantSplit/>
          <w:jc w:val="center"/>
        </w:trPr>
        <w:tc>
          <w:tcPr>
            <w:tcW w:w="1934" w:type="dxa"/>
            <w:gridSpan w:val="2"/>
            <w:tcBorders>
              <w:top w:val="single" w:sz="2" w:space="0" w:color="auto"/>
              <w:left w:val="nil"/>
              <w:bottom w:val="nil"/>
              <w:right w:val="nil"/>
            </w:tcBorders>
            <w:hideMark/>
          </w:tcPr>
          <w:p w14:paraId="2086FB7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B75"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B7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B77" w14:textId="77777777" w:rsidR="00802D3E" w:rsidRDefault="00802D3E">
            <w:pPr>
              <w:pStyle w:val="MeasureTableTextLeftAligned"/>
            </w:pPr>
            <w:r>
              <w:t>C9</w:t>
            </w:r>
          </w:p>
        </w:tc>
      </w:tr>
      <w:tr w:rsidR="00802D3E" w14:paraId="2086FB7D" w14:textId="77777777" w:rsidTr="00802D3E">
        <w:trPr>
          <w:cantSplit/>
          <w:jc w:val="center"/>
        </w:trPr>
        <w:tc>
          <w:tcPr>
            <w:tcW w:w="1934" w:type="dxa"/>
            <w:gridSpan w:val="2"/>
            <w:tcBorders>
              <w:top w:val="nil"/>
              <w:left w:val="nil"/>
              <w:bottom w:val="nil"/>
              <w:right w:val="nil"/>
            </w:tcBorders>
            <w:hideMark/>
          </w:tcPr>
          <w:p w14:paraId="2086FB7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B7A"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FB7B" w14:textId="77777777" w:rsidR="00802D3E" w:rsidRDefault="00802D3E">
            <w:pPr>
              <w:pStyle w:val="MeasureTableTextItalic"/>
            </w:pPr>
          </w:p>
        </w:tc>
        <w:tc>
          <w:tcPr>
            <w:tcW w:w="1124" w:type="dxa"/>
            <w:gridSpan w:val="2"/>
            <w:tcBorders>
              <w:top w:val="nil"/>
              <w:left w:val="nil"/>
              <w:bottom w:val="nil"/>
              <w:right w:val="nil"/>
            </w:tcBorders>
          </w:tcPr>
          <w:p w14:paraId="2086FB7C" w14:textId="77777777" w:rsidR="00802D3E" w:rsidRDefault="00802D3E">
            <w:pPr>
              <w:pStyle w:val="MeasureTableTextLeftAligned"/>
            </w:pPr>
          </w:p>
        </w:tc>
      </w:tr>
      <w:tr w:rsidR="00802D3E" w14:paraId="2086FB82" w14:textId="77777777" w:rsidTr="00802D3E">
        <w:trPr>
          <w:cantSplit/>
          <w:jc w:val="center"/>
        </w:trPr>
        <w:tc>
          <w:tcPr>
            <w:tcW w:w="1934" w:type="dxa"/>
            <w:gridSpan w:val="2"/>
            <w:tcBorders>
              <w:top w:val="nil"/>
              <w:left w:val="nil"/>
              <w:bottom w:val="nil"/>
              <w:right w:val="nil"/>
            </w:tcBorders>
            <w:hideMark/>
          </w:tcPr>
          <w:p w14:paraId="2086FB7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B7F" w14:textId="77777777" w:rsidR="00802D3E" w:rsidRDefault="00802D3E">
            <w:pPr>
              <w:pStyle w:val="MeasureTableTextLeftAligned"/>
            </w:pPr>
            <w:r>
              <w:t>1997</w:t>
            </w:r>
          </w:p>
        </w:tc>
        <w:tc>
          <w:tcPr>
            <w:tcW w:w="1500" w:type="dxa"/>
            <w:gridSpan w:val="2"/>
            <w:tcBorders>
              <w:top w:val="nil"/>
              <w:left w:val="nil"/>
              <w:bottom w:val="nil"/>
              <w:right w:val="nil"/>
            </w:tcBorders>
            <w:hideMark/>
          </w:tcPr>
          <w:p w14:paraId="2086FB80"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B81" w14:textId="77777777" w:rsidR="00802D3E" w:rsidRDefault="00802D3E">
            <w:pPr>
              <w:pStyle w:val="MeasureTableTextLeftAligned"/>
            </w:pPr>
          </w:p>
        </w:tc>
      </w:tr>
      <w:tr w:rsidR="00802D3E" w14:paraId="2086FB85" w14:textId="77777777" w:rsidTr="00802D3E">
        <w:trPr>
          <w:cantSplit/>
          <w:jc w:val="center"/>
        </w:trPr>
        <w:tc>
          <w:tcPr>
            <w:tcW w:w="1934" w:type="dxa"/>
            <w:gridSpan w:val="2"/>
            <w:tcBorders>
              <w:top w:val="nil"/>
              <w:left w:val="nil"/>
              <w:bottom w:val="single" w:sz="2" w:space="0" w:color="auto"/>
              <w:right w:val="nil"/>
            </w:tcBorders>
            <w:hideMark/>
          </w:tcPr>
          <w:p w14:paraId="2086FB8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B84" w14:textId="77777777" w:rsidR="00802D3E" w:rsidRPr="00482063" w:rsidRDefault="00802D3E" w:rsidP="00482063">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Subdivision 152-D </w:t>
            </w:r>
            <w:r w:rsidRPr="00482063">
              <w:rPr>
                <w:rFonts w:ascii="Arial" w:hAnsi="Arial" w:cs="Arial"/>
                <w:color w:val="000000"/>
                <w:sz w:val="16"/>
                <w:szCs w:val="16"/>
              </w:rPr>
              <w:t xml:space="preserve">of the </w:t>
            </w:r>
            <w:r w:rsidRPr="00482063">
              <w:rPr>
                <w:rFonts w:ascii="Arial" w:hAnsi="Arial" w:cs="Arial"/>
                <w:i/>
                <w:iCs/>
                <w:color w:val="000000"/>
                <w:sz w:val="16"/>
                <w:szCs w:val="16"/>
              </w:rPr>
              <w:t>Income Tax Assessment Act 1997</w:t>
            </w:r>
          </w:p>
        </w:tc>
      </w:tr>
    </w:tbl>
    <w:p w14:paraId="2086FB86" w14:textId="77777777" w:rsidR="00802D3E" w:rsidRDefault="00802D3E" w:rsidP="00A109BC">
      <w:pPr>
        <w:pStyle w:val="SingleParagraph"/>
      </w:pPr>
    </w:p>
    <w:p w14:paraId="2086FB87" w14:textId="77777777" w:rsidR="00802D3E" w:rsidRDefault="00802D3E" w:rsidP="00802D3E">
      <w:r>
        <w:t>Eligible small businesses can exclude capital gains arising from the sale of active small business assets</w:t>
      </w:r>
      <w:r>
        <w:fldChar w:fldCharType="begin"/>
      </w:r>
      <w:r>
        <w:instrText xml:space="preserve"> XE "Active small business assets" </w:instrText>
      </w:r>
      <w:r>
        <w:fldChar w:fldCharType="end"/>
      </w:r>
      <w:r>
        <w:t>, where the proceeds of the sale are used for retirement</w:t>
      </w:r>
      <w:r>
        <w:fldChar w:fldCharType="begin"/>
      </w:r>
      <w:r>
        <w:instrText xml:space="preserve"> XE "Retirement"</w:instrText>
      </w:r>
      <w:r>
        <w:fldChar w:fldCharType="end"/>
      </w:r>
      <w:r>
        <w:t xml:space="preserve">. There is a lifetime limit of $500,000 in respect of any one individual. </w:t>
      </w:r>
      <w:r>
        <w:fldChar w:fldCharType="begin"/>
      </w:r>
      <w:r>
        <w:instrText xml:space="preserve"> XE "Small business" </w:instrText>
      </w:r>
      <w:r>
        <w:fldChar w:fldCharType="end"/>
      </w:r>
      <w:r>
        <w:t xml:space="preserve"> </w:t>
      </w:r>
    </w:p>
    <w:p w14:paraId="2086FB88" w14:textId="77777777" w:rsidR="00802D3E" w:rsidRDefault="00802D3E" w:rsidP="00802D3E">
      <w:pPr>
        <w:pStyle w:val="TESHeading5"/>
        <w:ind w:left="0" w:firstLine="0"/>
      </w:pPr>
      <w:r>
        <w:t>C7</w:t>
      </w:r>
      <w:r>
        <w:tab/>
        <w:t>Superannuation measures for low-income earners</w:t>
      </w:r>
    </w:p>
    <w:p w14:paraId="2086FB89"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B92" w14:textId="77777777" w:rsidTr="00802D3E">
        <w:trPr>
          <w:cantSplit/>
          <w:jc w:val="center"/>
        </w:trPr>
        <w:tc>
          <w:tcPr>
            <w:tcW w:w="967" w:type="dxa"/>
            <w:tcBorders>
              <w:top w:val="single" w:sz="2" w:space="0" w:color="auto"/>
              <w:left w:val="nil"/>
              <w:bottom w:val="single" w:sz="2" w:space="0" w:color="auto"/>
              <w:right w:val="nil"/>
            </w:tcBorders>
            <w:hideMark/>
          </w:tcPr>
          <w:p w14:paraId="2086FB8A"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B8B"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B8C"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B8D"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B8E"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B8F"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B90"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B91" w14:textId="77777777" w:rsidR="00802D3E" w:rsidRDefault="00802D3E">
            <w:pPr>
              <w:pStyle w:val="MeasureTableTextRightAligned"/>
            </w:pPr>
            <w:r>
              <w:t>2019-20</w:t>
            </w:r>
          </w:p>
        </w:tc>
      </w:tr>
      <w:tr w:rsidR="00802D3E" w14:paraId="2086FB9B" w14:textId="77777777" w:rsidTr="00802D3E">
        <w:trPr>
          <w:cantSplit/>
          <w:jc w:val="center"/>
        </w:trPr>
        <w:tc>
          <w:tcPr>
            <w:tcW w:w="967" w:type="dxa"/>
            <w:tcBorders>
              <w:top w:val="single" w:sz="2" w:space="0" w:color="auto"/>
              <w:left w:val="nil"/>
              <w:bottom w:val="single" w:sz="2" w:space="0" w:color="auto"/>
              <w:right w:val="nil"/>
            </w:tcBorders>
            <w:hideMark/>
          </w:tcPr>
          <w:p w14:paraId="2086FB93" w14:textId="77777777" w:rsidR="00802D3E" w:rsidRDefault="00802D3E">
            <w:pPr>
              <w:pStyle w:val="MeasureTableTextRightAligned"/>
            </w:pPr>
            <w:r>
              <w:t>140</w:t>
            </w:r>
          </w:p>
        </w:tc>
        <w:tc>
          <w:tcPr>
            <w:tcW w:w="967" w:type="dxa"/>
            <w:tcBorders>
              <w:top w:val="single" w:sz="2" w:space="0" w:color="auto"/>
              <w:left w:val="nil"/>
              <w:bottom w:val="single" w:sz="2" w:space="0" w:color="auto"/>
              <w:right w:val="nil"/>
            </w:tcBorders>
            <w:hideMark/>
          </w:tcPr>
          <w:p w14:paraId="2086FB94" w14:textId="77777777" w:rsidR="00802D3E" w:rsidRDefault="00802D3E">
            <w:pPr>
              <w:pStyle w:val="MeasureTableTextRightAligned"/>
            </w:pPr>
            <w:r>
              <w:t>120</w:t>
            </w:r>
          </w:p>
        </w:tc>
        <w:tc>
          <w:tcPr>
            <w:tcW w:w="967" w:type="dxa"/>
            <w:tcBorders>
              <w:top w:val="single" w:sz="2" w:space="0" w:color="auto"/>
              <w:left w:val="nil"/>
              <w:bottom w:val="single" w:sz="2" w:space="0" w:color="auto"/>
              <w:right w:val="nil"/>
            </w:tcBorders>
            <w:vAlign w:val="bottom"/>
            <w:hideMark/>
          </w:tcPr>
          <w:p w14:paraId="2086FB95" w14:textId="77777777" w:rsidR="00802D3E" w:rsidRDefault="00802D3E">
            <w:pPr>
              <w:pStyle w:val="MeasureTableTextRightAligned"/>
            </w:pPr>
            <w:r>
              <w:t>200</w:t>
            </w:r>
          </w:p>
        </w:tc>
        <w:tc>
          <w:tcPr>
            <w:tcW w:w="967" w:type="dxa"/>
            <w:tcBorders>
              <w:top w:val="single" w:sz="2" w:space="0" w:color="auto"/>
              <w:left w:val="nil"/>
              <w:bottom w:val="single" w:sz="2" w:space="0" w:color="auto"/>
              <w:right w:val="nil"/>
            </w:tcBorders>
            <w:vAlign w:val="bottom"/>
            <w:hideMark/>
          </w:tcPr>
          <w:p w14:paraId="2086FB96" w14:textId="77777777" w:rsidR="00802D3E" w:rsidRDefault="00802D3E">
            <w:pPr>
              <w:pStyle w:val="MeasureTableTextRightAligned"/>
            </w:pPr>
            <w:r>
              <w:t>220</w:t>
            </w:r>
          </w:p>
        </w:tc>
        <w:tc>
          <w:tcPr>
            <w:tcW w:w="967" w:type="dxa"/>
            <w:tcBorders>
              <w:top w:val="single" w:sz="2" w:space="0" w:color="auto"/>
              <w:left w:val="nil"/>
              <w:bottom w:val="single" w:sz="2" w:space="0" w:color="auto"/>
              <w:right w:val="nil"/>
            </w:tcBorders>
            <w:vAlign w:val="bottom"/>
            <w:hideMark/>
          </w:tcPr>
          <w:p w14:paraId="2086FB97" w14:textId="77777777" w:rsidR="00802D3E" w:rsidRDefault="00802D3E">
            <w:pPr>
              <w:pStyle w:val="MeasureTableTextRightAligned"/>
            </w:pPr>
            <w:r>
              <w:t>210</w:t>
            </w:r>
          </w:p>
        </w:tc>
        <w:tc>
          <w:tcPr>
            <w:tcW w:w="967" w:type="dxa"/>
            <w:gridSpan w:val="2"/>
            <w:tcBorders>
              <w:top w:val="single" w:sz="2" w:space="0" w:color="auto"/>
              <w:left w:val="nil"/>
              <w:bottom w:val="single" w:sz="2" w:space="0" w:color="auto"/>
              <w:right w:val="nil"/>
            </w:tcBorders>
            <w:vAlign w:val="bottom"/>
            <w:hideMark/>
          </w:tcPr>
          <w:p w14:paraId="2086FB98" w14:textId="77777777" w:rsidR="00802D3E" w:rsidRDefault="00802D3E">
            <w:pPr>
              <w:pStyle w:val="MeasureTableTextRightAligned"/>
            </w:pPr>
            <w:r>
              <w:t>200</w:t>
            </w:r>
          </w:p>
        </w:tc>
        <w:tc>
          <w:tcPr>
            <w:tcW w:w="967" w:type="dxa"/>
            <w:gridSpan w:val="2"/>
            <w:tcBorders>
              <w:top w:val="single" w:sz="2" w:space="0" w:color="auto"/>
              <w:left w:val="nil"/>
              <w:bottom w:val="single" w:sz="2" w:space="0" w:color="auto"/>
              <w:right w:val="nil"/>
            </w:tcBorders>
            <w:vAlign w:val="bottom"/>
            <w:hideMark/>
          </w:tcPr>
          <w:p w14:paraId="2086FB99" w14:textId="77777777" w:rsidR="00802D3E" w:rsidRDefault="00802D3E">
            <w:pPr>
              <w:pStyle w:val="MeasureTableTextRightAligned"/>
            </w:pPr>
            <w:r>
              <w:t>200</w:t>
            </w:r>
          </w:p>
        </w:tc>
        <w:tc>
          <w:tcPr>
            <w:tcW w:w="968" w:type="dxa"/>
            <w:tcBorders>
              <w:top w:val="single" w:sz="2" w:space="0" w:color="auto"/>
              <w:left w:val="nil"/>
              <w:bottom w:val="single" w:sz="2" w:space="0" w:color="auto"/>
              <w:right w:val="nil"/>
            </w:tcBorders>
            <w:vAlign w:val="bottom"/>
            <w:hideMark/>
          </w:tcPr>
          <w:p w14:paraId="2086FB9A" w14:textId="77777777" w:rsidR="00802D3E" w:rsidRDefault="00802D3E">
            <w:pPr>
              <w:pStyle w:val="MeasureTableTextRightAligned"/>
            </w:pPr>
            <w:r>
              <w:t>210</w:t>
            </w:r>
          </w:p>
        </w:tc>
      </w:tr>
      <w:tr w:rsidR="00802D3E" w14:paraId="2086FBA0" w14:textId="77777777" w:rsidTr="00802D3E">
        <w:trPr>
          <w:cantSplit/>
          <w:jc w:val="center"/>
        </w:trPr>
        <w:tc>
          <w:tcPr>
            <w:tcW w:w="1934" w:type="dxa"/>
            <w:gridSpan w:val="2"/>
            <w:tcBorders>
              <w:top w:val="single" w:sz="2" w:space="0" w:color="auto"/>
              <w:left w:val="nil"/>
              <w:bottom w:val="nil"/>
              <w:right w:val="nil"/>
            </w:tcBorders>
            <w:hideMark/>
          </w:tcPr>
          <w:p w14:paraId="2086FB9C"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B9D" w14:textId="77777777" w:rsidR="00802D3E" w:rsidRDefault="00802D3E">
            <w:pPr>
              <w:pStyle w:val="MeasureTableTextLeftAligned"/>
            </w:pPr>
            <w:r>
              <w:t>Exemption, Reduction in taxable value</w:t>
            </w:r>
          </w:p>
        </w:tc>
        <w:tc>
          <w:tcPr>
            <w:tcW w:w="1500" w:type="dxa"/>
            <w:gridSpan w:val="2"/>
            <w:tcBorders>
              <w:top w:val="single" w:sz="2" w:space="0" w:color="auto"/>
              <w:left w:val="nil"/>
              <w:bottom w:val="nil"/>
              <w:right w:val="nil"/>
            </w:tcBorders>
            <w:hideMark/>
          </w:tcPr>
          <w:p w14:paraId="2086FB9E"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B9F" w14:textId="77777777" w:rsidR="00802D3E" w:rsidRDefault="00802D3E">
            <w:pPr>
              <w:pStyle w:val="MeasureTableTextLeftAligned"/>
            </w:pPr>
            <w:r>
              <w:t>C10</w:t>
            </w:r>
          </w:p>
        </w:tc>
      </w:tr>
      <w:tr w:rsidR="00802D3E" w14:paraId="2086FBA5" w14:textId="77777777" w:rsidTr="00802D3E">
        <w:trPr>
          <w:cantSplit/>
          <w:jc w:val="center"/>
        </w:trPr>
        <w:tc>
          <w:tcPr>
            <w:tcW w:w="1934" w:type="dxa"/>
            <w:gridSpan w:val="2"/>
            <w:tcBorders>
              <w:top w:val="nil"/>
              <w:left w:val="nil"/>
              <w:bottom w:val="nil"/>
              <w:right w:val="nil"/>
            </w:tcBorders>
            <w:hideMark/>
          </w:tcPr>
          <w:p w14:paraId="2086FBA1"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BA2"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FBA3" w14:textId="77777777" w:rsidR="00802D3E" w:rsidRDefault="00802D3E">
            <w:pPr>
              <w:pStyle w:val="MeasureTableTextItalic"/>
            </w:pPr>
          </w:p>
        </w:tc>
        <w:tc>
          <w:tcPr>
            <w:tcW w:w="1124" w:type="dxa"/>
            <w:gridSpan w:val="2"/>
            <w:tcBorders>
              <w:top w:val="nil"/>
              <w:left w:val="nil"/>
              <w:bottom w:val="nil"/>
              <w:right w:val="nil"/>
            </w:tcBorders>
          </w:tcPr>
          <w:p w14:paraId="2086FBA4" w14:textId="77777777" w:rsidR="00802D3E" w:rsidRDefault="00802D3E">
            <w:pPr>
              <w:pStyle w:val="MeasureTableTextLeftAligned"/>
            </w:pPr>
          </w:p>
        </w:tc>
      </w:tr>
      <w:tr w:rsidR="00C073FD" w14:paraId="2086FBAB" w14:textId="77777777" w:rsidTr="007128CF">
        <w:trPr>
          <w:cantSplit/>
          <w:jc w:val="center"/>
        </w:trPr>
        <w:tc>
          <w:tcPr>
            <w:tcW w:w="1934" w:type="dxa"/>
            <w:gridSpan w:val="2"/>
            <w:tcBorders>
              <w:top w:val="nil"/>
              <w:left w:val="nil"/>
              <w:bottom w:val="nil"/>
              <w:right w:val="nil"/>
            </w:tcBorders>
            <w:hideMark/>
          </w:tcPr>
          <w:p w14:paraId="2086FBA6" w14:textId="77777777" w:rsidR="00C073FD" w:rsidRDefault="00C073FD">
            <w:pPr>
              <w:pStyle w:val="MeasureTableTextItalic"/>
            </w:pPr>
            <w:r>
              <w:t>Commencement date:</w:t>
            </w:r>
          </w:p>
        </w:tc>
        <w:tc>
          <w:tcPr>
            <w:tcW w:w="3179" w:type="dxa"/>
            <w:gridSpan w:val="4"/>
            <w:tcBorders>
              <w:top w:val="nil"/>
              <w:left w:val="nil"/>
              <w:bottom w:val="nil"/>
              <w:right w:val="nil"/>
            </w:tcBorders>
          </w:tcPr>
          <w:p w14:paraId="2086FBA7" w14:textId="77777777" w:rsidR="00C073FD" w:rsidRDefault="00C073FD">
            <w:pPr>
              <w:pStyle w:val="MeasureTableTextLeftAligned"/>
            </w:pPr>
            <w:r>
              <w:t>Co-contribution introduced 1/7/2003.</w:t>
            </w:r>
          </w:p>
          <w:p w14:paraId="2086FBA8" w14:textId="77777777" w:rsidR="00C073FD" w:rsidRDefault="00C073FD">
            <w:pPr>
              <w:pStyle w:val="MeasureTableTextLeftAligned"/>
            </w:pPr>
            <w:r>
              <w:t>Low income superannuation contribution introduced 1/7/2012.</w:t>
            </w:r>
          </w:p>
          <w:p w14:paraId="2086FBA9" w14:textId="77777777" w:rsidR="00C073FD" w:rsidRDefault="00C073FD">
            <w:pPr>
              <w:pStyle w:val="MeasureTableTextLeftAligned"/>
            </w:pPr>
            <w:r>
              <w:t>Low income superannuation tax of</w:t>
            </w:r>
            <w:r w:rsidR="00482063">
              <w:t>fset to be introduced 1/7/2017.</w:t>
            </w:r>
          </w:p>
        </w:tc>
        <w:tc>
          <w:tcPr>
            <w:tcW w:w="2624" w:type="dxa"/>
            <w:gridSpan w:val="4"/>
            <w:tcBorders>
              <w:top w:val="nil"/>
              <w:left w:val="nil"/>
              <w:bottom w:val="nil"/>
              <w:right w:val="nil"/>
            </w:tcBorders>
            <w:hideMark/>
          </w:tcPr>
          <w:p w14:paraId="2086FBAA" w14:textId="77777777" w:rsidR="00C073FD" w:rsidRDefault="00C073FD" w:rsidP="00B32ADC">
            <w:pPr>
              <w:pStyle w:val="MeasureTableTextItalic"/>
            </w:pPr>
            <w:r>
              <w:t>Expiry date:</w:t>
            </w:r>
            <w:r w:rsidR="00B32ADC">
              <w:t xml:space="preserve"> </w:t>
            </w:r>
            <w:r w:rsidRPr="00B32ADC">
              <w:rPr>
                <w:i w:val="0"/>
              </w:rPr>
              <w:t>Low income superannuation contribution ends 30/6/2017.</w:t>
            </w:r>
            <w:r w:rsidR="00B32ADC">
              <w:rPr>
                <w:i w:val="0"/>
              </w:rPr>
              <w:t xml:space="preserve"> </w:t>
            </w:r>
            <w:r w:rsidRPr="00B32ADC">
              <w:rPr>
                <w:i w:val="0"/>
              </w:rPr>
              <w:t>Co-contribution is ongoing.</w:t>
            </w:r>
          </w:p>
        </w:tc>
      </w:tr>
      <w:tr w:rsidR="00802D3E" w14:paraId="2086FBAF" w14:textId="77777777" w:rsidTr="00802D3E">
        <w:trPr>
          <w:cantSplit/>
          <w:jc w:val="center"/>
        </w:trPr>
        <w:tc>
          <w:tcPr>
            <w:tcW w:w="1934" w:type="dxa"/>
            <w:gridSpan w:val="2"/>
            <w:tcBorders>
              <w:top w:val="nil"/>
              <w:left w:val="nil"/>
              <w:bottom w:val="single" w:sz="2" w:space="0" w:color="auto"/>
              <w:right w:val="nil"/>
            </w:tcBorders>
            <w:hideMark/>
          </w:tcPr>
          <w:p w14:paraId="2086FBA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BAD" w14:textId="0EF73FD2" w:rsidR="00802D3E" w:rsidRDefault="00802D3E" w:rsidP="00482063">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i/>
                <w:iCs/>
                <w:color w:val="000000"/>
                <w:sz w:val="16"/>
                <w:szCs w:val="16"/>
              </w:rPr>
              <w:t>Superannuation (Government Co-Contribution for Low Income Earners) Act</w:t>
            </w:r>
            <w:r w:rsidR="000B1D9D">
              <w:rPr>
                <w:rFonts w:ascii="Arial" w:hAnsi="Arial" w:cs="Arial"/>
                <w:i/>
                <w:iCs/>
                <w:color w:val="000000"/>
                <w:sz w:val="16"/>
                <w:szCs w:val="16"/>
              </w:rPr>
              <w:t> </w:t>
            </w:r>
            <w:r>
              <w:rPr>
                <w:rFonts w:ascii="Arial" w:hAnsi="Arial" w:cs="Arial"/>
                <w:i/>
                <w:iCs/>
                <w:color w:val="000000"/>
                <w:sz w:val="16"/>
                <w:szCs w:val="16"/>
              </w:rPr>
              <w:t>2003</w:t>
            </w:r>
          </w:p>
          <w:p w14:paraId="2086FBAE" w14:textId="77777777" w:rsidR="00802D3E" w:rsidRDefault="00802D3E" w:rsidP="00482063">
            <w:pPr>
              <w:widowControl w:val="0"/>
              <w:autoSpaceDE w:val="0"/>
              <w:autoSpaceDN w:val="0"/>
              <w:adjustRightInd w:val="0"/>
              <w:spacing w:after="0" w:line="240" w:lineRule="auto"/>
              <w:jc w:val="left"/>
            </w:pPr>
            <w:r>
              <w:rPr>
                <w:rFonts w:ascii="Arial" w:hAnsi="Arial" w:cs="Arial"/>
                <w:color w:val="000000"/>
                <w:sz w:val="16"/>
                <w:szCs w:val="16"/>
              </w:rPr>
              <w:t>Subdivision 290-D of the</w:t>
            </w:r>
            <w:r>
              <w:rPr>
                <w:rFonts w:ascii="Arial" w:hAnsi="Arial" w:cs="Arial"/>
                <w:i/>
                <w:iCs/>
                <w:color w:val="000000"/>
                <w:sz w:val="16"/>
                <w:szCs w:val="16"/>
              </w:rPr>
              <w:t xml:space="preserve"> Income Tax Assessment Act 1997</w:t>
            </w:r>
          </w:p>
        </w:tc>
      </w:tr>
    </w:tbl>
    <w:p w14:paraId="2086FBB0" w14:textId="77777777" w:rsidR="00802D3E" w:rsidRDefault="00802D3E" w:rsidP="00A109BC">
      <w:pPr>
        <w:pStyle w:val="SingleParagraph"/>
      </w:pPr>
    </w:p>
    <w:p w14:paraId="2086FBB1" w14:textId="5E40D688" w:rsidR="00802D3E" w:rsidRDefault="00802D3E" w:rsidP="00802D3E">
      <w:r>
        <w:t>The Superannuation Co</w:t>
      </w:r>
      <w:r>
        <w:noBreakHyphen/>
        <w:t>contribution</w:t>
      </w:r>
      <w:r>
        <w:fldChar w:fldCharType="begin"/>
      </w:r>
      <w:r>
        <w:instrText xml:space="preserve"> XE "Superannuation:Co-contribution" </w:instrText>
      </w:r>
      <w:r>
        <w:fldChar w:fldCharType="end"/>
      </w:r>
      <w:r>
        <w:t xml:space="preserve"> and the Low Income Superannuation Contribution are Government payments that increase the retirement savings of eligible low-income taxpayers. From 1 July 2017, the Government will introduce the Low Income Superannuation Tax Offset. The payments are expense payments and are not included in the TES. The amounts indicated represent the impact of these payments not being taxed. </w:t>
      </w:r>
    </w:p>
    <w:p w14:paraId="2086FBB2" w14:textId="672DDCA5" w:rsidR="00802D3E" w:rsidRDefault="0051476F" w:rsidP="00802D3E">
      <w:r>
        <w:fldChar w:fldCharType="begin"/>
      </w:r>
      <w:r>
        <w:instrText xml:space="preserve"> XE "Superannuation:Spouse contribution offset" </w:instrText>
      </w:r>
      <w:r>
        <w:fldChar w:fldCharType="end"/>
      </w:r>
      <w:r w:rsidR="00802D3E">
        <w:t>In addition, an 18 per cent tax offset is available for post</w:t>
      </w:r>
      <w:r w:rsidR="00802D3E">
        <w:rPr>
          <w:rFonts w:cs="Book Antiqua"/>
        </w:rPr>
        <w:noBreakHyphen/>
        <w:t xml:space="preserve">tax contributions to the superannuation account of a low income spouse. A maximum offset of $540 applies for </w:t>
      </w:r>
      <w:r w:rsidR="00802D3E">
        <w:rPr>
          <w:rFonts w:cs="Book Antiqua"/>
        </w:rPr>
        <w:lastRenderedPageBreak/>
        <w:t>a $3,000 contribution and is phased out once the spouse’s income exceeds $13,800.</w:t>
      </w:r>
      <w:r w:rsidR="00802D3E">
        <w:t xml:space="preserve"> </w:t>
      </w:r>
      <w:r w:rsidR="00802D3E">
        <w:rPr>
          <w:rFonts w:cs="Book Antiqua"/>
        </w:rPr>
        <w:t>From 1 July 2017, the spouse income threshold will increase to $40,000 and no tax offset will be available when the spouse receiving the contribution exceeds their non</w:t>
      </w:r>
      <w:r w:rsidR="00B32ADC">
        <w:rPr>
          <w:rFonts w:cs="Book Antiqua"/>
        </w:rPr>
        <w:noBreakHyphen/>
      </w:r>
      <w:r w:rsidR="00802D3E">
        <w:rPr>
          <w:rFonts w:cs="Book Antiqua"/>
        </w:rPr>
        <w:t>concessional contributions cap or their total superannuation balance equals or exceeds the general transfer balance cap.</w:t>
      </w:r>
      <w:bookmarkStart w:id="21" w:name="top"/>
      <w:bookmarkEnd w:id="21"/>
    </w:p>
    <w:p w14:paraId="2086FBB3" w14:textId="77777777" w:rsidR="00802D3E" w:rsidRDefault="00802D3E" w:rsidP="00802D3E">
      <w:pPr>
        <w:pStyle w:val="TESHeading5"/>
        <w:ind w:left="0" w:firstLine="0"/>
      </w:pPr>
      <w:r>
        <w:t>C8</w:t>
      </w:r>
      <w:r>
        <w:tab/>
        <w:t>Tax on excess non-concessional superannuation contributions</w:t>
      </w:r>
    </w:p>
    <w:p w14:paraId="2086FBB4"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BBD" w14:textId="77777777" w:rsidTr="00802D3E">
        <w:trPr>
          <w:cantSplit/>
          <w:jc w:val="center"/>
        </w:trPr>
        <w:tc>
          <w:tcPr>
            <w:tcW w:w="967" w:type="dxa"/>
            <w:tcBorders>
              <w:top w:val="single" w:sz="2" w:space="0" w:color="auto"/>
              <w:left w:val="nil"/>
              <w:bottom w:val="single" w:sz="2" w:space="0" w:color="auto"/>
              <w:right w:val="nil"/>
            </w:tcBorders>
            <w:hideMark/>
          </w:tcPr>
          <w:p w14:paraId="2086FBB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BB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BB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BB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BB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BB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BB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BBC" w14:textId="77777777" w:rsidR="00802D3E" w:rsidRDefault="00802D3E">
            <w:pPr>
              <w:pStyle w:val="MeasureTableTextRightAligned"/>
            </w:pPr>
            <w:r>
              <w:t>2019-20</w:t>
            </w:r>
          </w:p>
        </w:tc>
      </w:tr>
      <w:tr w:rsidR="00802D3E" w14:paraId="2086FBC6" w14:textId="77777777" w:rsidTr="00802D3E">
        <w:trPr>
          <w:cantSplit/>
          <w:jc w:val="center"/>
        </w:trPr>
        <w:tc>
          <w:tcPr>
            <w:tcW w:w="967" w:type="dxa"/>
            <w:tcBorders>
              <w:top w:val="single" w:sz="2" w:space="0" w:color="auto"/>
              <w:left w:val="nil"/>
              <w:bottom w:val="single" w:sz="2" w:space="0" w:color="auto"/>
              <w:right w:val="nil"/>
            </w:tcBorders>
            <w:hideMark/>
          </w:tcPr>
          <w:p w14:paraId="2086FBBE" w14:textId="77777777" w:rsidR="00802D3E" w:rsidRDefault="00802D3E">
            <w:pPr>
              <w:pStyle w:val="MeasureTableTextRightAligned"/>
            </w:pPr>
            <w:r>
              <w:t>-23</w:t>
            </w:r>
          </w:p>
        </w:tc>
        <w:tc>
          <w:tcPr>
            <w:tcW w:w="967" w:type="dxa"/>
            <w:tcBorders>
              <w:top w:val="single" w:sz="2" w:space="0" w:color="auto"/>
              <w:left w:val="nil"/>
              <w:bottom w:val="single" w:sz="2" w:space="0" w:color="auto"/>
              <w:right w:val="nil"/>
            </w:tcBorders>
            <w:hideMark/>
          </w:tcPr>
          <w:p w14:paraId="2086FBBF" w14:textId="77777777" w:rsidR="00802D3E" w:rsidRDefault="00802D3E">
            <w:pPr>
              <w:pStyle w:val="MeasureTableTextRightAligned"/>
            </w:pPr>
            <w:r>
              <w:t>-34</w:t>
            </w:r>
          </w:p>
        </w:tc>
        <w:tc>
          <w:tcPr>
            <w:tcW w:w="967" w:type="dxa"/>
            <w:tcBorders>
              <w:top w:val="single" w:sz="2" w:space="0" w:color="auto"/>
              <w:left w:val="nil"/>
              <w:bottom w:val="single" w:sz="2" w:space="0" w:color="auto"/>
              <w:right w:val="nil"/>
            </w:tcBorders>
            <w:vAlign w:val="bottom"/>
            <w:hideMark/>
          </w:tcPr>
          <w:p w14:paraId="2086FBC0" w14:textId="77777777" w:rsidR="00802D3E" w:rsidRDefault="00802D3E">
            <w:pPr>
              <w:pStyle w:val="MeasureTableTextRightAligned"/>
            </w:pPr>
            <w:r>
              <w:t>-30</w:t>
            </w:r>
          </w:p>
        </w:tc>
        <w:tc>
          <w:tcPr>
            <w:tcW w:w="967" w:type="dxa"/>
            <w:tcBorders>
              <w:top w:val="single" w:sz="2" w:space="0" w:color="auto"/>
              <w:left w:val="nil"/>
              <w:bottom w:val="single" w:sz="2" w:space="0" w:color="auto"/>
              <w:right w:val="nil"/>
            </w:tcBorders>
            <w:vAlign w:val="bottom"/>
            <w:hideMark/>
          </w:tcPr>
          <w:p w14:paraId="2086FBC1" w14:textId="77777777" w:rsidR="00802D3E" w:rsidRDefault="00802D3E">
            <w:pPr>
              <w:pStyle w:val="MeasureTableTextRightAligned"/>
            </w:pPr>
            <w:r>
              <w:t>-8</w:t>
            </w:r>
          </w:p>
        </w:tc>
        <w:tc>
          <w:tcPr>
            <w:tcW w:w="967" w:type="dxa"/>
            <w:tcBorders>
              <w:top w:val="single" w:sz="2" w:space="0" w:color="auto"/>
              <w:left w:val="nil"/>
              <w:bottom w:val="single" w:sz="2" w:space="0" w:color="auto"/>
              <w:right w:val="nil"/>
            </w:tcBorders>
            <w:vAlign w:val="bottom"/>
            <w:hideMark/>
          </w:tcPr>
          <w:p w14:paraId="2086FBC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BC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BC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BC5" w14:textId="77777777" w:rsidR="00802D3E" w:rsidRDefault="00802D3E">
            <w:pPr>
              <w:pStyle w:val="MeasureTableTextRightAligned"/>
            </w:pPr>
            <w:r>
              <w:t>*</w:t>
            </w:r>
          </w:p>
        </w:tc>
      </w:tr>
      <w:tr w:rsidR="00802D3E" w14:paraId="2086FBCB" w14:textId="77777777" w:rsidTr="00802D3E">
        <w:trPr>
          <w:cantSplit/>
          <w:jc w:val="center"/>
        </w:trPr>
        <w:tc>
          <w:tcPr>
            <w:tcW w:w="1934" w:type="dxa"/>
            <w:gridSpan w:val="2"/>
            <w:tcBorders>
              <w:top w:val="single" w:sz="2" w:space="0" w:color="auto"/>
              <w:left w:val="nil"/>
              <w:bottom w:val="nil"/>
              <w:right w:val="nil"/>
            </w:tcBorders>
            <w:hideMark/>
          </w:tcPr>
          <w:p w14:paraId="2086FBC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BC8" w14:textId="77777777" w:rsidR="00802D3E" w:rsidRDefault="00802D3E">
            <w:pPr>
              <w:pStyle w:val="MeasureTableTextLeftAligned"/>
            </w:pPr>
            <w:r>
              <w:t>Exemption, Reduction in taxable value</w:t>
            </w:r>
          </w:p>
        </w:tc>
        <w:tc>
          <w:tcPr>
            <w:tcW w:w="1500" w:type="dxa"/>
            <w:gridSpan w:val="2"/>
            <w:tcBorders>
              <w:top w:val="single" w:sz="2" w:space="0" w:color="auto"/>
              <w:left w:val="nil"/>
              <w:bottom w:val="nil"/>
              <w:right w:val="nil"/>
            </w:tcBorders>
            <w:hideMark/>
          </w:tcPr>
          <w:p w14:paraId="2086FBC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BCA" w14:textId="77777777" w:rsidR="00802D3E" w:rsidRDefault="00802D3E">
            <w:pPr>
              <w:pStyle w:val="MeasureTableTextLeftAligned"/>
            </w:pPr>
            <w:r>
              <w:t>C11</w:t>
            </w:r>
          </w:p>
        </w:tc>
      </w:tr>
      <w:tr w:rsidR="00802D3E" w14:paraId="2086FBD0" w14:textId="77777777" w:rsidTr="00802D3E">
        <w:trPr>
          <w:cantSplit/>
          <w:jc w:val="center"/>
        </w:trPr>
        <w:tc>
          <w:tcPr>
            <w:tcW w:w="1934" w:type="dxa"/>
            <w:gridSpan w:val="2"/>
            <w:tcBorders>
              <w:top w:val="nil"/>
              <w:left w:val="nil"/>
              <w:bottom w:val="nil"/>
              <w:right w:val="nil"/>
            </w:tcBorders>
            <w:hideMark/>
          </w:tcPr>
          <w:p w14:paraId="2086FBC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BCD" w14:textId="77777777" w:rsidR="00802D3E" w:rsidRDefault="00802D3E">
            <w:pPr>
              <w:pStyle w:val="MeasureTableTextLeftAligned"/>
            </w:pPr>
            <w:r>
              <w:t>Medium</w:t>
            </w:r>
          </w:p>
        </w:tc>
        <w:tc>
          <w:tcPr>
            <w:tcW w:w="1500" w:type="dxa"/>
            <w:gridSpan w:val="2"/>
            <w:tcBorders>
              <w:top w:val="nil"/>
              <w:left w:val="nil"/>
              <w:bottom w:val="nil"/>
              <w:right w:val="nil"/>
            </w:tcBorders>
            <w:hideMark/>
          </w:tcPr>
          <w:p w14:paraId="2086FBC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BCF" w14:textId="77777777" w:rsidR="00802D3E" w:rsidRDefault="00802D3E">
            <w:pPr>
              <w:pStyle w:val="MeasureTableTextLeftAligned"/>
            </w:pPr>
            <w:r>
              <w:t>2-</w:t>
            </w:r>
          </w:p>
        </w:tc>
      </w:tr>
      <w:tr w:rsidR="00802D3E" w14:paraId="2086FBD5" w14:textId="77777777" w:rsidTr="00802D3E">
        <w:trPr>
          <w:cantSplit/>
          <w:jc w:val="center"/>
        </w:trPr>
        <w:tc>
          <w:tcPr>
            <w:tcW w:w="1934" w:type="dxa"/>
            <w:gridSpan w:val="2"/>
            <w:tcBorders>
              <w:top w:val="nil"/>
              <w:left w:val="nil"/>
              <w:bottom w:val="nil"/>
              <w:right w:val="nil"/>
            </w:tcBorders>
            <w:hideMark/>
          </w:tcPr>
          <w:p w14:paraId="2086FBD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BD2" w14:textId="33A82904" w:rsidR="00802D3E" w:rsidRDefault="009506A6" w:rsidP="000B1D9D">
            <w:pPr>
              <w:pStyle w:val="MeasureTableTextLeftAligned"/>
            </w:pPr>
            <w:r w:rsidRPr="009506A6">
              <w:t>2006. Excess contributions made after 1</w:t>
            </w:r>
            <w:r w:rsidR="000B1D9D">
              <w:t> July </w:t>
            </w:r>
            <w:r w:rsidRPr="009506A6">
              <w:t>2013 can be withdrawn</w:t>
            </w:r>
            <w:r w:rsidR="00802D3E">
              <w:t>.</w:t>
            </w:r>
          </w:p>
        </w:tc>
        <w:tc>
          <w:tcPr>
            <w:tcW w:w="1500" w:type="dxa"/>
            <w:gridSpan w:val="2"/>
            <w:tcBorders>
              <w:top w:val="nil"/>
              <w:left w:val="nil"/>
              <w:bottom w:val="nil"/>
              <w:right w:val="nil"/>
            </w:tcBorders>
            <w:hideMark/>
          </w:tcPr>
          <w:p w14:paraId="2086FBD3"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BD4" w14:textId="77777777" w:rsidR="00802D3E" w:rsidRDefault="00802D3E">
            <w:pPr>
              <w:pStyle w:val="MeasureTableTextLeftAligned"/>
            </w:pPr>
          </w:p>
        </w:tc>
      </w:tr>
      <w:tr w:rsidR="00802D3E" w14:paraId="2086FBD9" w14:textId="77777777" w:rsidTr="00802D3E">
        <w:trPr>
          <w:cantSplit/>
          <w:jc w:val="center"/>
        </w:trPr>
        <w:tc>
          <w:tcPr>
            <w:tcW w:w="1934" w:type="dxa"/>
            <w:gridSpan w:val="2"/>
            <w:tcBorders>
              <w:top w:val="nil"/>
              <w:left w:val="nil"/>
              <w:bottom w:val="single" w:sz="2" w:space="0" w:color="auto"/>
              <w:right w:val="nil"/>
            </w:tcBorders>
            <w:hideMark/>
          </w:tcPr>
          <w:p w14:paraId="2086FBD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BD7" w14:textId="77777777" w:rsidR="00802D3E" w:rsidRPr="00482063" w:rsidRDefault="00802D3E" w:rsidP="00482063">
            <w:pPr>
              <w:widowControl w:val="0"/>
              <w:autoSpaceDE w:val="0"/>
              <w:autoSpaceDN w:val="0"/>
              <w:adjustRightInd w:val="0"/>
              <w:spacing w:after="0" w:line="240" w:lineRule="auto"/>
              <w:jc w:val="left"/>
              <w:rPr>
                <w:rFonts w:ascii="Arial" w:hAnsi="Arial" w:cs="Arial"/>
                <w:i/>
                <w:iCs/>
                <w:color w:val="000000"/>
                <w:sz w:val="16"/>
                <w:szCs w:val="16"/>
              </w:rPr>
            </w:pPr>
            <w:r w:rsidRPr="00482063">
              <w:rPr>
                <w:rFonts w:ascii="Arial" w:hAnsi="Arial" w:cs="Arial"/>
                <w:sz w:val="16"/>
                <w:szCs w:val="16"/>
              </w:rPr>
              <w:t xml:space="preserve">Division 292 of the </w:t>
            </w:r>
            <w:r w:rsidRPr="00482063">
              <w:rPr>
                <w:rFonts w:ascii="Arial" w:hAnsi="Arial" w:cs="Arial"/>
                <w:i/>
                <w:iCs/>
                <w:color w:val="000000"/>
                <w:sz w:val="16"/>
                <w:szCs w:val="16"/>
              </w:rPr>
              <w:t>Income Tax (Transitional Provisions) Act 1997</w:t>
            </w:r>
            <w:r w:rsidRPr="00482063">
              <w:rPr>
                <w:rFonts w:ascii="Arial" w:hAnsi="Arial" w:cs="Arial"/>
                <w:i/>
                <w:iCs/>
                <w:color w:val="000000"/>
                <w:sz w:val="16"/>
                <w:szCs w:val="16"/>
              </w:rPr>
              <w:br/>
            </w:r>
            <w:r w:rsidRPr="00482063">
              <w:rPr>
                <w:rFonts w:ascii="Arial" w:hAnsi="Arial" w:cs="Arial"/>
                <w:sz w:val="16"/>
                <w:szCs w:val="16"/>
              </w:rPr>
              <w:t>Division 292</w:t>
            </w:r>
            <w:r w:rsidRPr="00482063">
              <w:rPr>
                <w:rFonts w:ascii="Arial" w:hAnsi="Arial" w:cs="Arial"/>
                <w:i/>
                <w:iCs/>
                <w:color w:val="000000"/>
                <w:sz w:val="16"/>
                <w:szCs w:val="16"/>
              </w:rPr>
              <w:t xml:space="preserve"> </w:t>
            </w:r>
            <w:r w:rsidRPr="00482063">
              <w:rPr>
                <w:rFonts w:ascii="Arial" w:hAnsi="Arial" w:cs="Arial"/>
                <w:color w:val="000000"/>
                <w:sz w:val="16"/>
                <w:szCs w:val="16"/>
              </w:rPr>
              <w:t xml:space="preserve">of the </w:t>
            </w:r>
            <w:r w:rsidRPr="00482063">
              <w:rPr>
                <w:rFonts w:ascii="Arial" w:hAnsi="Arial" w:cs="Arial"/>
                <w:i/>
                <w:iCs/>
                <w:color w:val="000000"/>
                <w:sz w:val="16"/>
                <w:szCs w:val="16"/>
              </w:rPr>
              <w:t>Income Tax Assessment Act 1997</w:t>
            </w:r>
          </w:p>
          <w:p w14:paraId="2086FBD8" w14:textId="77777777" w:rsidR="00802D3E" w:rsidRDefault="00802D3E" w:rsidP="00482063">
            <w:pPr>
              <w:widowControl w:val="0"/>
              <w:autoSpaceDE w:val="0"/>
              <w:autoSpaceDN w:val="0"/>
              <w:adjustRightInd w:val="0"/>
              <w:spacing w:after="0" w:line="240" w:lineRule="auto"/>
              <w:jc w:val="left"/>
            </w:pPr>
            <w:r w:rsidRPr="00482063">
              <w:rPr>
                <w:rFonts w:ascii="Arial" w:hAnsi="Arial" w:cs="Arial"/>
                <w:i/>
                <w:iCs/>
                <w:color w:val="000000"/>
                <w:sz w:val="16"/>
                <w:szCs w:val="16"/>
              </w:rPr>
              <w:t>Superannuation (Excess Non-Concessional Contributions Tax) Act 2007</w:t>
            </w:r>
          </w:p>
        </w:tc>
      </w:tr>
    </w:tbl>
    <w:p w14:paraId="2086FBDA" w14:textId="77777777" w:rsidR="00802D3E" w:rsidRDefault="00802D3E" w:rsidP="00A109BC">
      <w:pPr>
        <w:pStyle w:val="SingleParagraph"/>
      </w:pPr>
    </w:p>
    <w:p w14:paraId="2086FBDB" w14:textId="0E8F67A4" w:rsidR="00802D3E" w:rsidRDefault="00802D3E" w:rsidP="00802D3E">
      <w:r>
        <w:t>Contributions above the non</w:t>
      </w:r>
      <w:r>
        <w:noBreakHyphen/>
        <w:t xml:space="preserve">concessional caps or, from 1 July 2017, non-concessional contributions made by individuals with a total superannuation balance of $1.6 million or more may be subject to the excess contributions tax levied at 49 per cent (the top marginal tax rate, including the Medicare levy and </w:t>
      </w:r>
      <w:r w:rsidR="000D700A">
        <w:t xml:space="preserve">temporary budget repair levy). </w:t>
      </w:r>
      <w:r>
        <w:t>Non</w:t>
      </w:r>
      <w:r>
        <w:noBreakHyphen/>
        <w:t>concessional contributions above the non</w:t>
      </w:r>
      <w:r>
        <w:noBreakHyphen/>
        <w:t xml:space="preserve">concessional cap can be withdrawn, in which case, they are not subject to the excess contributions tax. </w:t>
      </w:r>
      <w:r>
        <w:fldChar w:fldCharType="begin"/>
      </w:r>
      <w:r>
        <w:instrText xml:space="preserve"> XE "Superannuation:Non-concessional contributions" </w:instrText>
      </w:r>
      <w:r>
        <w:fldChar w:fldCharType="end"/>
      </w:r>
    </w:p>
    <w:p w14:paraId="2086FBDC" w14:textId="77777777" w:rsidR="00802D3E" w:rsidRDefault="00802D3E" w:rsidP="00802D3E">
      <w:pPr>
        <w:pStyle w:val="TESHeading5"/>
        <w:ind w:left="0" w:firstLine="0"/>
      </w:pPr>
      <w:r>
        <w:t>C9</w:t>
      </w:r>
      <w:r>
        <w:tab/>
        <w:t>Tax on funded superannuation income streams</w:t>
      </w:r>
    </w:p>
    <w:p w14:paraId="2086FBDD"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BE6" w14:textId="77777777" w:rsidTr="00802D3E">
        <w:trPr>
          <w:cantSplit/>
          <w:jc w:val="center"/>
        </w:trPr>
        <w:tc>
          <w:tcPr>
            <w:tcW w:w="967" w:type="dxa"/>
            <w:tcBorders>
              <w:top w:val="single" w:sz="2" w:space="0" w:color="auto"/>
              <w:left w:val="nil"/>
              <w:bottom w:val="single" w:sz="2" w:space="0" w:color="auto"/>
              <w:right w:val="nil"/>
            </w:tcBorders>
            <w:hideMark/>
          </w:tcPr>
          <w:p w14:paraId="2086FBDE"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BDF"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BE0"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BE1"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BE2"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BE3"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BE4"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BE5" w14:textId="77777777" w:rsidR="00802D3E" w:rsidRDefault="00802D3E">
            <w:pPr>
              <w:pStyle w:val="MeasureTableTextRightAligned"/>
            </w:pPr>
            <w:r>
              <w:t>2019-20</w:t>
            </w:r>
          </w:p>
        </w:tc>
      </w:tr>
      <w:tr w:rsidR="00802D3E" w14:paraId="2086FBEF" w14:textId="77777777" w:rsidTr="00802D3E">
        <w:trPr>
          <w:cantSplit/>
          <w:jc w:val="center"/>
        </w:trPr>
        <w:tc>
          <w:tcPr>
            <w:tcW w:w="967" w:type="dxa"/>
            <w:tcBorders>
              <w:top w:val="single" w:sz="2" w:space="0" w:color="auto"/>
              <w:left w:val="nil"/>
              <w:bottom w:val="single" w:sz="2" w:space="0" w:color="auto"/>
              <w:right w:val="nil"/>
            </w:tcBorders>
            <w:hideMark/>
          </w:tcPr>
          <w:p w14:paraId="2086FBE7" w14:textId="77777777" w:rsidR="00802D3E" w:rsidRDefault="00802D3E">
            <w:pPr>
              <w:pStyle w:val="MeasureTableTextRightAligned"/>
            </w:pPr>
            <w:r>
              <w:t>-290</w:t>
            </w:r>
          </w:p>
        </w:tc>
        <w:tc>
          <w:tcPr>
            <w:tcW w:w="967" w:type="dxa"/>
            <w:tcBorders>
              <w:top w:val="single" w:sz="2" w:space="0" w:color="auto"/>
              <w:left w:val="nil"/>
              <w:bottom w:val="single" w:sz="2" w:space="0" w:color="auto"/>
              <w:right w:val="nil"/>
            </w:tcBorders>
            <w:hideMark/>
          </w:tcPr>
          <w:p w14:paraId="2086FBE8" w14:textId="77777777" w:rsidR="00802D3E" w:rsidRDefault="00802D3E">
            <w:pPr>
              <w:pStyle w:val="MeasureTableTextRightAligned"/>
            </w:pPr>
            <w:r>
              <w:t>-330</w:t>
            </w:r>
          </w:p>
        </w:tc>
        <w:tc>
          <w:tcPr>
            <w:tcW w:w="967" w:type="dxa"/>
            <w:tcBorders>
              <w:top w:val="single" w:sz="2" w:space="0" w:color="auto"/>
              <w:left w:val="nil"/>
              <w:bottom w:val="single" w:sz="2" w:space="0" w:color="auto"/>
              <w:right w:val="nil"/>
            </w:tcBorders>
            <w:vAlign w:val="bottom"/>
            <w:hideMark/>
          </w:tcPr>
          <w:p w14:paraId="2086FBE9" w14:textId="77777777" w:rsidR="00802D3E" w:rsidRDefault="00802D3E">
            <w:pPr>
              <w:pStyle w:val="MeasureTableTextRightAligned"/>
            </w:pPr>
            <w:r>
              <w:t>-360</w:t>
            </w:r>
          </w:p>
        </w:tc>
        <w:tc>
          <w:tcPr>
            <w:tcW w:w="967" w:type="dxa"/>
            <w:tcBorders>
              <w:top w:val="single" w:sz="2" w:space="0" w:color="auto"/>
              <w:left w:val="nil"/>
              <w:bottom w:val="single" w:sz="2" w:space="0" w:color="auto"/>
              <w:right w:val="nil"/>
            </w:tcBorders>
            <w:vAlign w:val="bottom"/>
            <w:hideMark/>
          </w:tcPr>
          <w:p w14:paraId="2086FBEA" w14:textId="77777777" w:rsidR="00802D3E" w:rsidRDefault="00802D3E">
            <w:pPr>
              <w:pStyle w:val="MeasureTableTextRightAligned"/>
            </w:pPr>
            <w:r>
              <w:t>-360</w:t>
            </w:r>
          </w:p>
        </w:tc>
        <w:tc>
          <w:tcPr>
            <w:tcW w:w="967" w:type="dxa"/>
            <w:tcBorders>
              <w:top w:val="single" w:sz="2" w:space="0" w:color="auto"/>
              <w:left w:val="nil"/>
              <w:bottom w:val="single" w:sz="2" w:space="0" w:color="auto"/>
              <w:right w:val="nil"/>
            </w:tcBorders>
            <w:vAlign w:val="bottom"/>
            <w:hideMark/>
          </w:tcPr>
          <w:p w14:paraId="2086FBEB" w14:textId="77777777" w:rsidR="00802D3E" w:rsidRDefault="00802D3E">
            <w:pPr>
              <w:pStyle w:val="MeasureTableTextRightAligned"/>
            </w:pPr>
            <w:r>
              <w:t>-370</w:t>
            </w:r>
          </w:p>
        </w:tc>
        <w:tc>
          <w:tcPr>
            <w:tcW w:w="967" w:type="dxa"/>
            <w:gridSpan w:val="2"/>
            <w:tcBorders>
              <w:top w:val="single" w:sz="2" w:space="0" w:color="auto"/>
              <w:left w:val="nil"/>
              <w:bottom w:val="single" w:sz="2" w:space="0" w:color="auto"/>
              <w:right w:val="nil"/>
            </w:tcBorders>
            <w:vAlign w:val="bottom"/>
            <w:hideMark/>
          </w:tcPr>
          <w:p w14:paraId="2086FBEC" w14:textId="77777777" w:rsidR="00802D3E" w:rsidRDefault="00802D3E">
            <w:pPr>
              <w:pStyle w:val="MeasureTableTextRightAligned"/>
            </w:pPr>
            <w:r>
              <w:t>-350</w:t>
            </w:r>
          </w:p>
        </w:tc>
        <w:tc>
          <w:tcPr>
            <w:tcW w:w="967" w:type="dxa"/>
            <w:gridSpan w:val="2"/>
            <w:tcBorders>
              <w:top w:val="single" w:sz="2" w:space="0" w:color="auto"/>
              <w:left w:val="nil"/>
              <w:bottom w:val="single" w:sz="2" w:space="0" w:color="auto"/>
              <w:right w:val="nil"/>
            </w:tcBorders>
            <w:vAlign w:val="bottom"/>
            <w:hideMark/>
          </w:tcPr>
          <w:p w14:paraId="2086FBED" w14:textId="77777777" w:rsidR="00802D3E" w:rsidRDefault="00802D3E">
            <w:pPr>
              <w:pStyle w:val="MeasureTableTextRightAligned"/>
            </w:pPr>
            <w:r>
              <w:t>-360</w:t>
            </w:r>
          </w:p>
        </w:tc>
        <w:tc>
          <w:tcPr>
            <w:tcW w:w="968" w:type="dxa"/>
            <w:tcBorders>
              <w:top w:val="single" w:sz="2" w:space="0" w:color="auto"/>
              <w:left w:val="nil"/>
              <w:bottom w:val="single" w:sz="2" w:space="0" w:color="auto"/>
              <w:right w:val="nil"/>
            </w:tcBorders>
            <w:vAlign w:val="bottom"/>
            <w:hideMark/>
          </w:tcPr>
          <w:p w14:paraId="2086FBEE" w14:textId="77777777" w:rsidR="00802D3E" w:rsidRDefault="00802D3E">
            <w:pPr>
              <w:pStyle w:val="MeasureTableTextRightAligned"/>
            </w:pPr>
            <w:r>
              <w:t>-330</w:t>
            </w:r>
          </w:p>
        </w:tc>
      </w:tr>
      <w:tr w:rsidR="00802D3E" w14:paraId="2086FBF4" w14:textId="77777777" w:rsidTr="00802D3E">
        <w:trPr>
          <w:cantSplit/>
          <w:jc w:val="center"/>
        </w:trPr>
        <w:tc>
          <w:tcPr>
            <w:tcW w:w="1934" w:type="dxa"/>
            <w:gridSpan w:val="2"/>
            <w:tcBorders>
              <w:top w:val="single" w:sz="2" w:space="0" w:color="auto"/>
              <w:left w:val="nil"/>
              <w:bottom w:val="nil"/>
              <w:right w:val="nil"/>
            </w:tcBorders>
            <w:hideMark/>
          </w:tcPr>
          <w:p w14:paraId="2086FBF0"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BF1" w14:textId="77777777" w:rsidR="00802D3E" w:rsidRDefault="00802D3E">
            <w:pPr>
              <w:pStyle w:val="MeasureTableTextLeftAligned"/>
            </w:pPr>
            <w:r>
              <w:t>Increased rate</w:t>
            </w:r>
          </w:p>
        </w:tc>
        <w:tc>
          <w:tcPr>
            <w:tcW w:w="1500" w:type="dxa"/>
            <w:gridSpan w:val="2"/>
            <w:tcBorders>
              <w:top w:val="single" w:sz="2" w:space="0" w:color="auto"/>
              <w:left w:val="nil"/>
              <w:bottom w:val="nil"/>
              <w:right w:val="nil"/>
            </w:tcBorders>
            <w:hideMark/>
          </w:tcPr>
          <w:p w14:paraId="2086FBF2"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BF3" w14:textId="77777777" w:rsidR="00802D3E" w:rsidRDefault="00802D3E">
            <w:pPr>
              <w:pStyle w:val="MeasureTableTextLeftAligned"/>
            </w:pPr>
            <w:r>
              <w:t>C12</w:t>
            </w:r>
          </w:p>
        </w:tc>
      </w:tr>
      <w:tr w:rsidR="00802D3E" w14:paraId="2086FBF9" w14:textId="77777777" w:rsidTr="00802D3E">
        <w:trPr>
          <w:cantSplit/>
          <w:jc w:val="center"/>
        </w:trPr>
        <w:tc>
          <w:tcPr>
            <w:tcW w:w="1934" w:type="dxa"/>
            <w:gridSpan w:val="2"/>
            <w:tcBorders>
              <w:top w:val="nil"/>
              <w:left w:val="nil"/>
              <w:bottom w:val="nil"/>
              <w:right w:val="nil"/>
            </w:tcBorders>
            <w:hideMark/>
          </w:tcPr>
          <w:p w14:paraId="2086FBF5"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BF6"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BF7" w14:textId="77777777" w:rsidR="00802D3E" w:rsidRDefault="00802D3E">
            <w:pPr>
              <w:pStyle w:val="MeasureTableTextItalic"/>
            </w:pPr>
          </w:p>
        </w:tc>
        <w:tc>
          <w:tcPr>
            <w:tcW w:w="1124" w:type="dxa"/>
            <w:gridSpan w:val="2"/>
            <w:tcBorders>
              <w:top w:val="nil"/>
              <w:left w:val="nil"/>
              <w:bottom w:val="nil"/>
              <w:right w:val="nil"/>
            </w:tcBorders>
          </w:tcPr>
          <w:p w14:paraId="2086FBF8" w14:textId="77777777" w:rsidR="00802D3E" w:rsidRDefault="00802D3E">
            <w:pPr>
              <w:pStyle w:val="MeasureTableTextLeftAligned"/>
            </w:pPr>
          </w:p>
        </w:tc>
      </w:tr>
      <w:tr w:rsidR="00802D3E" w14:paraId="2086FBFE" w14:textId="77777777" w:rsidTr="00802D3E">
        <w:trPr>
          <w:cantSplit/>
          <w:jc w:val="center"/>
        </w:trPr>
        <w:tc>
          <w:tcPr>
            <w:tcW w:w="1934" w:type="dxa"/>
            <w:gridSpan w:val="2"/>
            <w:tcBorders>
              <w:top w:val="nil"/>
              <w:left w:val="nil"/>
              <w:bottom w:val="nil"/>
              <w:right w:val="nil"/>
            </w:tcBorders>
            <w:hideMark/>
          </w:tcPr>
          <w:p w14:paraId="2086FBFA"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BFB"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FBFC"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BFD" w14:textId="77777777" w:rsidR="00802D3E" w:rsidRDefault="00802D3E">
            <w:pPr>
              <w:pStyle w:val="MeasureTableTextLeftAligned"/>
            </w:pPr>
          </w:p>
        </w:tc>
      </w:tr>
      <w:tr w:rsidR="00802D3E" w14:paraId="2086FC01" w14:textId="77777777" w:rsidTr="00802D3E">
        <w:trPr>
          <w:cantSplit/>
          <w:jc w:val="center"/>
        </w:trPr>
        <w:tc>
          <w:tcPr>
            <w:tcW w:w="1934" w:type="dxa"/>
            <w:gridSpan w:val="2"/>
            <w:tcBorders>
              <w:top w:val="nil"/>
              <w:left w:val="nil"/>
              <w:bottom w:val="single" w:sz="2" w:space="0" w:color="auto"/>
              <w:right w:val="nil"/>
            </w:tcBorders>
            <w:hideMark/>
          </w:tcPr>
          <w:p w14:paraId="2086FBFF"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C00" w14:textId="77777777" w:rsidR="00802D3E" w:rsidRPr="00482063" w:rsidRDefault="00802D3E" w:rsidP="00482063">
            <w:pPr>
              <w:widowControl w:val="0"/>
              <w:autoSpaceDE w:val="0"/>
              <w:autoSpaceDN w:val="0"/>
              <w:adjustRightInd w:val="0"/>
              <w:spacing w:after="0" w:line="240" w:lineRule="auto"/>
              <w:jc w:val="left"/>
              <w:rPr>
                <w:sz w:val="16"/>
                <w:szCs w:val="16"/>
              </w:rPr>
            </w:pPr>
            <w:r w:rsidRPr="00482063">
              <w:rPr>
                <w:rFonts w:ascii="Arial" w:hAnsi="Arial" w:cs="Arial"/>
                <w:sz w:val="16"/>
                <w:szCs w:val="16"/>
              </w:rPr>
              <w:t xml:space="preserve">Divisions 301 and 302 and Part 3-30 of the </w:t>
            </w:r>
            <w:r w:rsidRPr="00482063">
              <w:rPr>
                <w:rFonts w:ascii="Arial" w:hAnsi="Arial" w:cs="Arial"/>
                <w:i/>
                <w:iCs/>
                <w:color w:val="000000"/>
                <w:sz w:val="16"/>
                <w:szCs w:val="16"/>
              </w:rPr>
              <w:t>Income Tax Assessment Act 1997</w:t>
            </w:r>
            <w:r w:rsidRPr="00482063">
              <w:rPr>
                <w:rFonts w:ascii="Arial" w:hAnsi="Arial" w:cs="Arial"/>
                <w:i/>
                <w:iCs/>
                <w:color w:val="000000"/>
                <w:sz w:val="16"/>
                <w:szCs w:val="16"/>
              </w:rPr>
              <w:br/>
            </w:r>
            <w:r w:rsidRPr="00482063">
              <w:rPr>
                <w:rFonts w:ascii="Arial" w:hAnsi="Arial" w:cs="Arial"/>
                <w:color w:val="000000"/>
                <w:sz w:val="16"/>
                <w:szCs w:val="16"/>
              </w:rPr>
              <w:t xml:space="preserve">Part 3-30 of the </w:t>
            </w:r>
            <w:r w:rsidRPr="00482063">
              <w:rPr>
                <w:rFonts w:ascii="Arial" w:hAnsi="Arial" w:cs="Arial"/>
                <w:i/>
                <w:iCs/>
                <w:color w:val="000000"/>
                <w:sz w:val="16"/>
                <w:szCs w:val="16"/>
              </w:rPr>
              <w:t>Income Tax (Transitional Provisions) Act 1997</w:t>
            </w:r>
          </w:p>
        </w:tc>
      </w:tr>
    </w:tbl>
    <w:p w14:paraId="2086FC02" w14:textId="77777777" w:rsidR="00802D3E" w:rsidRDefault="00802D3E" w:rsidP="00A109BC">
      <w:pPr>
        <w:pStyle w:val="SingleParagraph"/>
      </w:pPr>
    </w:p>
    <w:p w14:paraId="2086FC03" w14:textId="71F080BA" w:rsidR="00802D3E" w:rsidRDefault="00802D3E" w:rsidP="00802D3E">
      <w:r>
        <w:t xml:space="preserve">Superannuation income stream payments from a taxed source are tax free for persons aged 60 and over. The taxable component of superannuation income stream payments from a taxed source to persons below age 60 is included in assessable income, and the tax paid on this amount creates a negative tax expenditure because benefits are untaxed under the superannuation benchmark. Similarly, a death benefit paid from a taxed source as a reversionary pension to a beneficiary aged under 60 is taxed. Some offsets reduce the amount of tax paid, for instance a 15 per cent tax offset applies to the taxable component of superannuation income stream benefits paid to persons aged </w:t>
      </w:r>
      <w:r w:rsidR="007138A8">
        <w:t xml:space="preserve">between preservation age and </w:t>
      </w:r>
      <w:r>
        <w:t xml:space="preserve">59, and to disability benefits paid to persons of any age. </w:t>
      </w:r>
    </w:p>
    <w:p w14:paraId="2086FC04" w14:textId="77777777" w:rsidR="00802D3E" w:rsidRDefault="00802D3E" w:rsidP="00802D3E">
      <w:r>
        <w:lastRenderedPageBreak/>
        <w:t>The taxable component of superannuation income stream payments from an untaxed source is included in the recipient’s assessable income. A 10 per cent tax offset applies to the taxable component of pension payments for persons aged 60 and over.</w:t>
      </w:r>
    </w:p>
    <w:p w14:paraId="2086FC05" w14:textId="354FC580" w:rsidR="00802D3E" w:rsidRDefault="00802D3E" w:rsidP="00802D3E">
      <w:pPr>
        <w:spacing w:after="0" w:line="240" w:lineRule="auto"/>
        <w:jc w:val="left"/>
      </w:pPr>
      <w:r>
        <w:t>From 1 July 2017 where an individual's income stream from an untaxed fund exceeds a $100,000 threshold, the amount in excess of the th</w:t>
      </w:r>
      <w:r w:rsidR="000B1D9D">
        <w:t>reshold will not receive the 10 </w:t>
      </w:r>
      <w:r>
        <w:t>per</w:t>
      </w:r>
      <w:r w:rsidR="000B1D9D">
        <w:t> </w:t>
      </w:r>
      <w:r>
        <w:t xml:space="preserve">cent tax offset. </w:t>
      </w:r>
    </w:p>
    <w:p w14:paraId="2086FC06" w14:textId="77777777" w:rsidR="00802D3E" w:rsidRDefault="00802D3E" w:rsidP="00802D3E">
      <w:pPr>
        <w:pStyle w:val="TESHeading5"/>
        <w:ind w:left="0" w:firstLine="0"/>
      </w:pPr>
      <w:r>
        <w:t>C10</w:t>
      </w:r>
      <w:r>
        <w:tab/>
        <w:t>Tax on funded superannuation lump sums</w:t>
      </w:r>
    </w:p>
    <w:p w14:paraId="2086FC07"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C10" w14:textId="77777777" w:rsidTr="00802D3E">
        <w:trPr>
          <w:cantSplit/>
          <w:jc w:val="center"/>
        </w:trPr>
        <w:tc>
          <w:tcPr>
            <w:tcW w:w="967" w:type="dxa"/>
            <w:tcBorders>
              <w:top w:val="single" w:sz="2" w:space="0" w:color="auto"/>
              <w:left w:val="nil"/>
              <w:bottom w:val="single" w:sz="2" w:space="0" w:color="auto"/>
              <w:right w:val="nil"/>
            </w:tcBorders>
            <w:hideMark/>
          </w:tcPr>
          <w:p w14:paraId="2086FC0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C0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C0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C0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C0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C0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C0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C0F" w14:textId="77777777" w:rsidR="00802D3E" w:rsidRDefault="00802D3E">
            <w:pPr>
              <w:pStyle w:val="MeasureTableTextRightAligned"/>
            </w:pPr>
            <w:r>
              <w:t>2019-20</w:t>
            </w:r>
          </w:p>
        </w:tc>
      </w:tr>
      <w:tr w:rsidR="00802D3E" w14:paraId="2086FC19" w14:textId="77777777" w:rsidTr="00802D3E">
        <w:trPr>
          <w:cantSplit/>
          <w:jc w:val="center"/>
        </w:trPr>
        <w:tc>
          <w:tcPr>
            <w:tcW w:w="967" w:type="dxa"/>
            <w:tcBorders>
              <w:top w:val="single" w:sz="2" w:space="0" w:color="auto"/>
              <w:left w:val="nil"/>
              <w:bottom w:val="single" w:sz="2" w:space="0" w:color="auto"/>
              <w:right w:val="nil"/>
            </w:tcBorders>
            <w:hideMark/>
          </w:tcPr>
          <w:p w14:paraId="2086FC11" w14:textId="77777777" w:rsidR="00802D3E" w:rsidRDefault="00802D3E">
            <w:pPr>
              <w:pStyle w:val="MeasureTableTextRightAligned"/>
            </w:pPr>
            <w:r>
              <w:t>-270</w:t>
            </w:r>
          </w:p>
        </w:tc>
        <w:tc>
          <w:tcPr>
            <w:tcW w:w="967" w:type="dxa"/>
            <w:tcBorders>
              <w:top w:val="single" w:sz="2" w:space="0" w:color="auto"/>
              <w:left w:val="nil"/>
              <w:bottom w:val="single" w:sz="2" w:space="0" w:color="auto"/>
              <w:right w:val="nil"/>
            </w:tcBorders>
            <w:hideMark/>
          </w:tcPr>
          <w:p w14:paraId="2086FC12" w14:textId="77777777" w:rsidR="00802D3E" w:rsidRDefault="00802D3E">
            <w:pPr>
              <w:pStyle w:val="MeasureTableTextRightAligned"/>
            </w:pPr>
            <w:r>
              <w:t>-310</w:t>
            </w:r>
          </w:p>
        </w:tc>
        <w:tc>
          <w:tcPr>
            <w:tcW w:w="967" w:type="dxa"/>
            <w:tcBorders>
              <w:top w:val="single" w:sz="2" w:space="0" w:color="auto"/>
              <w:left w:val="nil"/>
              <w:bottom w:val="single" w:sz="2" w:space="0" w:color="auto"/>
              <w:right w:val="nil"/>
            </w:tcBorders>
            <w:vAlign w:val="bottom"/>
            <w:hideMark/>
          </w:tcPr>
          <w:p w14:paraId="2086FC13" w14:textId="77777777" w:rsidR="00802D3E" w:rsidRDefault="00802D3E">
            <w:pPr>
              <w:pStyle w:val="MeasureTableTextRightAligned"/>
            </w:pPr>
            <w:r>
              <w:t>-400</w:t>
            </w:r>
          </w:p>
        </w:tc>
        <w:tc>
          <w:tcPr>
            <w:tcW w:w="967" w:type="dxa"/>
            <w:tcBorders>
              <w:top w:val="single" w:sz="2" w:space="0" w:color="auto"/>
              <w:left w:val="nil"/>
              <w:bottom w:val="single" w:sz="2" w:space="0" w:color="auto"/>
              <w:right w:val="nil"/>
            </w:tcBorders>
            <w:vAlign w:val="bottom"/>
            <w:hideMark/>
          </w:tcPr>
          <w:p w14:paraId="2086FC14" w14:textId="77777777" w:rsidR="00802D3E" w:rsidRDefault="00802D3E">
            <w:pPr>
              <w:pStyle w:val="MeasureTableTextRightAligned"/>
            </w:pPr>
            <w:r>
              <w:t>-400</w:t>
            </w:r>
          </w:p>
        </w:tc>
        <w:tc>
          <w:tcPr>
            <w:tcW w:w="967" w:type="dxa"/>
            <w:tcBorders>
              <w:top w:val="single" w:sz="2" w:space="0" w:color="auto"/>
              <w:left w:val="nil"/>
              <w:bottom w:val="single" w:sz="2" w:space="0" w:color="auto"/>
              <w:right w:val="nil"/>
            </w:tcBorders>
            <w:vAlign w:val="bottom"/>
            <w:hideMark/>
          </w:tcPr>
          <w:p w14:paraId="2086FC15" w14:textId="77777777" w:rsidR="00802D3E" w:rsidRDefault="00802D3E">
            <w:pPr>
              <w:pStyle w:val="MeasureTableTextRightAligned"/>
            </w:pPr>
            <w:r>
              <w:t>-430</w:t>
            </w:r>
          </w:p>
        </w:tc>
        <w:tc>
          <w:tcPr>
            <w:tcW w:w="967" w:type="dxa"/>
            <w:gridSpan w:val="2"/>
            <w:tcBorders>
              <w:top w:val="single" w:sz="2" w:space="0" w:color="auto"/>
              <w:left w:val="nil"/>
              <w:bottom w:val="single" w:sz="2" w:space="0" w:color="auto"/>
              <w:right w:val="nil"/>
            </w:tcBorders>
            <w:vAlign w:val="bottom"/>
            <w:hideMark/>
          </w:tcPr>
          <w:p w14:paraId="2086FC16" w14:textId="77777777" w:rsidR="00802D3E" w:rsidRDefault="00802D3E">
            <w:pPr>
              <w:pStyle w:val="MeasureTableTextRightAligned"/>
            </w:pPr>
            <w:r>
              <w:t>-480</w:t>
            </w:r>
          </w:p>
        </w:tc>
        <w:tc>
          <w:tcPr>
            <w:tcW w:w="967" w:type="dxa"/>
            <w:gridSpan w:val="2"/>
            <w:tcBorders>
              <w:top w:val="single" w:sz="2" w:space="0" w:color="auto"/>
              <w:left w:val="nil"/>
              <w:bottom w:val="single" w:sz="2" w:space="0" w:color="auto"/>
              <w:right w:val="nil"/>
            </w:tcBorders>
            <w:vAlign w:val="bottom"/>
            <w:hideMark/>
          </w:tcPr>
          <w:p w14:paraId="2086FC17" w14:textId="77777777" w:rsidR="00802D3E" w:rsidRDefault="00802D3E">
            <w:pPr>
              <w:pStyle w:val="MeasureTableTextRightAligned"/>
            </w:pPr>
            <w:r>
              <w:t>-530</w:t>
            </w:r>
          </w:p>
        </w:tc>
        <w:tc>
          <w:tcPr>
            <w:tcW w:w="968" w:type="dxa"/>
            <w:tcBorders>
              <w:top w:val="single" w:sz="2" w:space="0" w:color="auto"/>
              <w:left w:val="nil"/>
              <w:bottom w:val="single" w:sz="2" w:space="0" w:color="auto"/>
              <w:right w:val="nil"/>
            </w:tcBorders>
            <w:vAlign w:val="bottom"/>
            <w:hideMark/>
          </w:tcPr>
          <w:p w14:paraId="2086FC18" w14:textId="77777777" w:rsidR="00802D3E" w:rsidRDefault="00802D3E">
            <w:pPr>
              <w:pStyle w:val="MeasureTableTextRightAligned"/>
            </w:pPr>
            <w:r>
              <w:t>-570</w:t>
            </w:r>
          </w:p>
        </w:tc>
      </w:tr>
      <w:tr w:rsidR="00802D3E" w14:paraId="2086FC1E" w14:textId="77777777" w:rsidTr="00802D3E">
        <w:trPr>
          <w:cantSplit/>
          <w:jc w:val="center"/>
        </w:trPr>
        <w:tc>
          <w:tcPr>
            <w:tcW w:w="1934" w:type="dxa"/>
            <w:gridSpan w:val="2"/>
            <w:tcBorders>
              <w:top w:val="single" w:sz="2" w:space="0" w:color="auto"/>
              <w:left w:val="nil"/>
              <w:bottom w:val="nil"/>
              <w:right w:val="nil"/>
            </w:tcBorders>
            <w:hideMark/>
          </w:tcPr>
          <w:p w14:paraId="2086FC1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C1B" w14:textId="77777777" w:rsidR="00802D3E" w:rsidRDefault="00802D3E">
            <w:pPr>
              <w:pStyle w:val="MeasureTableTextLeftAligned"/>
            </w:pPr>
            <w:r>
              <w:t>Increased rate</w:t>
            </w:r>
          </w:p>
        </w:tc>
        <w:tc>
          <w:tcPr>
            <w:tcW w:w="1500" w:type="dxa"/>
            <w:gridSpan w:val="2"/>
            <w:tcBorders>
              <w:top w:val="single" w:sz="2" w:space="0" w:color="auto"/>
              <w:left w:val="nil"/>
              <w:bottom w:val="nil"/>
              <w:right w:val="nil"/>
            </w:tcBorders>
            <w:hideMark/>
          </w:tcPr>
          <w:p w14:paraId="2086FC1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C1D" w14:textId="77777777" w:rsidR="00802D3E" w:rsidRDefault="00802D3E">
            <w:pPr>
              <w:pStyle w:val="MeasureTableTextLeftAligned"/>
            </w:pPr>
            <w:r>
              <w:t>C13</w:t>
            </w:r>
          </w:p>
        </w:tc>
      </w:tr>
      <w:tr w:rsidR="00802D3E" w14:paraId="2086FC23" w14:textId="77777777" w:rsidTr="00802D3E">
        <w:trPr>
          <w:cantSplit/>
          <w:jc w:val="center"/>
        </w:trPr>
        <w:tc>
          <w:tcPr>
            <w:tcW w:w="1934" w:type="dxa"/>
            <w:gridSpan w:val="2"/>
            <w:tcBorders>
              <w:top w:val="nil"/>
              <w:left w:val="nil"/>
              <w:bottom w:val="nil"/>
              <w:right w:val="nil"/>
            </w:tcBorders>
            <w:hideMark/>
          </w:tcPr>
          <w:p w14:paraId="2086FC1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C20"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C21" w14:textId="77777777" w:rsidR="00802D3E" w:rsidRDefault="00802D3E">
            <w:pPr>
              <w:pStyle w:val="MeasureTableTextItalic"/>
            </w:pPr>
          </w:p>
        </w:tc>
        <w:tc>
          <w:tcPr>
            <w:tcW w:w="1124" w:type="dxa"/>
            <w:gridSpan w:val="2"/>
            <w:tcBorders>
              <w:top w:val="nil"/>
              <w:left w:val="nil"/>
              <w:bottom w:val="nil"/>
              <w:right w:val="nil"/>
            </w:tcBorders>
          </w:tcPr>
          <w:p w14:paraId="2086FC22" w14:textId="77777777" w:rsidR="00802D3E" w:rsidRDefault="00802D3E">
            <w:pPr>
              <w:pStyle w:val="MeasureTableTextLeftAligned"/>
            </w:pPr>
          </w:p>
        </w:tc>
      </w:tr>
      <w:tr w:rsidR="00802D3E" w14:paraId="2086FC28" w14:textId="77777777" w:rsidTr="00802D3E">
        <w:trPr>
          <w:cantSplit/>
          <w:jc w:val="center"/>
        </w:trPr>
        <w:tc>
          <w:tcPr>
            <w:tcW w:w="1934" w:type="dxa"/>
            <w:gridSpan w:val="2"/>
            <w:tcBorders>
              <w:top w:val="nil"/>
              <w:left w:val="nil"/>
              <w:bottom w:val="nil"/>
              <w:right w:val="nil"/>
            </w:tcBorders>
            <w:hideMark/>
          </w:tcPr>
          <w:p w14:paraId="2086FC2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C25"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6FC26"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C27" w14:textId="77777777" w:rsidR="00802D3E" w:rsidRDefault="00802D3E">
            <w:pPr>
              <w:pStyle w:val="MeasureTableTextLeftAligned"/>
            </w:pPr>
          </w:p>
        </w:tc>
      </w:tr>
      <w:tr w:rsidR="00802D3E" w14:paraId="2086FC2B" w14:textId="77777777" w:rsidTr="00802D3E">
        <w:trPr>
          <w:cantSplit/>
          <w:jc w:val="center"/>
        </w:trPr>
        <w:tc>
          <w:tcPr>
            <w:tcW w:w="1934" w:type="dxa"/>
            <w:gridSpan w:val="2"/>
            <w:tcBorders>
              <w:top w:val="nil"/>
              <w:left w:val="nil"/>
              <w:bottom w:val="single" w:sz="2" w:space="0" w:color="auto"/>
              <w:right w:val="nil"/>
            </w:tcBorders>
            <w:hideMark/>
          </w:tcPr>
          <w:p w14:paraId="2086FC2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C2A" w14:textId="4A18FE77" w:rsidR="00802D3E" w:rsidRPr="00482063" w:rsidRDefault="00802D3E" w:rsidP="000B1D9D">
            <w:pPr>
              <w:widowControl w:val="0"/>
              <w:autoSpaceDE w:val="0"/>
              <w:autoSpaceDN w:val="0"/>
              <w:adjustRightInd w:val="0"/>
              <w:spacing w:after="0" w:line="240" w:lineRule="auto"/>
              <w:jc w:val="left"/>
              <w:rPr>
                <w:sz w:val="16"/>
                <w:szCs w:val="16"/>
              </w:rPr>
            </w:pPr>
            <w:r w:rsidRPr="00482063">
              <w:rPr>
                <w:rFonts w:ascii="Arial" w:hAnsi="Arial" w:cs="Arial"/>
                <w:sz w:val="16"/>
                <w:szCs w:val="16"/>
              </w:rPr>
              <w:t xml:space="preserve">Divisions 301, 302 and 307 and Part 3-30 of the </w:t>
            </w:r>
            <w:r w:rsidRPr="00482063">
              <w:rPr>
                <w:rFonts w:ascii="Arial" w:hAnsi="Arial" w:cs="Arial"/>
                <w:i/>
                <w:iCs/>
                <w:color w:val="000000"/>
                <w:sz w:val="16"/>
                <w:szCs w:val="16"/>
              </w:rPr>
              <w:t>Income Tax Assessment Act</w:t>
            </w:r>
            <w:r w:rsidR="000B1D9D">
              <w:rPr>
                <w:rFonts w:ascii="Arial" w:hAnsi="Arial" w:cs="Arial"/>
                <w:i/>
                <w:iCs/>
                <w:color w:val="000000"/>
                <w:sz w:val="16"/>
                <w:szCs w:val="16"/>
              </w:rPr>
              <w:t> </w:t>
            </w:r>
            <w:r w:rsidRPr="00482063">
              <w:rPr>
                <w:rFonts w:ascii="Arial" w:hAnsi="Arial" w:cs="Arial"/>
                <w:i/>
                <w:iCs/>
                <w:color w:val="000000"/>
                <w:sz w:val="16"/>
                <w:szCs w:val="16"/>
              </w:rPr>
              <w:t>1997</w:t>
            </w:r>
            <w:r w:rsidRPr="00482063">
              <w:rPr>
                <w:rFonts w:ascii="Arial" w:hAnsi="Arial" w:cs="Arial"/>
                <w:i/>
                <w:iCs/>
                <w:color w:val="000000"/>
                <w:sz w:val="16"/>
                <w:szCs w:val="16"/>
              </w:rPr>
              <w:br/>
            </w:r>
            <w:r w:rsidRPr="00482063">
              <w:rPr>
                <w:rFonts w:ascii="Arial" w:hAnsi="Arial" w:cs="Arial"/>
                <w:color w:val="000000"/>
                <w:sz w:val="16"/>
                <w:szCs w:val="16"/>
              </w:rPr>
              <w:t>Part 3-30 of the</w:t>
            </w:r>
            <w:r w:rsidRPr="00482063">
              <w:rPr>
                <w:rFonts w:ascii="Arial" w:hAnsi="Arial" w:cs="Arial"/>
                <w:i/>
                <w:iCs/>
                <w:color w:val="000000"/>
                <w:sz w:val="16"/>
                <w:szCs w:val="16"/>
              </w:rPr>
              <w:t xml:space="preserve"> Income Tax (Transitional Provisions) Act 1997</w:t>
            </w:r>
          </w:p>
        </w:tc>
      </w:tr>
    </w:tbl>
    <w:p w14:paraId="2086FC2C" w14:textId="77777777" w:rsidR="00802D3E" w:rsidRDefault="00802D3E" w:rsidP="00A109BC">
      <w:pPr>
        <w:pStyle w:val="SingleParagraph"/>
      </w:pPr>
    </w:p>
    <w:p w14:paraId="2086FC2D" w14:textId="77777777" w:rsidR="00802D3E" w:rsidRDefault="00802D3E" w:rsidP="00802D3E">
      <w:r>
        <w:t xml:space="preserve">The tax raised on lump sum payments results in a negative tax expenditure because the benchmark treatment of savings applies marginal personal income tax rates to contributions and earnings, while benefits are tax free. </w:t>
      </w:r>
      <w:r>
        <w:fldChar w:fldCharType="begin"/>
      </w:r>
      <w:r>
        <w:instrText xml:space="preserve"> XE "Superannuation:Lump sums" </w:instrText>
      </w:r>
      <w:r>
        <w:fldChar w:fldCharType="end"/>
      </w:r>
      <w:r>
        <w:t xml:space="preserve"> </w:t>
      </w:r>
    </w:p>
    <w:p w14:paraId="2086FC2E" w14:textId="5124A214" w:rsidR="00802D3E" w:rsidRDefault="00802D3E" w:rsidP="00802D3E">
      <w:r>
        <w:t xml:space="preserve">For a person aged </w:t>
      </w:r>
      <w:r w:rsidR="007138A8">
        <w:t>between preservation age and</w:t>
      </w:r>
      <w:r>
        <w:t xml:space="preserve"> 59, the tax rate on the taxable component of a lump sum above the cap amount, paid from a taxed fund is 15 per cent. For a person below </w:t>
      </w:r>
      <w:r w:rsidR="007138A8">
        <w:t>preservation age</w:t>
      </w:r>
      <w:r>
        <w:t xml:space="preserve"> a maximum tax rate of 20 per cent applies. </w:t>
      </w:r>
    </w:p>
    <w:p w14:paraId="2086FC2F" w14:textId="634B63EE" w:rsidR="00802D3E" w:rsidRDefault="00802D3E" w:rsidP="00802D3E">
      <w:r>
        <w:t xml:space="preserve">The taxable component of lump sums paid from untaxed funds to persons aged 60 or over is taxed at a maximum rate of 15 per cent up to an (indexed) amount and at the top marginal rate thereafter. For persons </w:t>
      </w:r>
      <w:r w:rsidR="007138A8">
        <w:t xml:space="preserve">between preservation age and </w:t>
      </w:r>
      <w:r>
        <w:t>59, the tax rate ranges from 15</w:t>
      </w:r>
      <w:r w:rsidR="00450B6E">
        <w:t> </w:t>
      </w:r>
      <w:r>
        <w:t>per</w:t>
      </w:r>
      <w:r w:rsidR="00450B6E">
        <w:t> </w:t>
      </w:r>
      <w:r>
        <w:t xml:space="preserve">cent up to the top marginal rate, while for persons under </w:t>
      </w:r>
      <w:r w:rsidR="007138A8">
        <w:t xml:space="preserve">preservation </w:t>
      </w:r>
      <w:r>
        <w:t>age the tax rate is typically 30 per cent.</w:t>
      </w:r>
    </w:p>
    <w:p w14:paraId="2086FC30" w14:textId="77777777" w:rsidR="00802D3E" w:rsidRDefault="00802D3E" w:rsidP="00802D3E">
      <w:r>
        <w:t>Special arrangements apply to lump sums paid to certain temporary residents who have departed Australia, while death benefit payments to non</w:t>
      </w:r>
      <w:r>
        <w:noBreakHyphen/>
        <w:t xml:space="preserve">dependants are taxed at a maximum rate of 15 per cent where paid from a taxed source, and at a maximum rate of 30 per cent where paid from an untaxed source. </w:t>
      </w:r>
    </w:p>
    <w:p w14:paraId="2086FC31" w14:textId="77777777" w:rsidR="00802D3E" w:rsidRDefault="00802D3E" w:rsidP="00802D3E">
      <w:pPr>
        <w:pStyle w:val="TESHeading5"/>
        <w:ind w:left="0" w:firstLine="0"/>
      </w:pPr>
      <w:r>
        <w:lastRenderedPageBreak/>
        <w:t>C11</w:t>
      </w:r>
      <w:r>
        <w:tab/>
        <w:t>Exemption for small business assets held for more than 15 years</w:t>
      </w:r>
    </w:p>
    <w:p w14:paraId="2086FC32"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C3B" w14:textId="77777777" w:rsidTr="00802D3E">
        <w:trPr>
          <w:cantSplit/>
          <w:jc w:val="center"/>
        </w:trPr>
        <w:tc>
          <w:tcPr>
            <w:tcW w:w="967" w:type="dxa"/>
            <w:tcBorders>
              <w:top w:val="single" w:sz="2" w:space="0" w:color="auto"/>
              <w:left w:val="nil"/>
              <w:bottom w:val="single" w:sz="2" w:space="0" w:color="auto"/>
              <w:right w:val="nil"/>
            </w:tcBorders>
            <w:hideMark/>
          </w:tcPr>
          <w:p w14:paraId="2086FC3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C3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C3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C3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C3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C3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C3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C3A" w14:textId="77777777" w:rsidR="00802D3E" w:rsidRDefault="00802D3E">
            <w:pPr>
              <w:pStyle w:val="MeasureTableTextRightAligned"/>
            </w:pPr>
            <w:r>
              <w:t>2019-20</w:t>
            </w:r>
          </w:p>
        </w:tc>
      </w:tr>
      <w:tr w:rsidR="00802D3E" w14:paraId="2086FC44" w14:textId="77777777" w:rsidTr="00802D3E">
        <w:trPr>
          <w:cantSplit/>
          <w:jc w:val="center"/>
        </w:trPr>
        <w:tc>
          <w:tcPr>
            <w:tcW w:w="967" w:type="dxa"/>
            <w:tcBorders>
              <w:top w:val="single" w:sz="2" w:space="0" w:color="auto"/>
              <w:left w:val="nil"/>
              <w:bottom w:val="single" w:sz="2" w:space="0" w:color="auto"/>
              <w:right w:val="nil"/>
            </w:tcBorders>
            <w:hideMark/>
          </w:tcPr>
          <w:p w14:paraId="2086FC3C" w14:textId="77777777" w:rsidR="00802D3E" w:rsidRDefault="00802D3E">
            <w:pPr>
              <w:pStyle w:val="MeasureTableTextRightAligned"/>
            </w:pPr>
            <w:r>
              <w:t>135</w:t>
            </w:r>
          </w:p>
        </w:tc>
        <w:tc>
          <w:tcPr>
            <w:tcW w:w="967" w:type="dxa"/>
            <w:tcBorders>
              <w:top w:val="single" w:sz="2" w:space="0" w:color="auto"/>
              <w:left w:val="nil"/>
              <w:bottom w:val="single" w:sz="2" w:space="0" w:color="auto"/>
              <w:right w:val="nil"/>
            </w:tcBorders>
            <w:hideMark/>
          </w:tcPr>
          <w:p w14:paraId="2086FC3D" w14:textId="77777777" w:rsidR="00802D3E" w:rsidRDefault="00802D3E">
            <w:pPr>
              <w:pStyle w:val="MeasureTableTextRightAligned"/>
            </w:pPr>
            <w:r>
              <w:t>155</w:t>
            </w:r>
          </w:p>
        </w:tc>
        <w:tc>
          <w:tcPr>
            <w:tcW w:w="967" w:type="dxa"/>
            <w:tcBorders>
              <w:top w:val="single" w:sz="2" w:space="0" w:color="auto"/>
              <w:left w:val="nil"/>
              <w:bottom w:val="single" w:sz="2" w:space="0" w:color="auto"/>
              <w:right w:val="nil"/>
            </w:tcBorders>
            <w:vAlign w:val="bottom"/>
            <w:hideMark/>
          </w:tcPr>
          <w:p w14:paraId="2086FC3E" w14:textId="77777777" w:rsidR="00802D3E" w:rsidRDefault="00802D3E">
            <w:pPr>
              <w:pStyle w:val="MeasureTableTextRightAligned"/>
            </w:pPr>
            <w:r>
              <w:t>190</w:t>
            </w:r>
          </w:p>
        </w:tc>
        <w:tc>
          <w:tcPr>
            <w:tcW w:w="967" w:type="dxa"/>
            <w:tcBorders>
              <w:top w:val="single" w:sz="2" w:space="0" w:color="auto"/>
              <w:left w:val="nil"/>
              <w:bottom w:val="single" w:sz="2" w:space="0" w:color="auto"/>
              <w:right w:val="nil"/>
            </w:tcBorders>
            <w:vAlign w:val="bottom"/>
            <w:hideMark/>
          </w:tcPr>
          <w:p w14:paraId="2086FC3F" w14:textId="77777777" w:rsidR="00802D3E" w:rsidRDefault="00802D3E">
            <w:pPr>
              <w:pStyle w:val="MeasureTableTextRightAligned"/>
            </w:pPr>
            <w:r>
              <w:t>285</w:t>
            </w:r>
          </w:p>
        </w:tc>
        <w:tc>
          <w:tcPr>
            <w:tcW w:w="967" w:type="dxa"/>
            <w:tcBorders>
              <w:top w:val="single" w:sz="2" w:space="0" w:color="auto"/>
              <w:left w:val="nil"/>
              <w:bottom w:val="single" w:sz="2" w:space="0" w:color="auto"/>
              <w:right w:val="nil"/>
            </w:tcBorders>
            <w:vAlign w:val="bottom"/>
            <w:hideMark/>
          </w:tcPr>
          <w:p w14:paraId="2086FC40" w14:textId="77777777" w:rsidR="00802D3E" w:rsidRDefault="00802D3E">
            <w:pPr>
              <w:pStyle w:val="MeasureTableTextRightAligned"/>
            </w:pPr>
            <w:r>
              <w:t>285</w:t>
            </w:r>
          </w:p>
        </w:tc>
        <w:tc>
          <w:tcPr>
            <w:tcW w:w="967" w:type="dxa"/>
            <w:gridSpan w:val="2"/>
            <w:tcBorders>
              <w:top w:val="single" w:sz="2" w:space="0" w:color="auto"/>
              <w:left w:val="nil"/>
              <w:bottom w:val="single" w:sz="2" w:space="0" w:color="auto"/>
              <w:right w:val="nil"/>
            </w:tcBorders>
            <w:vAlign w:val="bottom"/>
            <w:hideMark/>
          </w:tcPr>
          <w:p w14:paraId="2086FC41" w14:textId="77777777" w:rsidR="00802D3E" w:rsidRDefault="00802D3E">
            <w:pPr>
              <w:pStyle w:val="MeasureTableTextRightAligned"/>
            </w:pPr>
            <w:r>
              <w:t>305</w:t>
            </w:r>
          </w:p>
        </w:tc>
        <w:tc>
          <w:tcPr>
            <w:tcW w:w="967" w:type="dxa"/>
            <w:gridSpan w:val="2"/>
            <w:tcBorders>
              <w:top w:val="single" w:sz="2" w:space="0" w:color="auto"/>
              <w:left w:val="nil"/>
              <w:bottom w:val="single" w:sz="2" w:space="0" w:color="auto"/>
              <w:right w:val="nil"/>
            </w:tcBorders>
            <w:vAlign w:val="bottom"/>
            <w:hideMark/>
          </w:tcPr>
          <w:p w14:paraId="2086FC42" w14:textId="77777777" w:rsidR="00802D3E" w:rsidRDefault="00802D3E">
            <w:pPr>
              <w:pStyle w:val="MeasureTableTextRightAligned"/>
            </w:pPr>
            <w:r>
              <w:t>315</w:t>
            </w:r>
          </w:p>
        </w:tc>
        <w:tc>
          <w:tcPr>
            <w:tcW w:w="968" w:type="dxa"/>
            <w:tcBorders>
              <w:top w:val="single" w:sz="2" w:space="0" w:color="auto"/>
              <w:left w:val="nil"/>
              <w:bottom w:val="single" w:sz="2" w:space="0" w:color="auto"/>
              <w:right w:val="nil"/>
            </w:tcBorders>
            <w:vAlign w:val="bottom"/>
            <w:hideMark/>
          </w:tcPr>
          <w:p w14:paraId="2086FC43" w14:textId="77777777" w:rsidR="00802D3E" w:rsidRDefault="00802D3E">
            <w:pPr>
              <w:pStyle w:val="MeasureTableTextRightAligned"/>
            </w:pPr>
            <w:r>
              <w:t>320</w:t>
            </w:r>
          </w:p>
        </w:tc>
      </w:tr>
      <w:tr w:rsidR="00802D3E" w14:paraId="2086FC49" w14:textId="77777777" w:rsidTr="00802D3E">
        <w:trPr>
          <w:cantSplit/>
          <w:jc w:val="center"/>
        </w:trPr>
        <w:tc>
          <w:tcPr>
            <w:tcW w:w="1934" w:type="dxa"/>
            <w:gridSpan w:val="2"/>
            <w:tcBorders>
              <w:top w:val="single" w:sz="2" w:space="0" w:color="auto"/>
              <w:left w:val="nil"/>
              <w:bottom w:val="nil"/>
              <w:right w:val="nil"/>
            </w:tcBorders>
            <w:hideMark/>
          </w:tcPr>
          <w:p w14:paraId="2086FC45"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C46"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C47"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C48" w14:textId="77777777" w:rsidR="00802D3E" w:rsidRDefault="00802D3E">
            <w:pPr>
              <w:pStyle w:val="MeasureTableTextLeftAligned"/>
            </w:pPr>
            <w:r>
              <w:t>C15</w:t>
            </w:r>
          </w:p>
        </w:tc>
      </w:tr>
      <w:tr w:rsidR="00802D3E" w14:paraId="2086FC4E" w14:textId="77777777" w:rsidTr="00802D3E">
        <w:trPr>
          <w:cantSplit/>
          <w:jc w:val="center"/>
        </w:trPr>
        <w:tc>
          <w:tcPr>
            <w:tcW w:w="1934" w:type="dxa"/>
            <w:gridSpan w:val="2"/>
            <w:tcBorders>
              <w:top w:val="nil"/>
              <w:left w:val="nil"/>
              <w:bottom w:val="nil"/>
              <w:right w:val="nil"/>
            </w:tcBorders>
            <w:hideMark/>
          </w:tcPr>
          <w:p w14:paraId="2086FC4A"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C4B"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6FC4C" w14:textId="77777777" w:rsidR="00802D3E" w:rsidRDefault="00802D3E">
            <w:pPr>
              <w:pStyle w:val="MeasureTableTextItalic"/>
            </w:pPr>
          </w:p>
        </w:tc>
        <w:tc>
          <w:tcPr>
            <w:tcW w:w="1124" w:type="dxa"/>
            <w:gridSpan w:val="2"/>
            <w:tcBorders>
              <w:top w:val="nil"/>
              <w:left w:val="nil"/>
              <w:bottom w:val="nil"/>
              <w:right w:val="nil"/>
            </w:tcBorders>
          </w:tcPr>
          <w:p w14:paraId="2086FC4D" w14:textId="77777777" w:rsidR="00802D3E" w:rsidRDefault="00802D3E">
            <w:pPr>
              <w:pStyle w:val="MeasureTableTextLeftAligned"/>
            </w:pPr>
          </w:p>
        </w:tc>
      </w:tr>
      <w:tr w:rsidR="00802D3E" w14:paraId="2086FC53" w14:textId="77777777" w:rsidTr="00802D3E">
        <w:trPr>
          <w:cantSplit/>
          <w:jc w:val="center"/>
        </w:trPr>
        <w:tc>
          <w:tcPr>
            <w:tcW w:w="1934" w:type="dxa"/>
            <w:gridSpan w:val="2"/>
            <w:tcBorders>
              <w:top w:val="nil"/>
              <w:left w:val="nil"/>
              <w:bottom w:val="nil"/>
              <w:right w:val="nil"/>
            </w:tcBorders>
            <w:hideMark/>
          </w:tcPr>
          <w:p w14:paraId="2086FC4F"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C50" w14:textId="77777777" w:rsidR="00802D3E" w:rsidRDefault="00802D3E">
            <w:pPr>
              <w:pStyle w:val="MeasureTableTextLeftAligned"/>
            </w:pPr>
            <w:r>
              <w:t>1999</w:t>
            </w:r>
          </w:p>
        </w:tc>
        <w:tc>
          <w:tcPr>
            <w:tcW w:w="1500" w:type="dxa"/>
            <w:gridSpan w:val="2"/>
            <w:tcBorders>
              <w:top w:val="nil"/>
              <w:left w:val="nil"/>
              <w:bottom w:val="nil"/>
              <w:right w:val="nil"/>
            </w:tcBorders>
            <w:hideMark/>
          </w:tcPr>
          <w:p w14:paraId="2086FC51"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C52" w14:textId="77777777" w:rsidR="00802D3E" w:rsidRDefault="00802D3E">
            <w:pPr>
              <w:pStyle w:val="MeasureTableTextLeftAligned"/>
            </w:pPr>
          </w:p>
        </w:tc>
      </w:tr>
      <w:tr w:rsidR="00802D3E" w14:paraId="2086FC56" w14:textId="77777777" w:rsidTr="00802D3E">
        <w:trPr>
          <w:cantSplit/>
          <w:jc w:val="center"/>
        </w:trPr>
        <w:tc>
          <w:tcPr>
            <w:tcW w:w="1934" w:type="dxa"/>
            <w:gridSpan w:val="2"/>
            <w:tcBorders>
              <w:top w:val="nil"/>
              <w:left w:val="nil"/>
              <w:bottom w:val="single" w:sz="2" w:space="0" w:color="auto"/>
              <w:right w:val="nil"/>
            </w:tcBorders>
            <w:hideMark/>
          </w:tcPr>
          <w:p w14:paraId="2086FC54"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C55" w14:textId="77777777" w:rsidR="00802D3E" w:rsidRPr="00482063" w:rsidRDefault="00802D3E" w:rsidP="00482063">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Subdivision 152-B </w:t>
            </w:r>
            <w:r w:rsidRPr="00482063">
              <w:rPr>
                <w:rFonts w:ascii="Arial" w:hAnsi="Arial" w:cs="Arial"/>
                <w:color w:val="000000"/>
                <w:sz w:val="16"/>
                <w:szCs w:val="16"/>
              </w:rPr>
              <w:t xml:space="preserve">of the </w:t>
            </w:r>
            <w:r w:rsidRPr="00482063">
              <w:rPr>
                <w:rFonts w:ascii="Arial" w:hAnsi="Arial" w:cs="Arial"/>
                <w:i/>
                <w:iCs/>
                <w:color w:val="000000"/>
                <w:sz w:val="16"/>
                <w:szCs w:val="16"/>
              </w:rPr>
              <w:t>Income Tax Assessment Act 1997</w:t>
            </w:r>
          </w:p>
        </w:tc>
      </w:tr>
    </w:tbl>
    <w:p w14:paraId="2086FC57" w14:textId="77777777" w:rsidR="00802D3E" w:rsidRDefault="00802D3E" w:rsidP="00A109BC">
      <w:pPr>
        <w:pStyle w:val="SingleParagraph"/>
      </w:pPr>
    </w:p>
    <w:p w14:paraId="2086FC58" w14:textId="77777777" w:rsidR="00802D3E" w:rsidRDefault="00802D3E" w:rsidP="00482063">
      <w:r>
        <w:t>Capital gains arising from the disposal of active small business assets</w:t>
      </w:r>
      <w:r>
        <w:fldChar w:fldCharType="begin"/>
      </w:r>
      <w:r>
        <w:instrText xml:space="preserve"> XE "Active small business assets" </w:instrText>
      </w:r>
      <w:r>
        <w:fldChar w:fldCharType="end"/>
      </w:r>
      <w:r>
        <w:t xml:space="preserve"> that have been held continuously for 15 years are exempt from capital gains tax where the taxpayer is permanently incapacitated or reaches the age of 55 and retires. </w:t>
      </w:r>
      <w:r>
        <w:fldChar w:fldCharType="begin"/>
      </w:r>
      <w:r>
        <w:instrText xml:space="preserve"> XE "Small business" </w:instrText>
      </w:r>
      <w:r>
        <w:fldChar w:fldCharType="end"/>
      </w:r>
      <w:r>
        <w:t xml:space="preserve"> </w:t>
      </w:r>
    </w:p>
    <w:p w14:paraId="569F56E0" w14:textId="77777777" w:rsidR="001F6F0B" w:rsidRDefault="001F6F0B">
      <w:pPr>
        <w:spacing w:after="0" w:line="240" w:lineRule="auto"/>
        <w:jc w:val="left"/>
        <w:rPr>
          <w:rFonts w:ascii="Arial" w:hAnsi="Arial"/>
          <w:b/>
          <w:smallCaps/>
          <w:color w:val="000000"/>
          <w:sz w:val="25"/>
        </w:rPr>
      </w:pPr>
      <w:r>
        <w:br w:type="page"/>
      </w:r>
    </w:p>
    <w:p w14:paraId="2086FC59" w14:textId="718A02EE" w:rsidR="00802D3E" w:rsidRDefault="00802D3E" w:rsidP="00802D3E">
      <w:pPr>
        <w:pStyle w:val="Heading3"/>
      </w:pPr>
      <w:r>
        <w:lastRenderedPageBreak/>
        <w:t>Fringe Benefits Tax</w:t>
      </w:r>
    </w:p>
    <w:p w14:paraId="2086FC5A" w14:textId="77777777" w:rsidR="00802D3E" w:rsidRDefault="00802D3E" w:rsidP="00802D3E">
      <w:pPr>
        <w:pStyle w:val="TESHeading5"/>
        <w:ind w:left="0" w:firstLine="0"/>
      </w:pPr>
      <w:r>
        <w:t>D1</w:t>
      </w:r>
      <w:r>
        <w:tab/>
        <w:t>Exemption for compensation-related benefits, occupational health and counselling services and some training courses</w:t>
      </w:r>
    </w:p>
    <w:p w14:paraId="2086FC5B" w14:textId="77777777" w:rsidR="00802D3E" w:rsidRDefault="00802D3E" w:rsidP="00802D3E">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C64" w14:textId="77777777" w:rsidTr="00802D3E">
        <w:trPr>
          <w:cantSplit/>
          <w:jc w:val="center"/>
        </w:trPr>
        <w:tc>
          <w:tcPr>
            <w:tcW w:w="967" w:type="dxa"/>
            <w:tcBorders>
              <w:top w:val="single" w:sz="2" w:space="0" w:color="auto"/>
              <w:left w:val="nil"/>
              <w:bottom w:val="single" w:sz="2" w:space="0" w:color="auto"/>
              <w:right w:val="nil"/>
            </w:tcBorders>
            <w:hideMark/>
          </w:tcPr>
          <w:p w14:paraId="2086FC5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C5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C5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C5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C6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C6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C6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C63" w14:textId="77777777" w:rsidR="00802D3E" w:rsidRDefault="00802D3E">
            <w:pPr>
              <w:pStyle w:val="MeasureTableTextRightAligned"/>
            </w:pPr>
            <w:r>
              <w:t>2019-20</w:t>
            </w:r>
          </w:p>
        </w:tc>
      </w:tr>
      <w:tr w:rsidR="00802D3E" w14:paraId="2086FC6D" w14:textId="77777777" w:rsidTr="00802D3E">
        <w:trPr>
          <w:cantSplit/>
          <w:jc w:val="center"/>
        </w:trPr>
        <w:tc>
          <w:tcPr>
            <w:tcW w:w="967" w:type="dxa"/>
            <w:tcBorders>
              <w:top w:val="single" w:sz="2" w:space="0" w:color="auto"/>
              <w:left w:val="nil"/>
              <w:bottom w:val="single" w:sz="2" w:space="0" w:color="auto"/>
              <w:right w:val="nil"/>
            </w:tcBorders>
            <w:hideMark/>
          </w:tcPr>
          <w:p w14:paraId="2086FC6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C6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6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6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6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C6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C6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C6C" w14:textId="77777777" w:rsidR="00802D3E" w:rsidRDefault="00802D3E">
            <w:pPr>
              <w:pStyle w:val="MeasureTableTextRightAligned"/>
            </w:pPr>
            <w:r>
              <w:t>*</w:t>
            </w:r>
          </w:p>
        </w:tc>
      </w:tr>
      <w:tr w:rsidR="00802D3E" w14:paraId="2086FC72" w14:textId="77777777" w:rsidTr="00802D3E">
        <w:trPr>
          <w:cantSplit/>
          <w:jc w:val="center"/>
        </w:trPr>
        <w:tc>
          <w:tcPr>
            <w:tcW w:w="1934" w:type="dxa"/>
            <w:gridSpan w:val="2"/>
            <w:tcBorders>
              <w:top w:val="single" w:sz="2" w:space="0" w:color="auto"/>
              <w:left w:val="nil"/>
              <w:bottom w:val="nil"/>
              <w:right w:val="nil"/>
            </w:tcBorders>
            <w:hideMark/>
          </w:tcPr>
          <w:p w14:paraId="2086FC6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C6F"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C7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C71" w14:textId="77777777" w:rsidR="00802D3E" w:rsidRDefault="00802D3E">
            <w:pPr>
              <w:pStyle w:val="MeasureTableTextLeftAligned"/>
            </w:pPr>
            <w:r>
              <w:t>D1</w:t>
            </w:r>
          </w:p>
        </w:tc>
      </w:tr>
      <w:tr w:rsidR="00802D3E" w14:paraId="2086FC77" w14:textId="77777777" w:rsidTr="00802D3E">
        <w:trPr>
          <w:cantSplit/>
          <w:jc w:val="center"/>
        </w:trPr>
        <w:tc>
          <w:tcPr>
            <w:tcW w:w="1934" w:type="dxa"/>
            <w:gridSpan w:val="2"/>
            <w:tcBorders>
              <w:top w:val="nil"/>
              <w:left w:val="nil"/>
              <w:bottom w:val="nil"/>
              <w:right w:val="nil"/>
            </w:tcBorders>
            <w:hideMark/>
          </w:tcPr>
          <w:p w14:paraId="2086FC7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C7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C7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C76" w14:textId="77777777" w:rsidR="00802D3E" w:rsidRDefault="00802D3E">
            <w:pPr>
              <w:pStyle w:val="MeasureTableTextLeftAligned"/>
            </w:pPr>
            <w:r>
              <w:t>3+</w:t>
            </w:r>
          </w:p>
        </w:tc>
      </w:tr>
      <w:tr w:rsidR="00802D3E" w14:paraId="2086FC7C" w14:textId="77777777" w:rsidTr="00802D3E">
        <w:trPr>
          <w:cantSplit/>
          <w:jc w:val="center"/>
        </w:trPr>
        <w:tc>
          <w:tcPr>
            <w:tcW w:w="1934" w:type="dxa"/>
            <w:gridSpan w:val="2"/>
            <w:tcBorders>
              <w:top w:val="nil"/>
              <w:left w:val="nil"/>
              <w:bottom w:val="nil"/>
              <w:right w:val="nil"/>
            </w:tcBorders>
            <w:hideMark/>
          </w:tcPr>
          <w:p w14:paraId="2086FC7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C79"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C7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C7B" w14:textId="77777777" w:rsidR="00802D3E" w:rsidRDefault="00802D3E">
            <w:pPr>
              <w:pStyle w:val="MeasureTableTextLeftAligned"/>
            </w:pPr>
          </w:p>
        </w:tc>
      </w:tr>
      <w:tr w:rsidR="00802D3E" w14:paraId="2086FC7F" w14:textId="77777777" w:rsidTr="00802D3E">
        <w:trPr>
          <w:cantSplit/>
          <w:jc w:val="center"/>
        </w:trPr>
        <w:tc>
          <w:tcPr>
            <w:tcW w:w="1934" w:type="dxa"/>
            <w:gridSpan w:val="2"/>
            <w:tcBorders>
              <w:top w:val="nil"/>
              <w:left w:val="nil"/>
              <w:bottom w:val="single" w:sz="2" w:space="0" w:color="auto"/>
              <w:right w:val="nil"/>
            </w:tcBorders>
            <w:hideMark/>
          </w:tcPr>
          <w:p w14:paraId="2086FC7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C7E" w14:textId="77777777" w:rsidR="00802D3E" w:rsidRPr="00482063" w:rsidRDefault="00802D3E" w:rsidP="00482063">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Sections 58J, 58K and 58M of the </w:t>
            </w:r>
            <w:r w:rsidRPr="00482063">
              <w:rPr>
                <w:rFonts w:ascii="Arial" w:hAnsi="Arial" w:cs="Arial"/>
                <w:i/>
                <w:iCs/>
                <w:color w:val="000000"/>
                <w:sz w:val="16"/>
                <w:szCs w:val="16"/>
              </w:rPr>
              <w:t>Fringe Benefits Tax Assessment Act 1986</w:t>
            </w:r>
          </w:p>
        </w:tc>
      </w:tr>
    </w:tbl>
    <w:p w14:paraId="2086FC80" w14:textId="77777777" w:rsidR="00802D3E" w:rsidRDefault="00802D3E" w:rsidP="00A109BC">
      <w:pPr>
        <w:pStyle w:val="SingleParagraph"/>
      </w:pPr>
    </w:p>
    <w:p w14:paraId="2086FC81" w14:textId="77777777" w:rsidR="00802D3E" w:rsidRDefault="00802D3E" w:rsidP="00802D3E">
      <w:r>
        <w:t>Certain benefits in relation to: compensable work related trauma, medical services, other forms of health care provided in work site first aid posts and medical clinics, work related medical examinations, work related medical screening, work related preventative health care, work related counselling and migrant language training are exempt from fringe benefits tax.</w:t>
      </w:r>
      <w:r>
        <w:fldChar w:fldCharType="begin"/>
      </w:r>
      <w:r>
        <w:instrText xml:space="preserve"> XE "</w:instrText>
      </w:r>
      <w:r>
        <w:rPr>
          <w:lang w:val="en-US"/>
        </w:rPr>
        <w:instrText>Compensation-related benefits</w:instrText>
      </w:r>
      <w:r>
        <w:instrText xml:space="preserve">" </w:instrText>
      </w:r>
      <w:r>
        <w:fldChar w:fldCharType="end"/>
      </w:r>
      <w:r>
        <w:fldChar w:fldCharType="begin"/>
      </w:r>
      <w:r>
        <w:instrText xml:space="preserve"> XE "</w:instrText>
      </w:r>
      <w:r>
        <w:rPr>
          <w:lang w:val="en-US"/>
        </w:rPr>
        <w:instrText>Occupational health and counselling services</w:instrText>
      </w:r>
      <w:r>
        <w:instrText xml:space="preserve">" </w:instrText>
      </w:r>
      <w:r>
        <w:fldChar w:fldCharType="end"/>
      </w:r>
      <w:r>
        <w:fldChar w:fldCharType="begin"/>
      </w:r>
      <w:r>
        <w:instrText xml:space="preserve"> XE "</w:instrText>
      </w:r>
      <w:r>
        <w:rPr>
          <w:lang w:val="en-US"/>
        </w:rPr>
        <w:instrText>Training courses</w:instrText>
      </w:r>
      <w:r>
        <w:instrText xml:space="preserve">" </w:instrText>
      </w:r>
      <w:r>
        <w:fldChar w:fldCharType="end"/>
      </w:r>
    </w:p>
    <w:p w14:paraId="2086FC82" w14:textId="77777777" w:rsidR="00802D3E" w:rsidRDefault="00802D3E" w:rsidP="00802D3E">
      <w:pPr>
        <w:pStyle w:val="TESHeading5"/>
        <w:ind w:left="0" w:firstLine="0"/>
      </w:pPr>
      <w:r>
        <w:t>D2</w:t>
      </w:r>
      <w:r>
        <w:tab/>
        <w:t>Exemption for safety award benefits</w:t>
      </w:r>
    </w:p>
    <w:p w14:paraId="2086FC83" w14:textId="77777777" w:rsidR="00802D3E" w:rsidRDefault="00802D3E" w:rsidP="00802D3E">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C8C" w14:textId="77777777" w:rsidTr="00802D3E">
        <w:trPr>
          <w:cantSplit/>
          <w:jc w:val="center"/>
        </w:trPr>
        <w:tc>
          <w:tcPr>
            <w:tcW w:w="967" w:type="dxa"/>
            <w:tcBorders>
              <w:top w:val="single" w:sz="2" w:space="0" w:color="auto"/>
              <w:left w:val="nil"/>
              <w:bottom w:val="single" w:sz="2" w:space="0" w:color="auto"/>
              <w:right w:val="nil"/>
            </w:tcBorders>
            <w:hideMark/>
          </w:tcPr>
          <w:p w14:paraId="2086FC8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C8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C8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C8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C8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C8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C8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C8B" w14:textId="77777777" w:rsidR="00802D3E" w:rsidRDefault="00802D3E">
            <w:pPr>
              <w:pStyle w:val="MeasureTableTextRightAligned"/>
            </w:pPr>
            <w:r>
              <w:t>2019-20</w:t>
            </w:r>
          </w:p>
        </w:tc>
      </w:tr>
      <w:tr w:rsidR="00802D3E" w14:paraId="2086FC95" w14:textId="77777777" w:rsidTr="00802D3E">
        <w:trPr>
          <w:cantSplit/>
          <w:jc w:val="center"/>
        </w:trPr>
        <w:tc>
          <w:tcPr>
            <w:tcW w:w="967" w:type="dxa"/>
            <w:tcBorders>
              <w:top w:val="single" w:sz="2" w:space="0" w:color="auto"/>
              <w:left w:val="nil"/>
              <w:bottom w:val="single" w:sz="2" w:space="0" w:color="auto"/>
              <w:right w:val="nil"/>
            </w:tcBorders>
            <w:hideMark/>
          </w:tcPr>
          <w:p w14:paraId="2086FC8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C8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8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9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9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C9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C9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C94" w14:textId="77777777" w:rsidR="00802D3E" w:rsidRDefault="00802D3E">
            <w:pPr>
              <w:pStyle w:val="MeasureTableTextRightAligned"/>
            </w:pPr>
            <w:r>
              <w:t>*</w:t>
            </w:r>
          </w:p>
        </w:tc>
      </w:tr>
      <w:tr w:rsidR="00802D3E" w14:paraId="2086FC9A" w14:textId="77777777" w:rsidTr="00802D3E">
        <w:trPr>
          <w:cantSplit/>
          <w:jc w:val="center"/>
        </w:trPr>
        <w:tc>
          <w:tcPr>
            <w:tcW w:w="1934" w:type="dxa"/>
            <w:gridSpan w:val="2"/>
            <w:tcBorders>
              <w:top w:val="single" w:sz="2" w:space="0" w:color="auto"/>
              <w:left w:val="nil"/>
              <w:bottom w:val="nil"/>
              <w:right w:val="nil"/>
            </w:tcBorders>
            <w:hideMark/>
          </w:tcPr>
          <w:p w14:paraId="2086FC9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C9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C9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C99" w14:textId="77777777" w:rsidR="00802D3E" w:rsidRDefault="00802D3E">
            <w:pPr>
              <w:pStyle w:val="MeasureTableTextLeftAligned"/>
            </w:pPr>
            <w:r>
              <w:t>D2</w:t>
            </w:r>
          </w:p>
        </w:tc>
      </w:tr>
      <w:tr w:rsidR="00802D3E" w14:paraId="2086FC9F" w14:textId="77777777" w:rsidTr="00802D3E">
        <w:trPr>
          <w:cantSplit/>
          <w:jc w:val="center"/>
        </w:trPr>
        <w:tc>
          <w:tcPr>
            <w:tcW w:w="1934" w:type="dxa"/>
            <w:gridSpan w:val="2"/>
            <w:tcBorders>
              <w:top w:val="nil"/>
              <w:left w:val="nil"/>
              <w:bottom w:val="nil"/>
              <w:right w:val="nil"/>
            </w:tcBorders>
            <w:hideMark/>
          </w:tcPr>
          <w:p w14:paraId="2086FC9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C9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C9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C9E" w14:textId="77777777" w:rsidR="00802D3E" w:rsidRDefault="00802D3E">
            <w:pPr>
              <w:pStyle w:val="MeasureTableTextLeftAligned"/>
            </w:pPr>
            <w:r>
              <w:t>1+</w:t>
            </w:r>
          </w:p>
        </w:tc>
      </w:tr>
      <w:tr w:rsidR="00802D3E" w14:paraId="2086FCA4" w14:textId="77777777" w:rsidTr="00802D3E">
        <w:trPr>
          <w:cantSplit/>
          <w:jc w:val="center"/>
        </w:trPr>
        <w:tc>
          <w:tcPr>
            <w:tcW w:w="1934" w:type="dxa"/>
            <w:gridSpan w:val="2"/>
            <w:tcBorders>
              <w:top w:val="nil"/>
              <w:left w:val="nil"/>
              <w:bottom w:val="nil"/>
              <w:right w:val="nil"/>
            </w:tcBorders>
            <w:hideMark/>
          </w:tcPr>
          <w:p w14:paraId="2086FCA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CA1"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CA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CA3" w14:textId="77777777" w:rsidR="00802D3E" w:rsidRDefault="00802D3E">
            <w:pPr>
              <w:pStyle w:val="MeasureTableTextLeftAligned"/>
            </w:pPr>
          </w:p>
        </w:tc>
      </w:tr>
      <w:tr w:rsidR="00802D3E" w14:paraId="2086FCA7" w14:textId="77777777" w:rsidTr="00802D3E">
        <w:trPr>
          <w:cantSplit/>
          <w:jc w:val="center"/>
        </w:trPr>
        <w:tc>
          <w:tcPr>
            <w:tcW w:w="1934" w:type="dxa"/>
            <w:gridSpan w:val="2"/>
            <w:tcBorders>
              <w:top w:val="nil"/>
              <w:left w:val="nil"/>
              <w:bottom w:val="single" w:sz="2" w:space="0" w:color="auto"/>
              <w:right w:val="nil"/>
            </w:tcBorders>
            <w:hideMark/>
          </w:tcPr>
          <w:p w14:paraId="2086FCA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CA6" w14:textId="77777777" w:rsidR="00802D3E" w:rsidRPr="00482063" w:rsidRDefault="00802D3E" w:rsidP="00482063">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Section 58R of the </w:t>
            </w:r>
            <w:r w:rsidRPr="00482063">
              <w:rPr>
                <w:rFonts w:ascii="Arial" w:hAnsi="Arial" w:cs="Arial"/>
                <w:i/>
                <w:iCs/>
                <w:color w:val="000000"/>
                <w:sz w:val="16"/>
                <w:szCs w:val="16"/>
              </w:rPr>
              <w:t>Fringe Benefits Tax Assessment Act 1986</w:t>
            </w:r>
          </w:p>
        </w:tc>
      </w:tr>
    </w:tbl>
    <w:p w14:paraId="2086FCA8" w14:textId="77777777" w:rsidR="00802D3E" w:rsidRDefault="00802D3E" w:rsidP="00A109BC">
      <w:pPr>
        <w:pStyle w:val="SingleParagraph"/>
      </w:pPr>
    </w:p>
    <w:p w14:paraId="2086FCA9" w14:textId="77777777" w:rsidR="00802D3E" w:rsidRDefault="00802D3E" w:rsidP="00802D3E">
      <w:r>
        <w:t>An award related to occupational health</w:t>
      </w:r>
      <w:r>
        <w:fldChar w:fldCharType="begin"/>
      </w:r>
      <w:r>
        <w:instrText xml:space="preserve"> XE "Occupational health or safety awards" </w:instrText>
      </w:r>
      <w:r>
        <w:fldChar w:fldCharType="end"/>
      </w:r>
      <w:r>
        <w:t xml:space="preserve"> or an occupational safety achievement that is granted to an employee is exempt from fringe benefits tax if its value does not exceed $200 per year. </w:t>
      </w:r>
    </w:p>
    <w:p w14:paraId="2086FCAA" w14:textId="77777777" w:rsidR="00802D3E" w:rsidRDefault="00802D3E" w:rsidP="00802D3E">
      <w:pPr>
        <w:pStyle w:val="TESHeading5"/>
        <w:ind w:left="0" w:firstLine="0"/>
      </w:pPr>
      <w:r>
        <w:t>D3</w:t>
      </w:r>
      <w:r>
        <w:tab/>
        <w:t>Reduction in taxable value for car expenses incurred for occupational health and counselling services and some training courses</w:t>
      </w:r>
    </w:p>
    <w:p w14:paraId="2086FCAB" w14:textId="77777777" w:rsidR="00802D3E" w:rsidRDefault="00802D3E" w:rsidP="00802D3E">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CB4" w14:textId="77777777" w:rsidTr="00802D3E">
        <w:trPr>
          <w:cantSplit/>
          <w:jc w:val="center"/>
        </w:trPr>
        <w:tc>
          <w:tcPr>
            <w:tcW w:w="967" w:type="dxa"/>
            <w:tcBorders>
              <w:top w:val="single" w:sz="2" w:space="0" w:color="auto"/>
              <w:left w:val="nil"/>
              <w:bottom w:val="single" w:sz="2" w:space="0" w:color="auto"/>
              <w:right w:val="nil"/>
            </w:tcBorders>
            <w:hideMark/>
          </w:tcPr>
          <w:p w14:paraId="2086FCA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CA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CA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CA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CB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CB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CB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CB3" w14:textId="77777777" w:rsidR="00802D3E" w:rsidRDefault="00802D3E">
            <w:pPr>
              <w:pStyle w:val="MeasureTableTextRightAligned"/>
            </w:pPr>
            <w:r>
              <w:t>2019-20</w:t>
            </w:r>
          </w:p>
        </w:tc>
      </w:tr>
      <w:tr w:rsidR="00802D3E" w14:paraId="2086FCBD" w14:textId="77777777" w:rsidTr="00802D3E">
        <w:trPr>
          <w:cantSplit/>
          <w:jc w:val="center"/>
        </w:trPr>
        <w:tc>
          <w:tcPr>
            <w:tcW w:w="967" w:type="dxa"/>
            <w:tcBorders>
              <w:top w:val="single" w:sz="2" w:space="0" w:color="auto"/>
              <w:left w:val="nil"/>
              <w:bottom w:val="single" w:sz="2" w:space="0" w:color="auto"/>
              <w:right w:val="nil"/>
            </w:tcBorders>
            <w:hideMark/>
          </w:tcPr>
          <w:p w14:paraId="2086FCB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CB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B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B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B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CB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CB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CBC" w14:textId="77777777" w:rsidR="00802D3E" w:rsidRDefault="00802D3E">
            <w:pPr>
              <w:pStyle w:val="MeasureTableTextRightAligned"/>
            </w:pPr>
            <w:r>
              <w:t>*</w:t>
            </w:r>
          </w:p>
        </w:tc>
      </w:tr>
      <w:tr w:rsidR="00802D3E" w14:paraId="2086FCC2" w14:textId="77777777" w:rsidTr="00802D3E">
        <w:trPr>
          <w:cantSplit/>
          <w:jc w:val="center"/>
        </w:trPr>
        <w:tc>
          <w:tcPr>
            <w:tcW w:w="1934" w:type="dxa"/>
            <w:gridSpan w:val="2"/>
            <w:tcBorders>
              <w:top w:val="single" w:sz="2" w:space="0" w:color="auto"/>
              <w:left w:val="nil"/>
              <w:bottom w:val="nil"/>
              <w:right w:val="nil"/>
            </w:tcBorders>
            <w:hideMark/>
          </w:tcPr>
          <w:p w14:paraId="2086FCB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CBF" w14:textId="77777777" w:rsidR="00802D3E" w:rsidRDefault="00802D3E">
            <w:pPr>
              <w:pStyle w:val="MeasureTableTextLeftAligned"/>
            </w:pPr>
            <w:r>
              <w:t>Reduction in taxable value</w:t>
            </w:r>
          </w:p>
        </w:tc>
        <w:tc>
          <w:tcPr>
            <w:tcW w:w="1500" w:type="dxa"/>
            <w:gridSpan w:val="2"/>
            <w:tcBorders>
              <w:top w:val="single" w:sz="2" w:space="0" w:color="auto"/>
              <w:left w:val="nil"/>
              <w:bottom w:val="nil"/>
              <w:right w:val="nil"/>
            </w:tcBorders>
            <w:hideMark/>
          </w:tcPr>
          <w:p w14:paraId="2086FCC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CC1" w14:textId="77777777" w:rsidR="00802D3E" w:rsidRDefault="00802D3E">
            <w:pPr>
              <w:pStyle w:val="MeasureTableTextLeftAligned"/>
            </w:pPr>
            <w:r>
              <w:t>D3</w:t>
            </w:r>
          </w:p>
        </w:tc>
      </w:tr>
      <w:tr w:rsidR="00802D3E" w14:paraId="2086FCC7" w14:textId="77777777" w:rsidTr="00802D3E">
        <w:trPr>
          <w:cantSplit/>
          <w:jc w:val="center"/>
        </w:trPr>
        <w:tc>
          <w:tcPr>
            <w:tcW w:w="1934" w:type="dxa"/>
            <w:gridSpan w:val="2"/>
            <w:tcBorders>
              <w:top w:val="nil"/>
              <w:left w:val="nil"/>
              <w:bottom w:val="nil"/>
              <w:right w:val="nil"/>
            </w:tcBorders>
            <w:hideMark/>
          </w:tcPr>
          <w:p w14:paraId="2086FCC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CC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CC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CC6" w14:textId="77777777" w:rsidR="00802D3E" w:rsidRDefault="00802D3E">
            <w:pPr>
              <w:pStyle w:val="MeasureTableTextLeftAligned"/>
            </w:pPr>
            <w:r>
              <w:t>1+</w:t>
            </w:r>
          </w:p>
        </w:tc>
      </w:tr>
      <w:tr w:rsidR="00802D3E" w14:paraId="2086FCCC" w14:textId="77777777" w:rsidTr="00802D3E">
        <w:trPr>
          <w:cantSplit/>
          <w:jc w:val="center"/>
        </w:trPr>
        <w:tc>
          <w:tcPr>
            <w:tcW w:w="1934" w:type="dxa"/>
            <w:gridSpan w:val="2"/>
            <w:tcBorders>
              <w:top w:val="nil"/>
              <w:left w:val="nil"/>
              <w:bottom w:val="nil"/>
              <w:right w:val="nil"/>
            </w:tcBorders>
            <w:hideMark/>
          </w:tcPr>
          <w:p w14:paraId="2086FCC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CC9"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CC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CCB" w14:textId="77777777" w:rsidR="00802D3E" w:rsidRDefault="00802D3E">
            <w:pPr>
              <w:pStyle w:val="MeasureTableTextLeftAligned"/>
            </w:pPr>
          </w:p>
        </w:tc>
      </w:tr>
      <w:tr w:rsidR="00802D3E" w14:paraId="2086FCCF" w14:textId="77777777" w:rsidTr="00802D3E">
        <w:trPr>
          <w:cantSplit/>
          <w:jc w:val="center"/>
        </w:trPr>
        <w:tc>
          <w:tcPr>
            <w:tcW w:w="1934" w:type="dxa"/>
            <w:gridSpan w:val="2"/>
            <w:tcBorders>
              <w:top w:val="nil"/>
              <w:left w:val="nil"/>
              <w:bottom w:val="single" w:sz="2" w:space="0" w:color="auto"/>
              <w:right w:val="nil"/>
            </w:tcBorders>
            <w:hideMark/>
          </w:tcPr>
          <w:p w14:paraId="2086FCC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CCE" w14:textId="77777777" w:rsidR="00802D3E" w:rsidRPr="00482063" w:rsidRDefault="00802D3E" w:rsidP="00482063">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Section 61F of the </w:t>
            </w:r>
            <w:r w:rsidRPr="00482063">
              <w:rPr>
                <w:rFonts w:ascii="Arial" w:hAnsi="Arial" w:cs="Arial"/>
                <w:i/>
                <w:iCs/>
                <w:color w:val="000000"/>
                <w:sz w:val="16"/>
                <w:szCs w:val="16"/>
              </w:rPr>
              <w:t>Fringe Benefits Tax Assessment Act 1986</w:t>
            </w:r>
          </w:p>
        </w:tc>
      </w:tr>
    </w:tbl>
    <w:p w14:paraId="2086FCD0" w14:textId="77777777" w:rsidR="00802D3E" w:rsidRDefault="00802D3E" w:rsidP="00A109BC">
      <w:pPr>
        <w:pStyle w:val="SingleParagraph"/>
      </w:pPr>
    </w:p>
    <w:p w14:paraId="2086FCD1" w14:textId="77777777" w:rsidR="00802D3E" w:rsidRDefault="00802D3E" w:rsidP="00802D3E">
      <w:r>
        <w:t>The taxable value of a fringe benefit may be reduced where an employee travels in their own car for the purpose of attending a work related medical examination, screening, preventative health care or counselling session, or for migrant language training and is reimbursed for the car expenses incurred calculated based on the distance travelled by the car.</w:t>
      </w:r>
      <w:r>
        <w:fldChar w:fldCharType="begin"/>
      </w:r>
      <w:r>
        <w:instrText xml:space="preserve"> XE "</w:instrText>
      </w:r>
      <w:r>
        <w:rPr>
          <w:lang w:val="en-US"/>
        </w:rPr>
        <w:instrText>Occupational health and counselling services</w:instrText>
      </w:r>
      <w:r>
        <w:instrText xml:space="preserve">" </w:instrText>
      </w:r>
      <w:r>
        <w:fldChar w:fldCharType="end"/>
      </w:r>
      <w:r>
        <w:fldChar w:fldCharType="begin"/>
      </w:r>
      <w:r>
        <w:instrText xml:space="preserve"> XE "</w:instrText>
      </w:r>
      <w:r>
        <w:rPr>
          <w:lang w:val="en-US"/>
        </w:rPr>
        <w:instrText>Training courses</w:instrText>
      </w:r>
      <w:r>
        <w:instrText xml:space="preserve">" </w:instrText>
      </w:r>
      <w:r>
        <w:fldChar w:fldCharType="end"/>
      </w:r>
      <w:r>
        <w:fldChar w:fldCharType="begin"/>
      </w:r>
      <w:r>
        <w:instrText xml:space="preserve"> XE "</w:instrText>
      </w:r>
      <w:r>
        <w:rPr>
          <w:lang w:val="en-US"/>
        </w:rPr>
        <w:instrText>Fringe benefits tax:Car benefits</w:instrText>
      </w:r>
      <w:r>
        <w:instrText xml:space="preserve">" </w:instrText>
      </w:r>
      <w:r>
        <w:fldChar w:fldCharType="end"/>
      </w:r>
    </w:p>
    <w:p w14:paraId="2086FCD2" w14:textId="77777777" w:rsidR="00802D3E" w:rsidRDefault="00802D3E" w:rsidP="00802D3E">
      <w:pPr>
        <w:pStyle w:val="TESHeading5"/>
        <w:ind w:left="0" w:firstLine="0"/>
      </w:pPr>
      <w:r>
        <w:lastRenderedPageBreak/>
        <w:t>D4</w:t>
      </w:r>
      <w:r>
        <w:tab/>
        <w:t>Exemption for benefits provided by certain international organisations</w:t>
      </w:r>
    </w:p>
    <w:p w14:paraId="2086FCD3" w14:textId="77777777" w:rsidR="00802D3E" w:rsidRDefault="00802D3E" w:rsidP="00802D3E">
      <w:pPr>
        <w:pStyle w:val="MeasureTableHeading"/>
      </w:pPr>
      <w:r>
        <w:t xml:space="preserve">General public services </w:t>
      </w:r>
      <w:r w:rsidR="000B181C">
        <w:t>–</w:t>
      </w:r>
      <w:r>
        <w:t xml:space="preserve"> Foreign</w:t>
      </w:r>
      <w:r w:rsidR="000B181C">
        <w:t xml:space="preserve"> </w:t>
      </w:r>
      <w:r>
        <w:t>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CDC" w14:textId="77777777" w:rsidTr="00802D3E">
        <w:trPr>
          <w:cantSplit/>
          <w:jc w:val="center"/>
        </w:trPr>
        <w:tc>
          <w:tcPr>
            <w:tcW w:w="967" w:type="dxa"/>
            <w:tcBorders>
              <w:top w:val="single" w:sz="2" w:space="0" w:color="auto"/>
              <w:left w:val="nil"/>
              <w:bottom w:val="single" w:sz="2" w:space="0" w:color="auto"/>
              <w:right w:val="nil"/>
            </w:tcBorders>
            <w:hideMark/>
          </w:tcPr>
          <w:p w14:paraId="2086FCD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CD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CD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CD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CD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CD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CD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CDB" w14:textId="77777777" w:rsidR="00802D3E" w:rsidRDefault="00802D3E">
            <w:pPr>
              <w:pStyle w:val="MeasureTableTextRightAligned"/>
            </w:pPr>
            <w:r>
              <w:t>2019-20</w:t>
            </w:r>
          </w:p>
        </w:tc>
      </w:tr>
      <w:tr w:rsidR="00802D3E" w14:paraId="2086FCE5" w14:textId="77777777" w:rsidTr="00802D3E">
        <w:trPr>
          <w:cantSplit/>
          <w:jc w:val="center"/>
        </w:trPr>
        <w:tc>
          <w:tcPr>
            <w:tcW w:w="967" w:type="dxa"/>
            <w:tcBorders>
              <w:top w:val="single" w:sz="2" w:space="0" w:color="auto"/>
              <w:left w:val="nil"/>
              <w:bottom w:val="single" w:sz="2" w:space="0" w:color="auto"/>
              <w:right w:val="nil"/>
            </w:tcBorders>
            <w:hideMark/>
          </w:tcPr>
          <w:p w14:paraId="2086FCD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CD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D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E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CE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CE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CE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CE4" w14:textId="77777777" w:rsidR="00802D3E" w:rsidRDefault="00802D3E">
            <w:pPr>
              <w:pStyle w:val="MeasureTableTextRightAligned"/>
            </w:pPr>
            <w:r>
              <w:t>*</w:t>
            </w:r>
          </w:p>
        </w:tc>
      </w:tr>
      <w:tr w:rsidR="00802D3E" w14:paraId="2086FCEA" w14:textId="77777777" w:rsidTr="00802D3E">
        <w:trPr>
          <w:cantSplit/>
          <w:jc w:val="center"/>
        </w:trPr>
        <w:tc>
          <w:tcPr>
            <w:tcW w:w="1934" w:type="dxa"/>
            <w:gridSpan w:val="2"/>
            <w:tcBorders>
              <w:top w:val="single" w:sz="2" w:space="0" w:color="auto"/>
              <w:left w:val="nil"/>
              <w:bottom w:val="nil"/>
              <w:right w:val="nil"/>
            </w:tcBorders>
            <w:hideMark/>
          </w:tcPr>
          <w:p w14:paraId="2086FCE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CE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CE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CE9" w14:textId="77777777" w:rsidR="00802D3E" w:rsidRDefault="00802D3E">
            <w:pPr>
              <w:pStyle w:val="MeasureTableTextLeftAligned"/>
            </w:pPr>
            <w:r>
              <w:t>D4</w:t>
            </w:r>
          </w:p>
        </w:tc>
      </w:tr>
      <w:tr w:rsidR="00802D3E" w14:paraId="2086FCEF" w14:textId="77777777" w:rsidTr="00802D3E">
        <w:trPr>
          <w:cantSplit/>
          <w:jc w:val="center"/>
        </w:trPr>
        <w:tc>
          <w:tcPr>
            <w:tcW w:w="1934" w:type="dxa"/>
            <w:gridSpan w:val="2"/>
            <w:tcBorders>
              <w:top w:val="nil"/>
              <w:left w:val="nil"/>
              <w:bottom w:val="nil"/>
              <w:right w:val="nil"/>
            </w:tcBorders>
            <w:hideMark/>
          </w:tcPr>
          <w:p w14:paraId="2086FCE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CE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CE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CEE" w14:textId="77777777" w:rsidR="00802D3E" w:rsidRDefault="00802D3E">
            <w:pPr>
              <w:pStyle w:val="MeasureTableTextLeftAligned"/>
            </w:pPr>
            <w:r>
              <w:t>1+</w:t>
            </w:r>
          </w:p>
        </w:tc>
      </w:tr>
      <w:tr w:rsidR="00802D3E" w14:paraId="2086FCF4" w14:textId="77777777" w:rsidTr="00802D3E">
        <w:trPr>
          <w:cantSplit/>
          <w:jc w:val="center"/>
        </w:trPr>
        <w:tc>
          <w:tcPr>
            <w:tcW w:w="1934" w:type="dxa"/>
            <w:gridSpan w:val="2"/>
            <w:tcBorders>
              <w:top w:val="nil"/>
              <w:left w:val="nil"/>
              <w:bottom w:val="nil"/>
              <w:right w:val="nil"/>
            </w:tcBorders>
            <w:hideMark/>
          </w:tcPr>
          <w:p w14:paraId="2086FCF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CF1"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CF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CF3" w14:textId="77777777" w:rsidR="00802D3E" w:rsidRDefault="00802D3E">
            <w:pPr>
              <w:pStyle w:val="MeasureTableTextLeftAligned"/>
            </w:pPr>
          </w:p>
        </w:tc>
      </w:tr>
      <w:tr w:rsidR="00802D3E" w14:paraId="2086FCF7" w14:textId="77777777" w:rsidTr="00802D3E">
        <w:trPr>
          <w:cantSplit/>
          <w:jc w:val="center"/>
        </w:trPr>
        <w:tc>
          <w:tcPr>
            <w:tcW w:w="1934" w:type="dxa"/>
            <w:gridSpan w:val="2"/>
            <w:tcBorders>
              <w:top w:val="nil"/>
              <w:left w:val="nil"/>
              <w:bottom w:val="single" w:sz="2" w:space="0" w:color="auto"/>
              <w:right w:val="nil"/>
            </w:tcBorders>
            <w:hideMark/>
          </w:tcPr>
          <w:p w14:paraId="2086FCF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CF6" w14:textId="77777777" w:rsidR="00802D3E" w:rsidRPr="00482063" w:rsidRDefault="00802D3E" w:rsidP="00482063">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Sections 55 and 56 of the </w:t>
            </w:r>
            <w:r w:rsidRPr="00482063">
              <w:rPr>
                <w:rFonts w:ascii="Arial" w:hAnsi="Arial" w:cs="Arial"/>
                <w:i/>
                <w:iCs/>
                <w:color w:val="000000"/>
                <w:sz w:val="16"/>
                <w:szCs w:val="16"/>
              </w:rPr>
              <w:t>Fringe Benefits Tax Assessment Act 1986</w:t>
            </w:r>
          </w:p>
        </w:tc>
      </w:tr>
    </w:tbl>
    <w:p w14:paraId="2086FCF8" w14:textId="77777777" w:rsidR="00802D3E" w:rsidRDefault="00802D3E" w:rsidP="00A109BC">
      <w:pPr>
        <w:pStyle w:val="SingleParagraph"/>
      </w:pPr>
    </w:p>
    <w:p w14:paraId="2086FCF9" w14:textId="77777777" w:rsidR="00802D3E" w:rsidRDefault="00802D3E" w:rsidP="000D700A">
      <w:pPr>
        <w:spacing w:after="100" w:afterAutospacing="1" w:line="240" w:lineRule="auto"/>
        <w:rPr>
          <w:rFonts w:ascii="Times New Roman" w:hAnsi="Times New Roman"/>
          <w:sz w:val="26"/>
          <w:szCs w:val="26"/>
          <w:lang w:val="en"/>
        </w:rPr>
      </w:pPr>
      <w:r>
        <w:t>An exemption from fringe benefits tax applies to benefits provided by certain international organisations</w:t>
      </w:r>
      <w:r>
        <w:fldChar w:fldCharType="begin"/>
      </w:r>
      <w:r>
        <w:instrText xml:space="preserve"> XE "International organisations" </w:instrText>
      </w:r>
      <w:r>
        <w:fldChar w:fldCharType="end"/>
      </w:r>
      <w:r>
        <w:t xml:space="preserve"> that are exempt from income tax and other taxes by virtue of the </w:t>
      </w:r>
      <w:r>
        <w:rPr>
          <w:i/>
        </w:rPr>
        <w:t xml:space="preserve">International Organisations (Privileges and Immunities) Act 1963, </w:t>
      </w:r>
      <w:r>
        <w:rPr>
          <w:lang w:val="en"/>
        </w:rPr>
        <w:t xml:space="preserve">the </w:t>
      </w:r>
      <w:r>
        <w:rPr>
          <w:i/>
          <w:iCs/>
          <w:lang w:val="en"/>
        </w:rPr>
        <w:t xml:space="preserve">Consular Privileges and Immunities Act 1972 </w:t>
      </w:r>
      <w:r>
        <w:rPr>
          <w:lang w:val="en"/>
        </w:rPr>
        <w:t>or the</w:t>
      </w:r>
      <w:r>
        <w:rPr>
          <w:i/>
          <w:iCs/>
          <w:lang w:val="en"/>
        </w:rPr>
        <w:t xml:space="preserve"> Diplomatic Privileges and Immunities Act 1967</w:t>
      </w:r>
      <w:r>
        <w:t xml:space="preserve"> and by organisations established under international agreements which oblige Australia to grant the organisation a general tax exemption.</w:t>
      </w:r>
      <w:r>
        <w:rPr>
          <w:rFonts w:ascii="Times New Roman" w:hAnsi="Times New Roman"/>
          <w:sz w:val="26"/>
          <w:szCs w:val="26"/>
          <w:lang w:val="en"/>
        </w:rPr>
        <w:t xml:space="preserve"> </w:t>
      </w:r>
    </w:p>
    <w:p w14:paraId="2086FCFA" w14:textId="77777777" w:rsidR="00802D3E" w:rsidRDefault="00802D3E" w:rsidP="00802D3E">
      <w:pPr>
        <w:pStyle w:val="TESHeading5"/>
        <w:ind w:left="0" w:firstLine="0"/>
      </w:pPr>
      <w:r>
        <w:t>D5</w:t>
      </w:r>
      <w:r>
        <w:tab/>
        <w:t>Exemption for benefits received by Australian Government employees in receipt of military compensation payments</w:t>
      </w:r>
    </w:p>
    <w:p w14:paraId="2086FCFB"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D04" w14:textId="77777777" w:rsidTr="00802D3E">
        <w:trPr>
          <w:cantSplit/>
          <w:jc w:val="center"/>
        </w:trPr>
        <w:tc>
          <w:tcPr>
            <w:tcW w:w="967" w:type="dxa"/>
            <w:tcBorders>
              <w:top w:val="single" w:sz="2" w:space="0" w:color="auto"/>
              <w:left w:val="nil"/>
              <w:bottom w:val="single" w:sz="2" w:space="0" w:color="auto"/>
              <w:right w:val="nil"/>
            </w:tcBorders>
            <w:hideMark/>
          </w:tcPr>
          <w:p w14:paraId="2086FCF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CF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CF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CF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D0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D0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D0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D03" w14:textId="77777777" w:rsidR="00802D3E" w:rsidRDefault="00802D3E">
            <w:pPr>
              <w:pStyle w:val="MeasureTableTextRightAligned"/>
            </w:pPr>
            <w:r>
              <w:t>2019-20</w:t>
            </w:r>
          </w:p>
        </w:tc>
      </w:tr>
      <w:tr w:rsidR="00802D3E" w14:paraId="2086FD0D" w14:textId="77777777" w:rsidTr="00802D3E">
        <w:trPr>
          <w:cantSplit/>
          <w:jc w:val="center"/>
        </w:trPr>
        <w:tc>
          <w:tcPr>
            <w:tcW w:w="967" w:type="dxa"/>
            <w:tcBorders>
              <w:top w:val="single" w:sz="2" w:space="0" w:color="auto"/>
              <w:left w:val="nil"/>
              <w:bottom w:val="single" w:sz="2" w:space="0" w:color="auto"/>
              <w:right w:val="nil"/>
            </w:tcBorders>
            <w:hideMark/>
          </w:tcPr>
          <w:p w14:paraId="2086FD05" w14:textId="77777777" w:rsidR="00802D3E" w:rsidRDefault="00802D3E">
            <w:pPr>
              <w:pStyle w:val="MeasureTableTextRightAligned"/>
            </w:pPr>
            <w:r>
              <w:t>35</w:t>
            </w:r>
          </w:p>
        </w:tc>
        <w:tc>
          <w:tcPr>
            <w:tcW w:w="967" w:type="dxa"/>
            <w:tcBorders>
              <w:top w:val="single" w:sz="2" w:space="0" w:color="auto"/>
              <w:left w:val="nil"/>
              <w:bottom w:val="single" w:sz="2" w:space="0" w:color="auto"/>
              <w:right w:val="nil"/>
            </w:tcBorders>
            <w:hideMark/>
          </w:tcPr>
          <w:p w14:paraId="2086FD06" w14:textId="77777777" w:rsidR="00802D3E" w:rsidRDefault="00802D3E">
            <w:pPr>
              <w:pStyle w:val="MeasureTableTextRightAligned"/>
            </w:pPr>
            <w:r>
              <w:t>40</w:t>
            </w:r>
          </w:p>
        </w:tc>
        <w:tc>
          <w:tcPr>
            <w:tcW w:w="967" w:type="dxa"/>
            <w:tcBorders>
              <w:top w:val="single" w:sz="2" w:space="0" w:color="auto"/>
              <w:left w:val="nil"/>
              <w:bottom w:val="single" w:sz="2" w:space="0" w:color="auto"/>
              <w:right w:val="nil"/>
            </w:tcBorders>
            <w:vAlign w:val="bottom"/>
            <w:hideMark/>
          </w:tcPr>
          <w:p w14:paraId="2086FD07" w14:textId="77777777" w:rsidR="00802D3E" w:rsidRDefault="00802D3E">
            <w:pPr>
              <w:pStyle w:val="MeasureTableTextRightAligned"/>
            </w:pPr>
            <w:r>
              <w:t>50</w:t>
            </w:r>
          </w:p>
        </w:tc>
        <w:tc>
          <w:tcPr>
            <w:tcW w:w="967" w:type="dxa"/>
            <w:tcBorders>
              <w:top w:val="single" w:sz="2" w:space="0" w:color="auto"/>
              <w:left w:val="nil"/>
              <w:bottom w:val="single" w:sz="2" w:space="0" w:color="auto"/>
              <w:right w:val="nil"/>
            </w:tcBorders>
            <w:vAlign w:val="bottom"/>
            <w:hideMark/>
          </w:tcPr>
          <w:p w14:paraId="2086FD08" w14:textId="77777777" w:rsidR="00802D3E" w:rsidRDefault="00802D3E">
            <w:pPr>
              <w:pStyle w:val="MeasureTableTextRightAligned"/>
            </w:pPr>
            <w:r>
              <w:t>60</w:t>
            </w:r>
          </w:p>
        </w:tc>
        <w:tc>
          <w:tcPr>
            <w:tcW w:w="967" w:type="dxa"/>
            <w:tcBorders>
              <w:top w:val="single" w:sz="2" w:space="0" w:color="auto"/>
              <w:left w:val="nil"/>
              <w:bottom w:val="single" w:sz="2" w:space="0" w:color="auto"/>
              <w:right w:val="nil"/>
            </w:tcBorders>
            <w:vAlign w:val="bottom"/>
            <w:hideMark/>
          </w:tcPr>
          <w:p w14:paraId="2086FD09" w14:textId="77777777" w:rsidR="00802D3E" w:rsidRDefault="00802D3E">
            <w:pPr>
              <w:pStyle w:val="MeasureTableTextRightAligned"/>
            </w:pPr>
            <w:r>
              <w:t>60</w:t>
            </w:r>
          </w:p>
        </w:tc>
        <w:tc>
          <w:tcPr>
            <w:tcW w:w="967" w:type="dxa"/>
            <w:gridSpan w:val="2"/>
            <w:tcBorders>
              <w:top w:val="single" w:sz="2" w:space="0" w:color="auto"/>
              <w:left w:val="nil"/>
              <w:bottom w:val="single" w:sz="2" w:space="0" w:color="auto"/>
              <w:right w:val="nil"/>
            </w:tcBorders>
            <w:vAlign w:val="bottom"/>
            <w:hideMark/>
          </w:tcPr>
          <w:p w14:paraId="2086FD0A" w14:textId="77777777" w:rsidR="00802D3E" w:rsidRDefault="00802D3E">
            <w:pPr>
              <w:pStyle w:val="MeasureTableTextRightAligned"/>
            </w:pPr>
            <w:r>
              <w:t>60</w:t>
            </w:r>
          </w:p>
        </w:tc>
        <w:tc>
          <w:tcPr>
            <w:tcW w:w="967" w:type="dxa"/>
            <w:gridSpan w:val="2"/>
            <w:tcBorders>
              <w:top w:val="single" w:sz="2" w:space="0" w:color="auto"/>
              <w:left w:val="nil"/>
              <w:bottom w:val="single" w:sz="2" w:space="0" w:color="auto"/>
              <w:right w:val="nil"/>
            </w:tcBorders>
            <w:vAlign w:val="bottom"/>
            <w:hideMark/>
          </w:tcPr>
          <w:p w14:paraId="2086FD0B" w14:textId="77777777" w:rsidR="00802D3E" w:rsidRDefault="00802D3E">
            <w:pPr>
              <w:pStyle w:val="MeasureTableTextRightAligned"/>
            </w:pPr>
            <w:r>
              <w:t>60</w:t>
            </w:r>
          </w:p>
        </w:tc>
        <w:tc>
          <w:tcPr>
            <w:tcW w:w="968" w:type="dxa"/>
            <w:tcBorders>
              <w:top w:val="single" w:sz="2" w:space="0" w:color="auto"/>
              <w:left w:val="nil"/>
              <w:bottom w:val="single" w:sz="2" w:space="0" w:color="auto"/>
              <w:right w:val="nil"/>
            </w:tcBorders>
            <w:vAlign w:val="bottom"/>
            <w:hideMark/>
          </w:tcPr>
          <w:p w14:paraId="2086FD0C" w14:textId="77777777" w:rsidR="00802D3E" w:rsidRDefault="00802D3E">
            <w:pPr>
              <w:pStyle w:val="MeasureTableTextRightAligned"/>
            </w:pPr>
            <w:r>
              <w:t>65</w:t>
            </w:r>
          </w:p>
        </w:tc>
      </w:tr>
      <w:tr w:rsidR="00802D3E" w14:paraId="2086FD12" w14:textId="77777777" w:rsidTr="00802D3E">
        <w:trPr>
          <w:cantSplit/>
          <w:jc w:val="center"/>
        </w:trPr>
        <w:tc>
          <w:tcPr>
            <w:tcW w:w="1934" w:type="dxa"/>
            <w:gridSpan w:val="2"/>
            <w:tcBorders>
              <w:top w:val="single" w:sz="2" w:space="0" w:color="auto"/>
              <w:left w:val="nil"/>
              <w:bottom w:val="nil"/>
              <w:right w:val="nil"/>
            </w:tcBorders>
            <w:hideMark/>
          </w:tcPr>
          <w:p w14:paraId="2086FD0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D0F"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D1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D11" w14:textId="77777777" w:rsidR="00802D3E" w:rsidRDefault="00802D3E">
            <w:pPr>
              <w:pStyle w:val="MeasureTableTextLeftAligned"/>
            </w:pPr>
            <w:r>
              <w:t>D5</w:t>
            </w:r>
          </w:p>
        </w:tc>
      </w:tr>
      <w:tr w:rsidR="00802D3E" w14:paraId="2086FD17" w14:textId="77777777" w:rsidTr="00802D3E">
        <w:trPr>
          <w:cantSplit/>
          <w:jc w:val="center"/>
        </w:trPr>
        <w:tc>
          <w:tcPr>
            <w:tcW w:w="1934" w:type="dxa"/>
            <w:gridSpan w:val="2"/>
            <w:tcBorders>
              <w:top w:val="nil"/>
              <w:left w:val="nil"/>
              <w:bottom w:val="nil"/>
              <w:right w:val="nil"/>
            </w:tcBorders>
            <w:hideMark/>
          </w:tcPr>
          <w:p w14:paraId="2086FD1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D14"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D15" w14:textId="77777777" w:rsidR="00802D3E" w:rsidRDefault="00802D3E">
            <w:pPr>
              <w:pStyle w:val="MeasureTableTextItalic"/>
            </w:pPr>
          </w:p>
        </w:tc>
        <w:tc>
          <w:tcPr>
            <w:tcW w:w="1124" w:type="dxa"/>
            <w:gridSpan w:val="2"/>
            <w:tcBorders>
              <w:top w:val="nil"/>
              <w:left w:val="nil"/>
              <w:bottom w:val="nil"/>
              <w:right w:val="nil"/>
            </w:tcBorders>
          </w:tcPr>
          <w:p w14:paraId="2086FD16" w14:textId="77777777" w:rsidR="00802D3E" w:rsidRDefault="00802D3E">
            <w:pPr>
              <w:pStyle w:val="MeasureTableTextLeftAligned"/>
            </w:pPr>
          </w:p>
        </w:tc>
      </w:tr>
      <w:tr w:rsidR="00802D3E" w14:paraId="2086FD1C" w14:textId="77777777" w:rsidTr="00802D3E">
        <w:trPr>
          <w:cantSplit/>
          <w:jc w:val="center"/>
        </w:trPr>
        <w:tc>
          <w:tcPr>
            <w:tcW w:w="1934" w:type="dxa"/>
            <w:gridSpan w:val="2"/>
            <w:tcBorders>
              <w:top w:val="nil"/>
              <w:left w:val="nil"/>
              <w:bottom w:val="nil"/>
              <w:right w:val="nil"/>
            </w:tcBorders>
            <w:hideMark/>
          </w:tcPr>
          <w:p w14:paraId="2086FD1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D19" w14:textId="77777777" w:rsidR="00802D3E" w:rsidRDefault="00802D3E">
            <w:pPr>
              <w:pStyle w:val="MeasureTableTextLeftAligned"/>
            </w:pPr>
            <w:r>
              <w:t>1995</w:t>
            </w:r>
          </w:p>
        </w:tc>
        <w:tc>
          <w:tcPr>
            <w:tcW w:w="1500" w:type="dxa"/>
            <w:gridSpan w:val="2"/>
            <w:tcBorders>
              <w:top w:val="nil"/>
              <w:left w:val="nil"/>
              <w:bottom w:val="nil"/>
              <w:right w:val="nil"/>
            </w:tcBorders>
            <w:hideMark/>
          </w:tcPr>
          <w:p w14:paraId="2086FD1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D1B" w14:textId="77777777" w:rsidR="00802D3E" w:rsidRDefault="00802D3E">
            <w:pPr>
              <w:pStyle w:val="MeasureTableTextLeftAligned"/>
            </w:pPr>
          </w:p>
        </w:tc>
      </w:tr>
      <w:tr w:rsidR="00802D3E" w14:paraId="2086FD1F" w14:textId="77777777" w:rsidTr="00802D3E">
        <w:trPr>
          <w:cantSplit/>
          <w:jc w:val="center"/>
        </w:trPr>
        <w:tc>
          <w:tcPr>
            <w:tcW w:w="1934" w:type="dxa"/>
            <w:gridSpan w:val="2"/>
            <w:tcBorders>
              <w:top w:val="nil"/>
              <w:left w:val="nil"/>
              <w:bottom w:val="single" w:sz="2" w:space="0" w:color="auto"/>
              <w:right w:val="nil"/>
            </w:tcBorders>
            <w:hideMark/>
          </w:tcPr>
          <w:p w14:paraId="2086FD1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D1E" w14:textId="77777777" w:rsidR="00802D3E" w:rsidRPr="00482063" w:rsidRDefault="00802D3E" w:rsidP="00482063">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Sections 6AA and 6AB of the </w:t>
            </w:r>
            <w:r w:rsidRPr="00482063">
              <w:rPr>
                <w:rFonts w:ascii="Arial" w:hAnsi="Arial" w:cs="Arial"/>
                <w:i/>
                <w:iCs/>
                <w:color w:val="000000"/>
                <w:sz w:val="16"/>
                <w:szCs w:val="16"/>
              </w:rPr>
              <w:t>Fringe Benefits Tax (Application to the Commonwealth) Act 1986</w:t>
            </w:r>
          </w:p>
        </w:tc>
      </w:tr>
    </w:tbl>
    <w:p w14:paraId="2086FD20" w14:textId="77777777" w:rsidR="00802D3E" w:rsidRDefault="00802D3E" w:rsidP="00A109BC">
      <w:pPr>
        <w:pStyle w:val="SingleParagraph"/>
      </w:pPr>
    </w:p>
    <w:p w14:paraId="2086FD21" w14:textId="77777777" w:rsidR="00802D3E" w:rsidRDefault="00802D3E" w:rsidP="00802D3E">
      <w:r>
        <w:t>Benefits provided to Australian Government employees in receipt of military compensation payments are exempt from fringe benefits tax.</w:t>
      </w:r>
      <w:r>
        <w:fldChar w:fldCharType="begin"/>
      </w:r>
      <w:r>
        <w:instrText xml:space="preserve"> XE "Military compensation payments" </w:instrText>
      </w:r>
      <w:r>
        <w:fldChar w:fldCharType="end"/>
      </w:r>
    </w:p>
    <w:p w14:paraId="2086FD22" w14:textId="59FA8599" w:rsidR="00802D3E" w:rsidRDefault="00802D3E" w:rsidP="00802D3E">
      <w:pPr>
        <w:pStyle w:val="TESHeading5"/>
        <w:ind w:left="0" w:firstLine="0"/>
      </w:pPr>
      <w:r>
        <w:t>D6</w:t>
      </w:r>
      <w:r>
        <w:tab/>
        <w:t>Exemption for health care benefits provided to members of the Defence</w:t>
      </w:r>
      <w:r w:rsidR="000B1D9D">
        <w:t> </w:t>
      </w:r>
      <w:r>
        <w:t>Force</w:t>
      </w:r>
    </w:p>
    <w:p w14:paraId="2086FD23"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D2C" w14:textId="77777777" w:rsidTr="00802D3E">
        <w:trPr>
          <w:cantSplit/>
          <w:jc w:val="center"/>
        </w:trPr>
        <w:tc>
          <w:tcPr>
            <w:tcW w:w="967" w:type="dxa"/>
            <w:tcBorders>
              <w:top w:val="single" w:sz="2" w:space="0" w:color="auto"/>
              <w:left w:val="nil"/>
              <w:bottom w:val="single" w:sz="2" w:space="0" w:color="auto"/>
              <w:right w:val="nil"/>
            </w:tcBorders>
            <w:hideMark/>
          </w:tcPr>
          <w:p w14:paraId="2086FD2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D2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D2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D2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D2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D2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D2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D2B" w14:textId="77777777" w:rsidR="00802D3E" w:rsidRDefault="00802D3E">
            <w:pPr>
              <w:pStyle w:val="MeasureTableTextRightAligned"/>
            </w:pPr>
            <w:r>
              <w:t>2019-20</w:t>
            </w:r>
          </w:p>
        </w:tc>
      </w:tr>
      <w:tr w:rsidR="00802D3E" w14:paraId="2086FD35" w14:textId="77777777" w:rsidTr="00802D3E">
        <w:trPr>
          <w:cantSplit/>
          <w:jc w:val="center"/>
        </w:trPr>
        <w:tc>
          <w:tcPr>
            <w:tcW w:w="967" w:type="dxa"/>
            <w:tcBorders>
              <w:top w:val="single" w:sz="2" w:space="0" w:color="auto"/>
              <w:left w:val="nil"/>
              <w:bottom w:val="single" w:sz="2" w:space="0" w:color="auto"/>
              <w:right w:val="nil"/>
            </w:tcBorders>
            <w:hideMark/>
          </w:tcPr>
          <w:p w14:paraId="2086FD2D" w14:textId="77777777" w:rsidR="00802D3E" w:rsidRDefault="00802D3E">
            <w:pPr>
              <w:pStyle w:val="MeasureTableTextRightAligned"/>
            </w:pPr>
            <w:r>
              <w:t>650</w:t>
            </w:r>
          </w:p>
        </w:tc>
        <w:tc>
          <w:tcPr>
            <w:tcW w:w="967" w:type="dxa"/>
            <w:tcBorders>
              <w:top w:val="single" w:sz="2" w:space="0" w:color="auto"/>
              <w:left w:val="nil"/>
              <w:bottom w:val="single" w:sz="2" w:space="0" w:color="auto"/>
              <w:right w:val="nil"/>
            </w:tcBorders>
            <w:hideMark/>
          </w:tcPr>
          <w:p w14:paraId="2086FD2E" w14:textId="77777777" w:rsidR="00802D3E" w:rsidRDefault="00802D3E">
            <w:pPr>
              <w:pStyle w:val="MeasureTableTextRightAligned"/>
            </w:pPr>
            <w:r>
              <w:t>750</w:t>
            </w:r>
          </w:p>
        </w:tc>
        <w:tc>
          <w:tcPr>
            <w:tcW w:w="967" w:type="dxa"/>
            <w:tcBorders>
              <w:top w:val="single" w:sz="2" w:space="0" w:color="auto"/>
              <w:left w:val="nil"/>
              <w:bottom w:val="single" w:sz="2" w:space="0" w:color="auto"/>
              <w:right w:val="nil"/>
            </w:tcBorders>
            <w:vAlign w:val="bottom"/>
            <w:hideMark/>
          </w:tcPr>
          <w:p w14:paraId="2086FD2F" w14:textId="77777777" w:rsidR="00802D3E" w:rsidRDefault="00802D3E">
            <w:pPr>
              <w:pStyle w:val="MeasureTableTextRightAligned"/>
            </w:pPr>
            <w:r>
              <w:t>760</w:t>
            </w:r>
          </w:p>
        </w:tc>
        <w:tc>
          <w:tcPr>
            <w:tcW w:w="967" w:type="dxa"/>
            <w:tcBorders>
              <w:top w:val="single" w:sz="2" w:space="0" w:color="auto"/>
              <w:left w:val="nil"/>
              <w:bottom w:val="single" w:sz="2" w:space="0" w:color="auto"/>
              <w:right w:val="nil"/>
            </w:tcBorders>
            <w:vAlign w:val="bottom"/>
            <w:hideMark/>
          </w:tcPr>
          <w:p w14:paraId="2086FD30" w14:textId="77777777" w:rsidR="00802D3E" w:rsidRDefault="00802D3E">
            <w:pPr>
              <w:pStyle w:val="MeasureTableTextRightAligned"/>
            </w:pPr>
            <w:r>
              <w:t>750</w:t>
            </w:r>
          </w:p>
        </w:tc>
        <w:tc>
          <w:tcPr>
            <w:tcW w:w="967" w:type="dxa"/>
            <w:tcBorders>
              <w:top w:val="single" w:sz="2" w:space="0" w:color="auto"/>
              <w:left w:val="nil"/>
              <w:bottom w:val="single" w:sz="2" w:space="0" w:color="auto"/>
              <w:right w:val="nil"/>
            </w:tcBorders>
            <w:vAlign w:val="bottom"/>
            <w:hideMark/>
          </w:tcPr>
          <w:p w14:paraId="2086FD31" w14:textId="77777777" w:rsidR="00802D3E" w:rsidRDefault="00802D3E">
            <w:pPr>
              <w:pStyle w:val="MeasureTableTextRightAligned"/>
            </w:pPr>
            <w:r>
              <w:t>770</w:t>
            </w:r>
          </w:p>
        </w:tc>
        <w:tc>
          <w:tcPr>
            <w:tcW w:w="967" w:type="dxa"/>
            <w:gridSpan w:val="2"/>
            <w:tcBorders>
              <w:top w:val="single" w:sz="2" w:space="0" w:color="auto"/>
              <w:left w:val="nil"/>
              <w:bottom w:val="single" w:sz="2" w:space="0" w:color="auto"/>
              <w:right w:val="nil"/>
            </w:tcBorders>
            <w:vAlign w:val="bottom"/>
            <w:hideMark/>
          </w:tcPr>
          <w:p w14:paraId="2086FD32" w14:textId="77777777" w:rsidR="00802D3E" w:rsidRDefault="00802D3E">
            <w:pPr>
              <w:pStyle w:val="MeasureTableTextRightAligned"/>
            </w:pPr>
            <w:r>
              <w:t>770</w:t>
            </w:r>
          </w:p>
        </w:tc>
        <w:tc>
          <w:tcPr>
            <w:tcW w:w="967" w:type="dxa"/>
            <w:gridSpan w:val="2"/>
            <w:tcBorders>
              <w:top w:val="single" w:sz="2" w:space="0" w:color="auto"/>
              <w:left w:val="nil"/>
              <w:bottom w:val="single" w:sz="2" w:space="0" w:color="auto"/>
              <w:right w:val="nil"/>
            </w:tcBorders>
            <w:vAlign w:val="bottom"/>
            <w:hideMark/>
          </w:tcPr>
          <w:p w14:paraId="2086FD33" w14:textId="77777777" w:rsidR="00802D3E" w:rsidRDefault="00802D3E">
            <w:pPr>
              <w:pStyle w:val="MeasureTableTextRightAligned"/>
            </w:pPr>
            <w:r>
              <w:t>770</w:t>
            </w:r>
          </w:p>
        </w:tc>
        <w:tc>
          <w:tcPr>
            <w:tcW w:w="968" w:type="dxa"/>
            <w:tcBorders>
              <w:top w:val="single" w:sz="2" w:space="0" w:color="auto"/>
              <w:left w:val="nil"/>
              <w:bottom w:val="single" w:sz="2" w:space="0" w:color="auto"/>
              <w:right w:val="nil"/>
            </w:tcBorders>
            <w:vAlign w:val="bottom"/>
            <w:hideMark/>
          </w:tcPr>
          <w:p w14:paraId="2086FD34" w14:textId="77777777" w:rsidR="00802D3E" w:rsidRDefault="00802D3E">
            <w:pPr>
              <w:pStyle w:val="MeasureTableTextRightAligned"/>
            </w:pPr>
            <w:r>
              <w:t>800</w:t>
            </w:r>
          </w:p>
        </w:tc>
      </w:tr>
      <w:tr w:rsidR="00802D3E" w14:paraId="2086FD3A" w14:textId="77777777" w:rsidTr="00802D3E">
        <w:trPr>
          <w:cantSplit/>
          <w:jc w:val="center"/>
        </w:trPr>
        <w:tc>
          <w:tcPr>
            <w:tcW w:w="1934" w:type="dxa"/>
            <w:gridSpan w:val="2"/>
            <w:tcBorders>
              <w:top w:val="single" w:sz="2" w:space="0" w:color="auto"/>
              <w:left w:val="nil"/>
              <w:bottom w:val="nil"/>
              <w:right w:val="nil"/>
            </w:tcBorders>
            <w:hideMark/>
          </w:tcPr>
          <w:p w14:paraId="2086FD3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D3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D3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D39" w14:textId="77777777" w:rsidR="00802D3E" w:rsidRDefault="00802D3E">
            <w:pPr>
              <w:pStyle w:val="MeasureTableTextLeftAligned"/>
            </w:pPr>
            <w:r>
              <w:t>D6</w:t>
            </w:r>
          </w:p>
        </w:tc>
      </w:tr>
      <w:tr w:rsidR="00802D3E" w14:paraId="2086FD3F" w14:textId="77777777" w:rsidTr="00802D3E">
        <w:trPr>
          <w:cantSplit/>
          <w:jc w:val="center"/>
        </w:trPr>
        <w:tc>
          <w:tcPr>
            <w:tcW w:w="1934" w:type="dxa"/>
            <w:gridSpan w:val="2"/>
            <w:tcBorders>
              <w:top w:val="nil"/>
              <w:left w:val="nil"/>
              <w:bottom w:val="nil"/>
              <w:right w:val="nil"/>
            </w:tcBorders>
            <w:hideMark/>
          </w:tcPr>
          <w:p w14:paraId="2086FD3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D3C"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D3D" w14:textId="77777777" w:rsidR="00802D3E" w:rsidRDefault="00802D3E">
            <w:pPr>
              <w:pStyle w:val="MeasureTableTextItalic"/>
            </w:pPr>
          </w:p>
        </w:tc>
        <w:tc>
          <w:tcPr>
            <w:tcW w:w="1124" w:type="dxa"/>
            <w:gridSpan w:val="2"/>
            <w:tcBorders>
              <w:top w:val="nil"/>
              <w:left w:val="nil"/>
              <w:bottom w:val="nil"/>
              <w:right w:val="nil"/>
            </w:tcBorders>
          </w:tcPr>
          <w:p w14:paraId="2086FD3E" w14:textId="77777777" w:rsidR="00802D3E" w:rsidRDefault="00802D3E">
            <w:pPr>
              <w:pStyle w:val="MeasureTableTextLeftAligned"/>
            </w:pPr>
          </w:p>
        </w:tc>
      </w:tr>
      <w:tr w:rsidR="00802D3E" w14:paraId="2086FD44" w14:textId="77777777" w:rsidTr="00802D3E">
        <w:trPr>
          <w:cantSplit/>
          <w:jc w:val="center"/>
        </w:trPr>
        <w:tc>
          <w:tcPr>
            <w:tcW w:w="1934" w:type="dxa"/>
            <w:gridSpan w:val="2"/>
            <w:tcBorders>
              <w:top w:val="nil"/>
              <w:left w:val="nil"/>
              <w:bottom w:val="nil"/>
              <w:right w:val="nil"/>
            </w:tcBorders>
            <w:hideMark/>
          </w:tcPr>
          <w:p w14:paraId="2086FD4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D41" w14:textId="77777777" w:rsidR="00802D3E" w:rsidRDefault="00802D3E">
            <w:pPr>
              <w:pStyle w:val="MeasureTableTextLeftAligned"/>
            </w:pPr>
            <w:r>
              <w:t>1995</w:t>
            </w:r>
          </w:p>
        </w:tc>
        <w:tc>
          <w:tcPr>
            <w:tcW w:w="1500" w:type="dxa"/>
            <w:gridSpan w:val="2"/>
            <w:tcBorders>
              <w:top w:val="nil"/>
              <w:left w:val="nil"/>
              <w:bottom w:val="nil"/>
              <w:right w:val="nil"/>
            </w:tcBorders>
            <w:hideMark/>
          </w:tcPr>
          <w:p w14:paraId="2086FD4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D43" w14:textId="77777777" w:rsidR="00802D3E" w:rsidRDefault="00802D3E">
            <w:pPr>
              <w:pStyle w:val="MeasureTableTextLeftAligned"/>
            </w:pPr>
          </w:p>
        </w:tc>
      </w:tr>
      <w:tr w:rsidR="00802D3E" w14:paraId="2086FD47" w14:textId="77777777" w:rsidTr="00802D3E">
        <w:trPr>
          <w:cantSplit/>
          <w:jc w:val="center"/>
        </w:trPr>
        <w:tc>
          <w:tcPr>
            <w:tcW w:w="1934" w:type="dxa"/>
            <w:gridSpan w:val="2"/>
            <w:tcBorders>
              <w:top w:val="nil"/>
              <w:left w:val="nil"/>
              <w:bottom w:val="single" w:sz="2" w:space="0" w:color="auto"/>
              <w:right w:val="nil"/>
            </w:tcBorders>
            <w:hideMark/>
          </w:tcPr>
          <w:p w14:paraId="2086FD4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D46" w14:textId="2CAAE6B5" w:rsidR="00802D3E" w:rsidRPr="00482063" w:rsidRDefault="00802D3E" w:rsidP="000B1D9D">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Section 6AC of the </w:t>
            </w:r>
            <w:r w:rsidRPr="00482063">
              <w:rPr>
                <w:rFonts w:ascii="Arial" w:hAnsi="Arial" w:cs="Arial"/>
                <w:i/>
                <w:iCs/>
                <w:color w:val="000000"/>
                <w:sz w:val="16"/>
                <w:szCs w:val="16"/>
              </w:rPr>
              <w:t>Fringe Benefits Tax (Application to the Commonwealth) Act</w:t>
            </w:r>
            <w:r w:rsidR="000B1D9D">
              <w:rPr>
                <w:rFonts w:ascii="Arial" w:hAnsi="Arial" w:cs="Arial"/>
                <w:i/>
                <w:iCs/>
                <w:color w:val="000000"/>
                <w:sz w:val="16"/>
                <w:szCs w:val="16"/>
              </w:rPr>
              <w:t> </w:t>
            </w:r>
            <w:r w:rsidRPr="00482063">
              <w:rPr>
                <w:rFonts w:ascii="Arial" w:hAnsi="Arial" w:cs="Arial"/>
                <w:i/>
                <w:iCs/>
                <w:color w:val="000000"/>
                <w:sz w:val="16"/>
                <w:szCs w:val="16"/>
              </w:rPr>
              <w:t>1986</w:t>
            </w:r>
          </w:p>
        </w:tc>
      </w:tr>
    </w:tbl>
    <w:p w14:paraId="2086FD48" w14:textId="77777777" w:rsidR="00802D3E" w:rsidRDefault="00802D3E" w:rsidP="00A109BC">
      <w:pPr>
        <w:pStyle w:val="SingleParagraph"/>
      </w:pPr>
    </w:p>
    <w:p w14:paraId="2086FD49" w14:textId="77777777" w:rsidR="00802D3E" w:rsidRDefault="00802D3E" w:rsidP="00802D3E">
      <w:r>
        <w:t>All health care benefits provided by the Australian Government to members of the Australian Defence Force</w:t>
      </w:r>
      <w:r>
        <w:fldChar w:fldCharType="begin"/>
      </w:r>
      <w:r>
        <w:instrText xml:space="preserve"> XE "Australian Defence Force personnel" </w:instrText>
      </w:r>
      <w:r>
        <w:fldChar w:fldCharType="end"/>
      </w:r>
      <w:r>
        <w:t xml:space="preserve"> (because of their membership) are exempt from fringe benefits tax. </w:t>
      </w:r>
    </w:p>
    <w:p w14:paraId="2086FD4A" w14:textId="77777777" w:rsidR="00802D3E" w:rsidRDefault="00802D3E" w:rsidP="00802D3E">
      <w:pPr>
        <w:pStyle w:val="TESHeading5"/>
        <w:ind w:left="0" w:firstLine="0"/>
      </w:pPr>
      <w:r>
        <w:lastRenderedPageBreak/>
        <w:t>D7</w:t>
      </w:r>
      <w:r>
        <w:tab/>
        <w:t>Exemption for war service loans</w:t>
      </w:r>
    </w:p>
    <w:p w14:paraId="2086FD4B"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D54" w14:textId="77777777" w:rsidTr="00802D3E">
        <w:trPr>
          <w:cantSplit/>
          <w:jc w:val="center"/>
        </w:trPr>
        <w:tc>
          <w:tcPr>
            <w:tcW w:w="967" w:type="dxa"/>
            <w:tcBorders>
              <w:top w:val="single" w:sz="2" w:space="0" w:color="auto"/>
              <w:left w:val="nil"/>
              <w:bottom w:val="single" w:sz="2" w:space="0" w:color="auto"/>
              <w:right w:val="nil"/>
            </w:tcBorders>
            <w:hideMark/>
          </w:tcPr>
          <w:p w14:paraId="2086FD4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D4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D4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D4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D5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D5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D5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D53" w14:textId="77777777" w:rsidR="00802D3E" w:rsidRDefault="00802D3E">
            <w:pPr>
              <w:pStyle w:val="MeasureTableTextRightAligned"/>
            </w:pPr>
            <w:r>
              <w:t>2019-20</w:t>
            </w:r>
          </w:p>
        </w:tc>
      </w:tr>
      <w:tr w:rsidR="00802D3E" w14:paraId="2086FD5D" w14:textId="77777777" w:rsidTr="00802D3E">
        <w:trPr>
          <w:cantSplit/>
          <w:jc w:val="center"/>
        </w:trPr>
        <w:tc>
          <w:tcPr>
            <w:tcW w:w="967" w:type="dxa"/>
            <w:tcBorders>
              <w:top w:val="single" w:sz="2" w:space="0" w:color="auto"/>
              <w:left w:val="nil"/>
              <w:bottom w:val="single" w:sz="2" w:space="0" w:color="auto"/>
              <w:right w:val="nil"/>
            </w:tcBorders>
            <w:hideMark/>
          </w:tcPr>
          <w:p w14:paraId="2086FD55"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hideMark/>
          </w:tcPr>
          <w:p w14:paraId="2086FD56"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6FD57"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6FD58"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6FD59" w14:textId="77777777" w:rsidR="00802D3E" w:rsidRDefault="00802D3E">
            <w:pPr>
              <w:pStyle w:val="MeasureTableTextRightAligned"/>
            </w:pPr>
            <w:r>
              <w:t>1</w:t>
            </w:r>
          </w:p>
        </w:tc>
        <w:tc>
          <w:tcPr>
            <w:tcW w:w="967" w:type="dxa"/>
            <w:gridSpan w:val="2"/>
            <w:tcBorders>
              <w:top w:val="single" w:sz="2" w:space="0" w:color="auto"/>
              <w:left w:val="nil"/>
              <w:bottom w:val="single" w:sz="2" w:space="0" w:color="auto"/>
              <w:right w:val="nil"/>
            </w:tcBorders>
            <w:vAlign w:val="bottom"/>
            <w:hideMark/>
          </w:tcPr>
          <w:p w14:paraId="2086FD5A" w14:textId="77777777" w:rsidR="00802D3E" w:rsidRDefault="00802D3E">
            <w:pPr>
              <w:pStyle w:val="MeasureTableTextRightAligned"/>
            </w:pPr>
            <w:r>
              <w:t>1</w:t>
            </w:r>
          </w:p>
        </w:tc>
        <w:tc>
          <w:tcPr>
            <w:tcW w:w="967" w:type="dxa"/>
            <w:gridSpan w:val="2"/>
            <w:tcBorders>
              <w:top w:val="single" w:sz="2" w:space="0" w:color="auto"/>
              <w:left w:val="nil"/>
              <w:bottom w:val="single" w:sz="2" w:space="0" w:color="auto"/>
              <w:right w:val="nil"/>
            </w:tcBorders>
            <w:vAlign w:val="bottom"/>
            <w:hideMark/>
          </w:tcPr>
          <w:p w14:paraId="2086FD5B" w14:textId="77777777" w:rsidR="00802D3E" w:rsidRDefault="00802D3E">
            <w:pPr>
              <w:pStyle w:val="MeasureTableTextRightAligned"/>
            </w:pPr>
            <w:r>
              <w:t>1</w:t>
            </w:r>
          </w:p>
        </w:tc>
        <w:tc>
          <w:tcPr>
            <w:tcW w:w="968" w:type="dxa"/>
            <w:tcBorders>
              <w:top w:val="single" w:sz="2" w:space="0" w:color="auto"/>
              <w:left w:val="nil"/>
              <w:bottom w:val="single" w:sz="2" w:space="0" w:color="auto"/>
              <w:right w:val="nil"/>
            </w:tcBorders>
            <w:vAlign w:val="bottom"/>
            <w:hideMark/>
          </w:tcPr>
          <w:p w14:paraId="2086FD5C" w14:textId="77777777" w:rsidR="00802D3E" w:rsidRDefault="00802D3E">
            <w:pPr>
              <w:pStyle w:val="MeasureTableTextRightAligned"/>
            </w:pPr>
            <w:r>
              <w:t>1</w:t>
            </w:r>
          </w:p>
        </w:tc>
      </w:tr>
      <w:tr w:rsidR="00802D3E" w14:paraId="2086FD62" w14:textId="77777777" w:rsidTr="00802D3E">
        <w:trPr>
          <w:cantSplit/>
          <w:jc w:val="center"/>
        </w:trPr>
        <w:tc>
          <w:tcPr>
            <w:tcW w:w="1934" w:type="dxa"/>
            <w:gridSpan w:val="2"/>
            <w:tcBorders>
              <w:top w:val="single" w:sz="2" w:space="0" w:color="auto"/>
              <w:left w:val="nil"/>
              <w:bottom w:val="nil"/>
              <w:right w:val="nil"/>
            </w:tcBorders>
            <w:hideMark/>
          </w:tcPr>
          <w:p w14:paraId="2086FD5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D5F"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D6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D61" w14:textId="77777777" w:rsidR="00802D3E" w:rsidRDefault="00802D3E">
            <w:pPr>
              <w:pStyle w:val="MeasureTableTextLeftAligned"/>
            </w:pPr>
            <w:r>
              <w:t>D7</w:t>
            </w:r>
          </w:p>
        </w:tc>
      </w:tr>
      <w:tr w:rsidR="00802D3E" w14:paraId="2086FD67" w14:textId="77777777" w:rsidTr="00802D3E">
        <w:trPr>
          <w:cantSplit/>
          <w:jc w:val="center"/>
        </w:trPr>
        <w:tc>
          <w:tcPr>
            <w:tcW w:w="1934" w:type="dxa"/>
            <w:gridSpan w:val="2"/>
            <w:tcBorders>
              <w:top w:val="nil"/>
              <w:left w:val="nil"/>
              <w:bottom w:val="nil"/>
              <w:right w:val="nil"/>
            </w:tcBorders>
            <w:hideMark/>
          </w:tcPr>
          <w:p w14:paraId="2086FD6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D64"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6FD65" w14:textId="77777777" w:rsidR="00802D3E" w:rsidRDefault="00802D3E">
            <w:pPr>
              <w:pStyle w:val="MeasureTableTextItalic"/>
            </w:pPr>
          </w:p>
        </w:tc>
        <w:tc>
          <w:tcPr>
            <w:tcW w:w="1124" w:type="dxa"/>
            <w:gridSpan w:val="2"/>
            <w:tcBorders>
              <w:top w:val="nil"/>
              <w:left w:val="nil"/>
              <w:bottom w:val="nil"/>
              <w:right w:val="nil"/>
            </w:tcBorders>
          </w:tcPr>
          <w:p w14:paraId="2086FD66" w14:textId="77777777" w:rsidR="00802D3E" w:rsidRDefault="00802D3E">
            <w:pPr>
              <w:pStyle w:val="MeasureTableTextLeftAligned"/>
            </w:pPr>
          </w:p>
        </w:tc>
      </w:tr>
      <w:tr w:rsidR="00802D3E" w14:paraId="2086FD6C" w14:textId="77777777" w:rsidTr="00802D3E">
        <w:trPr>
          <w:cantSplit/>
          <w:jc w:val="center"/>
        </w:trPr>
        <w:tc>
          <w:tcPr>
            <w:tcW w:w="1934" w:type="dxa"/>
            <w:gridSpan w:val="2"/>
            <w:tcBorders>
              <w:top w:val="nil"/>
              <w:left w:val="nil"/>
              <w:bottom w:val="nil"/>
              <w:right w:val="nil"/>
            </w:tcBorders>
            <w:hideMark/>
          </w:tcPr>
          <w:p w14:paraId="2086FD6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D69"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D6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D6B" w14:textId="77777777" w:rsidR="00802D3E" w:rsidRDefault="00802D3E">
            <w:pPr>
              <w:pStyle w:val="MeasureTableTextLeftAligned"/>
            </w:pPr>
          </w:p>
        </w:tc>
      </w:tr>
      <w:tr w:rsidR="00802D3E" w14:paraId="2086FD6F" w14:textId="77777777" w:rsidTr="00802D3E">
        <w:trPr>
          <w:cantSplit/>
          <w:jc w:val="center"/>
        </w:trPr>
        <w:tc>
          <w:tcPr>
            <w:tcW w:w="1934" w:type="dxa"/>
            <w:gridSpan w:val="2"/>
            <w:tcBorders>
              <w:top w:val="nil"/>
              <w:left w:val="nil"/>
              <w:bottom w:val="single" w:sz="2" w:space="0" w:color="auto"/>
              <w:right w:val="nil"/>
            </w:tcBorders>
            <w:hideMark/>
          </w:tcPr>
          <w:p w14:paraId="2086FD6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D6E" w14:textId="6FBAE017" w:rsidR="00802D3E" w:rsidRPr="00482063" w:rsidRDefault="00802D3E" w:rsidP="000B1D9D">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Section 6 of the </w:t>
            </w:r>
            <w:r w:rsidRPr="00482063">
              <w:rPr>
                <w:rFonts w:ascii="Arial" w:hAnsi="Arial" w:cs="Arial"/>
                <w:i/>
                <w:iCs/>
                <w:color w:val="000000"/>
                <w:sz w:val="16"/>
                <w:szCs w:val="16"/>
              </w:rPr>
              <w:t>Fringe Benefits Tax (Application to the Commonwealth) Act</w:t>
            </w:r>
            <w:r w:rsidR="000B1D9D">
              <w:rPr>
                <w:rFonts w:ascii="Arial" w:hAnsi="Arial" w:cs="Arial"/>
                <w:i/>
                <w:iCs/>
                <w:color w:val="000000"/>
                <w:sz w:val="16"/>
                <w:szCs w:val="16"/>
              </w:rPr>
              <w:t> </w:t>
            </w:r>
            <w:r w:rsidRPr="00482063">
              <w:rPr>
                <w:rFonts w:ascii="Arial" w:hAnsi="Arial" w:cs="Arial"/>
                <w:i/>
                <w:iCs/>
                <w:color w:val="000000"/>
                <w:sz w:val="16"/>
                <w:szCs w:val="16"/>
              </w:rPr>
              <w:t>1986</w:t>
            </w:r>
          </w:p>
        </w:tc>
      </w:tr>
    </w:tbl>
    <w:p w14:paraId="2086FD70" w14:textId="77777777" w:rsidR="00802D3E" w:rsidRDefault="00802D3E" w:rsidP="00A109BC">
      <w:pPr>
        <w:pStyle w:val="SingleParagraph"/>
      </w:pPr>
    </w:p>
    <w:p w14:paraId="2086FD71" w14:textId="77777777" w:rsidR="00802D3E" w:rsidRDefault="00802D3E" w:rsidP="00802D3E">
      <w:r>
        <w:t xml:space="preserve">Loan concessions authorised under the </w:t>
      </w:r>
      <w:r>
        <w:rPr>
          <w:i/>
        </w:rPr>
        <w:t>Defence Service Homes Act 1918</w:t>
      </w:r>
      <w:r>
        <w:rPr>
          <w:i/>
        </w:rPr>
        <w:fldChar w:fldCharType="begin"/>
      </w:r>
      <w:r>
        <w:instrText xml:space="preserve"> XE "Defence Service Homes" </w:instrText>
      </w:r>
      <w:r>
        <w:rPr>
          <w:i/>
        </w:rPr>
        <w:fldChar w:fldCharType="end"/>
      </w:r>
      <w:r>
        <w:t xml:space="preserve"> and made by virtue of an employee’s war service are exempt from fringe benefits tax. </w:t>
      </w:r>
    </w:p>
    <w:p w14:paraId="2086FD72" w14:textId="77777777" w:rsidR="00802D3E" w:rsidRDefault="00802D3E" w:rsidP="00802D3E">
      <w:pPr>
        <w:pStyle w:val="TESHeading5"/>
        <w:ind w:left="0" w:firstLine="0"/>
      </w:pPr>
      <w:r>
        <w:t>D8</w:t>
      </w:r>
      <w:r>
        <w:tab/>
        <w:t>Reduction in taxable value for education costs of children of employees posted overseas</w:t>
      </w:r>
    </w:p>
    <w:p w14:paraId="2086FD73" w14:textId="77777777" w:rsidR="00802D3E" w:rsidRDefault="00802D3E" w:rsidP="00802D3E">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D7C" w14:textId="77777777" w:rsidTr="00802D3E">
        <w:trPr>
          <w:cantSplit/>
          <w:jc w:val="center"/>
        </w:trPr>
        <w:tc>
          <w:tcPr>
            <w:tcW w:w="967" w:type="dxa"/>
            <w:tcBorders>
              <w:top w:val="single" w:sz="2" w:space="0" w:color="auto"/>
              <w:left w:val="nil"/>
              <w:bottom w:val="single" w:sz="2" w:space="0" w:color="auto"/>
              <w:right w:val="nil"/>
            </w:tcBorders>
            <w:hideMark/>
          </w:tcPr>
          <w:p w14:paraId="2086FD7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D7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D7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D7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D7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D7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D7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D7B" w14:textId="77777777" w:rsidR="00802D3E" w:rsidRDefault="00802D3E">
            <w:pPr>
              <w:pStyle w:val="MeasureTableTextRightAligned"/>
            </w:pPr>
            <w:r>
              <w:t>2019-20</w:t>
            </w:r>
          </w:p>
        </w:tc>
      </w:tr>
      <w:tr w:rsidR="00802D3E" w14:paraId="2086FD85" w14:textId="77777777" w:rsidTr="00802D3E">
        <w:trPr>
          <w:cantSplit/>
          <w:jc w:val="center"/>
        </w:trPr>
        <w:tc>
          <w:tcPr>
            <w:tcW w:w="967" w:type="dxa"/>
            <w:tcBorders>
              <w:top w:val="single" w:sz="2" w:space="0" w:color="auto"/>
              <w:left w:val="nil"/>
              <w:bottom w:val="single" w:sz="2" w:space="0" w:color="auto"/>
              <w:right w:val="nil"/>
            </w:tcBorders>
            <w:hideMark/>
          </w:tcPr>
          <w:p w14:paraId="2086FD7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D7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D7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D8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D8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D8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D8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D84" w14:textId="77777777" w:rsidR="00802D3E" w:rsidRDefault="00802D3E">
            <w:pPr>
              <w:pStyle w:val="MeasureTableTextRightAligned"/>
            </w:pPr>
            <w:r>
              <w:t>*</w:t>
            </w:r>
          </w:p>
        </w:tc>
      </w:tr>
      <w:tr w:rsidR="00802D3E" w14:paraId="2086FD8A" w14:textId="77777777" w:rsidTr="00802D3E">
        <w:trPr>
          <w:cantSplit/>
          <w:jc w:val="center"/>
        </w:trPr>
        <w:tc>
          <w:tcPr>
            <w:tcW w:w="1934" w:type="dxa"/>
            <w:gridSpan w:val="2"/>
            <w:tcBorders>
              <w:top w:val="single" w:sz="2" w:space="0" w:color="auto"/>
              <w:left w:val="nil"/>
              <w:bottom w:val="nil"/>
              <w:right w:val="nil"/>
            </w:tcBorders>
            <w:hideMark/>
          </w:tcPr>
          <w:p w14:paraId="2086FD8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D87" w14:textId="77777777" w:rsidR="00802D3E" w:rsidRDefault="00802D3E">
            <w:pPr>
              <w:pStyle w:val="MeasureTableTextLeftAligned"/>
            </w:pPr>
            <w:r>
              <w:t>Reduction in taxable value</w:t>
            </w:r>
          </w:p>
        </w:tc>
        <w:tc>
          <w:tcPr>
            <w:tcW w:w="1500" w:type="dxa"/>
            <w:gridSpan w:val="2"/>
            <w:tcBorders>
              <w:top w:val="single" w:sz="2" w:space="0" w:color="auto"/>
              <w:left w:val="nil"/>
              <w:bottom w:val="nil"/>
              <w:right w:val="nil"/>
            </w:tcBorders>
            <w:hideMark/>
          </w:tcPr>
          <w:p w14:paraId="2086FD8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D89" w14:textId="77777777" w:rsidR="00802D3E" w:rsidRDefault="00802D3E">
            <w:pPr>
              <w:pStyle w:val="MeasureTableTextLeftAligned"/>
            </w:pPr>
            <w:r>
              <w:t>D8</w:t>
            </w:r>
          </w:p>
        </w:tc>
      </w:tr>
      <w:tr w:rsidR="00802D3E" w14:paraId="2086FD8F" w14:textId="77777777" w:rsidTr="00802D3E">
        <w:trPr>
          <w:cantSplit/>
          <w:jc w:val="center"/>
        </w:trPr>
        <w:tc>
          <w:tcPr>
            <w:tcW w:w="1934" w:type="dxa"/>
            <w:gridSpan w:val="2"/>
            <w:tcBorders>
              <w:top w:val="nil"/>
              <w:left w:val="nil"/>
              <w:bottom w:val="nil"/>
              <w:right w:val="nil"/>
            </w:tcBorders>
            <w:hideMark/>
          </w:tcPr>
          <w:p w14:paraId="2086FD8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D8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D8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D8E" w14:textId="77777777" w:rsidR="00802D3E" w:rsidRDefault="00802D3E">
            <w:pPr>
              <w:pStyle w:val="MeasureTableTextLeftAligned"/>
            </w:pPr>
            <w:r>
              <w:t>1+</w:t>
            </w:r>
          </w:p>
        </w:tc>
      </w:tr>
      <w:tr w:rsidR="00802D3E" w14:paraId="2086FD94" w14:textId="77777777" w:rsidTr="00802D3E">
        <w:trPr>
          <w:cantSplit/>
          <w:jc w:val="center"/>
        </w:trPr>
        <w:tc>
          <w:tcPr>
            <w:tcW w:w="1934" w:type="dxa"/>
            <w:gridSpan w:val="2"/>
            <w:tcBorders>
              <w:top w:val="nil"/>
              <w:left w:val="nil"/>
              <w:bottom w:val="nil"/>
              <w:right w:val="nil"/>
            </w:tcBorders>
            <w:hideMark/>
          </w:tcPr>
          <w:p w14:paraId="2086FD9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D91" w14:textId="77777777" w:rsidR="00802D3E" w:rsidRDefault="00802D3E">
            <w:pPr>
              <w:pStyle w:val="MeasureTableTextLeftAligned"/>
            </w:pPr>
            <w:r>
              <w:t>1987</w:t>
            </w:r>
          </w:p>
        </w:tc>
        <w:tc>
          <w:tcPr>
            <w:tcW w:w="1500" w:type="dxa"/>
            <w:gridSpan w:val="2"/>
            <w:tcBorders>
              <w:top w:val="nil"/>
              <w:left w:val="nil"/>
              <w:bottom w:val="nil"/>
              <w:right w:val="nil"/>
            </w:tcBorders>
            <w:hideMark/>
          </w:tcPr>
          <w:p w14:paraId="2086FD9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D93" w14:textId="77777777" w:rsidR="00802D3E" w:rsidRDefault="00802D3E">
            <w:pPr>
              <w:pStyle w:val="MeasureTableTextLeftAligned"/>
            </w:pPr>
          </w:p>
        </w:tc>
      </w:tr>
      <w:tr w:rsidR="00802D3E" w14:paraId="2086FD97" w14:textId="77777777" w:rsidTr="00802D3E">
        <w:trPr>
          <w:cantSplit/>
          <w:jc w:val="center"/>
        </w:trPr>
        <w:tc>
          <w:tcPr>
            <w:tcW w:w="1934" w:type="dxa"/>
            <w:gridSpan w:val="2"/>
            <w:tcBorders>
              <w:top w:val="nil"/>
              <w:left w:val="nil"/>
              <w:bottom w:val="single" w:sz="2" w:space="0" w:color="auto"/>
              <w:right w:val="nil"/>
            </w:tcBorders>
            <w:hideMark/>
          </w:tcPr>
          <w:p w14:paraId="2086FD9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D96" w14:textId="77777777" w:rsidR="00802D3E" w:rsidRPr="00482063" w:rsidRDefault="00802D3E" w:rsidP="00482063">
            <w:pPr>
              <w:widowControl w:val="0"/>
              <w:autoSpaceDE w:val="0"/>
              <w:autoSpaceDN w:val="0"/>
              <w:adjustRightInd w:val="0"/>
              <w:spacing w:after="0" w:line="240" w:lineRule="auto"/>
              <w:jc w:val="left"/>
              <w:rPr>
                <w:rFonts w:ascii="Arial" w:hAnsi="Arial" w:cs="Arial"/>
                <w:sz w:val="16"/>
                <w:szCs w:val="16"/>
              </w:rPr>
            </w:pPr>
            <w:r w:rsidRPr="00482063">
              <w:rPr>
                <w:rFonts w:ascii="Arial" w:hAnsi="Arial" w:cs="Arial"/>
                <w:sz w:val="16"/>
                <w:szCs w:val="16"/>
              </w:rPr>
              <w:t xml:space="preserve">Section 65A of the </w:t>
            </w:r>
            <w:r w:rsidRPr="00482063">
              <w:rPr>
                <w:rFonts w:ascii="Arial" w:hAnsi="Arial" w:cs="Arial"/>
                <w:i/>
                <w:iCs/>
                <w:color w:val="000000"/>
                <w:sz w:val="16"/>
                <w:szCs w:val="16"/>
              </w:rPr>
              <w:t>Fringe Benefits Tax Assessment Act 1986</w:t>
            </w:r>
          </w:p>
        </w:tc>
      </w:tr>
    </w:tbl>
    <w:p w14:paraId="2086FD98" w14:textId="77777777" w:rsidR="00802D3E" w:rsidRDefault="00802D3E" w:rsidP="00A109BC">
      <w:pPr>
        <w:pStyle w:val="SingleParagraph"/>
      </w:pPr>
    </w:p>
    <w:p w14:paraId="2086FD99" w14:textId="77777777" w:rsidR="00802D3E" w:rsidRDefault="00802D3E" w:rsidP="00802D3E">
      <w:r>
        <w:t>The taxable value of fringe benefits</w:t>
      </w:r>
      <w:r>
        <w:fldChar w:fldCharType="begin"/>
      </w:r>
      <w:r>
        <w:instrText xml:space="preserve"> XE "Education costs" </w:instrText>
      </w:r>
      <w:r>
        <w:fldChar w:fldCharType="end"/>
      </w:r>
      <w:r>
        <w:t xml:space="preserve"> (including a car, expense payment, property or residual benefit) in respect of full</w:t>
      </w:r>
      <w:r>
        <w:noBreakHyphen/>
        <w:t xml:space="preserve">time education of children of employees posted overseas may be reduced. The extent of the reduction relates to the period of the employee’s service overseas. </w:t>
      </w:r>
    </w:p>
    <w:p w14:paraId="2086FD9A" w14:textId="77777777" w:rsidR="00802D3E" w:rsidRDefault="00802D3E" w:rsidP="00802D3E">
      <w:pPr>
        <w:pStyle w:val="TESHeading5"/>
        <w:ind w:left="0" w:firstLine="0"/>
      </w:pPr>
      <w:r>
        <w:t>D9</w:t>
      </w:r>
      <w:r>
        <w:tab/>
        <w:t>Exemption for charities promoting the prevention or control of disease in human beings</w:t>
      </w:r>
    </w:p>
    <w:p w14:paraId="2086FD9B"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DA4" w14:textId="77777777" w:rsidTr="00802D3E">
        <w:trPr>
          <w:cantSplit/>
          <w:jc w:val="center"/>
        </w:trPr>
        <w:tc>
          <w:tcPr>
            <w:tcW w:w="967" w:type="dxa"/>
            <w:tcBorders>
              <w:top w:val="single" w:sz="2" w:space="0" w:color="auto"/>
              <w:left w:val="nil"/>
              <w:bottom w:val="single" w:sz="2" w:space="0" w:color="auto"/>
              <w:right w:val="nil"/>
            </w:tcBorders>
            <w:hideMark/>
          </w:tcPr>
          <w:p w14:paraId="2086FD9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D9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D9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D9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DA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DA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DA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DA3" w14:textId="77777777" w:rsidR="00802D3E" w:rsidRDefault="00802D3E">
            <w:pPr>
              <w:pStyle w:val="MeasureTableTextRightAligned"/>
            </w:pPr>
            <w:r>
              <w:t>2019-20</w:t>
            </w:r>
          </w:p>
        </w:tc>
      </w:tr>
      <w:tr w:rsidR="00802D3E" w14:paraId="2086FDAD" w14:textId="77777777" w:rsidTr="00802D3E">
        <w:trPr>
          <w:cantSplit/>
          <w:jc w:val="center"/>
        </w:trPr>
        <w:tc>
          <w:tcPr>
            <w:tcW w:w="967" w:type="dxa"/>
            <w:tcBorders>
              <w:top w:val="single" w:sz="2" w:space="0" w:color="auto"/>
              <w:left w:val="nil"/>
              <w:bottom w:val="single" w:sz="2" w:space="0" w:color="auto"/>
              <w:right w:val="nil"/>
            </w:tcBorders>
            <w:hideMark/>
          </w:tcPr>
          <w:p w14:paraId="2086FDA5" w14:textId="77777777" w:rsidR="00802D3E" w:rsidRDefault="00802D3E">
            <w:pPr>
              <w:pStyle w:val="MeasureTableTextRightAligned"/>
            </w:pPr>
            <w:r>
              <w:t>110</w:t>
            </w:r>
          </w:p>
        </w:tc>
        <w:tc>
          <w:tcPr>
            <w:tcW w:w="967" w:type="dxa"/>
            <w:tcBorders>
              <w:top w:val="single" w:sz="2" w:space="0" w:color="auto"/>
              <w:left w:val="nil"/>
              <w:bottom w:val="single" w:sz="2" w:space="0" w:color="auto"/>
              <w:right w:val="nil"/>
            </w:tcBorders>
            <w:hideMark/>
          </w:tcPr>
          <w:p w14:paraId="2086FDA6" w14:textId="77777777" w:rsidR="00802D3E" w:rsidRDefault="00802D3E">
            <w:pPr>
              <w:pStyle w:val="MeasureTableTextRightAligned"/>
            </w:pPr>
            <w:r>
              <w:t>125</w:t>
            </w:r>
          </w:p>
        </w:tc>
        <w:tc>
          <w:tcPr>
            <w:tcW w:w="967" w:type="dxa"/>
            <w:tcBorders>
              <w:top w:val="single" w:sz="2" w:space="0" w:color="auto"/>
              <w:left w:val="nil"/>
              <w:bottom w:val="single" w:sz="2" w:space="0" w:color="auto"/>
              <w:right w:val="nil"/>
            </w:tcBorders>
            <w:vAlign w:val="bottom"/>
            <w:hideMark/>
          </w:tcPr>
          <w:p w14:paraId="2086FDA7" w14:textId="77777777" w:rsidR="00802D3E" w:rsidRDefault="00802D3E">
            <w:pPr>
              <w:pStyle w:val="MeasureTableTextRightAligned"/>
            </w:pPr>
            <w:r>
              <w:t>135</w:t>
            </w:r>
          </w:p>
        </w:tc>
        <w:tc>
          <w:tcPr>
            <w:tcW w:w="967" w:type="dxa"/>
            <w:tcBorders>
              <w:top w:val="single" w:sz="2" w:space="0" w:color="auto"/>
              <w:left w:val="nil"/>
              <w:bottom w:val="single" w:sz="2" w:space="0" w:color="auto"/>
              <w:right w:val="nil"/>
            </w:tcBorders>
            <w:vAlign w:val="bottom"/>
            <w:hideMark/>
          </w:tcPr>
          <w:p w14:paraId="2086FDA8" w14:textId="77777777" w:rsidR="00802D3E" w:rsidRDefault="00802D3E">
            <w:pPr>
              <w:pStyle w:val="MeasureTableTextRightAligned"/>
            </w:pPr>
            <w:r>
              <w:t>140</w:t>
            </w:r>
          </w:p>
        </w:tc>
        <w:tc>
          <w:tcPr>
            <w:tcW w:w="967" w:type="dxa"/>
            <w:tcBorders>
              <w:top w:val="single" w:sz="2" w:space="0" w:color="auto"/>
              <w:left w:val="nil"/>
              <w:bottom w:val="single" w:sz="2" w:space="0" w:color="auto"/>
              <w:right w:val="nil"/>
            </w:tcBorders>
            <w:vAlign w:val="bottom"/>
            <w:hideMark/>
          </w:tcPr>
          <w:p w14:paraId="2086FDA9" w14:textId="77777777" w:rsidR="00802D3E" w:rsidRDefault="00802D3E">
            <w:pPr>
              <w:pStyle w:val="MeasureTableTextRightAligned"/>
            </w:pPr>
            <w:r>
              <w:t>145</w:t>
            </w:r>
          </w:p>
        </w:tc>
        <w:tc>
          <w:tcPr>
            <w:tcW w:w="967" w:type="dxa"/>
            <w:gridSpan w:val="2"/>
            <w:tcBorders>
              <w:top w:val="single" w:sz="2" w:space="0" w:color="auto"/>
              <w:left w:val="nil"/>
              <w:bottom w:val="single" w:sz="2" w:space="0" w:color="auto"/>
              <w:right w:val="nil"/>
            </w:tcBorders>
            <w:vAlign w:val="bottom"/>
            <w:hideMark/>
          </w:tcPr>
          <w:p w14:paraId="2086FDAA" w14:textId="77777777" w:rsidR="00802D3E" w:rsidRDefault="00802D3E">
            <w:pPr>
              <w:pStyle w:val="MeasureTableTextRightAligned"/>
            </w:pPr>
            <w:r>
              <w:t>150</w:t>
            </w:r>
          </w:p>
        </w:tc>
        <w:tc>
          <w:tcPr>
            <w:tcW w:w="967" w:type="dxa"/>
            <w:gridSpan w:val="2"/>
            <w:tcBorders>
              <w:top w:val="single" w:sz="2" w:space="0" w:color="auto"/>
              <w:left w:val="nil"/>
              <w:bottom w:val="single" w:sz="2" w:space="0" w:color="auto"/>
              <w:right w:val="nil"/>
            </w:tcBorders>
            <w:vAlign w:val="bottom"/>
            <w:hideMark/>
          </w:tcPr>
          <w:p w14:paraId="2086FDAB" w14:textId="77777777" w:rsidR="00802D3E" w:rsidRDefault="00802D3E">
            <w:pPr>
              <w:pStyle w:val="MeasureTableTextRightAligned"/>
            </w:pPr>
            <w:r>
              <w:t>160</w:t>
            </w:r>
          </w:p>
        </w:tc>
        <w:tc>
          <w:tcPr>
            <w:tcW w:w="968" w:type="dxa"/>
            <w:tcBorders>
              <w:top w:val="single" w:sz="2" w:space="0" w:color="auto"/>
              <w:left w:val="nil"/>
              <w:bottom w:val="single" w:sz="2" w:space="0" w:color="auto"/>
              <w:right w:val="nil"/>
            </w:tcBorders>
            <w:vAlign w:val="bottom"/>
            <w:hideMark/>
          </w:tcPr>
          <w:p w14:paraId="2086FDAC" w14:textId="77777777" w:rsidR="00802D3E" w:rsidRDefault="00802D3E">
            <w:pPr>
              <w:pStyle w:val="MeasureTableTextRightAligned"/>
            </w:pPr>
            <w:r>
              <w:t>165</w:t>
            </w:r>
          </w:p>
        </w:tc>
      </w:tr>
      <w:tr w:rsidR="00802D3E" w14:paraId="2086FDB2" w14:textId="77777777" w:rsidTr="00802D3E">
        <w:trPr>
          <w:cantSplit/>
          <w:jc w:val="center"/>
        </w:trPr>
        <w:tc>
          <w:tcPr>
            <w:tcW w:w="1934" w:type="dxa"/>
            <w:gridSpan w:val="2"/>
            <w:tcBorders>
              <w:top w:val="single" w:sz="2" w:space="0" w:color="auto"/>
              <w:left w:val="nil"/>
              <w:bottom w:val="nil"/>
              <w:right w:val="nil"/>
            </w:tcBorders>
            <w:hideMark/>
          </w:tcPr>
          <w:p w14:paraId="2086FDA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DAF"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DB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DB1" w14:textId="77777777" w:rsidR="00802D3E" w:rsidRDefault="00802D3E">
            <w:pPr>
              <w:pStyle w:val="MeasureTableTextLeftAligned"/>
            </w:pPr>
            <w:r>
              <w:t>D9</w:t>
            </w:r>
          </w:p>
        </w:tc>
      </w:tr>
      <w:tr w:rsidR="00802D3E" w14:paraId="2086FDB7" w14:textId="77777777" w:rsidTr="00802D3E">
        <w:trPr>
          <w:cantSplit/>
          <w:jc w:val="center"/>
        </w:trPr>
        <w:tc>
          <w:tcPr>
            <w:tcW w:w="1934" w:type="dxa"/>
            <w:gridSpan w:val="2"/>
            <w:tcBorders>
              <w:top w:val="nil"/>
              <w:left w:val="nil"/>
              <w:bottom w:val="nil"/>
              <w:right w:val="nil"/>
            </w:tcBorders>
            <w:hideMark/>
          </w:tcPr>
          <w:p w14:paraId="2086FDB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DB4"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6FDB5" w14:textId="77777777" w:rsidR="00802D3E" w:rsidRDefault="00802D3E">
            <w:pPr>
              <w:pStyle w:val="MeasureTableTextItalic"/>
            </w:pPr>
          </w:p>
        </w:tc>
        <w:tc>
          <w:tcPr>
            <w:tcW w:w="1124" w:type="dxa"/>
            <w:gridSpan w:val="2"/>
            <w:tcBorders>
              <w:top w:val="nil"/>
              <w:left w:val="nil"/>
              <w:bottom w:val="nil"/>
              <w:right w:val="nil"/>
            </w:tcBorders>
          </w:tcPr>
          <w:p w14:paraId="2086FDB6" w14:textId="77777777" w:rsidR="00802D3E" w:rsidRDefault="00802D3E">
            <w:pPr>
              <w:pStyle w:val="MeasureTableTextLeftAligned"/>
            </w:pPr>
          </w:p>
        </w:tc>
      </w:tr>
      <w:tr w:rsidR="00802D3E" w14:paraId="2086FDBC" w14:textId="77777777" w:rsidTr="00802D3E">
        <w:trPr>
          <w:cantSplit/>
          <w:jc w:val="center"/>
        </w:trPr>
        <w:tc>
          <w:tcPr>
            <w:tcW w:w="1934" w:type="dxa"/>
            <w:gridSpan w:val="2"/>
            <w:tcBorders>
              <w:top w:val="nil"/>
              <w:left w:val="nil"/>
              <w:bottom w:val="nil"/>
              <w:right w:val="nil"/>
            </w:tcBorders>
            <w:hideMark/>
          </w:tcPr>
          <w:p w14:paraId="2086FDB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DB9" w14:textId="77777777" w:rsidR="00802D3E" w:rsidRDefault="00802D3E">
            <w:pPr>
              <w:pStyle w:val="MeasureTableTextLeftAligned"/>
            </w:pPr>
            <w:r>
              <w:t>2001</w:t>
            </w:r>
          </w:p>
        </w:tc>
        <w:tc>
          <w:tcPr>
            <w:tcW w:w="1500" w:type="dxa"/>
            <w:gridSpan w:val="2"/>
            <w:tcBorders>
              <w:top w:val="nil"/>
              <w:left w:val="nil"/>
              <w:bottom w:val="nil"/>
              <w:right w:val="nil"/>
            </w:tcBorders>
            <w:hideMark/>
          </w:tcPr>
          <w:p w14:paraId="2086FDB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DBB" w14:textId="77777777" w:rsidR="00802D3E" w:rsidRDefault="00802D3E">
            <w:pPr>
              <w:pStyle w:val="MeasureTableTextLeftAligned"/>
            </w:pPr>
          </w:p>
        </w:tc>
      </w:tr>
      <w:tr w:rsidR="00802D3E" w14:paraId="2086FDBF" w14:textId="77777777" w:rsidTr="00802D3E">
        <w:trPr>
          <w:cantSplit/>
          <w:jc w:val="center"/>
        </w:trPr>
        <w:tc>
          <w:tcPr>
            <w:tcW w:w="1934" w:type="dxa"/>
            <w:gridSpan w:val="2"/>
            <w:tcBorders>
              <w:top w:val="nil"/>
              <w:left w:val="nil"/>
              <w:bottom w:val="single" w:sz="2" w:space="0" w:color="auto"/>
              <w:right w:val="nil"/>
            </w:tcBorders>
            <w:hideMark/>
          </w:tcPr>
          <w:p w14:paraId="2086FDB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DBE" w14:textId="28BA2EA9" w:rsidR="00802D3E" w:rsidRDefault="00802D3E" w:rsidP="000B1D9D">
            <w:pPr>
              <w:widowControl w:val="0"/>
              <w:autoSpaceDE w:val="0"/>
              <w:autoSpaceDN w:val="0"/>
              <w:adjustRightInd w:val="0"/>
              <w:spacing w:after="0" w:line="240" w:lineRule="auto"/>
              <w:jc w:val="left"/>
            </w:pPr>
            <w:r>
              <w:rPr>
                <w:rFonts w:ascii="Arial" w:hAnsi="Arial" w:cs="Arial"/>
                <w:color w:val="000000"/>
                <w:sz w:val="16"/>
                <w:szCs w:val="16"/>
              </w:rPr>
              <w:t xml:space="preserve">Section 5B and Subsection 57A(5) of the </w:t>
            </w:r>
            <w:r>
              <w:rPr>
                <w:rFonts w:ascii="Arial" w:hAnsi="Arial" w:cs="Arial"/>
                <w:i/>
                <w:iCs/>
                <w:color w:val="000000"/>
                <w:sz w:val="16"/>
                <w:szCs w:val="16"/>
              </w:rPr>
              <w:t>Fringe Benefits Tax Assessment Act</w:t>
            </w:r>
            <w:r w:rsidR="000B1D9D">
              <w:rPr>
                <w:rFonts w:ascii="Arial" w:hAnsi="Arial" w:cs="Arial"/>
                <w:i/>
                <w:iCs/>
                <w:color w:val="000000"/>
                <w:sz w:val="16"/>
                <w:szCs w:val="16"/>
              </w:rPr>
              <w:t> </w:t>
            </w:r>
            <w:r>
              <w:rPr>
                <w:rFonts w:ascii="Arial" w:hAnsi="Arial" w:cs="Arial"/>
                <w:i/>
                <w:iCs/>
                <w:color w:val="000000"/>
                <w:sz w:val="16"/>
                <w:szCs w:val="16"/>
              </w:rPr>
              <w:t>1986</w:t>
            </w:r>
          </w:p>
        </w:tc>
      </w:tr>
    </w:tbl>
    <w:p w14:paraId="2086FDC0" w14:textId="77777777" w:rsidR="00802D3E" w:rsidRDefault="00802D3E" w:rsidP="00A109BC">
      <w:pPr>
        <w:pStyle w:val="SingleParagraph"/>
      </w:pPr>
    </w:p>
    <w:p w14:paraId="2086FDC1" w14:textId="77777777" w:rsidR="00802D3E" w:rsidRDefault="00802D3E" w:rsidP="00802D3E">
      <w:r>
        <w:t>Charitable institutions</w:t>
      </w:r>
      <w:r>
        <w:fldChar w:fldCharType="begin"/>
      </w:r>
      <w:r>
        <w:instrText xml:space="preserve"> XE "Charitable institutions" </w:instrText>
      </w:r>
      <w:r>
        <w:fldChar w:fldCharType="end"/>
      </w:r>
      <w:r>
        <w:t xml:space="preserve"> whose principal activity is to promote the prevention or control of diseases in human beings are provided with an exemption from fringe benefits tax for up to $30,000 of the grossed</w:t>
      </w:r>
      <w:r>
        <w:noBreakHyphen/>
        <w:t xml:space="preserve">up taxable value of fringe benefits per employee. </w:t>
      </w:r>
    </w:p>
    <w:p w14:paraId="2086FDC2" w14:textId="77777777" w:rsidR="00802D3E" w:rsidRDefault="00802D3E" w:rsidP="00802D3E">
      <w:pPr>
        <w:pStyle w:val="TESHeading5"/>
        <w:ind w:left="0" w:firstLine="0"/>
      </w:pPr>
      <w:r>
        <w:lastRenderedPageBreak/>
        <w:t>D10</w:t>
      </w:r>
      <w:r>
        <w:tab/>
        <w:t>Exemption for public and not-for-profit hospitals and public ambulance services</w:t>
      </w:r>
    </w:p>
    <w:p w14:paraId="2086FDC3"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DCC" w14:textId="77777777" w:rsidTr="00802D3E">
        <w:trPr>
          <w:cantSplit/>
          <w:jc w:val="center"/>
        </w:trPr>
        <w:tc>
          <w:tcPr>
            <w:tcW w:w="967" w:type="dxa"/>
            <w:tcBorders>
              <w:top w:val="single" w:sz="2" w:space="0" w:color="auto"/>
              <w:left w:val="nil"/>
              <w:bottom w:val="single" w:sz="2" w:space="0" w:color="auto"/>
              <w:right w:val="nil"/>
            </w:tcBorders>
            <w:hideMark/>
          </w:tcPr>
          <w:p w14:paraId="2086FDC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DC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DC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DC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DC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DC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DC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DCB" w14:textId="77777777" w:rsidR="00802D3E" w:rsidRDefault="00802D3E">
            <w:pPr>
              <w:pStyle w:val="MeasureTableTextRightAligned"/>
            </w:pPr>
            <w:r>
              <w:t>2019-20</w:t>
            </w:r>
          </w:p>
        </w:tc>
      </w:tr>
      <w:tr w:rsidR="00802D3E" w14:paraId="2086FDD5" w14:textId="77777777" w:rsidTr="00802D3E">
        <w:trPr>
          <w:cantSplit/>
          <w:jc w:val="center"/>
        </w:trPr>
        <w:tc>
          <w:tcPr>
            <w:tcW w:w="967" w:type="dxa"/>
            <w:tcBorders>
              <w:top w:val="single" w:sz="2" w:space="0" w:color="auto"/>
              <w:left w:val="nil"/>
              <w:bottom w:val="single" w:sz="2" w:space="0" w:color="auto"/>
              <w:right w:val="nil"/>
            </w:tcBorders>
            <w:hideMark/>
          </w:tcPr>
          <w:p w14:paraId="2086FDCD" w14:textId="77777777" w:rsidR="00802D3E" w:rsidRDefault="00802D3E">
            <w:pPr>
              <w:pStyle w:val="MeasureTableTextRightAligned"/>
            </w:pPr>
            <w:r>
              <w:t>1,200</w:t>
            </w:r>
          </w:p>
        </w:tc>
        <w:tc>
          <w:tcPr>
            <w:tcW w:w="967" w:type="dxa"/>
            <w:tcBorders>
              <w:top w:val="single" w:sz="2" w:space="0" w:color="auto"/>
              <w:left w:val="nil"/>
              <w:bottom w:val="single" w:sz="2" w:space="0" w:color="auto"/>
              <w:right w:val="nil"/>
            </w:tcBorders>
            <w:hideMark/>
          </w:tcPr>
          <w:p w14:paraId="2086FDCE" w14:textId="77777777" w:rsidR="00802D3E" w:rsidRDefault="00802D3E">
            <w:pPr>
              <w:pStyle w:val="MeasureTableTextRightAligned"/>
            </w:pPr>
            <w:r>
              <w:t>1,250</w:t>
            </w:r>
          </w:p>
        </w:tc>
        <w:tc>
          <w:tcPr>
            <w:tcW w:w="967" w:type="dxa"/>
            <w:tcBorders>
              <w:top w:val="single" w:sz="2" w:space="0" w:color="auto"/>
              <w:left w:val="nil"/>
              <w:bottom w:val="single" w:sz="2" w:space="0" w:color="auto"/>
              <w:right w:val="nil"/>
            </w:tcBorders>
            <w:vAlign w:val="bottom"/>
            <w:hideMark/>
          </w:tcPr>
          <w:p w14:paraId="2086FDCF" w14:textId="77777777" w:rsidR="00802D3E" w:rsidRDefault="00802D3E">
            <w:pPr>
              <w:pStyle w:val="MeasureTableTextRightAligned"/>
            </w:pPr>
            <w:r>
              <w:t>1,350</w:t>
            </w:r>
          </w:p>
        </w:tc>
        <w:tc>
          <w:tcPr>
            <w:tcW w:w="967" w:type="dxa"/>
            <w:tcBorders>
              <w:top w:val="single" w:sz="2" w:space="0" w:color="auto"/>
              <w:left w:val="nil"/>
              <w:bottom w:val="single" w:sz="2" w:space="0" w:color="auto"/>
              <w:right w:val="nil"/>
            </w:tcBorders>
            <w:vAlign w:val="bottom"/>
            <w:hideMark/>
          </w:tcPr>
          <w:p w14:paraId="2086FDD0" w14:textId="77777777" w:rsidR="00802D3E" w:rsidRDefault="00802D3E">
            <w:pPr>
              <w:pStyle w:val="MeasureTableTextRightAligned"/>
            </w:pPr>
            <w:r>
              <w:t>1,400</w:t>
            </w:r>
          </w:p>
        </w:tc>
        <w:tc>
          <w:tcPr>
            <w:tcW w:w="967" w:type="dxa"/>
            <w:tcBorders>
              <w:top w:val="single" w:sz="2" w:space="0" w:color="auto"/>
              <w:left w:val="nil"/>
              <w:bottom w:val="single" w:sz="2" w:space="0" w:color="auto"/>
              <w:right w:val="nil"/>
            </w:tcBorders>
            <w:vAlign w:val="bottom"/>
            <w:hideMark/>
          </w:tcPr>
          <w:p w14:paraId="2086FDD1" w14:textId="77777777" w:rsidR="00802D3E" w:rsidRDefault="00802D3E">
            <w:pPr>
              <w:pStyle w:val="MeasureTableTextRightAligned"/>
            </w:pPr>
            <w:r>
              <w:t>1,450</w:t>
            </w:r>
          </w:p>
        </w:tc>
        <w:tc>
          <w:tcPr>
            <w:tcW w:w="967" w:type="dxa"/>
            <w:gridSpan w:val="2"/>
            <w:tcBorders>
              <w:top w:val="single" w:sz="2" w:space="0" w:color="auto"/>
              <w:left w:val="nil"/>
              <w:bottom w:val="single" w:sz="2" w:space="0" w:color="auto"/>
              <w:right w:val="nil"/>
            </w:tcBorders>
            <w:vAlign w:val="bottom"/>
            <w:hideMark/>
          </w:tcPr>
          <w:p w14:paraId="2086FDD2" w14:textId="77777777" w:rsidR="00802D3E" w:rsidRDefault="00802D3E">
            <w:pPr>
              <w:pStyle w:val="MeasureTableTextRightAligned"/>
            </w:pPr>
            <w:r>
              <w:t>1,550</w:t>
            </w:r>
          </w:p>
        </w:tc>
        <w:tc>
          <w:tcPr>
            <w:tcW w:w="967" w:type="dxa"/>
            <w:gridSpan w:val="2"/>
            <w:tcBorders>
              <w:top w:val="single" w:sz="2" w:space="0" w:color="auto"/>
              <w:left w:val="nil"/>
              <w:bottom w:val="single" w:sz="2" w:space="0" w:color="auto"/>
              <w:right w:val="nil"/>
            </w:tcBorders>
            <w:vAlign w:val="bottom"/>
            <w:hideMark/>
          </w:tcPr>
          <w:p w14:paraId="2086FDD3" w14:textId="77777777" w:rsidR="00802D3E" w:rsidRDefault="00802D3E">
            <w:pPr>
              <w:pStyle w:val="MeasureTableTextRightAligned"/>
            </w:pPr>
            <w:r>
              <w:t>1,650</w:t>
            </w:r>
          </w:p>
        </w:tc>
        <w:tc>
          <w:tcPr>
            <w:tcW w:w="968" w:type="dxa"/>
            <w:tcBorders>
              <w:top w:val="single" w:sz="2" w:space="0" w:color="auto"/>
              <w:left w:val="nil"/>
              <w:bottom w:val="single" w:sz="2" w:space="0" w:color="auto"/>
              <w:right w:val="nil"/>
            </w:tcBorders>
            <w:vAlign w:val="bottom"/>
            <w:hideMark/>
          </w:tcPr>
          <w:p w14:paraId="2086FDD4" w14:textId="77777777" w:rsidR="00802D3E" w:rsidRDefault="00802D3E">
            <w:pPr>
              <w:pStyle w:val="MeasureTableTextRightAligned"/>
            </w:pPr>
            <w:r>
              <w:t>1,750</w:t>
            </w:r>
          </w:p>
        </w:tc>
      </w:tr>
      <w:tr w:rsidR="00802D3E" w14:paraId="2086FDDA" w14:textId="77777777" w:rsidTr="00802D3E">
        <w:trPr>
          <w:cantSplit/>
          <w:jc w:val="center"/>
        </w:trPr>
        <w:tc>
          <w:tcPr>
            <w:tcW w:w="1934" w:type="dxa"/>
            <w:gridSpan w:val="2"/>
            <w:tcBorders>
              <w:top w:val="single" w:sz="2" w:space="0" w:color="auto"/>
              <w:left w:val="nil"/>
              <w:bottom w:val="nil"/>
              <w:right w:val="nil"/>
            </w:tcBorders>
            <w:hideMark/>
          </w:tcPr>
          <w:p w14:paraId="2086FDD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DD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DD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DD9" w14:textId="77777777" w:rsidR="00802D3E" w:rsidRDefault="00802D3E">
            <w:pPr>
              <w:pStyle w:val="MeasureTableTextLeftAligned"/>
            </w:pPr>
            <w:r>
              <w:t>D10</w:t>
            </w:r>
          </w:p>
        </w:tc>
      </w:tr>
      <w:tr w:rsidR="00802D3E" w14:paraId="2086FDDF" w14:textId="77777777" w:rsidTr="00802D3E">
        <w:trPr>
          <w:cantSplit/>
          <w:jc w:val="center"/>
        </w:trPr>
        <w:tc>
          <w:tcPr>
            <w:tcW w:w="1934" w:type="dxa"/>
            <w:gridSpan w:val="2"/>
            <w:tcBorders>
              <w:top w:val="nil"/>
              <w:left w:val="nil"/>
              <w:bottom w:val="nil"/>
              <w:right w:val="nil"/>
            </w:tcBorders>
            <w:hideMark/>
          </w:tcPr>
          <w:p w14:paraId="2086FDD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DDC" w14:textId="77777777" w:rsidR="00802D3E" w:rsidRDefault="00802D3E">
            <w:pPr>
              <w:pStyle w:val="MeasureTableTextLeftAligned"/>
            </w:pPr>
            <w:r>
              <w:t>Medium</w:t>
            </w:r>
          </w:p>
        </w:tc>
        <w:tc>
          <w:tcPr>
            <w:tcW w:w="1500" w:type="dxa"/>
            <w:gridSpan w:val="2"/>
            <w:tcBorders>
              <w:top w:val="nil"/>
              <w:left w:val="nil"/>
              <w:bottom w:val="nil"/>
              <w:right w:val="nil"/>
            </w:tcBorders>
          </w:tcPr>
          <w:p w14:paraId="2086FDDD" w14:textId="77777777" w:rsidR="00802D3E" w:rsidRDefault="00802D3E">
            <w:pPr>
              <w:pStyle w:val="MeasureTableTextItalic"/>
            </w:pPr>
          </w:p>
        </w:tc>
        <w:tc>
          <w:tcPr>
            <w:tcW w:w="1124" w:type="dxa"/>
            <w:gridSpan w:val="2"/>
            <w:tcBorders>
              <w:top w:val="nil"/>
              <w:left w:val="nil"/>
              <w:bottom w:val="nil"/>
              <w:right w:val="nil"/>
            </w:tcBorders>
          </w:tcPr>
          <w:p w14:paraId="2086FDDE" w14:textId="77777777" w:rsidR="00802D3E" w:rsidRDefault="00802D3E">
            <w:pPr>
              <w:pStyle w:val="MeasureTableTextLeftAligned"/>
            </w:pPr>
          </w:p>
        </w:tc>
      </w:tr>
      <w:tr w:rsidR="00802D3E" w14:paraId="2086FDE4" w14:textId="77777777" w:rsidTr="00802D3E">
        <w:trPr>
          <w:cantSplit/>
          <w:jc w:val="center"/>
        </w:trPr>
        <w:tc>
          <w:tcPr>
            <w:tcW w:w="1934" w:type="dxa"/>
            <w:gridSpan w:val="2"/>
            <w:tcBorders>
              <w:top w:val="nil"/>
              <w:left w:val="nil"/>
              <w:bottom w:val="nil"/>
              <w:right w:val="nil"/>
            </w:tcBorders>
            <w:hideMark/>
          </w:tcPr>
          <w:p w14:paraId="2086FDE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DE1" w14:textId="77777777" w:rsidR="00802D3E" w:rsidRDefault="00802D3E">
            <w:pPr>
              <w:pStyle w:val="MeasureTableTextLeftAligned"/>
            </w:pPr>
            <w:r>
              <w:t>2000</w:t>
            </w:r>
          </w:p>
        </w:tc>
        <w:tc>
          <w:tcPr>
            <w:tcW w:w="1500" w:type="dxa"/>
            <w:gridSpan w:val="2"/>
            <w:tcBorders>
              <w:top w:val="nil"/>
              <w:left w:val="nil"/>
              <w:bottom w:val="nil"/>
              <w:right w:val="nil"/>
            </w:tcBorders>
            <w:hideMark/>
          </w:tcPr>
          <w:p w14:paraId="2086FDE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DE3" w14:textId="77777777" w:rsidR="00802D3E" w:rsidRDefault="00802D3E">
            <w:pPr>
              <w:pStyle w:val="MeasureTableTextLeftAligned"/>
            </w:pPr>
          </w:p>
        </w:tc>
      </w:tr>
      <w:tr w:rsidR="00802D3E" w14:paraId="2086FDE7" w14:textId="77777777" w:rsidTr="00802D3E">
        <w:trPr>
          <w:cantSplit/>
          <w:jc w:val="center"/>
        </w:trPr>
        <w:tc>
          <w:tcPr>
            <w:tcW w:w="1934" w:type="dxa"/>
            <w:gridSpan w:val="2"/>
            <w:tcBorders>
              <w:top w:val="nil"/>
              <w:left w:val="nil"/>
              <w:bottom w:val="single" w:sz="2" w:space="0" w:color="auto"/>
              <w:right w:val="nil"/>
            </w:tcBorders>
            <w:hideMark/>
          </w:tcPr>
          <w:p w14:paraId="2086FDE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DE6"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57A(3) and 57A(4) of the </w:t>
            </w:r>
            <w:r w:rsidRPr="00106337">
              <w:rPr>
                <w:rFonts w:ascii="Arial" w:hAnsi="Arial" w:cs="Arial"/>
                <w:i/>
                <w:iCs/>
                <w:color w:val="000000"/>
                <w:sz w:val="16"/>
                <w:szCs w:val="16"/>
              </w:rPr>
              <w:t>Fringe Benefits Tax Assessment Act 1986</w:t>
            </w:r>
          </w:p>
        </w:tc>
      </w:tr>
    </w:tbl>
    <w:p w14:paraId="2086FDE8" w14:textId="77777777" w:rsidR="00802D3E" w:rsidRDefault="00802D3E" w:rsidP="00A109BC">
      <w:pPr>
        <w:pStyle w:val="SingleParagraph"/>
      </w:pPr>
    </w:p>
    <w:p w14:paraId="2086FDE9" w14:textId="77777777" w:rsidR="00802D3E" w:rsidRDefault="00802D3E" w:rsidP="00802D3E">
      <w:r>
        <w:t>Public and not</w:t>
      </w:r>
      <w:r>
        <w:noBreakHyphen/>
        <w:t>for</w:t>
      </w:r>
      <w:r>
        <w:noBreakHyphen/>
        <w:t>profit hospitals</w:t>
      </w:r>
      <w:r>
        <w:fldChar w:fldCharType="begin"/>
      </w:r>
      <w:r>
        <w:instrText xml:space="preserve"> XE "Hospitals" </w:instrText>
      </w:r>
      <w:r>
        <w:fldChar w:fldCharType="end"/>
      </w:r>
      <w:r>
        <w:t xml:space="preserve"> and public ambulance services are provided with an exemption from fringe benefits tax for up to $17,000 of the grossed</w:t>
      </w:r>
      <w:r>
        <w:noBreakHyphen/>
        <w:t xml:space="preserve">up taxable value of fringe benefits per employee. </w:t>
      </w:r>
    </w:p>
    <w:p w14:paraId="2086FDEA" w14:textId="77777777" w:rsidR="00802D3E" w:rsidRDefault="00802D3E" w:rsidP="00802D3E">
      <w:pPr>
        <w:pStyle w:val="TESHeading5"/>
        <w:ind w:left="0" w:firstLine="0"/>
      </w:pPr>
      <w:r>
        <w:t>D11</w:t>
      </w:r>
      <w:r>
        <w:tab/>
        <w:t>Exemption for travel costs of employees and their families associated with overseas medical treatment</w:t>
      </w:r>
    </w:p>
    <w:p w14:paraId="2086FDEB"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DF4" w14:textId="77777777" w:rsidTr="00802D3E">
        <w:trPr>
          <w:cantSplit/>
          <w:jc w:val="center"/>
        </w:trPr>
        <w:tc>
          <w:tcPr>
            <w:tcW w:w="967" w:type="dxa"/>
            <w:tcBorders>
              <w:top w:val="single" w:sz="2" w:space="0" w:color="auto"/>
              <w:left w:val="nil"/>
              <w:bottom w:val="single" w:sz="2" w:space="0" w:color="auto"/>
              <w:right w:val="nil"/>
            </w:tcBorders>
            <w:hideMark/>
          </w:tcPr>
          <w:p w14:paraId="2086FDE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DE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DE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DE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DF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DF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DF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DF3" w14:textId="77777777" w:rsidR="00802D3E" w:rsidRDefault="00802D3E">
            <w:pPr>
              <w:pStyle w:val="MeasureTableTextRightAligned"/>
            </w:pPr>
            <w:r>
              <w:t>2019-20</w:t>
            </w:r>
          </w:p>
        </w:tc>
      </w:tr>
      <w:tr w:rsidR="00802D3E" w14:paraId="2086FDFD" w14:textId="77777777" w:rsidTr="00802D3E">
        <w:trPr>
          <w:cantSplit/>
          <w:jc w:val="center"/>
        </w:trPr>
        <w:tc>
          <w:tcPr>
            <w:tcW w:w="967" w:type="dxa"/>
            <w:tcBorders>
              <w:top w:val="single" w:sz="2" w:space="0" w:color="auto"/>
              <w:left w:val="nil"/>
              <w:bottom w:val="single" w:sz="2" w:space="0" w:color="auto"/>
              <w:right w:val="nil"/>
            </w:tcBorders>
            <w:hideMark/>
          </w:tcPr>
          <w:p w14:paraId="2086FDF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DF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DF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DF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DF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DF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DF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DFC" w14:textId="77777777" w:rsidR="00802D3E" w:rsidRDefault="00802D3E">
            <w:pPr>
              <w:pStyle w:val="MeasureTableTextRightAligned"/>
            </w:pPr>
            <w:r>
              <w:t>*</w:t>
            </w:r>
          </w:p>
        </w:tc>
      </w:tr>
      <w:tr w:rsidR="00802D3E" w14:paraId="2086FE02" w14:textId="77777777" w:rsidTr="00802D3E">
        <w:trPr>
          <w:cantSplit/>
          <w:jc w:val="center"/>
        </w:trPr>
        <w:tc>
          <w:tcPr>
            <w:tcW w:w="1934" w:type="dxa"/>
            <w:gridSpan w:val="2"/>
            <w:tcBorders>
              <w:top w:val="single" w:sz="2" w:space="0" w:color="auto"/>
              <w:left w:val="nil"/>
              <w:bottom w:val="nil"/>
              <w:right w:val="nil"/>
            </w:tcBorders>
            <w:hideMark/>
          </w:tcPr>
          <w:p w14:paraId="2086FDF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DFF"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E0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E01" w14:textId="77777777" w:rsidR="00802D3E" w:rsidRDefault="00802D3E">
            <w:pPr>
              <w:pStyle w:val="MeasureTableTextLeftAligned"/>
            </w:pPr>
            <w:r>
              <w:t>D11</w:t>
            </w:r>
          </w:p>
        </w:tc>
      </w:tr>
      <w:tr w:rsidR="00802D3E" w14:paraId="2086FE07" w14:textId="77777777" w:rsidTr="00802D3E">
        <w:trPr>
          <w:cantSplit/>
          <w:jc w:val="center"/>
        </w:trPr>
        <w:tc>
          <w:tcPr>
            <w:tcW w:w="1934" w:type="dxa"/>
            <w:gridSpan w:val="2"/>
            <w:tcBorders>
              <w:top w:val="nil"/>
              <w:left w:val="nil"/>
              <w:bottom w:val="nil"/>
              <w:right w:val="nil"/>
            </w:tcBorders>
            <w:hideMark/>
          </w:tcPr>
          <w:p w14:paraId="2086FE0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E0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E0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E06" w14:textId="77777777" w:rsidR="00802D3E" w:rsidRDefault="00802D3E">
            <w:pPr>
              <w:pStyle w:val="MeasureTableTextLeftAligned"/>
            </w:pPr>
            <w:r>
              <w:t>1+</w:t>
            </w:r>
          </w:p>
        </w:tc>
      </w:tr>
      <w:tr w:rsidR="00802D3E" w14:paraId="2086FE0C" w14:textId="77777777" w:rsidTr="00802D3E">
        <w:trPr>
          <w:cantSplit/>
          <w:jc w:val="center"/>
        </w:trPr>
        <w:tc>
          <w:tcPr>
            <w:tcW w:w="1934" w:type="dxa"/>
            <w:gridSpan w:val="2"/>
            <w:tcBorders>
              <w:top w:val="nil"/>
              <w:left w:val="nil"/>
              <w:bottom w:val="nil"/>
              <w:right w:val="nil"/>
            </w:tcBorders>
            <w:hideMark/>
          </w:tcPr>
          <w:p w14:paraId="2086FE0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E09"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E0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E0B" w14:textId="77777777" w:rsidR="00802D3E" w:rsidRDefault="00802D3E">
            <w:pPr>
              <w:pStyle w:val="MeasureTableTextLeftAligned"/>
            </w:pPr>
          </w:p>
        </w:tc>
      </w:tr>
      <w:tr w:rsidR="00802D3E" w14:paraId="2086FE0F" w14:textId="77777777" w:rsidTr="00802D3E">
        <w:trPr>
          <w:cantSplit/>
          <w:jc w:val="center"/>
        </w:trPr>
        <w:tc>
          <w:tcPr>
            <w:tcW w:w="1934" w:type="dxa"/>
            <w:gridSpan w:val="2"/>
            <w:tcBorders>
              <w:top w:val="nil"/>
              <w:left w:val="nil"/>
              <w:bottom w:val="single" w:sz="2" w:space="0" w:color="auto"/>
              <w:right w:val="nil"/>
            </w:tcBorders>
            <w:hideMark/>
          </w:tcPr>
          <w:p w14:paraId="2086FE0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E0E"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58L of the </w:t>
            </w:r>
            <w:r w:rsidRPr="00106337">
              <w:rPr>
                <w:rFonts w:ascii="Arial" w:hAnsi="Arial" w:cs="Arial"/>
                <w:i/>
                <w:iCs/>
                <w:color w:val="000000"/>
                <w:sz w:val="16"/>
                <w:szCs w:val="16"/>
              </w:rPr>
              <w:t>Fringe Benefits Tax Assessment Act 1986</w:t>
            </w:r>
          </w:p>
        </w:tc>
      </w:tr>
    </w:tbl>
    <w:p w14:paraId="2086FE10" w14:textId="77777777" w:rsidR="00802D3E" w:rsidRDefault="00802D3E" w:rsidP="00A109BC">
      <w:pPr>
        <w:pStyle w:val="SingleParagraph"/>
      </w:pPr>
    </w:p>
    <w:p w14:paraId="2086FE11" w14:textId="77777777" w:rsidR="00802D3E" w:rsidRDefault="00802D3E" w:rsidP="00802D3E">
      <w:r>
        <w:t xml:space="preserve">Benefits that meet the costs of travel away from a work place located in a foreign country in order to obtain medical treatment are exempt from fringe benefits tax. Accommodation and meals are also exempt if provided </w:t>
      </w:r>
      <w:proofErr w:type="spellStart"/>
      <w:r>
        <w:t>en</w:t>
      </w:r>
      <w:proofErr w:type="spellEnd"/>
      <w:r>
        <w:t xml:space="preserve"> route.</w:t>
      </w:r>
      <w:r>
        <w:fldChar w:fldCharType="begin"/>
      </w:r>
      <w:r>
        <w:instrText xml:space="preserve"> XE "Overseas medical treatment" </w:instrText>
      </w:r>
      <w:r>
        <w:fldChar w:fldCharType="end"/>
      </w:r>
    </w:p>
    <w:p w14:paraId="2086FE12" w14:textId="77777777" w:rsidR="00802D3E" w:rsidRDefault="00802D3E" w:rsidP="00802D3E">
      <w:pPr>
        <w:pStyle w:val="TESHeading5"/>
        <w:ind w:left="0" w:firstLine="0"/>
      </w:pPr>
      <w:r>
        <w:t>D12</w:t>
      </w:r>
      <w:r>
        <w:tab/>
        <w:t>Exemption for accommodation, fuel and meals for live-in employees caring for the elderly or disadvantaged</w:t>
      </w:r>
    </w:p>
    <w:p w14:paraId="2086FE13"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E1C" w14:textId="77777777" w:rsidTr="00802D3E">
        <w:trPr>
          <w:cantSplit/>
          <w:jc w:val="center"/>
        </w:trPr>
        <w:tc>
          <w:tcPr>
            <w:tcW w:w="967" w:type="dxa"/>
            <w:tcBorders>
              <w:top w:val="single" w:sz="2" w:space="0" w:color="auto"/>
              <w:left w:val="nil"/>
              <w:bottom w:val="single" w:sz="2" w:space="0" w:color="auto"/>
              <w:right w:val="nil"/>
            </w:tcBorders>
            <w:hideMark/>
          </w:tcPr>
          <w:p w14:paraId="2086FE1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E1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E1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E1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E1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E1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E1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E1B" w14:textId="77777777" w:rsidR="00802D3E" w:rsidRDefault="00802D3E">
            <w:pPr>
              <w:pStyle w:val="MeasureTableTextRightAligned"/>
            </w:pPr>
            <w:r>
              <w:t>2019-20</w:t>
            </w:r>
          </w:p>
        </w:tc>
      </w:tr>
      <w:tr w:rsidR="00802D3E" w14:paraId="2086FE25" w14:textId="77777777" w:rsidTr="00802D3E">
        <w:trPr>
          <w:cantSplit/>
          <w:jc w:val="center"/>
        </w:trPr>
        <w:tc>
          <w:tcPr>
            <w:tcW w:w="967" w:type="dxa"/>
            <w:tcBorders>
              <w:top w:val="single" w:sz="2" w:space="0" w:color="auto"/>
              <w:left w:val="nil"/>
              <w:bottom w:val="single" w:sz="2" w:space="0" w:color="auto"/>
              <w:right w:val="nil"/>
            </w:tcBorders>
            <w:hideMark/>
          </w:tcPr>
          <w:p w14:paraId="2086FE1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E1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1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2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2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E2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E2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E24" w14:textId="77777777" w:rsidR="00802D3E" w:rsidRDefault="00802D3E">
            <w:pPr>
              <w:pStyle w:val="MeasureTableTextRightAligned"/>
            </w:pPr>
            <w:r>
              <w:t>*</w:t>
            </w:r>
          </w:p>
        </w:tc>
      </w:tr>
      <w:tr w:rsidR="00802D3E" w14:paraId="2086FE2A" w14:textId="77777777" w:rsidTr="00802D3E">
        <w:trPr>
          <w:cantSplit/>
          <w:jc w:val="center"/>
        </w:trPr>
        <w:tc>
          <w:tcPr>
            <w:tcW w:w="1934" w:type="dxa"/>
            <w:gridSpan w:val="2"/>
            <w:tcBorders>
              <w:top w:val="single" w:sz="2" w:space="0" w:color="auto"/>
              <w:left w:val="nil"/>
              <w:bottom w:val="nil"/>
              <w:right w:val="nil"/>
            </w:tcBorders>
            <w:hideMark/>
          </w:tcPr>
          <w:p w14:paraId="2086FE2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E2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E2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E29" w14:textId="77777777" w:rsidR="00802D3E" w:rsidRDefault="00802D3E">
            <w:pPr>
              <w:pStyle w:val="MeasureTableTextLeftAligned"/>
            </w:pPr>
            <w:r>
              <w:t>D12</w:t>
            </w:r>
          </w:p>
        </w:tc>
      </w:tr>
      <w:tr w:rsidR="00802D3E" w14:paraId="2086FE2F" w14:textId="77777777" w:rsidTr="00802D3E">
        <w:trPr>
          <w:cantSplit/>
          <w:jc w:val="center"/>
        </w:trPr>
        <w:tc>
          <w:tcPr>
            <w:tcW w:w="1934" w:type="dxa"/>
            <w:gridSpan w:val="2"/>
            <w:tcBorders>
              <w:top w:val="nil"/>
              <w:left w:val="nil"/>
              <w:bottom w:val="nil"/>
              <w:right w:val="nil"/>
            </w:tcBorders>
            <w:hideMark/>
          </w:tcPr>
          <w:p w14:paraId="2086FE2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E2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E2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E2E" w14:textId="77777777" w:rsidR="00802D3E" w:rsidRDefault="00802D3E">
            <w:pPr>
              <w:pStyle w:val="MeasureTableTextLeftAligned"/>
            </w:pPr>
            <w:r>
              <w:t>1+</w:t>
            </w:r>
          </w:p>
        </w:tc>
      </w:tr>
      <w:tr w:rsidR="00802D3E" w14:paraId="2086FE34" w14:textId="77777777" w:rsidTr="00802D3E">
        <w:trPr>
          <w:cantSplit/>
          <w:jc w:val="center"/>
        </w:trPr>
        <w:tc>
          <w:tcPr>
            <w:tcW w:w="1934" w:type="dxa"/>
            <w:gridSpan w:val="2"/>
            <w:tcBorders>
              <w:top w:val="nil"/>
              <w:left w:val="nil"/>
              <w:bottom w:val="nil"/>
              <w:right w:val="nil"/>
            </w:tcBorders>
            <w:hideMark/>
          </w:tcPr>
          <w:p w14:paraId="2086FE3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E31"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E3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E33" w14:textId="77777777" w:rsidR="00802D3E" w:rsidRDefault="00802D3E">
            <w:pPr>
              <w:pStyle w:val="MeasureTableTextLeftAligned"/>
            </w:pPr>
          </w:p>
        </w:tc>
      </w:tr>
      <w:tr w:rsidR="00802D3E" w14:paraId="2086FE37" w14:textId="77777777" w:rsidTr="00802D3E">
        <w:trPr>
          <w:cantSplit/>
          <w:jc w:val="center"/>
        </w:trPr>
        <w:tc>
          <w:tcPr>
            <w:tcW w:w="1934" w:type="dxa"/>
            <w:gridSpan w:val="2"/>
            <w:tcBorders>
              <w:top w:val="nil"/>
              <w:left w:val="nil"/>
              <w:bottom w:val="single" w:sz="2" w:space="0" w:color="auto"/>
              <w:right w:val="nil"/>
            </w:tcBorders>
            <w:hideMark/>
          </w:tcPr>
          <w:p w14:paraId="2086FE3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E36"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58 and 58U of the </w:t>
            </w:r>
            <w:r w:rsidRPr="00106337">
              <w:rPr>
                <w:rFonts w:ascii="Arial" w:hAnsi="Arial" w:cs="Arial"/>
                <w:i/>
                <w:iCs/>
                <w:color w:val="000000"/>
                <w:sz w:val="16"/>
                <w:szCs w:val="16"/>
              </w:rPr>
              <w:t>Fringe Benefits Tax Assessment Act 1986</w:t>
            </w:r>
          </w:p>
        </w:tc>
      </w:tr>
    </w:tbl>
    <w:p w14:paraId="2086FE38" w14:textId="77777777" w:rsidR="00802D3E" w:rsidRDefault="00802D3E" w:rsidP="00A109BC">
      <w:pPr>
        <w:pStyle w:val="SingleParagraph"/>
      </w:pPr>
    </w:p>
    <w:p w14:paraId="2086FE39" w14:textId="77777777" w:rsidR="00802D3E" w:rsidRDefault="00802D3E" w:rsidP="00802D3E">
      <w:r>
        <w:t>Certain benefits that are provided to people employed in caring for elderly or disadvantaged persons and who reside with them in their own homes are exempt from fringe benefits tax. The benefits that are exempt are accommodation, residential fuel, meals and other food and drink provided in the home to the employee.</w:t>
      </w:r>
      <w:r>
        <w:fldChar w:fldCharType="begin"/>
      </w:r>
      <w:r>
        <w:instrText xml:space="preserve"> XE "Live-in employees" </w:instrText>
      </w:r>
      <w:r>
        <w:fldChar w:fldCharType="end"/>
      </w:r>
    </w:p>
    <w:p w14:paraId="2086FE3A" w14:textId="77777777" w:rsidR="00802D3E" w:rsidRDefault="00802D3E" w:rsidP="00802D3E">
      <w:pPr>
        <w:pStyle w:val="TESHeading5"/>
        <w:ind w:left="0" w:firstLine="0"/>
      </w:pPr>
      <w:r>
        <w:lastRenderedPageBreak/>
        <w:t>D13</w:t>
      </w:r>
      <w:r>
        <w:tab/>
        <w:t>Exemption for emergency assistance</w:t>
      </w:r>
    </w:p>
    <w:p w14:paraId="2086FE3B"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E44" w14:textId="77777777" w:rsidTr="00802D3E">
        <w:trPr>
          <w:cantSplit/>
          <w:jc w:val="center"/>
        </w:trPr>
        <w:tc>
          <w:tcPr>
            <w:tcW w:w="967" w:type="dxa"/>
            <w:tcBorders>
              <w:top w:val="single" w:sz="2" w:space="0" w:color="auto"/>
              <w:left w:val="nil"/>
              <w:bottom w:val="single" w:sz="2" w:space="0" w:color="auto"/>
              <w:right w:val="nil"/>
            </w:tcBorders>
            <w:hideMark/>
          </w:tcPr>
          <w:p w14:paraId="2086FE3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E3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E3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E3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E4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E4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E4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E43" w14:textId="77777777" w:rsidR="00802D3E" w:rsidRDefault="00802D3E">
            <w:pPr>
              <w:pStyle w:val="MeasureTableTextRightAligned"/>
            </w:pPr>
            <w:r>
              <w:t>2019-20</w:t>
            </w:r>
          </w:p>
        </w:tc>
      </w:tr>
      <w:tr w:rsidR="00802D3E" w14:paraId="2086FE4D" w14:textId="77777777" w:rsidTr="00802D3E">
        <w:trPr>
          <w:cantSplit/>
          <w:jc w:val="center"/>
        </w:trPr>
        <w:tc>
          <w:tcPr>
            <w:tcW w:w="967" w:type="dxa"/>
            <w:tcBorders>
              <w:top w:val="single" w:sz="2" w:space="0" w:color="auto"/>
              <w:left w:val="nil"/>
              <w:bottom w:val="single" w:sz="2" w:space="0" w:color="auto"/>
              <w:right w:val="nil"/>
            </w:tcBorders>
            <w:hideMark/>
          </w:tcPr>
          <w:p w14:paraId="2086FE4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E4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4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4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4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E4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E4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E4C" w14:textId="77777777" w:rsidR="00802D3E" w:rsidRDefault="00802D3E">
            <w:pPr>
              <w:pStyle w:val="MeasureTableTextRightAligned"/>
            </w:pPr>
            <w:r>
              <w:t>*</w:t>
            </w:r>
          </w:p>
        </w:tc>
      </w:tr>
      <w:tr w:rsidR="00802D3E" w14:paraId="2086FE52" w14:textId="77777777" w:rsidTr="00802D3E">
        <w:trPr>
          <w:cantSplit/>
          <w:jc w:val="center"/>
        </w:trPr>
        <w:tc>
          <w:tcPr>
            <w:tcW w:w="1934" w:type="dxa"/>
            <w:gridSpan w:val="2"/>
            <w:tcBorders>
              <w:top w:val="single" w:sz="2" w:space="0" w:color="auto"/>
              <w:left w:val="nil"/>
              <w:bottom w:val="nil"/>
              <w:right w:val="nil"/>
            </w:tcBorders>
            <w:hideMark/>
          </w:tcPr>
          <w:p w14:paraId="2086FE4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E4F"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E5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E51" w14:textId="77777777" w:rsidR="00802D3E" w:rsidRDefault="00802D3E">
            <w:pPr>
              <w:pStyle w:val="MeasureTableTextLeftAligned"/>
            </w:pPr>
            <w:r>
              <w:t>D13</w:t>
            </w:r>
          </w:p>
        </w:tc>
      </w:tr>
      <w:tr w:rsidR="00802D3E" w14:paraId="2086FE57" w14:textId="77777777" w:rsidTr="00802D3E">
        <w:trPr>
          <w:cantSplit/>
          <w:jc w:val="center"/>
        </w:trPr>
        <w:tc>
          <w:tcPr>
            <w:tcW w:w="1934" w:type="dxa"/>
            <w:gridSpan w:val="2"/>
            <w:tcBorders>
              <w:top w:val="nil"/>
              <w:left w:val="nil"/>
              <w:bottom w:val="nil"/>
              <w:right w:val="nil"/>
            </w:tcBorders>
            <w:hideMark/>
          </w:tcPr>
          <w:p w14:paraId="2086FE5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E5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E5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E56" w14:textId="77777777" w:rsidR="00802D3E" w:rsidRDefault="00802D3E">
            <w:pPr>
              <w:pStyle w:val="MeasureTableTextLeftAligned"/>
            </w:pPr>
            <w:r>
              <w:t>1+</w:t>
            </w:r>
          </w:p>
        </w:tc>
      </w:tr>
      <w:tr w:rsidR="00802D3E" w14:paraId="2086FE5C" w14:textId="77777777" w:rsidTr="00802D3E">
        <w:trPr>
          <w:cantSplit/>
          <w:jc w:val="center"/>
        </w:trPr>
        <w:tc>
          <w:tcPr>
            <w:tcW w:w="1934" w:type="dxa"/>
            <w:gridSpan w:val="2"/>
            <w:tcBorders>
              <w:top w:val="nil"/>
              <w:left w:val="nil"/>
              <w:bottom w:val="nil"/>
              <w:right w:val="nil"/>
            </w:tcBorders>
            <w:hideMark/>
          </w:tcPr>
          <w:p w14:paraId="2086FE5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E59"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E5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E5B" w14:textId="77777777" w:rsidR="00802D3E" w:rsidRDefault="00802D3E">
            <w:pPr>
              <w:pStyle w:val="MeasureTableTextLeftAligned"/>
            </w:pPr>
          </w:p>
        </w:tc>
      </w:tr>
      <w:tr w:rsidR="00802D3E" w14:paraId="2086FE5F" w14:textId="77777777" w:rsidTr="00802D3E">
        <w:trPr>
          <w:cantSplit/>
          <w:jc w:val="center"/>
        </w:trPr>
        <w:tc>
          <w:tcPr>
            <w:tcW w:w="1934" w:type="dxa"/>
            <w:gridSpan w:val="2"/>
            <w:tcBorders>
              <w:top w:val="nil"/>
              <w:left w:val="nil"/>
              <w:bottom w:val="single" w:sz="2" w:space="0" w:color="auto"/>
              <w:right w:val="nil"/>
            </w:tcBorders>
            <w:hideMark/>
          </w:tcPr>
          <w:p w14:paraId="2086FE5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E5E"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58N of the </w:t>
            </w:r>
            <w:r w:rsidRPr="00106337">
              <w:rPr>
                <w:rFonts w:ascii="Arial" w:hAnsi="Arial" w:cs="Arial"/>
                <w:i/>
                <w:iCs/>
                <w:color w:val="000000"/>
                <w:sz w:val="16"/>
                <w:szCs w:val="16"/>
              </w:rPr>
              <w:t>Fringe Benefits Tax Assessment Act 1986</w:t>
            </w:r>
          </w:p>
        </w:tc>
      </w:tr>
    </w:tbl>
    <w:p w14:paraId="2086FE60" w14:textId="77777777" w:rsidR="00802D3E" w:rsidRDefault="00802D3E" w:rsidP="00A109BC">
      <w:pPr>
        <w:pStyle w:val="SingleParagraph"/>
      </w:pPr>
    </w:p>
    <w:p w14:paraId="2086FE61" w14:textId="77777777" w:rsidR="00802D3E" w:rsidRDefault="00802D3E" w:rsidP="00802D3E">
      <w:r>
        <w:t>Certain benefits provided by way of emergency assistance</w:t>
      </w:r>
      <w:r>
        <w:fldChar w:fldCharType="begin"/>
      </w:r>
      <w:r>
        <w:instrText xml:space="preserve"> XE "Emergency assistance" </w:instrText>
      </w:r>
      <w:r>
        <w:fldChar w:fldCharType="end"/>
      </w:r>
      <w:r>
        <w:t xml:space="preserve"> to employees are exempt from fringe benefits tax. Emergency assistance includes certain first aid or other emergency health care; emergency meals, food supplies, clothing, accommodation, transport, or use of household goods; temporary repairs; and any other similar benefit. </w:t>
      </w:r>
    </w:p>
    <w:p w14:paraId="2086FE62" w14:textId="77777777" w:rsidR="00802D3E" w:rsidRDefault="00802D3E" w:rsidP="00802D3E">
      <w:pPr>
        <w:pStyle w:val="TESHeading5"/>
        <w:ind w:left="0" w:firstLine="0"/>
      </w:pPr>
      <w:r>
        <w:t>D14</w:t>
      </w:r>
      <w:r>
        <w:tab/>
        <w:t>Exemption for public benevolent institutions (excluding hospitals)</w:t>
      </w:r>
    </w:p>
    <w:p w14:paraId="2086FE63"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E6C" w14:textId="77777777" w:rsidTr="00802D3E">
        <w:trPr>
          <w:cantSplit/>
          <w:jc w:val="center"/>
        </w:trPr>
        <w:tc>
          <w:tcPr>
            <w:tcW w:w="967" w:type="dxa"/>
            <w:tcBorders>
              <w:top w:val="single" w:sz="2" w:space="0" w:color="auto"/>
              <w:left w:val="nil"/>
              <w:bottom w:val="single" w:sz="2" w:space="0" w:color="auto"/>
              <w:right w:val="nil"/>
            </w:tcBorders>
            <w:hideMark/>
          </w:tcPr>
          <w:p w14:paraId="2086FE6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E6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E6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E6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E6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E6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E6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E6B" w14:textId="77777777" w:rsidR="00802D3E" w:rsidRDefault="00802D3E">
            <w:pPr>
              <w:pStyle w:val="MeasureTableTextRightAligned"/>
            </w:pPr>
            <w:r>
              <w:t>2019-20</w:t>
            </w:r>
          </w:p>
        </w:tc>
      </w:tr>
      <w:tr w:rsidR="00802D3E" w14:paraId="2086FE75" w14:textId="77777777" w:rsidTr="00802D3E">
        <w:trPr>
          <w:cantSplit/>
          <w:jc w:val="center"/>
        </w:trPr>
        <w:tc>
          <w:tcPr>
            <w:tcW w:w="967" w:type="dxa"/>
            <w:tcBorders>
              <w:top w:val="single" w:sz="2" w:space="0" w:color="auto"/>
              <w:left w:val="nil"/>
              <w:bottom w:val="single" w:sz="2" w:space="0" w:color="auto"/>
              <w:right w:val="nil"/>
            </w:tcBorders>
            <w:hideMark/>
          </w:tcPr>
          <w:p w14:paraId="2086FE6D" w14:textId="77777777" w:rsidR="00802D3E" w:rsidRDefault="00802D3E">
            <w:pPr>
              <w:pStyle w:val="MeasureTableTextRightAligned"/>
            </w:pPr>
            <w:r>
              <w:t>1,150</w:t>
            </w:r>
          </w:p>
        </w:tc>
        <w:tc>
          <w:tcPr>
            <w:tcW w:w="967" w:type="dxa"/>
            <w:tcBorders>
              <w:top w:val="single" w:sz="2" w:space="0" w:color="auto"/>
              <w:left w:val="nil"/>
              <w:bottom w:val="single" w:sz="2" w:space="0" w:color="auto"/>
              <w:right w:val="nil"/>
            </w:tcBorders>
            <w:hideMark/>
          </w:tcPr>
          <w:p w14:paraId="2086FE6E" w14:textId="77777777" w:rsidR="00802D3E" w:rsidRDefault="00802D3E">
            <w:pPr>
              <w:pStyle w:val="MeasureTableTextRightAligned"/>
            </w:pPr>
            <w:r>
              <w:t>1,300</w:t>
            </w:r>
          </w:p>
        </w:tc>
        <w:tc>
          <w:tcPr>
            <w:tcW w:w="967" w:type="dxa"/>
            <w:tcBorders>
              <w:top w:val="single" w:sz="2" w:space="0" w:color="auto"/>
              <w:left w:val="nil"/>
              <w:bottom w:val="single" w:sz="2" w:space="0" w:color="auto"/>
              <w:right w:val="nil"/>
            </w:tcBorders>
            <w:vAlign w:val="bottom"/>
            <w:hideMark/>
          </w:tcPr>
          <w:p w14:paraId="2086FE6F" w14:textId="77777777" w:rsidR="00802D3E" w:rsidRDefault="00802D3E">
            <w:pPr>
              <w:pStyle w:val="MeasureTableTextRightAligned"/>
            </w:pPr>
            <w:r>
              <w:t>1,400</w:t>
            </w:r>
          </w:p>
        </w:tc>
        <w:tc>
          <w:tcPr>
            <w:tcW w:w="967" w:type="dxa"/>
            <w:tcBorders>
              <w:top w:val="single" w:sz="2" w:space="0" w:color="auto"/>
              <w:left w:val="nil"/>
              <w:bottom w:val="single" w:sz="2" w:space="0" w:color="auto"/>
              <w:right w:val="nil"/>
            </w:tcBorders>
            <w:vAlign w:val="bottom"/>
            <w:hideMark/>
          </w:tcPr>
          <w:p w14:paraId="2086FE70" w14:textId="77777777" w:rsidR="00802D3E" w:rsidRDefault="00802D3E">
            <w:pPr>
              <w:pStyle w:val="MeasureTableTextRightAligned"/>
            </w:pPr>
            <w:r>
              <w:t>1,500</w:t>
            </w:r>
          </w:p>
        </w:tc>
        <w:tc>
          <w:tcPr>
            <w:tcW w:w="967" w:type="dxa"/>
            <w:tcBorders>
              <w:top w:val="single" w:sz="2" w:space="0" w:color="auto"/>
              <w:left w:val="nil"/>
              <w:bottom w:val="single" w:sz="2" w:space="0" w:color="auto"/>
              <w:right w:val="nil"/>
            </w:tcBorders>
            <w:vAlign w:val="bottom"/>
            <w:hideMark/>
          </w:tcPr>
          <w:p w14:paraId="2086FE71" w14:textId="77777777" w:rsidR="00802D3E" w:rsidRDefault="00802D3E">
            <w:pPr>
              <w:pStyle w:val="MeasureTableTextRightAligned"/>
            </w:pPr>
            <w:r>
              <w:t>1,550</w:t>
            </w:r>
          </w:p>
        </w:tc>
        <w:tc>
          <w:tcPr>
            <w:tcW w:w="967" w:type="dxa"/>
            <w:gridSpan w:val="2"/>
            <w:tcBorders>
              <w:top w:val="single" w:sz="2" w:space="0" w:color="auto"/>
              <w:left w:val="nil"/>
              <w:bottom w:val="single" w:sz="2" w:space="0" w:color="auto"/>
              <w:right w:val="nil"/>
            </w:tcBorders>
            <w:vAlign w:val="bottom"/>
            <w:hideMark/>
          </w:tcPr>
          <w:p w14:paraId="2086FE72" w14:textId="77777777" w:rsidR="00802D3E" w:rsidRDefault="00802D3E">
            <w:pPr>
              <w:pStyle w:val="MeasureTableTextRightAligned"/>
            </w:pPr>
            <w:r>
              <w:t>1,600</w:t>
            </w:r>
          </w:p>
        </w:tc>
        <w:tc>
          <w:tcPr>
            <w:tcW w:w="967" w:type="dxa"/>
            <w:gridSpan w:val="2"/>
            <w:tcBorders>
              <w:top w:val="single" w:sz="2" w:space="0" w:color="auto"/>
              <w:left w:val="nil"/>
              <w:bottom w:val="single" w:sz="2" w:space="0" w:color="auto"/>
              <w:right w:val="nil"/>
            </w:tcBorders>
            <w:vAlign w:val="bottom"/>
            <w:hideMark/>
          </w:tcPr>
          <w:p w14:paraId="2086FE73" w14:textId="77777777" w:rsidR="00802D3E" w:rsidRDefault="00802D3E">
            <w:pPr>
              <w:pStyle w:val="MeasureTableTextRightAligned"/>
            </w:pPr>
            <w:r>
              <w:t>1,700</w:t>
            </w:r>
          </w:p>
        </w:tc>
        <w:tc>
          <w:tcPr>
            <w:tcW w:w="968" w:type="dxa"/>
            <w:tcBorders>
              <w:top w:val="single" w:sz="2" w:space="0" w:color="auto"/>
              <w:left w:val="nil"/>
              <w:bottom w:val="single" w:sz="2" w:space="0" w:color="auto"/>
              <w:right w:val="nil"/>
            </w:tcBorders>
            <w:vAlign w:val="bottom"/>
            <w:hideMark/>
          </w:tcPr>
          <w:p w14:paraId="2086FE74" w14:textId="77777777" w:rsidR="00802D3E" w:rsidRDefault="00802D3E">
            <w:pPr>
              <w:pStyle w:val="MeasureTableTextRightAligned"/>
            </w:pPr>
            <w:r>
              <w:t>1,800</w:t>
            </w:r>
          </w:p>
        </w:tc>
      </w:tr>
      <w:tr w:rsidR="00802D3E" w14:paraId="2086FE7A" w14:textId="77777777" w:rsidTr="00802D3E">
        <w:trPr>
          <w:cantSplit/>
          <w:jc w:val="center"/>
        </w:trPr>
        <w:tc>
          <w:tcPr>
            <w:tcW w:w="1934" w:type="dxa"/>
            <w:gridSpan w:val="2"/>
            <w:tcBorders>
              <w:top w:val="single" w:sz="2" w:space="0" w:color="auto"/>
              <w:left w:val="nil"/>
              <w:bottom w:val="nil"/>
              <w:right w:val="nil"/>
            </w:tcBorders>
            <w:hideMark/>
          </w:tcPr>
          <w:p w14:paraId="2086FE7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E7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E7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E79" w14:textId="77777777" w:rsidR="00802D3E" w:rsidRDefault="00802D3E">
            <w:pPr>
              <w:pStyle w:val="MeasureTableTextLeftAligned"/>
            </w:pPr>
            <w:r>
              <w:t>D14</w:t>
            </w:r>
          </w:p>
        </w:tc>
      </w:tr>
      <w:tr w:rsidR="00802D3E" w14:paraId="2086FE7F" w14:textId="77777777" w:rsidTr="00802D3E">
        <w:trPr>
          <w:cantSplit/>
          <w:jc w:val="center"/>
        </w:trPr>
        <w:tc>
          <w:tcPr>
            <w:tcW w:w="1934" w:type="dxa"/>
            <w:gridSpan w:val="2"/>
            <w:tcBorders>
              <w:top w:val="nil"/>
              <w:left w:val="nil"/>
              <w:bottom w:val="nil"/>
              <w:right w:val="nil"/>
            </w:tcBorders>
            <w:hideMark/>
          </w:tcPr>
          <w:p w14:paraId="2086FE7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E7C"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6FE7D" w14:textId="77777777" w:rsidR="00802D3E" w:rsidRDefault="00802D3E">
            <w:pPr>
              <w:pStyle w:val="MeasureTableTextItalic"/>
            </w:pPr>
          </w:p>
        </w:tc>
        <w:tc>
          <w:tcPr>
            <w:tcW w:w="1124" w:type="dxa"/>
            <w:gridSpan w:val="2"/>
            <w:tcBorders>
              <w:top w:val="nil"/>
              <w:left w:val="nil"/>
              <w:bottom w:val="nil"/>
              <w:right w:val="nil"/>
            </w:tcBorders>
          </w:tcPr>
          <w:p w14:paraId="2086FE7E" w14:textId="77777777" w:rsidR="00802D3E" w:rsidRDefault="00802D3E">
            <w:pPr>
              <w:pStyle w:val="MeasureTableTextLeftAligned"/>
            </w:pPr>
          </w:p>
        </w:tc>
      </w:tr>
      <w:tr w:rsidR="00802D3E" w14:paraId="2086FE84" w14:textId="77777777" w:rsidTr="00802D3E">
        <w:trPr>
          <w:cantSplit/>
          <w:jc w:val="center"/>
        </w:trPr>
        <w:tc>
          <w:tcPr>
            <w:tcW w:w="1934" w:type="dxa"/>
            <w:gridSpan w:val="2"/>
            <w:tcBorders>
              <w:top w:val="nil"/>
              <w:left w:val="nil"/>
              <w:bottom w:val="nil"/>
              <w:right w:val="nil"/>
            </w:tcBorders>
            <w:hideMark/>
          </w:tcPr>
          <w:p w14:paraId="2086FE8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E81" w14:textId="77777777" w:rsidR="00802D3E" w:rsidRDefault="00802D3E">
            <w:pPr>
              <w:pStyle w:val="MeasureTableTextLeftAligned"/>
            </w:pPr>
            <w:r>
              <w:t>2001</w:t>
            </w:r>
          </w:p>
        </w:tc>
        <w:tc>
          <w:tcPr>
            <w:tcW w:w="1500" w:type="dxa"/>
            <w:gridSpan w:val="2"/>
            <w:tcBorders>
              <w:top w:val="nil"/>
              <w:left w:val="nil"/>
              <w:bottom w:val="nil"/>
              <w:right w:val="nil"/>
            </w:tcBorders>
            <w:hideMark/>
          </w:tcPr>
          <w:p w14:paraId="2086FE8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E83" w14:textId="77777777" w:rsidR="00802D3E" w:rsidRDefault="00802D3E">
            <w:pPr>
              <w:pStyle w:val="MeasureTableTextLeftAligned"/>
            </w:pPr>
          </w:p>
        </w:tc>
      </w:tr>
      <w:tr w:rsidR="00802D3E" w14:paraId="2086FE87" w14:textId="77777777" w:rsidTr="00802D3E">
        <w:trPr>
          <w:cantSplit/>
          <w:jc w:val="center"/>
        </w:trPr>
        <w:tc>
          <w:tcPr>
            <w:tcW w:w="1934" w:type="dxa"/>
            <w:gridSpan w:val="2"/>
            <w:tcBorders>
              <w:top w:val="nil"/>
              <w:left w:val="nil"/>
              <w:bottom w:val="single" w:sz="2" w:space="0" w:color="auto"/>
              <w:right w:val="nil"/>
            </w:tcBorders>
            <w:hideMark/>
          </w:tcPr>
          <w:p w14:paraId="2086FE8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E86"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Subsection 57A(1) of the </w:t>
            </w:r>
            <w:r w:rsidRPr="00106337">
              <w:rPr>
                <w:rFonts w:ascii="Arial" w:hAnsi="Arial" w:cs="Arial"/>
                <w:i/>
                <w:iCs/>
                <w:color w:val="000000"/>
                <w:sz w:val="16"/>
                <w:szCs w:val="16"/>
              </w:rPr>
              <w:t>Fringe Benefits Tax Assessment Act 1986</w:t>
            </w:r>
          </w:p>
        </w:tc>
      </w:tr>
    </w:tbl>
    <w:p w14:paraId="2086FE88" w14:textId="77777777" w:rsidR="00802D3E" w:rsidRDefault="00802D3E" w:rsidP="00A109BC">
      <w:pPr>
        <w:pStyle w:val="SingleParagraph"/>
      </w:pPr>
    </w:p>
    <w:p w14:paraId="2086FE89" w14:textId="77777777" w:rsidR="00802D3E" w:rsidRDefault="00802D3E" w:rsidP="00802D3E">
      <w:r>
        <w:t>Public benevolent institutions</w:t>
      </w:r>
      <w:r>
        <w:fldChar w:fldCharType="begin"/>
      </w:r>
      <w:r>
        <w:instrText xml:space="preserve"> XE "Public benevolent institutions" </w:instrText>
      </w:r>
      <w:r>
        <w:fldChar w:fldCharType="end"/>
      </w:r>
      <w:r>
        <w:t xml:space="preserve"> (excluding hospital activities) are provided with an exemption from fringe benefits tax for up to $30,000 of the grossed</w:t>
      </w:r>
      <w:r>
        <w:noBreakHyphen/>
        <w:t xml:space="preserve">up taxable value of fringe benefits per employee. </w:t>
      </w:r>
    </w:p>
    <w:p w14:paraId="2086FE8A" w14:textId="77777777" w:rsidR="00802D3E" w:rsidRDefault="00802D3E" w:rsidP="00802D3E">
      <w:pPr>
        <w:pStyle w:val="TESHeading5"/>
        <w:ind w:left="0" w:firstLine="0"/>
      </w:pPr>
      <w:r>
        <w:t>D15</w:t>
      </w:r>
      <w:r>
        <w:tab/>
        <w:t>Exemption from the fringe benefit cap for meal entertainment and entertainment facility leasing expenses</w:t>
      </w:r>
    </w:p>
    <w:p w14:paraId="2086FE8B"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E94" w14:textId="77777777" w:rsidTr="00802D3E">
        <w:trPr>
          <w:cantSplit/>
          <w:jc w:val="center"/>
        </w:trPr>
        <w:tc>
          <w:tcPr>
            <w:tcW w:w="967" w:type="dxa"/>
            <w:tcBorders>
              <w:top w:val="single" w:sz="2" w:space="0" w:color="auto"/>
              <w:left w:val="nil"/>
              <w:bottom w:val="single" w:sz="2" w:space="0" w:color="auto"/>
              <w:right w:val="nil"/>
            </w:tcBorders>
            <w:hideMark/>
          </w:tcPr>
          <w:p w14:paraId="2086FE8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E8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E8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E8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E9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E9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E9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E93" w14:textId="77777777" w:rsidR="00802D3E" w:rsidRDefault="00802D3E">
            <w:pPr>
              <w:pStyle w:val="MeasureTableTextRightAligned"/>
            </w:pPr>
            <w:r>
              <w:t>2019-20</w:t>
            </w:r>
          </w:p>
        </w:tc>
      </w:tr>
      <w:tr w:rsidR="00802D3E" w14:paraId="2086FE9D" w14:textId="77777777" w:rsidTr="00802D3E">
        <w:trPr>
          <w:cantSplit/>
          <w:jc w:val="center"/>
        </w:trPr>
        <w:tc>
          <w:tcPr>
            <w:tcW w:w="967" w:type="dxa"/>
            <w:tcBorders>
              <w:top w:val="single" w:sz="2" w:space="0" w:color="auto"/>
              <w:left w:val="nil"/>
              <w:bottom w:val="single" w:sz="2" w:space="0" w:color="auto"/>
              <w:right w:val="nil"/>
            </w:tcBorders>
            <w:hideMark/>
          </w:tcPr>
          <w:p w14:paraId="2086FE95" w14:textId="77777777" w:rsidR="00802D3E" w:rsidRDefault="00802D3E">
            <w:pPr>
              <w:pStyle w:val="MeasureTableTextRightAligned"/>
            </w:pPr>
            <w:r>
              <w:t>405</w:t>
            </w:r>
          </w:p>
        </w:tc>
        <w:tc>
          <w:tcPr>
            <w:tcW w:w="967" w:type="dxa"/>
            <w:tcBorders>
              <w:top w:val="single" w:sz="2" w:space="0" w:color="auto"/>
              <w:left w:val="nil"/>
              <w:bottom w:val="single" w:sz="2" w:space="0" w:color="auto"/>
              <w:right w:val="nil"/>
            </w:tcBorders>
            <w:hideMark/>
          </w:tcPr>
          <w:p w14:paraId="2086FE96" w14:textId="77777777" w:rsidR="00802D3E" w:rsidRDefault="00802D3E">
            <w:pPr>
              <w:pStyle w:val="MeasureTableTextRightAligned"/>
            </w:pPr>
            <w:r>
              <w:t>430</w:t>
            </w:r>
          </w:p>
        </w:tc>
        <w:tc>
          <w:tcPr>
            <w:tcW w:w="967" w:type="dxa"/>
            <w:tcBorders>
              <w:top w:val="single" w:sz="2" w:space="0" w:color="auto"/>
              <w:left w:val="nil"/>
              <w:bottom w:val="single" w:sz="2" w:space="0" w:color="auto"/>
              <w:right w:val="nil"/>
            </w:tcBorders>
            <w:vAlign w:val="bottom"/>
            <w:hideMark/>
          </w:tcPr>
          <w:p w14:paraId="2086FE97" w14:textId="77777777" w:rsidR="00802D3E" w:rsidRDefault="00802D3E">
            <w:pPr>
              <w:pStyle w:val="MeasureTableTextRightAligned"/>
            </w:pPr>
            <w:r>
              <w:t>455</w:t>
            </w:r>
          </w:p>
        </w:tc>
        <w:tc>
          <w:tcPr>
            <w:tcW w:w="967" w:type="dxa"/>
            <w:tcBorders>
              <w:top w:val="single" w:sz="2" w:space="0" w:color="auto"/>
              <w:left w:val="nil"/>
              <w:bottom w:val="single" w:sz="2" w:space="0" w:color="auto"/>
              <w:right w:val="nil"/>
            </w:tcBorders>
            <w:vAlign w:val="bottom"/>
            <w:hideMark/>
          </w:tcPr>
          <w:p w14:paraId="2086FE98" w14:textId="77777777" w:rsidR="00802D3E" w:rsidRDefault="00802D3E">
            <w:pPr>
              <w:pStyle w:val="MeasureTableTextRightAligned"/>
            </w:pPr>
            <w:r>
              <w:t>455</w:t>
            </w:r>
          </w:p>
        </w:tc>
        <w:tc>
          <w:tcPr>
            <w:tcW w:w="967" w:type="dxa"/>
            <w:tcBorders>
              <w:top w:val="single" w:sz="2" w:space="0" w:color="auto"/>
              <w:left w:val="nil"/>
              <w:bottom w:val="single" w:sz="2" w:space="0" w:color="auto"/>
              <w:right w:val="nil"/>
            </w:tcBorders>
            <w:vAlign w:val="bottom"/>
            <w:hideMark/>
          </w:tcPr>
          <w:p w14:paraId="2086FE99" w14:textId="77777777" w:rsidR="00802D3E" w:rsidRDefault="00802D3E">
            <w:pPr>
              <w:pStyle w:val="MeasureTableTextRightAligned"/>
            </w:pPr>
            <w:r>
              <w:t>415</w:t>
            </w:r>
          </w:p>
        </w:tc>
        <w:tc>
          <w:tcPr>
            <w:tcW w:w="967" w:type="dxa"/>
            <w:gridSpan w:val="2"/>
            <w:tcBorders>
              <w:top w:val="single" w:sz="2" w:space="0" w:color="auto"/>
              <w:left w:val="nil"/>
              <w:bottom w:val="single" w:sz="2" w:space="0" w:color="auto"/>
              <w:right w:val="nil"/>
            </w:tcBorders>
            <w:vAlign w:val="bottom"/>
            <w:hideMark/>
          </w:tcPr>
          <w:p w14:paraId="2086FE9A" w14:textId="77777777" w:rsidR="00802D3E" w:rsidRDefault="00802D3E">
            <w:pPr>
              <w:pStyle w:val="MeasureTableTextRightAligned"/>
            </w:pPr>
            <w:r>
              <w:t>435</w:t>
            </w:r>
          </w:p>
        </w:tc>
        <w:tc>
          <w:tcPr>
            <w:tcW w:w="967" w:type="dxa"/>
            <w:gridSpan w:val="2"/>
            <w:tcBorders>
              <w:top w:val="single" w:sz="2" w:space="0" w:color="auto"/>
              <w:left w:val="nil"/>
              <w:bottom w:val="single" w:sz="2" w:space="0" w:color="auto"/>
              <w:right w:val="nil"/>
            </w:tcBorders>
            <w:vAlign w:val="bottom"/>
            <w:hideMark/>
          </w:tcPr>
          <w:p w14:paraId="2086FE9B" w14:textId="77777777" w:rsidR="00802D3E" w:rsidRDefault="00802D3E">
            <w:pPr>
              <w:pStyle w:val="MeasureTableTextRightAligned"/>
            </w:pPr>
            <w:r>
              <w:t>455</w:t>
            </w:r>
          </w:p>
        </w:tc>
        <w:tc>
          <w:tcPr>
            <w:tcW w:w="968" w:type="dxa"/>
            <w:tcBorders>
              <w:top w:val="single" w:sz="2" w:space="0" w:color="auto"/>
              <w:left w:val="nil"/>
              <w:bottom w:val="single" w:sz="2" w:space="0" w:color="auto"/>
              <w:right w:val="nil"/>
            </w:tcBorders>
            <w:vAlign w:val="bottom"/>
            <w:hideMark/>
          </w:tcPr>
          <w:p w14:paraId="2086FE9C" w14:textId="77777777" w:rsidR="00802D3E" w:rsidRDefault="00802D3E">
            <w:pPr>
              <w:pStyle w:val="MeasureTableTextRightAligned"/>
            </w:pPr>
            <w:r>
              <w:t>470</w:t>
            </w:r>
          </w:p>
        </w:tc>
      </w:tr>
      <w:tr w:rsidR="00802D3E" w14:paraId="2086FEA2" w14:textId="77777777" w:rsidTr="00802D3E">
        <w:trPr>
          <w:cantSplit/>
          <w:jc w:val="center"/>
        </w:trPr>
        <w:tc>
          <w:tcPr>
            <w:tcW w:w="1934" w:type="dxa"/>
            <w:gridSpan w:val="2"/>
            <w:tcBorders>
              <w:top w:val="single" w:sz="2" w:space="0" w:color="auto"/>
              <w:left w:val="nil"/>
              <w:bottom w:val="nil"/>
              <w:right w:val="nil"/>
            </w:tcBorders>
            <w:hideMark/>
          </w:tcPr>
          <w:p w14:paraId="2086FE9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E9F"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EA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EA1" w14:textId="77777777" w:rsidR="00802D3E" w:rsidRDefault="00802D3E">
            <w:pPr>
              <w:pStyle w:val="MeasureTableTextLeftAligned"/>
            </w:pPr>
            <w:r>
              <w:t>D15</w:t>
            </w:r>
          </w:p>
        </w:tc>
      </w:tr>
      <w:tr w:rsidR="00802D3E" w14:paraId="2086FEA7" w14:textId="77777777" w:rsidTr="00802D3E">
        <w:trPr>
          <w:cantSplit/>
          <w:jc w:val="center"/>
        </w:trPr>
        <w:tc>
          <w:tcPr>
            <w:tcW w:w="1934" w:type="dxa"/>
            <w:gridSpan w:val="2"/>
            <w:tcBorders>
              <w:top w:val="nil"/>
              <w:left w:val="nil"/>
              <w:bottom w:val="nil"/>
              <w:right w:val="nil"/>
            </w:tcBorders>
            <w:hideMark/>
          </w:tcPr>
          <w:p w14:paraId="2086FEA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EA4" w14:textId="77777777" w:rsidR="00802D3E" w:rsidRDefault="00802D3E">
            <w:pPr>
              <w:pStyle w:val="MeasureTableTextLeftAligned"/>
            </w:pPr>
            <w:r>
              <w:t>Low</w:t>
            </w:r>
          </w:p>
        </w:tc>
        <w:tc>
          <w:tcPr>
            <w:tcW w:w="1500" w:type="dxa"/>
            <w:gridSpan w:val="2"/>
            <w:tcBorders>
              <w:top w:val="nil"/>
              <w:left w:val="nil"/>
              <w:bottom w:val="nil"/>
              <w:right w:val="nil"/>
            </w:tcBorders>
          </w:tcPr>
          <w:p w14:paraId="2086FEA5" w14:textId="77777777" w:rsidR="00802D3E" w:rsidRDefault="00802D3E">
            <w:pPr>
              <w:pStyle w:val="MeasureTableTextItalic"/>
            </w:pPr>
          </w:p>
        </w:tc>
        <w:tc>
          <w:tcPr>
            <w:tcW w:w="1124" w:type="dxa"/>
            <w:gridSpan w:val="2"/>
            <w:tcBorders>
              <w:top w:val="nil"/>
              <w:left w:val="nil"/>
              <w:bottom w:val="nil"/>
              <w:right w:val="nil"/>
            </w:tcBorders>
          </w:tcPr>
          <w:p w14:paraId="2086FEA6" w14:textId="77777777" w:rsidR="00802D3E" w:rsidRDefault="00802D3E">
            <w:pPr>
              <w:pStyle w:val="MeasureTableTextLeftAligned"/>
            </w:pPr>
          </w:p>
        </w:tc>
      </w:tr>
      <w:tr w:rsidR="00802D3E" w14:paraId="2086FEAC" w14:textId="77777777" w:rsidTr="00802D3E">
        <w:trPr>
          <w:cantSplit/>
          <w:jc w:val="center"/>
        </w:trPr>
        <w:tc>
          <w:tcPr>
            <w:tcW w:w="1934" w:type="dxa"/>
            <w:gridSpan w:val="2"/>
            <w:tcBorders>
              <w:top w:val="nil"/>
              <w:left w:val="nil"/>
              <w:bottom w:val="nil"/>
              <w:right w:val="nil"/>
            </w:tcBorders>
            <w:hideMark/>
          </w:tcPr>
          <w:p w14:paraId="2086FEA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EA9" w14:textId="77777777" w:rsidR="00802D3E" w:rsidRDefault="00802D3E">
            <w:pPr>
              <w:pStyle w:val="MeasureTableTextLeftAligned"/>
            </w:pPr>
            <w:r>
              <w:t>1 January 2001</w:t>
            </w:r>
          </w:p>
        </w:tc>
        <w:tc>
          <w:tcPr>
            <w:tcW w:w="1500" w:type="dxa"/>
            <w:gridSpan w:val="2"/>
            <w:tcBorders>
              <w:top w:val="nil"/>
              <w:left w:val="nil"/>
              <w:bottom w:val="nil"/>
              <w:right w:val="nil"/>
            </w:tcBorders>
            <w:hideMark/>
          </w:tcPr>
          <w:p w14:paraId="2086FEA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EAB" w14:textId="77777777" w:rsidR="00802D3E" w:rsidRDefault="00802D3E">
            <w:pPr>
              <w:pStyle w:val="MeasureTableTextLeftAligned"/>
            </w:pPr>
          </w:p>
        </w:tc>
      </w:tr>
      <w:tr w:rsidR="00802D3E" w14:paraId="2086FEAF" w14:textId="77777777" w:rsidTr="00802D3E">
        <w:trPr>
          <w:cantSplit/>
          <w:jc w:val="center"/>
        </w:trPr>
        <w:tc>
          <w:tcPr>
            <w:tcW w:w="1934" w:type="dxa"/>
            <w:gridSpan w:val="2"/>
            <w:tcBorders>
              <w:top w:val="nil"/>
              <w:left w:val="nil"/>
              <w:bottom w:val="single" w:sz="2" w:space="0" w:color="auto"/>
              <w:right w:val="nil"/>
            </w:tcBorders>
            <w:hideMark/>
          </w:tcPr>
          <w:p w14:paraId="2086FEA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EAE"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Section 5B and Subsections 57A(1) and 57A(5) of the </w:t>
            </w:r>
            <w:r>
              <w:rPr>
                <w:rFonts w:ascii="Arial" w:hAnsi="Arial" w:cs="Arial"/>
                <w:i/>
                <w:iCs/>
                <w:color w:val="000000"/>
                <w:sz w:val="16"/>
                <w:szCs w:val="16"/>
              </w:rPr>
              <w:t>Fringe Benefits Tax Assessment Act 1986</w:t>
            </w:r>
          </w:p>
        </w:tc>
      </w:tr>
    </w:tbl>
    <w:p w14:paraId="2086FEB0" w14:textId="77777777" w:rsidR="00802D3E" w:rsidRDefault="00802D3E" w:rsidP="00A109BC">
      <w:pPr>
        <w:pStyle w:val="SingleParagraph"/>
      </w:pPr>
    </w:p>
    <w:p w14:paraId="2086FEB1" w14:textId="77777777" w:rsidR="00802D3E" w:rsidRDefault="00802D3E" w:rsidP="00802D3E">
      <w:r>
        <w:t>Charitable institutions</w:t>
      </w:r>
      <w:r>
        <w:fldChar w:fldCharType="begin"/>
      </w:r>
      <w:r>
        <w:instrText xml:space="preserve"> XE "Charitable institutions" </w:instrText>
      </w:r>
      <w:r>
        <w:fldChar w:fldCharType="end"/>
      </w:r>
      <w:r>
        <w:t xml:space="preserve"> whose principal activity is to promote the prevention or control of diseases in human beings, public and not-for-profit hospitals</w:t>
      </w:r>
      <w:r>
        <w:fldChar w:fldCharType="begin"/>
      </w:r>
      <w:r>
        <w:instrText xml:space="preserve"> XE "Hospitals" </w:instrText>
      </w:r>
      <w:r>
        <w:fldChar w:fldCharType="end"/>
      </w:r>
      <w:r>
        <w:t>, public ambulance services, and public benevolent institutions</w:t>
      </w:r>
      <w:r>
        <w:fldChar w:fldCharType="begin"/>
      </w:r>
      <w:r>
        <w:instrText xml:space="preserve"> XE "Public benevolent institutions" </w:instrText>
      </w:r>
      <w:r>
        <w:fldChar w:fldCharType="end"/>
      </w:r>
      <w:r>
        <w:t xml:space="preserve"> (excluding hospital activities) are provided with an exemption from fringe benefits tax for meal entertainment</w:t>
      </w:r>
      <w:r>
        <w:fldChar w:fldCharType="begin"/>
      </w:r>
      <w:r>
        <w:instrText xml:space="preserve"> XE "Fringe benefits tax:Allowances, accommodation and food benefits" </w:instrText>
      </w:r>
      <w:r>
        <w:fldChar w:fldCharType="end"/>
      </w:r>
      <w:r>
        <w:t xml:space="preserve"> and entertainment facility leasing expenses. Since 1 April 2016, the fringe benefits tax exemption on these items is no longer unlimited, with a $5,000 cap on the grossed up taxable value of fringe benefits per employee imposed. </w:t>
      </w:r>
    </w:p>
    <w:p w14:paraId="2086FEB2" w14:textId="77777777" w:rsidR="00802D3E" w:rsidRDefault="00802D3E" w:rsidP="00802D3E">
      <w:pPr>
        <w:pStyle w:val="TESHeading5"/>
        <w:ind w:left="0" w:firstLine="0"/>
      </w:pPr>
      <w:r>
        <w:lastRenderedPageBreak/>
        <w:t>D16</w:t>
      </w:r>
      <w:r>
        <w:tab/>
        <w:t>Exemption for meals for primary production employees in remote areas</w:t>
      </w:r>
    </w:p>
    <w:p w14:paraId="2086FEB3" w14:textId="77777777" w:rsidR="00802D3E" w:rsidRDefault="00802D3E" w:rsidP="00802D3E">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EBC" w14:textId="77777777" w:rsidTr="00802D3E">
        <w:trPr>
          <w:cantSplit/>
          <w:jc w:val="center"/>
        </w:trPr>
        <w:tc>
          <w:tcPr>
            <w:tcW w:w="967" w:type="dxa"/>
            <w:tcBorders>
              <w:top w:val="single" w:sz="2" w:space="0" w:color="auto"/>
              <w:left w:val="nil"/>
              <w:bottom w:val="single" w:sz="2" w:space="0" w:color="auto"/>
              <w:right w:val="nil"/>
            </w:tcBorders>
            <w:hideMark/>
          </w:tcPr>
          <w:p w14:paraId="2086FEB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EB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EB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EB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EB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EB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EB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EBB" w14:textId="77777777" w:rsidR="00802D3E" w:rsidRDefault="00802D3E">
            <w:pPr>
              <w:pStyle w:val="MeasureTableTextRightAligned"/>
            </w:pPr>
            <w:r>
              <w:t>2019-20</w:t>
            </w:r>
          </w:p>
        </w:tc>
      </w:tr>
      <w:tr w:rsidR="00802D3E" w14:paraId="2086FEC5" w14:textId="77777777" w:rsidTr="00802D3E">
        <w:trPr>
          <w:cantSplit/>
          <w:jc w:val="center"/>
        </w:trPr>
        <w:tc>
          <w:tcPr>
            <w:tcW w:w="967" w:type="dxa"/>
            <w:tcBorders>
              <w:top w:val="single" w:sz="2" w:space="0" w:color="auto"/>
              <w:left w:val="nil"/>
              <w:bottom w:val="single" w:sz="2" w:space="0" w:color="auto"/>
              <w:right w:val="nil"/>
            </w:tcBorders>
            <w:hideMark/>
          </w:tcPr>
          <w:p w14:paraId="2086FEB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EB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B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C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C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EC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EC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EC4" w14:textId="77777777" w:rsidR="00802D3E" w:rsidRDefault="00802D3E">
            <w:pPr>
              <w:pStyle w:val="MeasureTableTextRightAligned"/>
            </w:pPr>
            <w:r>
              <w:t>*</w:t>
            </w:r>
          </w:p>
        </w:tc>
      </w:tr>
      <w:tr w:rsidR="00802D3E" w14:paraId="2086FECA" w14:textId="77777777" w:rsidTr="00802D3E">
        <w:trPr>
          <w:cantSplit/>
          <w:jc w:val="center"/>
        </w:trPr>
        <w:tc>
          <w:tcPr>
            <w:tcW w:w="1934" w:type="dxa"/>
            <w:gridSpan w:val="2"/>
            <w:tcBorders>
              <w:top w:val="single" w:sz="2" w:space="0" w:color="auto"/>
              <w:left w:val="nil"/>
              <w:bottom w:val="nil"/>
              <w:right w:val="nil"/>
            </w:tcBorders>
            <w:hideMark/>
          </w:tcPr>
          <w:p w14:paraId="2086FEC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EC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EC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EC9" w14:textId="77777777" w:rsidR="00802D3E" w:rsidRDefault="00802D3E">
            <w:pPr>
              <w:pStyle w:val="MeasureTableTextLeftAligned"/>
            </w:pPr>
            <w:r>
              <w:t>D16</w:t>
            </w:r>
          </w:p>
        </w:tc>
      </w:tr>
      <w:tr w:rsidR="00802D3E" w14:paraId="2086FECF" w14:textId="77777777" w:rsidTr="00802D3E">
        <w:trPr>
          <w:cantSplit/>
          <w:jc w:val="center"/>
        </w:trPr>
        <w:tc>
          <w:tcPr>
            <w:tcW w:w="1934" w:type="dxa"/>
            <w:gridSpan w:val="2"/>
            <w:tcBorders>
              <w:top w:val="nil"/>
              <w:left w:val="nil"/>
              <w:bottom w:val="nil"/>
              <w:right w:val="nil"/>
            </w:tcBorders>
            <w:hideMark/>
          </w:tcPr>
          <w:p w14:paraId="2086FEC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EC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EC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ECE" w14:textId="77777777" w:rsidR="00802D3E" w:rsidRDefault="00802D3E">
            <w:pPr>
              <w:pStyle w:val="MeasureTableTextLeftAligned"/>
            </w:pPr>
            <w:r>
              <w:t>2+</w:t>
            </w:r>
          </w:p>
        </w:tc>
      </w:tr>
      <w:tr w:rsidR="00802D3E" w14:paraId="2086FED4" w14:textId="77777777" w:rsidTr="00802D3E">
        <w:trPr>
          <w:cantSplit/>
          <w:jc w:val="center"/>
        </w:trPr>
        <w:tc>
          <w:tcPr>
            <w:tcW w:w="1934" w:type="dxa"/>
            <w:gridSpan w:val="2"/>
            <w:tcBorders>
              <w:top w:val="nil"/>
              <w:left w:val="nil"/>
              <w:bottom w:val="nil"/>
              <w:right w:val="nil"/>
            </w:tcBorders>
            <w:hideMark/>
          </w:tcPr>
          <w:p w14:paraId="2086FED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ED1" w14:textId="77777777" w:rsidR="00802D3E" w:rsidRDefault="00802D3E">
            <w:pPr>
              <w:pStyle w:val="MeasureTableTextLeftAligned"/>
            </w:pPr>
            <w:r>
              <w:t>1 April 2000</w:t>
            </w:r>
          </w:p>
        </w:tc>
        <w:tc>
          <w:tcPr>
            <w:tcW w:w="1500" w:type="dxa"/>
            <w:gridSpan w:val="2"/>
            <w:tcBorders>
              <w:top w:val="nil"/>
              <w:left w:val="nil"/>
              <w:bottom w:val="nil"/>
              <w:right w:val="nil"/>
            </w:tcBorders>
            <w:hideMark/>
          </w:tcPr>
          <w:p w14:paraId="2086FED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ED3" w14:textId="77777777" w:rsidR="00802D3E" w:rsidRDefault="00802D3E">
            <w:pPr>
              <w:pStyle w:val="MeasureTableTextLeftAligned"/>
            </w:pPr>
          </w:p>
        </w:tc>
      </w:tr>
      <w:tr w:rsidR="00802D3E" w14:paraId="2086FED7" w14:textId="77777777" w:rsidTr="00802D3E">
        <w:trPr>
          <w:cantSplit/>
          <w:jc w:val="center"/>
        </w:trPr>
        <w:tc>
          <w:tcPr>
            <w:tcW w:w="1934" w:type="dxa"/>
            <w:gridSpan w:val="2"/>
            <w:tcBorders>
              <w:top w:val="nil"/>
              <w:left w:val="nil"/>
              <w:bottom w:val="single" w:sz="2" w:space="0" w:color="auto"/>
              <w:right w:val="nil"/>
            </w:tcBorders>
            <w:hideMark/>
          </w:tcPr>
          <w:p w14:paraId="2086FED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ED6" w14:textId="77777777" w:rsidR="00802D3E" w:rsidRPr="00106337" w:rsidRDefault="00802D3E" w:rsidP="00106337">
            <w:pPr>
              <w:widowControl w:val="0"/>
              <w:autoSpaceDE w:val="0"/>
              <w:autoSpaceDN w:val="0"/>
              <w:adjustRightInd w:val="0"/>
              <w:spacing w:after="0" w:line="240" w:lineRule="auto"/>
              <w:jc w:val="left"/>
              <w:rPr>
                <w:sz w:val="16"/>
                <w:szCs w:val="16"/>
              </w:rPr>
            </w:pPr>
            <w:r w:rsidRPr="00106337">
              <w:rPr>
                <w:rFonts w:ascii="Arial" w:hAnsi="Arial" w:cs="Arial"/>
                <w:sz w:val="16"/>
                <w:szCs w:val="16"/>
              </w:rPr>
              <w:t xml:space="preserve">Section 58ZD of the </w:t>
            </w:r>
            <w:r w:rsidRPr="00106337">
              <w:rPr>
                <w:rFonts w:ascii="Arial" w:hAnsi="Arial" w:cs="Arial"/>
                <w:i/>
                <w:iCs/>
                <w:color w:val="000000"/>
                <w:sz w:val="16"/>
                <w:szCs w:val="16"/>
              </w:rPr>
              <w:t>Fringe Benefits Tax Assessment Act 1986</w:t>
            </w:r>
          </w:p>
        </w:tc>
      </w:tr>
    </w:tbl>
    <w:p w14:paraId="2086FED8" w14:textId="77777777" w:rsidR="00802D3E" w:rsidRDefault="00802D3E" w:rsidP="00A109BC">
      <w:pPr>
        <w:pStyle w:val="SingleParagraph"/>
      </w:pPr>
    </w:p>
    <w:p w14:paraId="2086FED9" w14:textId="77777777" w:rsidR="00802D3E" w:rsidRDefault="00802D3E" w:rsidP="00802D3E">
      <w:r>
        <w:t>Certain meals provided on working days to employees of primary producers in remote areas are exempt from fringe benefits tax</w:t>
      </w:r>
      <w:r>
        <w:fldChar w:fldCharType="begin"/>
      </w:r>
      <w:r>
        <w:instrText xml:space="preserve"> XE "Fringe benefits tax:Allowances, accommodation and food benefits" </w:instrText>
      </w:r>
      <w:r>
        <w:fldChar w:fldCharType="end"/>
      </w:r>
      <w:r>
        <w:t>.</w:t>
      </w:r>
    </w:p>
    <w:p w14:paraId="2086FEDA" w14:textId="77777777" w:rsidR="00802D3E" w:rsidRDefault="00802D3E" w:rsidP="00802D3E">
      <w:pPr>
        <w:pStyle w:val="TESHeading5"/>
        <w:ind w:left="0" w:firstLine="0"/>
      </w:pPr>
      <w:r>
        <w:t>D17</w:t>
      </w:r>
      <w:r>
        <w:tab/>
        <w:t>Exemption for remote area housing and reduction in taxable value for housing assistance</w:t>
      </w:r>
    </w:p>
    <w:p w14:paraId="2086FEDB" w14:textId="77777777" w:rsidR="00802D3E" w:rsidRDefault="00802D3E" w:rsidP="00802D3E">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EE4" w14:textId="77777777" w:rsidTr="00802D3E">
        <w:trPr>
          <w:cantSplit/>
          <w:jc w:val="center"/>
        </w:trPr>
        <w:tc>
          <w:tcPr>
            <w:tcW w:w="967" w:type="dxa"/>
            <w:tcBorders>
              <w:top w:val="single" w:sz="2" w:space="0" w:color="auto"/>
              <w:left w:val="nil"/>
              <w:bottom w:val="single" w:sz="2" w:space="0" w:color="auto"/>
              <w:right w:val="nil"/>
            </w:tcBorders>
            <w:hideMark/>
          </w:tcPr>
          <w:p w14:paraId="2086FED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ED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ED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ED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EE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EE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EE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EE3" w14:textId="77777777" w:rsidR="00802D3E" w:rsidRDefault="00802D3E">
            <w:pPr>
              <w:pStyle w:val="MeasureTableTextRightAligned"/>
            </w:pPr>
            <w:r>
              <w:t>2019-20</w:t>
            </w:r>
          </w:p>
        </w:tc>
      </w:tr>
      <w:tr w:rsidR="00802D3E" w14:paraId="2086FEED" w14:textId="77777777" w:rsidTr="00802D3E">
        <w:trPr>
          <w:cantSplit/>
          <w:jc w:val="center"/>
        </w:trPr>
        <w:tc>
          <w:tcPr>
            <w:tcW w:w="967" w:type="dxa"/>
            <w:tcBorders>
              <w:top w:val="single" w:sz="2" w:space="0" w:color="auto"/>
              <w:left w:val="nil"/>
              <w:bottom w:val="single" w:sz="2" w:space="0" w:color="auto"/>
              <w:right w:val="nil"/>
            </w:tcBorders>
            <w:hideMark/>
          </w:tcPr>
          <w:p w14:paraId="2086FEE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EE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E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E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EE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EE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EE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EEC" w14:textId="77777777" w:rsidR="00802D3E" w:rsidRDefault="00802D3E">
            <w:pPr>
              <w:pStyle w:val="MeasureTableTextRightAligned"/>
            </w:pPr>
            <w:r>
              <w:t>*</w:t>
            </w:r>
          </w:p>
        </w:tc>
      </w:tr>
      <w:tr w:rsidR="00802D3E" w14:paraId="2086FEF2" w14:textId="77777777" w:rsidTr="00802D3E">
        <w:trPr>
          <w:cantSplit/>
          <w:jc w:val="center"/>
        </w:trPr>
        <w:tc>
          <w:tcPr>
            <w:tcW w:w="1934" w:type="dxa"/>
            <w:gridSpan w:val="2"/>
            <w:tcBorders>
              <w:top w:val="single" w:sz="2" w:space="0" w:color="auto"/>
              <w:left w:val="nil"/>
              <w:bottom w:val="nil"/>
              <w:right w:val="nil"/>
            </w:tcBorders>
            <w:hideMark/>
          </w:tcPr>
          <w:p w14:paraId="2086FEE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EEF" w14:textId="77777777" w:rsidR="00802D3E" w:rsidRDefault="00802D3E">
            <w:pPr>
              <w:pStyle w:val="MeasureTableTextLeftAligned"/>
            </w:pPr>
            <w:r>
              <w:t>Exemption, Reduction in taxable value</w:t>
            </w:r>
          </w:p>
        </w:tc>
        <w:tc>
          <w:tcPr>
            <w:tcW w:w="1500" w:type="dxa"/>
            <w:gridSpan w:val="2"/>
            <w:tcBorders>
              <w:top w:val="single" w:sz="2" w:space="0" w:color="auto"/>
              <w:left w:val="nil"/>
              <w:bottom w:val="nil"/>
              <w:right w:val="nil"/>
            </w:tcBorders>
            <w:hideMark/>
          </w:tcPr>
          <w:p w14:paraId="2086FEF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EF1" w14:textId="77777777" w:rsidR="00802D3E" w:rsidRDefault="00802D3E">
            <w:pPr>
              <w:pStyle w:val="MeasureTableTextLeftAligned"/>
            </w:pPr>
            <w:r>
              <w:t>D17</w:t>
            </w:r>
          </w:p>
        </w:tc>
      </w:tr>
      <w:tr w:rsidR="00802D3E" w14:paraId="2086FEF7" w14:textId="77777777" w:rsidTr="00802D3E">
        <w:trPr>
          <w:cantSplit/>
          <w:jc w:val="center"/>
        </w:trPr>
        <w:tc>
          <w:tcPr>
            <w:tcW w:w="1934" w:type="dxa"/>
            <w:gridSpan w:val="2"/>
            <w:tcBorders>
              <w:top w:val="nil"/>
              <w:left w:val="nil"/>
              <w:bottom w:val="nil"/>
              <w:right w:val="nil"/>
            </w:tcBorders>
            <w:hideMark/>
          </w:tcPr>
          <w:p w14:paraId="2086FEF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EF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EF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EF6" w14:textId="77777777" w:rsidR="00802D3E" w:rsidRDefault="00802D3E">
            <w:pPr>
              <w:pStyle w:val="MeasureTableTextLeftAligned"/>
            </w:pPr>
            <w:r>
              <w:t>3+</w:t>
            </w:r>
          </w:p>
        </w:tc>
      </w:tr>
      <w:tr w:rsidR="00802D3E" w14:paraId="2086FEFC" w14:textId="77777777" w:rsidTr="00802D3E">
        <w:trPr>
          <w:cantSplit/>
          <w:jc w:val="center"/>
        </w:trPr>
        <w:tc>
          <w:tcPr>
            <w:tcW w:w="1934" w:type="dxa"/>
            <w:gridSpan w:val="2"/>
            <w:tcBorders>
              <w:top w:val="nil"/>
              <w:left w:val="nil"/>
              <w:bottom w:val="nil"/>
              <w:right w:val="nil"/>
            </w:tcBorders>
            <w:hideMark/>
          </w:tcPr>
          <w:p w14:paraId="2086FEF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EF9" w14:textId="77777777" w:rsidR="00802D3E" w:rsidRDefault="00802D3E">
            <w:pPr>
              <w:pStyle w:val="MeasureTableTextLeftAligned"/>
            </w:pPr>
            <w:r>
              <w:t>1986, 2000</w:t>
            </w:r>
          </w:p>
        </w:tc>
        <w:tc>
          <w:tcPr>
            <w:tcW w:w="1500" w:type="dxa"/>
            <w:gridSpan w:val="2"/>
            <w:tcBorders>
              <w:top w:val="nil"/>
              <w:left w:val="nil"/>
              <w:bottom w:val="nil"/>
              <w:right w:val="nil"/>
            </w:tcBorders>
            <w:hideMark/>
          </w:tcPr>
          <w:p w14:paraId="2086FEF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EFB" w14:textId="77777777" w:rsidR="00802D3E" w:rsidRDefault="00802D3E">
            <w:pPr>
              <w:pStyle w:val="MeasureTableTextLeftAligned"/>
            </w:pPr>
          </w:p>
        </w:tc>
      </w:tr>
      <w:tr w:rsidR="00802D3E" w14:paraId="2086FEFF" w14:textId="77777777" w:rsidTr="00802D3E">
        <w:trPr>
          <w:cantSplit/>
          <w:jc w:val="center"/>
        </w:trPr>
        <w:tc>
          <w:tcPr>
            <w:tcW w:w="1934" w:type="dxa"/>
            <w:gridSpan w:val="2"/>
            <w:tcBorders>
              <w:top w:val="nil"/>
              <w:left w:val="nil"/>
              <w:bottom w:val="single" w:sz="2" w:space="0" w:color="auto"/>
              <w:right w:val="nil"/>
            </w:tcBorders>
            <w:hideMark/>
          </w:tcPr>
          <w:p w14:paraId="2086FEF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EFE" w14:textId="3F69CC95" w:rsidR="00802D3E" w:rsidRPr="00106337" w:rsidRDefault="00802D3E" w:rsidP="000B1D9D">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58ZC, 59, 60, and 65CC of the </w:t>
            </w:r>
            <w:r w:rsidRPr="00106337">
              <w:rPr>
                <w:rFonts w:ascii="Arial" w:hAnsi="Arial" w:cs="Arial"/>
                <w:i/>
                <w:iCs/>
                <w:color w:val="000000"/>
                <w:sz w:val="16"/>
                <w:szCs w:val="16"/>
              </w:rPr>
              <w:t>Fringe Benefits Tax Assessment Act</w:t>
            </w:r>
            <w:r w:rsidR="000B1D9D">
              <w:rPr>
                <w:rFonts w:ascii="Arial" w:hAnsi="Arial" w:cs="Arial"/>
                <w:i/>
                <w:iCs/>
                <w:color w:val="000000"/>
                <w:sz w:val="16"/>
                <w:szCs w:val="16"/>
              </w:rPr>
              <w:t> </w:t>
            </w:r>
            <w:r w:rsidRPr="00106337">
              <w:rPr>
                <w:rFonts w:ascii="Arial" w:hAnsi="Arial" w:cs="Arial"/>
                <w:i/>
                <w:iCs/>
                <w:color w:val="000000"/>
                <w:sz w:val="16"/>
                <w:szCs w:val="16"/>
              </w:rPr>
              <w:t>1986</w:t>
            </w:r>
          </w:p>
        </w:tc>
      </w:tr>
    </w:tbl>
    <w:p w14:paraId="2086FF00" w14:textId="77777777" w:rsidR="00802D3E" w:rsidRDefault="00802D3E" w:rsidP="00A109BC">
      <w:pPr>
        <w:pStyle w:val="SingleParagraph"/>
      </w:pPr>
    </w:p>
    <w:p w14:paraId="2086FF01" w14:textId="6DF6F310" w:rsidR="00802D3E" w:rsidRDefault="0051476F" w:rsidP="00802D3E">
      <w:r>
        <w:fldChar w:fldCharType="begin"/>
      </w:r>
      <w:r>
        <w:instrText xml:space="preserve"> XE "Housing benefits" </w:instrText>
      </w:r>
      <w:r>
        <w:fldChar w:fldCharType="end"/>
      </w:r>
      <w:r w:rsidR="00802D3E">
        <w:t xml:space="preserve">Housing benefits (the right to use accommodation as a usual place of residence) provided to employees in remote areas are exempt from fringe benefits tax. The taxable value of housing assistance (such as housing loans or the reimbursement of rent) provided to employees in remote areas is generally reduced by 50 per cent. </w:t>
      </w:r>
    </w:p>
    <w:p w14:paraId="2086FF02" w14:textId="77777777" w:rsidR="00802D3E" w:rsidRDefault="00802D3E" w:rsidP="00802D3E">
      <w:pPr>
        <w:pStyle w:val="TESHeading5"/>
        <w:ind w:left="0" w:firstLine="0"/>
      </w:pPr>
      <w:r>
        <w:t>D18</w:t>
      </w:r>
      <w:r>
        <w:tab/>
        <w:t>Exemption for certain fringe benefits provided to live-in employees providing domestic services to religious institutions and practitioners</w:t>
      </w:r>
    </w:p>
    <w:p w14:paraId="2086FF03" w14:textId="77777777" w:rsidR="00802D3E" w:rsidRDefault="00802D3E" w:rsidP="00802D3E">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F0C" w14:textId="77777777" w:rsidTr="00802D3E">
        <w:trPr>
          <w:cantSplit/>
          <w:jc w:val="center"/>
        </w:trPr>
        <w:tc>
          <w:tcPr>
            <w:tcW w:w="967" w:type="dxa"/>
            <w:tcBorders>
              <w:top w:val="single" w:sz="2" w:space="0" w:color="auto"/>
              <w:left w:val="nil"/>
              <w:bottom w:val="single" w:sz="2" w:space="0" w:color="auto"/>
              <w:right w:val="nil"/>
            </w:tcBorders>
            <w:hideMark/>
          </w:tcPr>
          <w:p w14:paraId="2086FF0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F0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F0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F0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F0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F0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F0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F0B" w14:textId="77777777" w:rsidR="00802D3E" w:rsidRDefault="00802D3E">
            <w:pPr>
              <w:pStyle w:val="MeasureTableTextRightAligned"/>
            </w:pPr>
            <w:r>
              <w:t>2019-20</w:t>
            </w:r>
          </w:p>
        </w:tc>
      </w:tr>
      <w:tr w:rsidR="00802D3E" w14:paraId="2086FF15" w14:textId="77777777" w:rsidTr="00802D3E">
        <w:trPr>
          <w:cantSplit/>
          <w:jc w:val="center"/>
        </w:trPr>
        <w:tc>
          <w:tcPr>
            <w:tcW w:w="967" w:type="dxa"/>
            <w:tcBorders>
              <w:top w:val="single" w:sz="2" w:space="0" w:color="auto"/>
              <w:left w:val="nil"/>
              <w:bottom w:val="single" w:sz="2" w:space="0" w:color="auto"/>
              <w:right w:val="nil"/>
            </w:tcBorders>
            <w:hideMark/>
          </w:tcPr>
          <w:p w14:paraId="2086FF0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F0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F0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F1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F1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F1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F1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F14" w14:textId="77777777" w:rsidR="00802D3E" w:rsidRDefault="00802D3E">
            <w:pPr>
              <w:pStyle w:val="MeasureTableTextRightAligned"/>
            </w:pPr>
            <w:r>
              <w:t>*</w:t>
            </w:r>
          </w:p>
        </w:tc>
      </w:tr>
      <w:tr w:rsidR="00802D3E" w14:paraId="2086FF1A" w14:textId="77777777" w:rsidTr="00802D3E">
        <w:trPr>
          <w:cantSplit/>
          <w:jc w:val="center"/>
        </w:trPr>
        <w:tc>
          <w:tcPr>
            <w:tcW w:w="1934" w:type="dxa"/>
            <w:gridSpan w:val="2"/>
            <w:tcBorders>
              <w:top w:val="single" w:sz="2" w:space="0" w:color="auto"/>
              <w:left w:val="nil"/>
              <w:bottom w:val="nil"/>
              <w:right w:val="nil"/>
            </w:tcBorders>
            <w:hideMark/>
          </w:tcPr>
          <w:p w14:paraId="2086FF1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F1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F1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F19" w14:textId="77777777" w:rsidR="00802D3E" w:rsidRDefault="00802D3E">
            <w:pPr>
              <w:pStyle w:val="MeasureTableTextLeftAligned"/>
            </w:pPr>
            <w:r>
              <w:t>D18</w:t>
            </w:r>
          </w:p>
        </w:tc>
      </w:tr>
      <w:tr w:rsidR="00802D3E" w14:paraId="2086FF1F" w14:textId="77777777" w:rsidTr="00802D3E">
        <w:trPr>
          <w:cantSplit/>
          <w:jc w:val="center"/>
        </w:trPr>
        <w:tc>
          <w:tcPr>
            <w:tcW w:w="1934" w:type="dxa"/>
            <w:gridSpan w:val="2"/>
            <w:tcBorders>
              <w:top w:val="nil"/>
              <w:left w:val="nil"/>
              <w:bottom w:val="nil"/>
              <w:right w:val="nil"/>
            </w:tcBorders>
            <w:hideMark/>
          </w:tcPr>
          <w:p w14:paraId="2086FF1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F1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F1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F1E" w14:textId="77777777" w:rsidR="00802D3E" w:rsidRDefault="00802D3E">
            <w:pPr>
              <w:pStyle w:val="MeasureTableTextLeftAligned"/>
            </w:pPr>
            <w:r>
              <w:t>2+</w:t>
            </w:r>
          </w:p>
        </w:tc>
      </w:tr>
      <w:tr w:rsidR="00802D3E" w14:paraId="2086FF24" w14:textId="77777777" w:rsidTr="00802D3E">
        <w:trPr>
          <w:cantSplit/>
          <w:jc w:val="center"/>
        </w:trPr>
        <w:tc>
          <w:tcPr>
            <w:tcW w:w="1934" w:type="dxa"/>
            <w:gridSpan w:val="2"/>
            <w:tcBorders>
              <w:top w:val="nil"/>
              <w:left w:val="nil"/>
              <w:bottom w:val="nil"/>
              <w:right w:val="nil"/>
            </w:tcBorders>
            <w:hideMark/>
          </w:tcPr>
          <w:p w14:paraId="2086FF2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F21"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F2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F23" w14:textId="77777777" w:rsidR="00802D3E" w:rsidRDefault="00802D3E">
            <w:pPr>
              <w:pStyle w:val="MeasureTableTextLeftAligned"/>
            </w:pPr>
          </w:p>
        </w:tc>
      </w:tr>
      <w:tr w:rsidR="00802D3E" w14:paraId="2086FF27" w14:textId="77777777" w:rsidTr="00802D3E">
        <w:trPr>
          <w:cantSplit/>
          <w:jc w:val="center"/>
        </w:trPr>
        <w:tc>
          <w:tcPr>
            <w:tcW w:w="1934" w:type="dxa"/>
            <w:gridSpan w:val="2"/>
            <w:tcBorders>
              <w:top w:val="nil"/>
              <w:left w:val="nil"/>
              <w:bottom w:val="single" w:sz="2" w:space="0" w:color="auto"/>
              <w:right w:val="nil"/>
            </w:tcBorders>
            <w:hideMark/>
          </w:tcPr>
          <w:p w14:paraId="2086FF2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F26" w14:textId="77777777" w:rsidR="00802D3E" w:rsidRPr="00106337" w:rsidRDefault="00802D3E">
            <w:pPr>
              <w:widowControl w:val="0"/>
              <w:autoSpaceDE w:val="0"/>
              <w:autoSpaceDN w:val="0"/>
              <w:adjustRightInd w:val="0"/>
              <w:spacing w:after="0" w:line="240" w:lineRule="auto"/>
              <w:rPr>
                <w:rFonts w:ascii="Arial" w:hAnsi="Arial" w:cs="Arial"/>
                <w:sz w:val="16"/>
                <w:szCs w:val="16"/>
              </w:rPr>
            </w:pPr>
            <w:r w:rsidRPr="00106337">
              <w:rPr>
                <w:rFonts w:ascii="Arial" w:hAnsi="Arial" w:cs="Arial"/>
                <w:sz w:val="16"/>
                <w:szCs w:val="16"/>
              </w:rPr>
              <w:t xml:space="preserve">Section 58T of the </w:t>
            </w:r>
            <w:r w:rsidRPr="00106337">
              <w:rPr>
                <w:rFonts w:ascii="Arial" w:hAnsi="Arial" w:cs="Arial"/>
                <w:i/>
                <w:iCs/>
                <w:color w:val="000000"/>
                <w:sz w:val="16"/>
                <w:szCs w:val="16"/>
              </w:rPr>
              <w:t>Fringe Benefits Tax Assessment Act 1986</w:t>
            </w:r>
          </w:p>
        </w:tc>
      </w:tr>
    </w:tbl>
    <w:p w14:paraId="2086FF28" w14:textId="77777777" w:rsidR="00802D3E" w:rsidRDefault="00802D3E" w:rsidP="00A109BC">
      <w:pPr>
        <w:pStyle w:val="SingleParagraph"/>
      </w:pPr>
    </w:p>
    <w:p w14:paraId="2086FF29" w14:textId="77777777" w:rsidR="00802D3E" w:rsidRDefault="00802D3E" w:rsidP="00802D3E">
      <w:r>
        <w:t>Accommodation, residential fuel, meals and other food and drink provided to live-in employees who provide domestic services and are employed by religious institutions</w:t>
      </w:r>
      <w:r>
        <w:fldChar w:fldCharType="begin"/>
      </w:r>
      <w:r>
        <w:instrText xml:space="preserve"> XE "Religious institutions or practitioners" </w:instrText>
      </w:r>
      <w:r>
        <w:fldChar w:fldCharType="end"/>
      </w:r>
      <w:r>
        <w:t xml:space="preserve"> or religious practitioners are exempt from fringe benefits tax. </w:t>
      </w:r>
    </w:p>
    <w:p w14:paraId="2086FF2A" w14:textId="77777777" w:rsidR="00802D3E" w:rsidRDefault="00802D3E" w:rsidP="00802D3E">
      <w:pPr>
        <w:pStyle w:val="TESHeading5"/>
        <w:ind w:left="0" w:firstLine="0"/>
      </w:pPr>
      <w:r>
        <w:lastRenderedPageBreak/>
        <w:t>D19</w:t>
      </w:r>
      <w:r>
        <w:tab/>
        <w:t>Exemption for fringe benefits provided to certain employees of religious institutions</w:t>
      </w:r>
    </w:p>
    <w:p w14:paraId="2086FF2B" w14:textId="77777777" w:rsidR="00802D3E" w:rsidRDefault="00802D3E" w:rsidP="00802D3E">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F34" w14:textId="77777777" w:rsidTr="00802D3E">
        <w:trPr>
          <w:cantSplit/>
          <w:jc w:val="center"/>
        </w:trPr>
        <w:tc>
          <w:tcPr>
            <w:tcW w:w="967" w:type="dxa"/>
            <w:tcBorders>
              <w:top w:val="single" w:sz="2" w:space="0" w:color="auto"/>
              <w:left w:val="nil"/>
              <w:bottom w:val="single" w:sz="2" w:space="0" w:color="auto"/>
              <w:right w:val="nil"/>
            </w:tcBorders>
            <w:hideMark/>
          </w:tcPr>
          <w:p w14:paraId="2086FF2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F2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F2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F2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F3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F3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F3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F33" w14:textId="77777777" w:rsidR="00802D3E" w:rsidRDefault="00802D3E">
            <w:pPr>
              <w:pStyle w:val="MeasureTableTextRightAligned"/>
            </w:pPr>
            <w:r>
              <w:t>2019-20</w:t>
            </w:r>
          </w:p>
        </w:tc>
      </w:tr>
      <w:tr w:rsidR="00802D3E" w14:paraId="2086FF3D" w14:textId="77777777" w:rsidTr="00802D3E">
        <w:trPr>
          <w:cantSplit/>
          <w:jc w:val="center"/>
        </w:trPr>
        <w:tc>
          <w:tcPr>
            <w:tcW w:w="967" w:type="dxa"/>
            <w:tcBorders>
              <w:top w:val="single" w:sz="2" w:space="0" w:color="auto"/>
              <w:left w:val="nil"/>
              <w:bottom w:val="single" w:sz="2" w:space="0" w:color="auto"/>
              <w:right w:val="nil"/>
            </w:tcBorders>
            <w:hideMark/>
          </w:tcPr>
          <w:p w14:paraId="2086FF35" w14:textId="77777777" w:rsidR="00802D3E" w:rsidRDefault="00802D3E">
            <w:pPr>
              <w:pStyle w:val="MeasureTableTextRightAligned"/>
            </w:pPr>
            <w:r>
              <w:t>85</w:t>
            </w:r>
          </w:p>
        </w:tc>
        <w:tc>
          <w:tcPr>
            <w:tcW w:w="967" w:type="dxa"/>
            <w:tcBorders>
              <w:top w:val="single" w:sz="2" w:space="0" w:color="auto"/>
              <w:left w:val="nil"/>
              <w:bottom w:val="single" w:sz="2" w:space="0" w:color="auto"/>
              <w:right w:val="nil"/>
            </w:tcBorders>
            <w:hideMark/>
          </w:tcPr>
          <w:p w14:paraId="2086FF36" w14:textId="77777777" w:rsidR="00802D3E" w:rsidRDefault="00802D3E">
            <w:pPr>
              <w:pStyle w:val="MeasureTableTextRightAligned"/>
            </w:pPr>
            <w:r>
              <w:t>90</w:t>
            </w:r>
          </w:p>
        </w:tc>
        <w:tc>
          <w:tcPr>
            <w:tcW w:w="967" w:type="dxa"/>
            <w:tcBorders>
              <w:top w:val="single" w:sz="2" w:space="0" w:color="auto"/>
              <w:left w:val="nil"/>
              <w:bottom w:val="single" w:sz="2" w:space="0" w:color="auto"/>
              <w:right w:val="nil"/>
            </w:tcBorders>
            <w:vAlign w:val="bottom"/>
            <w:hideMark/>
          </w:tcPr>
          <w:p w14:paraId="2086FF37" w14:textId="77777777" w:rsidR="00802D3E" w:rsidRDefault="00802D3E">
            <w:pPr>
              <w:pStyle w:val="MeasureTableTextRightAligned"/>
            </w:pPr>
            <w:r>
              <w:t>95</w:t>
            </w:r>
          </w:p>
        </w:tc>
        <w:tc>
          <w:tcPr>
            <w:tcW w:w="967" w:type="dxa"/>
            <w:tcBorders>
              <w:top w:val="single" w:sz="2" w:space="0" w:color="auto"/>
              <w:left w:val="nil"/>
              <w:bottom w:val="single" w:sz="2" w:space="0" w:color="auto"/>
              <w:right w:val="nil"/>
            </w:tcBorders>
            <w:vAlign w:val="bottom"/>
            <w:hideMark/>
          </w:tcPr>
          <w:p w14:paraId="2086FF38" w14:textId="77777777" w:rsidR="00802D3E" w:rsidRDefault="00802D3E">
            <w:pPr>
              <w:pStyle w:val="MeasureTableTextRightAligned"/>
            </w:pPr>
            <w:r>
              <w:t>95</w:t>
            </w:r>
          </w:p>
        </w:tc>
        <w:tc>
          <w:tcPr>
            <w:tcW w:w="967" w:type="dxa"/>
            <w:tcBorders>
              <w:top w:val="single" w:sz="2" w:space="0" w:color="auto"/>
              <w:left w:val="nil"/>
              <w:bottom w:val="single" w:sz="2" w:space="0" w:color="auto"/>
              <w:right w:val="nil"/>
            </w:tcBorders>
            <w:vAlign w:val="bottom"/>
            <w:hideMark/>
          </w:tcPr>
          <w:p w14:paraId="2086FF39" w14:textId="77777777" w:rsidR="00802D3E" w:rsidRDefault="00802D3E">
            <w:pPr>
              <w:pStyle w:val="MeasureTableTextRightAligned"/>
            </w:pPr>
            <w:r>
              <w:t>100</w:t>
            </w:r>
          </w:p>
        </w:tc>
        <w:tc>
          <w:tcPr>
            <w:tcW w:w="967" w:type="dxa"/>
            <w:gridSpan w:val="2"/>
            <w:tcBorders>
              <w:top w:val="single" w:sz="2" w:space="0" w:color="auto"/>
              <w:left w:val="nil"/>
              <w:bottom w:val="single" w:sz="2" w:space="0" w:color="auto"/>
              <w:right w:val="nil"/>
            </w:tcBorders>
            <w:vAlign w:val="bottom"/>
            <w:hideMark/>
          </w:tcPr>
          <w:p w14:paraId="2086FF3A" w14:textId="77777777" w:rsidR="00802D3E" w:rsidRDefault="00802D3E">
            <w:pPr>
              <w:pStyle w:val="MeasureTableTextRightAligned"/>
            </w:pPr>
            <w:r>
              <w:t>105</w:t>
            </w:r>
          </w:p>
        </w:tc>
        <w:tc>
          <w:tcPr>
            <w:tcW w:w="967" w:type="dxa"/>
            <w:gridSpan w:val="2"/>
            <w:tcBorders>
              <w:top w:val="single" w:sz="2" w:space="0" w:color="auto"/>
              <w:left w:val="nil"/>
              <w:bottom w:val="single" w:sz="2" w:space="0" w:color="auto"/>
              <w:right w:val="nil"/>
            </w:tcBorders>
            <w:vAlign w:val="bottom"/>
            <w:hideMark/>
          </w:tcPr>
          <w:p w14:paraId="2086FF3B" w14:textId="77777777" w:rsidR="00802D3E" w:rsidRDefault="00802D3E">
            <w:pPr>
              <w:pStyle w:val="MeasureTableTextRightAligned"/>
            </w:pPr>
            <w:r>
              <w:t>110</w:t>
            </w:r>
          </w:p>
        </w:tc>
        <w:tc>
          <w:tcPr>
            <w:tcW w:w="968" w:type="dxa"/>
            <w:tcBorders>
              <w:top w:val="single" w:sz="2" w:space="0" w:color="auto"/>
              <w:left w:val="nil"/>
              <w:bottom w:val="single" w:sz="2" w:space="0" w:color="auto"/>
              <w:right w:val="nil"/>
            </w:tcBorders>
            <w:vAlign w:val="bottom"/>
            <w:hideMark/>
          </w:tcPr>
          <w:p w14:paraId="2086FF3C" w14:textId="77777777" w:rsidR="00802D3E" w:rsidRDefault="00802D3E">
            <w:pPr>
              <w:pStyle w:val="MeasureTableTextRightAligned"/>
            </w:pPr>
            <w:r>
              <w:t>115</w:t>
            </w:r>
          </w:p>
        </w:tc>
      </w:tr>
      <w:tr w:rsidR="00802D3E" w14:paraId="2086FF42" w14:textId="77777777" w:rsidTr="00802D3E">
        <w:trPr>
          <w:cantSplit/>
          <w:jc w:val="center"/>
        </w:trPr>
        <w:tc>
          <w:tcPr>
            <w:tcW w:w="1934" w:type="dxa"/>
            <w:gridSpan w:val="2"/>
            <w:tcBorders>
              <w:top w:val="single" w:sz="2" w:space="0" w:color="auto"/>
              <w:left w:val="nil"/>
              <w:bottom w:val="nil"/>
              <w:right w:val="nil"/>
            </w:tcBorders>
            <w:hideMark/>
          </w:tcPr>
          <w:p w14:paraId="2086FF3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F3F"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F4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F41" w14:textId="77777777" w:rsidR="00802D3E" w:rsidRDefault="00802D3E">
            <w:pPr>
              <w:pStyle w:val="MeasureTableTextLeftAligned"/>
            </w:pPr>
            <w:r>
              <w:t>D19</w:t>
            </w:r>
          </w:p>
        </w:tc>
      </w:tr>
      <w:tr w:rsidR="00802D3E" w14:paraId="2086FF47" w14:textId="77777777" w:rsidTr="00802D3E">
        <w:trPr>
          <w:cantSplit/>
          <w:jc w:val="center"/>
        </w:trPr>
        <w:tc>
          <w:tcPr>
            <w:tcW w:w="1934" w:type="dxa"/>
            <w:gridSpan w:val="2"/>
            <w:tcBorders>
              <w:top w:val="nil"/>
              <w:left w:val="nil"/>
              <w:bottom w:val="nil"/>
              <w:right w:val="nil"/>
            </w:tcBorders>
            <w:hideMark/>
          </w:tcPr>
          <w:p w14:paraId="2086FF4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F44" w14:textId="77777777" w:rsidR="00802D3E" w:rsidRDefault="00802D3E">
            <w:pPr>
              <w:pStyle w:val="MeasureTableTextLeftAligned"/>
            </w:pPr>
            <w:r>
              <w:t>Low</w:t>
            </w:r>
          </w:p>
        </w:tc>
        <w:tc>
          <w:tcPr>
            <w:tcW w:w="1500" w:type="dxa"/>
            <w:gridSpan w:val="2"/>
            <w:tcBorders>
              <w:top w:val="nil"/>
              <w:left w:val="nil"/>
              <w:bottom w:val="nil"/>
              <w:right w:val="nil"/>
            </w:tcBorders>
          </w:tcPr>
          <w:p w14:paraId="2086FF45" w14:textId="77777777" w:rsidR="00802D3E" w:rsidRDefault="00802D3E">
            <w:pPr>
              <w:pStyle w:val="MeasureTableTextItalic"/>
            </w:pPr>
          </w:p>
        </w:tc>
        <w:tc>
          <w:tcPr>
            <w:tcW w:w="1124" w:type="dxa"/>
            <w:gridSpan w:val="2"/>
            <w:tcBorders>
              <w:top w:val="nil"/>
              <w:left w:val="nil"/>
              <w:bottom w:val="nil"/>
              <w:right w:val="nil"/>
            </w:tcBorders>
          </w:tcPr>
          <w:p w14:paraId="2086FF46" w14:textId="77777777" w:rsidR="00802D3E" w:rsidRDefault="00802D3E">
            <w:pPr>
              <w:pStyle w:val="MeasureTableTextLeftAligned"/>
            </w:pPr>
          </w:p>
        </w:tc>
      </w:tr>
      <w:tr w:rsidR="00802D3E" w14:paraId="2086FF4C" w14:textId="77777777" w:rsidTr="00802D3E">
        <w:trPr>
          <w:cantSplit/>
          <w:jc w:val="center"/>
        </w:trPr>
        <w:tc>
          <w:tcPr>
            <w:tcW w:w="1934" w:type="dxa"/>
            <w:gridSpan w:val="2"/>
            <w:tcBorders>
              <w:top w:val="nil"/>
              <w:left w:val="nil"/>
              <w:bottom w:val="nil"/>
              <w:right w:val="nil"/>
            </w:tcBorders>
            <w:hideMark/>
          </w:tcPr>
          <w:p w14:paraId="2086FF4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F49"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F4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F4B" w14:textId="77777777" w:rsidR="00802D3E" w:rsidRDefault="00802D3E">
            <w:pPr>
              <w:pStyle w:val="MeasureTableTextLeftAligned"/>
            </w:pPr>
          </w:p>
        </w:tc>
      </w:tr>
      <w:tr w:rsidR="00802D3E" w14:paraId="2086FF4F" w14:textId="77777777" w:rsidTr="00802D3E">
        <w:trPr>
          <w:cantSplit/>
          <w:jc w:val="center"/>
        </w:trPr>
        <w:tc>
          <w:tcPr>
            <w:tcW w:w="1934" w:type="dxa"/>
            <w:gridSpan w:val="2"/>
            <w:tcBorders>
              <w:top w:val="nil"/>
              <w:left w:val="nil"/>
              <w:bottom w:val="single" w:sz="2" w:space="0" w:color="auto"/>
              <w:right w:val="nil"/>
            </w:tcBorders>
            <w:hideMark/>
          </w:tcPr>
          <w:p w14:paraId="2086FF4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F4E"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57 of the </w:t>
            </w:r>
            <w:r w:rsidRPr="00106337">
              <w:rPr>
                <w:rFonts w:ascii="Arial" w:hAnsi="Arial" w:cs="Arial"/>
                <w:i/>
                <w:iCs/>
                <w:color w:val="000000"/>
                <w:sz w:val="16"/>
                <w:szCs w:val="16"/>
              </w:rPr>
              <w:t>Fringe Benefits Tax Assessment Act 1986</w:t>
            </w:r>
          </w:p>
        </w:tc>
      </w:tr>
    </w:tbl>
    <w:p w14:paraId="2086FF50" w14:textId="77777777" w:rsidR="00802D3E" w:rsidRDefault="00802D3E" w:rsidP="00A109BC">
      <w:pPr>
        <w:pStyle w:val="SingleParagraph"/>
      </w:pPr>
    </w:p>
    <w:p w14:paraId="2086FF51" w14:textId="77777777" w:rsidR="00802D3E" w:rsidRDefault="00802D3E" w:rsidP="00802D3E">
      <w:r>
        <w:t>Benefits provided to an employee, or to a spouse or child of the employee, of a religious institution are exempt from fringe benefits tax if the employee is a religious practitioner</w:t>
      </w:r>
      <w:r>
        <w:fldChar w:fldCharType="begin"/>
      </w:r>
      <w:r>
        <w:instrText xml:space="preserve"> XE "Religious institutions or practitioners" </w:instrText>
      </w:r>
      <w:r>
        <w:fldChar w:fldCharType="end"/>
      </w:r>
      <w:r>
        <w:t xml:space="preserve"> and only if the benefit is provided principally in respect of pastoral duties or any other duties or activities that are directly related to the practice, study, teaching or propagation of religious beliefs. </w:t>
      </w:r>
    </w:p>
    <w:p w14:paraId="2086FF52" w14:textId="77777777" w:rsidR="00802D3E" w:rsidRDefault="00802D3E" w:rsidP="00802D3E">
      <w:pPr>
        <w:pStyle w:val="TESHeading5"/>
        <w:ind w:left="0" w:firstLine="0"/>
      </w:pPr>
      <w:r>
        <w:t>D20</w:t>
      </w:r>
      <w:r>
        <w:tab/>
        <w:t>Application of statutory formula to value car benefits</w:t>
      </w:r>
    </w:p>
    <w:p w14:paraId="2086FF53"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F5C" w14:textId="77777777" w:rsidTr="00802D3E">
        <w:trPr>
          <w:cantSplit/>
          <w:jc w:val="center"/>
        </w:trPr>
        <w:tc>
          <w:tcPr>
            <w:tcW w:w="967" w:type="dxa"/>
            <w:tcBorders>
              <w:top w:val="single" w:sz="2" w:space="0" w:color="auto"/>
              <w:left w:val="nil"/>
              <w:bottom w:val="single" w:sz="2" w:space="0" w:color="auto"/>
              <w:right w:val="nil"/>
            </w:tcBorders>
            <w:hideMark/>
          </w:tcPr>
          <w:p w14:paraId="2086FF5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F5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F5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F5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F5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F5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F5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F5B" w14:textId="77777777" w:rsidR="00802D3E" w:rsidRDefault="00802D3E">
            <w:pPr>
              <w:pStyle w:val="MeasureTableTextRightAligned"/>
            </w:pPr>
            <w:r>
              <w:t>2019-20</w:t>
            </w:r>
          </w:p>
        </w:tc>
      </w:tr>
      <w:tr w:rsidR="00802D3E" w14:paraId="2086FF65" w14:textId="77777777" w:rsidTr="00802D3E">
        <w:trPr>
          <w:cantSplit/>
          <w:jc w:val="center"/>
        </w:trPr>
        <w:tc>
          <w:tcPr>
            <w:tcW w:w="967" w:type="dxa"/>
            <w:tcBorders>
              <w:top w:val="single" w:sz="2" w:space="0" w:color="auto"/>
              <w:left w:val="nil"/>
              <w:bottom w:val="single" w:sz="2" w:space="0" w:color="auto"/>
              <w:right w:val="nil"/>
            </w:tcBorders>
            <w:hideMark/>
          </w:tcPr>
          <w:p w14:paraId="2086FF5D" w14:textId="77777777" w:rsidR="00802D3E" w:rsidRDefault="00802D3E">
            <w:pPr>
              <w:pStyle w:val="MeasureTableTextRightAligned"/>
            </w:pPr>
            <w:r>
              <w:t>1,040</w:t>
            </w:r>
          </w:p>
        </w:tc>
        <w:tc>
          <w:tcPr>
            <w:tcW w:w="967" w:type="dxa"/>
            <w:tcBorders>
              <w:top w:val="single" w:sz="2" w:space="0" w:color="auto"/>
              <w:left w:val="nil"/>
              <w:bottom w:val="single" w:sz="2" w:space="0" w:color="auto"/>
              <w:right w:val="nil"/>
            </w:tcBorders>
            <w:hideMark/>
          </w:tcPr>
          <w:p w14:paraId="2086FF5E" w14:textId="77777777" w:rsidR="00802D3E" w:rsidRDefault="00802D3E">
            <w:pPr>
              <w:pStyle w:val="MeasureTableTextRightAligned"/>
            </w:pPr>
            <w:r>
              <w:t>810</w:t>
            </w:r>
          </w:p>
        </w:tc>
        <w:tc>
          <w:tcPr>
            <w:tcW w:w="967" w:type="dxa"/>
            <w:tcBorders>
              <w:top w:val="single" w:sz="2" w:space="0" w:color="auto"/>
              <w:left w:val="nil"/>
              <w:bottom w:val="single" w:sz="2" w:space="0" w:color="auto"/>
              <w:right w:val="nil"/>
            </w:tcBorders>
            <w:vAlign w:val="bottom"/>
            <w:hideMark/>
          </w:tcPr>
          <w:p w14:paraId="2086FF5F" w14:textId="77777777" w:rsidR="00802D3E" w:rsidRDefault="00802D3E">
            <w:pPr>
              <w:pStyle w:val="MeasureTableTextRightAligned"/>
            </w:pPr>
            <w:r>
              <w:t>700</w:t>
            </w:r>
          </w:p>
        </w:tc>
        <w:tc>
          <w:tcPr>
            <w:tcW w:w="967" w:type="dxa"/>
            <w:tcBorders>
              <w:top w:val="single" w:sz="2" w:space="0" w:color="auto"/>
              <w:left w:val="nil"/>
              <w:bottom w:val="single" w:sz="2" w:space="0" w:color="auto"/>
              <w:right w:val="nil"/>
            </w:tcBorders>
            <w:vAlign w:val="bottom"/>
            <w:hideMark/>
          </w:tcPr>
          <w:p w14:paraId="2086FF60" w14:textId="77777777" w:rsidR="00802D3E" w:rsidRDefault="00802D3E">
            <w:pPr>
              <w:pStyle w:val="MeasureTableTextRightAligned"/>
            </w:pPr>
            <w:r>
              <w:t>690</w:t>
            </w:r>
          </w:p>
        </w:tc>
        <w:tc>
          <w:tcPr>
            <w:tcW w:w="967" w:type="dxa"/>
            <w:tcBorders>
              <w:top w:val="single" w:sz="2" w:space="0" w:color="auto"/>
              <w:left w:val="nil"/>
              <w:bottom w:val="single" w:sz="2" w:space="0" w:color="auto"/>
              <w:right w:val="nil"/>
            </w:tcBorders>
            <w:vAlign w:val="bottom"/>
            <w:hideMark/>
          </w:tcPr>
          <w:p w14:paraId="2086FF61" w14:textId="77777777" w:rsidR="00802D3E" w:rsidRDefault="00802D3E">
            <w:pPr>
              <w:pStyle w:val="MeasureTableTextRightAligned"/>
            </w:pPr>
            <w:r>
              <w:t>750</w:t>
            </w:r>
          </w:p>
        </w:tc>
        <w:tc>
          <w:tcPr>
            <w:tcW w:w="967" w:type="dxa"/>
            <w:gridSpan w:val="2"/>
            <w:tcBorders>
              <w:top w:val="single" w:sz="2" w:space="0" w:color="auto"/>
              <w:left w:val="nil"/>
              <w:bottom w:val="single" w:sz="2" w:space="0" w:color="auto"/>
              <w:right w:val="nil"/>
            </w:tcBorders>
            <w:vAlign w:val="bottom"/>
            <w:hideMark/>
          </w:tcPr>
          <w:p w14:paraId="2086FF62" w14:textId="77777777" w:rsidR="00802D3E" w:rsidRDefault="00802D3E">
            <w:pPr>
              <w:pStyle w:val="MeasureTableTextRightAligned"/>
            </w:pPr>
            <w:r>
              <w:t>850</w:t>
            </w:r>
          </w:p>
        </w:tc>
        <w:tc>
          <w:tcPr>
            <w:tcW w:w="967" w:type="dxa"/>
            <w:gridSpan w:val="2"/>
            <w:tcBorders>
              <w:top w:val="single" w:sz="2" w:space="0" w:color="auto"/>
              <w:left w:val="nil"/>
              <w:bottom w:val="single" w:sz="2" w:space="0" w:color="auto"/>
              <w:right w:val="nil"/>
            </w:tcBorders>
            <w:vAlign w:val="bottom"/>
            <w:hideMark/>
          </w:tcPr>
          <w:p w14:paraId="2086FF63" w14:textId="77777777" w:rsidR="00802D3E" w:rsidRDefault="00802D3E">
            <w:pPr>
              <w:pStyle w:val="MeasureTableTextRightAligned"/>
            </w:pPr>
            <w:r>
              <w:t>890</w:t>
            </w:r>
          </w:p>
        </w:tc>
        <w:tc>
          <w:tcPr>
            <w:tcW w:w="968" w:type="dxa"/>
            <w:tcBorders>
              <w:top w:val="single" w:sz="2" w:space="0" w:color="auto"/>
              <w:left w:val="nil"/>
              <w:bottom w:val="single" w:sz="2" w:space="0" w:color="auto"/>
              <w:right w:val="nil"/>
            </w:tcBorders>
            <w:vAlign w:val="bottom"/>
            <w:hideMark/>
          </w:tcPr>
          <w:p w14:paraId="2086FF64" w14:textId="77777777" w:rsidR="00802D3E" w:rsidRDefault="00802D3E">
            <w:pPr>
              <w:pStyle w:val="MeasureTableTextRightAligned"/>
            </w:pPr>
            <w:r>
              <w:t>920</w:t>
            </w:r>
          </w:p>
        </w:tc>
      </w:tr>
      <w:tr w:rsidR="00802D3E" w14:paraId="2086FF6A" w14:textId="77777777" w:rsidTr="00802D3E">
        <w:trPr>
          <w:cantSplit/>
          <w:jc w:val="center"/>
        </w:trPr>
        <w:tc>
          <w:tcPr>
            <w:tcW w:w="1934" w:type="dxa"/>
            <w:gridSpan w:val="2"/>
            <w:tcBorders>
              <w:top w:val="single" w:sz="2" w:space="0" w:color="auto"/>
              <w:left w:val="nil"/>
              <w:bottom w:val="nil"/>
              <w:right w:val="nil"/>
            </w:tcBorders>
            <w:hideMark/>
          </w:tcPr>
          <w:p w14:paraId="2086FF6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F67" w14:textId="77777777" w:rsidR="00802D3E" w:rsidRDefault="00802D3E">
            <w:pPr>
              <w:pStyle w:val="MeasureTableTextLeftAligned"/>
            </w:pPr>
            <w:r>
              <w:t>Discounted valuation</w:t>
            </w:r>
          </w:p>
        </w:tc>
        <w:tc>
          <w:tcPr>
            <w:tcW w:w="1500" w:type="dxa"/>
            <w:gridSpan w:val="2"/>
            <w:tcBorders>
              <w:top w:val="single" w:sz="2" w:space="0" w:color="auto"/>
              <w:left w:val="nil"/>
              <w:bottom w:val="nil"/>
              <w:right w:val="nil"/>
            </w:tcBorders>
            <w:hideMark/>
          </w:tcPr>
          <w:p w14:paraId="2086FF6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F69" w14:textId="77777777" w:rsidR="00802D3E" w:rsidRDefault="00802D3E">
            <w:pPr>
              <w:pStyle w:val="MeasureTableTextLeftAligned"/>
            </w:pPr>
            <w:r>
              <w:t>D20</w:t>
            </w:r>
          </w:p>
        </w:tc>
      </w:tr>
      <w:tr w:rsidR="00802D3E" w14:paraId="2086FF6F" w14:textId="77777777" w:rsidTr="00802D3E">
        <w:trPr>
          <w:cantSplit/>
          <w:jc w:val="center"/>
        </w:trPr>
        <w:tc>
          <w:tcPr>
            <w:tcW w:w="1934" w:type="dxa"/>
            <w:gridSpan w:val="2"/>
            <w:tcBorders>
              <w:top w:val="nil"/>
              <w:left w:val="nil"/>
              <w:bottom w:val="nil"/>
              <w:right w:val="nil"/>
            </w:tcBorders>
            <w:hideMark/>
          </w:tcPr>
          <w:p w14:paraId="2086FF6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F6C"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6FF6D" w14:textId="77777777" w:rsidR="00802D3E" w:rsidRDefault="00802D3E">
            <w:pPr>
              <w:pStyle w:val="MeasureTableTextItalic"/>
            </w:pPr>
          </w:p>
        </w:tc>
        <w:tc>
          <w:tcPr>
            <w:tcW w:w="1124" w:type="dxa"/>
            <w:gridSpan w:val="2"/>
            <w:tcBorders>
              <w:top w:val="nil"/>
              <w:left w:val="nil"/>
              <w:bottom w:val="nil"/>
              <w:right w:val="nil"/>
            </w:tcBorders>
          </w:tcPr>
          <w:p w14:paraId="2086FF6E" w14:textId="77777777" w:rsidR="00802D3E" w:rsidRDefault="00802D3E">
            <w:pPr>
              <w:pStyle w:val="MeasureTableTextLeftAligned"/>
            </w:pPr>
          </w:p>
        </w:tc>
      </w:tr>
      <w:tr w:rsidR="00802D3E" w14:paraId="2086FF74" w14:textId="77777777" w:rsidTr="00802D3E">
        <w:trPr>
          <w:cantSplit/>
          <w:jc w:val="center"/>
        </w:trPr>
        <w:tc>
          <w:tcPr>
            <w:tcW w:w="1934" w:type="dxa"/>
            <w:gridSpan w:val="2"/>
            <w:tcBorders>
              <w:top w:val="nil"/>
              <w:left w:val="nil"/>
              <w:bottom w:val="nil"/>
              <w:right w:val="nil"/>
            </w:tcBorders>
            <w:hideMark/>
          </w:tcPr>
          <w:p w14:paraId="2086FF7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F71"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F7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F73" w14:textId="77777777" w:rsidR="00802D3E" w:rsidRDefault="00802D3E">
            <w:pPr>
              <w:pStyle w:val="MeasureTableTextLeftAligned"/>
            </w:pPr>
          </w:p>
        </w:tc>
      </w:tr>
      <w:tr w:rsidR="00802D3E" w14:paraId="2086FF77" w14:textId="77777777" w:rsidTr="00802D3E">
        <w:trPr>
          <w:cantSplit/>
          <w:jc w:val="center"/>
        </w:trPr>
        <w:tc>
          <w:tcPr>
            <w:tcW w:w="1934" w:type="dxa"/>
            <w:gridSpan w:val="2"/>
            <w:tcBorders>
              <w:top w:val="nil"/>
              <w:left w:val="nil"/>
              <w:bottom w:val="single" w:sz="2" w:space="0" w:color="auto"/>
              <w:right w:val="nil"/>
            </w:tcBorders>
            <w:hideMark/>
          </w:tcPr>
          <w:p w14:paraId="2086FF7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F76"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9 of the </w:t>
            </w:r>
            <w:r w:rsidRPr="00106337">
              <w:rPr>
                <w:rFonts w:ascii="Arial" w:hAnsi="Arial" w:cs="Arial"/>
                <w:i/>
                <w:iCs/>
                <w:color w:val="000000"/>
                <w:sz w:val="16"/>
                <w:szCs w:val="16"/>
              </w:rPr>
              <w:t>Fringe Benefits Tax Assessment Act 1986</w:t>
            </w:r>
          </w:p>
        </w:tc>
      </w:tr>
    </w:tbl>
    <w:p w14:paraId="2086FF78" w14:textId="77777777" w:rsidR="00802D3E" w:rsidRDefault="00802D3E" w:rsidP="00A109BC">
      <w:pPr>
        <w:pStyle w:val="SingleParagraph"/>
      </w:pPr>
    </w:p>
    <w:p w14:paraId="2086FF79" w14:textId="656AA10B" w:rsidR="00802D3E" w:rsidRDefault="0051476F" w:rsidP="00802D3E">
      <w:r>
        <w:fldChar w:fldCharType="begin"/>
      </w:r>
      <w:r>
        <w:instrText xml:space="preserve"> XE "Fringe benefits tax:Car benefits" </w:instrText>
      </w:r>
      <w:r>
        <w:fldChar w:fldCharType="end"/>
      </w:r>
      <w:r w:rsidR="00802D3E">
        <w:t>A fringe benefit arises where an employee is provid</w:t>
      </w:r>
      <w:r w:rsidR="000D700A">
        <w:t xml:space="preserve">ed with a car for private use. </w:t>
      </w:r>
      <w:r w:rsidR="00802D3E">
        <w:t>A car fringe benefit can be valued using the statutory formula method, under which the value of a person’s car fringe benefit is determined by multiplying the cost of the car by the proportion of days the vehicle is used privately by the statutory rate of 20 per cent for contracts entered into after</w:t>
      </w:r>
      <w:r w:rsidR="000D700A">
        <w:t xml:space="preserve"> 7.30pm (AEST) on 10 May 2011. </w:t>
      </w:r>
      <w:r w:rsidR="00802D3E">
        <w:t xml:space="preserve">For contracts entered into prior to this, the statutory rates decreased as annual kilometres travelled increased. </w:t>
      </w:r>
    </w:p>
    <w:p w14:paraId="2086FF7A" w14:textId="77777777" w:rsidR="00802D3E" w:rsidRDefault="00802D3E" w:rsidP="00802D3E">
      <w:pPr>
        <w:pStyle w:val="TESHeading5"/>
        <w:ind w:left="0" w:firstLine="0"/>
      </w:pPr>
      <w:r>
        <w:t>D21</w:t>
      </w:r>
      <w:r>
        <w:tab/>
        <w:t>Approved worker entitlement fund payment exemption</w:t>
      </w:r>
    </w:p>
    <w:p w14:paraId="2086FF7B"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F84" w14:textId="77777777" w:rsidTr="00802D3E">
        <w:trPr>
          <w:cantSplit/>
          <w:jc w:val="center"/>
        </w:trPr>
        <w:tc>
          <w:tcPr>
            <w:tcW w:w="967" w:type="dxa"/>
            <w:tcBorders>
              <w:top w:val="single" w:sz="2" w:space="0" w:color="auto"/>
              <w:left w:val="nil"/>
              <w:bottom w:val="single" w:sz="2" w:space="0" w:color="auto"/>
              <w:right w:val="nil"/>
            </w:tcBorders>
            <w:hideMark/>
          </w:tcPr>
          <w:p w14:paraId="2086FF7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F7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F7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F7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F8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F8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F8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F83" w14:textId="77777777" w:rsidR="00802D3E" w:rsidRDefault="00802D3E">
            <w:pPr>
              <w:pStyle w:val="MeasureTableTextRightAligned"/>
            </w:pPr>
            <w:r>
              <w:t>2019-20</w:t>
            </w:r>
          </w:p>
        </w:tc>
      </w:tr>
      <w:tr w:rsidR="00802D3E" w14:paraId="2086FF8D" w14:textId="77777777" w:rsidTr="00802D3E">
        <w:trPr>
          <w:cantSplit/>
          <w:jc w:val="center"/>
        </w:trPr>
        <w:tc>
          <w:tcPr>
            <w:tcW w:w="967" w:type="dxa"/>
            <w:tcBorders>
              <w:top w:val="single" w:sz="2" w:space="0" w:color="auto"/>
              <w:left w:val="nil"/>
              <w:bottom w:val="single" w:sz="2" w:space="0" w:color="auto"/>
              <w:right w:val="nil"/>
            </w:tcBorders>
            <w:hideMark/>
          </w:tcPr>
          <w:p w14:paraId="2086FF85" w14:textId="77777777" w:rsidR="00802D3E" w:rsidRDefault="00802D3E">
            <w:pPr>
              <w:pStyle w:val="MeasureTableTextRightAligned"/>
            </w:pPr>
            <w:r>
              <w:t>210</w:t>
            </w:r>
          </w:p>
        </w:tc>
        <w:tc>
          <w:tcPr>
            <w:tcW w:w="967" w:type="dxa"/>
            <w:tcBorders>
              <w:top w:val="single" w:sz="2" w:space="0" w:color="auto"/>
              <w:left w:val="nil"/>
              <w:bottom w:val="single" w:sz="2" w:space="0" w:color="auto"/>
              <w:right w:val="nil"/>
            </w:tcBorders>
            <w:hideMark/>
          </w:tcPr>
          <w:p w14:paraId="2086FF86" w14:textId="77777777" w:rsidR="00802D3E" w:rsidRDefault="00802D3E">
            <w:pPr>
              <w:pStyle w:val="MeasureTableTextRightAligned"/>
            </w:pPr>
            <w:r>
              <w:t>210</w:t>
            </w:r>
          </w:p>
        </w:tc>
        <w:tc>
          <w:tcPr>
            <w:tcW w:w="967" w:type="dxa"/>
            <w:tcBorders>
              <w:top w:val="single" w:sz="2" w:space="0" w:color="auto"/>
              <w:left w:val="nil"/>
              <w:bottom w:val="single" w:sz="2" w:space="0" w:color="auto"/>
              <w:right w:val="nil"/>
            </w:tcBorders>
            <w:vAlign w:val="bottom"/>
            <w:hideMark/>
          </w:tcPr>
          <w:p w14:paraId="2086FF87" w14:textId="77777777" w:rsidR="00802D3E" w:rsidRDefault="00802D3E">
            <w:pPr>
              <w:pStyle w:val="MeasureTableTextRightAligned"/>
            </w:pPr>
            <w:r>
              <w:t>210</w:t>
            </w:r>
          </w:p>
        </w:tc>
        <w:tc>
          <w:tcPr>
            <w:tcW w:w="967" w:type="dxa"/>
            <w:tcBorders>
              <w:top w:val="single" w:sz="2" w:space="0" w:color="auto"/>
              <w:left w:val="nil"/>
              <w:bottom w:val="single" w:sz="2" w:space="0" w:color="auto"/>
              <w:right w:val="nil"/>
            </w:tcBorders>
            <w:vAlign w:val="bottom"/>
            <w:hideMark/>
          </w:tcPr>
          <w:p w14:paraId="2086FF88" w14:textId="77777777" w:rsidR="00802D3E" w:rsidRDefault="00802D3E">
            <w:pPr>
              <w:pStyle w:val="MeasureTableTextRightAligned"/>
            </w:pPr>
            <w:r>
              <w:t>215</w:t>
            </w:r>
          </w:p>
        </w:tc>
        <w:tc>
          <w:tcPr>
            <w:tcW w:w="967" w:type="dxa"/>
            <w:tcBorders>
              <w:top w:val="single" w:sz="2" w:space="0" w:color="auto"/>
              <w:left w:val="nil"/>
              <w:bottom w:val="single" w:sz="2" w:space="0" w:color="auto"/>
              <w:right w:val="nil"/>
            </w:tcBorders>
            <w:vAlign w:val="bottom"/>
            <w:hideMark/>
          </w:tcPr>
          <w:p w14:paraId="2086FF89" w14:textId="77777777" w:rsidR="00802D3E" w:rsidRDefault="00802D3E">
            <w:pPr>
              <w:pStyle w:val="MeasureTableTextRightAligned"/>
            </w:pPr>
            <w:r>
              <w:t>215</w:t>
            </w:r>
          </w:p>
        </w:tc>
        <w:tc>
          <w:tcPr>
            <w:tcW w:w="967" w:type="dxa"/>
            <w:gridSpan w:val="2"/>
            <w:tcBorders>
              <w:top w:val="single" w:sz="2" w:space="0" w:color="auto"/>
              <w:left w:val="nil"/>
              <w:bottom w:val="single" w:sz="2" w:space="0" w:color="auto"/>
              <w:right w:val="nil"/>
            </w:tcBorders>
            <w:vAlign w:val="bottom"/>
            <w:hideMark/>
          </w:tcPr>
          <w:p w14:paraId="2086FF8A" w14:textId="77777777" w:rsidR="00802D3E" w:rsidRDefault="00802D3E">
            <w:pPr>
              <w:pStyle w:val="MeasureTableTextRightAligned"/>
            </w:pPr>
            <w:r>
              <w:t>220</w:t>
            </w:r>
          </w:p>
        </w:tc>
        <w:tc>
          <w:tcPr>
            <w:tcW w:w="967" w:type="dxa"/>
            <w:gridSpan w:val="2"/>
            <w:tcBorders>
              <w:top w:val="single" w:sz="2" w:space="0" w:color="auto"/>
              <w:left w:val="nil"/>
              <w:bottom w:val="single" w:sz="2" w:space="0" w:color="auto"/>
              <w:right w:val="nil"/>
            </w:tcBorders>
            <w:vAlign w:val="bottom"/>
            <w:hideMark/>
          </w:tcPr>
          <w:p w14:paraId="2086FF8B" w14:textId="77777777" w:rsidR="00802D3E" w:rsidRDefault="00802D3E">
            <w:pPr>
              <w:pStyle w:val="MeasureTableTextRightAligned"/>
            </w:pPr>
            <w:r>
              <w:t>225</w:t>
            </w:r>
          </w:p>
        </w:tc>
        <w:tc>
          <w:tcPr>
            <w:tcW w:w="968" w:type="dxa"/>
            <w:tcBorders>
              <w:top w:val="single" w:sz="2" w:space="0" w:color="auto"/>
              <w:left w:val="nil"/>
              <w:bottom w:val="single" w:sz="2" w:space="0" w:color="auto"/>
              <w:right w:val="nil"/>
            </w:tcBorders>
            <w:vAlign w:val="bottom"/>
            <w:hideMark/>
          </w:tcPr>
          <w:p w14:paraId="2086FF8C" w14:textId="77777777" w:rsidR="00802D3E" w:rsidRDefault="00802D3E">
            <w:pPr>
              <w:pStyle w:val="MeasureTableTextRightAligned"/>
            </w:pPr>
            <w:r>
              <w:t>230</w:t>
            </w:r>
          </w:p>
        </w:tc>
      </w:tr>
      <w:tr w:rsidR="00802D3E" w14:paraId="2086FF92" w14:textId="77777777" w:rsidTr="00802D3E">
        <w:trPr>
          <w:cantSplit/>
          <w:jc w:val="center"/>
        </w:trPr>
        <w:tc>
          <w:tcPr>
            <w:tcW w:w="1934" w:type="dxa"/>
            <w:gridSpan w:val="2"/>
            <w:tcBorders>
              <w:top w:val="single" w:sz="2" w:space="0" w:color="auto"/>
              <w:left w:val="nil"/>
              <w:bottom w:val="nil"/>
              <w:right w:val="nil"/>
            </w:tcBorders>
            <w:hideMark/>
          </w:tcPr>
          <w:p w14:paraId="2086FF8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F8F"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F9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F91" w14:textId="77777777" w:rsidR="00802D3E" w:rsidRDefault="00802D3E">
            <w:pPr>
              <w:pStyle w:val="MeasureTableTextLeftAligned"/>
            </w:pPr>
            <w:r>
              <w:t>D21</w:t>
            </w:r>
          </w:p>
        </w:tc>
      </w:tr>
      <w:tr w:rsidR="00802D3E" w14:paraId="2086FF97" w14:textId="77777777" w:rsidTr="00802D3E">
        <w:trPr>
          <w:cantSplit/>
          <w:jc w:val="center"/>
        </w:trPr>
        <w:tc>
          <w:tcPr>
            <w:tcW w:w="1934" w:type="dxa"/>
            <w:gridSpan w:val="2"/>
            <w:tcBorders>
              <w:top w:val="nil"/>
              <w:left w:val="nil"/>
              <w:bottom w:val="nil"/>
              <w:right w:val="nil"/>
            </w:tcBorders>
            <w:hideMark/>
          </w:tcPr>
          <w:p w14:paraId="2086FF9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F94" w14:textId="77777777" w:rsidR="00802D3E" w:rsidRDefault="00802D3E">
            <w:pPr>
              <w:pStyle w:val="MeasureTableTextLeftAligned"/>
            </w:pPr>
            <w:r>
              <w:t>Low</w:t>
            </w:r>
          </w:p>
        </w:tc>
        <w:tc>
          <w:tcPr>
            <w:tcW w:w="1500" w:type="dxa"/>
            <w:gridSpan w:val="2"/>
            <w:tcBorders>
              <w:top w:val="nil"/>
              <w:left w:val="nil"/>
              <w:bottom w:val="nil"/>
              <w:right w:val="nil"/>
            </w:tcBorders>
          </w:tcPr>
          <w:p w14:paraId="2086FF95" w14:textId="77777777" w:rsidR="00802D3E" w:rsidRDefault="00802D3E">
            <w:pPr>
              <w:pStyle w:val="MeasureTableTextItalic"/>
            </w:pPr>
          </w:p>
        </w:tc>
        <w:tc>
          <w:tcPr>
            <w:tcW w:w="1124" w:type="dxa"/>
            <w:gridSpan w:val="2"/>
            <w:tcBorders>
              <w:top w:val="nil"/>
              <w:left w:val="nil"/>
              <w:bottom w:val="nil"/>
              <w:right w:val="nil"/>
            </w:tcBorders>
          </w:tcPr>
          <w:p w14:paraId="2086FF96" w14:textId="77777777" w:rsidR="00802D3E" w:rsidRDefault="00802D3E">
            <w:pPr>
              <w:pStyle w:val="MeasureTableTextLeftAligned"/>
            </w:pPr>
          </w:p>
        </w:tc>
      </w:tr>
      <w:tr w:rsidR="00802D3E" w14:paraId="2086FF9C" w14:textId="77777777" w:rsidTr="00802D3E">
        <w:trPr>
          <w:cantSplit/>
          <w:jc w:val="center"/>
        </w:trPr>
        <w:tc>
          <w:tcPr>
            <w:tcW w:w="1934" w:type="dxa"/>
            <w:gridSpan w:val="2"/>
            <w:tcBorders>
              <w:top w:val="nil"/>
              <w:left w:val="nil"/>
              <w:bottom w:val="nil"/>
              <w:right w:val="nil"/>
            </w:tcBorders>
            <w:hideMark/>
          </w:tcPr>
          <w:p w14:paraId="2086FF9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F99" w14:textId="77777777" w:rsidR="00802D3E" w:rsidRDefault="00802D3E">
            <w:pPr>
              <w:pStyle w:val="MeasureTableTextLeftAligned"/>
            </w:pPr>
            <w:r>
              <w:t>2003</w:t>
            </w:r>
          </w:p>
        </w:tc>
        <w:tc>
          <w:tcPr>
            <w:tcW w:w="1500" w:type="dxa"/>
            <w:gridSpan w:val="2"/>
            <w:tcBorders>
              <w:top w:val="nil"/>
              <w:left w:val="nil"/>
              <w:bottom w:val="nil"/>
              <w:right w:val="nil"/>
            </w:tcBorders>
            <w:hideMark/>
          </w:tcPr>
          <w:p w14:paraId="2086FF9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F9B" w14:textId="77777777" w:rsidR="00802D3E" w:rsidRDefault="00802D3E">
            <w:pPr>
              <w:pStyle w:val="MeasureTableTextLeftAligned"/>
            </w:pPr>
          </w:p>
        </w:tc>
      </w:tr>
      <w:tr w:rsidR="00802D3E" w14:paraId="2086FF9F" w14:textId="77777777" w:rsidTr="00802D3E">
        <w:trPr>
          <w:cantSplit/>
          <w:jc w:val="center"/>
        </w:trPr>
        <w:tc>
          <w:tcPr>
            <w:tcW w:w="1934" w:type="dxa"/>
            <w:gridSpan w:val="2"/>
            <w:tcBorders>
              <w:top w:val="nil"/>
              <w:left w:val="nil"/>
              <w:bottom w:val="single" w:sz="2" w:space="0" w:color="auto"/>
              <w:right w:val="nil"/>
            </w:tcBorders>
            <w:hideMark/>
          </w:tcPr>
          <w:p w14:paraId="2086FF9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F9E"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58PA and 58PB of the </w:t>
            </w:r>
            <w:r w:rsidRPr="00106337">
              <w:rPr>
                <w:rFonts w:ascii="Arial" w:hAnsi="Arial" w:cs="Arial"/>
                <w:i/>
                <w:iCs/>
                <w:color w:val="000000"/>
                <w:sz w:val="16"/>
                <w:szCs w:val="16"/>
              </w:rPr>
              <w:t>Fringe Benefits Tax Assessment Act 1986</w:t>
            </w:r>
          </w:p>
        </w:tc>
      </w:tr>
    </w:tbl>
    <w:p w14:paraId="2086FFA0" w14:textId="77777777" w:rsidR="00802D3E" w:rsidRDefault="00802D3E" w:rsidP="00A109BC">
      <w:pPr>
        <w:pStyle w:val="SingleParagraph"/>
      </w:pPr>
    </w:p>
    <w:p w14:paraId="2086FFA1" w14:textId="77777777" w:rsidR="00802D3E" w:rsidRDefault="00802D3E" w:rsidP="00802D3E">
      <w:r>
        <w:t>Payments to approved worker entitlement funds</w:t>
      </w:r>
      <w:r>
        <w:fldChar w:fldCharType="begin"/>
      </w:r>
      <w:r>
        <w:instrText xml:space="preserve"> XE "Worker entitlement funds" </w:instrText>
      </w:r>
      <w:r>
        <w:fldChar w:fldCharType="end"/>
      </w:r>
      <w:r>
        <w:t xml:space="preserve"> providing for entitlements such as redundancy and long service leave of employees are exempt from fringe benefits tax. The funds must be either endorsed by the Commissioner of Taxation or be a long service leave fund established under a Commonwealth, State or Territory law. </w:t>
      </w:r>
    </w:p>
    <w:p w14:paraId="2086FFA2" w14:textId="77777777" w:rsidR="00802D3E" w:rsidRDefault="00802D3E" w:rsidP="00802D3E">
      <w:pPr>
        <w:pStyle w:val="TESHeading5"/>
        <w:ind w:left="0" w:firstLine="0"/>
      </w:pPr>
      <w:r>
        <w:lastRenderedPageBreak/>
        <w:t>D22</w:t>
      </w:r>
      <w:r>
        <w:tab/>
        <w:t xml:space="preserve">Australian Traineeship System </w:t>
      </w:r>
      <w:r w:rsidR="000B181C">
        <w:t>–</w:t>
      </w:r>
      <w:r>
        <w:t xml:space="preserve"> exemptions</w:t>
      </w:r>
      <w:r w:rsidR="000B181C">
        <w:t xml:space="preserve"> </w:t>
      </w:r>
      <w:r>
        <w:t>for certain employees</w:t>
      </w:r>
    </w:p>
    <w:p w14:paraId="2086FFA3"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FAC" w14:textId="77777777" w:rsidTr="00802D3E">
        <w:trPr>
          <w:cantSplit/>
          <w:jc w:val="center"/>
        </w:trPr>
        <w:tc>
          <w:tcPr>
            <w:tcW w:w="967" w:type="dxa"/>
            <w:tcBorders>
              <w:top w:val="single" w:sz="2" w:space="0" w:color="auto"/>
              <w:left w:val="nil"/>
              <w:bottom w:val="single" w:sz="2" w:space="0" w:color="auto"/>
              <w:right w:val="nil"/>
            </w:tcBorders>
            <w:hideMark/>
          </w:tcPr>
          <w:p w14:paraId="2086FFA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FA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FA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FA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FA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FA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FA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FAB" w14:textId="77777777" w:rsidR="00802D3E" w:rsidRDefault="00802D3E">
            <w:pPr>
              <w:pStyle w:val="MeasureTableTextRightAligned"/>
            </w:pPr>
            <w:r>
              <w:t>2019-20</w:t>
            </w:r>
          </w:p>
        </w:tc>
      </w:tr>
      <w:tr w:rsidR="00802D3E" w14:paraId="2086FFB5" w14:textId="77777777" w:rsidTr="00802D3E">
        <w:trPr>
          <w:cantSplit/>
          <w:jc w:val="center"/>
        </w:trPr>
        <w:tc>
          <w:tcPr>
            <w:tcW w:w="967" w:type="dxa"/>
            <w:tcBorders>
              <w:top w:val="single" w:sz="2" w:space="0" w:color="auto"/>
              <w:left w:val="nil"/>
              <w:bottom w:val="single" w:sz="2" w:space="0" w:color="auto"/>
              <w:right w:val="nil"/>
            </w:tcBorders>
            <w:hideMark/>
          </w:tcPr>
          <w:p w14:paraId="2086FFA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FA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FA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FB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FB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FB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FB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FB4" w14:textId="77777777" w:rsidR="00802D3E" w:rsidRDefault="00802D3E">
            <w:pPr>
              <w:pStyle w:val="MeasureTableTextRightAligned"/>
            </w:pPr>
            <w:r>
              <w:t>*</w:t>
            </w:r>
          </w:p>
        </w:tc>
      </w:tr>
      <w:tr w:rsidR="00802D3E" w14:paraId="2086FFBA" w14:textId="77777777" w:rsidTr="00802D3E">
        <w:trPr>
          <w:cantSplit/>
          <w:jc w:val="center"/>
        </w:trPr>
        <w:tc>
          <w:tcPr>
            <w:tcW w:w="1934" w:type="dxa"/>
            <w:gridSpan w:val="2"/>
            <w:tcBorders>
              <w:top w:val="single" w:sz="2" w:space="0" w:color="auto"/>
              <w:left w:val="nil"/>
              <w:bottom w:val="nil"/>
              <w:right w:val="nil"/>
            </w:tcBorders>
            <w:hideMark/>
          </w:tcPr>
          <w:p w14:paraId="2086FFB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FB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6FFB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FB9" w14:textId="77777777" w:rsidR="00802D3E" w:rsidRDefault="00802D3E">
            <w:pPr>
              <w:pStyle w:val="MeasureTableTextLeftAligned"/>
            </w:pPr>
            <w:r>
              <w:t>D22</w:t>
            </w:r>
          </w:p>
        </w:tc>
      </w:tr>
      <w:tr w:rsidR="00802D3E" w14:paraId="2086FFBF" w14:textId="77777777" w:rsidTr="00802D3E">
        <w:trPr>
          <w:cantSplit/>
          <w:jc w:val="center"/>
        </w:trPr>
        <w:tc>
          <w:tcPr>
            <w:tcW w:w="1934" w:type="dxa"/>
            <w:gridSpan w:val="2"/>
            <w:tcBorders>
              <w:top w:val="nil"/>
              <w:left w:val="nil"/>
              <w:bottom w:val="nil"/>
              <w:right w:val="nil"/>
            </w:tcBorders>
            <w:hideMark/>
          </w:tcPr>
          <w:p w14:paraId="2086FFB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FB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FB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FBE" w14:textId="77777777" w:rsidR="00802D3E" w:rsidRDefault="00802D3E">
            <w:pPr>
              <w:pStyle w:val="MeasureTableTextLeftAligned"/>
            </w:pPr>
            <w:r>
              <w:t>1+</w:t>
            </w:r>
          </w:p>
        </w:tc>
      </w:tr>
      <w:tr w:rsidR="00802D3E" w14:paraId="2086FFC4" w14:textId="77777777" w:rsidTr="00802D3E">
        <w:trPr>
          <w:cantSplit/>
          <w:jc w:val="center"/>
        </w:trPr>
        <w:tc>
          <w:tcPr>
            <w:tcW w:w="1934" w:type="dxa"/>
            <w:gridSpan w:val="2"/>
            <w:tcBorders>
              <w:top w:val="nil"/>
              <w:left w:val="nil"/>
              <w:bottom w:val="nil"/>
              <w:right w:val="nil"/>
            </w:tcBorders>
            <w:hideMark/>
          </w:tcPr>
          <w:p w14:paraId="2086FFC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FC1"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6FFC2"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FC3" w14:textId="77777777" w:rsidR="00802D3E" w:rsidRDefault="00802D3E">
            <w:pPr>
              <w:pStyle w:val="MeasureTableTextLeftAligned"/>
            </w:pPr>
          </w:p>
        </w:tc>
      </w:tr>
      <w:tr w:rsidR="00802D3E" w14:paraId="2086FFC7" w14:textId="77777777" w:rsidTr="00802D3E">
        <w:trPr>
          <w:cantSplit/>
          <w:jc w:val="center"/>
        </w:trPr>
        <w:tc>
          <w:tcPr>
            <w:tcW w:w="1934" w:type="dxa"/>
            <w:gridSpan w:val="2"/>
            <w:tcBorders>
              <w:top w:val="nil"/>
              <w:left w:val="nil"/>
              <w:bottom w:val="single" w:sz="2" w:space="0" w:color="auto"/>
              <w:right w:val="nil"/>
            </w:tcBorders>
            <w:hideMark/>
          </w:tcPr>
          <w:p w14:paraId="2086FFC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FC6"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Section 58S of the </w:t>
            </w:r>
            <w:r>
              <w:rPr>
                <w:rFonts w:ascii="Arial" w:hAnsi="Arial" w:cs="Arial"/>
                <w:i/>
                <w:iCs/>
                <w:color w:val="000000"/>
                <w:sz w:val="16"/>
                <w:szCs w:val="16"/>
              </w:rPr>
              <w:t>Fringe Benefits Tax Assessment Act 1986</w:t>
            </w:r>
          </w:p>
        </w:tc>
      </w:tr>
    </w:tbl>
    <w:p w14:paraId="2086FFC8" w14:textId="77777777" w:rsidR="00802D3E" w:rsidRDefault="00802D3E" w:rsidP="00A109BC">
      <w:pPr>
        <w:pStyle w:val="SingleParagraph"/>
      </w:pPr>
    </w:p>
    <w:p w14:paraId="2086FFC9" w14:textId="77777777" w:rsidR="00802D3E" w:rsidRDefault="00802D3E" w:rsidP="00802D3E">
      <w:r>
        <w:t>Food, drink and accommodation provided to people training under the Australian Traineeship System</w:t>
      </w:r>
      <w:r>
        <w:fldChar w:fldCharType="begin"/>
      </w:r>
      <w:r>
        <w:instrText xml:space="preserve"> XE "Australian Traineeship System" </w:instrText>
      </w:r>
      <w:r>
        <w:fldChar w:fldCharType="end"/>
      </w:r>
      <w:r>
        <w:t xml:space="preserve"> may be exempt from fringe benefits tax if the benefit is provided in accordance with an award or an industry custom. Benefits relating to food or drink must not be provided at a party, reception or other social function. </w:t>
      </w:r>
    </w:p>
    <w:p w14:paraId="2086FFCA" w14:textId="77777777" w:rsidR="00802D3E" w:rsidRDefault="00802D3E" w:rsidP="00802D3E">
      <w:pPr>
        <w:pStyle w:val="TESHeading5"/>
        <w:ind w:left="0" w:firstLine="0"/>
      </w:pPr>
      <w:r>
        <w:t>D23</w:t>
      </w:r>
      <w:r>
        <w:tab/>
        <w:t>Car parking benefits</w:t>
      </w:r>
    </w:p>
    <w:p w14:paraId="2086FFCB"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FD4" w14:textId="77777777" w:rsidTr="00802D3E">
        <w:trPr>
          <w:cantSplit/>
          <w:jc w:val="center"/>
        </w:trPr>
        <w:tc>
          <w:tcPr>
            <w:tcW w:w="967" w:type="dxa"/>
            <w:tcBorders>
              <w:top w:val="single" w:sz="2" w:space="0" w:color="auto"/>
              <w:left w:val="nil"/>
              <w:bottom w:val="single" w:sz="2" w:space="0" w:color="auto"/>
              <w:right w:val="nil"/>
            </w:tcBorders>
            <w:hideMark/>
          </w:tcPr>
          <w:p w14:paraId="2086FFC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FC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FC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FC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FD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FD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FD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FD3" w14:textId="77777777" w:rsidR="00802D3E" w:rsidRDefault="00802D3E">
            <w:pPr>
              <w:pStyle w:val="MeasureTableTextRightAligned"/>
            </w:pPr>
            <w:r>
              <w:t>2019-20</w:t>
            </w:r>
          </w:p>
        </w:tc>
      </w:tr>
      <w:tr w:rsidR="00802D3E" w14:paraId="2086FFDD" w14:textId="77777777" w:rsidTr="00802D3E">
        <w:trPr>
          <w:cantSplit/>
          <w:jc w:val="center"/>
        </w:trPr>
        <w:tc>
          <w:tcPr>
            <w:tcW w:w="967" w:type="dxa"/>
            <w:tcBorders>
              <w:top w:val="single" w:sz="2" w:space="0" w:color="auto"/>
              <w:left w:val="nil"/>
              <w:bottom w:val="single" w:sz="2" w:space="0" w:color="auto"/>
              <w:right w:val="nil"/>
            </w:tcBorders>
            <w:hideMark/>
          </w:tcPr>
          <w:p w14:paraId="2086FFD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FD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FD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FD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FD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FD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6FFD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6FFDC" w14:textId="77777777" w:rsidR="00802D3E" w:rsidRDefault="00802D3E">
            <w:pPr>
              <w:pStyle w:val="MeasureTableTextRightAligned"/>
            </w:pPr>
            <w:r>
              <w:t>*</w:t>
            </w:r>
          </w:p>
        </w:tc>
      </w:tr>
      <w:tr w:rsidR="00802D3E" w14:paraId="2086FFE2" w14:textId="77777777" w:rsidTr="00802D3E">
        <w:trPr>
          <w:cantSplit/>
          <w:jc w:val="center"/>
        </w:trPr>
        <w:tc>
          <w:tcPr>
            <w:tcW w:w="1934" w:type="dxa"/>
            <w:gridSpan w:val="2"/>
            <w:tcBorders>
              <w:top w:val="single" w:sz="2" w:space="0" w:color="auto"/>
              <w:left w:val="nil"/>
              <w:bottom w:val="nil"/>
              <w:right w:val="nil"/>
            </w:tcBorders>
            <w:hideMark/>
          </w:tcPr>
          <w:p w14:paraId="2086FFD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6FFDF" w14:textId="77777777" w:rsidR="00802D3E" w:rsidRDefault="00802D3E">
            <w:pPr>
              <w:pStyle w:val="MeasureTableTextLeftAligned"/>
            </w:pPr>
            <w:r>
              <w:t>Discounted valuation</w:t>
            </w:r>
          </w:p>
        </w:tc>
        <w:tc>
          <w:tcPr>
            <w:tcW w:w="1500" w:type="dxa"/>
            <w:gridSpan w:val="2"/>
            <w:tcBorders>
              <w:top w:val="single" w:sz="2" w:space="0" w:color="auto"/>
              <w:left w:val="nil"/>
              <w:bottom w:val="nil"/>
              <w:right w:val="nil"/>
            </w:tcBorders>
            <w:hideMark/>
          </w:tcPr>
          <w:p w14:paraId="2086FFE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6FFE1" w14:textId="77777777" w:rsidR="00802D3E" w:rsidRDefault="00802D3E">
            <w:pPr>
              <w:pStyle w:val="MeasureTableTextLeftAligned"/>
            </w:pPr>
            <w:r>
              <w:t>D23</w:t>
            </w:r>
          </w:p>
        </w:tc>
      </w:tr>
      <w:tr w:rsidR="00802D3E" w14:paraId="2086FFE7" w14:textId="77777777" w:rsidTr="00802D3E">
        <w:trPr>
          <w:cantSplit/>
          <w:jc w:val="center"/>
        </w:trPr>
        <w:tc>
          <w:tcPr>
            <w:tcW w:w="1934" w:type="dxa"/>
            <w:gridSpan w:val="2"/>
            <w:tcBorders>
              <w:top w:val="nil"/>
              <w:left w:val="nil"/>
              <w:bottom w:val="nil"/>
              <w:right w:val="nil"/>
            </w:tcBorders>
            <w:hideMark/>
          </w:tcPr>
          <w:p w14:paraId="2086FFE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6FFE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6FFE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6FFE6" w14:textId="77777777" w:rsidR="00802D3E" w:rsidRDefault="00802D3E">
            <w:pPr>
              <w:pStyle w:val="MeasureTableTextLeftAligned"/>
            </w:pPr>
            <w:r>
              <w:t>2+</w:t>
            </w:r>
          </w:p>
        </w:tc>
      </w:tr>
      <w:tr w:rsidR="00802D3E" w14:paraId="2086FFEC" w14:textId="77777777" w:rsidTr="00802D3E">
        <w:trPr>
          <w:cantSplit/>
          <w:jc w:val="center"/>
        </w:trPr>
        <w:tc>
          <w:tcPr>
            <w:tcW w:w="1934" w:type="dxa"/>
            <w:gridSpan w:val="2"/>
            <w:tcBorders>
              <w:top w:val="nil"/>
              <w:left w:val="nil"/>
              <w:bottom w:val="nil"/>
              <w:right w:val="nil"/>
            </w:tcBorders>
            <w:hideMark/>
          </w:tcPr>
          <w:p w14:paraId="2086FFE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6FFE9" w14:textId="77777777" w:rsidR="00802D3E" w:rsidRDefault="00802D3E">
            <w:pPr>
              <w:pStyle w:val="MeasureTableTextLeftAligned"/>
            </w:pPr>
            <w:r>
              <w:t>1993</w:t>
            </w:r>
          </w:p>
        </w:tc>
        <w:tc>
          <w:tcPr>
            <w:tcW w:w="1500" w:type="dxa"/>
            <w:gridSpan w:val="2"/>
            <w:tcBorders>
              <w:top w:val="nil"/>
              <w:left w:val="nil"/>
              <w:bottom w:val="nil"/>
              <w:right w:val="nil"/>
            </w:tcBorders>
            <w:hideMark/>
          </w:tcPr>
          <w:p w14:paraId="2086FFEA" w14:textId="77777777" w:rsidR="00802D3E" w:rsidRDefault="00802D3E">
            <w:pPr>
              <w:pStyle w:val="MeasureTableTextItalic"/>
            </w:pPr>
            <w:r>
              <w:t>Expiry date:</w:t>
            </w:r>
          </w:p>
        </w:tc>
        <w:tc>
          <w:tcPr>
            <w:tcW w:w="1124" w:type="dxa"/>
            <w:gridSpan w:val="2"/>
            <w:tcBorders>
              <w:top w:val="nil"/>
              <w:left w:val="nil"/>
              <w:bottom w:val="nil"/>
              <w:right w:val="nil"/>
            </w:tcBorders>
          </w:tcPr>
          <w:p w14:paraId="2086FFEB" w14:textId="77777777" w:rsidR="00802D3E" w:rsidRDefault="00802D3E">
            <w:pPr>
              <w:pStyle w:val="MeasureTableTextLeftAligned"/>
            </w:pPr>
          </w:p>
        </w:tc>
      </w:tr>
      <w:tr w:rsidR="00802D3E" w14:paraId="2086FFEF" w14:textId="77777777" w:rsidTr="00802D3E">
        <w:trPr>
          <w:cantSplit/>
          <w:jc w:val="center"/>
        </w:trPr>
        <w:tc>
          <w:tcPr>
            <w:tcW w:w="1934" w:type="dxa"/>
            <w:gridSpan w:val="2"/>
            <w:tcBorders>
              <w:top w:val="nil"/>
              <w:left w:val="nil"/>
              <w:bottom w:val="single" w:sz="2" w:space="0" w:color="auto"/>
              <w:right w:val="nil"/>
            </w:tcBorders>
            <w:hideMark/>
          </w:tcPr>
          <w:p w14:paraId="2086FFE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6FFEE"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Division 10A of the </w:t>
            </w:r>
            <w:r w:rsidRPr="00106337">
              <w:rPr>
                <w:rFonts w:ascii="Arial" w:hAnsi="Arial" w:cs="Arial"/>
                <w:i/>
                <w:iCs/>
                <w:color w:val="000000"/>
                <w:sz w:val="16"/>
                <w:szCs w:val="16"/>
              </w:rPr>
              <w:t>Fringe Benefits Tax Assessment Act 1986</w:t>
            </w:r>
          </w:p>
        </w:tc>
      </w:tr>
    </w:tbl>
    <w:p w14:paraId="2086FFF0" w14:textId="77777777" w:rsidR="00802D3E" w:rsidRDefault="00802D3E" w:rsidP="00A109BC">
      <w:pPr>
        <w:pStyle w:val="SingleParagraph"/>
      </w:pPr>
    </w:p>
    <w:p w14:paraId="2086FFF1" w14:textId="77777777" w:rsidR="00802D3E" w:rsidRDefault="00802D3E" w:rsidP="00802D3E">
      <w:r>
        <w:t xml:space="preserve">A car parking fringe benefit arises if a car is parked at premises that are owned or leased by, or otherwise under the control of, the provider, there is a commercial parking station within one kilometre radius of the car parking premises charging an all-day fee greater than $8.48 (for the year commencing 1 April 2016) and certain other conditions are met. There are four methods for valuing car parking fringe benefits that may result in a non-market valuation. </w:t>
      </w:r>
    </w:p>
    <w:p w14:paraId="2086FFF2" w14:textId="77777777" w:rsidR="00802D3E" w:rsidRDefault="00802D3E" w:rsidP="00802D3E">
      <w:pPr>
        <w:pStyle w:val="TESHeading5"/>
        <w:ind w:left="0" w:firstLine="0"/>
      </w:pPr>
      <w:r>
        <w:t>D24</w:t>
      </w:r>
      <w:r>
        <w:tab/>
        <w:t>Certain relocation and recruitment expenses exemption and reduction in taxable value</w:t>
      </w:r>
    </w:p>
    <w:p w14:paraId="2086FFF3"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6FFFC" w14:textId="77777777" w:rsidTr="00802D3E">
        <w:trPr>
          <w:cantSplit/>
          <w:jc w:val="center"/>
        </w:trPr>
        <w:tc>
          <w:tcPr>
            <w:tcW w:w="967" w:type="dxa"/>
            <w:tcBorders>
              <w:top w:val="single" w:sz="2" w:space="0" w:color="auto"/>
              <w:left w:val="nil"/>
              <w:bottom w:val="single" w:sz="2" w:space="0" w:color="auto"/>
              <w:right w:val="nil"/>
            </w:tcBorders>
            <w:hideMark/>
          </w:tcPr>
          <w:p w14:paraId="2086FFF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6FFF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6FFF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6FFF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6FFF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6FFF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6FFF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6FFFB" w14:textId="77777777" w:rsidR="00802D3E" w:rsidRDefault="00802D3E">
            <w:pPr>
              <w:pStyle w:val="MeasureTableTextRightAligned"/>
            </w:pPr>
            <w:r>
              <w:t>2019-20</w:t>
            </w:r>
          </w:p>
        </w:tc>
      </w:tr>
      <w:tr w:rsidR="00802D3E" w14:paraId="20870005" w14:textId="77777777" w:rsidTr="00802D3E">
        <w:trPr>
          <w:cantSplit/>
          <w:jc w:val="center"/>
        </w:trPr>
        <w:tc>
          <w:tcPr>
            <w:tcW w:w="967" w:type="dxa"/>
            <w:tcBorders>
              <w:top w:val="single" w:sz="2" w:space="0" w:color="auto"/>
              <w:left w:val="nil"/>
              <w:bottom w:val="single" w:sz="2" w:space="0" w:color="auto"/>
              <w:right w:val="nil"/>
            </w:tcBorders>
            <w:hideMark/>
          </w:tcPr>
          <w:p w14:paraId="2086FFF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6FFF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6FFF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0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0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00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00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004" w14:textId="77777777" w:rsidR="00802D3E" w:rsidRDefault="00802D3E">
            <w:pPr>
              <w:pStyle w:val="MeasureTableTextRightAligned"/>
            </w:pPr>
            <w:r>
              <w:t>*</w:t>
            </w:r>
          </w:p>
        </w:tc>
      </w:tr>
      <w:tr w:rsidR="00802D3E" w14:paraId="2087000A" w14:textId="77777777" w:rsidTr="00802D3E">
        <w:trPr>
          <w:cantSplit/>
          <w:jc w:val="center"/>
        </w:trPr>
        <w:tc>
          <w:tcPr>
            <w:tcW w:w="1934" w:type="dxa"/>
            <w:gridSpan w:val="2"/>
            <w:tcBorders>
              <w:top w:val="single" w:sz="2" w:space="0" w:color="auto"/>
              <w:left w:val="nil"/>
              <w:bottom w:val="nil"/>
              <w:right w:val="nil"/>
            </w:tcBorders>
            <w:hideMark/>
          </w:tcPr>
          <w:p w14:paraId="2087000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007" w14:textId="77777777" w:rsidR="00802D3E" w:rsidRDefault="00802D3E">
            <w:pPr>
              <w:pStyle w:val="MeasureTableTextLeftAligned"/>
            </w:pPr>
            <w:r>
              <w:t>Exemption, Reduction in taxable value</w:t>
            </w:r>
          </w:p>
        </w:tc>
        <w:tc>
          <w:tcPr>
            <w:tcW w:w="1500" w:type="dxa"/>
            <w:gridSpan w:val="2"/>
            <w:tcBorders>
              <w:top w:val="single" w:sz="2" w:space="0" w:color="auto"/>
              <w:left w:val="nil"/>
              <w:bottom w:val="nil"/>
              <w:right w:val="nil"/>
            </w:tcBorders>
            <w:hideMark/>
          </w:tcPr>
          <w:p w14:paraId="2087000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009" w14:textId="77777777" w:rsidR="00802D3E" w:rsidRDefault="00802D3E">
            <w:pPr>
              <w:pStyle w:val="MeasureTableTextLeftAligned"/>
            </w:pPr>
            <w:r>
              <w:t>D24</w:t>
            </w:r>
          </w:p>
        </w:tc>
      </w:tr>
      <w:tr w:rsidR="00802D3E" w14:paraId="2087000F" w14:textId="77777777" w:rsidTr="00802D3E">
        <w:trPr>
          <w:cantSplit/>
          <w:jc w:val="center"/>
        </w:trPr>
        <w:tc>
          <w:tcPr>
            <w:tcW w:w="1934" w:type="dxa"/>
            <w:gridSpan w:val="2"/>
            <w:tcBorders>
              <w:top w:val="nil"/>
              <w:left w:val="nil"/>
              <w:bottom w:val="nil"/>
              <w:right w:val="nil"/>
            </w:tcBorders>
            <w:hideMark/>
          </w:tcPr>
          <w:p w14:paraId="2087000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00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00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00E" w14:textId="77777777" w:rsidR="00802D3E" w:rsidRDefault="00802D3E">
            <w:pPr>
              <w:pStyle w:val="MeasureTableTextLeftAligned"/>
            </w:pPr>
            <w:r>
              <w:t>2+</w:t>
            </w:r>
          </w:p>
        </w:tc>
      </w:tr>
      <w:tr w:rsidR="00802D3E" w14:paraId="20870014" w14:textId="77777777" w:rsidTr="00802D3E">
        <w:trPr>
          <w:cantSplit/>
          <w:jc w:val="center"/>
        </w:trPr>
        <w:tc>
          <w:tcPr>
            <w:tcW w:w="1934" w:type="dxa"/>
            <w:gridSpan w:val="2"/>
            <w:tcBorders>
              <w:top w:val="nil"/>
              <w:left w:val="nil"/>
              <w:bottom w:val="nil"/>
              <w:right w:val="nil"/>
            </w:tcBorders>
            <w:hideMark/>
          </w:tcPr>
          <w:p w14:paraId="2087001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011"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012"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013" w14:textId="77777777" w:rsidR="00802D3E" w:rsidRDefault="00802D3E">
            <w:pPr>
              <w:pStyle w:val="MeasureTableTextLeftAligned"/>
            </w:pPr>
          </w:p>
        </w:tc>
      </w:tr>
      <w:tr w:rsidR="00802D3E" w14:paraId="20870018" w14:textId="77777777" w:rsidTr="00802D3E">
        <w:trPr>
          <w:cantSplit/>
          <w:jc w:val="center"/>
        </w:trPr>
        <w:tc>
          <w:tcPr>
            <w:tcW w:w="1934" w:type="dxa"/>
            <w:gridSpan w:val="2"/>
            <w:tcBorders>
              <w:top w:val="nil"/>
              <w:left w:val="nil"/>
              <w:bottom w:val="single" w:sz="2" w:space="0" w:color="auto"/>
              <w:right w:val="nil"/>
            </w:tcBorders>
            <w:hideMark/>
          </w:tcPr>
          <w:p w14:paraId="2087001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016"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58A to 58D and 58F of the </w:t>
            </w:r>
            <w:r w:rsidRPr="00106337">
              <w:rPr>
                <w:rFonts w:ascii="Arial" w:hAnsi="Arial" w:cs="Arial"/>
                <w:i/>
                <w:iCs/>
                <w:color w:val="000000"/>
                <w:sz w:val="16"/>
                <w:szCs w:val="16"/>
              </w:rPr>
              <w:t>Fringe Benefits Tax Assessment Act 1986</w:t>
            </w:r>
          </w:p>
          <w:p w14:paraId="20870017" w14:textId="77777777" w:rsidR="00802D3E" w:rsidRDefault="00802D3E" w:rsidP="00106337">
            <w:pPr>
              <w:widowControl w:val="0"/>
              <w:autoSpaceDE w:val="0"/>
              <w:autoSpaceDN w:val="0"/>
              <w:adjustRightInd w:val="0"/>
              <w:spacing w:after="0" w:line="240" w:lineRule="auto"/>
              <w:jc w:val="left"/>
            </w:pPr>
            <w:r w:rsidRPr="00106337">
              <w:rPr>
                <w:rFonts w:ascii="Arial" w:hAnsi="Arial" w:cs="Arial"/>
                <w:color w:val="000000"/>
                <w:sz w:val="16"/>
                <w:szCs w:val="16"/>
              </w:rPr>
              <w:t xml:space="preserve">Sections 61B to 61E of the </w:t>
            </w:r>
            <w:r w:rsidRPr="00106337">
              <w:rPr>
                <w:rFonts w:ascii="Arial" w:hAnsi="Arial" w:cs="Arial"/>
                <w:i/>
                <w:iCs/>
                <w:color w:val="000000"/>
                <w:sz w:val="16"/>
                <w:szCs w:val="16"/>
              </w:rPr>
              <w:t>Fringe Benefits Tax Assessment Act 1986</w:t>
            </w:r>
          </w:p>
        </w:tc>
      </w:tr>
    </w:tbl>
    <w:p w14:paraId="20870019" w14:textId="77777777" w:rsidR="00802D3E" w:rsidRDefault="00802D3E" w:rsidP="00A109BC">
      <w:pPr>
        <w:pStyle w:val="SingleParagraph"/>
      </w:pPr>
    </w:p>
    <w:p w14:paraId="2087001A" w14:textId="77777777" w:rsidR="00802D3E" w:rsidRDefault="00802D3E" w:rsidP="00802D3E">
      <w:r>
        <w:t>Certain benefits associated with relocation and recruitment expenses, including transport, temporary accommodation, relocation consultants and other benefits,</w:t>
      </w:r>
      <w:r>
        <w:fldChar w:fldCharType="begin"/>
      </w:r>
      <w:r>
        <w:instrText xml:space="preserve"> XE "Relocation and recruitment expenses" </w:instrText>
      </w:r>
      <w:r>
        <w:fldChar w:fldCharType="end"/>
      </w:r>
      <w:r>
        <w:t xml:space="preserve"> are exempt from fringe benefits tax, while others may be eligible for a reduction in taxable value. </w:t>
      </w:r>
    </w:p>
    <w:p w14:paraId="2087001B" w14:textId="77777777" w:rsidR="00802D3E" w:rsidRDefault="00802D3E" w:rsidP="00802D3E">
      <w:pPr>
        <w:pStyle w:val="TESHeading5"/>
        <w:ind w:left="0" w:firstLine="0"/>
      </w:pPr>
      <w:r>
        <w:lastRenderedPageBreak/>
        <w:t>D25</w:t>
      </w:r>
      <w:r>
        <w:tab/>
        <w:t>Compassionate travel exemption</w:t>
      </w:r>
    </w:p>
    <w:p w14:paraId="2087001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025" w14:textId="77777777" w:rsidTr="00802D3E">
        <w:trPr>
          <w:cantSplit/>
          <w:jc w:val="center"/>
        </w:trPr>
        <w:tc>
          <w:tcPr>
            <w:tcW w:w="967" w:type="dxa"/>
            <w:tcBorders>
              <w:top w:val="single" w:sz="2" w:space="0" w:color="auto"/>
              <w:left w:val="nil"/>
              <w:bottom w:val="single" w:sz="2" w:space="0" w:color="auto"/>
              <w:right w:val="nil"/>
            </w:tcBorders>
            <w:hideMark/>
          </w:tcPr>
          <w:p w14:paraId="2087001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01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01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02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02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02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02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024" w14:textId="77777777" w:rsidR="00802D3E" w:rsidRDefault="00802D3E">
            <w:pPr>
              <w:pStyle w:val="MeasureTableTextRightAligned"/>
            </w:pPr>
            <w:r>
              <w:t>2019-20</w:t>
            </w:r>
          </w:p>
        </w:tc>
      </w:tr>
      <w:tr w:rsidR="00802D3E" w14:paraId="2087002E" w14:textId="77777777" w:rsidTr="00802D3E">
        <w:trPr>
          <w:cantSplit/>
          <w:jc w:val="center"/>
        </w:trPr>
        <w:tc>
          <w:tcPr>
            <w:tcW w:w="967" w:type="dxa"/>
            <w:tcBorders>
              <w:top w:val="single" w:sz="2" w:space="0" w:color="auto"/>
              <w:left w:val="nil"/>
              <w:bottom w:val="single" w:sz="2" w:space="0" w:color="auto"/>
              <w:right w:val="nil"/>
            </w:tcBorders>
            <w:hideMark/>
          </w:tcPr>
          <w:p w14:paraId="2087002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02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2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2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2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02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02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02D" w14:textId="77777777" w:rsidR="00802D3E" w:rsidRDefault="00802D3E">
            <w:pPr>
              <w:pStyle w:val="MeasureTableTextRightAligned"/>
            </w:pPr>
            <w:r>
              <w:t>*</w:t>
            </w:r>
          </w:p>
        </w:tc>
      </w:tr>
      <w:tr w:rsidR="00802D3E" w14:paraId="20870033" w14:textId="77777777" w:rsidTr="00802D3E">
        <w:trPr>
          <w:cantSplit/>
          <w:jc w:val="center"/>
        </w:trPr>
        <w:tc>
          <w:tcPr>
            <w:tcW w:w="1934" w:type="dxa"/>
            <w:gridSpan w:val="2"/>
            <w:tcBorders>
              <w:top w:val="single" w:sz="2" w:space="0" w:color="auto"/>
              <w:left w:val="nil"/>
              <w:bottom w:val="nil"/>
              <w:right w:val="nil"/>
            </w:tcBorders>
            <w:hideMark/>
          </w:tcPr>
          <w:p w14:paraId="2087002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03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03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032" w14:textId="77777777" w:rsidR="00802D3E" w:rsidRDefault="00802D3E">
            <w:pPr>
              <w:pStyle w:val="MeasureTableTextLeftAligned"/>
            </w:pPr>
            <w:r>
              <w:t>D25</w:t>
            </w:r>
          </w:p>
        </w:tc>
      </w:tr>
      <w:tr w:rsidR="00802D3E" w14:paraId="20870038" w14:textId="77777777" w:rsidTr="00802D3E">
        <w:trPr>
          <w:cantSplit/>
          <w:jc w:val="center"/>
        </w:trPr>
        <w:tc>
          <w:tcPr>
            <w:tcW w:w="1934" w:type="dxa"/>
            <w:gridSpan w:val="2"/>
            <w:tcBorders>
              <w:top w:val="nil"/>
              <w:left w:val="nil"/>
              <w:bottom w:val="nil"/>
              <w:right w:val="nil"/>
            </w:tcBorders>
            <w:hideMark/>
          </w:tcPr>
          <w:p w14:paraId="2087003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03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03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037" w14:textId="77777777" w:rsidR="00802D3E" w:rsidRDefault="00802D3E">
            <w:pPr>
              <w:pStyle w:val="MeasureTableTextLeftAligned"/>
            </w:pPr>
            <w:r>
              <w:t>1+</w:t>
            </w:r>
          </w:p>
        </w:tc>
      </w:tr>
      <w:tr w:rsidR="00802D3E" w14:paraId="2087003D" w14:textId="77777777" w:rsidTr="00802D3E">
        <w:trPr>
          <w:cantSplit/>
          <w:jc w:val="center"/>
        </w:trPr>
        <w:tc>
          <w:tcPr>
            <w:tcW w:w="1934" w:type="dxa"/>
            <w:gridSpan w:val="2"/>
            <w:tcBorders>
              <w:top w:val="nil"/>
              <w:left w:val="nil"/>
              <w:bottom w:val="nil"/>
              <w:right w:val="nil"/>
            </w:tcBorders>
            <w:hideMark/>
          </w:tcPr>
          <w:p w14:paraId="2087003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03A" w14:textId="77777777" w:rsidR="00802D3E" w:rsidRDefault="00802D3E">
            <w:pPr>
              <w:pStyle w:val="MeasureTableTextLeftAligned"/>
            </w:pPr>
            <w:r>
              <w:t>1989</w:t>
            </w:r>
          </w:p>
        </w:tc>
        <w:tc>
          <w:tcPr>
            <w:tcW w:w="1500" w:type="dxa"/>
            <w:gridSpan w:val="2"/>
            <w:tcBorders>
              <w:top w:val="nil"/>
              <w:left w:val="nil"/>
              <w:bottom w:val="nil"/>
              <w:right w:val="nil"/>
            </w:tcBorders>
            <w:hideMark/>
          </w:tcPr>
          <w:p w14:paraId="2087003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03C" w14:textId="77777777" w:rsidR="00802D3E" w:rsidRDefault="00802D3E">
            <w:pPr>
              <w:pStyle w:val="MeasureTableTextLeftAligned"/>
            </w:pPr>
          </w:p>
        </w:tc>
      </w:tr>
      <w:tr w:rsidR="00802D3E" w14:paraId="20870040" w14:textId="77777777" w:rsidTr="00802D3E">
        <w:trPr>
          <w:cantSplit/>
          <w:jc w:val="center"/>
        </w:trPr>
        <w:tc>
          <w:tcPr>
            <w:tcW w:w="1934" w:type="dxa"/>
            <w:gridSpan w:val="2"/>
            <w:tcBorders>
              <w:top w:val="nil"/>
              <w:left w:val="nil"/>
              <w:bottom w:val="single" w:sz="2" w:space="0" w:color="auto"/>
              <w:right w:val="nil"/>
            </w:tcBorders>
            <w:hideMark/>
          </w:tcPr>
          <w:p w14:paraId="2087003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03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58LA of the </w:t>
            </w:r>
            <w:r w:rsidRPr="00106337">
              <w:rPr>
                <w:rFonts w:ascii="Arial" w:hAnsi="Arial" w:cs="Arial"/>
                <w:i/>
                <w:iCs/>
                <w:color w:val="000000"/>
                <w:sz w:val="16"/>
                <w:szCs w:val="16"/>
              </w:rPr>
              <w:t>Fringe Benefits Tax Assessment Act 1986</w:t>
            </w:r>
          </w:p>
        </w:tc>
      </w:tr>
    </w:tbl>
    <w:p w14:paraId="20870041" w14:textId="77777777" w:rsidR="00802D3E" w:rsidRDefault="00802D3E" w:rsidP="00A109BC">
      <w:pPr>
        <w:pStyle w:val="SingleParagraph"/>
      </w:pPr>
    </w:p>
    <w:p w14:paraId="20870042" w14:textId="77777777" w:rsidR="00802D3E" w:rsidRDefault="00802D3E" w:rsidP="00802D3E">
      <w:r>
        <w:t xml:space="preserve">Certain travel costs provided on compassionate grounds to an employee, or their close relatives, are exempt from fringe benefits tax. </w:t>
      </w:r>
    </w:p>
    <w:p w14:paraId="20870043" w14:textId="77777777" w:rsidR="00802D3E" w:rsidRDefault="00802D3E" w:rsidP="00802D3E">
      <w:pPr>
        <w:pStyle w:val="TESHeading5"/>
        <w:ind w:left="0" w:firstLine="0"/>
      </w:pPr>
      <w:r>
        <w:t>D26</w:t>
      </w:r>
      <w:r>
        <w:tab/>
        <w:t>Discounted valuation for board meals</w:t>
      </w:r>
    </w:p>
    <w:p w14:paraId="20870044"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04D" w14:textId="77777777" w:rsidTr="00802D3E">
        <w:trPr>
          <w:cantSplit/>
          <w:jc w:val="center"/>
        </w:trPr>
        <w:tc>
          <w:tcPr>
            <w:tcW w:w="967" w:type="dxa"/>
            <w:tcBorders>
              <w:top w:val="single" w:sz="2" w:space="0" w:color="auto"/>
              <w:left w:val="nil"/>
              <w:bottom w:val="single" w:sz="2" w:space="0" w:color="auto"/>
              <w:right w:val="nil"/>
            </w:tcBorders>
            <w:hideMark/>
          </w:tcPr>
          <w:p w14:paraId="2087004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04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04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04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04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04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04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04C" w14:textId="77777777" w:rsidR="00802D3E" w:rsidRDefault="00802D3E">
            <w:pPr>
              <w:pStyle w:val="MeasureTableTextRightAligned"/>
            </w:pPr>
            <w:r>
              <w:t>2019-20</w:t>
            </w:r>
          </w:p>
        </w:tc>
      </w:tr>
      <w:tr w:rsidR="00802D3E" w14:paraId="20870056" w14:textId="77777777" w:rsidTr="00802D3E">
        <w:trPr>
          <w:cantSplit/>
          <w:jc w:val="center"/>
        </w:trPr>
        <w:tc>
          <w:tcPr>
            <w:tcW w:w="967" w:type="dxa"/>
            <w:tcBorders>
              <w:top w:val="single" w:sz="2" w:space="0" w:color="auto"/>
              <w:left w:val="nil"/>
              <w:bottom w:val="single" w:sz="2" w:space="0" w:color="auto"/>
              <w:right w:val="nil"/>
            </w:tcBorders>
            <w:hideMark/>
          </w:tcPr>
          <w:p w14:paraId="2087004E"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hideMark/>
          </w:tcPr>
          <w:p w14:paraId="2087004F"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70050"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70051"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70052" w14:textId="77777777" w:rsidR="00802D3E" w:rsidRDefault="00802D3E">
            <w:pPr>
              <w:pStyle w:val="MeasureTableTextRightAligned"/>
            </w:pPr>
            <w:r>
              <w:t>5</w:t>
            </w:r>
          </w:p>
        </w:tc>
        <w:tc>
          <w:tcPr>
            <w:tcW w:w="967" w:type="dxa"/>
            <w:gridSpan w:val="2"/>
            <w:tcBorders>
              <w:top w:val="single" w:sz="2" w:space="0" w:color="auto"/>
              <w:left w:val="nil"/>
              <w:bottom w:val="single" w:sz="2" w:space="0" w:color="auto"/>
              <w:right w:val="nil"/>
            </w:tcBorders>
            <w:vAlign w:val="bottom"/>
            <w:hideMark/>
          </w:tcPr>
          <w:p w14:paraId="20870053" w14:textId="77777777" w:rsidR="00802D3E" w:rsidRDefault="00802D3E">
            <w:pPr>
              <w:pStyle w:val="MeasureTableTextRightAligned"/>
            </w:pPr>
            <w:r>
              <w:t>6</w:t>
            </w:r>
          </w:p>
        </w:tc>
        <w:tc>
          <w:tcPr>
            <w:tcW w:w="967" w:type="dxa"/>
            <w:gridSpan w:val="2"/>
            <w:tcBorders>
              <w:top w:val="single" w:sz="2" w:space="0" w:color="auto"/>
              <w:left w:val="nil"/>
              <w:bottom w:val="single" w:sz="2" w:space="0" w:color="auto"/>
              <w:right w:val="nil"/>
            </w:tcBorders>
            <w:vAlign w:val="bottom"/>
            <w:hideMark/>
          </w:tcPr>
          <w:p w14:paraId="20870054" w14:textId="77777777" w:rsidR="00802D3E" w:rsidRDefault="00802D3E">
            <w:pPr>
              <w:pStyle w:val="MeasureTableTextRightAligned"/>
            </w:pPr>
            <w:r>
              <w:t>6</w:t>
            </w:r>
          </w:p>
        </w:tc>
        <w:tc>
          <w:tcPr>
            <w:tcW w:w="968" w:type="dxa"/>
            <w:tcBorders>
              <w:top w:val="single" w:sz="2" w:space="0" w:color="auto"/>
              <w:left w:val="nil"/>
              <w:bottom w:val="single" w:sz="2" w:space="0" w:color="auto"/>
              <w:right w:val="nil"/>
            </w:tcBorders>
            <w:vAlign w:val="bottom"/>
            <w:hideMark/>
          </w:tcPr>
          <w:p w14:paraId="20870055" w14:textId="77777777" w:rsidR="00802D3E" w:rsidRDefault="00802D3E">
            <w:pPr>
              <w:pStyle w:val="MeasureTableTextRightAligned"/>
            </w:pPr>
            <w:r>
              <w:t>6</w:t>
            </w:r>
          </w:p>
        </w:tc>
      </w:tr>
      <w:tr w:rsidR="00802D3E" w14:paraId="2087005B" w14:textId="77777777" w:rsidTr="00802D3E">
        <w:trPr>
          <w:cantSplit/>
          <w:jc w:val="center"/>
        </w:trPr>
        <w:tc>
          <w:tcPr>
            <w:tcW w:w="1934" w:type="dxa"/>
            <w:gridSpan w:val="2"/>
            <w:tcBorders>
              <w:top w:val="single" w:sz="2" w:space="0" w:color="auto"/>
              <w:left w:val="nil"/>
              <w:bottom w:val="nil"/>
              <w:right w:val="nil"/>
            </w:tcBorders>
            <w:hideMark/>
          </w:tcPr>
          <w:p w14:paraId="2087005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058" w14:textId="77777777" w:rsidR="00802D3E" w:rsidRDefault="00802D3E">
            <w:pPr>
              <w:pStyle w:val="MeasureTableTextLeftAligned"/>
            </w:pPr>
            <w:r>
              <w:t>Discounted valuation</w:t>
            </w:r>
          </w:p>
        </w:tc>
        <w:tc>
          <w:tcPr>
            <w:tcW w:w="1500" w:type="dxa"/>
            <w:gridSpan w:val="2"/>
            <w:tcBorders>
              <w:top w:val="single" w:sz="2" w:space="0" w:color="auto"/>
              <w:left w:val="nil"/>
              <w:bottom w:val="nil"/>
              <w:right w:val="nil"/>
            </w:tcBorders>
            <w:hideMark/>
          </w:tcPr>
          <w:p w14:paraId="2087005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05A" w14:textId="77777777" w:rsidR="00802D3E" w:rsidRDefault="00802D3E">
            <w:pPr>
              <w:pStyle w:val="MeasureTableTextLeftAligned"/>
            </w:pPr>
            <w:r>
              <w:t>D26</w:t>
            </w:r>
          </w:p>
        </w:tc>
      </w:tr>
      <w:tr w:rsidR="00802D3E" w14:paraId="20870060" w14:textId="77777777" w:rsidTr="00802D3E">
        <w:trPr>
          <w:cantSplit/>
          <w:jc w:val="center"/>
        </w:trPr>
        <w:tc>
          <w:tcPr>
            <w:tcW w:w="1934" w:type="dxa"/>
            <w:gridSpan w:val="2"/>
            <w:tcBorders>
              <w:top w:val="nil"/>
              <w:left w:val="nil"/>
              <w:bottom w:val="nil"/>
              <w:right w:val="nil"/>
            </w:tcBorders>
            <w:hideMark/>
          </w:tcPr>
          <w:p w14:paraId="2087005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05D" w14:textId="77777777" w:rsidR="00802D3E" w:rsidRDefault="00802D3E">
            <w:pPr>
              <w:pStyle w:val="MeasureTableTextLeftAligned"/>
            </w:pPr>
            <w:r>
              <w:t>Low</w:t>
            </w:r>
          </w:p>
        </w:tc>
        <w:tc>
          <w:tcPr>
            <w:tcW w:w="1500" w:type="dxa"/>
            <w:gridSpan w:val="2"/>
            <w:tcBorders>
              <w:top w:val="nil"/>
              <w:left w:val="nil"/>
              <w:bottom w:val="nil"/>
              <w:right w:val="nil"/>
            </w:tcBorders>
          </w:tcPr>
          <w:p w14:paraId="2087005E" w14:textId="77777777" w:rsidR="00802D3E" w:rsidRDefault="00802D3E">
            <w:pPr>
              <w:pStyle w:val="MeasureTableTextItalic"/>
            </w:pPr>
          </w:p>
        </w:tc>
        <w:tc>
          <w:tcPr>
            <w:tcW w:w="1124" w:type="dxa"/>
            <w:gridSpan w:val="2"/>
            <w:tcBorders>
              <w:top w:val="nil"/>
              <w:left w:val="nil"/>
              <w:bottom w:val="nil"/>
              <w:right w:val="nil"/>
            </w:tcBorders>
          </w:tcPr>
          <w:p w14:paraId="2087005F" w14:textId="77777777" w:rsidR="00802D3E" w:rsidRDefault="00802D3E">
            <w:pPr>
              <w:pStyle w:val="MeasureTableTextLeftAligned"/>
            </w:pPr>
          </w:p>
        </w:tc>
      </w:tr>
      <w:tr w:rsidR="00802D3E" w14:paraId="20870065" w14:textId="77777777" w:rsidTr="00802D3E">
        <w:trPr>
          <w:cantSplit/>
          <w:jc w:val="center"/>
        </w:trPr>
        <w:tc>
          <w:tcPr>
            <w:tcW w:w="1934" w:type="dxa"/>
            <w:gridSpan w:val="2"/>
            <w:tcBorders>
              <w:top w:val="nil"/>
              <w:left w:val="nil"/>
              <w:bottom w:val="nil"/>
              <w:right w:val="nil"/>
            </w:tcBorders>
            <w:hideMark/>
          </w:tcPr>
          <w:p w14:paraId="2087006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062"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06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064" w14:textId="77777777" w:rsidR="00802D3E" w:rsidRDefault="00802D3E">
            <w:pPr>
              <w:pStyle w:val="MeasureTableTextLeftAligned"/>
            </w:pPr>
          </w:p>
        </w:tc>
      </w:tr>
      <w:tr w:rsidR="00802D3E" w14:paraId="20870068" w14:textId="77777777" w:rsidTr="00802D3E">
        <w:trPr>
          <w:cantSplit/>
          <w:jc w:val="center"/>
        </w:trPr>
        <w:tc>
          <w:tcPr>
            <w:tcW w:w="1934" w:type="dxa"/>
            <w:gridSpan w:val="2"/>
            <w:tcBorders>
              <w:top w:val="nil"/>
              <w:left w:val="nil"/>
              <w:bottom w:val="single" w:sz="2" w:space="0" w:color="auto"/>
              <w:right w:val="nil"/>
            </w:tcBorders>
            <w:hideMark/>
          </w:tcPr>
          <w:p w14:paraId="2087006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06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36 of the </w:t>
            </w:r>
            <w:r w:rsidRPr="00106337">
              <w:rPr>
                <w:rFonts w:ascii="Arial" w:hAnsi="Arial" w:cs="Arial"/>
                <w:i/>
                <w:iCs/>
                <w:color w:val="000000"/>
                <w:sz w:val="16"/>
                <w:szCs w:val="16"/>
              </w:rPr>
              <w:t>Fringe Benefits Tax Assessment Act 1986</w:t>
            </w:r>
          </w:p>
        </w:tc>
      </w:tr>
    </w:tbl>
    <w:p w14:paraId="20870069" w14:textId="77777777" w:rsidR="00802D3E" w:rsidRDefault="00802D3E" w:rsidP="00A109BC">
      <w:pPr>
        <w:pStyle w:val="SingleParagraph"/>
      </w:pPr>
    </w:p>
    <w:p w14:paraId="2087006A" w14:textId="35D7A2AD" w:rsidR="00802D3E" w:rsidRDefault="00802D3E" w:rsidP="00802D3E">
      <w:r>
        <w:t>Where an employee is entitled to accommodation and to at least two meals a day, eligible meals (known as ‘board meals</w:t>
      </w:r>
      <w:r>
        <w:fldChar w:fldCharType="begin"/>
      </w:r>
      <w:r>
        <w:instrText xml:space="preserve"> XE "Board meals" </w:instrText>
      </w:r>
      <w:r>
        <w:fldChar w:fldCharType="end"/>
      </w:r>
      <w:r>
        <w:t xml:space="preserve">‘) are valued at concessional rates for the purposes of fringe benefits tax. The taxable value </w:t>
      </w:r>
      <w:r w:rsidR="000B1D9D">
        <w:t>is $2 per meal per adult, or $1 </w:t>
      </w:r>
      <w:r>
        <w:t>per</w:t>
      </w:r>
      <w:r w:rsidR="000B1D9D">
        <w:t> </w:t>
      </w:r>
      <w:r>
        <w:t xml:space="preserve">meal per child under the age of 12. </w:t>
      </w:r>
    </w:p>
    <w:p w14:paraId="2087006B" w14:textId="77777777" w:rsidR="00802D3E" w:rsidRDefault="00802D3E" w:rsidP="00802D3E">
      <w:pPr>
        <w:pStyle w:val="TESHeading5"/>
        <w:ind w:left="0" w:firstLine="0"/>
      </w:pPr>
      <w:r>
        <w:t>D27</w:t>
      </w:r>
      <w:r>
        <w:tab/>
        <w:t>Discounted valuation for holidays for employees and their families when posted overseas</w:t>
      </w:r>
    </w:p>
    <w:p w14:paraId="2087006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075" w14:textId="77777777" w:rsidTr="00802D3E">
        <w:trPr>
          <w:cantSplit/>
          <w:jc w:val="center"/>
        </w:trPr>
        <w:tc>
          <w:tcPr>
            <w:tcW w:w="967" w:type="dxa"/>
            <w:tcBorders>
              <w:top w:val="single" w:sz="2" w:space="0" w:color="auto"/>
              <w:left w:val="nil"/>
              <w:bottom w:val="single" w:sz="2" w:space="0" w:color="auto"/>
              <w:right w:val="nil"/>
            </w:tcBorders>
            <w:hideMark/>
          </w:tcPr>
          <w:p w14:paraId="2087006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06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06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07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07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07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07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074" w14:textId="77777777" w:rsidR="00802D3E" w:rsidRDefault="00802D3E">
            <w:pPr>
              <w:pStyle w:val="MeasureTableTextRightAligned"/>
            </w:pPr>
            <w:r>
              <w:t>2019-20</w:t>
            </w:r>
          </w:p>
        </w:tc>
      </w:tr>
      <w:tr w:rsidR="00802D3E" w14:paraId="2087007E" w14:textId="77777777" w:rsidTr="00802D3E">
        <w:trPr>
          <w:cantSplit/>
          <w:jc w:val="center"/>
        </w:trPr>
        <w:tc>
          <w:tcPr>
            <w:tcW w:w="967" w:type="dxa"/>
            <w:tcBorders>
              <w:top w:val="single" w:sz="2" w:space="0" w:color="auto"/>
              <w:left w:val="nil"/>
              <w:bottom w:val="single" w:sz="2" w:space="0" w:color="auto"/>
              <w:right w:val="nil"/>
            </w:tcBorders>
            <w:hideMark/>
          </w:tcPr>
          <w:p w14:paraId="2087007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07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7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7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7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07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07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07D" w14:textId="77777777" w:rsidR="00802D3E" w:rsidRDefault="00802D3E">
            <w:pPr>
              <w:pStyle w:val="MeasureTableTextRightAligned"/>
            </w:pPr>
            <w:r>
              <w:t>*</w:t>
            </w:r>
          </w:p>
        </w:tc>
      </w:tr>
      <w:tr w:rsidR="00802D3E" w14:paraId="20870083" w14:textId="77777777" w:rsidTr="00802D3E">
        <w:trPr>
          <w:cantSplit/>
          <w:jc w:val="center"/>
        </w:trPr>
        <w:tc>
          <w:tcPr>
            <w:tcW w:w="1934" w:type="dxa"/>
            <w:gridSpan w:val="2"/>
            <w:tcBorders>
              <w:top w:val="single" w:sz="2" w:space="0" w:color="auto"/>
              <w:left w:val="nil"/>
              <w:bottom w:val="nil"/>
              <w:right w:val="nil"/>
            </w:tcBorders>
            <w:hideMark/>
          </w:tcPr>
          <w:p w14:paraId="2087007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080" w14:textId="77777777" w:rsidR="00802D3E" w:rsidRDefault="00802D3E">
            <w:pPr>
              <w:pStyle w:val="MeasureTableTextLeftAligned"/>
            </w:pPr>
            <w:r>
              <w:t>Discounted valuation</w:t>
            </w:r>
          </w:p>
        </w:tc>
        <w:tc>
          <w:tcPr>
            <w:tcW w:w="1500" w:type="dxa"/>
            <w:gridSpan w:val="2"/>
            <w:tcBorders>
              <w:top w:val="single" w:sz="2" w:space="0" w:color="auto"/>
              <w:left w:val="nil"/>
              <w:bottom w:val="nil"/>
              <w:right w:val="nil"/>
            </w:tcBorders>
            <w:hideMark/>
          </w:tcPr>
          <w:p w14:paraId="2087008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082" w14:textId="77777777" w:rsidR="00802D3E" w:rsidRDefault="00802D3E">
            <w:pPr>
              <w:pStyle w:val="MeasureTableTextLeftAligned"/>
            </w:pPr>
            <w:r>
              <w:t>D27</w:t>
            </w:r>
          </w:p>
        </w:tc>
      </w:tr>
      <w:tr w:rsidR="00802D3E" w14:paraId="20870088" w14:textId="77777777" w:rsidTr="00802D3E">
        <w:trPr>
          <w:cantSplit/>
          <w:jc w:val="center"/>
        </w:trPr>
        <w:tc>
          <w:tcPr>
            <w:tcW w:w="1934" w:type="dxa"/>
            <w:gridSpan w:val="2"/>
            <w:tcBorders>
              <w:top w:val="nil"/>
              <w:left w:val="nil"/>
              <w:bottom w:val="nil"/>
              <w:right w:val="nil"/>
            </w:tcBorders>
            <w:hideMark/>
          </w:tcPr>
          <w:p w14:paraId="2087008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08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08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087" w14:textId="77777777" w:rsidR="00802D3E" w:rsidRDefault="00802D3E">
            <w:pPr>
              <w:pStyle w:val="MeasureTableTextLeftAligned"/>
            </w:pPr>
            <w:r>
              <w:t>1+</w:t>
            </w:r>
          </w:p>
        </w:tc>
      </w:tr>
      <w:tr w:rsidR="00802D3E" w14:paraId="2087008D" w14:textId="77777777" w:rsidTr="00802D3E">
        <w:trPr>
          <w:cantSplit/>
          <w:jc w:val="center"/>
        </w:trPr>
        <w:tc>
          <w:tcPr>
            <w:tcW w:w="1934" w:type="dxa"/>
            <w:gridSpan w:val="2"/>
            <w:tcBorders>
              <w:top w:val="nil"/>
              <w:left w:val="nil"/>
              <w:bottom w:val="nil"/>
              <w:right w:val="nil"/>
            </w:tcBorders>
            <w:hideMark/>
          </w:tcPr>
          <w:p w14:paraId="2087008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08A"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08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08C" w14:textId="77777777" w:rsidR="00802D3E" w:rsidRDefault="00802D3E">
            <w:pPr>
              <w:pStyle w:val="MeasureTableTextLeftAligned"/>
            </w:pPr>
          </w:p>
        </w:tc>
      </w:tr>
      <w:tr w:rsidR="00802D3E" w14:paraId="20870090" w14:textId="77777777" w:rsidTr="00802D3E">
        <w:trPr>
          <w:cantSplit/>
          <w:jc w:val="center"/>
        </w:trPr>
        <w:tc>
          <w:tcPr>
            <w:tcW w:w="1934" w:type="dxa"/>
            <w:gridSpan w:val="2"/>
            <w:tcBorders>
              <w:top w:val="nil"/>
              <w:left w:val="nil"/>
              <w:bottom w:val="single" w:sz="2" w:space="0" w:color="auto"/>
              <w:right w:val="nil"/>
            </w:tcBorders>
            <w:hideMark/>
          </w:tcPr>
          <w:p w14:paraId="2087008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08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61A and 143C of the </w:t>
            </w:r>
            <w:r w:rsidRPr="00106337">
              <w:rPr>
                <w:rFonts w:ascii="Arial" w:hAnsi="Arial" w:cs="Arial"/>
                <w:i/>
                <w:iCs/>
                <w:color w:val="000000"/>
                <w:sz w:val="16"/>
                <w:szCs w:val="16"/>
              </w:rPr>
              <w:t xml:space="preserve">Fringe Benefits Tax Assessment Act 1986 </w:t>
            </w:r>
          </w:p>
        </w:tc>
      </w:tr>
    </w:tbl>
    <w:p w14:paraId="20870091" w14:textId="77777777" w:rsidR="00802D3E" w:rsidRDefault="00802D3E" w:rsidP="00A109BC">
      <w:pPr>
        <w:pStyle w:val="SingleParagraph"/>
      </w:pPr>
    </w:p>
    <w:p w14:paraId="20870092" w14:textId="77777777" w:rsidR="00802D3E" w:rsidRDefault="00802D3E" w:rsidP="00802D3E">
      <w:r>
        <w:t xml:space="preserve">For fringe benefits tax purposes, the value of an overseas holiday provided as industry custom or under an industrial award to an employee and their family while posted overseas, is reduced by 50 per cent or 50 per cent of a benchmark holiday cost, whichever is lower. Overseas transport, meals and accommodation are included. </w:t>
      </w:r>
    </w:p>
    <w:p w14:paraId="20870093" w14:textId="77777777" w:rsidR="00802D3E" w:rsidRDefault="00802D3E" w:rsidP="00802D3E">
      <w:pPr>
        <w:pStyle w:val="TESHeading5"/>
        <w:ind w:left="0" w:firstLine="0"/>
      </w:pPr>
      <w:r>
        <w:lastRenderedPageBreak/>
        <w:t>D28</w:t>
      </w:r>
      <w:r>
        <w:tab/>
        <w:t>Discounted valuation of arm's length transaction price for in-house property and residual fringe benefits</w:t>
      </w:r>
    </w:p>
    <w:p w14:paraId="20870094"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09D" w14:textId="77777777" w:rsidTr="00802D3E">
        <w:trPr>
          <w:cantSplit/>
          <w:jc w:val="center"/>
        </w:trPr>
        <w:tc>
          <w:tcPr>
            <w:tcW w:w="967" w:type="dxa"/>
            <w:tcBorders>
              <w:top w:val="single" w:sz="2" w:space="0" w:color="auto"/>
              <w:left w:val="nil"/>
              <w:bottom w:val="single" w:sz="2" w:space="0" w:color="auto"/>
              <w:right w:val="nil"/>
            </w:tcBorders>
            <w:hideMark/>
          </w:tcPr>
          <w:p w14:paraId="2087009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09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09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09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09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09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09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09C" w14:textId="77777777" w:rsidR="00802D3E" w:rsidRDefault="00802D3E">
            <w:pPr>
              <w:pStyle w:val="MeasureTableTextRightAligned"/>
            </w:pPr>
            <w:r>
              <w:t>2019-20</w:t>
            </w:r>
          </w:p>
        </w:tc>
      </w:tr>
      <w:tr w:rsidR="00802D3E" w14:paraId="208700A6" w14:textId="77777777" w:rsidTr="00802D3E">
        <w:trPr>
          <w:cantSplit/>
          <w:jc w:val="center"/>
        </w:trPr>
        <w:tc>
          <w:tcPr>
            <w:tcW w:w="967" w:type="dxa"/>
            <w:tcBorders>
              <w:top w:val="single" w:sz="2" w:space="0" w:color="auto"/>
              <w:left w:val="nil"/>
              <w:bottom w:val="single" w:sz="2" w:space="0" w:color="auto"/>
              <w:right w:val="nil"/>
            </w:tcBorders>
            <w:hideMark/>
          </w:tcPr>
          <w:p w14:paraId="2087009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09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A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A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A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0A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0A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0A5" w14:textId="77777777" w:rsidR="00802D3E" w:rsidRDefault="00802D3E">
            <w:pPr>
              <w:pStyle w:val="MeasureTableTextRightAligned"/>
            </w:pPr>
            <w:r>
              <w:t>*</w:t>
            </w:r>
          </w:p>
        </w:tc>
      </w:tr>
      <w:tr w:rsidR="00802D3E" w14:paraId="208700AB" w14:textId="77777777" w:rsidTr="00802D3E">
        <w:trPr>
          <w:cantSplit/>
          <w:jc w:val="center"/>
        </w:trPr>
        <w:tc>
          <w:tcPr>
            <w:tcW w:w="1934" w:type="dxa"/>
            <w:gridSpan w:val="2"/>
            <w:tcBorders>
              <w:top w:val="single" w:sz="2" w:space="0" w:color="auto"/>
              <w:left w:val="nil"/>
              <w:bottom w:val="nil"/>
              <w:right w:val="nil"/>
            </w:tcBorders>
            <w:hideMark/>
          </w:tcPr>
          <w:p w14:paraId="208700A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0A8" w14:textId="77777777" w:rsidR="00802D3E" w:rsidRDefault="00802D3E">
            <w:pPr>
              <w:pStyle w:val="MeasureTableTextLeftAligned"/>
            </w:pPr>
            <w:r>
              <w:t>Discounted valuation</w:t>
            </w:r>
          </w:p>
        </w:tc>
        <w:tc>
          <w:tcPr>
            <w:tcW w:w="1500" w:type="dxa"/>
            <w:gridSpan w:val="2"/>
            <w:tcBorders>
              <w:top w:val="single" w:sz="2" w:space="0" w:color="auto"/>
              <w:left w:val="nil"/>
              <w:bottom w:val="nil"/>
              <w:right w:val="nil"/>
            </w:tcBorders>
            <w:hideMark/>
          </w:tcPr>
          <w:p w14:paraId="208700A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0AA" w14:textId="77777777" w:rsidR="00802D3E" w:rsidRDefault="00802D3E">
            <w:pPr>
              <w:pStyle w:val="MeasureTableTextLeftAligned"/>
            </w:pPr>
            <w:r>
              <w:t>D28</w:t>
            </w:r>
          </w:p>
        </w:tc>
      </w:tr>
      <w:tr w:rsidR="00802D3E" w14:paraId="208700B0" w14:textId="77777777" w:rsidTr="00802D3E">
        <w:trPr>
          <w:cantSplit/>
          <w:jc w:val="center"/>
        </w:trPr>
        <w:tc>
          <w:tcPr>
            <w:tcW w:w="1934" w:type="dxa"/>
            <w:gridSpan w:val="2"/>
            <w:tcBorders>
              <w:top w:val="nil"/>
              <w:left w:val="nil"/>
              <w:bottom w:val="nil"/>
              <w:right w:val="nil"/>
            </w:tcBorders>
            <w:hideMark/>
          </w:tcPr>
          <w:p w14:paraId="208700A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0A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0A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0AF" w14:textId="77777777" w:rsidR="00802D3E" w:rsidRDefault="00802D3E">
            <w:pPr>
              <w:pStyle w:val="MeasureTableTextLeftAligned"/>
            </w:pPr>
            <w:r>
              <w:t>2+</w:t>
            </w:r>
          </w:p>
        </w:tc>
      </w:tr>
      <w:tr w:rsidR="00802D3E" w14:paraId="208700B5" w14:textId="77777777" w:rsidTr="00802D3E">
        <w:trPr>
          <w:cantSplit/>
          <w:jc w:val="center"/>
        </w:trPr>
        <w:tc>
          <w:tcPr>
            <w:tcW w:w="1934" w:type="dxa"/>
            <w:gridSpan w:val="2"/>
            <w:tcBorders>
              <w:top w:val="nil"/>
              <w:left w:val="nil"/>
              <w:bottom w:val="nil"/>
              <w:right w:val="nil"/>
            </w:tcBorders>
            <w:hideMark/>
          </w:tcPr>
          <w:p w14:paraId="208700B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0B2"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0B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0B4" w14:textId="77777777" w:rsidR="00802D3E" w:rsidRDefault="00802D3E">
            <w:pPr>
              <w:pStyle w:val="MeasureTableTextLeftAligned"/>
            </w:pPr>
          </w:p>
        </w:tc>
      </w:tr>
      <w:tr w:rsidR="00802D3E" w14:paraId="208700B8" w14:textId="77777777" w:rsidTr="00802D3E">
        <w:trPr>
          <w:cantSplit/>
          <w:jc w:val="center"/>
        </w:trPr>
        <w:tc>
          <w:tcPr>
            <w:tcW w:w="1934" w:type="dxa"/>
            <w:gridSpan w:val="2"/>
            <w:tcBorders>
              <w:top w:val="nil"/>
              <w:left w:val="nil"/>
              <w:bottom w:val="single" w:sz="2" w:space="0" w:color="auto"/>
              <w:right w:val="nil"/>
            </w:tcBorders>
            <w:hideMark/>
          </w:tcPr>
          <w:p w14:paraId="208700B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0B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42, 48 and 49 of the </w:t>
            </w:r>
            <w:r w:rsidRPr="00106337">
              <w:rPr>
                <w:rFonts w:ascii="Arial" w:hAnsi="Arial" w:cs="Arial"/>
                <w:i/>
                <w:iCs/>
                <w:color w:val="000000"/>
                <w:sz w:val="16"/>
                <w:szCs w:val="16"/>
              </w:rPr>
              <w:t>Fringe Benefits Tax Assessment Act 1986</w:t>
            </w:r>
          </w:p>
        </w:tc>
      </w:tr>
    </w:tbl>
    <w:p w14:paraId="208700B9" w14:textId="77777777" w:rsidR="00802D3E" w:rsidRDefault="00802D3E" w:rsidP="00A109BC">
      <w:pPr>
        <w:pStyle w:val="SingleParagraph"/>
      </w:pPr>
    </w:p>
    <w:p w14:paraId="208700BA" w14:textId="77777777" w:rsidR="00802D3E" w:rsidRDefault="00802D3E" w:rsidP="00802D3E">
      <w:r>
        <w:t>The taxable value of in-house property and residual fringe benefits</w:t>
      </w:r>
      <w:r>
        <w:fldChar w:fldCharType="begin"/>
      </w:r>
      <w:r>
        <w:instrText xml:space="preserve"> XE "Fringe benefits tax:In-house property fringe benefits" </w:instrText>
      </w:r>
      <w:r>
        <w:fldChar w:fldCharType="end"/>
      </w:r>
      <w:r>
        <w:t xml:space="preserve"> (generally, goods or services sold by the employer to the public)</w:t>
      </w:r>
      <w:r>
        <w:fldChar w:fldCharType="begin"/>
      </w:r>
      <w:r>
        <w:instrText xml:space="preserve"> XE "Fringe benefits tax:In-house residual fringe benefits" </w:instrText>
      </w:r>
      <w:r>
        <w:fldChar w:fldCharType="end"/>
      </w:r>
      <w:r>
        <w:t xml:space="preserve"> is 75 per cent of the lowest retail price charged to the public in the ordinary course of business. This includes airline transport fringe benefits. This treatment is not available for in-house fringe benefits accessed by way of a salary sacrifice arrangement. </w:t>
      </w:r>
    </w:p>
    <w:p w14:paraId="208700BB" w14:textId="77777777" w:rsidR="00802D3E" w:rsidRDefault="00802D3E" w:rsidP="00802D3E">
      <w:pPr>
        <w:pStyle w:val="TESHeading5"/>
        <w:ind w:left="0" w:firstLine="0"/>
      </w:pPr>
      <w:r>
        <w:t>D29</w:t>
      </w:r>
      <w:r>
        <w:tab/>
        <w:t xml:space="preserve">Employees of public transport providers </w:t>
      </w:r>
      <w:r w:rsidR="000B181C">
        <w:t>–</w:t>
      </w:r>
      <w:r>
        <w:t xml:space="preserve"> free</w:t>
      </w:r>
      <w:r w:rsidR="000B181C">
        <w:t xml:space="preserve"> </w:t>
      </w:r>
      <w:r>
        <w:t>or discounted travel exemption</w:t>
      </w:r>
    </w:p>
    <w:p w14:paraId="208700B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0C5" w14:textId="77777777" w:rsidTr="00802D3E">
        <w:trPr>
          <w:cantSplit/>
          <w:jc w:val="center"/>
        </w:trPr>
        <w:tc>
          <w:tcPr>
            <w:tcW w:w="967" w:type="dxa"/>
            <w:tcBorders>
              <w:top w:val="single" w:sz="2" w:space="0" w:color="auto"/>
              <w:left w:val="nil"/>
              <w:bottom w:val="single" w:sz="2" w:space="0" w:color="auto"/>
              <w:right w:val="nil"/>
            </w:tcBorders>
            <w:hideMark/>
          </w:tcPr>
          <w:p w14:paraId="208700B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0B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0B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0C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0C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0C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0C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0C4" w14:textId="77777777" w:rsidR="00802D3E" w:rsidRDefault="00802D3E">
            <w:pPr>
              <w:pStyle w:val="MeasureTableTextRightAligned"/>
            </w:pPr>
            <w:r>
              <w:t>2019-20</w:t>
            </w:r>
          </w:p>
        </w:tc>
      </w:tr>
      <w:tr w:rsidR="00802D3E" w14:paraId="208700CE" w14:textId="77777777" w:rsidTr="00802D3E">
        <w:trPr>
          <w:cantSplit/>
          <w:jc w:val="center"/>
        </w:trPr>
        <w:tc>
          <w:tcPr>
            <w:tcW w:w="967" w:type="dxa"/>
            <w:tcBorders>
              <w:top w:val="single" w:sz="2" w:space="0" w:color="auto"/>
              <w:left w:val="nil"/>
              <w:bottom w:val="single" w:sz="2" w:space="0" w:color="auto"/>
              <w:right w:val="nil"/>
            </w:tcBorders>
            <w:hideMark/>
          </w:tcPr>
          <w:p w14:paraId="208700C6" w14:textId="77777777" w:rsidR="00802D3E" w:rsidRDefault="00802D3E">
            <w:pPr>
              <w:pStyle w:val="MeasureTableTextRightAligned"/>
            </w:pPr>
            <w:r>
              <w:t>45</w:t>
            </w:r>
          </w:p>
        </w:tc>
        <w:tc>
          <w:tcPr>
            <w:tcW w:w="967" w:type="dxa"/>
            <w:tcBorders>
              <w:top w:val="single" w:sz="2" w:space="0" w:color="auto"/>
              <w:left w:val="nil"/>
              <w:bottom w:val="single" w:sz="2" w:space="0" w:color="auto"/>
              <w:right w:val="nil"/>
            </w:tcBorders>
            <w:hideMark/>
          </w:tcPr>
          <w:p w14:paraId="208700C7"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700C8"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700C9" w14:textId="77777777" w:rsidR="00802D3E" w:rsidRDefault="00802D3E">
            <w:pPr>
              <w:pStyle w:val="MeasureTableTextRightAligned"/>
            </w:pPr>
            <w:r>
              <w:t>60</w:t>
            </w:r>
          </w:p>
        </w:tc>
        <w:tc>
          <w:tcPr>
            <w:tcW w:w="967" w:type="dxa"/>
            <w:tcBorders>
              <w:top w:val="single" w:sz="2" w:space="0" w:color="auto"/>
              <w:left w:val="nil"/>
              <w:bottom w:val="single" w:sz="2" w:space="0" w:color="auto"/>
              <w:right w:val="nil"/>
            </w:tcBorders>
            <w:vAlign w:val="bottom"/>
            <w:hideMark/>
          </w:tcPr>
          <w:p w14:paraId="208700CA" w14:textId="77777777" w:rsidR="00802D3E" w:rsidRDefault="00802D3E">
            <w:pPr>
              <w:pStyle w:val="MeasureTableTextRightAligned"/>
            </w:pPr>
            <w:r>
              <w:t>60</w:t>
            </w:r>
          </w:p>
        </w:tc>
        <w:tc>
          <w:tcPr>
            <w:tcW w:w="967" w:type="dxa"/>
            <w:gridSpan w:val="2"/>
            <w:tcBorders>
              <w:top w:val="single" w:sz="2" w:space="0" w:color="auto"/>
              <w:left w:val="nil"/>
              <w:bottom w:val="single" w:sz="2" w:space="0" w:color="auto"/>
              <w:right w:val="nil"/>
            </w:tcBorders>
            <w:vAlign w:val="bottom"/>
            <w:hideMark/>
          </w:tcPr>
          <w:p w14:paraId="208700CB" w14:textId="77777777" w:rsidR="00802D3E" w:rsidRDefault="00802D3E">
            <w:pPr>
              <w:pStyle w:val="MeasureTableTextRightAligned"/>
            </w:pPr>
            <w:r>
              <w:t>65</w:t>
            </w:r>
          </w:p>
        </w:tc>
        <w:tc>
          <w:tcPr>
            <w:tcW w:w="967" w:type="dxa"/>
            <w:gridSpan w:val="2"/>
            <w:tcBorders>
              <w:top w:val="single" w:sz="2" w:space="0" w:color="auto"/>
              <w:left w:val="nil"/>
              <w:bottom w:val="single" w:sz="2" w:space="0" w:color="auto"/>
              <w:right w:val="nil"/>
            </w:tcBorders>
            <w:vAlign w:val="bottom"/>
            <w:hideMark/>
          </w:tcPr>
          <w:p w14:paraId="208700CC" w14:textId="77777777" w:rsidR="00802D3E" w:rsidRDefault="00802D3E">
            <w:pPr>
              <w:pStyle w:val="MeasureTableTextRightAligned"/>
            </w:pPr>
            <w:r>
              <w:t>65</w:t>
            </w:r>
          </w:p>
        </w:tc>
        <w:tc>
          <w:tcPr>
            <w:tcW w:w="968" w:type="dxa"/>
            <w:tcBorders>
              <w:top w:val="single" w:sz="2" w:space="0" w:color="auto"/>
              <w:left w:val="nil"/>
              <w:bottom w:val="single" w:sz="2" w:space="0" w:color="auto"/>
              <w:right w:val="nil"/>
            </w:tcBorders>
            <w:vAlign w:val="bottom"/>
            <w:hideMark/>
          </w:tcPr>
          <w:p w14:paraId="208700CD" w14:textId="77777777" w:rsidR="00802D3E" w:rsidRDefault="00802D3E">
            <w:pPr>
              <w:pStyle w:val="MeasureTableTextRightAligned"/>
            </w:pPr>
            <w:r>
              <w:t>70</w:t>
            </w:r>
          </w:p>
        </w:tc>
      </w:tr>
      <w:tr w:rsidR="00802D3E" w14:paraId="208700D3" w14:textId="77777777" w:rsidTr="00802D3E">
        <w:trPr>
          <w:cantSplit/>
          <w:jc w:val="center"/>
        </w:trPr>
        <w:tc>
          <w:tcPr>
            <w:tcW w:w="1934" w:type="dxa"/>
            <w:gridSpan w:val="2"/>
            <w:tcBorders>
              <w:top w:val="single" w:sz="2" w:space="0" w:color="auto"/>
              <w:left w:val="nil"/>
              <w:bottom w:val="nil"/>
              <w:right w:val="nil"/>
            </w:tcBorders>
            <w:hideMark/>
          </w:tcPr>
          <w:p w14:paraId="208700C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0D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0D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0D2" w14:textId="77777777" w:rsidR="00802D3E" w:rsidRDefault="00802D3E">
            <w:pPr>
              <w:pStyle w:val="MeasureTableTextLeftAligned"/>
            </w:pPr>
            <w:r>
              <w:t>D29</w:t>
            </w:r>
          </w:p>
        </w:tc>
      </w:tr>
      <w:tr w:rsidR="00802D3E" w14:paraId="208700D8" w14:textId="77777777" w:rsidTr="00802D3E">
        <w:trPr>
          <w:cantSplit/>
          <w:jc w:val="center"/>
        </w:trPr>
        <w:tc>
          <w:tcPr>
            <w:tcW w:w="1934" w:type="dxa"/>
            <w:gridSpan w:val="2"/>
            <w:tcBorders>
              <w:top w:val="nil"/>
              <w:left w:val="nil"/>
              <w:bottom w:val="nil"/>
              <w:right w:val="nil"/>
            </w:tcBorders>
            <w:hideMark/>
          </w:tcPr>
          <w:p w14:paraId="208700D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0D5" w14:textId="77777777" w:rsidR="00802D3E" w:rsidRDefault="00802D3E">
            <w:pPr>
              <w:pStyle w:val="MeasureTableTextLeftAligned"/>
            </w:pPr>
            <w:r>
              <w:t>Low</w:t>
            </w:r>
          </w:p>
        </w:tc>
        <w:tc>
          <w:tcPr>
            <w:tcW w:w="1500" w:type="dxa"/>
            <w:gridSpan w:val="2"/>
            <w:tcBorders>
              <w:top w:val="nil"/>
              <w:left w:val="nil"/>
              <w:bottom w:val="nil"/>
              <w:right w:val="nil"/>
            </w:tcBorders>
          </w:tcPr>
          <w:p w14:paraId="208700D6" w14:textId="77777777" w:rsidR="00802D3E" w:rsidRDefault="00802D3E">
            <w:pPr>
              <w:pStyle w:val="MeasureTableTextItalic"/>
            </w:pPr>
          </w:p>
        </w:tc>
        <w:tc>
          <w:tcPr>
            <w:tcW w:w="1124" w:type="dxa"/>
            <w:gridSpan w:val="2"/>
            <w:tcBorders>
              <w:top w:val="nil"/>
              <w:left w:val="nil"/>
              <w:bottom w:val="nil"/>
              <w:right w:val="nil"/>
            </w:tcBorders>
          </w:tcPr>
          <w:p w14:paraId="208700D7" w14:textId="77777777" w:rsidR="00802D3E" w:rsidRDefault="00802D3E">
            <w:pPr>
              <w:pStyle w:val="MeasureTableTextLeftAligned"/>
            </w:pPr>
          </w:p>
        </w:tc>
      </w:tr>
      <w:tr w:rsidR="00802D3E" w14:paraId="208700DD" w14:textId="77777777" w:rsidTr="00802D3E">
        <w:trPr>
          <w:cantSplit/>
          <w:jc w:val="center"/>
        </w:trPr>
        <w:tc>
          <w:tcPr>
            <w:tcW w:w="1934" w:type="dxa"/>
            <w:gridSpan w:val="2"/>
            <w:tcBorders>
              <w:top w:val="nil"/>
              <w:left w:val="nil"/>
              <w:bottom w:val="nil"/>
              <w:right w:val="nil"/>
            </w:tcBorders>
            <w:hideMark/>
          </w:tcPr>
          <w:p w14:paraId="208700D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0DA"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0D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0DC" w14:textId="77777777" w:rsidR="00802D3E" w:rsidRDefault="00802D3E">
            <w:pPr>
              <w:pStyle w:val="MeasureTableTextLeftAligned"/>
            </w:pPr>
          </w:p>
        </w:tc>
      </w:tr>
      <w:tr w:rsidR="00802D3E" w14:paraId="208700E0" w14:textId="77777777" w:rsidTr="00802D3E">
        <w:trPr>
          <w:cantSplit/>
          <w:jc w:val="center"/>
        </w:trPr>
        <w:tc>
          <w:tcPr>
            <w:tcW w:w="1934" w:type="dxa"/>
            <w:gridSpan w:val="2"/>
            <w:tcBorders>
              <w:top w:val="nil"/>
              <w:left w:val="nil"/>
              <w:bottom w:val="single" w:sz="2" w:space="0" w:color="auto"/>
              <w:right w:val="nil"/>
            </w:tcBorders>
            <w:hideMark/>
          </w:tcPr>
          <w:p w14:paraId="208700D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0D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Subsection 47(1) of the </w:t>
            </w:r>
            <w:r w:rsidRPr="00106337">
              <w:rPr>
                <w:rFonts w:ascii="Arial" w:hAnsi="Arial" w:cs="Arial"/>
                <w:i/>
                <w:iCs/>
                <w:color w:val="000000"/>
                <w:sz w:val="16"/>
                <w:szCs w:val="16"/>
              </w:rPr>
              <w:t>Fringe Benefits Tax Assessment Act 1986</w:t>
            </w:r>
          </w:p>
        </w:tc>
      </w:tr>
    </w:tbl>
    <w:p w14:paraId="208700E1" w14:textId="77777777" w:rsidR="00802D3E" w:rsidRDefault="00802D3E" w:rsidP="00A109BC">
      <w:pPr>
        <w:pStyle w:val="SingleParagraph"/>
      </w:pPr>
    </w:p>
    <w:p w14:paraId="208700E2" w14:textId="77777777" w:rsidR="00802D3E" w:rsidRDefault="0051476F" w:rsidP="00802D3E">
      <w:r>
        <w:fldChar w:fldCharType="begin"/>
      </w:r>
      <w:r>
        <w:instrText xml:space="preserve"> XE "Fringe benefits tax:Commuter travel" </w:instrText>
      </w:r>
      <w:r>
        <w:fldChar w:fldCharType="end"/>
      </w:r>
      <w:r w:rsidR="00802D3E">
        <w:t>Where an employer operates a business of providing public transport, the provision of free or discounted travel</w:t>
      </w:r>
      <w:r w:rsidR="00802D3E">
        <w:fldChar w:fldCharType="begin"/>
      </w:r>
      <w:r w:rsidR="00802D3E">
        <w:instrText xml:space="preserve"> XE "Commuter travel" </w:instrText>
      </w:r>
      <w:r w:rsidR="00802D3E">
        <w:fldChar w:fldCharType="end"/>
      </w:r>
      <w:r w:rsidR="00802D3E">
        <w:t xml:space="preserve"> (other than in an aircraft) to employees of that business for travelling to and from work is exempt from fringe benefits tax. Free or discounted travel on a scheduled metropolitan service is also exempt from fringe benefits tax. This exemption excludes benefits provided under a salary sacrifice arrangement. </w:t>
      </w:r>
    </w:p>
    <w:p w14:paraId="208700E3" w14:textId="77777777" w:rsidR="00802D3E" w:rsidRDefault="00802D3E" w:rsidP="00802D3E">
      <w:pPr>
        <w:pStyle w:val="TESHeading5"/>
        <w:ind w:left="0" w:firstLine="0"/>
      </w:pPr>
      <w:r>
        <w:t>D30</w:t>
      </w:r>
      <w:r>
        <w:tab/>
        <w:t>Employer contributions to secure childcare places exemption</w:t>
      </w:r>
    </w:p>
    <w:p w14:paraId="208700E4"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0ED" w14:textId="77777777" w:rsidTr="00802D3E">
        <w:trPr>
          <w:cantSplit/>
          <w:jc w:val="center"/>
        </w:trPr>
        <w:tc>
          <w:tcPr>
            <w:tcW w:w="967" w:type="dxa"/>
            <w:tcBorders>
              <w:top w:val="single" w:sz="2" w:space="0" w:color="auto"/>
              <w:left w:val="nil"/>
              <w:bottom w:val="single" w:sz="2" w:space="0" w:color="auto"/>
              <w:right w:val="nil"/>
            </w:tcBorders>
            <w:hideMark/>
          </w:tcPr>
          <w:p w14:paraId="208700E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0E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0E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0E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0E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0E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0E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0EC" w14:textId="77777777" w:rsidR="00802D3E" w:rsidRDefault="00802D3E">
            <w:pPr>
              <w:pStyle w:val="MeasureTableTextRightAligned"/>
            </w:pPr>
            <w:r>
              <w:t>2019-20</w:t>
            </w:r>
          </w:p>
        </w:tc>
      </w:tr>
      <w:tr w:rsidR="00802D3E" w14:paraId="208700F6" w14:textId="77777777" w:rsidTr="00802D3E">
        <w:trPr>
          <w:cantSplit/>
          <w:jc w:val="center"/>
        </w:trPr>
        <w:tc>
          <w:tcPr>
            <w:tcW w:w="967" w:type="dxa"/>
            <w:tcBorders>
              <w:top w:val="single" w:sz="2" w:space="0" w:color="auto"/>
              <w:left w:val="nil"/>
              <w:bottom w:val="single" w:sz="2" w:space="0" w:color="auto"/>
              <w:right w:val="nil"/>
            </w:tcBorders>
            <w:hideMark/>
          </w:tcPr>
          <w:p w14:paraId="208700E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0E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F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F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0F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0F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0F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0F5" w14:textId="77777777" w:rsidR="00802D3E" w:rsidRDefault="00802D3E">
            <w:pPr>
              <w:pStyle w:val="MeasureTableTextRightAligned"/>
            </w:pPr>
            <w:r>
              <w:t>*</w:t>
            </w:r>
          </w:p>
        </w:tc>
      </w:tr>
      <w:tr w:rsidR="00802D3E" w14:paraId="208700FB" w14:textId="77777777" w:rsidTr="00802D3E">
        <w:trPr>
          <w:cantSplit/>
          <w:jc w:val="center"/>
        </w:trPr>
        <w:tc>
          <w:tcPr>
            <w:tcW w:w="1934" w:type="dxa"/>
            <w:gridSpan w:val="2"/>
            <w:tcBorders>
              <w:top w:val="single" w:sz="2" w:space="0" w:color="auto"/>
              <w:left w:val="nil"/>
              <w:bottom w:val="nil"/>
              <w:right w:val="nil"/>
            </w:tcBorders>
            <w:hideMark/>
          </w:tcPr>
          <w:p w14:paraId="208700F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0F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0F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0FA" w14:textId="77777777" w:rsidR="00802D3E" w:rsidRDefault="00802D3E">
            <w:pPr>
              <w:pStyle w:val="MeasureTableTextLeftAligned"/>
            </w:pPr>
            <w:r>
              <w:t>D30</w:t>
            </w:r>
          </w:p>
        </w:tc>
      </w:tr>
      <w:tr w:rsidR="00802D3E" w14:paraId="20870100" w14:textId="77777777" w:rsidTr="00802D3E">
        <w:trPr>
          <w:cantSplit/>
          <w:jc w:val="center"/>
        </w:trPr>
        <w:tc>
          <w:tcPr>
            <w:tcW w:w="1934" w:type="dxa"/>
            <w:gridSpan w:val="2"/>
            <w:tcBorders>
              <w:top w:val="nil"/>
              <w:left w:val="nil"/>
              <w:bottom w:val="nil"/>
              <w:right w:val="nil"/>
            </w:tcBorders>
            <w:hideMark/>
          </w:tcPr>
          <w:p w14:paraId="208700F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0F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0F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0FF" w14:textId="77777777" w:rsidR="00802D3E" w:rsidRDefault="00802D3E">
            <w:pPr>
              <w:pStyle w:val="MeasureTableTextLeftAligned"/>
            </w:pPr>
            <w:r>
              <w:t>1+</w:t>
            </w:r>
          </w:p>
        </w:tc>
      </w:tr>
      <w:tr w:rsidR="00802D3E" w14:paraId="20870105" w14:textId="77777777" w:rsidTr="00802D3E">
        <w:trPr>
          <w:cantSplit/>
          <w:jc w:val="center"/>
        </w:trPr>
        <w:tc>
          <w:tcPr>
            <w:tcW w:w="1934" w:type="dxa"/>
            <w:gridSpan w:val="2"/>
            <w:tcBorders>
              <w:top w:val="nil"/>
              <w:left w:val="nil"/>
              <w:bottom w:val="nil"/>
              <w:right w:val="nil"/>
            </w:tcBorders>
            <w:hideMark/>
          </w:tcPr>
          <w:p w14:paraId="2087010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102"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10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104" w14:textId="77777777" w:rsidR="00802D3E" w:rsidRDefault="00802D3E">
            <w:pPr>
              <w:pStyle w:val="MeasureTableTextLeftAligned"/>
            </w:pPr>
          </w:p>
        </w:tc>
      </w:tr>
      <w:tr w:rsidR="00802D3E" w14:paraId="20870108" w14:textId="77777777" w:rsidTr="00802D3E">
        <w:trPr>
          <w:cantSplit/>
          <w:jc w:val="center"/>
        </w:trPr>
        <w:tc>
          <w:tcPr>
            <w:tcW w:w="1934" w:type="dxa"/>
            <w:gridSpan w:val="2"/>
            <w:tcBorders>
              <w:top w:val="nil"/>
              <w:left w:val="nil"/>
              <w:bottom w:val="single" w:sz="2" w:space="0" w:color="auto"/>
              <w:right w:val="nil"/>
            </w:tcBorders>
            <w:hideMark/>
          </w:tcPr>
          <w:p w14:paraId="2087010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10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Subsection 47(8) of the </w:t>
            </w:r>
            <w:r w:rsidRPr="00106337">
              <w:rPr>
                <w:rFonts w:ascii="Arial" w:hAnsi="Arial" w:cs="Arial"/>
                <w:i/>
                <w:iCs/>
                <w:color w:val="000000"/>
                <w:sz w:val="16"/>
                <w:szCs w:val="16"/>
              </w:rPr>
              <w:t>Fringe Benefits Tax Assessment Act 1986</w:t>
            </w:r>
          </w:p>
        </w:tc>
      </w:tr>
    </w:tbl>
    <w:p w14:paraId="20870109" w14:textId="77777777" w:rsidR="00802D3E" w:rsidRDefault="00802D3E" w:rsidP="00A109BC">
      <w:pPr>
        <w:pStyle w:val="SingleParagraph"/>
      </w:pPr>
    </w:p>
    <w:p w14:paraId="2087010A" w14:textId="77777777" w:rsidR="00802D3E" w:rsidRDefault="00802D3E" w:rsidP="00802D3E">
      <w:r>
        <w:t>Payments made by employers to obtain priority of access to approved childcare services</w:t>
      </w:r>
      <w:r>
        <w:fldChar w:fldCharType="begin"/>
      </w:r>
      <w:r>
        <w:instrText xml:space="preserve"> XE "Child Care:Facilities" </w:instrText>
      </w:r>
      <w:r>
        <w:fldChar w:fldCharType="end"/>
      </w:r>
      <w:r>
        <w:t xml:space="preserve"> for children of employees are exempt from fringe benefits tax. </w:t>
      </w:r>
    </w:p>
    <w:p w14:paraId="2087010B" w14:textId="77777777" w:rsidR="00802D3E" w:rsidRDefault="00802D3E" w:rsidP="00802D3E">
      <w:pPr>
        <w:pStyle w:val="TESHeading5"/>
        <w:ind w:left="0" w:firstLine="0"/>
      </w:pPr>
      <w:r>
        <w:lastRenderedPageBreak/>
        <w:t>D31</w:t>
      </w:r>
      <w:r>
        <w:tab/>
        <w:t>Employer-provided motor vehicle parking exemption</w:t>
      </w:r>
    </w:p>
    <w:p w14:paraId="2087010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115" w14:textId="77777777" w:rsidTr="00802D3E">
        <w:trPr>
          <w:cantSplit/>
          <w:jc w:val="center"/>
        </w:trPr>
        <w:tc>
          <w:tcPr>
            <w:tcW w:w="967" w:type="dxa"/>
            <w:tcBorders>
              <w:top w:val="single" w:sz="2" w:space="0" w:color="auto"/>
              <w:left w:val="nil"/>
              <w:bottom w:val="single" w:sz="2" w:space="0" w:color="auto"/>
              <w:right w:val="nil"/>
            </w:tcBorders>
            <w:hideMark/>
          </w:tcPr>
          <w:p w14:paraId="2087010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10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10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11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11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11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11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114" w14:textId="77777777" w:rsidR="00802D3E" w:rsidRDefault="00802D3E">
            <w:pPr>
              <w:pStyle w:val="MeasureTableTextRightAligned"/>
            </w:pPr>
            <w:r>
              <w:t>2019-20</w:t>
            </w:r>
          </w:p>
        </w:tc>
      </w:tr>
      <w:tr w:rsidR="00802D3E" w14:paraId="2087011E" w14:textId="77777777" w:rsidTr="00802D3E">
        <w:trPr>
          <w:cantSplit/>
          <w:jc w:val="center"/>
        </w:trPr>
        <w:tc>
          <w:tcPr>
            <w:tcW w:w="967" w:type="dxa"/>
            <w:tcBorders>
              <w:top w:val="single" w:sz="2" w:space="0" w:color="auto"/>
              <w:left w:val="nil"/>
              <w:bottom w:val="single" w:sz="2" w:space="0" w:color="auto"/>
              <w:right w:val="nil"/>
            </w:tcBorders>
            <w:hideMark/>
          </w:tcPr>
          <w:p w14:paraId="2087011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11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1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1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1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11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11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11D" w14:textId="77777777" w:rsidR="00802D3E" w:rsidRDefault="00802D3E">
            <w:pPr>
              <w:pStyle w:val="MeasureTableTextRightAligned"/>
            </w:pPr>
            <w:r>
              <w:t>*</w:t>
            </w:r>
          </w:p>
        </w:tc>
      </w:tr>
      <w:tr w:rsidR="00802D3E" w14:paraId="20870123" w14:textId="77777777" w:rsidTr="00802D3E">
        <w:trPr>
          <w:cantSplit/>
          <w:jc w:val="center"/>
        </w:trPr>
        <w:tc>
          <w:tcPr>
            <w:tcW w:w="1934" w:type="dxa"/>
            <w:gridSpan w:val="2"/>
            <w:tcBorders>
              <w:top w:val="single" w:sz="2" w:space="0" w:color="auto"/>
              <w:left w:val="nil"/>
              <w:bottom w:val="nil"/>
              <w:right w:val="nil"/>
            </w:tcBorders>
            <w:hideMark/>
          </w:tcPr>
          <w:p w14:paraId="2087011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12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12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122" w14:textId="77777777" w:rsidR="00802D3E" w:rsidRDefault="00802D3E">
            <w:pPr>
              <w:pStyle w:val="MeasureTableTextLeftAligned"/>
            </w:pPr>
            <w:r>
              <w:t>D31</w:t>
            </w:r>
          </w:p>
        </w:tc>
      </w:tr>
      <w:tr w:rsidR="00802D3E" w14:paraId="20870128" w14:textId="77777777" w:rsidTr="00802D3E">
        <w:trPr>
          <w:cantSplit/>
          <w:jc w:val="center"/>
        </w:trPr>
        <w:tc>
          <w:tcPr>
            <w:tcW w:w="1934" w:type="dxa"/>
            <w:gridSpan w:val="2"/>
            <w:tcBorders>
              <w:top w:val="nil"/>
              <w:left w:val="nil"/>
              <w:bottom w:val="nil"/>
              <w:right w:val="nil"/>
            </w:tcBorders>
            <w:hideMark/>
          </w:tcPr>
          <w:p w14:paraId="2087012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12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12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127" w14:textId="77777777" w:rsidR="00802D3E" w:rsidRDefault="00802D3E">
            <w:pPr>
              <w:pStyle w:val="MeasureTableTextLeftAligned"/>
            </w:pPr>
            <w:r>
              <w:t>2+</w:t>
            </w:r>
          </w:p>
        </w:tc>
      </w:tr>
      <w:tr w:rsidR="00802D3E" w14:paraId="2087012D" w14:textId="77777777" w:rsidTr="00802D3E">
        <w:trPr>
          <w:cantSplit/>
          <w:jc w:val="center"/>
        </w:trPr>
        <w:tc>
          <w:tcPr>
            <w:tcW w:w="1934" w:type="dxa"/>
            <w:gridSpan w:val="2"/>
            <w:tcBorders>
              <w:top w:val="nil"/>
              <w:left w:val="nil"/>
              <w:bottom w:val="nil"/>
              <w:right w:val="nil"/>
            </w:tcBorders>
            <w:hideMark/>
          </w:tcPr>
          <w:p w14:paraId="2087012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12A" w14:textId="77777777" w:rsidR="00802D3E" w:rsidRDefault="00802D3E">
            <w:pPr>
              <w:pStyle w:val="MeasureTableTextLeftAligned"/>
            </w:pPr>
            <w:r>
              <w:t>1987</w:t>
            </w:r>
          </w:p>
        </w:tc>
        <w:tc>
          <w:tcPr>
            <w:tcW w:w="1500" w:type="dxa"/>
            <w:gridSpan w:val="2"/>
            <w:tcBorders>
              <w:top w:val="nil"/>
              <w:left w:val="nil"/>
              <w:bottom w:val="nil"/>
              <w:right w:val="nil"/>
            </w:tcBorders>
            <w:hideMark/>
          </w:tcPr>
          <w:p w14:paraId="2087012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12C" w14:textId="77777777" w:rsidR="00802D3E" w:rsidRDefault="00802D3E">
            <w:pPr>
              <w:pStyle w:val="MeasureTableTextLeftAligned"/>
            </w:pPr>
          </w:p>
        </w:tc>
      </w:tr>
      <w:tr w:rsidR="00802D3E" w14:paraId="20870130" w14:textId="77777777" w:rsidTr="00802D3E">
        <w:trPr>
          <w:cantSplit/>
          <w:jc w:val="center"/>
        </w:trPr>
        <w:tc>
          <w:tcPr>
            <w:tcW w:w="1934" w:type="dxa"/>
            <w:gridSpan w:val="2"/>
            <w:tcBorders>
              <w:top w:val="nil"/>
              <w:left w:val="nil"/>
              <w:bottom w:val="single" w:sz="2" w:space="0" w:color="auto"/>
              <w:right w:val="nil"/>
            </w:tcBorders>
            <w:hideMark/>
          </w:tcPr>
          <w:p w14:paraId="2087012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12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58G of the </w:t>
            </w:r>
            <w:r w:rsidRPr="00106337">
              <w:rPr>
                <w:rFonts w:ascii="Arial" w:hAnsi="Arial" w:cs="Arial"/>
                <w:i/>
                <w:iCs/>
                <w:color w:val="000000"/>
                <w:sz w:val="16"/>
                <w:szCs w:val="16"/>
              </w:rPr>
              <w:t>Fringe Benefits Tax Assessment Act 1986</w:t>
            </w:r>
            <w:r w:rsidRPr="00106337">
              <w:rPr>
                <w:rFonts w:ascii="Arial" w:hAnsi="Arial" w:cs="Arial"/>
                <w:i/>
                <w:iCs/>
                <w:color w:val="000000"/>
                <w:sz w:val="16"/>
                <w:szCs w:val="16"/>
              </w:rPr>
              <w:br/>
            </w:r>
            <w:r w:rsidRPr="00106337">
              <w:rPr>
                <w:rFonts w:ascii="Arial" w:hAnsi="Arial" w:cs="Arial"/>
                <w:sz w:val="16"/>
                <w:szCs w:val="16"/>
              </w:rPr>
              <w:t xml:space="preserve">Regulation 13A of the </w:t>
            </w:r>
            <w:r w:rsidRPr="00106337">
              <w:rPr>
                <w:rFonts w:ascii="Arial" w:hAnsi="Arial" w:cs="Arial"/>
                <w:i/>
                <w:iCs/>
                <w:color w:val="000000"/>
                <w:sz w:val="16"/>
                <w:szCs w:val="16"/>
              </w:rPr>
              <w:t>Fringe Benefits Tax Regulations 1992</w:t>
            </w:r>
          </w:p>
        </w:tc>
      </w:tr>
    </w:tbl>
    <w:p w14:paraId="20870131" w14:textId="77777777" w:rsidR="00802D3E" w:rsidRDefault="00802D3E" w:rsidP="00A109BC">
      <w:pPr>
        <w:pStyle w:val="SingleParagraph"/>
      </w:pPr>
    </w:p>
    <w:p w14:paraId="20870132" w14:textId="77777777" w:rsidR="00802D3E" w:rsidRDefault="00802D3E" w:rsidP="00802D3E">
      <w:r>
        <w:t>Parking for disabled employees,</w:t>
      </w:r>
      <w:r>
        <w:fldChar w:fldCharType="begin"/>
      </w:r>
      <w:r>
        <w:instrText xml:space="preserve"> XE "Fringe benefits tax:Car parking benefits" </w:instrText>
      </w:r>
      <w:r>
        <w:fldChar w:fldCharType="end"/>
      </w:r>
      <w:r>
        <w:t xml:space="preserve"> and for employees of scientific, religious, charitable or other public educational institutions, is exempt from fringe benefits tax. </w:t>
      </w:r>
    </w:p>
    <w:p w14:paraId="20870133" w14:textId="77777777" w:rsidR="00802D3E" w:rsidRDefault="00802D3E" w:rsidP="00802D3E">
      <w:pPr>
        <w:pStyle w:val="TESHeading5"/>
        <w:ind w:left="0" w:firstLine="0"/>
      </w:pPr>
      <w:r>
        <w:t>D32</w:t>
      </w:r>
      <w:r>
        <w:tab/>
        <w:t>Expenses for employees living away from home exemption</w:t>
      </w:r>
    </w:p>
    <w:p w14:paraId="20870134"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13D" w14:textId="77777777" w:rsidTr="00802D3E">
        <w:trPr>
          <w:cantSplit/>
          <w:jc w:val="center"/>
        </w:trPr>
        <w:tc>
          <w:tcPr>
            <w:tcW w:w="967" w:type="dxa"/>
            <w:tcBorders>
              <w:top w:val="single" w:sz="2" w:space="0" w:color="auto"/>
              <w:left w:val="nil"/>
              <w:bottom w:val="single" w:sz="2" w:space="0" w:color="auto"/>
              <w:right w:val="nil"/>
            </w:tcBorders>
            <w:hideMark/>
          </w:tcPr>
          <w:p w14:paraId="2087013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13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13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13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13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13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13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13C" w14:textId="77777777" w:rsidR="00802D3E" w:rsidRDefault="00802D3E">
            <w:pPr>
              <w:pStyle w:val="MeasureTableTextRightAligned"/>
            </w:pPr>
            <w:r>
              <w:t>2019-20</w:t>
            </w:r>
          </w:p>
        </w:tc>
      </w:tr>
      <w:tr w:rsidR="00802D3E" w14:paraId="20870146" w14:textId="77777777" w:rsidTr="00802D3E">
        <w:trPr>
          <w:cantSplit/>
          <w:jc w:val="center"/>
        </w:trPr>
        <w:tc>
          <w:tcPr>
            <w:tcW w:w="967" w:type="dxa"/>
            <w:tcBorders>
              <w:top w:val="single" w:sz="2" w:space="0" w:color="auto"/>
              <w:left w:val="nil"/>
              <w:bottom w:val="single" w:sz="2" w:space="0" w:color="auto"/>
              <w:right w:val="nil"/>
            </w:tcBorders>
            <w:hideMark/>
          </w:tcPr>
          <w:p w14:paraId="2087013E" w14:textId="77777777" w:rsidR="00802D3E" w:rsidRDefault="00802D3E">
            <w:pPr>
              <w:pStyle w:val="MeasureTableTextRightAligned"/>
            </w:pPr>
            <w:r>
              <w:t>240</w:t>
            </w:r>
          </w:p>
        </w:tc>
        <w:tc>
          <w:tcPr>
            <w:tcW w:w="967" w:type="dxa"/>
            <w:tcBorders>
              <w:top w:val="single" w:sz="2" w:space="0" w:color="auto"/>
              <w:left w:val="nil"/>
              <w:bottom w:val="single" w:sz="2" w:space="0" w:color="auto"/>
              <w:right w:val="nil"/>
            </w:tcBorders>
            <w:hideMark/>
          </w:tcPr>
          <w:p w14:paraId="2087013F" w14:textId="77777777" w:rsidR="00802D3E" w:rsidRDefault="00802D3E">
            <w:pPr>
              <w:pStyle w:val="MeasureTableTextRightAligned"/>
            </w:pPr>
            <w:r>
              <w:t>70</w:t>
            </w:r>
          </w:p>
        </w:tc>
        <w:tc>
          <w:tcPr>
            <w:tcW w:w="967" w:type="dxa"/>
            <w:tcBorders>
              <w:top w:val="single" w:sz="2" w:space="0" w:color="auto"/>
              <w:left w:val="nil"/>
              <w:bottom w:val="single" w:sz="2" w:space="0" w:color="auto"/>
              <w:right w:val="nil"/>
            </w:tcBorders>
            <w:vAlign w:val="bottom"/>
            <w:hideMark/>
          </w:tcPr>
          <w:p w14:paraId="20870140" w14:textId="77777777" w:rsidR="00802D3E" w:rsidRDefault="00802D3E">
            <w:pPr>
              <w:pStyle w:val="MeasureTableTextRightAligned"/>
            </w:pPr>
            <w:r>
              <w:t>50</w:t>
            </w:r>
          </w:p>
        </w:tc>
        <w:tc>
          <w:tcPr>
            <w:tcW w:w="967" w:type="dxa"/>
            <w:tcBorders>
              <w:top w:val="single" w:sz="2" w:space="0" w:color="auto"/>
              <w:left w:val="nil"/>
              <w:bottom w:val="single" w:sz="2" w:space="0" w:color="auto"/>
              <w:right w:val="nil"/>
            </w:tcBorders>
            <w:vAlign w:val="bottom"/>
            <w:hideMark/>
          </w:tcPr>
          <w:p w14:paraId="20870141" w14:textId="77777777" w:rsidR="00802D3E" w:rsidRDefault="00802D3E">
            <w:pPr>
              <w:pStyle w:val="MeasureTableTextRightAligned"/>
            </w:pPr>
            <w:r>
              <w:t>40</w:t>
            </w:r>
          </w:p>
        </w:tc>
        <w:tc>
          <w:tcPr>
            <w:tcW w:w="967" w:type="dxa"/>
            <w:tcBorders>
              <w:top w:val="single" w:sz="2" w:space="0" w:color="auto"/>
              <w:left w:val="nil"/>
              <w:bottom w:val="single" w:sz="2" w:space="0" w:color="auto"/>
              <w:right w:val="nil"/>
            </w:tcBorders>
            <w:vAlign w:val="bottom"/>
            <w:hideMark/>
          </w:tcPr>
          <w:p w14:paraId="20870142" w14:textId="77777777" w:rsidR="00802D3E" w:rsidRDefault="00802D3E">
            <w:pPr>
              <w:pStyle w:val="MeasureTableTextRightAligned"/>
            </w:pPr>
            <w:r>
              <w:t>40</w:t>
            </w:r>
          </w:p>
        </w:tc>
        <w:tc>
          <w:tcPr>
            <w:tcW w:w="967" w:type="dxa"/>
            <w:gridSpan w:val="2"/>
            <w:tcBorders>
              <w:top w:val="single" w:sz="2" w:space="0" w:color="auto"/>
              <w:left w:val="nil"/>
              <w:bottom w:val="single" w:sz="2" w:space="0" w:color="auto"/>
              <w:right w:val="nil"/>
            </w:tcBorders>
            <w:vAlign w:val="bottom"/>
            <w:hideMark/>
          </w:tcPr>
          <w:p w14:paraId="20870143" w14:textId="77777777" w:rsidR="00802D3E" w:rsidRDefault="00802D3E">
            <w:pPr>
              <w:pStyle w:val="MeasureTableTextRightAligned"/>
            </w:pPr>
            <w:r>
              <w:t>40</w:t>
            </w:r>
          </w:p>
        </w:tc>
        <w:tc>
          <w:tcPr>
            <w:tcW w:w="967" w:type="dxa"/>
            <w:gridSpan w:val="2"/>
            <w:tcBorders>
              <w:top w:val="single" w:sz="2" w:space="0" w:color="auto"/>
              <w:left w:val="nil"/>
              <w:bottom w:val="single" w:sz="2" w:space="0" w:color="auto"/>
              <w:right w:val="nil"/>
            </w:tcBorders>
            <w:vAlign w:val="bottom"/>
            <w:hideMark/>
          </w:tcPr>
          <w:p w14:paraId="20870144" w14:textId="77777777" w:rsidR="00802D3E" w:rsidRDefault="00802D3E">
            <w:pPr>
              <w:pStyle w:val="MeasureTableTextRightAligned"/>
            </w:pPr>
            <w:r>
              <w:t>40</w:t>
            </w:r>
          </w:p>
        </w:tc>
        <w:tc>
          <w:tcPr>
            <w:tcW w:w="968" w:type="dxa"/>
            <w:tcBorders>
              <w:top w:val="single" w:sz="2" w:space="0" w:color="auto"/>
              <w:left w:val="nil"/>
              <w:bottom w:val="single" w:sz="2" w:space="0" w:color="auto"/>
              <w:right w:val="nil"/>
            </w:tcBorders>
            <w:vAlign w:val="bottom"/>
            <w:hideMark/>
          </w:tcPr>
          <w:p w14:paraId="20870145" w14:textId="77777777" w:rsidR="00802D3E" w:rsidRDefault="00802D3E">
            <w:pPr>
              <w:pStyle w:val="MeasureTableTextRightAligned"/>
            </w:pPr>
            <w:r>
              <w:t>40</w:t>
            </w:r>
          </w:p>
        </w:tc>
      </w:tr>
      <w:tr w:rsidR="00802D3E" w14:paraId="2087014B" w14:textId="77777777" w:rsidTr="00802D3E">
        <w:trPr>
          <w:cantSplit/>
          <w:jc w:val="center"/>
        </w:trPr>
        <w:tc>
          <w:tcPr>
            <w:tcW w:w="1934" w:type="dxa"/>
            <w:gridSpan w:val="2"/>
            <w:tcBorders>
              <w:top w:val="single" w:sz="2" w:space="0" w:color="auto"/>
              <w:left w:val="nil"/>
              <w:bottom w:val="nil"/>
              <w:right w:val="nil"/>
            </w:tcBorders>
            <w:hideMark/>
          </w:tcPr>
          <w:p w14:paraId="2087014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14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14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14A" w14:textId="77777777" w:rsidR="00802D3E" w:rsidRDefault="00802D3E">
            <w:pPr>
              <w:pStyle w:val="MeasureTableTextLeftAligned"/>
            </w:pPr>
            <w:r>
              <w:t>D32</w:t>
            </w:r>
          </w:p>
        </w:tc>
      </w:tr>
      <w:tr w:rsidR="00802D3E" w14:paraId="20870150" w14:textId="77777777" w:rsidTr="00802D3E">
        <w:trPr>
          <w:cantSplit/>
          <w:jc w:val="center"/>
        </w:trPr>
        <w:tc>
          <w:tcPr>
            <w:tcW w:w="1934" w:type="dxa"/>
            <w:gridSpan w:val="2"/>
            <w:tcBorders>
              <w:top w:val="nil"/>
              <w:left w:val="nil"/>
              <w:bottom w:val="nil"/>
              <w:right w:val="nil"/>
            </w:tcBorders>
            <w:hideMark/>
          </w:tcPr>
          <w:p w14:paraId="2087014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14D" w14:textId="77777777" w:rsidR="00802D3E" w:rsidRDefault="00802D3E">
            <w:pPr>
              <w:pStyle w:val="MeasureTableTextLeftAligned"/>
            </w:pPr>
            <w:r>
              <w:t>Low</w:t>
            </w:r>
          </w:p>
        </w:tc>
        <w:tc>
          <w:tcPr>
            <w:tcW w:w="1500" w:type="dxa"/>
            <w:gridSpan w:val="2"/>
            <w:tcBorders>
              <w:top w:val="nil"/>
              <w:left w:val="nil"/>
              <w:bottom w:val="nil"/>
              <w:right w:val="nil"/>
            </w:tcBorders>
          </w:tcPr>
          <w:p w14:paraId="2087014E" w14:textId="77777777" w:rsidR="00802D3E" w:rsidRDefault="00802D3E">
            <w:pPr>
              <w:pStyle w:val="MeasureTableTextItalic"/>
            </w:pPr>
          </w:p>
        </w:tc>
        <w:tc>
          <w:tcPr>
            <w:tcW w:w="1124" w:type="dxa"/>
            <w:gridSpan w:val="2"/>
            <w:tcBorders>
              <w:top w:val="nil"/>
              <w:left w:val="nil"/>
              <w:bottom w:val="nil"/>
              <w:right w:val="nil"/>
            </w:tcBorders>
          </w:tcPr>
          <w:p w14:paraId="2087014F" w14:textId="77777777" w:rsidR="00802D3E" w:rsidRDefault="00802D3E">
            <w:pPr>
              <w:pStyle w:val="MeasureTableTextLeftAligned"/>
            </w:pPr>
          </w:p>
        </w:tc>
      </w:tr>
      <w:tr w:rsidR="00802D3E" w14:paraId="20870155" w14:textId="77777777" w:rsidTr="00802D3E">
        <w:trPr>
          <w:cantSplit/>
          <w:jc w:val="center"/>
        </w:trPr>
        <w:tc>
          <w:tcPr>
            <w:tcW w:w="1934" w:type="dxa"/>
            <w:gridSpan w:val="2"/>
            <w:tcBorders>
              <w:top w:val="nil"/>
              <w:left w:val="nil"/>
              <w:bottom w:val="nil"/>
              <w:right w:val="nil"/>
            </w:tcBorders>
            <w:hideMark/>
          </w:tcPr>
          <w:p w14:paraId="2087015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152"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15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154" w14:textId="77777777" w:rsidR="00802D3E" w:rsidRDefault="00802D3E">
            <w:pPr>
              <w:pStyle w:val="MeasureTableTextLeftAligned"/>
            </w:pPr>
          </w:p>
        </w:tc>
      </w:tr>
      <w:tr w:rsidR="00802D3E" w14:paraId="20870158" w14:textId="77777777" w:rsidTr="00802D3E">
        <w:trPr>
          <w:cantSplit/>
          <w:jc w:val="center"/>
        </w:trPr>
        <w:tc>
          <w:tcPr>
            <w:tcW w:w="1934" w:type="dxa"/>
            <w:gridSpan w:val="2"/>
            <w:tcBorders>
              <w:top w:val="nil"/>
              <w:left w:val="nil"/>
              <w:bottom w:val="single" w:sz="2" w:space="0" w:color="auto"/>
              <w:right w:val="nil"/>
            </w:tcBorders>
            <w:hideMark/>
          </w:tcPr>
          <w:p w14:paraId="2087015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15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21, 31, 47(5), 58E, 58ZD and 63 of the </w:t>
            </w:r>
            <w:r w:rsidRPr="00106337">
              <w:rPr>
                <w:rFonts w:ascii="Arial" w:hAnsi="Arial" w:cs="Arial"/>
                <w:i/>
                <w:iCs/>
                <w:color w:val="000000"/>
                <w:sz w:val="16"/>
                <w:szCs w:val="16"/>
              </w:rPr>
              <w:t>Fringe Benefits Tax Assessment Act 1986</w:t>
            </w:r>
          </w:p>
        </w:tc>
      </w:tr>
    </w:tbl>
    <w:p w14:paraId="20870159" w14:textId="77777777" w:rsidR="00802D3E" w:rsidRDefault="00802D3E" w:rsidP="00A109BC">
      <w:pPr>
        <w:pStyle w:val="SingleParagraph"/>
      </w:pPr>
    </w:p>
    <w:p w14:paraId="2087015A" w14:textId="77777777" w:rsidR="00802D3E" w:rsidRDefault="00DD4404" w:rsidP="00802D3E">
      <w:r>
        <w:fldChar w:fldCharType="begin"/>
      </w:r>
      <w:r>
        <w:instrText xml:space="preserve"> XE "Fringe benefits tax:Employee living away from home" </w:instrText>
      </w:r>
      <w:r>
        <w:fldChar w:fldCharType="end"/>
      </w:r>
      <w:r w:rsidR="00802D3E">
        <w:t xml:space="preserve">Accommodation, food, household goods and payments for extra expenses provided to employees living away from their usual place of residence (in order to perform their duties of employment) are exempt from fringe benefits tax. A range of requirements must be satisfied in order to access this concession. </w:t>
      </w:r>
    </w:p>
    <w:p w14:paraId="2087015B" w14:textId="77777777" w:rsidR="00802D3E" w:rsidRDefault="00802D3E" w:rsidP="00802D3E">
      <w:pPr>
        <w:pStyle w:val="TESHeading5"/>
        <w:ind w:left="0" w:firstLine="0"/>
      </w:pPr>
      <w:r>
        <w:t>D33</w:t>
      </w:r>
      <w:r>
        <w:tab/>
        <w:t xml:space="preserve">In-house fringe benefits </w:t>
      </w:r>
      <w:r w:rsidR="000B181C">
        <w:t>–</w:t>
      </w:r>
      <w:r>
        <w:t xml:space="preserve"> reduction</w:t>
      </w:r>
      <w:r w:rsidR="000B181C">
        <w:t xml:space="preserve"> </w:t>
      </w:r>
      <w:r>
        <w:t>in the aggregate taxable value</w:t>
      </w:r>
    </w:p>
    <w:p w14:paraId="2087015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165" w14:textId="77777777" w:rsidTr="00802D3E">
        <w:trPr>
          <w:cantSplit/>
          <w:jc w:val="center"/>
        </w:trPr>
        <w:tc>
          <w:tcPr>
            <w:tcW w:w="967" w:type="dxa"/>
            <w:tcBorders>
              <w:top w:val="single" w:sz="2" w:space="0" w:color="auto"/>
              <w:left w:val="nil"/>
              <w:bottom w:val="single" w:sz="2" w:space="0" w:color="auto"/>
              <w:right w:val="nil"/>
            </w:tcBorders>
            <w:hideMark/>
          </w:tcPr>
          <w:p w14:paraId="2087015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15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15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16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16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16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16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164" w14:textId="77777777" w:rsidR="00802D3E" w:rsidRDefault="00802D3E">
            <w:pPr>
              <w:pStyle w:val="MeasureTableTextRightAligned"/>
            </w:pPr>
            <w:r>
              <w:t>2019-20</w:t>
            </w:r>
          </w:p>
        </w:tc>
      </w:tr>
      <w:tr w:rsidR="00802D3E" w14:paraId="2087016E" w14:textId="77777777" w:rsidTr="00802D3E">
        <w:trPr>
          <w:cantSplit/>
          <w:jc w:val="center"/>
        </w:trPr>
        <w:tc>
          <w:tcPr>
            <w:tcW w:w="967" w:type="dxa"/>
            <w:tcBorders>
              <w:top w:val="single" w:sz="2" w:space="0" w:color="auto"/>
              <w:left w:val="nil"/>
              <w:bottom w:val="single" w:sz="2" w:space="0" w:color="auto"/>
              <w:right w:val="nil"/>
            </w:tcBorders>
            <w:hideMark/>
          </w:tcPr>
          <w:p w14:paraId="2087016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16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6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6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6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16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16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16D" w14:textId="77777777" w:rsidR="00802D3E" w:rsidRDefault="00802D3E">
            <w:pPr>
              <w:pStyle w:val="MeasureTableTextRightAligned"/>
            </w:pPr>
            <w:r>
              <w:t>*</w:t>
            </w:r>
          </w:p>
        </w:tc>
      </w:tr>
      <w:tr w:rsidR="00802D3E" w14:paraId="20870173" w14:textId="77777777" w:rsidTr="00802D3E">
        <w:trPr>
          <w:cantSplit/>
          <w:jc w:val="center"/>
        </w:trPr>
        <w:tc>
          <w:tcPr>
            <w:tcW w:w="1934" w:type="dxa"/>
            <w:gridSpan w:val="2"/>
            <w:tcBorders>
              <w:top w:val="single" w:sz="2" w:space="0" w:color="auto"/>
              <w:left w:val="nil"/>
              <w:bottom w:val="nil"/>
              <w:right w:val="nil"/>
            </w:tcBorders>
            <w:hideMark/>
          </w:tcPr>
          <w:p w14:paraId="2087016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170" w14:textId="77777777" w:rsidR="00802D3E" w:rsidRDefault="00802D3E">
            <w:pPr>
              <w:pStyle w:val="MeasureTableTextLeftAligned"/>
            </w:pPr>
            <w:r>
              <w:t>Reduction in taxable value</w:t>
            </w:r>
          </w:p>
        </w:tc>
        <w:tc>
          <w:tcPr>
            <w:tcW w:w="1500" w:type="dxa"/>
            <w:gridSpan w:val="2"/>
            <w:tcBorders>
              <w:top w:val="single" w:sz="2" w:space="0" w:color="auto"/>
              <w:left w:val="nil"/>
              <w:bottom w:val="nil"/>
              <w:right w:val="nil"/>
            </w:tcBorders>
            <w:hideMark/>
          </w:tcPr>
          <w:p w14:paraId="2087017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172" w14:textId="77777777" w:rsidR="00802D3E" w:rsidRDefault="00802D3E">
            <w:pPr>
              <w:pStyle w:val="MeasureTableTextLeftAligned"/>
            </w:pPr>
            <w:r>
              <w:t>D33</w:t>
            </w:r>
          </w:p>
        </w:tc>
      </w:tr>
      <w:tr w:rsidR="00802D3E" w14:paraId="20870178" w14:textId="77777777" w:rsidTr="00802D3E">
        <w:trPr>
          <w:cantSplit/>
          <w:jc w:val="center"/>
        </w:trPr>
        <w:tc>
          <w:tcPr>
            <w:tcW w:w="1934" w:type="dxa"/>
            <w:gridSpan w:val="2"/>
            <w:tcBorders>
              <w:top w:val="nil"/>
              <w:left w:val="nil"/>
              <w:bottom w:val="nil"/>
              <w:right w:val="nil"/>
            </w:tcBorders>
            <w:hideMark/>
          </w:tcPr>
          <w:p w14:paraId="2087017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17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17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177" w14:textId="77777777" w:rsidR="00802D3E" w:rsidRDefault="00802D3E">
            <w:pPr>
              <w:pStyle w:val="MeasureTableTextLeftAligned"/>
            </w:pPr>
            <w:r>
              <w:t>2+</w:t>
            </w:r>
          </w:p>
        </w:tc>
      </w:tr>
      <w:tr w:rsidR="00802D3E" w14:paraId="2087017D" w14:textId="77777777" w:rsidTr="00802D3E">
        <w:trPr>
          <w:cantSplit/>
          <w:jc w:val="center"/>
        </w:trPr>
        <w:tc>
          <w:tcPr>
            <w:tcW w:w="1934" w:type="dxa"/>
            <w:gridSpan w:val="2"/>
            <w:tcBorders>
              <w:top w:val="nil"/>
              <w:left w:val="nil"/>
              <w:bottom w:val="nil"/>
              <w:right w:val="nil"/>
            </w:tcBorders>
            <w:hideMark/>
          </w:tcPr>
          <w:p w14:paraId="2087017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17A"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17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17C" w14:textId="77777777" w:rsidR="00802D3E" w:rsidRDefault="00802D3E">
            <w:pPr>
              <w:pStyle w:val="MeasureTableTextLeftAligned"/>
            </w:pPr>
          </w:p>
        </w:tc>
      </w:tr>
      <w:tr w:rsidR="00802D3E" w14:paraId="20870180" w14:textId="77777777" w:rsidTr="00802D3E">
        <w:trPr>
          <w:cantSplit/>
          <w:jc w:val="center"/>
        </w:trPr>
        <w:tc>
          <w:tcPr>
            <w:tcW w:w="1934" w:type="dxa"/>
            <w:gridSpan w:val="2"/>
            <w:tcBorders>
              <w:top w:val="nil"/>
              <w:left w:val="nil"/>
              <w:bottom w:val="single" w:sz="2" w:space="0" w:color="auto"/>
              <w:right w:val="nil"/>
            </w:tcBorders>
            <w:hideMark/>
          </w:tcPr>
          <w:p w14:paraId="2087017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17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62 of the </w:t>
            </w:r>
            <w:r w:rsidRPr="00106337">
              <w:rPr>
                <w:rFonts w:ascii="Arial" w:hAnsi="Arial" w:cs="Arial"/>
                <w:i/>
                <w:iCs/>
                <w:color w:val="000000"/>
                <w:sz w:val="16"/>
                <w:szCs w:val="16"/>
              </w:rPr>
              <w:t>Fringe Benefits Tax Assessment Act 1986</w:t>
            </w:r>
          </w:p>
        </w:tc>
      </w:tr>
    </w:tbl>
    <w:p w14:paraId="20870181" w14:textId="77777777" w:rsidR="00802D3E" w:rsidRDefault="00802D3E" w:rsidP="00A109BC">
      <w:pPr>
        <w:pStyle w:val="SingleParagraph"/>
      </w:pPr>
    </w:p>
    <w:p w14:paraId="20870182" w14:textId="77777777" w:rsidR="00802D3E" w:rsidRDefault="00802D3E" w:rsidP="00802D3E">
      <w:r>
        <w:t xml:space="preserve">The taxable value of in-house fringe benefits (for example, goods sold by the employer to the public) provided to an employee is reduced by $1,000, or the taxable value of the benefits if this is less than $1,000, unless the benefits are provided under a salary sacrifice arrangement. </w:t>
      </w:r>
      <w:r>
        <w:fldChar w:fldCharType="begin"/>
      </w:r>
      <w:r>
        <w:instrText xml:space="preserve"> XE "Fringe benefits tax:In-house benefits" </w:instrText>
      </w:r>
      <w:r>
        <w:fldChar w:fldCharType="end"/>
      </w:r>
    </w:p>
    <w:p w14:paraId="20870183" w14:textId="77777777" w:rsidR="00802D3E" w:rsidRDefault="00802D3E" w:rsidP="00802D3E">
      <w:pPr>
        <w:pStyle w:val="TESHeading5"/>
        <w:ind w:left="0" w:firstLine="0"/>
      </w:pPr>
      <w:r>
        <w:lastRenderedPageBreak/>
        <w:t>D34</w:t>
      </w:r>
      <w:r>
        <w:tab/>
        <w:t>Loan benefits exemption</w:t>
      </w:r>
    </w:p>
    <w:p w14:paraId="20870184"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18D" w14:textId="77777777" w:rsidTr="00802D3E">
        <w:trPr>
          <w:cantSplit/>
          <w:jc w:val="center"/>
        </w:trPr>
        <w:tc>
          <w:tcPr>
            <w:tcW w:w="967" w:type="dxa"/>
            <w:tcBorders>
              <w:top w:val="single" w:sz="2" w:space="0" w:color="auto"/>
              <w:left w:val="nil"/>
              <w:bottom w:val="single" w:sz="2" w:space="0" w:color="auto"/>
              <w:right w:val="nil"/>
            </w:tcBorders>
            <w:hideMark/>
          </w:tcPr>
          <w:p w14:paraId="2087018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18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18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18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18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18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18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18C" w14:textId="77777777" w:rsidR="00802D3E" w:rsidRDefault="00802D3E">
            <w:pPr>
              <w:pStyle w:val="MeasureTableTextRightAligned"/>
            </w:pPr>
            <w:r>
              <w:t>2019-20</w:t>
            </w:r>
          </w:p>
        </w:tc>
      </w:tr>
      <w:tr w:rsidR="00802D3E" w14:paraId="20870196" w14:textId="77777777" w:rsidTr="00802D3E">
        <w:trPr>
          <w:cantSplit/>
          <w:jc w:val="center"/>
        </w:trPr>
        <w:tc>
          <w:tcPr>
            <w:tcW w:w="967" w:type="dxa"/>
            <w:tcBorders>
              <w:top w:val="single" w:sz="2" w:space="0" w:color="auto"/>
              <w:left w:val="nil"/>
              <w:bottom w:val="single" w:sz="2" w:space="0" w:color="auto"/>
              <w:right w:val="nil"/>
            </w:tcBorders>
            <w:hideMark/>
          </w:tcPr>
          <w:p w14:paraId="2087018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18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9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9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9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19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19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195" w14:textId="77777777" w:rsidR="00802D3E" w:rsidRDefault="00802D3E">
            <w:pPr>
              <w:pStyle w:val="MeasureTableTextRightAligned"/>
            </w:pPr>
            <w:r>
              <w:t>*</w:t>
            </w:r>
          </w:p>
        </w:tc>
      </w:tr>
      <w:tr w:rsidR="00802D3E" w14:paraId="2087019B" w14:textId="77777777" w:rsidTr="00802D3E">
        <w:trPr>
          <w:cantSplit/>
          <w:jc w:val="center"/>
        </w:trPr>
        <w:tc>
          <w:tcPr>
            <w:tcW w:w="1934" w:type="dxa"/>
            <w:gridSpan w:val="2"/>
            <w:tcBorders>
              <w:top w:val="single" w:sz="2" w:space="0" w:color="auto"/>
              <w:left w:val="nil"/>
              <w:bottom w:val="nil"/>
              <w:right w:val="nil"/>
            </w:tcBorders>
            <w:hideMark/>
          </w:tcPr>
          <w:p w14:paraId="2087019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19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19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19A" w14:textId="77777777" w:rsidR="00802D3E" w:rsidRDefault="00802D3E">
            <w:pPr>
              <w:pStyle w:val="MeasureTableTextLeftAligned"/>
            </w:pPr>
            <w:r>
              <w:t>D34</w:t>
            </w:r>
          </w:p>
        </w:tc>
      </w:tr>
      <w:tr w:rsidR="00802D3E" w14:paraId="208701A0" w14:textId="77777777" w:rsidTr="00802D3E">
        <w:trPr>
          <w:cantSplit/>
          <w:jc w:val="center"/>
        </w:trPr>
        <w:tc>
          <w:tcPr>
            <w:tcW w:w="1934" w:type="dxa"/>
            <w:gridSpan w:val="2"/>
            <w:tcBorders>
              <w:top w:val="nil"/>
              <w:left w:val="nil"/>
              <w:bottom w:val="nil"/>
              <w:right w:val="nil"/>
            </w:tcBorders>
            <w:hideMark/>
          </w:tcPr>
          <w:p w14:paraId="2087019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19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19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19F" w14:textId="77777777" w:rsidR="00802D3E" w:rsidRDefault="00802D3E">
            <w:pPr>
              <w:pStyle w:val="MeasureTableTextLeftAligned"/>
            </w:pPr>
            <w:r>
              <w:t>1+</w:t>
            </w:r>
          </w:p>
        </w:tc>
      </w:tr>
      <w:tr w:rsidR="00802D3E" w14:paraId="208701A5" w14:textId="77777777" w:rsidTr="00802D3E">
        <w:trPr>
          <w:cantSplit/>
          <w:jc w:val="center"/>
        </w:trPr>
        <w:tc>
          <w:tcPr>
            <w:tcW w:w="1934" w:type="dxa"/>
            <w:gridSpan w:val="2"/>
            <w:tcBorders>
              <w:top w:val="nil"/>
              <w:left w:val="nil"/>
              <w:bottom w:val="nil"/>
              <w:right w:val="nil"/>
            </w:tcBorders>
            <w:hideMark/>
          </w:tcPr>
          <w:p w14:paraId="208701A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1A2"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1A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1A4" w14:textId="77777777" w:rsidR="00802D3E" w:rsidRDefault="00802D3E">
            <w:pPr>
              <w:pStyle w:val="MeasureTableTextLeftAligned"/>
            </w:pPr>
          </w:p>
        </w:tc>
      </w:tr>
      <w:tr w:rsidR="00802D3E" w14:paraId="208701A8" w14:textId="77777777" w:rsidTr="00802D3E">
        <w:trPr>
          <w:cantSplit/>
          <w:jc w:val="center"/>
        </w:trPr>
        <w:tc>
          <w:tcPr>
            <w:tcW w:w="1934" w:type="dxa"/>
            <w:gridSpan w:val="2"/>
            <w:tcBorders>
              <w:top w:val="nil"/>
              <w:left w:val="nil"/>
              <w:bottom w:val="single" w:sz="2" w:space="0" w:color="auto"/>
              <w:right w:val="nil"/>
            </w:tcBorders>
            <w:hideMark/>
          </w:tcPr>
          <w:p w14:paraId="208701A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1A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17 of the </w:t>
            </w:r>
            <w:r w:rsidRPr="00106337">
              <w:rPr>
                <w:rFonts w:ascii="Arial" w:hAnsi="Arial" w:cs="Arial"/>
                <w:i/>
                <w:iCs/>
                <w:color w:val="000000"/>
                <w:sz w:val="16"/>
                <w:szCs w:val="16"/>
              </w:rPr>
              <w:t>Fringe Benefits Tax Assessment Act 1986</w:t>
            </w:r>
          </w:p>
        </w:tc>
      </w:tr>
    </w:tbl>
    <w:p w14:paraId="208701A9" w14:textId="77777777" w:rsidR="00802D3E" w:rsidRDefault="00802D3E" w:rsidP="00A109BC">
      <w:pPr>
        <w:pStyle w:val="SingleParagraph"/>
      </w:pPr>
    </w:p>
    <w:p w14:paraId="208701AA" w14:textId="77777777" w:rsidR="00802D3E" w:rsidRDefault="00802D3E" w:rsidP="00802D3E">
      <w:r>
        <w:t>Certain in-house loan benefits</w:t>
      </w:r>
      <w:r>
        <w:fldChar w:fldCharType="begin"/>
      </w:r>
      <w:r>
        <w:instrText xml:space="preserve"> XE "Fringe benefits tax:Loan benefits" </w:instrText>
      </w:r>
      <w:r>
        <w:fldChar w:fldCharType="end"/>
      </w:r>
      <w:r>
        <w:t xml:space="preserve"> and certain loans to employees to meet employment</w:t>
      </w:r>
      <w:r>
        <w:noBreakHyphen/>
        <w:t xml:space="preserve">related expenses are exempt from fringe benefits tax. </w:t>
      </w:r>
    </w:p>
    <w:p w14:paraId="208701AB" w14:textId="77777777" w:rsidR="00802D3E" w:rsidRDefault="00802D3E" w:rsidP="00802D3E">
      <w:pPr>
        <w:pStyle w:val="TESHeading5"/>
        <w:ind w:left="0" w:firstLine="0"/>
      </w:pPr>
      <w:r>
        <w:t>D35</w:t>
      </w:r>
      <w:r>
        <w:tab/>
        <w:t>Long service awards exemption</w:t>
      </w:r>
    </w:p>
    <w:p w14:paraId="208701A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1B5" w14:textId="77777777" w:rsidTr="00802D3E">
        <w:trPr>
          <w:cantSplit/>
          <w:jc w:val="center"/>
        </w:trPr>
        <w:tc>
          <w:tcPr>
            <w:tcW w:w="967" w:type="dxa"/>
            <w:tcBorders>
              <w:top w:val="single" w:sz="2" w:space="0" w:color="auto"/>
              <w:left w:val="nil"/>
              <w:bottom w:val="single" w:sz="2" w:space="0" w:color="auto"/>
              <w:right w:val="nil"/>
            </w:tcBorders>
            <w:hideMark/>
          </w:tcPr>
          <w:p w14:paraId="208701A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1A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1A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1B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1B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1B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1B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1B4" w14:textId="77777777" w:rsidR="00802D3E" w:rsidRDefault="00802D3E">
            <w:pPr>
              <w:pStyle w:val="MeasureTableTextRightAligned"/>
            </w:pPr>
            <w:r>
              <w:t>2019-20</w:t>
            </w:r>
          </w:p>
        </w:tc>
      </w:tr>
      <w:tr w:rsidR="00802D3E" w14:paraId="208701BE" w14:textId="77777777" w:rsidTr="00802D3E">
        <w:trPr>
          <w:cantSplit/>
          <w:jc w:val="center"/>
        </w:trPr>
        <w:tc>
          <w:tcPr>
            <w:tcW w:w="967" w:type="dxa"/>
            <w:tcBorders>
              <w:top w:val="single" w:sz="2" w:space="0" w:color="auto"/>
              <w:left w:val="nil"/>
              <w:bottom w:val="single" w:sz="2" w:space="0" w:color="auto"/>
              <w:right w:val="nil"/>
            </w:tcBorders>
            <w:hideMark/>
          </w:tcPr>
          <w:p w14:paraId="208701B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1B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B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B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B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1B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1B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1BD" w14:textId="77777777" w:rsidR="00802D3E" w:rsidRDefault="00802D3E">
            <w:pPr>
              <w:pStyle w:val="MeasureTableTextRightAligned"/>
            </w:pPr>
            <w:r>
              <w:t>*</w:t>
            </w:r>
          </w:p>
        </w:tc>
      </w:tr>
      <w:tr w:rsidR="00802D3E" w14:paraId="208701C3" w14:textId="77777777" w:rsidTr="00802D3E">
        <w:trPr>
          <w:cantSplit/>
          <w:jc w:val="center"/>
        </w:trPr>
        <w:tc>
          <w:tcPr>
            <w:tcW w:w="1934" w:type="dxa"/>
            <w:gridSpan w:val="2"/>
            <w:tcBorders>
              <w:top w:val="single" w:sz="2" w:space="0" w:color="auto"/>
              <w:left w:val="nil"/>
              <w:bottom w:val="nil"/>
              <w:right w:val="nil"/>
            </w:tcBorders>
            <w:hideMark/>
          </w:tcPr>
          <w:p w14:paraId="208701B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1C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1C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1C2" w14:textId="77777777" w:rsidR="00802D3E" w:rsidRDefault="00802D3E">
            <w:pPr>
              <w:pStyle w:val="MeasureTableTextLeftAligned"/>
            </w:pPr>
            <w:r>
              <w:t>D35</w:t>
            </w:r>
          </w:p>
        </w:tc>
      </w:tr>
      <w:tr w:rsidR="00802D3E" w14:paraId="208701C8" w14:textId="77777777" w:rsidTr="00802D3E">
        <w:trPr>
          <w:cantSplit/>
          <w:jc w:val="center"/>
        </w:trPr>
        <w:tc>
          <w:tcPr>
            <w:tcW w:w="1934" w:type="dxa"/>
            <w:gridSpan w:val="2"/>
            <w:tcBorders>
              <w:top w:val="nil"/>
              <w:left w:val="nil"/>
              <w:bottom w:val="nil"/>
              <w:right w:val="nil"/>
            </w:tcBorders>
            <w:hideMark/>
          </w:tcPr>
          <w:p w14:paraId="208701C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1C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1C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1C7" w14:textId="77777777" w:rsidR="00802D3E" w:rsidRDefault="00802D3E">
            <w:pPr>
              <w:pStyle w:val="MeasureTableTextLeftAligned"/>
            </w:pPr>
            <w:r>
              <w:t>1+</w:t>
            </w:r>
          </w:p>
        </w:tc>
      </w:tr>
      <w:tr w:rsidR="00802D3E" w14:paraId="208701CD" w14:textId="77777777" w:rsidTr="00802D3E">
        <w:trPr>
          <w:cantSplit/>
          <w:jc w:val="center"/>
        </w:trPr>
        <w:tc>
          <w:tcPr>
            <w:tcW w:w="1934" w:type="dxa"/>
            <w:gridSpan w:val="2"/>
            <w:tcBorders>
              <w:top w:val="nil"/>
              <w:left w:val="nil"/>
              <w:bottom w:val="nil"/>
              <w:right w:val="nil"/>
            </w:tcBorders>
            <w:hideMark/>
          </w:tcPr>
          <w:p w14:paraId="208701C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1CA" w14:textId="77777777" w:rsidR="00802D3E" w:rsidRDefault="00802D3E">
            <w:pPr>
              <w:pStyle w:val="MeasureTableTextLeftAligned"/>
            </w:pPr>
            <w:r>
              <w:t>1987</w:t>
            </w:r>
          </w:p>
        </w:tc>
        <w:tc>
          <w:tcPr>
            <w:tcW w:w="1500" w:type="dxa"/>
            <w:gridSpan w:val="2"/>
            <w:tcBorders>
              <w:top w:val="nil"/>
              <w:left w:val="nil"/>
              <w:bottom w:val="nil"/>
              <w:right w:val="nil"/>
            </w:tcBorders>
            <w:hideMark/>
          </w:tcPr>
          <w:p w14:paraId="208701C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1CC" w14:textId="77777777" w:rsidR="00802D3E" w:rsidRDefault="00802D3E">
            <w:pPr>
              <w:pStyle w:val="MeasureTableTextLeftAligned"/>
            </w:pPr>
          </w:p>
        </w:tc>
      </w:tr>
      <w:tr w:rsidR="00802D3E" w14:paraId="208701D0" w14:textId="77777777" w:rsidTr="00802D3E">
        <w:trPr>
          <w:cantSplit/>
          <w:jc w:val="center"/>
        </w:trPr>
        <w:tc>
          <w:tcPr>
            <w:tcW w:w="1934" w:type="dxa"/>
            <w:gridSpan w:val="2"/>
            <w:tcBorders>
              <w:top w:val="nil"/>
              <w:left w:val="nil"/>
              <w:bottom w:val="single" w:sz="2" w:space="0" w:color="auto"/>
              <w:right w:val="nil"/>
            </w:tcBorders>
            <w:hideMark/>
          </w:tcPr>
          <w:p w14:paraId="208701C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1C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58Q of the </w:t>
            </w:r>
            <w:r w:rsidRPr="00106337">
              <w:rPr>
                <w:rFonts w:ascii="Arial" w:hAnsi="Arial" w:cs="Arial"/>
                <w:i/>
                <w:iCs/>
                <w:color w:val="000000"/>
                <w:sz w:val="16"/>
                <w:szCs w:val="16"/>
              </w:rPr>
              <w:t>Fringe Benefits Tax Assessment Act 1986</w:t>
            </w:r>
          </w:p>
        </w:tc>
      </w:tr>
    </w:tbl>
    <w:p w14:paraId="208701D1" w14:textId="77777777" w:rsidR="00802D3E" w:rsidRDefault="00802D3E" w:rsidP="00A109BC">
      <w:pPr>
        <w:pStyle w:val="SingleParagraph"/>
      </w:pPr>
    </w:p>
    <w:p w14:paraId="208701D2" w14:textId="77777777" w:rsidR="00802D3E" w:rsidRDefault="00802D3E" w:rsidP="00802D3E">
      <w:r>
        <w:t>Long service awards</w:t>
      </w:r>
      <w:r>
        <w:fldChar w:fldCharType="begin"/>
      </w:r>
      <w:r>
        <w:instrText xml:space="preserve"> XE "Long service awards" </w:instrText>
      </w:r>
      <w:r>
        <w:fldChar w:fldCharType="end"/>
      </w:r>
      <w:r>
        <w:t xml:space="preserve"> granted in recognition of 15 years or more service, up to a specified maximum amount, are exempt from fringe benefits tax. </w:t>
      </w:r>
    </w:p>
    <w:p w14:paraId="208701D3" w14:textId="77777777" w:rsidR="00802D3E" w:rsidRDefault="00802D3E" w:rsidP="00802D3E">
      <w:pPr>
        <w:pStyle w:val="TESHeading5"/>
        <w:ind w:left="0" w:firstLine="0"/>
      </w:pPr>
      <w:r>
        <w:t>D36</w:t>
      </w:r>
      <w:r>
        <w:tab/>
        <w:t>Minor benefits exemption</w:t>
      </w:r>
    </w:p>
    <w:p w14:paraId="208701D4"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1DD" w14:textId="77777777" w:rsidTr="00802D3E">
        <w:trPr>
          <w:cantSplit/>
          <w:jc w:val="center"/>
        </w:trPr>
        <w:tc>
          <w:tcPr>
            <w:tcW w:w="967" w:type="dxa"/>
            <w:tcBorders>
              <w:top w:val="single" w:sz="2" w:space="0" w:color="auto"/>
              <w:left w:val="nil"/>
              <w:bottom w:val="single" w:sz="2" w:space="0" w:color="auto"/>
              <w:right w:val="nil"/>
            </w:tcBorders>
            <w:hideMark/>
          </w:tcPr>
          <w:p w14:paraId="208701D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1D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1D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1D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1D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1D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1D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1DC" w14:textId="77777777" w:rsidR="00802D3E" w:rsidRDefault="00802D3E">
            <w:pPr>
              <w:pStyle w:val="MeasureTableTextRightAligned"/>
            </w:pPr>
            <w:r>
              <w:t>2019-20</w:t>
            </w:r>
          </w:p>
        </w:tc>
      </w:tr>
      <w:tr w:rsidR="00802D3E" w14:paraId="208701E6" w14:textId="77777777" w:rsidTr="00802D3E">
        <w:trPr>
          <w:cantSplit/>
          <w:jc w:val="center"/>
        </w:trPr>
        <w:tc>
          <w:tcPr>
            <w:tcW w:w="967" w:type="dxa"/>
            <w:tcBorders>
              <w:top w:val="single" w:sz="2" w:space="0" w:color="auto"/>
              <w:left w:val="nil"/>
              <w:bottom w:val="single" w:sz="2" w:space="0" w:color="auto"/>
              <w:right w:val="nil"/>
            </w:tcBorders>
            <w:hideMark/>
          </w:tcPr>
          <w:p w14:paraId="208701D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1D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E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E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1E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1E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1E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1E5" w14:textId="77777777" w:rsidR="00802D3E" w:rsidRDefault="00802D3E">
            <w:pPr>
              <w:pStyle w:val="MeasureTableTextRightAligned"/>
            </w:pPr>
            <w:r>
              <w:t>*</w:t>
            </w:r>
          </w:p>
        </w:tc>
      </w:tr>
      <w:tr w:rsidR="00802D3E" w14:paraId="208701EB" w14:textId="77777777" w:rsidTr="00802D3E">
        <w:trPr>
          <w:cantSplit/>
          <w:jc w:val="center"/>
        </w:trPr>
        <w:tc>
          <w:tcPr>
            <w:tcW w:w="1934" w:type="dxa"/>
            <w:gridSpan w:val="2"/>
            <w:tcBorders>
              <w:top w:val="single" w:sz="2" w:space="0" w:color="auto"/>
              <w:left w:val="nil"/>
              <w:bottom w:val="nil"/>
              <w:right w:val="nil"/>
            </w:tcBorders>
            <w:hideMark/>
          </w:tcPr>
          <w:p w14:paraId="208701E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1E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1E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1EA" w14:textId="77777777" w:rsidR="00802D3E" w:rsidRDefault="00802D3E">
            <w:pPr>
              <w:pStyle w:val="MeasureTableTextLeftAligned"/>
            </w:pPr>
            <w:r>
              <w:t>D36</w:t>
            </w:r>
          </w:p>
        </w:tc>
      </w:tr>
      <w:tr w:rsidR="00802D3E" w14:paraId="208701F0" w14:textId="77777777" w:rsidTr="00802D3E">
        <w:trPr>
          <w:cantSplit/>
          <w:jc w:val="center"/>
        </w:trPr>
        <w:tc>
          <w:tcPr>
            <w:tcW w:w="1934" w:type="dxa"/>
            <w:gridSpan w:val="2"/>
            <w:tcBorders>
              <w:top w:val="nil"/>
              <w:left w:val="nil"/>
              <w:bottom w:val="nil"/>
              <w:right w:val="nil"/>
            </w:tcBorders>
            <w:hideMark/>
          </w:tcPr>
          <w:p w14:paraId="208701E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1E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1E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1EF" w14:textId="77777777" w:rsidR="00802D3E" w:rsidRDefault="00802D3E">
            <w:pPr>
              <w:pStyle w:val="MeasureTableTextLeftAligned"/>
            </w:pPr>
            <w:r>
              <w:t>2+</w:t>
            </w:r>
          </w:p>
        </w:tc>
      </w:tr>
      <w:tr w:rsidR="00802D3E" w14:paraId="208701F5" w14:textId="77777777" w:rsidTr="00802D3E">
        <w:trPr>
          <w:cantSplit/>
          <w:jc w:val="center"/>
        </w:trPr>
        <w:tc>
          <w:tcPr>
            <w:tcW w:w="1934" w:type="dxa"/>
            <w:gridSpan w:val="2"/>
            <w:tcBorders>
              <w:top w:val="nil"/>
              <w:left w:val="nil"/>
              <w:bottom w:val="nil"/>
              <w:right w:val="nil"/>
            </w:tcBorders>
            <w:hideMark/>
          </w:tcPr>
          <w:p w14:paraId="208701F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1F2"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1F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1F4" w14:textId="77777777" w:rsidR="00802D3E" w:rsidRDefault="00802D3E">
            <w:pPr>
              <w:pStyle w:val="MeasureTableTextLeftAligned"/>
            </w:pPr>
          </w:p>
        </w:tc>
      </w:tr>
      <w:tr w:rsidR="00802D3E" w14:paraId="208701F8" w14:textId="77777777" w:rsidTr="00802D3E">
        <w:trPr>
          <w:cantSplit/>
          <w:jc w:val="center"/>
        </w:trPr>
        <w:tc>
          <w:tcPr>
            <w:tcW w:w="1934" w:type="dxa"/>
            <w:gridSpan w:val="2"/>
            <w:tcBorders>
              <w:top w:val="nil"/>
              <w:left w:val="nil"/>
              <w:bottom w:val="single" w:sz="2" w:space="0" w:color="auto"/>
              <w:right w:val="nil"/>
            </w:tcBorders>
            <w:hideMark/>
          </w:tcPr>
          <w:p w14:paraId="208701F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1F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58P of the </w:t>
            </w:r>
            <w:r w:rsidRPr="00106337">
              <w:rPr>
                <w:rFonts w:ascii="Arial" w:hAnsi="Arial" w:cs="Arial"/>
                <w:i/>
                <w:iCs/>
                <w:color w:val="000000"/>
                <w:sz w:val="16"/>
                <w:szCs w:val="16"/>
              </w:rPr>
              <w:t>Fringe Benefits Tax Assessment Act 1986</w:t>
            </w:r>
          </w:p>
        </w:tc>
      </w:tr>
    </w:tbl>
    <w:p w14:paraId="208701F9" w14:textId="77777777" w:rsidR="00802D3E" w:rsidRDefault="00802D3E" w:rsidP="00A109BC">
      <w:pPr>
        <w:pStyle w:val="SingleParagraph"/>
      </w:pPr>
    </w:p>
    <w:p w14:paraId="208701FA" w14:textId="77777777" w:rsidR="00802D3E" w:rsidRDefault="00802D3E" w:rsidP="00802D3E">
      <w:r>
        <w:t>Minor benefits, worth less than $300 and where it is unreasonable to treat them as fringe benefits,</w:t>
      </w:r>
      <w:r>
        <w:fldChar w:fldCharType="begin"/>
      </w:r>
      <w:r>
        <w:instrText xml:space="preserve"> XE "Fringe benefits tax:Minor benefits" </w:instrText>
      </w:r>
      <w:r>
        <w:fldChar w:fldCharType="end"/>
      </w:r>
      <w:r>
        <w:t xml:space="preserve"> are exempt from fringe benefits tax. </w:t>
      </w:r>
    </w:p>
    <w:p w14:paraId="208701FB" w14:textId="77777777" w:rsidR="00802D3E" w:rsidRDefault="00802D3E" w:rsidP="00802D3E">
      <w:pPr>
        <w:pStyle w:val="TESHeading5"/>
        <w:ind w:left="0" w:firstLine="0"/>
      </w:pPr>
      <w:r>
        <w:lastRenderedPageBreak/>
        <w:t>D37</w:t>
      </w:r>
      <w:r>
        <w:tab/>
        <w:t>Minor private use of company motor vehicle exemption</w:t>
      </w:r>
    </w:p>
    <w:p w14:paraId="208701F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205" w14:textId="77777777" w:rsidTr="00802D3E">
        <w:trPr>
          <w:cantSplit/>
          <w:jc w:val="center"/>
        </w:trPr>
        <w:tc>
          <w:tcPr>
            <w:tcW w:w="967" w:type="dxa"/>
            <w:tcBorders>
              <w:top w:val="single" w:sz="2" w:space="0" w:color="auto"/>
              <w:left w:val="nil"/>
              <w:bottom w:val="single" w:sz="2" w:space="0" w:color="auto"/>
              <w:right w:val="nil"/>
            </w:tcBorders>
            <w:hideMark/>
          </w:tcPr>
          <w:p w14:paraId="208701F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1F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1F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20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20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20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20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204" w14:textId="77777777" w:rsidR="00802D3E" w:rsidRDefault="00802D3E">
            <w:pPr>
              <w:pStyle w:val="MeasureTableTextRightAligned"/>
            </w:pPr>
            <w:r>
              <w:t>2019-20</w:t>
            </w:r>
          </w:p>
        </w:tc>
      </w:tr>
      <w:tr w:rsidR="00802D3E" w14:paraId="2087020E" w14:textId="77777777" w:rsidTr="00802D3E">
        <w:trPr>
          <w:cantSplit/>
          <w:jc w:val="center"/>
        </w:trPr>
        <w:tc>
          <w:tcPr>
            <w:tcW w:w="967" w:type="dxa"/>
            <w:tcBorders>
              <w:top w:val="single" w:sz="2" w:space="0" w:color="auto"/>
              <w:left w:val="nil"/>
              <w:bottom w:val="single" w:sz="2" w:space="0" w:color="auto"/>
              <w:right w:val="nil"/>
            </w:tcBorders>
            <w:hideMark/>
          </w:tcPr>
          <w:p w14:paraId="2087020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20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0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0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0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0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0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20D" w14:textId="77777777" w:rsidR="00802D3E" w:rsidRDefault="00802D3E">
            <w:pPr>
              <w:pStyle w:val="MeasureTableTextRightAligned"/>
            </w:pPr>
            <w:r>
              <w:t>*</w:t>
            </w:r>
          </w:p>
        </w:tc>
      </w:tr>
      <w:tr w:rsidR="00802D3E" w14:paraId="20870213" w14:textId="77777777" w:rsidTr="00802D3E">
        <w:trPr>
          <w:cantSplit/>
          <w:jc w:val="center"/>
        </w:trPr>
        <w:tc>
          <w:tcPr>
            <w:tcW w:w="1934" w:type="dxa"/>
            <w:gridSpan w:val="2"/>
            <w:tcBorders>
              <w:top w:val="single" w:sz="2" w:space="0" w:color="auto"/>
              <w:left w:val="nil"/>
              <w:bottom w:val="nil"/>
              <w:right w:val="nil"/>
            </w:tcBorders>
            <w:hideMark/>
          </w:tcPr>
          <w:p w14:paraId="2087020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21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21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212" w14:textId="77777777" w:rsidR="00802D3E" w:rsidRDefault="00802D3E">
            <w:pPr>
              <w:pStyle w:val="MeasureTableTextLeftAligned"/>
            </w:pPr>
            <w:r>
              <w:t>D37</w:t>
            </w:r>
          </w:p>
        </w:tc>
      </w:tr>
      <w:tr w:rsidR="00802D3E" w14:paraId="20870218" w14:textId="77777777" w:rsidTr="00802D3E">
        <w:trPr>
          <w:cantSplit/>
          <w:jc w:val="center"/>
        </w:trPr>
        <w:tc>
          <w:tcPr>
            <w:tcW w:w="1934" w:type="dxa"/>
            <w:gridSpan w:val="2"/>
            <w:tcBorders>
              <w:top w:val="nil"/>
              <w:left w:val="nil"/>
              <w:bottom w:val="nil"/>
              <w:right w:val="nil"/>
            </w:tcBorders>
            <w:hideMark/>
          </w:tcPr>
          <w:p w14:paraId="2087021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21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21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217" w14:textId="77777777" w:rsidR="00802D3E" w:rsidRDefault="00802D3E">
            <w:pPr>
              <w:pStyle w:val="MeasureTableTextLeftAligned"/>
            </w:pPr>
            <w:r>
              <w:t>2+</w:t>
            </w:r>
          </w:p>
        </w:tc>
      </w:tr>
      <w:tr w:rsidR="00802D3E" w14:paraId="2087021D" w14:textId="77777777" w:rsidTr="00802D3E">
        <w:trPr>
          <w:cantSplit/>
          <w:jc w:val="center"/>
        </w:trPr>
        <w:tc>
          <w:tcPr>
            <w:tcW w:w="1934" w:type="dxa"/>
            <w:gridSpan w:val="2"/>
            <w:tcBorders>
              <w:top w:val="nil"/>
              <w:left w:val="nil"/>
              <w:bottom w:val="nil"/>
              <w:right w:val="nil"/>
            </w:tcBorders>
            <w:hideMark/>
          </w:tcPr>
          <w:p w14:paraId="2087021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21A"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21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21C" w14:textId="77777777" w:rsidR="00802D3E" w:rsidRDefault="00802D3E">
            <w:pPr>
              <w:pStyle w:val="MeasureTableTextLeftAligned"/>
            </w:pPr>
          </w:p>
        </w:tc>
      </w:tr>
      <w:tr w:rsidR="00802D3E" w14:paraId="20870220" w14:textId="77777777" w:rsidTr="00802D3E">
        <w:trPr>
          <w:cantSplit/>
          <w:jc w:val="center"/>
        </w:trPr>
        <w:tc>
          <w:tcPr>
            <w:tcW w:w="1934" w:type="dxa"/>
            <w:gridSpan w:val="2"/>
            <w:tcBorders>
              <w:top w:val="nil"/>
              <w:left w:val="nil"/>
              <w:bottom w:val="single" w:sz="2" w:space="0" w:color="auto"/>
              <w:right w:val="nil"/>
            </w:tcBorders>
            <w:hideMark/>
          </w:tcPr>
          <w:p w14:paraId="2087021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21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Subsection 47(6) of the </w:t>
            </w:r>
            <w:r w:rsidRPr="00106337">
              <w:rPr>
                <w:rFonts w:ascii="Arial" w:hAnsi="Arial" w:cs="Arial"/>
                <w:i/>
                <w:iCs/>
                <w:color w:val="000000"/>
                <w:sz w:val="16"/>
                <w:szCs w:val="16"/>
              </w:rPr>
              <w:t>Fringe Benefits Tax Assessment Act 1986</w:t>
            </w:r>
          </w:p>
        </w:tc>
      </w:tr>
    </w:tbl>
    <w:p w14:paraId="20870221" w14:textId="77777777" w:rsidR="00802D3E" w:rsidRDefault="00802D3E" w:rsidP="00A109BC">
      <w:pPr>
        <w:pStyle w:val="SingleParagraph"/>
      </w:pPr>
    </w:p>
    <w:p w14:paraId="20870222" w14:textId="77777777" w:rsidR="00802D3E" w:rsidRDefault="00802D3E" w:rsidP="00802D3E">
      <w:r>
        <w:t xml:space="preserve">Where an employee is provided with the use of a motor vehicle that is not a car, such use is exempt from fringe benefits tax if any private use is restricted to travel to and from work, use which is incidental to travel in the course of duties of employment, and non-work-related use that is minor, infrequent and irregular. There is a separate exemption for taxi travel by employees. </w:t>
      </w:r>
      <w:r>
        <w:fldChar w:fldCharType="begin"/>
      </w:r>
      <w:r>
        <w:instrText xml:space="preserve"> XE "</w:instrText>
      </w:r>
      <w:r>
        <w:rPr>
          <w:lang w:val="en-US"/>
        </w:rPr>
        <w:instrText>Minor private use of company motor vehicle</w:instrText>
      </w:r>
      <w:r>
        <w:instrText xml:space="preserve">" </w:instrText>
      </w:r>
      <w:r>
        <w:fldChar w:fldCharType="end"/>
      </w:r>
    </w:p>
    <w:p w14:paraId="20870223" w14:textId="77777777" w:rsidR="00802D3E" w:rsidRDefault="00802D3E" w:rsidP="00802D3E">
      <w:pPr>
        <w:pStyle w:val="TESHeading5"/>
        <w:ind w:left="0" w:firstLine="0"/>
      </w:pPr>
      <w:r>
        <w:t>D38</w:t>
      </w:r>
      <w:r>
        <w:tab/>
        <w:t xml:space="preserve">Philanthropy </w:t>
      </w:r>
      <w:r w:rsidR="000B181C">
        <w:t>–</w:t>
      </w:r>
      <w:r>
        <w:t xml:space="preserve"> exemption</w:t>
      </w:r>
      <w:r w:rsidR="000B181C">
        <w:t xml:space="preserve"> </w:t>
      </w:r>
      <w:r>
        <w:t>for donations to deductible gift recipients</w:t>
      </w:r>
    </w:p>
    <w:p w14:paraId="20870224"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22D" w14:textId="77777777" w:rsidTr="00802D3E">
        <w:trPr>
          <w:cantSplit/>
          <w:jc w:val="center"/>
        </w:trPr>
        <w:tc>
          <w:tcPr>
            <w:tcW w:w="967" w:type="dxa"/>
            <w:tcBorders>
              <w:top w:val="single" w:sz="2" w:space="0" w:color="auto"/>
              <w:left w:val="nil"/>
              <w:bottom w:val="single" w:sz="2" w:space="0" w:color="auto"/>
              <w:right w:val="nil"/>
            </w:tcBorders>
            <w:hideMark/>
          </w:tcPr>
          <w:p w14:paraId="2087022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22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22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22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22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22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22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22C" w14:textId="77777777" w:rsidR="00802D3E" w:rsidRDefault="00802D3E">
            <w:pPr>
              <w:pStyle w:val="MeasureTableTextRightAligned"/>
            </w:pPr>
            <w:r>
              <w:t>2019-20</w:t>
            </w:r>
          </w:p>
        </w:tc>
      </w:tr>
      <w:tr w:rsidR="00802D3E" w14:paraId="20870236" w14:textId="77777777" w:rsidTr="00802D3E">
        <w:trPr>
          <w:cantSplit/>
          <w:jc w:val="center"/>
        </w:trPr>
        <w:tc>
          <w:tcPr>
            <w:tcW w:w="967" w:type="dxa"/>
            <w:tcBorders>
              <w:top w:val="single" w:sz="2" w:space="0" w:color="auto"/>
              <w:left w:val="nil"/>
              <w:bottom w:val="single" w:sz="2" w:space="0" w:color="auto"/>
              <w:right w:val="nil"/>
            </w:tcBorders>
            <w:hideMark/>
          </w:tcPr>
          <w:p w14:paraId="2087022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22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3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3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3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3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3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235" w14:textId="77777777" w:rsidR="00802D3E" w:rsidRDefault="00802D3E">
            <w:pPr>
              <w:pStyle w:val="MeasureTableTextRightAligned"/>
            </w:pPr>
            <w:r>
              <w:t>*</w:t>
            </w:r>
          </w:p>
        </w:tc>
      </w:tr>
      <w:tr w:rsidR="00802D3E" w14:paraId="2087023B" w14:textId="77777777" w:rsidTr="00802D3E">
        <w:trPr>
          <w:cantSplit/>
          <w:jc w:val="center"/>
        </w:trPr>
        <w:tc>
          <w:tcPr>
            <w:tcW w:w="1934" w:type="dxa"/>
            <w:gridSpan w:val="2"/>
            <w:tcBorders>
              <w:top w:val="single" w:sz="2" w:space="0" w:color="auto"/>
              <w:left w:val="nil"/>
              <w:bottom w:val="nil"/>
              <w:right w:val="nil"/>
            </w:tcBorders>
            <w:hideMark/>
          </w:tcPr>
          <w:p w14:paraId="2087023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23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23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23A" w14:textId="77777777" w:rsidR="00802D3E" w:rsidRDefault="00802D3E">
            <w:pPr>
              <w:pStyle w:val="MeasureTableTextLeftAligned"/>
            </w:pPr>
            <w:r>
              <w:t>D38</w:t>
            </w:r>
          </w:p>
        </w:tc>
      </w:tr>
      <w:tr w:rsidR="00802D3E" w14:paraId="20870240" w14:textId="77777777" w:rsidTr="00802D3E">
        <w:trPr>
          <w:cantSplit/>
          <w:jc w:val="center"/>
        </w:trPr>
        <w:tc>
          <w:tcPr>
            <w:tcW w:w="1934" w:type="dxa"/>
            <w:gridSpan w:val="2"/>
            <w:tcBorders>
              <w:top w:val="nil"/>
              <w:left w:val="nil"/>
              <w:bottom w:val="nil"/>
              <w:right w:val="nil"/>
            </w:tcBorders>
            <w:hideMark/>
          </w:tcPr>
          <w:p w14:paraId="2087023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23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23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23F" w14:textId="77777777" w:rsidR="00802D3E" w:rsidRDefault="00802D3E">
            <w:pPr>
              <w:pStyle w:val="MeasureTableTextLeftAligned"/>
            </w:pPr>
            <w:r>
              <w:t>2+</w:t>
            </w:r>
          </w:p>
        </w:tc>
      </w:tr>
      <w:tr w:rsidR="00802D3E" w14:paraId="20870245" w14:textId="77777777" w:rsidTr="00802D3E">
        <w:trPr>
          <w:cantSplit/>
          <w:jc w:val="center"/>
        </w:trPr>
        <w:tc>
          <w:tcPr>
            <w:tcW w:w="1934" w:type="dxa"/>
            <w:gridSpan w:val="2"/>
            <w:tcBorders>
              <w:top w:val="nil"/>
              <w:left w:val="nil"/>
              <w:bottom w:val="nil"/>
              <w:right w:val="nil"/>
            </w:tcBorders>
            <w:hideMark/>
          </w:tcPr>
          <w:p w14:paraId="2087024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242" w14:textId="77777777" w:rsidR="00802D3E" w:rsidRDefault="00802D3E">
            <w:pPr>
              <w:pStyle w:val="MeasureTableTextLeftAligned"/>
            </w:pPr>
            <w:r>
              <w:t>1 July 2008</w:t>
            </w:r>
          </w:p>
        </w:tc>
        <w:tc>
          <w:tcPr>
            <w:tcW w:w="1500" w:type="dxa"/>
            <w:gridSpan w:val="2"/>
            <w:tcBorders>
              <w:top w:val="nil"/>
              <w:left w:val="nil"/>
              <w:bottom w:val="nil"/>
              <w:right w:val="nil"/>
            </w:tcBorders>
            <w:hideMark/>
          </w:tcPr>
          <w:p w14:paraId="2087024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244" w14:textId="77777777" w:rsidR="00802D3E" w:rsidRDefault="00802D3E">
            <w:pPr>
              <w:pStyle w:val="MeasureTableTextLeftAligned"/>
            </w:pPr>
          </w:p>
        </w:tc>
      </w:tr>
      <w:tr w:rsidR="00802D3E" w14:paraId="20870248" w14:textId="77777777" w:rsidTr="00802D3E">
        <w:trPr>
          <w:cantSplit/>
          <w:jc w:val="center"/>
        </w:trPr>
        <w:tc>
          <w:tcPr>
            <w:tcW w:w="1934" w:type="dxa"/>
            <w:gridSpan w:val="2"/>
            <w:tcBorders>
              <w:top w:val="nil"/>
              <w:left w:val="nil"/>
              <w:bottom w:val="single" w:sz="2" w:space="0" w:color="auto"/>
              <w:right w:val="nil"/>
            </w:tcBorders>
            <w:hideMark/>
          </w:tcPr>
          <w:p w14:paraId="2087024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247"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Subsection 148(2A) of the </w:t>
            </w:r>
            <w:r>
              <w:rPr>
                <w:rFonts w:ascii="Arial" w:hAnsi="Arial" w:cs="Arial"/>
                <w:i/>
                <w:iCs/>
                <w:color w:val="000000"/>
                <w:sz w:val="16"/>
                <w:szCs w:val="16"/>
              </w:rPr>
              <w:t>Fringe Benefits Tax Assessment Act 1986</w:t>
            </w:r>
          </w:p>
        </w:tc>
      </w:tr>
    </w:tbl>
    <w:p w14:paraId="20870249" w14:textId="77777777" w:rsidR="00802D3E" w:rsidRDefault="00802D3E" w:rsidP="00A109BC">
      <w:pPr>
        <w:pStyle w:val="SingleParagraph"/>
      </w:pPr>
    </w:p>
    <w:p w14:paraId="2087024A" w14:textId="77777777" w:rsidR="00802D3E" w:rsidRDefault="00802D3E" w:rsidP="00802D3E">
      <w:r>
        <w:t>Donations to deductible gift recipients</w:t>
      </w:r>
      <w:r>
        <w:fldChar w:fldCharType="begin"/>
      </w:r>
      <w:r>
        <w:instrText xml:space="preserve"> XE "Deductible gift recipients" </w:instrText>
      </w:r>
      <w:r>
        <w:fldChar w:fldCharType="end"/>
      </w:r>
      <w:r>
        <w:t xml:space="preserve"> made under salary sacrifice arrangements are exempt from fringe benefits tax. </w:t>
      </w:r>
    </w:p>
    <w:p w14:paraId="2087024B" w14:textId="77777777" w:rsidR="00802D3E" w:rsidRDefault="00802D3E" w:rsidP="00802D3E">
      <w:pPr>
        <w:pStyle w:val="TESHeading5"/>
        <w:ind w:left="0" w:firstLine="0"/>
      </w:pPr>
      <w:r>
        <w:t>D39</w:t>
      </w:r>
      <w:r>
        <w:tab/>
        <w:t xml:space="preserve">Police officers </w:t>
      </w:r>
      <w:r w:rsidR="000B181C">
        <w:t>–</w:t>
      </w:r>
      <w:r>
        <w:t xml:space="preserve"> free</w:t>
      </w:r>
      <w:r w:rsidR="000B181C">
        <w:t xml:space="preserve"> </w:t>
      </w:r>
      <w:r>
        <w:t>or discounted travel to and from duty on public transport exemption</w:t>
      </w:r>
    </w:p>
    <w:p w14:paraId="2087024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255" w14:textId="77777777" w:rsidTr="00802D3E">
        <w:trPr>
          <w:cantSplit/>
          <w:jc w:val="center"/>
        </w:trPr>
        <w:tc>
          <w:tcPr>
            <w:tcW w:w="967" w:type="dxa"/>
            <w:tcBorders>
              <w:top w:val="single" w:sz="2" w:space="0" w:color="auto"/>
              <w:left w:val="nil"/>
              <w:bottom w:val="single" w:sz="2" w:space="0" w:color="auto"/>
              <w:right w:val="nil"/>
            </w:tcBorders>
            <w:hideMark/>
          </w:tcPr>
          <w:p w14:paraId="2087024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24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24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25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25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25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25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254" w14:textId="77777777" w:rsidR="00802D3E" w:rsidRDefault="00802D3E">
            <w:pPr>
              <w:pStyle w:val="MeasureTableTextRightAligned"/>
            </w:pPr>
            <w:r>
              <w:t>2019-20</w:t>
            </w:r>
          </w:p>
        </w:tc>
      </w:tr>
      <w:tr w:rsidR="00802D3E" w14:paraId="2087025E" w14:textId="77777777" w:rsidTr="00802D3E">
        <w:trPr>
          <w:cantSplit/>
          <w:jc w:val="center"/>
        </w:trPr>
        <w:tc>
          <w:tcPr>
            <w:tcW w:w="967" w:type="dxa"/>
            <w:tcBorders>
              <w:top w:val="single" w:sz="2" w:space="0" w:color="auto"/>
              <w:left w:val="nil"/>
              <w:bottom w:val="single" w:sz="2" w:space="0" w:color="auto"/>
              <w:right w:val="nil"/>
            </w:tcBorders>
            <w:hideMark/>
          </w:tcPr>
          <w:p w14:paraId="2087025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25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5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5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5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5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5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25D" w14:textId="77777777" w:rsidR="00802D3E" w:rsidRDefault="00802D3E">
            <w:pPr>
              <w:pStyle w:val="MeasureTableTextRightAligned"/>
            </w:pPr>
            <w:r>
              <w:t>*</w:t>
            </w:r>
          </w:p>
        </w:tc>
      </w:tr>
      <w:tr w:rsidR="00802D3E" w14:paraId="20870263" w14:textId="77777777" w:rsidTr="00802D3E">
        <w:trPr>
          <w:cantSplit/>
          <w:jc w:val="center"/>
        </w:trPr>
        <w:tc>
          <w:tcPr>
            <w:tcW w:w="1934" w:type="dxa"/>
            <w:gridSpan w:val="2"/>
            <w:tcBorders>
              <w:top w:val="single" w:sz="2" w:space="0" w:color="auto"/>
              <w:left w:val="nil"/>
              <w:bottom w:val="nil"/>
              <w:right w:val="nil"/>
            </w:tcBorders>
            <w:hideMark/>
          </w:tcPr>
          <w:p w14:paraId="2087025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26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26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262" w14:textId="77777777" w:rsidR="00802D3E" w:rsidRDefault="00802D3E">
            <w:pPr>
              <w:pStyle w:val="MeasureTableTextLeftAligned"/>
            </w:pPr>
            <w:r>
              <w:t>D39</w:t>
            </w:r>
          </w:p>
        </w:tc>
      </w:tr>
      <w:tr w:rsidR="00802D3E" w14:paraId="20870268" w14:textId="77777777" w:rsidTr="00802D3E">
        <w:trPr>
          <w:cantSplit/>
          <w:jc w:val="center"/>
        </w:trPr>
        <w:tc>
          <w:tcPr>
            <w:tcW w:w="1934" w:type="dxa"/>
            <w:gridSpan w:val="2"/>
            <w:tcBorders>
              <w:top w:val="nil"/>
              <w:left w:val="nil"/>
              <w:bottom w:val="nil"/>
              <w:right w:val="nil"/>
            </w:tcBorders>
            <w:hideMark/>
          </w:tcPr>
          <w:p w14:paraId="2087026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26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26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267" w14:textId="77777777" w:rsidR="00802D3E" w:rsidRDefault="00802D3E">
            <w:pPr>
              <w:pStyle w:val="MeasureTableTextLeftAligned"/>
            </w:pPr>
            <w:r>
              <w:t>1+</w:t>
            </w:r>
          </w:p>
        </w:tc>
      </w:tr>
      <w:tr w:rsidR="00802D3E" w14:paraId="2087026D" w14:textId="77777777" w:rsidTr="00802D3E">
        <w:trPr>
          <w:cantSplit/>
          <w:jc w:val="center"/>
        </w:trPr>
        <w:tc>
          <w:tcPr>
            <w:tcW w:w="1934" w:type="dxa"/>
            <w:gridSpan w:val="2"/>
            <w:tcBorders>
              <w:top w:val="nil"/>
              <w:left w:val="nil"/>
              <w:bottom w:val="nil"/>
              <w:right w:val="nil"/>
            </w:tcBorders>
            <w:hideMark/>
          </w:tcPr>
          <w:p w14:paraId="2087026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26A" w14:textId="77777777" w:rsidR="00802D3E" w:rsidRDefault="00802D3E">
            <w:pPr>
              <w:pStyle w:val="MeasureTableTextLeftAligned"/>
            </w:pPr>
            <w:r>
              <w:t>2000</w:t>
            </w:r>
          </w:p>
        </w:tc>
        <w:tc>
          <w:tcPr>
            <w:tcW w:w="1500" w:type="dxa"/>
            <w:gridSpan w:val="2"/>
            <w:tcBorders>
              <w:top w:val="nil"/>
              <w:left w:val="nil"/>
              <w:bottom w:val="nil"/>
              <w:right w:val="nil"/>
            </w:tcBorders>
            <w:hideMark/>
          </w:tcPr>
          <w:p w14:paraId="2087026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26C" w14:textId="77777777" w:rsidR="00802D3E" w:rsidRDefault="00802D3E">
            <w:pPr>
              <w:pStyle w:val="MeasureTableTextLeftAligned"/>
            </w:pPr>
          </w:p>
        </w:tc>
      </w:tr>
      <w:tr w:rsidR="00802D3E" w14:paraId="20870270" w14:textId="77777777" w:rsidTr="00802D3E">
        <w:trPr>
          <w:cantSplit/>
          <w:jc w:val="center"/>
        </w:trPr>
        <w:tc>
          <w:tcPr>
            <w:tcW w:w="1934" w:type="dxa"/>
            <w:gridSpan w:val="2"/>
            <w:tcBorders>
              <w:top w:val="nil"/>
              <w:left w:val="nil"/>
              <w:bottom w:val="single" w:sz="2" w:space="0" w:color="auto"/>
              <w:right w:val="nil"/>
            </w:tcBorders>
            <w:hideMark/>
          </w:tcPr>
          <w:p w14:paraId="2087026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26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Subsection 47(1A) of the </w:t>
            </w:r>
            <w:r w:rsidRPr="00106337">
              <w:rPr>
                <w:rFonts w:ascii="Arial" w:hAnsi="Arial" w:cs="Arial"/>
                <w:i/>
                <w:iCs/>
                <w:color w:val="000000"/>
                <w:sz w:val="16"/>
                <w:szCs w:val="16"/>
              </w:rPr>
              <w:t>Fringe Benefits Tax Assessment Act 1986</w:t>
            </w:r>
          </w:p>
        </w:tc>
      </w:tr>
    </w:tbl>
    <w:p w14:paraId="20870271" w14:textId="77777777" w:rsidR="00802D3E" w:rsidRDefault="00802D3E" w:rsidP="00A109BC">
      <w:pPr>
        <w:pStyle w:val="SingleParagraph"/>
      </w:pPr>
    </w:p>
    <w:p w14:paraId="20870272" w14:textId="77777777" w:rsidR="00802D3E" w:rsidRDefault="00802D3E" w:rsidP="00802D3E">
      <w:r>
        <w:t>The provision of travel on public transport</w:t>
      </w:r>
      <w:r>
        <w:fldChar w:fldCharType="begin"/>
      </w:r>
      <w:r>
        <w:instrText xml:space="preserve"> XE "Public transport" </w:instrText>
      </w:r>
      <w:r>
        <w:fldChar w:fldCharType="end"/>
      </w:r>
      <w:r>
        <w:t xml:space="preserve"> to police officers for the purpose of travel between the officer’s place of residence and their primary place of employment is exempt from fringe benefits tax. </w:t>
      </w:r>
    </w:p>
    <w:p w14:paraId="20870273" w14:textId="77777777" w:rsidR="00802D3E" w:rsidRDefault="00802D3E" w:rsidP="00802D3E">
      <w:pPr>
        <w:pStyle w:val="TESHeading5"/>
        <w:ind w:left="0" w:firstLine="0"/>
      </w:pPr>
      <w:r>
        <w:lastRenderedPageBreak/>
        <w:t>D40</w:t>
      </w:r>
      <w:r>
        <w:tab/>
        <w:t>Private use of business property exemption</w:t>
      </w:r>
    </w:p>
    <w:p w14:paraId="20870274"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27D" w14:textId="77777777" w:rsidTr="00802D3E">
        <w:trPr>
          <w:cantSplit/>
          <w:jc w:val="center"/>
        </w:trPr>
        <w:tc>
          <w:tcPr>
            <w:tcW w:w="967" w:type="dxa"/>
            <w:tcBorders>
              <w:top w:val="single" w:sz="2" w:space="0" w:color="auto"/>
              <w:left w:val="nil"/>
              <w:bottom w:val="single" w:sz="2" w:space="0" w:color="auto"/>
              <w:right w:val="nil"/>
            </w:tcBorders>
            <w:hideMark/>
          </w:tcPr>
          <w:p w14:paraId="2087027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27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27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27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27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27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27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27C" w14:textId="77777777" w:rsidR="00802D3E" w:rsidRDefault="00802D3E">
            <w:pPr>
              <w:pStyle w:val="MeasureTableTextRightAligned"/>
            </w:pPr>
            <w:r>
              <w:t>2019-20</w:t>
            </w:r>
          </w:p>
        </w:tc>
      </w:tr>
      <w:tr w:rsidR="00802D3E" w14:paraId="20870286" w14:textId="77777777" w:rsidTr="00802D3E">
        <w:trPr>
          <w:cantSplit/>
          <w:jc w:val="center"/>
        </w:trPr>
        <w:tc>
          <w:tcPr>
            <w:tcW w:w="967" w:type="dxa"/>
            <w:tcBorders>
              <w:top w:val="single" w:sz="2" w:space="0" w:color="auto"/>
              <w:left w:val="nil"/>
              <w:bottom w:val="single" w:sz="2" w:space="0" w:color="auto"/>
              <w:right w:val="nil"/>
            </w:tcBorders>
            <w:hideMark/>
          </w:tcPr>
          <w:p w14:paraId="2087027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27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8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8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8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8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8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285" w14:textId="77777777" w:rsidR="00802D3E" w:rsidRDefault="00802D3E">
            <w:pPr>
              <w:pStyle w:val="MeasureTableTextRightAligned"/>
            </w:pPr>
            <w:r>
              <w:t>*</w:t>
            </w:r>
          </w:p>
        </w:tc>
      </w:tr>
      <w:tr w:rsidR="00802D3E" w14:paraId="2087028B" w14:textId="77777777" w:rsidTr="00802D3E">
        <w:trPr>
          <w:cantSplit/>
          <w:jc w:val="center"/>
        </w:trPr>
        <w:tc>
          <w:tcPr>
            <w:tcW w:w="1934" w:type="dxa"/>
            <w:gridSpan w:val="2"/>
            <w:tcBorders>
              <w:top w:val="single" w:sz="2" w:space="0" w:color="auto"/>
              <w:left w:val="nil"/>
              <w:bottom w:val="nil"/>
              <w:right w:val="nil"/>
            </w:tcBorders>
            <w:hideMark/>
          </w:tcPr>
          <w:p w14:paraId="2087028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28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28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28A" w14:textId="77777777" w:rsidR="00802D3E" w:rsidRDefault="00802D3E">
            <w:pPr>
              <w:pStyle w:val="MeasureTableTextLeftAligned"/>
            </w:pPr>
            <w:r>
              <w:t>D40</w:t>
            </w:r>
          </w:p>
        </w:tc>
      </w:tr>
      <w:tr w:rsidR="00802D3E" w14:paraId="20870290" w14:textId="77777777" w:rsidTr="00802D3E">
        <w:trPr>
          <w:cantSplit/>
          <w:jc w:val="center"/>
        </w:trPr>
        <w:tc>
          <w:tcPr>
            <w:tcW w:w="1934" w:type="dxa"/>
            <w:gridSpan w:val="2"/>
            <w:tcBorders>
              <w:top w:val="nil"/>
              <w:left w:val="nil"/>
              <w:bottom w:val="nil"/>
              <w:right w:val="nil"/>
            </w:tcBorders>
            <w:hideMark/>
          </w:tcPr>
          <w:p w14:paraId="2087028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28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28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28F" w14:textId="77777777" w:rsidR="00802D3E" w:rsidRDefault="00802D3E">
            <w:pPr>
              <w:pStyle w:val="MeasureTableTextLeftAligned"/>
            </w:pPr>
            <w:r>
              <w:t>3+</w:t>
            </w:r>
          </w:p>
        </w:tc>
      </w:tr>
      <w:tr w:rsidR="00802D3E" w14:paraId="20870295" w14:textId="77777777" w:rsidTr="00802D3E">
        <w:trPr>
          <w:cantSplit/>
          <w:jc w:val="center"/>
        </w:trPr>
        <w:tc>
          <w:tcPr>
            <w:tcW w:w="1934" w:type="dxa"/>
            <w:gridSpan w:val="2"/>
            <w:tcBorders>
              <w:top w:val="nil"/>
              <w:left w:val="nil"/>
              <w:bottom w:val="nil"/>
              <w:right w:val="nil"/>
            </w:tcBorders>
            <w:hideMark/>
          </w:tcPr>
          <w:p w14:paraId="2087029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292"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29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294" w14:textId="77777777" w:rsidR="00802D3E" w:rsidRDefault="00802D3E">
            <w:pPr>
              <w:pStyle w:val="MeasureTableTextLeftAligned"/>
            </w:pPr>
          </w:p>
        </w:tc>
      </w:tr>
      <w:tr w:rsidR="00802D3E" w14:paraId="20870298" w14:textId="77777777" w:rsidTr="00802D3E">
        <w:trPr>
          <w:cantSplit/>
          <w:jc w:val="center"/>
        </w:trPr>
        <w:tc>
          <w:tcPr>
            <w:tcW w:w="1934" w:type="dxa"/>
            <w:gridSpan w:val="2"/>
            <w:tcBorders>
              <w:top w:val="nil"/>
              <w:left w:val="nil"/>
              <w:bottom w:val="single" w:sz="2" w:space="0" w:color="auto"/>
              <w:right w:val="nil"/>
            </w:tcBorders>
            <w:hideMark/>
          </w:tcPr>
          <w:p w14:paraId="2087029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29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41 and 47(3) of the </w:t>
            </w:r>
            <w:r w:rsidRPr="00106337">
              <w:rPr>
                <w:rFonts w:ascii="Arial" w:hAnsi="Arial" w:cs="Arial"/>
                <w:i/>
                <w:iCs/>
                <w:color w:val="000000"/>
                <w:sz w:val="16"/>
                <w:szCs w:val="16"/>
              </w:rPr>
              <w:t>Fringe Benefits Tax Assessment Act 1986</w:t>
            </w:r>
          </w:p>
        </w:tc>
      </w:tr>
    </w:tbl>
    <w:p w14:paraId="20870299" w14:textId="77777777" w:rsidR="00802D3E" w:rsidRDefault="00802D3E" w:rsidP="00A109BC">
      <w:pPr>
        <w:pStyle w:val="SingleParagraph"/>
      </w:pPr>
    </w:p>
    <w:p w14:paraId="2087029A" w14:textId="77777777" w:rsidR="00802D3E" w:rsidRDefault="00802D3E" w:rsidP="00802D3E">
      <w:r>
        <w:t>The personal use of property</w:t>
      </w:r>
      <w:r>
        <w:fldChar w:fldCharType="begin"/>
      </w:r>
      <w:r>
        <w:instrText xml:space="preserve"> XE "Private use of business property" </w:instrText>
      </w:r>
      <w:r>
        <w:fldChar w:fldCharType="end"/>
      </w:r>
      <w:r>
        <w:t xml:space="preserve"> (other than a motor vehicle) principally used directly in connection with business operations is exempt from fringe benefits tax. The property must be onsite or ordinarily located onsite, and provided to or consumed by an employee on a working day. This exemption excludes meals provided under a salary sacrifice arrangement. </w:t>
      </w:r>
    </w:p>
    <w:p w14:paraId="2087029B" w14:textId="77777777" w:rsidR="00802D3E" w:rsidRDefault="00802D3E" w:rsidP="00802D3E">
      <w:pPr>
        <w:pStyle w:val="TESHeading5"/>
        <w:ind w:left="0" w:firstLine="0"/>
      </w:pPr>
      <w:r>
        <w:t>D41</w:t>
      </w:r>
      <w:r>
        <w:tab/>
        <w:t>Provision of food and drink in certain circumstances exemption</w:t>
      </w:r>
    </w:p>
    <w:p w14:paraId="2087029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2A5" w14:textId="77777777" w:rsidTr="00802D3E">
        <w:trPr>
          <w:cantSplit/>
          <w:jc w:val="center"/>
        </w:trPr>
        <w:tc>
          <w:tcPr>
            <w:tcW w:w="967" w:type="dxa"/>
            <w:tcBorders>
              <w:top w:val="single" w:sz="2" w:space="0" w:color="auto"/>
              <w:left w:val="nil"/>
              <w:bottom w:val="single" w:sz="2" w:space="0" w:color="auto"/>
              <w:right w:val="nil"/>
            </w:tcBorders>
            <w:hideMark/>
          </w:tcPr>
          <w:p w14:paraId="2087029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29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29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2A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2A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2A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2A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2A4" w14:textId="77777777" w:rsidR="00802D3E" w:rsidRDefault="00802D3E">
            <w:pPr>
              <w:pStyle w:val="MeasureTableTextRightAligned"/>
            </w:pPr>
            <w:r>
              <w:t>2019-20</w:t>
            </w:r>
          </w:p>
        </w:tc>
      </w:tr>
      <w:tr w:rsidR="00802D3E" w14:paraId="208702AE" w14:textId="77777777" w:rsidTr="00802D3E">
        <w:trPr>
          <w:cantSplit/>
          <w:jc w:val="center"/>
        </w:trPr>
        <w:tc>
          <w:tcPr>
            <w:tcW w:w="967" w:type="dxa"/>
            <w:tcBorders>
              <w:top w:val="single" w:sz="2" w:space="0" w:color="auto"/>
              <w:left w:val="nil"/>
              <w:bottom w:val="single" w:sz="2" w:space="0" w:color="auto"/>
              <w:right w:val="nil"/>
            </w:tcBorders>
            <w:hideMark/>
          </w:tcPr>
          <w:p w14:paraId="208702A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2A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A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A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A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A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A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2AD" w14:textId="77777777" w:rsidR="00802D3E" w:rsidRDefault="00802D3E">
            <w:pPr>
              <w:pStyle w:val="MeasureTableTextRightAligned"/>
            </w:pPr>
            <w:r>
              <w:t>*</w:t>
            </w:r>
          </w:p>
        </w:tc>
      </w:tr>
      <w:tr w:rsidR="00802D3E" w14:paraId="208702B3" w14:textId="77777777" w:rsidTr="00802D3E">
        <w:trPr>
          <w:cantSplit/>
          <w:jc w:val="center"/>
        </w:trPr>
        <w:tc>
          <w:tcPr>
            <w:tcW w:w="1934" w:type="dxa"/>
            <w:gridSpan w:val="2"/>
            <w:tcBorders>
              <w:top w:val="single" w:sz="2" w:space="0" w:color="auto"/>
              <w:left w:val="nil"/>
              <w:bottom w:val="nil"/>
              <w:right w:val="nil"/>
            </w:tcBorders>
            <w:hideMark/>
          </w:tcPr>
          <w:p w14:paraId="208702A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2B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2B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2B2" w14:textId="77777777" w:rsidR="00802D3E" w:rsidRDefault="00802D3E">
            <w:pPr>
              <w:pStyle w:val="MeasureTableTextLeftAligned"/>
            </w:pPr>
            <w:r>
              <w:t>D41</w:t>
            </w:r>
          </w:p>
        </w:tc>
      </w:tr>
      <w:tr w:rsidR="00802D3E" w14:paraId="208702B8" w14:textId="77777777" w:rsidTr="00802D3E">
        <w:trPr>
          <w:cantSplit/>
          <w:jc w:val="center"/>
        </w:trPr>
        <w:tc>
          <w:tcPr>
            <w:tcW w:w="1934" w:type="dxa"/>
            <w:gridSpan w:val="2"/>
            <w:tcBorders>
              <w:top w:val="nil"/>
              <w:left w:val="nil"/>
              <w:bottom w:val="nil"/>
              <w:right w:val="nil"/>
            </w:tcBorders>
            <w:hideMark/>
          </w:tcPr>
          <w:p w14:paraId="208702B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2B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2B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2B7" w14:textId="77777777" w:rsidR="00802D3E" w:rsidRDefault="00802D3E">
            <w:pPr>
              <w:pStyle w:val="MeasureTableTextLeftAligned"/>
            </w:pPr>
            <w:r>
              <w:t>1+</w:t>
            </w:r>
          </w:p>
        </w:tc>
      </w:tr>
      <w:tr w:rsidR="00802D3E" w14:paraId="208702BD" w14:textId="77777777" w:rsidTr="00802D3E">
        <w:trPr>
          <w:cantSplit/>
          <w:jc w:val="center"/>
        </w:trPr>
        <w:tc>
          <w:tcPr>
            <w:tcW w:w="1934" w:type="dxa"/>
            <w:gridSpan w:val="2"/>
            <w:tcBorders>
              <w:top w:val="nil"/>
              <w:left w:val="nil"/>
              <w:bottom w:val="nil"/>
              <w:right w:val="nil"/>
            </w:tcBorders>
            <w:hideMark/>
          </w:tcPr>
          <w:p w14:paraId="208702B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2BA"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2B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2BC" w14:textId="77777777" w:rsidR="00802D3E" w:rsidRDefault="00802D3E">
            <w:pPr>
              <w:pStyle w:val="MeasureTableTextLeftAligned"/>
            </w:pPr>
          </w:p>
        </w:tc>
      </w:tr>
      <w:tr w:rsidR="00802D3E" w14:paraId="208702C0" w14:textId="77777777" w:rsidTr="00802D3E">
        <w:trPr>
          <w:cantSplit/>
          <w:jc w:val="center"/>
        </w:trPr>
        <w:tc>
          <w:tcPr>
            <w:tcW w:w="1934" w:type="dxa"/>
            <w:gridSpan w:val="2"/>
            <w:tcBorders>
              <w:top w:val="nil"/>
              <w:left w:val="nil"/>
              <w:bottom w:val="single" w:sz="2" w:space="0" w:color="auto"/>
              <w:right w:val="nil"/>
            </w:tcBorders>
            <w:hideMark/>
          </w:tcPr>
          <w:p w14:paraId="208702B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2B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54 and 58V of the </w:t>
            </w:r>
            <w:r w:rsidRPr="00106337">
              <w:rPr>
                <w:rFonts w:ascii="Arial" w:hAnsi="Arial" w:cs="Arial"/>
                <w:i/>
                <w:iCs/>
                <w:color w:val="000000"/>
                <w:sz w:val="16"/>
                <w:szCs w:val="16"/>
              </w:rPr>
              <w:t>Fringe Benefits Tax Assessment Act 1986</w:t>
            </w:r>
          </w:p>
        </w:tc>
      </w:tr>
    </w:tbl>
    <w:p w14:paraId="208702C1" w14:textId="77777777" w:rsidR="00802D3E" w:rsidRDefault="00802D3E" w:rsidP="00A109BC">
      <w:pPr>
        <w:pStyle w:val="SingleParagraph"/>
      </w:pPr>
    </w:p>
    <w:p w14:paraId="208702C2" w14:textId="77777777" w:rsidR="00802D3E" w:rsidRDefault="00802D3E" w:rsidP="00802D3E">
      <w:r>
        <w:t xml:space="preserve">Where employees receive meals that are </w:t>
      </w:r>
      <w:proofErr w:type="spellStart"/>
      <w:r>
        <w:t>board</w:t>
      </w:r>
      <w:proofErr w:type="spellEnd"/>
      <w:r>
        <w:t xml:space="preserve"> fringe benefits</w:t>
      </w:r>
      <w:r>
        <w:fldChar w:fldCharType="begin"/>
      </w:r>
      <w:r>
        <w:instrText xml:space="preserve"> XE "Fringe benefits tax:Board fringe benefits" </w:instrText>
      </w:r>
      <w:r>
        <w:fldChar w:fldCharType="end"/>
      </w:r>
      <w:r>
        <w:t>, any additional food and drink supplied to them is exempt from fringe benefits tax. Food and drink provided to domestic employees who do not ‘live</w:t>
      </w:r>
      <w:r>
        <w:noBreakHyphen/>
        <w:t xml:space="preserve">in’ may also be exempt if consumed at the place of employment and the employer is a religious institution or individual. </w:t>
      </w:r>
    </w:p>
    <w:p w14:paraId="208702C3" w14:textId="77777777" w:rsidR="00802D3E" w:rsidRDefault="00802D3E" w:rsidP="00802D3E">
      <w:pPr>
        <w:pStyle w:val="TESHeading5"/>
        <w:ind w:left="0" w:firstLine="0"/>
      </w:pPr>
      <w:r>
        <w:t>D42</w:t>
      </w:r>
      <w:r>
        <w:tab/>
        <w:t>Recreational or child</w:t>
      </w:r>
      <w:r w:rsidR="00A43FAA">
        <w:t xml:space="preserve"> </w:t>
      </w:r>
      <w:r>
        <w:t>care facilities on an employer's business premises exemption</w:t>
      </w:r>
    </w:p>
    <w:p w14:paraId="208702C4"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2CD" w14:textId="77777777" w:rsidTr="00802D3E">
        <w:trPr>
          <w:cantSplit/>
          <w:jc w:val="center"/>
        </w:trPr>
        <w:tc>
          <w:tcPr>
            <w:tcW w:w="967" w:type="dxa"/>
            <w:tcBorders>
              <w:top w:val="single" w:sz="2" w:space="0" w:color="auto"/>
              <w:left w:val="nil"/>
              <w:bottom w:val="single" w:sz="2" w:space="0" w:color="auto"/>
              <w:right w:val="nil"/>
            </w:tcBorders>
            <w:hideMark/>
          </w:tcPr>
          <w:p w14:paraId="208702C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2C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2C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2C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2C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2C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2C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2CC" w14:textId="77777777" w:rsidR="00802D3E" w:rsidRDefault="00802D3E">
            <w:pPr>
              <w:pStyle w:val="MeasureTableTextRightAligned"/>
            </w:pPr>
            <w:r>
              <w:t>2019-20</w:t>
            </w:r>
          </w:p>
        </w:tc>
      </w:tr>
      <w:tr w:rsidR="00802D3E" w14:paraId="208702D6" w14:textId="77777777" w:rsidTr="00802D3E">
        <w:trPr>
          <w:cantSplit/>
          <w:jc w:val="center"/>
        </w:trPr>
        <w:tc>
          <w:tcPr>
            <w:tcW w:w="967" w:type="dxa"/>
            <w:tcBorders>
              <w:top w:val="single" w:sz="2" w:space="0" w:color="auto"/>
              <w:left w:val="nil"/>
              <w:bottom w:val="single" w:sz="2" w:space="0" w:color="auto"/>
              <w:right w:val="nil"/>
            </w:tcBorders>
            <w:hideMark/>
          </w:tcPr>
          <w:p w14:paraId="208702C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2C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D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D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D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D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D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2D5" w14:textId="77777777" w:rsidR="00802D3E" w:rsidRDefault="00802D3E">
            <w:pPr>
              <w:pStyle w:val="MeasureTableTextRightAligned"/>
            </w:pPr>
            <w:r>
              <w:t>*</w:t>
            </w:r>
          </w:p>
        </w:tc>
      </w:tr>
      <w:tr w:rsidR="00802D3E" w14:paraId="208702DB" w14:textId="77777777" w:rsidTr="00802D3E">
        <w:trPr>
          <w:cantSplit/>
          <w:jc w:val="center"/>
        </w:trPr>
        <w:tc>
          <w:tcPr>
            <w:tcW w:w="1934" w:type="dxa"/>
            <w:gridSpan w:val="2"/>
            <w:tcBorders>
              <w:top w:val="single" w:sz="2" w:space="0" w:color="auto"/>
              <w:left w:val="nil"/>
              <w:bottom w:val="nil"/>
              <w:right w:val="nil"/>
            </w:tcBorders>
            <w:hideMark/>
          </w:tcPr>
          <w:p w14:paraId="208702D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2D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2D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2DA" w14:textId="77777777" w:rsidR="00802D3E" w:rsidRDefault="00802D3E">
            <w:pPr>
              <w:pStyle w:val="MeasureTableTextLeftAligned"/>
            </w:pPr>
            <w:r>
              <w:t>D42</w:t>
            </w:r>
          </w:p>
        </w:tc>
      </w:tr>
      <w:tr w:rsidR="00802D3E" w14:paraId="208702E0" w14:textId="77777777" w:rsidTr="00802D3E">
        <w:trPr>
          <w:cantSplit/>
          <w:jc w:val="center"/>
        </w:trPr>
        <w:tc>
          <w:tcPr>
            <w:tcW w:w="1934" w:type="dxa"/>
            <w:gridSpan w:val="2"/>
            <w:tcBorders>
              <w:top w:val="nil"/>
              <w:left w:val="nil"/>
              <w:bottom w:val="nil"/>
              <w:right w:val="nil"/>
            </w:tcBorders>
            <w:hideMark/>
          </w:tcPr>
          <w:p w14:paraId="208702D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2D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2D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2DF" w14:textId="77777777" w:rsidR="00802D3E" w:rsidRDefault="00802D3E">
            <w:pPr>
              <w:pStyle w:val="MeasureTableTextLeftAligned"/>
            </w:pPr>
            <w:r>
              <w:t>2+</w:t>
            </w:r>
          </w:p>
        </w:tc>
      </w:tr>
      <w:tr w:rsidR="00802D3E" w14:paraId="208702E5" w14:textId="77777777" w:rsidTr="00802D3E">
        <w:trPr>
          <w:cantSplit/>
          <w:jc w:val="center"/>
        </w:trPr>
        <w:tc>
          <w:tcPr>
            <w:tcW w:w="1934" w:type="dxa"/>
            <w:gridSpan w:val="2"/>
            <w:tcBorders>
              <w:top w:val="nil"/>
              <w:left w:val="nil"/>
              <w:bottom w:val="nil"/>
              <w:right w:val="nil"/>
            </w:tcBorders>
            <w:hideMark/>
          </w:tcPr>
          <w:p w14:paraId="208702E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2E2"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2E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2E4" w14:textId="77777777" w:rsidR="00802D3E" w:rsidRDefault="00802D3E">
            <w:pPr>
              <w:pStyle w:val="MeasureTableTextLeftAligned"/>
            </w:pPr>
          </w:p>
        </w:tc>
      </w:tr>
      <w:tr w:rsidR="00802D3E" w14:paraId="208702E8" w14:textId="77777777" w:rsidTr="00802D3E">
        <w:trPr>
          <w:cantSplit/>
          <w:jc w:val="center"/>
        </w:trPr>
        <w:tc>
          <w:tcPr>
            <w:tcW w:w="1934" w:type="dxa"/>
            <w:gridSpan w:val="2"/>
            <w:tcBorders>
              <w:top w:val="nil"/>
              <w:left w:val="nil"/>
              <w:bottom w:val="single" w:sz="2" w:space="0" w:color="auto"/>
              <w:right w:val="nil"/>
            </w:tcBorders>
            <w:hideMark/>
          </w:tcPr>
          <w:p w14:paraId="208702E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2E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Subsection 47(2) of the </w:t>
            </w:r>
            <w:r w:rsidRPr="00106337">
              <w:rPr>
                <w:rFonts w:ascii="Arial" w:hAnsi="Arial" w:cs="Arial"/>
                <w:i/>
                <w:iCs/>
                <w:color w:val="000000"/>
                <w:sz w:val="16"/>
                <w:szCs w:val="16"/>
              </w:rPr>
              <w:t>Fringe Benefits Tax Assessment Act 1986</w:t>
            </w:r>
          </w:p>
        </w:tc>
      </w:tr>
    </w:tbl>
    <w:p w14:paraId="208702E9" w14:textId="77777777" w:rsidR="00802D3E" w:rsidRDefault="00802D3E" w:rsidP="00A109BC">
      <w:pPr>
        <w:pStyle w:val="SingleParagraph"/>
      </w:pPr>
    </w:p>
    <w:p w14:paraId="208702EA" w14:textId="77777777" w:rsidR="00802D3E" w:rsidRDefault="00802D3E" w:rsidP="00802D3E">
      <w:r>
        <w:rPr>
          <w:rFonts w:eastAsia="MS Gothic"/>
          <w:lang w:eastAsia="ja-JP"/>
        </w:rPr>
        <w:t>Recreational or child</w:t>
      </w:r>
      <w:r w:rsidR="00A43FAA">
        <w:rPr>
          <w:rFonts w:eastAsia="MS Gothic"/>
          <w:lang w:eastAsia="ja-JP"/>
        </w:rPr>
        <w:t xml:space="preserve"> </w:t>
      </w:r>
      <w:r>
        <w:rPr>
          <w:rFonts w:eastAsia="MS Gothic"/>
          <w:lang w:eastAsia="ja-JP"/>
        </w:rPr>
        <w:t>care facilities</w:t>
      </w:r>
      <w:r>
        <w:rPr>
          <w:rFonts w:eastAsia="MS Gothic"/>
          <w:lang w:eastAsia="ja-JP"/>
        </w:rPr>
        <w:fldChar w:fldCharType="begin"/>
      </w:r>
      <w:r>
        <w:instrText xml:space="preserve"> XE "</w:instrText>
      </w:r>
      <w:r>
        <w:rPr>
          <w:rFonts w:eastAsia="MS Gothic"/>
          <w:lang w:eastAsia="ja-JP"/>
        </w:rPr>
        <w:instrText>Recreational or child</w:instrText>
      </w:r>
      <w:r w:rsidR="00F95D03">
        <w:rPr>
          <w:rFonts w:eastAsia="MS Gothic"/>
          <w:lang w:eastAsia="ja-JP"/>
        </w:rPr>
        <w:instrText xml:space="preserve"> </w:instrText>
      </w:r>
      <w:r>
        <w:rPr>
          <w:rFonts w:eastAsia="MS Gothic"/>
          <w:lang w:eastAsia="ja-JP"/>
        </w:rPr>
        <w:instrText>care facilities</w:instrText>
      </w:r>
      <w:r>
        <w:instrText xml:space="preserve">" </w:instrText>
      </w:r>
      <w:r>
        <w:rPr>
          <w:rFonts w:eastAsia="MS Gothic"/>
          <w:lang w:eastAsia="ja-JP"/>
        </w:rPr>
        <w:fldChar w:fldCharType="end"/>
      </w:r>
      <w:r>
        <w:rPr>
          <w:rFonts w:eastAsia="MS Gothic"/>
          <w:lang w:eastAsia="ja-JP"/>
        </w:rPr>
        <w:t xml:space="preserve"> are exempt from fringe benefits tax if the facilities are provided on an employer’s business premises for the benefit of employees.</w:t>
      </w:r>
      <w:r>
        <w:t xml:space="preserve"> </w:t>
      </w:r>
      <w:r>
        <w:fldChar w:fldCharType="begin"/>
      </w:r>
      <w:r>
        <w:instrText xml:space="preserve"> XE "Fringe benefits tax:Child</w:instrText>
      </w:r>
      <w:r w:rsidR="00F95D03">
        <w:instrText xml:space="preserve"> C</w:instrText>
      </w:r>
      <w:r>
        <w:instrText xml:space="preserve">are" </w:instrText>
      </w:r>
      <w:r>
        <w:fldChar w:fldCharType="end"/>
      </w:r>
    </w:p>
    <w:p w14:paraId="208702EB" w14:textId="77777777" w:rsidR="00802D3E" w:rsidRDefault="00802D3E" w:rsidP="00802D3E">
      <w:pPr>
        <w:pStyle w:val="TESHeading5"/>
        <w:ind w:left="0" w:firstLine="0"/>
      </w:pPr>
      <w:r>
        <w:lastRenderedPageBreak/>
        <w:t>D43</w:t>
      </w:r>
      <w:r>
        <w:tab/>
        <w:t>Remote area holiday benefits discounted valuation</w:t>
      </w:r>
    </w:p>
    <w:p w14:paraId="208702E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2F5" w14:textId="77777777" w:rsidTr="00802D3E">
        <w:trPr>
          <w:cantSplit/>
          <w:jc w:val="center"/>
        </w:trPr>
        <w:tc>
          <w:tcPr>
            <w:tcW w:w="967" w:type="dxa"/>
            <w:tcBorders>
              <w:top w:val="single" w:sz="2" w:space="0" w:color="auto"/>
              <w:left w:val="nil"/>
              <w:bottom w:val="single" w:sz="2" w:space="0" w:color="auto"/>
              <w:right w:val="nil"/>
            </w:tcBorders>
            <w:hideMark/>
          </w:tcPr>
          <w:p w14:paraId="208702E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2E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2E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2F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2F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2F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2F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2F4" w14:textId="77777777" w:rsidR="00802D3E" w:rsidRDefault="00802D3E">
            <w:pPr>
              <w:pStyle w:val="MeasureTableTextRightAligned"/>
            </w:pPr>
            <w:r>
              <w:t>2019-20</w:t>
            </w:r>
          </w:p>
        </w:tc>
      </w:tr>
      <w:tr w:rsidR="00802D3E" w14:paraId="208702FE" w14:textId="77777777" w:rsidTr="00802D3E">
        <w:trPr>
          <w:cantSplit/>
          <w:jc w:val="center"/>
        </w:trPr>
        <w:tc>
          <w:tcPr>
            <w:tcW w:w="967" w:type="dxa"/>
            <w:tcBorders>
              <w:top w:val="single" w:sz="2" w:space="0" w:color="auto"/>
              <w:left w:val="nil"/>
              <w:bottom w:val="single" w:sz="2" w:space="0" w:color="auto"/>
              <w:right w:val="nil"/>
            </w:tcBorders>
            <w:hideMark/>
          </w:tcPr>
          <w:p w14:paraId="208702F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2F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F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F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2F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F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2F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2FD" w14:textId="77777777" w:rsidR="00802D3E" w:rsidRDefault="00802D3E">
            <w:pPr>
              <w:pStyle w:val="MeasureTableTextRightAligned"/>
            </w:pPr>
            <w:r>
              <w:t>*</w:t>
            </w:r>
          </w:p>
        </w:tc>
      </w:tr>
      <w:tr w:rsidR="00802D3E" w14:paraId="20870303" w14:textId="77777777" w:rsidTr="00802D3E">
        <w:trPr>
          <w:cantSplit/>
          <w:jc w:val="center"/>
        </w:trPr>
        <w:tc>
          <w:tcPr>
            <w:tcW w:w="1934" w:type="dxa"/>
            <w:gridSpan w:val="2"/>
            <w:tcBorders>
              <w:top w:val="single" w:sz="2" w:space="0" w:color="auto"/>
              <w:left w:val="nil"/>
              <w:bottom w:val="nil"/>
              <w:right w:val="nil"/>
            </w:tcBorders>
            <w:hideMark/>
          </w:tcPr>
          <w:p w14:paraId="208702F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300" w14:textId="77777777" w:rsidR="00802D3E" w:rsidRDefault="00802D3E">
            <w:pPr>
              <w:pStyle w:val="MeasureTableTextLeftAligned"/>
            </w:pPr>
            <w:r>
              <w:t>Discounted valuation</w:t>
            </w:r>
          </w:p>
        </w:tc>
        <w:tc>
          <w:tcPr>
            <w:tcW w:w="1500" w:type="dxa"/>
            <w:gridSpan w:val="2"/>
            <w:tcBorders>
              <w:top w:val="single" w:sz="2" w:space="0" w:color="auto"/>
              <w:left w:val="nil"/>
              <w:bottom w:val="nil"/>
              <w:right w:val="nil"/>
            </w:tcBorders>
            <w:hideMark/>
          </w:tcPr>
          <w:p w14:paraId="2087030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302" w14:textId="77777777" w:rsidR="00802D3E" w:rsidRDefault="00802D3E">
            <w:pPr>
              <w:pStyle w:val="MeasureTableTextLeftAligned"/>
            </w:pPr>
            <w:r>
              <w:t>D43</w:t>
            </w:r>
          </w:p>
        </w:tc>
      </w:tr>
      <w:tr w:rsidR="00802D3E" w14:paraId="20870308" w14:textId="77777777" w:rsidTr="00802D3E">
        <w:trPr>
          <w:cantSplit/>
          <w:jc w:val="center"/>
        </w:trPr>
        <w:tc>
          <w:tcPr>
            <w:tcW w:w="1934" w:type="dxa"/>
            <w:gridSpan w:val="2"/>
            <w:tcBorders>
              <w:top w:val="nil"/>
              <w:left w:val="nil"/>
              <w:bottom w:val="nil"/>
              <w:right w:val="nil"/>
            </w:tcBorders>
            <w:hideMark/>
          </w:tcPr>
          <w:p w14:paraId="2087030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30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30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307" w14:textId="77777777" w:rsidR="00802D3E" w:rsidRDefault="00802D3E">
            <w:pPr>
              <w:pStyle w:val="MeasureTableTextLeftAligned"/>
            </w:pPr>
            <w:r>
              <w:t>1+</w:t>
            </w:r>
          </w:p>
        </w:tc>
      </w:tr>
      <w:tr w:rsidR="00802D3E" w14:paraId="2087030D" w14:textId="77777777" w:rsidTr="00802D3E">
        <w:trPr>
          <w:cantSplit/>
          <w:jc w:val="center"/>
        </w:trPr>
        <w:tc>
          <w:tcPr>
            <w:tcW w:w="1934" w:type="dxa"/>
            <w:gridSpan w:val="2"/>
            <w:tcBorders>
              <w:top w:val="nil"/>
              <w:left w:val="nil"/>
              <w:bottom w:val="nil"/>
              <w:right w:val="nil"/>
            </w:tcBorders>
            <w:hideMark/>
          </w:tcPr>
          <w:p w14:paraId="2087030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30A"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30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30C" w14:textId="77777777" w:rsidR="00802D3E" w:rsidRDefault="00802D3E">
            <w:pPr>
              <w:pStyle w:val="MeasureTableTextLeftAligned"/>
            </w:pPr>
          </w:p>
        </w:tc>
      </w:tr>
      <w:tr w:rsidR="00802D3E" w14:paraId="20870310" w14:textId="77777777" w:rsidTr="00802D3E">
        <w:trPr>
          <w:cantSplit/>
          <w:jc w:val="center"/>
        </w:trPr>
        <w:tc>
          <w:tcPr>
            <w:tcW w:w="1934" w:type="dxa"/>
            <w:gridSpan w:val="2"/>
            <w:tcBorders>
              <w:top w:val="nil"/>
              <w:left w:val="nil"/>
              <w:bottom w:val="single" w:sz="2" w:space="0" w:color="auto"/>
              <w:right w:val="nil"/>
            </w:tcBorders>
            <w:hideMark/>
          </w:tcPr>
          <w:p w14:paraId="2087030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30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60A and 61 of the </w:t>
            </w:r>
            <w:r w:rsidRPr="00106337">
              <w:rPr>
                <w:rFonts w:ascii="Arial" w:hAnsi="Arial" w:cs="Arial"/>
                <w:i/>
                <w:iCs/>
                <w:color w:val="000000"/>
                <w:sz w:val="16"/>
                <w:szCs w:val="16"/>
              </w:rPr>
              <w:t>Fringe Benefits Tax Assessment Act 1986</w:t>
            </w:r>
          </w:p>
        </w:tc>
      </w:tr>
    </w:tbl>
    <w:p w14:paraId="20870311" w14:textId="77777777" w:rsidR="00802D3E" w:rsidRDefault="00802D3E" w:rsidP="00A109BC">
      <w:pPr>
        <w:pStyle w:val="SingleParagraph"/>
      </w:pPr>
    </w:p>
    <w:p w14:paraId="20870312" w14:textId="77777777" w:rsidR="00802D3E" w:rsidRDefault="00802D3E" w:rsidP="00802D3E">
      <w:r>
        <w:t>The value of holiday-related transport</w:t>
      </w:r>
      <w:r>
        <w:fldChar w:fldCharType="begin"/>
      </w:r>
      <w:r>
        <w:instrText xml:space="preserve"> XE "Holiday transport" </w:instrText>
      </w:r>
      <w:r>
        <w:fldChar w:fldCharType="end"/>
      </w:r>
      <w:r>
        <w:t xml:space="preserve"> benefits (including the cost of appropriate meals and accommodation </w:t>
      </w:r>
      <w:proofErr w:type="spellStart"/>
      <w:r>
        <w:t>en</w:t>
      </w:r>
      <w:proofErr w:type="spellEnd"/>
      <w:r>
        <w:t xml:space="preserve"> route) provided to employees working in a remote area (and in some cases family members) are generally reduced by 50 per cent. </w:t>
      </w:r>
      <w:r>
        <w:fldChar w:fldCharType="begin"/>
      </w:r>
      <w:r>
        <w:instrText xml:space="preserve"> XE "Fringe benefits tax:Holidays" </w:instrText>
      </w:r>
      <w:r>
        <w:fldChar w:fldCharType="end"/>
      </w:r>
    </w:p>
    <w:p w14:paraId="20870313" w14:textId="77777777" w:rsidR="00802D3E" w:rsidRDefault="00802D3E" w:rsidP="00802D3E">
      <w:pPr>
        <w:pStyle w:val="TESHeading5"/>
        <w:ind w:left="0" w:firstLine="0"/>
      </w:pPr>
      <w:r>
        <w:t>D44</w:t>
      </w:r>
      <w:r>
        <w:tab/>
        <w:t>Small business employee car parking exemption</w:t>
      </w:r>
    </w:p>
    <w:p w14:paraId="20870314"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31D" w14:textId="77777777" w:rsidTr="00802D3E">
        <w:trPr>
          <w:cantSplit/>
          <w:jc w:val="center"/>
        </w:trPr>
        <w:tc>
          <w:tcPr>
            <w:tcW w:w="967" w:type="dxa"/>
            <w:tcBorders>
              <w:top w:val="single" w:sz="2" w:space="0" w:color="auto"/>
              <w:left w:val="nil"/>
              <w:bottom w:val="single" w:sz="2" w:space="0" w:color="auto"/>
              <w:right w:val="nil"/>
            </w:tcBorders>
            <w:hideMark/>
          </w:tcPr>
          <w:p w14:paraId="2087031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31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31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31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31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31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31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31C" w14:textId="77777777" w:rsidR="00802D3E" w:rsidRDefault="00802D3E">
            <w:pPr>
              <w:pStyle w:val="MeasureTableTextRightAligned"/>
            </w:pPr>
            <w:r>
              <w:t>2019-20</w:t>
            </w:r>
          </w:p>
        </w:tc>
      </w:tr>
      <w:tr w:rsidR="00802D3E" w14:paraId="20870326" w14:textId="77777777" w:rsidTr="00802D3E">
        <w:trPr>
          <w:cantSplit/>
          <w:jc w:val="center"/>
        </w:trPr>
        <w:tc>
          <w:tcPr>
            <w:tcW w:w="967" w:type="dxa"/>
            <w:tcBorders>
              <w:top w:val="single" w:sz="2" w:space="0" w:color="auto"/>
              <w:left w:val="nil"/>
              <w:bottom w:val="single" w:sz="2" w:space="0" w:color="auto"/>
              <w:right w:val="nil"/>
            </w:tcBorders>
            <w:hideMark/>
          </w:tcPr>
          <w:p w14:paraId="2087031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31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2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2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2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2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2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325" w14:textId="77777777" w:rsidR="00802D3E" w:rsidRDefault="00802D3E">
            <w:pPr>
              <w:pStyle w:val="MeasureTableTextRightAligned"/>
            </w:pPr>
            <w:r>
              <w:t>*</w:t>
            </w:r>
          </w:p>
        </w:tc>
      </w:tr>
      <w:tr w:rsidR="00802D3E" w14:paraId="2087032B" w14:textId="77777777" w:rsidTr="00802D3E">
        <w:trPr>
          <w:cantSplit/>
          <w:jc w:val="center"/>
        </w:trPr>
        <w:tc>
          <w:tcPr>
            <w:tcW w:w="1934" w:type="dxa"/>
            <w:gridSpan w:val="2"/>
            <w:tcBorders>
              <w:top w:val="single" w:sz="2" w:space="0" w:color="auto"/>
              <w:left w:val="nil"/>
              <w:bottom w:val="nil"/>
              <w:right w:val="nil"/>
            </w:tcBorders>
            <w:hideMark/>
          </w:tcPr>
          <w:p w14:paraId="2087032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32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32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32A" w14:textId="77777777" w:rsidR="00802D3E" w:rsidRDefault="00802D3E">
            <w:pPr>
              <w:pStyle w:val="MeasureTableTextLeftAligned"/>
            </w:pPr>
            <w:r>
              <w:t>D44</w:t>
            </w:r>
          </w:p>
        </w:tc>
      </w:tr>
      <w:tr w:rsidR="00802D3E" w14:paraId="20870330" w14:textId="77777777" w:rsidTr="00802D3E">
        <w:trPr>
          <w:cantSplit/>
          <w:jc w:val="center"/>
        </w:trPr>
        <w:tc>
          <w:tcPr>
            <w:tcW w:w="1934" w:type="dxa"/>
            <w:gridSpan w:val="2"/>
            <w:tcBorders>
              <w:top w:val="nil"/>
              <w:left w:val="nil"/>
              <w:bottom w:val="nil"/>
              <w:right w:val="nil"/>
            </w:tcBorders>
            <w:hideMark/>
          </w:tcPr>
          <w:p w14:paraId="2087032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32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32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32F" w14:textId="77777777" w:rsidR="00802D3E" w:rsidRDefault="00802D3E">
            <w:pPr>
              <w:pStyle w:val="MeasureTableTextLeftAligned"/>
            </w:pPr>
            <w:r>
              <w:t>2+</w:t>
            </w:r>
          </w:p>
        </w:tc>
      </w:tr>
      <w:tr w:rsidR="00802D3E" w14:paraId="20870335" w14:textId="77777777" w:rsidTr="00802D3E">
        <w:trPr>
          <w:cantSplit/>
          <w:jc w:val="center"/>
        </w:trPr>
        <w:tc>
          <w:tcPr>
            <w:tcW w:w="1934" w:type="dxa"/>
            <w:gridSpan w:val="2"/>
            <w:tcBorders>
              <w:top w:val="nil"/>
              <w:left w:val="nil"/>
              <w:bottom w:val="nil"/>
              <w:right w:val="nil"/>
            </w:tcBorders>
            <w:hideMark/>
          </w:tcPr>
          <w:p w14:paraId="2087033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332" w14:textId="77777777" w:rsidR="00802D3E" w:rsidRDefault="00802D3E">
            <w:pPr>
              <w:pStyle w:val="MeasureTableTextLeftAligned"/>
            </w:pPr>
            <w:r>
              <w:t>1997</w:t>
            </w:r>
          </w:p>
        </w:tc>
        <w:tc>
          <w:tcPr>
            <w:tcW w:w="1500" w:type="dxa"/>
            <w:gridSpan w:val="2"/>
            <w:tcBorders>
              <w:top w:val="nil"/>
              <w:left w:val="nil"/>
              <w:bottom w:val="nil"/>
              <w:right w:val="nil"/>
            </w:tcBorders>
            <w:hideMark/>
          </w:tcPr>
          <w:p w14:paraId="2087033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334" w14:textId="77777777" w:rsidR="00802D3E" w:rsidRDefault="00802D3E">
            <w:pPr>
              <w:pStyle w:val="MeasureTableTextLeftAligned"/>
            </w:pPr>
          </w:p>
        </w:tc>
      </w:tr>
      <w:tr w:rsidR="00802D3E" w14:paraId="20870338" w14:textId="77777777" w:rsidTr="00802D3E">
        <w:trPr>
          <w:cantSplit/>
          <w:jc w:val="center"/>
        </w:trPr>
        <w:tc>
          <w:tcPr>
            <w:tcW w:w="1934" w:type="dxa"/>
            <w:gridSpan w:val="2"/>
            <w:tcBorders>
              <w:top w:val="nil"/>
              <w:left w:val="nil"/>
              <w:bottom w:val="single" w:sz="2" w:space="0" w:color="auto"/>
              <w:right w:val="nil"/>
            </w:tcBorders>
            <w:hideMark/>
          </w:tcPr>
          <w:p w14:paraId="2087033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33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58GA of the </w:t>
            </w:r>
            <w:r w:rsidRPr="00106337">
              <w:rPr>
                <w:rFonts w:ascii="Arial" w:hAnsi="Arial" w:cs="Arial"/>
                <w:i/>
                <w:iCs/>
                <w:color w:val="000000"/>
                <w:sz w:val="16"/>
                <w:szCs w:val="16"/>
              </w:rPr>
              <w:t>Fringe Benefits Tax Assessment Act 1986</w:t>
            </w:r>
          </w:p>
        </w:tc>
      </w:tr>
    </w:tbl>
    <w:p w14:paraId="20870339" w14:textId="77777777" w:rsidR="00802D3E" w:rsidRDefault="00802D3E" w:rsidP="00A109BC">
      <w:pPr>
        <w:pStyle w:val="SingleParagraph"/>
      </w:pPr>
    </w:p>
    <w:p w14:paraId="2087033A" w14:textId="77777777" w:rsidR="00802D3E" w:rsidRDefault="00802D3E" w:rsidP="00802D3E">
      <w:r>
        <w:t>Car parking benefits</w:t>
      </w:r>
      <w:r>
        <w:fldChar w:fldCharType="begin"/>
      </w:r>
      <w:r>
        <w:instrText xml:space="preserve"> XE "Fringe benefits tax:Car parking benefits" </w:instrText>
      </w:r>
      <w:r>
        <w:fldChar w:fldCharType="end"/>
      </w:r>
      <w:r>
        <w:t xml:space="preserve"> provided to employees of small businesses are exempt from fringe benefits tax if the parking is not provided in a commercial car park. The employer must not be a government body, listed public company or subsidiary of a listed public company, and the employer’s total income must be less than $10 million. </w:t>
      </w:r>
    </w:p>
    <w:p w14:paraId="2087033B" w14:textId="77777777" w:rsidR="00802D3E" w:rsidRDefault="00802D3E" w:rsidP="00802D3E">
      <w:pPr>
        <w:pStyle w:val="TESHeading5"/>
        <w:ind w:left="0" w:firstLine="0"/>
      </w:pPr>
      <w:r>
        <w:t>D45</w:t>
      </w:r>
      <w:r>
        <w:tab/>
        <w:t>Taxi travel to or from place of work exemption</w:t>
      </w:r>
    </w:p>
    <w:p w14:paraId="2087033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345" w14:textId="77777777" w:rsidTr="00802D3E">
        <w:trPr>
          <w:cantSplit/>
          <w:jc w:val="center"/>
        </w:trPr>
        <w:tc>
          <w:tcPr>
            <w:tcW w:w="967" w:type="dxa"/>
            <w:tcBorders>
              <w:top w:val="single" w:sz="2" w:space="0" w:color="auto"/>
              <w:left w:val="nil"/>
              <w:bottom w:val="single" w:sz="2" w:space="0" w:color="auto"/>
              <w:right w:val="nil"/>
            </w:tcBorders>
            <w:hideMark/>
          </w:tcPr>
          <w:p w14:paraId="2087033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33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33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34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34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34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34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344" w14:textId="77777777" w:rsidR="00802D3E" w:rsidRDefault="00802D3E">
            <w:pPr>
              <w:pStyle w:val="MeasureTableTextRightAligned"/>
            </w:pPr>
            <w:r>
              <w:t>2019-20</w:t>
            </w:r>
          </w:p>
        </w:tc>
      </w:tr>
      <w:tr w:rsidR="00802D3E" w14:paraId="2087034E" w14:textId="77777777" w:rsidTr="00802D3E">
        <w:trPr>
          <w:cantSplit/>
          <w:jc w:val="center"/>
        </w:trPr>
        <w:tc>
          <w:tcPr>
            <w:tcW w:w="967" w:type="dxa"/>
            <w:tcBorders>
              <w:top w:val="single" w:sz="2" w:space="0" w:color="auto"/>
              <w:left w:val="nil"/>
              <w:bottom w:val="single" w:sz="2" w:space="0" w:color="auto"/>
              <w:right w:val="nil"/>
            </w:tcBorders>
            <w:hideMark/>
          </w:tcPr>
          <w:p w14:paraId="2087034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34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4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4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4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4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4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34D" w14:textId="77777777" w:rsidR="00802D3E" w:rsidRDefault="00802D3E">
            <w:pPr>
              <w:pStyle w:val="MeasureTableTextRightAligned"/>
            </w:pPr>
            <w:r>
              <w:t>*</w:t>
            </w:r>
          </w:p>
        </w:tc>
      </w:tr>
      <w:tr w:rsidR="00802D3E" w14:paraId="20870353" w14:textId="77777777" w:rsidTr="00802D3E">
        <w:trPr>
          <w:cantSplit/>
          <w:jc w:val="center"/>
        </w:trPr>
        <w:tc>
          <w:tcPr>
            <w:tcW w:w="1934" w:type="dxa"/>
            <w:gridSpan w:val="2"/>
            <w:tcBorders>
              <w:top w:val="single" w:sz="2" w:space="0" w:color="auto"/>
              <w:left w:val="nil"/>
              <w:bottom w:val="nil"/>
              <w:right w:val="nil"/>
            </w:tcBorders>
            <w:hideMark/>
          </w:tcPr>
          <w:p w14:paraId="2087034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35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35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352" w14:textId="77777777" w:rsidR="00802D3E" w:rsidRDefault="00802D3E">
            <w:pPr>
              <w:pStyle w:val="MeasureTableTextLeftAligned"/>
            </w:pPr>
            <w:r>
              <w:t>D45</w:t>
            </w:r>
          </w:p>
        </w:tc>
      </w:tr>
      <w:tr w:rsidR="00802D3E" w14:paraId="20870358" w14:textId="77777777" w:rsidTr="00802D3E">
        <w:trPr>
          <w:cantSplit/>
          <w:jc w:val="center"/>
        </w:trPr>
        <w:tc>
          <w:tcPr>
            <w:tcW w:w="1934" w:type="dxa"/>
            <w:gridSpan w:val="2"/>
            <w:tcBorders>
              <w:top w:val="nil"/>
              <w:left w:val="nil"/>
              <w:bottom w:val="nil"/>
              <w:right w:val="nil"/>
            </w:tcBorders>
            <w:hideMark/>
          </w:tcPr>
          <w:p w14:paraId="2087035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35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35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357" w14:textId="77777777" w:rsidR="00802D3E" w:rsidRDefault="00802D3E">
            <w:pPr>
              <w:pStyle w:val="MeasureTableTextLeftAligned"/>
            </w:pPr>
            <w:r>
              <w:t>1+</w:t>
            </w:r>
          </w:p>
        </w:tc>
      </w:tr>
      <w:tr w:rsidR="00802D3E" w14:paraId="2087035D" w14:textId="77777777" w:rsidTr="00802D3E">
        <w:trPr>
          <w:cantSplit/>
          <w:jc w:val="center"/>
        </w:trPr>
        <w:tc>
          <w:tcPr>
            <w:tcW w:w="1934" w:type="dxa"/>
            <w:gridSpan w:val="2"/>
            <w:tcBorders>
              <w:top w:val="nil"/>
              <w:left w:val="nil"/>
              <w:bottom w:val="nil"/>
              <w:right w:val="nil"/>
            </w:tcBorders>
            <w:hideMark/>
          </w:tcPr>
          <w:p w14:paraId="2087035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35A" w14:textId="77777777" w:rsidR="00802D3E" w:rsidRDefault="00802D3E">
            <w:pPr>
              <w:pStyle w:val="MeasureTableTextLeftAligned"/>
            </w:pPr>
            <w:r>
              <w:t>1995</w:t>
            </w:r>
          </w:p>
        </w:tc>
        <w:tc>
          <w:tcPr>
            <w:tcW w:w="1500" w:type="dxa"/>
            <w:gridSpan w:val="2"/>
            <w:tcBorders>
              <w:top w:val="nil"/>
              <w:left w:val="nil"/>
              <w:bottom w:val="nil"/>
              <w:right w:val="nil"/>
            </w:tcBorders>
            <w:hideMark/>
          </w:tcPr>
          <w:p w14:paraId="2087035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35C" w14:textId="77777777" w:rsidR="00802D3E" w:rsidRDefault="00802D3E">
            <w:pPr>
              <w:pStyle w:val="MeasureTableTextLeftAligned"/>
            </w:pPr>
          </w:p>
        </w:tc>
      </w:tr>
      <w:tr w:rsidR="00802D3E" w14:paraId="20870360" w14:textId="77777777" w:rsidTr="00802D3E">
        <w:trPr>
          <w:cantSplit/>
          <w:jc w:val="center"/>
        </w:trPr>
        <w:tc>
          <w:tcPr>
            <w:tcW w:w="1934" w:type="dxa"/>
            <w:gridSpan w:val="2"/>
            <w:tcBorders>
              <w:top w:val="nil"/>
              <w:left w:val="nil"/>
              <w:bottom w:val="single" w:sz="2" w:space="0" w:color="auto"/>
              <w:right w:val="nil"/>
            </w:tcBorders>
            <w:hideMark/>
          </w:tcPr>
          <w:p w14:paraId="2087035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35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58Z of the </w:t>
            </w:r>
            <w:r w:rsidRPr="00106337">
              <w:rPr>
                <w:rFonts w:ascii="Arial" w:hAnsi="Arial" w:cs="Arial"/>
                <w:i/>
                <w:iCs/>
                <w:color w:val="000000"/>
                <w:sz w:val="16"/>
                <w:szCs w:val="16"/>
              </w:rPr>
              <w:t>Fringe Benefits Tax Assessment Act 1986</w:t>
            </w:r>
          </w:p>
        </w:tc>
      </w:tr>
    </w:tbl>
    <w:p w14:paraId="20870361" w14:textId="77777777" w:rsidR="00802D3E" w:rsidRDefault="00802D3E" w:rsidP="00A109BC">
      <w:pPr>
        <w:pStyle w:val="SingleParagraph"/>
      </w:pPr>
    </w:p>
    <w:p w14:paraId="20870362" w14:textId="77777777" w:rsidR="00802D3E" w:rsidRDefault="00802D3E" w:rsidP="00802D3E">
      <w:r>
        <w:rPr>
          <w:rFonts w:eastAsia="MS Gothic"/>
          <w:lang w:eastAsia="ja-JP"/>
        </w:rPr>
        <w:t>Any benefit arising from taxi travel</w:t>
      </w:r>
      <w:r>
        <w:rPr>
          <w:rFonts w:eastAsia="MS Gothic"/>
          <w:lang w:eastAsia="ja-JP"/>
        </w:rPr>
        <w:fldChar w:fldCharType="begin"/>
      </w:r>
      <w:r>
        <w:instrText xml:space="preserve"> XE "</w:instrText>
      </w:r>
      <w:r>
        <w:rPr>
          <w:rFonts w:eastAsia="MS Gothic"/>
          <w:lang w:eastAsia="ja-JP"/>
        </w:rPr>
        <w:instrText>Taxi travel</w:instrText>
      </w:r>
      <w:r>
        <w:instrText xml:space="preserve">" </w:instrText>
      </w:r>
      <w:r>
        <w:rPr>
          <w:rFonts w:eastAsia="MS Gothic"/>
          <w:lang w:eastAsia="ja-JP"/>
        </w:rPr>
        <w:fldChar w:fldCharType="end"/>
      </w:r>
      <w:r>
        <w:rPr>
          <w:rFonts w:eastAsia="MS Gothic"/>
          <w:lang w:eastAsia="ja-JP"/>
        </w:rPr>
        <w:t xml:space="preserve"> by an employee is exempt from fringe benefits tax if the travel is a single trip beginning or ending at the employee’s place of work.</w:t>
      </w:r>
      <w:r>
        <w:t xml:space="preserve"> </w:t>
      </w:r>
    </w:p>
    <w:p w14:paraId="20870363" w14:textId="77777777" w:rsidR="00802D3E" w:rsidRDefault="00802D3E" w:rsidP="00802D3E">
      <w:pPr>
        <w:pStyle w:val="TESHeading5"/>
        <w:ind w:left="0" w:firstLine="0"/>
      </w:pPr>
      <w:r>
        <w:lastRenderedPageBreak/>
        <w:t>D46</w:t>
      </w:r>
      <w:r>
        <w:tab/>
        <w:t>Transport for oil rig and remote area employees exemption</w:t>
      </w:r>
    </w:p>
    <w:p w14:paraId="20870364"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36D" w14:textId="77777777" w:rsidTr="00802D3E">
        <w:trPr>
          <w:cantSplit/>
          <w:jc w:val="center"/>
        </w:trPr>
        <w:tc>
          <w:tcPr>
            <w:tcW w:w="967" w:type="dxa"/>
            <w:tcBorders>
              <w:top w:val="single" w:sz="2" w:space="0" w:color="auto"/>
              <w:left w:val="nil"/>
              <w:bottom w:val="single" w:sz="2" w:space="0" w:color="auto"/>
              <w:right w:val="nil"/>
            </w:tcBorders>
            <w:hideMark/>
          </w:tcPr>
          <w:p w14:paraId="2087036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36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36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36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36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36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36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36C" w14:textId="77777777" w:rsidR="00802D3E" w:rsidRDefault="00802D3E">
            <w:pPr>
              <w:pStyle w:val="MeasureTableTextRightAligned"/>
            </w:pPr>
            <w:r>
              <w:t>2019-20</w:t>
            </w:r>
          </w:p>
        </w:tc>
      </w:tr>
      <w:tr w:rsidR="00802D3E" w14:paraId="20870376" w14:textId="77777777" w:rsidTr="00802D3E">
        <w:trPr>
          <w:cantSplit/>
          <w:jc w:val="center"/>
        </w:trPr>
        <w:tc>
          <w:tcPr>
            <w:tcW w:w="967" w:type="dxa"/>
            <w:tcBorders>
              <w:top w:val="single" w:sz="2" w:space="0" w:color="auto"/>
              <w:left w:val="nil"/>
              <w:bottom w:val="single" w:sz="2" w:space="0" w:color="auto"/>
              <w:right w:val="nil"/>
            </w:tcBorders>
            <w:hideMark/>
          </w:tcPr>
          <w:p w14:paraId="2087036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36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7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7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7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7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7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375" w14:textId="77777777" w:rsidR="00802D3E" w:rsidRDefault="00802D3E">
            <w:pPr>
              <w:pStyle w:val="MeasureTableTextRightAligned"/>
            </w:pPr>
            <w:r>
              <w:t>*</w:t>
            </w:r>
          </w:p>
        </w:tc>
      </w:tr>
      <w:tr w:rsidR="00802D3E" w14:paraId="2087037B" w14:textId="77777777" w:rsidTr="00802D3E">
        <w:trPr>
          <w:cantSplit/>
          <w:jc w:val="center"/>
        </w:trPr>
        <w:tc>
          <w:tcPr>
            <w:tcW w:w="1934" w:type="dxa"/>
            <w:gridSpan w:val="2"/>
            <w:tcBorders>
              <w:top w:val="single" w:sz="2" w:space="0" w:color="auto"/>
              <w:left w:val="nil"/>
              <w:bottom w:val="nil"/>
              <w:right w:val="nil"/>
            </w:tcBorders>
            <w:hideMark/>
          </w:tcPr>
          <w:p w14:paraId="2087037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37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37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37A" w14:textId="77777777" w:rsidR="00802D3E" w:rsidRDefault="00802D3E">
            <w:pPr>
              <w:pStyle w:val="MeasureTableTextLeftAligned"/>
            </w:pPr>
            <w:r>
              <w:t>D46</w:t>
            </w:r>
          </w:p>
        </w:tc>
      </w:tr>
      <w:tr w:rsidR="00802D3E" w14:paraId="20870380" w14:textId="77777777" w:rsidTr="00802D3E">
        <w:trPr>
          <w:cantSplit/>
          <w:jc w:val="center"/>
        </w:trPr>
        <w:tc>
          <w:tcPr>
            <w:tcW w:w="1934" w:type="dxa"/>
            <w:gridSpan w:val="2"/>
            <w:tcBorders>
              <w:top w:val="nil"/>
              <w:left w:val="nil"/>
              <w:bottom w:val="nil"/>
              <w:right w:val="nil"/>
            </w:tcBorders>
            <w:hideMark/>
          </w:tcPr>
          <w:p w14:paraId="2087037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37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37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37F" w14:textId="77777777" w:rsidR="00802D3E" w:rsidRDefault="00802D3E">
            <w:pPr>
              <w:pStyle w:val="MeasureTableTextLeftAligned"/>
            </w:pPr>
            <w:r>
              <w:t>1+</w:t>
            </w:r>
          </w:p>
        </w:tc>
      </w:tr>
      <w:tr w:rsidR="00802D3E" w14:paraId="20870385" w14:textId="77777777" w:rsidTr="00802D3E">
        <w:trPr>
          <w:cantSplit/>
          <w:jc w:val="center"/>
        </w:trPr>
        <w:tc>
          <w:tcPr>
            <w:tcW w:w="1934" w:type="dxa"/>
            <w:gridSpan w:val="2"/>
            <w:tcBorders>
              <w:top w:val="nil"/>
              <w:left w:val="nil"/>
              <w:bottom w:val="nil"/>
              <w:right w:val="nil"/>
            </w:tcBorders>
            <w:hideMark/>
          </w:tcPr>
          <w:p w14:paraId="2087038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382" w14:textId="77777777" w:rsidR="00802D3E" w:rsidRDefault="00802D3E">
            <w:pPr>
              <w:pStyle w:val="MeasureTableTextLeftAligned"/>
            </w:pPr>
            <w:r>
              <w:t>1986</w:t>
            </w:r>
          </w:p>
        </w:tc>
        <w:tc>
          <w:tcPr>
            <w:tcW w:w="1500" w:type="dxa"/>
            <w:gridSpan w:val="2"/>
            <w:tcBorders>
              <w:top w:val="nil"/>
              <w:left w:val="nil"/>
              <w:bottom w:val="nil"/>
              <w:right w:val="nil"/>
            </w:tcBorders>
            <w:hideMark/>
          </w:tcPr>
          <w:p w14:paraId="2087038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384" w14:textId="77777777" w:rsidR="00802D3E" w:rsidRDefault="00802D3E">
            <w:pPr>
              <w:pStyle w:val="MeasureTableTextLeftAligned"/>
            </w:pPr>
          </w:p>
        </w:tc>
      </w:tr>
      <w:tr w:rsidR="00802D3E" w14:paraId="20870388" w14:textId="77777777" w:rsidTr="00802D3E">
        <w:trPr>
          <w:cantSplit/>
          <w:jc w:val="center"/>
        </w:trPr>
        <w:tc>
          <w:tcPr>
            <w:tcW w:w="1934" w:type="dxa"/>
            <w:gridSpan w:val="2"/>
            <w:tcBorders>
              <w:top w:val="nil"/>
              <w:left w:val="nil"/>
              <w:bottom w:val="single" w:sz="2" w:space="0" w:color="auto"/>
              <w:right w:val="nil"/>
            </w:tcBorders>
            <w:hideMark/>
          </w:tcPr>
          <w:p w14:paraId="2087038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38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Subsection 47(7) of the </w:t>
            </w:r>
            <w:r w:rsidRPr="00106337">
              <w:rPr>
                <w:rFonts w:ascii="Arial" w:hAnsi="Arial" w:cs="Arial"/>
                <w:i/>
                <w:iCs/>
                <w:color w:val="000000"/>
                <w:sz w:val="16"/>
                <w:szCs w:val="16"/>
              </w:rPr>
              <w:t>Fringe Benefits Tax Assessment Act 1986</w:t>
            </w:r>
          </w:p>
        </w:tc>
      </w:tr>
    </w:tbl>
    <w:p w14:paraId="20870389" w14:textId="77777777" w:rsidR="00802D3E" w:rsidRDefault="00802D3E" w:rsidP="00A109BC">
      <w:pPr>
        <w:pStyle w:val="SingleParagraph"/>
      </w:pPr>
    </w:p>
    <w:p w14:paraId="2087038A" w14:textId="77777777" w:rsidR="00802D3E" w:rsidRDefault="00802D3E" w:rsidP="00802D3E">
      <w:r>
        <w:t xml:space="preserve">Transport provided to employees working in remote areas or on oil rigs may be exempt from fringe benefits tax. </w:t>
      </w:r>
      <w:r>
        <w:fldChar w:fldCharType="begin"/>
      </w:r>
      <w:r>
        <w:instrText xml:space="preserve"> XE "</w:instrText>
      </w:r>
      <w:r>
        <w:rPr>
          <w:lang w:val="en-US"/>
        </w:rPr>
        <w:instrText>Fringe benefits tax:Transport</w:instrText>
      </w:r>
      <w:r>
        <w:instrText xml:space="preserve">" </w:instrText>
      </w:r>
      <w:r>
        <w:fldChar w:fldCharType="end"/>
      </w:r>
    </w:p>
    <w:p w14:paraId="2087038B" w14:textId="77777777" w:rsidR="00802D3E" w:rsidRDefault="00802D3E" w:rsidP="00802D3E">
      <w:pPr>
        <w:pStyle w:val="TESHeading5"/>
        <w:ind w:left="0" w:firstLine="0"/>
      </w:pPr>
      <w:r>
        <w:t>D47</w:t>
      </w:r>
      <w:r>
        <w:tab/>
        <w:t>Work-related items exemption</w:t>
      </w:r>
    </w:p>
    <w:p w14:paraId="2087038C"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395" w14:textId="77777777" w:rsidTr="00802D3E">
        <w:trPr>
          <w:cantSplit/>
          <w:jc w:val="center"/>
        </w:trPr>
        <w:tc>
          <w:tcPr>
            <w:tcW w:w="967" w:type="dxa"/>
            <w:tcBorders>
              <w:top w:val="single" w:sz="2" w:space="0" w:color="auto"/>
              <w:left w:val="nil"/>
              <w:bottom w:val="single" w:sz="2" w:space="0" w:color="auto"/>
              <w:right w:val="nil"/>
            </w:tcBorders>
            <w:hideMark/>
          </w:tcPr>
          <w:p w14:paraId="2087038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38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38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39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39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39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39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394" w14:textId="77777777" w:rsidR="00802D3E" w:rsidRDefault="00802D3E">
            <w:pPr>
              <w:pStyle w:val="MeasureTableTextRightAligned"/>
            </w:pPr>
            <w:r>
              <w:t>2019-20</w:t>
            </w:r>
          </w:p>
        </w:tc>
      </w:tr>
      <w:tr w:rsidR="00802D3E" w14:paraId="2087039E" w14:textId="77777777" w:rsidTr="00802D3E">
        <w:trPr>
          <w:cantSplit/>
          <w:jc w:val="center"/>
        </w:trPr>
        <w:tc>
          <w:tcPr>
            <w:tcW w:w="967" w:type="dxa"/>
            <w:tcBorders>
              <w:top w:val="single" w:sz="2" w:space="0" w:color="auto"/>
              <w:left w:val="nil"/>
              <w:bottom w:val="single" w:sz="2" w:space="0" w:color="auto"/>
              <w:right w:val="nil"/>
            </w:tcBorders>
            <w:hideMark/>
          </w:tcPr>
          <w:p w14:paraId="2087039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39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9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9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9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9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9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39D" w14:textId="77777777" w:rsidR="00802D3E" w:rsidRDefault="00802D3E">
            <w:pPr>
              <w:pStyle w:val="MeasureTableTextRightAligned"/>
            </w:pPr>
            <w:r>
              <w:t>*</w:t>
            </w:r>
          </w:p>
        </w:tc>
      </w:tr>
      <w:tr w:rsidR="00802D3E" w14:paraId="208703A3" w14:textId="77777777" w:rsidTr="00802D3E">
        <w:trPr>
          <w:cantSplit/>
          <w:jc w:val="center"/>
        </w:trPr>
        <w:tc>
          <w:tcPr>
            <w:tcW w:w="1934" w:type="dxa"/>
            <w:gridSpan w:val="2"/>
            <w:tcBorders>
              <w:top w:val="single" w:sz="2" w:space="0" w:color="auto"/>
              <w:left w:val="nil"/>
              <w:bottom w:val="nil"/>
              <w:right w:val="nil"/>
            </w:tcBorders>
            <w:hideMark/>
          </w:tcPr>
          <w:p w14:paraId="2087039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3A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3A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3A2" w14:textId="77777777" w:rsidR="00802D3E" w:rsidRDefault="00802D3E">
            <w:pPr>
              <w:pStyle w:val="MeasureTableTextLeftAligned"/>
            </w:pPr>
            <w:r>
              <w:t>D47</w:t>
            </w:r>
          </w:p>
        </w:tc>
      </w:tr>
      <w:tr w:rsidR="00802D3E" w14:paraId="208703A8" w14:textId="77777777" w:rsidTr="00802D3E">
        <w:trPr>
          <w:cantSplit/>
          <w:jc w:val="center"/>
        </w:trPr>
        <w:tc>
          <w:tcPr>
            <w:tcW w:w="1934" w:type="dxa"/>
            <w:gridSpan w:val="2"/>
            <w:tcBorders>
              <w:top w:val="nil"/>
              <w:left w:val="nil"/>
              <w:bottom w:val="nil"/>
              <w:right w:val="nil"/>
            </w:tcBorders>
            <w:hideMark/>
          </w:tcPr>
          <w:p w14:paraId="208703A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3A5" w14:textId="77777777" w:rsidR="00802D3E" w:rsidRDefault="00570DA6" w:rsidP="00570DA6">
            <w:pPr>
              <w:pStyle w:val="MeasureTableTextLeftAligned"/>
            </w:pPr>
            <w:r>
              <w:t xml:space="preserve">Not Applicable </w:t>
            </w:r>
          </w:p>
        </w:tc>
        <w:tc>
          <w:tcPr>
            <w:tcW w:w="1500" w:type="dxa"/>
            <w:gridSpan w:val="2"/>
            <w:tcBorders>
              <w:top w:val="nil"/>
              <w:left w:val="nil"/>
              <w:bottom w:val="nil"/>
              <w:right w:val="nil"/>
            </w:tcBorders>
            <w:hideMark/>
          </w:tcPr>
          <w:p w14:paraId="208703A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3A7" w14:textId="77777777" w:rsidR="00802D3E" w:rsidRDefault="00802D3E">
            <w:pPr>
              <w:pStyle w:val="MeasureTableTextLeftAligned"/>
            </w:pPr>
            <w:r>
              <w:t>2+</w:t>
            </w:r>
          </w:p>
        </w:tc>
      </w:tr>
      <w:tr w:rsidR="00802D3E" w14:paraId="208703AD" w14:textId="77777777" w:rsidTr="00802D3E">
        <w:trPr>
          <w:cantSplit/>
          <w:jc w:val="center"/>
        </w:trPr>
        <w:tc>
          <w:tcPr>
            <w:tcW w:w="1934" w:type="dxa"/>
            <w:gridSpan w:val="2"/>
            <w:tcBorders>
              <w:top w:val="nil"/>
              <w:left w:val="nil"/>
              <w:bottom w:val="nil"/>
              <w:right w:val="nil"/>
            </w:tcBorders>
            <w:hideMark/>
          </w:tcPr>
          <w:p w14:paraId="208703A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3AA" w14:textId="77777777" w:rsidR="00802D3E" w:rsidRDefault="00802D3E">
            <w:pPr>
              <w:pStyle w:val="MeasureTableTextLeftAligned"/>
            </w:pPr>
            <w:r>
              <w:t>1995</w:t>
            </w:r>
          </w:p>
        </w:tc>
        <w:tc>
          <w:tcPr>
            <w:tcW w:w="1500" w:type="dxa"/>
            <w:gridSpan w:val="2"/>
            <w:tcBorders>
              <w:top w:val="nil"/>
              <w:left w:val="nil"/>
              <w:bottom w:val="nil"/>
              <w:right w:val="nil"/>
            </w:tcBorders>
            <w:hideMark/>
          </w:tcPr>
          <w:p w14:paraId="208703A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3AC" w14:textId="77777777" w:rsidR="00802D3E" w:rsidRDefault="00802D3E">
            <w:pPr>
              <w:pStyle w:val="MeasureTableTextLeftAligned"/>
            </w:pPr>
          </w:p>
        </w:tc>
      </w:tr>
      <w:tr w:rsidR="00802D3E" w14:paraId="208703B0" w14:textId="77777777" w:rsidTr="00802D3E">
        <w:trPr>
          <w:cantSplit/>
          <w:jc w:val="center"/>
        </w:trPr>
        <w:tc>
          <w:tcPr>
            <w:tcW w:w="1934" w:type="dxa"/>
            <w:gridSpan w:val="2"/>
            <w:tcBorders>
              <w:top w:val="nil"/>
              <w:left w:val="nil"/>
              <w:bottom w:val="single" w:sz="2" w:space="0" w:color="auto"/>
              <w:right w:val="nil"/>
            </w:tcBorders>
            <w:hideMark/>
          </w:tcPr>
          <w:p w14:paraId="208703A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3AF"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58X of the </w:t>
            </w:r>
            <w:r w:rsidRPr="00106337">
              <w:rPr>
                <w:rFonts w:ascii="Arial" w:hAnsi="Arial" w:cs="Arial"/>
                <w:i/>
                <w:iCs/>
                <w:color w:val="000000"/>
                <w:sz w:val="16"/>
                <w:szCs w:val="16"/>
              </w:rPr>
              <w:t>Fringe Benefits Tax Assessment Act 1986</w:t>
            </w:r>
          </w:p>
        </w:tc>
      </w:tr>
    </w:tbl>
    <w:p w14:paraId="208703B1" w14:textId="77777777" w:rsidR="00802D3E" w:rsidRDefault="00802D3E" w:rsidP="00A109BC">
      <w:pPr>
        <w:pStyle w:val="SingleParagraph"/>
      </w:pPr>
    </w:p>
    <w:p w14:paraId="208703B2" w14:textId="77777777" w:rsidR="00802D3E" w:rsidRDefault="00802D3E" w:rsidP="00802D3E">
      <w:r>
        <w:t>Eligible work</w:t>
      </w:r>
      <w:r>
        <w:noBreakHyphen/>
        <w:t>related items</w:t>
      </w:r>
      <w:r>
        <w:fldChar w:fldCharType="begin"/>
      </w:r>
      <w:r>
        <w:instrText xml:space="preserve"> XE "Work-related items" </w:instrText>
      </w:r>
      <w:r>
        <w:fldChar w:fldCharType="end"/>
      </w:r>
      <w:r>
        <w:t xml:space="preserve"> (such as mobile phones, laptop computers, protective clothing and tools of trade) provided by an employer to an employee are exempt from fringe benefits tax. </w:t>
      </w:r>
    </w:p>
    <w:p w14:paraId="208703B3" w14:textId="77777777" w:rsidR="00802D3E" w:rsidRDefault="00802D3E" w:rsidP="00802D3E">
      <w:pPr>
        <w:pStyle w:val="TESHeading5"/>
        <w:ind w:left="0" w:firstLine="0"/>
      </w:pPr>
      <w:r>
        <w:t>D48</w:t>
      </w:r>
      <w:r>
        <w:tab/>
        <w:t>Fringe benefits tax record keeping exemption</w:t>
      </w:r>
    </w:p>
    <w:p w14:paraId="208703B4"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3BD" w14:textId="77777777" w:rsidTr="00802D3E">
        <w:trPr>
          <w:cantSplit/>
          <w:jc w:val="center"/>
        </w:trPr>
        <w:tc>
          <w:tcPr>
            <w:tcW w:w="967" w:type="dxa"/>
            <w:tcBorders>
              <w:top w:val="single" w:sz="2" w:space="0" w:color="auto"/>
              <w:left w:val="nil"/>
              <w:bottom w:val="single" w:sz="2" w:space="0" w:color="auto"/>
              <w:right w:val="nil"/>
            </w:tcBorders>
            <w:hideMark/>
          </w:tcPr>
          <w:p w14:paraId="208703B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3B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3B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3B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3B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3B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3B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3BC" w14:textId="77777777" w:rsidR="00802D3E" w:rsidRDefault="00802D3E">
            <w:pPr>
              <w:pStyle w:val="MeasureTableTextRightAligned"/>
            </w:pPr>
            <w:r>
              <w:t>2019-20</w:t>
            </w:r>
          </w:p>
        </w:tc>
      </w:tr>
      <w:tr w:rsidR="00802D3E" w14:paraId="208703C6" w14:textId="77777777" w:rsidTr="00802D3E">
        <w:trPr>
          <w:cantSplit/>
          <w:jc w:val="center"/>
        </w:trPr>
        <w:tc>
          <w:tcPr>
            <w:tcW w:w="967" w:type="dxa"/>
            <w:tcBorders>
              <w:top w:val="single" w:sz="2" w:space="0" w:color="auto"/>
              <w:left w:val="nil"/>
              <w:bottom w:val="single" w:sz="2" w:space="0" w:color="auto"/>
              <w:right w:val="nil"/>
            </w:tcBorders>
            <w:hideMark/>
          </w:tcPr>
          <w:p w14:paraId="208703B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3B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C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C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C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C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C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3C5" w14:textId="77777777" w:rsidR="00802D3E" w:rsidRDefault="00802D3E">
            <w:pPr>
              <w:pStyle w:val="MeasureTableTextRightAligned"/>
            </w:pPr>
            <w:r>
              <w:t>..</w:t>
            </w:r>
          </w:p>
        </w:tc>
      </w:tr>
      <w:tr w:rsidR="00802D3E" w14:paraId="208703CB" w14:textId="77777777" w:rsidTr="00802D3E">
        <w:trPr>
          <w:cantSplit/>
          <w:jc w:val="center"/>
        </w:trPr>
        <w:tc>
          <w:tcPr>
            <w:tcW w:w="1934" w:type="dxa"/>
            <w:gridSpan w:val="2"/>
            <w:tcBorders>
              <w:top w:val="single" w:sz="2" w:space="0" w:color="auto"/>
              <w:left w:val="nil"/>
              <w:bottom w:val="nil"/>
              <w:right w:val="nil"/>
            </w:tcBorders>
            <w:hideMark/>
          </w:tcPr>
          <w:p w14:paraId="208703C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3C8" w14:textId="77777777" w:rsidR="00802D3E" w:rsidRDefault="00802D3E">
            <w:pPr>
              <w:pStyle w:val="MeasureTableTextLeftAligned"/>
            </w:pPr>
            <w:r>
              <w:t>Record keeping exemption</w:t>
            </w:r>
          </w:p>
        </w:tc>
        <w:tc>
          <w:tcPr>
            <w:tcW w:w="1500" w:type="dxa"/>
            <w:gridSpan w:val="2"/>
            <w:tcBorders>
              <w:top w:val="single" w:sz="2" w:space="0" w:color="auto"/>
              <w:left w:val="nil"/>
              <w:bottom w:val="nil"/>
              <w:right w:val="nil"/>
            </w:tcBorders>
            <w:hideMark/>
          </w:tcPr>
          <w:p w14:paraId="208703C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3CA" w14:textId="77777777" w:rsidR="00802D3E" w:rsidRDefault="00802D3E">
            <w:pPr>
              <w:pStyle w:val="MeasureTableTextLeftAligned"/>
            </w:pPr>
            <w:r>
              <w:t>D48</w:t>
            </w:r>
          </w:p>
        </w:tc>
      </w:tr>
      <w:tr w:rsidR="00802D3E" w14:paraId="208703D0" w14:textId="77777777" w:rsidTr="00802D3E">
        <w:trPr>
          <w:cantSplit/>
          <w:jc w:val="center"/>
        </w:trPr>
        <w:tc>
          <w:tcPr>
            <w:tcW w:w="1934" w:type="dxa"/>
            <w:gridSpan w:val="2"/>
            <w:tcBorders>
              <w:top w:val="nil"/>
              <w:left w:val="nil"/>
              <w:bottom w:val="nil"/>
              <w:right w:val="nil"/>
            </w:tcBorders>
            <w:hideMark/>
          </w:tcPr>
          <w:p w14:paraId="208703C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3CD" w14:textId="77777777" w:rsidR="00802D3E" w:rsidRDefault="00802D3E">
            <w:pPr>
              <w:pStyle w:val="MeasureTableTextLeftAligned"/>
            </w:pPr>
            <w:r>
              <w:t>High</w:t>
            </w:r>
          </w:p>
        </w:tc>
        <w:tc>
          <w:tcPr>
            <w:tcW w:w="1500" w:type="dxa"/>
            <w:gridSpan w:val="2"/>
            <w:tcBorders>
              <w:top w:val="nil"/>
              <w:left w:val="nil"/>
              <w:bottom w:val="nil"/>
              <w:right w:val="nil"/>
            </w:tcBorders>
          </w:tcPr>
          <w:p w14:paraId="208703CE" w14:textId="77777777" w:rsidR="00802D3E" w:rsidRDefault="00802D3E">
            <w:pPr>
              <w:pStyle w:val="MeasureTableTextItalic"/>
            </w:pPr>
          </w:p>
        </w:tc>
        <w:tc>
          <w:tcPr>
            <w:tcW w:w="1124" w:type="dxa"/>
            <w:gridSpan w:val="2"/>
            <w:tcBorders>
              <w:top w:val="nil"/>
              <w:left w:val="nil"/>
              <w:bottom w:val="nil"/>
              <w:right w:val="nil"/>
            </w:tcBorders>
          </w:tcPr>
          <w:p w14:paraId="208703CF" w14:textId="77777777" w:rsidR="00802D3E" w:rsidRDefault="00802D3E">
            <w:pPr>
              <w:pStyle w:val="MeasureTableTextLeftAligned"/>
            </w:pPr>
          </w:p>
        </w:tc>
      </w:tr>
      <w:tr w:rsidR="00802D3E" w14:paraId="208703D5" w14:textId="77777777" w:rsidTr="00802D3E">
        <w:trPr>
          <w:cantSplit/>
          <w:jc w:val="center"/>
        </w:trPr>
        <w:tc>
          <w:tcPr>
            <w:tcW w:w="1934" w:type="dxa"/>
            <w:gridSpan w:val="2"/>
            <w:tcBorders>
              <w:top w:val="nil"/>
              <w:left w:val="nil"/>
              <w:bottom w:val="nil"/>
              <w:right w:val="nil"/>
            </w:tcBorders>
            <w:hideMark/>
          </w:tcPr>
          <w:p w14:paraId="208703D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3D2" w14:textId="77777777" w:rsidR="00802D3E" w:rsidRDefault="00802D3E">
            <w:pPr>
              <w:pStyle w:val="MeasureTableTextLeftAligned"/>
            </w:pPr>
            <w:r>
              <w:t>1999</w:t>
            </w:r>
          </w:p>
        </w:tc>
        <w:tc>
          <w:tcPr>
            <w:tcW w:w="1500" w:type="dxa"/>
            <w:gridSpan w:val="2"/>
            <w:tcBorders>
              <w:top w:val="nil"/>
              <w:left w:val="nil"/>
              <w:bottom w:val="nil"/>
              <w:right w:val="nil"/>
            </w:tcBorders>
            <w:hideMark/>
          </w:tcPr>
          <w:p w14:paraId="208703D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3D4" w14:textId="77777777" w:rsidR="00802D3E" w:rsidRDefault="00802D3E">
            <w:pPr>
              <w:pStyle w:val="MeasureTableTextLeftAligned"/>
            </w:pPr>
          </w:p>
        </w:tc>
      </w:tr>
      <w:tr w:rsidR="00802D3E" w14:paraId="208703D8" w14:textId="77777777" w:rsidTr="00802D3E">
        <w:trPr>
          <w:cantSplit/>
          <w:jc w:val="center"/>
        </w:trPr>
        <w:tc>
          <w:tcPr>
            <w:tcW w:w="1934" w:type="dxa"/>
            <w:gridSpan w:val="2"/>
            <w:tcBorders>
              <w:top w:val="nil"/>
              <w:left w:val="nil"/>
              <w:bottom w:val="single" w:sz="2" w:space="0" w:color="auto"/>
              <w:right w:val="nil"/>
            </w:tcBorders>
            <w:hideMark/>
          </w:tcPr>
          <w:p w14:paraId="208703D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3D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Part XIA of the </w:t>
            </w:r>
            <w:r w:rsidRPr="00106337">
              <w:rPr>
                <w:rFonts w:ascii="Arial" w:hAnsi="Arial" w:cs="Arial"/>
                <w:i/>
                <w:iCs/>
                <w:color w:val="000000"/>
                <w:sz w:val="16"/>
                <w:szCs w:val="16"/>
              </w:rPr>
              <w:t>Fringe Benefits Tax Assessment Act 1986</w:t>
            </w:r>
          </w:p>
        </w:tc>
      </w:tr>
    </w:tbl>
    <w:p w14:paraId="208703D9" w14:textId="77777777" w:rsidR="00802D3E" w:rsidRDefault="00802D3E" w:rsidP="00A109BC">
      <w:pPr>
        <w:pStyle w:val="SingleParagraph"/>
      </w:pPr>
    </w:p>
    <w:p w14:paraId="208703DA" w14:textId="77777777" w:rsidR="00802D3E" w:rsidRDefault="00802D3E" w:rsidP="00802D3E">
      <w:r>
        <w:t>Certain employers are eligible to use record keeping exemption arrangements when calculating their fringe benefits tax liability. The employer’s liability is based on their aggregate fringe benefits amount in the most recent base year (a year after 1 April 1996) in which they qualified to use the exemption arrangements. This may result in concessional tax treatment compared to being required to keep full fringe benefits tax records.</w:t>
      </w:r>
      <w:r>
        <w:fldChar w:fldCharType="begin"/>
      </w:r>
      <w:r>
        <w:instrText xml:space="preserve"> XE "Record keeping exemption" </w:instrText>
      </w:r>
      <w:r>
        <w:fldChar w:fldCharType="end"/>
      </w:r>
    </w:p>
    <w:p w14:paraId="208703DB" w14:textId="77777777" w:rsidR="00802D3E" w:rsidRDefault="00802D3E" w:rsidP="00802D3E">
      <w:pPr>
        <w:pStyle w:val="TESHeading5"/>
        <w:ind w:left="0" w:firstLine="0"/>
      </w:pPr>
      <w:r>
        <w:lastRenderedPageBreak/>
        <w:t>D49</w:t>
      </w:r>
      <w:r>
        <w:tab/>
        <w:t xml:space="preserve">Meal entertainment fringe benefits </w:t>
      </w:r>
      <w:r w:rsidR="000B181C">
        <w:t>–</w:t>
      </w:r>
      <w:r>
        <w:t xml:space="preserve"> 50/50</w:t>
      </w:r>
      <w:r w:rsidR="000B181C">
        <w:t xml:space="preserve"> </w:t>
      </w:r>
      <w:r>
        <w:t>valuation method</w:t>
      </w:r>
    </w:p>
    <w:p w14:paraId="208703DC"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3E5" w14:textId="77777777" w:rsidTr="00802D3E">
        <w:trPr>
          <w:cantSplit/>
          <w:jc w:val="center"/>
        </w:trPr>
        <w:tc>
          <w:tcPr>
            <w:tcW w:w="967" w:type="dxa"/>
            <w:tcBorders>
              <w:top w:val="single" w:sz="2" w:space="0" w:color="auto"/>
              <w:left w:val="nil"/>
              <w:bottom w:val="single" w:sz="2" w:space="0" w:color="auto"/>
              <w:right w:val="nil"/>
            </w:tcBorders>
            <w:hideMark/>
          </w:tcPr>
          <w:p w14:paraId="208703D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3D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3D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3E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3E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3E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3E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3E4" w14:textId="77777777" w:rsidR="00802D3E" w:rsidRDefault="00802D3E">
            <w:pPr>
              <w:pStyle w:val="MeasureTableTextRightAligned"/>
            </w:pPr>
            <w:r>
              <w:t>2019-20</w:t>
            </w:r>
          </w:p>
        </w:tc>
      </w:tr>
      <w:tr w:rsidR="00802D3E" w14:paraId="208703EE" w14:textId="77777777" w:rsidTr="00802D3E">
        <w:trPr>
          <w:cantSplit/>
          <w:jc w:val="center"/>
        </w:trPr>
        <w:tc>
          <w:tcPr>
            <w:tcW w:w="967" w:type="dxa"/>
            <w:tcBorders>
              <w:top w:val="single" w:sz="2" w:space="0" w:color="auto"/>
              <w:left w:val="nil"/>
              <w:bottom w:val="single" w:sz="2" w:space="0" w:color="auto"/>
              <w:right w:val="nil"/>
            </w:tcBorders>
            <w:hideMark/>
          </w:tcPr>
          <w:p w14:paraId="208703E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3E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E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E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3E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E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3E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3ED" w14:textId="77777777" w:rsidR="00802D3E" w:rsidRDefault="00802D3E">
            <w:pPr>
              <w:pStyle w:val="MeasureTableTextRightAligned"/>
            </w:pPr>
            <w:r>
              <w:t>*</w:t>
            </w:r>
          </w:p>
        </w:tc>
      </w:tr>
      <w:tr w:rsidR="00802D3E" w14:paraId="208703F3" w14:textId="77777777" w:rsidTr="00802D3E">
        <w:trPr>
          <w:cantSplit/>
          <w:jc w:val="center"/>
        </w:trPr>
        <w:tc>
          <w:tcPr>
            <w:tcW w:w="1934" w:type="dxa"/>
            <w:gridSpan w:val="2"/>
            <w:tcBorders>
              <w:top w:val="single" w:sz="2" w:space="0" w:color="auto"/>
              <w:left w:val="nil"/>
              <w:bottom w:val="nil"/>
              <w:right w:val="nil"/>
            </w:tcBorders>
            <w:hideMark/>
          </w:tcPr>
          <w:p w14:paraId="208703E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3F0" w14:textId="77777777" w:rsidR="00802D3E" w:rsidRDefault="00802D3E">
            <w:pPr>
              <w:pStyle w:val="MeasureTableTextLeftAligned"/>
            </w:pPr>
            <w:r>
              <w:t>Record keeping exemption</w:t>
            </w:r>
          </w:p>
        </w:tc>
        <w:tc>
          <w:tcPr>
            <w:tcW w:w="1500" w:type="dxa"/>
            <w:gridSpan w:val="2"/>
            <w:tcBorders>
              <w:top w:val="single" w:sz="2" w:space="0" w:color="auto"/>
              <w:left w:val="nil"/>
              <w:bottom w:val="nil"/>
              <w:right w:val="nil"/>
            </w:tcBorders>
            <w:hideMark/>
          </w:tcPr>
          <w:p w14:paraId="208703F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3F2" w14:textId="77777777" w:rsidR="00802D3E" w:rsidRDefault="00802D3E">
            <w:pPr>
              <w:pStyle w:val="MeasureTableTextLeftAligned"/>
            </w:pPr>
            <w:r>
              <w:t>D49</w:t>
            </w:r>
          </w:p>
        </w:tc>
      </w:tr>
      <w:tr w:rsidR="00802D3E" w14:paraId="208703F8" w14:textId="77777777" w:rsidTr="00802D3E">
        <w:trPr>
          <w:cantSplit/>
          <w:jc w:val="center"/>
        </w:trPr>
        <w:tc>
          <w:tcPr>
            <w:tcW w:w="1934" w:type="dxa"/>
            <w:gridSpan w:val="2"/>
            <w:tcBorders>
              <w:top w:val="nil"/>
              <w:left w:val="nil"/>
              <w:bottom w:val="nil"/>
              <w:right w:val="nil"/>
            </w:tcBorders>
            <w:hideMark/>
          </w:tcPr>
          <w:p w14:paraId="208703F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3F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3F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3F7" w14:textId="77777777" w:rsidR="00802D3E" w:rsidRDefault="00802D3E">
            <w:pPr>
              <w:pStyle w:val="MeasureTableTextLeftAligned"/>
            </w:pPr>
            <w:r>
              <w:t>2+</w:t>
            </w:r>
          </w:p>
        </w:tc>
      </w:tr>
      <w:tr w:rsidR="00802D3E" w14:paraId="208703FD" w14:textId="77777777" w:rsidTr="00802D3E">
        <w:trPr>
          <w:cantSplit/>
          <w:jc w:val="center"/>
        </w:trPr>
        <w:tc>
          <w:tcPr>
            <w:tcW w:w="1934" w:type="dxa"/>
            <w:gridSpan w:val="2"/>
            <w:tcBorders>
              <w:top w:val="nil"/>
              <w:left w:val="nil"/>
              <w:bottom w:val="nil"/>
              <w:right w:val="nil"/>
            </w:tcBorders>
            <w:hideMark/>
          </w:tcPr>
          <w:p w14:paraId="208703F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3FA" w14:textId="77777777" w:rsidR="00802D3E" w:rsidRDefault="00802D3E">
            <w:pPr>
              <w:pStyle w:val="MeasureTableTextLeftAligned"/>
            </w:pPr>
            <w:r>
              <w:t>1995</w:t>
            </w:r>
          </w:p>
        </w:tc>
        <w:tc>
          <w:tcPr>
            <w:tcW w:w="1500" w:type="dxa"/>
            <w:gridSpan w:val="2"/>
            <w:tcBorders>
              <w:top w:val="nil"/>
              <w:left w:val="nil"/>
              <w:bottom w:val="nil"/>
              <w:right w:val="nil"/>
            </w:tcBorders>
            <w:hideMark/>
          </w:tcPr>
          <w:p w14:paraId="208703F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3FC" w14:textId="77777777" w:rsidR="00802D3E" w:rsidRDefault="00802D3E">
            <w:pPr>
              <w:pStyle w:val="MeasureTableTextLeftAligned"/>
            </w:pPr>
          </w:p>
        </w:tc>
      </w:tr>
      <w:tr w:rsidR="00802D3E" w14:paraId="20870400" w14:textId="77777777" w:rsidTr="00802D3E">
        <w:trPr>
          <w:cantSplit/>
          <w:jc w:val="center"/>
        </w:trPr>
        <w:tc>
          <w:tcPr>
            <w:tcW w:w="1934" w:type="dxa"/>
            <w:gridSpan w:val="2"/>
            <w:tcBorders>
              <w:top w:val="nil"/>
              <w:left w:val="nil"/>
              <w:bottom w:val="single" w:sz="2" w:space="0" w:color="auto"/>
              <w:right w:val="nil"/>
            </w:tcBorders>
            <w:hideMark/>
          </w:tcPr>
          <w:p w14:paraId="208703F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3FF" w14:textId="77777777" w:rsidR="00802D3E" w:rsidRPr="00106337" w:rsidRDefault="00802D3E" w:rsidP="00106337">
            <w:pPr>
              <w:widowControl w:val="0"/>
              <w:autoSpaceDE w:val="0"/>
              <w:autoSpaceDN w:val="0"/>
              <w:adjustRightInd w:val="0"/>
              <w:spacing w:after="0" w:line="240" w:lineRule="auto"/>
              <w:jc w:val="left"/>
              <w:rPr>
                <w:sz w:val="16"/>
                <w:szCs w:val="16"/>
              </w:rPr>
            </w:pPr>
            <w:r w:rsidRPr="00106337">
              <w:rPr>
                <w:rFonts w:ascii="Arial" w:hAnsi="Arial" w:cs="Arial"/>
                <w:sz w:val="16"/>
                <w:szCs w:val="16"/>
              </w:rPr>
              <w:t xml:space="preserve">Sections 37B and 37BA of the </w:t>
            </w:r>
            <w:r w:rsidRPr="00106337">
              <w:rPr>
                <w:rFonts w:ascii="Arial" w:hAnsi="Arial" w:cs="Arial"/>
                <w:i/>
                <w:iCs/>
                <w:color w:val="000000"/>
                <w:sz w:val="16"/>
                <w:szCs w:val="16"/>
              </w:rPr>
              <w:t>Fringe Benefits Tax Assessment Act 1986</w:t>
            </w:r>
          </w:p>
        </w:tc>
      </w:tr>
    </w:tbl>
    <w:p w14:paraId="20870401" w14:textId="77777777" w:rsidR="00802D3E" w:rsidRDefault="00802D3E" w:rsidP="00A109BC">
      <w:pPr>
        <w:pStyle w:val="SingleParagraph"/>
      </w:pPr>
    </w:p>
    <w:p w14:paraId="20870402" w14:textId="77777777" w:rsidR="00802D3E" w:rsidRDefault="00802D3E" w:rsidP="00802D3E">
      <w:r>
        <w:t xml:space="preserve">An employer may elect to value meal entertainment fringe benefits using the 50/50 method, under which the taxable value is equal to 50 per cent of total food and drink entertainment expenditure incurred in an FBT year relating to employees and their associates as well as third parties. </w:t>
      </w:r>
      <w:r>
        <w:fldChar w:fldCharType="begin"/>
      </w:r>
      <w:r>
        <w:instrText xml:space="preserve"> XE "Fringe benefits tax:Allowances, accommodation and food benefits" </w:instrText>
      </w:r>
      <w:r>
        <w:fldChar w:fldCharType="end"/>
      </w:r>
    </w:p>
    <w:p w14:paraId="20870403" w14:textId="77777777" w:rsidR="00802D3E" w:rsidRDefault="00802D3E" w:rsidP="00802D3E">
      <w:pPr>
        <w:pStyle w:val="TESHeading5"/>
        <w:ind w:left="0" w:firstLine="0"/>
      </w:pPr>
      <w:r>
        <w:t>D50</w:t>
      </w:r>
      <w:r>
        <w:tab/>
        <w:t xml:space="preserve">Philanthropy </w:t>
      </w:r>
      <w:r w:rsidR="000B181C">
        <w:t>–</w:t>
      </w:r>
      <w:r>
        <w:t xml:space="preserve"> rebate</w:t>
      </w:r>
      <w:r w:rsidR="000B181C">
        <w:t xml:space="preserve"> </w:t>
      </w:r>
      <w:r>
        <w:t>for certain not-for-profit, non-government bodies</w:t>
      </w:r>
    </w:p>
    <w:p w14:paraId="20870404"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40D" w14:textId="77777777" w:rsidTr="00802D3E">
        <w:trPr>
          <w:cantSplit/>
          <w:jc w:val="center"/>
        </w:trPr>
        <w:tc>
          <w:tcPr>
            <w:tcW w:w="967" w:type="dxa"/>
            <w:tcBorders>
              <w:top w:val="single" w:sz="2" w:space="0" w:color="auto"/>
              <w:left w:val="nil"/>
              <w:bottom w:val="single" w:sz="2" w:space="0" w:color="auto"/>
              <w:right w:val="nil"/>
            </w:tcBorders>
            <w:hideMark/>
          </w:tcPr>
          <w:p w14:paraId="2087040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40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40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40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40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40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40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40C" w14:textId="77777777" w:rsidR="00802D3E" w:rsidRDefault="00802D3E">
            <w:pPr>
              <w:pStyle w:val="MeasureTableTextRightAligned"/>
            </w:pPr>
            <w:r>
              <w:t>2019-20</w:t>
            </w:r>
          </w:p>
        </w:tc>
      </w:tr>
      <w:tr w:rsidR="00802D3E" w14:paraId="20870416" w14:textId="77777777" w:rsidTr="00802D3E">
        <w:trPr>
          <w:cantSplit/>
          <w:jc w:val="center"/>
        </w:trPr>
        <w:tc>
          <w:tcPr>
            <w:tcW w:w="967" w:type="dxa"/>
            <w:tcBorders>
              <w:top w:val="single" w:sz="2" w:space="0" w:color="auto"/>
              <w:left w:val="nil"/>
              <w:bottom w:val="single" w:sz="2" w:space="0" w:color="auto"/>
              <w:right w:val="nil"/>
            </w:tcBorders>
            <w:hideMark/>
          </w:tcPr>
          <w:p w14:paraId="2087040E" w14:textId="77777777" w:rsidR="00802D3E" w:rsidRDefault="00802D3E">
            <w:pPr>
              <w:pStyle w:val="MeasureTableTextRightAligned"/>
            </w:pPr>
            <w:r>
              <w:t>40</w:t>
            </w:r>
          </w:p>
        </w:tc>
        <w:tc>
          <w:tcPr>
            <w:tcW w:w="967" w:type="dxa"/>
            <w:tcBorders>
              <w:top w:val="single" w:sz="2" w:space="0" w:color="auto"/>
              <w:left w:val="nil"/>
              <w:bottom w:val="single" w:sz="2" w:space="0" w:color="auto"/>
              <w:right w:val="nil"/>
            </w:tcBorders>
            <w:hideMark/>
          </w:tcPr>
          <w:p w14:paraId="2087040F" w14:textId="77777777" w:rsidR="00802D3E" w:rsidRDefault="00802D3E">
            <w:pPr>
              <w:pStyle w:val="MeasureTableTextRightAligned"/>
            </w:pPr>
            <w:r>
              <w:t>45</w:t>
            </w:r>
          </w:p>
        </w:tc>
        <w:tc>
          <w:tcPr>
            <w:tcW w:w="967" w:type="dxa"/>
            <w:tcBorders>
              <w:top w:val="single" w:sz="2" w:space="0" w:color="auto"/>
              <w:left w:val="nil"/>
              <w:bottom w:val="single" w:sz="2" w:space="0" w:color="auto"/>
              <w:right w:val="nil"/>
            </w:tcBorders>
            <w:vAlign w:val="bottom"/>
            <w:hideMark/>
          </w:tcPr>
          <w:p w14:paraId="20870410" w14:textId="77777777" w:rsidR="00802D3E" w:rsidRDefault="00802D3E">
            <w:pPr>
              <w:pStyle w:val="MeasureTableTextRightAligned"/>
            </w:pPr>
            <w:r>
              <w:t>50</w:t>
            </w:r>
          </w:p>
        </w:tc>
        <w:tc>
          <w:tcPr>
            <w:tcW w:w="967" w:type="dxa"/>
            <w:tcBorders>
              <w:top w:val="single" w:sz="2" w:space="0" w:color="auto"/>
              <w:left w:val="nil"/>
              <w:bottom w:val="single" w:sz="2" w:space="0" w:color="auto"/>
              <w:right w:val="nil"/>
            </w:tcBorders>
            <w:vAlign w:val="bottom"/>
            <w:hideMark/>
          </w:tcPr>
          <w:p w14:paraId="20870411" w14:textId="77777777" w:rsidR="00802D3E" w:rsidRDefault="00802D3E">
            <w:pPr>
              <w:pStyle w:val="MeasureTableTextRightAligned"/>
            </w:pPr>
            <w:r>
              <w:t>45</w:t>
            </w:r>
          </w:p>
        </w:tc>
        <w:tc>
          <w:tcPr>
            <w:tcW w:w="967" w:type="dxa"/>
            <w:tcBorders>
              <w:top w:val="single" w:sz="2" w:space="0" w:color="auto"/>
              <w:left w:val="nil"/>
              <w:bottom w:val="single" w:sz="2" w:space="0" w:color="auto"/>
              <w:right w:val="nil"/>
            </w:tcBorders>
            <w:vAlign w:val="bottom"/>
            <w:hideMark/>
          </w:tcPr>
          <w:p w14:paraId="20870412" w14:textId="77777777" w:rsidR="00802D3E" w:rsidRDefault="00802D3E">
            <w:pPr>
              <w:pStyle w:val="MeasureTableTextRightAligned"/>
            </w:pPr>
            <w:r>
              <w:t>45</w:t>
            </w:r>
          </w:p>
        </w:tc>
        <w:tc>
          <w:tcPr>
            <w:tcW w:w="967" w:type="dxa"/>
            <w:gridSpan w:val="2"/>
            <w:tcBorders>
              <w:top w:val="single" w:sz="2" w:space="0" w:color="auto"/>
              <w:left w:val="nil"/>
              <w:bottom w:val="single" w:sz="2" w:space="0" w:color="auto"/>
              <w:right w:val="nil"/>
            </w:tcBorders>
            <w:vAlign w:val="bottom"/>
            <w:hideMark/>
          </w:tcPr>
          <w:p w14:paraId="20870413" w14:textId="77777777" w:rsidR="00802D3E" w:rsidRDefault="00802D3E">
            <w:pPr>
              <w:pStyle w:val="MeasureTableTextRightAligned"/>
            </w:pPr>
            <w:r>
              <w:t>60</w:t>
            </w:r>
          </w:p>
        </w:tc>
        <w:tc>
          <w:tcPr>
            <w:tcW w:w="967" w:type="dxa"/>
            <w:gridSpan w:val="2"/>
            <w:tcBorders>
              <w:top w:val="single" w:sz="2" w:space="0" w:color="auto"/>
              <w:left w:val="nil"/>
              <w:bottom w:val="single" w:sz="2" w:space="0" w:color="auto"/>
              <w:right w:val="nil"/>
            </w:tcBorders>
            <w:vAlign w:val="bottom"/>
            <w:hideMark/>
          </w:tcPr>
          <w:p w14:paraId="20870414" w14:textId="77777777" w:rsidR="00802D3E" w:rsidRDefault="00802D3E">
            <w:pPr>
              <w:pStyle w:val="MeasureTableTextRightAligned"/>
            </w:pPr>
            <w:r>
              <w:t>65</w:t>
            </w:r>
          </w:p>
        </w:tc>
        <w:tc>
          <w:tcPr>
            <w:tcW w:w="968" w:type="dxa"/>
            <w:tcBorders>
              <w:top w:val="single" w:sz="2" w:space="0" w:color="auto"/>
              <w:left w:val="nil"/>
              <w:bottom w:val="single" w:sz="2" w:space="0" w:color="auto"/>
              <w:right w:val="nil"/>
            </w:tcBorders>
            <w:vAlign w:val="bottom"/>
            <w:hideMark/>
          </w:tcPr>
          <w:p w14:paraId="20870415" w14:textId="77777777" w:rsidR="00802D3E" w:rsidRDefault="00802D3E">
            <w:pPr>
              <w:pStyle w:val="MeasureTableTextRightAligned"/>
            </w:pPr>
            <w:r>
              <w:t>70</w:t>
            </w:r>
          </w:p>
        </w:tc>
      </w:tr>
      <w:tr w:rsidR="00802D3E" w14:paraId="2087041B" w14:textId="77777777" w:rsidTr="00802D3E">
        <w:trPr>
          <w:cantSplit/>
          <w:jc w:val="center"/>
        </w:trPr>
        <w:tc>
          <w:tcPr>
            <w:tcW w:w="1934" w:type="dxa"/>
            <w:gridSpan w:val="2"/>
            <w:tcBorders>
              <w:top w:val="single" w:sz="2" w:space="0" w:color="auto"/>
              <w:left w:val="nil"/>
              <w:bottom w:val="nil"/>
              <w:right w:val="nil"/>
            </w:tcBorders>
            <w:hideMark/>
          </w:tcPr>
          <w:p w14:paraId="2087041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418" w14:textId="77777777" w:rsidR="00802D3E" w:rsidRDefault="00802D3E">
            <w:pPr>
              <w:pStyle w:val="MeasureTableTextLeftAligned"/>
            </w:pPr>
            <w:r>
              <w:t>Rebate</w:t>
            </w:r>
          </w:p>
        </w:tc>
        <w:tc>
          <w:tcPr>
            <w:tcW w:w="1500" w:type="dxa"/>
            <w:gridSpan w:val="2"/>
            <w:tcBorders>
              <w:top w:val="single" w:sz="2" w:space="0" w:color="auto"/>
              <w:left w:val="nil"/>
              <w:bottom w:val="nil"/>
              <w:right w:val="nil"/>
            </w:tcBorders>
            <w:hideMark/>
          </w:tcPr>
          <w:p w14:paraId="2087041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41A" w14:textId="77777777" w:rsidR="00802D3E" w:rsidRDefault="00802D3E">
            <w:pPr>
              <w:pStyle w:val="MeasureTableTextLeftAligned"/>
            </w:pPr>
            <w:r>
              <w:t>D50</w:t>
            </w:r>
          </w:p>
        </w:tc>
      </w:tr>
      <w:tr w:rsidR="00802D3E" w14:paraId="20870420" w14:textId="77777777" w:rsidTr="00802D3E">
        <w:trPr>
          <w:cantSplit/>
          <w:jc w:val="center"/>
        </w:trPr>
        <w:tc>
          <w:tcPr>
            <w:tcW w:w="1934" w:type="dxa"/>
            <w:gridSpan w:val="2"/>
            <w:tcBorders>
              <w:top w:val="nil"/>
              <w:left w:val="nil"/>
              <w:bottom w:val="nil"/>
              <w:right w:val="nil"/>
            </w:tcBorders>
            <w:hideMark/>
          </w:tcPr>
          <w:p w14:paraId="2087041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41D"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41E" w14:textId="77777777" w:rsidR="00802D3E" w:rsidRDefault="00802D3E">
            <w:pPr>
              <w:pStyle w:val="MeasureTableTextItalic"/>
            </w:pPr>
          </w:p>
        </w:tc>
        <w:tc>
          <w:tcPr>
            <w:tcW w:w="1124" w:type="dxa"/>
            <w:gridSpan w:val="2"/>
            <w:tcBorders>
              <w:top w:val="nil"/>
              <w:left w:val="nil"/>
              <w:bottom w:val="nil"/>
              <w:right w:val="nil"/>
            </w:tcBorders>
          </w:tcPr>
          <w:p w14:paraId="2087041F" w14:textId="77777777" w:rsidR="00802D3E" w:rsidRDefault="00802D3E">
            <w:pPr>
              <w:pStyle w:val="MeasureTableTextLeftAligned"/>
            </w:pPr>
          </w:p>
        </w:tc>
      </w:tr>
      <w:tr w:rsidR="00802D3E" w14:paraId="20870425" w14:textId="77777777" w:rsidTr="00802D3E">
        <w:trPr>
          <w:cantSplit/>
          <w:jc w:val="center"/>
        </w:trPr>
        <w:tc>
          <w:tcPr>
            <w:tcW w:w="1934" w:type="dxa"/>
            <w:gridSpan w:val="2"/>
            <w:tcBorders>
              <w:top w:val="nil"/>
              <w:left w:val="nil"/>
              <w:bottom w:val="nil"/>
              <w:right w:val="nil"/>
            </w:tcBorders>
            <w:hideMark/>
          </w:tcPr>
          <w:p w14:paraId="2087042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422" w14:textId="77777777" w:rsidR="00802D3E" w:rsidRDefault="00802D3E">
            <w:pPr>
              <w:pStyle w:val="MeasureTableTextLeftAligned"/>
            </w:pPr>
            <w:r>
              <w:t>1994</w:t>
            </w:r>
          </w:p>
        </w:tc>
        <w:tc>
          <w:tcPr>
            <w:tcW w:w="1500" w:type="dxa"/>
            <w:gridSpan w:val="2"/>
            <w:tcBorders>
              <w:top w:val="nil"/>
              <w:left w:val="nil"/>
              <w:bottom w:val="nil"/>
              <w:right w:val="nil"/>
            </w:tcBorders>
            <w:hideMark/>
          </w:tcPr>
          <w:p w14:paraId="2087042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424" w14:textId="77777777" w:rsidR="00802D3E" w:rsidRDefault="00802D3E">
            <w:pPr>
              <w:pStyle w:val="MeasureTableTextLeftAligned"/>
            </w:pPr>
          </w:p>
        </w:tc>
      </w:tr>
      <w:tr w:rsidR="00802D3E" w14:paraId="20870428" w14:textId="77777777" w:rsidTr="00802D3E">
        <w:trPr>
          <w:cantSplit/>
          <w:jc w:val="center"/>
        </w:trPr>
        <w:tc>
          <w:tcPr>
            <w:tcW w:w="1934" w:type="dxa"/>
            <w:gridSpan w:val="2"/>
            <w:tcBorders>
              <w:top w:val="nil"/>
              <w:left w:val="nil"/>
              <w:bottom w:val="single" w:sz="2" w:space="0" w:color="auto"/>
              <w:right w:val="nil"/>
            </w:tcBorders>
            <w:hideMark/>
          </w:tcPr>
          <w:p w14:paraId="2087042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427"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65J of the </w:t>
            </w:r>
            <w:r w:rsidRPr="00106337">
              <w:rPr>
                <w:rFonts w:ascii="Arial" w:hAnsi="Arial" w:cs="Arial"/>
                <w:i/>
                <w:iCs/>
                <w:color w:val="000000"/>
                <w:sz w:val="16"/>
                <w:szCs w:val="16"/>
              </w:rPr>
              <w:t>Fringe Benefits Tax Assessment Act 1986</w:t>
            </w:r>
          </w:p>
        </w:tc>
      </w:tr>
    </w:tbl>
    <w:p w14:paraId="20870429" w14:textId="77777777" w:rsidR="00802D3E" w:rsidRDefault="00802D3E" w:rsidP="00A109BC">
      <w:pPr>
        <w:pStyle w:val="SingleParagraph"/>
      </w:pPr>
    </w:p>
    <w:p w14:paraId="2087042A" w14:textId="77777777" w:rsidR="00802D3E" w:rsidRDefault="00802D3E" w:rsidP="00802D3E">
      <w:r>
        <w:t>Certain not</w:t>
      </w:r>
      <w:r>
        <w:noBreakHyphen/>
        <w:t>for</w:t>
      </w:r>
      <w:r>
        <w:noBreakHyphen/>
        <w:t>profit, non</w:t>
      </w:r>
      <w:r>
        <w:noBreakHyphen/>
        <w:t>government bodies</w:t>
      </w:r>
      <w:r>
        <w:fldChar w:fldCharType="begin"/>
      </w:r>
      <w:r>
        <w:instrText xml:space="preserve"> XE "Non</w:instrText>
      </w:r>
      <w:r>
        <w:noBreakHyphen/>
        <w:instrText xml:space="preserve">profit, non-government bodies" </w:instrText>
      </w:r>
      <w:r>
        <w:fldChar w:fldCharType="end"/>
      </w:r>
      <w:r>
        <w:t xml:space="preserve"> (including, in general, charitable institutions, schools, and trade unions) are eligible for a partial rebate of the fringe benefits tax that would otherwise be payable on up to $30,000 of the grossed</w:t>
      </w:r>
      <w:r>
        <w:noBreakHyphen/>
        <w:t xml:space="preserve">up taxable value of fringe benefits per employee. The threshold changes to $31,177 for the FBT years ending 31 March 2016 and 2017 only. </w:t>
      </w:r>
    </w:p>
    <w:p w14:paraId="2087042B" w14:textId="77777777" w:rsidR="00802D3E" w:rsidRDefault="00802D3E">
      <w:pPr>
        <w:spacing w:after="0" w:line="240" w:lineRule="auto"/>
        <w:jc w:val="left"/>
        <w:rPr>
          <w:rFonts w:ascii="Arial" w:hAnsi="Arial"/>
          <w:b/>
          <w:smallCaps/>
          <w:color w:val="000000"/>
          <w:sz w:val="25"/>
        </w:rPr>
      </w:pPr>
      <w:r>
        <w:br w:type="page"/>
      </w:r>
    </w:p>
    <w:p w14:paraId="2087042C" w14:textId="77777777" w:rsidR="00802D3E" w:rsidRDefault="00802D3E" w:rsidP="00802D3E">
      <w:pPr>
        <w:pStyle w:val="Heading3"/>
      </w:pPr>
      <w:r>
        <w:lastRenderedPageBreak/>
        <w:t>Capital Gains Tax</w:t>
      </w:r>
    </w:p>
    <w:p w14:paraId="2087042D" w14:textId="77777777" w:rsidR="00802D3E" w:rsidRDefault="00802D3E" w:rsidP="00802D3E">
      <w:pPr>
        <w:pStyle w:val="TESHeading5"/>
        <w:ind w:left="0" w:firstLine="0"/>
      </w:pPr>
      <w:r>
        <w:t>E1</w:t>
      </w:r>
      <w:r>
        <w:tab/>
        <w:t>Exemption for valour or brave conduct decorations</w:t>
      </w:r>
    </w:p>
    <w:p w14:paraId="2087042E"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437" w14:textId="77777777" w:rsidTr="00802D3E">
        <w:trPr>
          <w:cantSplit/>
          <w:jc w:val="center"/>
        </w:trPr>
        <w:tc>
          <w:tcPr>
            <w:tcW w:w="967" w:type="dxa"/>
            <w:tcBorders>
              <w:top w:val="single" w:sz="2" w:space="0" w:color="auto"/>
              <w:left w:val="nil"/>
              <w:bottom w:val="single" w:sz="2" w:space="0" w:color="auto"/>
              <w:right w:val="nil"/>
            </w:tcBorders>
            <w:hideMark/>
          </w:tcPr>
          <w:p w14:paraId="2087042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43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43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43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43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43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43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436" w14:textId="77777777" w:rsidR="00802D3E" w:rsidRDefault="00802D3E">
            <w:pPr>
              <w:pStyle w:val="MeasureTableTextRightAligned"/>
            </w:pPr>
            <w:r>
              <w:t>2019-20</w:t>
            </w:r>
          </w:p>
        </w:tc>
      </w:tr>
      <w:tr w:rsidR="00802D3E" w14:paraId="20870440" w14:textId="77777777" w:rsidTr="00802D3E">
        <w:trPr>
          <w:cantSplit/>
          <w:jc w:val="center"/>
        </w:trPr>
        <w:tc>
          <w:tcPr>
            <w:tcW w:w="967" w:type="dxa"/>
            <w:tcBorders>
              <w:top w:val="single" w:sz="2" w:space="0" w:color="auto"/>
              <w:left w:val="nil"/>
              <w:bottom w:val="single" w:sz="2" w:space="0" w:color="auto"/>
              <w:right w:val="nil"/>
            </w:tcBorders>
            <w:hideMark/>
          </w:tcPr>
          <w:p w14:paraId="2087043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43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3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3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3C"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43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43E"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43F" w14:textId="77777777" w:rsidR="00802D3E" w:rsidRDefault="00802D3E">
            <w:pPr>
              <w:pStyle w:val="MeasureTableTextRightAligned"/>
            </w:pPr>
            <w:r>
              <w:t>..</w:t>
            </w:r>
          </w:p>
        </w:tc>
      </w:tr>
      <w:tr w:rsidR="00802D3E" w14:paraId="20870445" w14:textId="77777777" w:rsidTr="00802D3E">
        <w:trPr>
          <w:cantSplit/>
          <w:jc w:val="center"/>
        </w:trPr>
        <w:tc>
          <w:tcPr>
            <w:tcW w:w="1934" w:type="dxa"/>
            <w:gridSpan w:val="2"/>
            <w:tcBorders>
              <w:top w:val="single" w:sz="2" w:space="0" w:color="auto"/>
              <w:left w:val="nil"/>
              <w:bottom w:val="nil"/>
              <w:right w:val="nil"/>
            </w:tcBorders>
            <w:hideMark/>
          </w:tcPr>
          <w:p w14:paraId="2087044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44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44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444" w14:textId="77777777" w:rsidR="00802D3E" w:rsidRDefault="00802D3E">
            <w:pPr>
              <w:pStyle w:val="MeasureTableTextLeftAligned"/>
            </w:pPr>
            <w:r>
              <w:t>E1</w:t>
            </w:r>
          </w:p>
        </w:tc>
      </w:tr>
      <w:tr w:rsidR="00802D3E" w14:paraId="2087044A" w14:textId="77777777" w:rsidTr="00802D3E">
        <w:trPr>
          <w:cantSplit/>
          <w:jc w:val="center"/>
        </w:trPr>
        <w:tc>
          <w:tcPr>
            <w:tcW w:w="1934" w:type="dxa"/>
            <w:gridSpan w:val="2"/>
            <w:tcBorders>
              <w:top w:val="nil"/>
              <w:left w:val="nil"/>
              <w:bottom w:val="nil"/>
              <w:right w:val="nil"/>
            </w:tcBorders>
            <w:hideMark/>
          </w:tcPr>
          <w:p w14:paraId="2087044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447" w14:textId="77777777" w:rsidR="00802D3E" w:rsidRDefault="00802D3E">
            <w:pPr>
              <w:pStyle w:val="MeasureTableTextLeftAligned"/>
            </w:pPr>
            <w:r>
              <w:t>Low</w:t>
            </w:r>
          </w:p>
        </w:tc>
        <w:tc>
          <w:tcPr>
            <w:tcW w:w="1500" w:type="dxa"/>
            <w:gridSpan w:val="2"/>
            <w:tcBorders>
              <w:top w:val="nil"/>
              <w:left w:val="nil"/>
              <w:bottom w:val="nil"/>
              <w:right w:val="nil"/>
            </w:tcBorders>
          </w:tcPr>
          <w:p w14:paraId="20870448" w14:textId="77777777" w:rsidR="00802D3E" w:rsidRDefault="00802D3E">
            <w:pPr>
              <w:pStyle w:val="MeasureTableTextItalic"/>
            </w:pPr>
          </w:p>
        </w:tc>
        <w:tc>
          <w:tcPr>
            <w:tcW w:w="1124" w:type="dxa"/>
            <w:gridSpan w:val="2"/>
            <w:tcBorders>
              <w:top w:val="nil"/>
              <w:left w:val="nil"/>
              <w:bottom w:val="nil"/>
              <w:right w:val="nil"/>
            </w:tcBorders>
          </w:tcPr>
          <w:p w14:paraId="20870449" w14:textId="77777777" w:rsidR="00802D3E" w:rsidRDefault="00802D3E">
            <w:pPr>
              <w:pStyle w:val="MeasureTableTextLeftAligned"/>
            </w:pPr>
          </w:p>
        </w:tc>
      </w:tr>
      <w:tr w:rsidR="00802D3E" w14:paraId="2087044F" w14:textId="77777777" w:rsidTr="00802D3E">
        <w:trPr>
          <w:cantSplit/>
          <w:jc w:val="center"/>
        </w:trPr>
        <w:tc>
          <w:tcPr>
            <w:tcW w:w="1934" w:type="dxa"/>
            <w:gridSpan w:val="2"/>
            <w:tcBorders>
              <w:top w:val="nil"/>
              <w:left w:val="nil"/>
              <w:bottom w:val="nil"/>
              <w:right w:val="nil"/>
            </w:tcBorders>
            <w:hideMark/>
          </w:tcPr>
          <w:p w14:paraId="2087044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44C" w14:textId="77777777" w:rsidR="00802D3E" w:rsidRDefault="00802D3E">
            <w:pPr>
              <w:pStyle w:val="MeasureTableTextLeftAligned"/>
            </w:pPr>
            <w:r>
              <w:t>1985</w:t>
            </w:r>
          </w:p>
        </w:tc>
        <w:tc>
          <w:tcPr>
            <w:tcW w:w="1500" w:type="dxa"/>
            <w:gridSpan w:val="2"/>
            <w:tcBorders>
              <w:top w:val="nil"/>
              <w:left w:val="nil"/>
              <w:bottom w:val="nil"/>
              <w:right w:val="nil"/>
            </w:tcBorders>
            <w:hideMark/>
          </w:tcPr>
          <w:p w14:paraId="2087044D"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44E" w14:textId="77777777" w:rsidR="00802D3E" w:rsidRDefault="00802D3E">
            <w:pPr>
              <w:pStyle w:val="MeasureTableTextLeftAligned"/>
            </w:pPr>
          </w:p>
        </w:tc>
      </w:tr>
      <w:tr w:rsidR="00802D3E" w14:paraId="20870452" w14:textId="77777777" w:rsidTr="00802D3E">
        <w:trPr>
          <w:cantSplit/>
          <w:jc w:val="center"/>
        </w:trPr>
        <w:tc>
          <w:tcPr>
            <w:tcW w:w="1934" w:type="dxa"/>
            <w:gridSpan w:val="2"/>
            <w:tcBorders>
              <w:top w:val="nil"/>
              <w:left w:val="nil"/>
              <w:bottom w:val="single" w:sz="2" w:space="0" w:color="auto"/>
              <w:right w:val="nil"/>
            </w:tcBorders>
            <w:hideMark/>
          </w:tcPr>
          <w:p w14:paraId="2087045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451"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Paragraph 118-5(b)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453" w14:textId="77777777" w:rsidR="00802D3E" w:rsidRDefault="00802D3E" w:rsidP="00A109BC">
      <w:pPr>
        <w:pStyle w:val="SingleParagraph"/>
      </w:pPr>
    </w:p>
    <w:p w14:paraId="20870454" w14:textId="77777777" w:rsidR="00802D3E" w:rsidRDefault="00802D3E" w:rsidP="00802D3E">
      <w:r>
        <w:t>Capital gains or losses arising from the disposal of a decoration awarded for valour or brave conduct</w:t>
      </w:r>
      <w:r>
        <w:fldChar w:fldCharType="begin"/>
      </w:r>
      <w:r>
        <w:instrText xml:space="preserve"> XE "Decorations awarded for valour or brave conduct" </w:instrText>
      </w:r>
      <w:r>
        <w:fldChar w:fldCharType="end"/>
      </w:r>
      <w:r>
        <w:t xml:space="preserve"> are exempt from capital gains tax (CGT). This exemption is available unless the owner of the decoration had paid money or given any other property for it. </w:t>
      </w:r>
    </w:p>
    <w:p w14:paraId="20870455" w14:textId="77777777" w:rsidR="00802D3E" w:rsidRDefault="00802D3E" w:rsidP="00802D3E">
      <w:pPr>
        <w:pStyle w:val="TESHeading5"/>
        <w:ind w:left="0" w:firstLine="0"/>
      </w:pPr>
      <w:r>
        <w:t>E2</w:t>
      </w:r>
      <w:r>
        <w:tab/>
        <w:t>Roll-over for membership interests in medical defence organisations</w:t>
      </w:r>
    </w:p>
    <w:p w14:paraId="20870456"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45F" w14:textId="77777777" w:rsidTr="00802D3E">
        <w:trPr>
          <w:cantSplit/>
          <w:jc w:val="center"/>
        </w:trPr>
        <w:tc>
          <w:tcPr>
            <w:tcW w:w="967" w:type="dxa"/>
            <w:tcBorders>
              <w:top w:val="single" w:sz="2" w:space="0" w:color="auto"/>
              <w:left w:val="nil"/>
              <w:bottom w:val="single" w:sz="2" w:space="0" w:color="auto"/>
              <w:right w:val="nil"/>
            </w:tcBorders>
            <w:hideMark/>
          </w:tcPr>
          <w:p w14:paraId="2087045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45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45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45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45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45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45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45E" w14:textId="77777777" w:rsidR="00802D3E" w:rsidRDefault="00802D3E">
            <w:pPr>
              <w:pStyle w:val="MeasureTableTextRightAligned"/>
            </w:pPr>
            <w:r>
              <w:t>2019-20</w:t>
            </w:r>
          </w:p>
        </w:tc>
      </w:tr>
      <w:tr w:rsidR="00802D3E" w14:paraId="20870468" w14:textId="77777777" w:rsidTr="00802D3E">
        <w:trPr>
          <w:cantSplit/>
          <w:jc w:val="center"/>
        </w:trPr>
        <w:tc>
          <w:tcPr>
            <w:tcW w:w="967" w:type="dxa"/>
            <w:tcBorders>
              <w:top w:val="single" w:sz="2" w:space="0" w:color="auto"/>
              <w:left w:val="nil"/>
              <w:bottom w:val="single" w:sz="2" w:space="0" w:color="auto"/>
              <w:right w:val="nil"/>
            </w:tcBorders>
            <w:hideMark/>
          </w:tcPr>
          <w:p w14:paraId="2087046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46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6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6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64"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46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466"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467" w14:textId="77777777" w:rsidR="00802D3E" w:rsidRDefault="00802D3E">
            <w:pPr>
              <w:pStyle w:val="MeasureTableTextRightAligned"/>
            </w:pPr>
            <w:r>
              <w:t>*</w:t>
            </w:r>
          </w:p>
        </w:tc>
      </w:tr>
      <w:tr w:rsidR="00802D3E" w14:paraId="2087046D" w14:textId="77777777" w:rsidTr="00802D3E">
        <w:trPr>
          <w:cantSplit/>
          <w:jc w:val="center"/>
        </w:trPr>
        <w:tc>
          <w:tcPr>
            <w:tcW w:w="1934" w:type="dxa"/>
            <w:gridSpan w:val="2"/>
            <w:tcBorders>
              <w:top w:val="single" w:sz="2" w:space="0" w:color="auto"/>
              <w:left w:val="nil"/>
              <w:bottom w:val="nil"/>
              <w:right w:val="nil"/>
            </w:tcBorders>
            <w:hideMark/>
          </w:tcPr>
          <w:p w14:paraId="2087046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46A"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46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46C" w14:textId="77777777" w:rsidR="00802D3E" w:rsidRDefault="00802D3E">
            <w:pPr>
              <w:pStyle w:val="MeasureTableTextLeftAligned"/>
            </w:pPr>
            <w:r>
              <w:t>E2</w:t>
            </w:r>
          </w:p>
        </w:tc>
      </w:tr>
      <w:tr w:rsidR="00802D3E" w14:paraId="20870472" w14:textId="77777777" w:rsidTr="00802D3E">
        <w:trPr>
          <w:cantSplit/>
          <w:jc w:val="center"/>
        </w:trPr>
        <w:tc>
          <w:tcPr>
            <w:tcW w:w="1934" w:type="dxa"/>
            <w:gridSpan w:val="2"/>
            <w:tcBorders>
              <w:top w:val="nil"/>
              <w:left w:val="nil"/>
              <w:bottom w:val="nil"/>
              <w:right w:val="nil"/>
            </w:tcBorders>
            <w:hideMark/>
          </w:tcPr>
          <w:p w14:paraId="2087046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46F"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470"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471" w14:textId="77777777" w:rsidR="00802D3E" w:rsidRDefault="00802D3E">
            <w:pPr>
              <w:pStyle w:val="MeasureTableTextLeftAligned"/>
            </w:pPr>
            <w:r>
              <w:t>1+</w:t>
            </w:r>
          </w:p>
        </w:tc>
      </w:tr>
      <w:tr w:rsidR="00802D3E" w14:paraId="20870477" w14:textId="77777777" w:rsidTr="00802D3E">
        <w:trPr>
          <w:cantSplit/>
          <w:jc w:val="center"/>
        </w:trPr>
        <w:tc>
          <w:tcPr>
            <w:tcW w:w="1934" w:type="dxa"/>
            <w:gridSpan w:val="2"/>
            <w:tcBorders>
              <w:top w:val="nil"/>
              <w:left w:val="nil"/>
              <w:bottom w:val="nil"/>
              <w:right w:val="nil"/>
            </w:tcBorders>
            <w:hideMark/>
          </w:tcPr>
          <w:p w14:paraId="2087047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474" w14:textId="77777777" w:rsidR="00802D3E" w:rsidRDefault="00802D3E">
            <w:pPr>
              <w:pStyle w:val="MeasureTableTextLeftAligned"/>
            </w:pPr>
            <w:r>
              <w:t>2007</w:t>
            </w:r>
          </w:p>
        </w:tc>
        <w:tc>
          <w:tcPr>
            <w:tcW w:w="1500" w:type="dxa"/>
            <w:gridSpan w:val="2"/>
            <w:tcBorders>
              <w:top w:val="nil"/>
              <w:left w:val="nil"/>
              <w:bottom w:val="nil"/>
              <w:right w:val="nil"/>
            </w:tcBorders>
            <w:hideMark/>
          </w:tcPr>
          <w:p w14:paraId="20870475"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476" w14:textId="77777777" w:rsidR="00802D3E" w:rsidRDefault="00802D3E">
            <w:pPr>
              <w:pStyle w:val="MeasureTableTextLeftAligned"/>
            </w:pPr>
          </w:p>
        </w:tc>
      </w:tr>
      <w:tr w:rsidR="00802D3E" w14:paraId="2087047A" w14:textId="77777777" w:rsidTr="00802D3E">
        <w:trPr>
          <w:cantSplit/>
          <w:jc w:val="center"/>
        </w:trPr>
        <w:tc>
          <w:tcPr>
            <w:tcW w:w="1934" w:type="dxa"/>
            <w:gridSpan w:val="2"/>
            <w:tcBorders>
              <w:top w:val="nil"/>
              <w:left w:val="nil"/>
              <w:bottom w:val="single" w:sz="2" w:space="0" w:color="auto"/>
              <w:right w:val="nil"/>
            </w:tcBorders>
            <w:hideMark/>
          </w:tcPr>
          <w:p w14:paraId="2087047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479"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Subdivision 124-P of the</w:t>
            </w:r>
            <w:r>
              <w:rPr>
                <w:rFonts w:ascii="Arial" w:hAnsi="Arial" w:cs="Arial"/>
                <w:i/>
                <w:iCs/>
                <w:color w:val="000000"/>
                <w:sz w:val="16"/>
                <w:szCs w:val="16"/>
              </w:rPr>
              <w:t xml:space="preserve"> Income Tax Assessment Act 1997</w:t>
            </w:r>
          </w:p>
        </w:tc>
      </w:tr>
    </w:tbl>
    <w:p w14:paraId="2087047B" w14:textId="77777777" w:rsidR="00802D3E" w:rsidRDefault="00802D3E" w:rsidP="00A109BC">
      <w:pPr>
        <w:pStyle w:val="SingleParagraph"/>
      </w:pPr>
    </w:p>
    <w:p w14:paraId="2087047C" w14:textId="77777777" w:rsidR="00802D3E" w:rsidRDefault="00802D3E" w:rsidP="00802D3E">
      <w:r>
        <w:t>A CGT roll</w:t>
      </w:r>
      <w:r>
        <w:rPr>
          <w:rFonts w:cs="Book Antiqua"/>
        </w:rPr>
        <w:noBreakHyphen/>
        <w:t>over</w:t>
      </w:r>
      <w:r>
        <w:rPr>
          <w:rFonts w:cs="Book Antiqua"/>
        </w:rPr>
        <w:fldChar w:fldCharType="begin"/>
      </w:r>
      <w:r>
        <w:instrText xml:space="preserve"> XE "Capital gains tax:Roll</w:instrText>
      </w:r>
      <w:r>
        <w:rPr>
          <w:rFonts w:cs="Book Antiqua"/>
        </w:rPr>
        <w:noBreakHyphen/>
        <w:instrText>over</w:instrText>
      </w:r>
      <w:r>
        <w:instrText xml:space="preserve">" </w:instrText>
      </w:r>
      <w:r>
        <w:rPr>
          <w:rFonts w:cs="Book Antiqua"/>
        </w:rPr>
        <w:fldChar w:fldCharType="end"/>
      </w:r>
      <w:r>
        <w:rPr>
          <w:rFonts w:cs="Book Antiqua"/>
        </w:rPr>
        <w:t xml:space="preserve"> is available for capital gains arising from the exchange of a membership interest in a medical defence organisation</w:t>
      </w:r>
      <w:r>
        <w:rPr>
          <w:rFonts w:cs="Book Antiqua"/>
        </w:rPr>
        <w:fldChar w:fldCharType="begin"/>
      </w:r>
      <w:r>
        <w:instrText xml:space="preserve"> XE "</w:instrText>
      </w:r>
      <w:r>
        <w:rPr>
          <w:rFonts w:cs="Book Antiqua"/>
        </w:rPr>
        <w:instrText>Medical defence organisation</w:instrText>
      </w:r>
      <w:r>
        <w:instrText xml:space="preserve">" </w:instrText>
      </w:r>
      <w:r>
        <w:rPr>
          <w:rFonts w:cs="Book Antiqua"/>
        </w:rPr>
        <w:fldChar w:fldCharType="end"/>
      </w:r>
      <w:r>
        <w:rPr>
          <w:rFonts w:cs="Book Antiqua"/>
        </w:rPr>
        <w:t xml:space="preserve"> for a similar interest in another medical defence org</w:t>
      </w:r>
      <w:r>
        <w:t xml:space="preserve">anisation where both organisations are companies limited by guarantee and subject to certain other conditions, </w:t>
      </w:r>
      <w:r>
        <w:rPr>
          <w:rFonts w:cs="Book Antiqua"/>
        </w:rPr>
        <w:t>until the ultimate di</w:t>
      </w:r>
      <w:r>
        <w:t xml:space="preserve">sposal of the replacement membership interest. </w:t>
      </w:r>
    </w:p>
    <w:p w14:paraId="2087047D" w14:textId="77777777" w:rsidR="00802D3E" w:rsidRDefault="00802D3E" w:rsidP="00802D3E">
      <w:pPr>
        <w:pStyle w:val="TESHeading5"/>
        <w:ind w:left="0" w:firstLine="0"/>
      </w:pPr>
      <w:r>
        <w:t>E3</w:t>
      </w:r>
      <w:r>
        <w:tab/>
        <w:t>Exemptions for special disability trusts</w:t>
      </w:r>
    </w:p>
    <w:p w14:paraId="2087047E" w14:textId="77777777" w:rsidR="00802D3E" w:rsidRDefault="00802D3E" w:rsidP="00802D3E">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487" w14:textId="77777777" w:rsidTr="00802D3E">
        <w:trPr>
          <w:cantSplit/>
          <w:jc w:val="center"/>
        </w:trPr>
        <w:tc>
          <w:tcPr>
            <w:tcW w:w="967" w:type="dxa"/>
            <w:tcBorders>
              <w:top w:val="single" w:sz="2" w:space="0" w:color="auto"/>
              <w:left w:val="nil"/>
              <w:bottom w:val="single" w:sz="2" w:space="0" w:color="auto"/>
              <w:right w:val="nil"/>
            </w:tcBorders>
            <w:hideMark/>
          </w:tcPr>
          <w:p w14:paraId="2087047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48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48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48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48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48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48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486" w14:textId="77777777" w:rsidR="00802D3E" w:rsidRDefault="00802D3E">
            <w:pPr>
              <w:pStyle w:val="MeasureTableTextRightAligned"/>
            </w:pPr>
            <w:r>
              <w:t>2019-20</w:t>
            </w:r>
          </w:p>
        </w:tc>
      </w:tr>
      <w:tr w:rsidR="00802D3E" w14:paraId="20870490" w14:textId="77777777" w:rsidTr="00802D3E">
        <w:trPr>
          <w:cantSplit/>
          <w:jc w:val="center"/>
        </w:trPr>
        <w:tc>
          <w:tcPr>
            <w:tcW w:w="967" w:type="dxa"/>
            <w:tcBorders>
              <w:top w:val="single" w:sz="2" w:space="0" w:color="auto"/>
              <w:left w:val="nil"/>
              <w:bottom w:val="single" w:sz="2" w:space="0" w:color="auto"/>
              <w:right w:val="nil"/>
            </w:tcBorders>
            <w:hideMark/>
          </w:tcPr>
          <w:p w14:paraId="2087048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48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8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8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8C"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48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48E"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48F" w14:textId="77777777" w:rsidR="00802D3E" w:rsidRDefault="00802D3E">
            <w:pPr>
              <w:pStyle w:val="MeasureTableTextRightAligned"/>
            </w:pPr>
            <w:r>
              <w:t>*</w:t>
            </w:r>
          </w:p>
        </w:tc>
      </w:tr>
      <w:tr w:rsidR="00802D3E" w14:paraId="20870495" w14:textId="77777777" w:rsidTr="00802D3E">
        <w:trPr>
          <w:cantSplit/>
          <w:jc w:val="center"/>
        </w:trPr>
        <w:tc>
          <w:tcPr>
            <w:tcW w:w="1934" w:type="dxa"/>
            <w:gridSpan w:val="2"/>
            <w:tcBorders>
              <w:top w:val="single" w:sz="2" w:space="0" w:color="auto"/>
              <w:left w:val="nil"/>
              <w:bottom w:val="nil"/>
              <w:right w:val="nil"/>
            </w:tcBorders>
            <w:hideMark/>
          </w:tcPr>
          <w:p w14:paraId="2087049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49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49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494" w14:textId="77777777" w:rsidR="00802D3E" w:rsidRDefault="00802D3E">
            <w:pPr>
              <w:pStyle w:val="MeasureTableTextLeftAligned"/>
            </w:pPr>
            <w:r>
              <w:t>E3</w:t>
            </w:r>
          </w:p>
        </w:tc>
      </w:tr>
      <w:tr w:rsidR="00802D3E" w14:paraId="2087049A" w14:textId="77777777" w:rsidTr="00802D3E">
        <w:trPr>
          <w:cantSplit/>
          <w:jc w:val="center"/>
        </w:trPr>
        <w:tc>
          <w:tcPr>
            <w:tcW w:w="1934" w:type="dxa"/>
            <w:gridSpan w:val="2"/>
            <w:tcBorders>
              <w:top w:val="nil"/>
              <w:left w:val="nil"/>
              <w:bottom w:val="nil"/>
              <w:right w:val="nil"/>
            </w:tcBorders>
            <w:hideMark/>
          </w:tcPr>
          <w:p w14:paraId="2087049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497"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498"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499" w14:textId="77777777" w:rsidR="00802D3E" w:rsidRDefault="00802D3E">
            <w:pPr>
              <w:pStyle w:val="MeasureTableTextLeftAligned"/>
            </w:pPr>
            <w:r>
              <w:t>1+</w:t>
            </w:r>
          </w:p>
        </w:tc>
      </w:tr>
      <w:tr w:rsidR="00802D3E" w14:paraId="2087049F" w14:textId="77777777" w:rsidTr="00802D3E">
        <w:trPr>
          <w:cantSplit/>
          <w:jc w:val="center"/>
        </w:trPr>
        <w:tc>
          <w:tcPr>
            <w:tcW w:w="1934" w:type="dxa"/>
            <w:gridSpan w:val="2"/>
            <w:tcBorders>
              <w:top w:val="nil"/>
              <w:left w:val="nil"/>
              <w:bottom w:val="nil"/>
              <w:right w:val="nil"/>
            </w:tcBorders>
            <w:hideMark/>
          </w:tcPr>
          <w:p w14:paraId="2087049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49C" w14:textId="77777777" w:rsidR="00802D3E" w:rsidRDefault="00802D3E">
            <w:pPr>
              <w:pStyle w:val="MeasureTableTextLeftAligned"/>
            </w:pPr>
            <w:r>
              <w:t>1 July 2006</w:t>
            </w:r>
          </w:p>
        </w:tc>
        <w:tc>
          <w:tcPr>
            <w:tcW w:w="1500" w:type="dxa"/>
            <w:gridSpan w:val="2"/>
            <w:tcBorders>
              <w:top w:val="nil"/>
              <w:left w:val="nil"/>
              <w:bottom w:val="nil"/>
              <w:right w:val="nil"/>
            </w:tcBorders>
            <w:hideMark/>
          </w:tcPr>
          <w:p w14:paraId="2087049D"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49E" w14:textId="77777777" w:rsidR="00802D3E" w:rsidRDefault="00802D3E">
            <w:pPr>
              <w:pStyle w:val="MeasureTableTextLeftAligned"/>
            </w:pPr>
          </w:p>
        </w:tc>
      </w:tr>
      <w:tr w:rsidR="00802D3E" w14:paraId="208704A2" w14:textId="77777777" w:rsidTr="00802D3E">
        <w:trPr>
          <w:cantSplit/>
          <w:jc w:val="center"/>
        </w:trPr>
        <w:tc>
          <w:tcPr>
            <w:tcW w:w="1934" w:type="dxa"/>
            <w:gridSpan w:val="2"/>
            <w:tcBorders>
              <w:top w:val="nil"/>
              <w:left w:val="nil"/>
              <w:bottom w:val="single" w:sz="2" w:space="0" w:color="auto"/>
              <w:right w:val="nil"/>
            </w:tcBorders>
            <w:hideMark/>
          </w:tcPr>
          <w:p w14:paraId="208704A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4A1" w14:textId="57F083AB" w:rsidR="00802D3E" w:rsidRPr="00106337" w:rsidRDefault="00802D3E" w:rsidP="000B1D9D">
            <w:pPr>
              <w:widowControl w:val="0"/>
              <w:autoSpaceDE w:val="0"/>
              <w:autoSpaceDN w:val="0"/>
              <w:adjustRightInd w:val="0"/>
              <w:spacing w:after="0" w:line="240" w:lineRule="auto"/>
              <w:jc w:val="left"/>
              <w:rPr>
                <w:sz w:val="16"/>
                <w:szCs w:val="16"/>
              </w:rPr>
            </w:pPr>
            <w:r w:rsidRPr="00106337">
              <w:rPr>
                <w:rFonts w:ascii="Arial" w:hAnsi="Arial" w:cs="Arial"/>
                <w:sz w:val="16"/>
                <w:szCs w:val="16"/>
              </w:rPr>
              <w:t xml:space="preserve">Sections 118-85 and 118-215 to 118-230 of the </w:t>
            </w:r>
            <w:r w:rsidRPr="00106337">
              <w:rPr>
                <w:rFonts w:ascii="Arial" w:hAnsi="Arial" w:cs="Arial"/>
                <w:i/>
                <w:iCs/>
                <w:color w:val="000000"/>
                <w:sz w:val="16"/>
                <w:szCs w:val="16"/>
              </w:rPr>
              <w:t>Income Tax Assessment Act</w:t>
            </w:r>
            <w:r w:rsidR="000B1D9D">
              <w:rPr>
                <w:rFonts w:ascii="Arial" w:hAnsi="Arial" w:cs="Arial"/>
                <w:i/>
                <w:iCs/>
                <w:color w:val="000000"/>
                <w:sz w:val="16"/>
                <w:szCs w:val="16"/>
              </w:rPr>
              <w:t> </w:t>
            </w:r>
            <w:r w:rsidRPr="00106337">
              <w:rPr>
                <w:rFonts w:ascii="Arial" w:hAnsi="Arial" w:cs="Arial"/>
                <w:i/>
                <w:iCs/>
                <w:color w:val="000000"/>
                <w:sz w:val="16"/>
                <w:szCs w:val="16"/>
              </w:rPr>
              <w:t>1997</w:t>
            </w:r>
          </w:p>
        </w:tc>
      </w:tr>
    </w:tbl>
    <w:p w14:paraId="208704A3" w14:textId="77777777" w:rsidR="00802D3E" w:rsidRDefault="00802D3E" w:rsidP="00A109BC">
      <w:pPr>
        <w:pStyle w:val="SingleParagraph"/>
      </w:pPr>
    </w:p>
    <w:p w14:paraId="208704A4" w14:textId="77777777" w:rsidR="00802D3E" w:rsidRDefault="00802D3E" w:rsidP="00802D3E">
      <w:r>
        <w:t>Assets donated to a special disability trust (SDT)</w:t>
      </w:r>
      <w:r>
        <w:fldChar w:fldCharType="begin"/>
      </w:r>
      <w:r>
        <w:instrText xml:space="preserve"> XE "Special Disability Trust" </w:instrText>
      </w:r>
      <w:r>
        <w:fldChar w:fldCharType="end"/>
      </w:r>
      <w:r>
        <w:t xml:space="preserve"> are exempt from CGT. A trustee of an SDT is also eligible for the CGT main residence exemption to the extent the principal beneficiary uses the dwelling as a home. </w:t>
      </w:r>
    </w:p>
    <w:p w14:paraId="208704A5" w14:textId="77777777" w:rsidR="00802D3E" w:rsidRDefault="00802D3E" w:rsidP="00802D3E">
      <w:pPr>
        <w:pStyle w:val="TESHeading5"/>
        <w:ind w:left="0" w:firstLine="0"/>
      </w:pPr>
      <w:r>
        <w:lastRenderedPageBreak/>
        <w:t>E4</w:t>
      </w:r>
      <w:r>
        <w:tab/>
        <w:t>Concessions for conservation covenants</w:t>
      </w:r>
    </w:p>
    <w:p w14:paraId="208704A6" w14:textId="77777777" w:rsidR="00802D3E" w:rsidRDefault="00802D3E" w:rsidP="00802D3E">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4AF" w14:textId="77777777" w:rsidTr="00802D3E">
        <w:trPr>
          <w:cantSplit/>
          <w:jc w:val="center"/>
        </w:trPr>
        <w:tc>
          <w:tcPr>
            <w:tcW w:w="967" w:type="dxa"/>
            <w:tcBorders>
              <w:top w:val="single" w:sz="2" w:space="0" w:color="auto"/>
              <w:left w:val="nil"/>
              <w:bottom w:val="single" w:sz="2" w:space="0" w:color="auto"/>
              <w:right w:val="nil"/>
            </w:tcBorders>
            <w:hideMark/>
          </w:tcPr>
          <w:p w14:paraId="208704A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4A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4A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4A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4A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4A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4A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4AE" w14:textId="77777777" w:rsidR="00802D3E" w:rsidRDefault="00802D3E">
            <w:pPr>
              <w:pStyle w:val="MeasureTableTextRightAligned"/>
            </w:pPr>
            <w:r>
              <w:t>2019-20</w:t>
            </w:r>
          </w:p>
        </w:tc>
      </w:tr>
      <w:tr w:rsidR="00802D3E" w14:paraId="208704B8" w14:textId="77777777" w:rsidTr="00802D3E">
        <w:trPr>
          <w:cantSplit/>
          <w:jc w:val="center"/>
        </w:trPr>
        <w:tc>
          <w:tcPr>
            <w:tcW w:w="967" w:type="dxa"/>
            <w:tcBorders>
              <w:top w:val="single" w:sz="2" w:space="0" w:color="auto"/>
              <w:left w:val="nil"/>
              <w:bottom w:val="single" w:sz="2" w:space="0" w:color="auto"/>
              <w:right w:val="nil"/>
            </w:tcBorders>
            <w:hideMark/>
          </w:tcPr>
          <w:p w14:paraId="208704B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4B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B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B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4B4"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4B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4B6"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4B7" w14:textId="77777777" w:rsidR="00802D3E" w:rsidRDefault="00802D3E">
            <w:pPr>
              <w:pStyle w:val="MeasureTableTextRightAligned"/>
            </w:pPr>
            <w:r>
              <w:t>*</w:t>
            </w:r>
          </w:p>
        </w:tc>
      </w:tr>
      <w:tr w:rsidR="00802D3E" w14:paraId="208704BD" w14:textId="77777777" w:rsidTr="00802D3E">
        <w:trPr>
          <w:cantSplit/>
          <w:jc w:val="center"/>
        </w:trPr>
        <w:tc>
          <w:tcPr>
            <w:tcW w:w="1934" w:type="dxa"/>
            <w:gridSpan w:val="2"/>
            <w:tcBorders>
              <w:top w:val="single" w:sz="2" w:space="0" w:color="auto"/>
              <w:left w:val="nil"/>
              <w:bottom w:val="nil"/>
              <w:right w:val="nil"/>
            </w:tcBorders>
            <w:hideMark/>
          </w:tcPr>
          <w:p w14:paraId="208704B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4BA" w14:textId="77777777" w:rsidR="00802D3E" w:rsidRDefault="00802D3E">
            <w:pPr>
              <w:pStyle w:val="MeasureTableTextLeftAligned"/>
            </w:pPr>
            <w:r>
              <w:t>Reduction in taxable value</w:t>
            </w:r>
          </w:p>
        </w:tc>
        <w:tc>
          <w:tcPr>
            <w:tcW w:w="1500" w:type="dxa"/>
            <w:gridSpan w:val="2"/>
            <w:tcBorders>
              <w:top w:val="single" w:sz="2" w:space="0" w:color="auto"/>
              <w:left w:val="nil"/>
              <w:bottom w:val="nil"/>
              <w:right w:val="nil"/>
            </w:tcBorders>
            <w:hideMark/>
          </w:tcPr>
          <w:p w14:paraId="208704B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4BC" w14:textId="77777777" w:rsidR="00802D3E" w:rsidRDefault="00802D3E">
            <w:pPr>
              <w:pStyle w:val="MeasureTableTextLeftAligned"/>
            </w:pPr>
            <w:r>
              <w:t>E4</w:t>
            </w:r>
          </w:p>
        </w:tc>
      </w:tr>
      <w:tr w:rsidR="00802D3E" w14:paraId="208704C2" w14:textId="77777777" w:rsidTr="00802D3E">
        <w:trPr>
          <w:cantSplit/>
          <w:jc w:val="center"/>
        </w:trPr>
        <w:tc>
          <w:tcPr>
            <w:tcW w:w="1934" w:type="dxa"/>
            <w:gridSpan w:val="2"/>
            <w:tcBorders>
              <w:top w:val="nil"/>
              <w:left w:val="nil"/>
              <w:bottom w:val="nil"/>
              <w:right w:val="nil"/>
            </w:tcBorders>
            <w:hideMark/>
          </w:tcPr>
          <w:p w14:paraId="208704B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4BF"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4C0"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4C1" w14:textId="77777777" w:rsidR="00802D3E" w:rsidRDefault="00802D3E">
            <w:pPr>
              <w:pStyle w:val="MeasureTableTextLeftAligned"/>
            </w:pPr>
            <w:r>
              <w:t>1+</w:t>
            </w:r>
          </w:p>
        </w:tc>
      </w:tr>
      <w:tr w:rsidR="00802D3E" w14:paraId="208704C7" w14:textId="77777777" w:rsidTr="00802D3E">
        <w:trPr>
          <w:cantSplit/>
          <w:jc w:val="center"/>
        </w:trPr>
        <w:tc>
          <w:tcPr>
            <w:tcW w:w="1934" w:type="dxa"/>
            <w:gridSpan w:val="2"/>
            <w:tcBorders>
              <w:top w:val="nil"/>
              <w:left w:val="nil"/>
              <w:bottom w:val="nil"/>
              <w:right w:val="nil"/>
            </w:tcBorders>
            <w:hideMark/>
          </w:tcPr>
          <w:p w14:paraId="208704C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4C4" w14:textId="77777777" w:rsidR="00802D3E" w:rsidRDefault="00802D3E">
            <w:pPr>
              <w:pStyle w:val="MeasureTableTextLeftAligned"/>
            </w:pPr>
            <w:r>
              <w:t>15 June 2000</w:t>
            </w:r>
          </w:p>
        </w:tc>
        <w:tc>
          <w:tcPr>
            <w:tcW w:w="1500" w:type="dxa"/>
            <w:gridSpan w:val="2"/>
            <w:tcBorders>
              <w:top w:val="nil"/>
              <w:left w:val="nil"/>
              <w:bottom w:val="nil"/>
              <w:right w:val="nil"/>
            </w:tcBorders>
            <w:hideMark/>
          </w:tcPr>
          <w:p w14:paraId="208704C5"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4C6" w14:textId="77777777" w:rsidR="00802D3E" w:rsidRDefault="00802D3E">
            <w:pPr>
              <w:pStyle w:val="MeasureTableTextLeftAligned"/>
            </w:pPr>
          </w:p>
        </w:tc>
      </w:tr>
      <w:tr w:rsidR="00802D3E" w14:paraId="208704CA" w14:textId="77777777" w:rsidTr="00802D3E">
        <w:trPr>
          <w:cantSplit/>
          <w:jc w:val="center"/>
        </w:trPr>
        <w:tc>
          <w:tcPr>
            <w:tcW w:w="1934" w:type="dxa"/>
            <w:gridSpan w:val="2"/>
            <w:tcBorders>
              <w:top w:val="nil"/>
              <w:left w:val="nil"/>
              <w:bottom w:val="single" w:sz="2" w:space="0" w:color="auto"/>
              <w:right w:val="nil"/>
            </w:tcBorders>
            <w:hideMark/>
          </w:tcPr>
          <w:p w14:paraId="208704C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4C9"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 104-47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4CB" w14:textId="77777777" w:rsidR="00802D3E" w:rsidRDefault="00802D3E" w:rsidP="00A109BC">
      <w:pPr>
        <w:pStyle w:val="SingleParagraph"/>
      </w:pPr>
    </w:p>
    <w:p w14:paraId="208704CC" w14:textId="77777777" w:rsidR="00802D3E" w:rsidRDefault="00802D3E" w:rsidP="00802D3E">
      <w:r>
        <w:t>For CGT purposes, perpetual conservation covenants</w:t>
      </w:r>
      <w:r>
        <w:fldChar w:fldCharType="begin"/>
      </w:r>
      <w:r>
        <w:instrText xml:space="preserve"> XE "Conservation covenants" </w:instrText>
      </w:r>
      <w:r>
        <w:fldChar w:fldCharType="end"/>
      </w:r>
      <w:r>
        <w:t xml:space="preserve"> are treated as a part disposal of land, rather than the creation of a right. This treatment results in a reduced capital gain because a portion of the cost base of the land is taken into account. Landowners can also benefit from any CGT concession or exemption that may apply to the capital gain. </w:t>
      </w:r>
    </w:p>
    <w:p w14:paraId="208704CD" w14:textId="77777777" w:rsidR="00802D3E" w:rsidRDefault="00802D3E" w:rsidP="00802D3E">
      <w:pPr>
        <w:pStyle w:val="TESHeading5"/>
        <w:ind w:left="0" w:firstLine="0"/>
      </w:pPr>
      <w:r>
        <w:t>E5</w:t>
      </w:r>
      <w:r>
        <w:tab/>
        <w:t>Main residence exemption</w:t>
      </w:r>
    </w:p>
    <w:p w14:paraId="208704CE" w14:textId="77777777" w:rsidR="00802D3E" w:rsidRDefault="00802D3E" w:rsidP="00802D3E">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4D7" w14:textId="77777777" w:rsidTr="00802D3E">
        <w:trPr>
          <w:cantSplit/>
          <w:jc w:val="center"/>
        </w:trPr>
        <w:tc>
          <w:tcPr>
            <w:tcW w:w="967" w:type="dxa"/>
            <w:tcBorders>
              <w:top w:val="single" w:sz="2" w:space="0" w:color="auto"/>
              <w:left w:val="nil"/>
              <w:bottom w:val="single" w:sz="2" w:space="0" w:color="auto"/>
              <w:right w:val="nil"/>
            </w:tcBorders>
            <w:hideMark/>
          </w:tcPr>
          <w:p w14:paraId="208704C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4D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4D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4D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4D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4D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4D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4D6" w14:textId="77777777" w:rsidR="00802D3E" w:rsidRDefault="00802D3E">
            <w:pPr>
              <w:pStyle w:val="MeasureTableTextRightAligned"/>
            </w:pPr>
            <w:r>
              <w:t>2019-20</w:t>
            </w:r>
          </w:p>
        </w:tc>
      </w:tr>
      <w:tr w:rsidR="00802D3E" w14:paraId="208704E0" w14:textId="77777777" w:rsidTr="00802D3E">
        <w:trPr>
          <w:cantSplit/>
          <w:jc w:val="center"/>
        </w:trPr>
        <w:tc>
          <w:tcPr>
            <w:tcW w:w="967" w:type="dxa"/>
            <w:tcBorders>
              <w:top w:val="single" w:sz="2" w:space="0" w:color="auto"/>
              <w:left w:val="nil"/>
              <w:bottom w:val="single" w:sz="2" w:space="0" w:color="auto"/>
              <w:right w:val="nil"/>
            </w:tcBorders>
            <w:hideMark/>
          </w:tcPr>
          <w:p w14:paraId="208704D8" w14:textId="77777777" w:rsidR="00802D3E" w:rsidRDefault="00802D3E">
            <w:pPr>
              <w:pStyle w:val="MeasureTableTextRightAligned"/>
            </w:pPr>
            <w:r>
              <w:t>17,000</w:t>
            </w:r>
          </w:p>
        </w:tc>
        <w:tc>
          <w:tcPr>
            <w:tcW w:w="967" w:type="dxa"/>
            <w:tcBorders>
              <w:top w:val="single" w:sz="2" w:space="0" w:color="auto"/>
              <w:left w:val="nil"/>
              <w:bottom w:val="single" w:sz="2" w:space="0" w:color="auto"/>
              <w:right w:val="nil"/>
            </w:tcBorders>
            <w:hideMark/>
          </w:tcPr>
          <w:p w14:paraId="208704D9" w14:textId="77777777" w:rsidR="00802D3E" w:rsidRDefault="00802D3E">
            <w:pPr>
              <w:pStyle w:val="MeasureTableTextRightAligned"/>
            </w:pPr>
            <w:r>
              <w:t>21,000</w:t>
            </w:r>
          </w:p>
        </w:tc>
        <w:tc>
          <w:tcPr>
            <w:tcW w:w="967" w:type="dxa"/>
            <w:tcBorders>
              <w:top w:val="single" w:sz="2" w:space="0" w:color="auto"/>
              <w:left w:val="nil"/>
              <w:bottom w:val="single" w:sz="2" w:space="0" w:color="auto"/>
              <w:right w:val="nil"/>
            </w:tcBorders>
            <w:vAlign w:val="bottom"/>
            <w:hideMark/>
          </w:tcPr>
          <w:p w14:paraId="208704DA" w14:textId="77777777" w:rsidR="00802D3E" w:rsidRDefault="00802D3E">
            <w:pPr>
              <w:pStyle w:val="MeasureTableTextRightAligned"/>
            </w:pPr>
            <w:r>
              <w:t>24,000</w:t>
            </w:r>
          </w:p>
        </w:tc>
        <w:tc>
          <w:tcPr>
            <w:tcW w:w="967" w:type="dxa"/>
            <w:tcBorders>
              <w:top w:val="single" w:sz="2" w:space="0" w:color="auto"/>
              <w:left w:val="nil"/>
              <w:bottom w:val="single" w:sz="2" w:space="0" w:color="auto"/>
              <w:right w:val="nil"/>
            </w:tcBorders>
            <w:vAlign w:val="bottom"/>
            <w:hideMark/>
          </w:tcPr>
          <w:p w14:paraId="208704DB" w14:textId="77777777" w:rsidR="00802D3E" w:rsidRDefault="00802D3E">
            <w:pPr>
              <w:pStyle w:val="MeasureTableTextRightAligned"/>
            </w:pPr>
            <w:r>
              <w:t>27,000</w:t>
            </w:r>
          </w:p>
        </w:tc>
        <w:tc>
          <w:tcPr>
            <w:tcW w:w="967" w:type="dxa"/>
            <w:tcBorders>
              <w:top w:val="single" w:sz="2" w:space="0" w:color="auto"/>
              <w:left w:val="nil"/>
              <w:bottom w:val="single" w:sz="2" w:space="0" w:color="auto"/>
              <w:right w:val="nil"/>
            </w:tcBorders>
            <w:vAlign w:val="bottom"/>
            <w:hideMark/>
          </w:tcPr>
          <w:p w14:paraId="208704DC" w14:textId="77777777" w:rsidR="00802D3E" w:rsidRDefault="00802D3E">
            <w:pPr>
              <w:pStyle w:val="MeasureTableTextRightAligned"/>
            </w:pPr>
            <w:r>
              <w:t>27,500</w:t>
            </w:r>
          </w:p>
        </w:tc>
        <w:tc>
          <w:tcPr>
            <w:tcW w:w="967" w:type="dxa"/>
            <w:gridSpan w:val="2"/>
            <w:tcBorders>
              <w:top w:val="single" w:sz="2" w:space="0" w:color="auto"/>
              <w:left w:val="nil"/>
              <w:bottom w:val="single" w:sz="2" w:space="0" w:color="auto"/>
              <w:right w:val="nil"/>
            </w:tcBorders>
            <w:vAlign w:val="bottom"/>
            <w:hideMark/>
          </w:tcPr>
          <w:p w14:paraId="208704DD" w14:textId="77777777" w:rsidR="00802D3E" w:rsidRDefault="00802D3E">
            <w:pPr>
              <w:pStyle w:val="MeasureTableTextRightAligned"/>
            </w:pPr>
            <w:r>
              <w:t>28,500</w:t>
            </w:r>
          </w:p>
        </w:tc>
        <w:tc>
          <w:tcPr>
            <w:tcW w:w="967" w:type="dxa"/>
            <w:gridSpan w:val="2"/>
            <w:tcBorders>
              <w:top w:val="single" w:sz="2" w:space="0" w:color="auto"/>
              <w:left w:val="nil"/>
              <w:bottom w:val="single" w:sz="2" w:space="0" w:color="auto"/>
              <w:right w:val="nil"/>
            </w:tcBorders>
            <w:vAlign w:val="bottom"/>
            <w:hideMark/>
          </w:tcPr>
          <w:p w14:paraId="208704DE" w14:textId="77777777" w:rsidR="00802D3E" w:rsidRDefault="00802D3E">
            <w:pPr>
              <w:pStyle w:val="MeasureTableTextRightAligned"/>
            </w:pPr>
            <w:r>
              <w:t>29,000</w:t>
            </w:r>
          </w:p>
        </w:tc>
        <w:tc>
          <w:tcPr>
            <w:tcW w:w="968" w:type="dxa"/>
            <w:tcBorders>
              <w:top w:val="single" w:sz="2" w:space="0" w:color="auto"/>
              <w:left w:val="nil"/>
              <w:bottom w:val="single" w:sz="2" w:space="0" w:color="auto"/>
              <w:right w:val="nil"/>
            </w:tcBorders>
            <w:vAlign w:val="bottom"/>
            <w:hideMark/>
          </w:tcPr>
          <w:p w14:paraId="208704DF" w14:textId="77777777" w:rsidR="00802D3E" w:rsidRDefault="00802D3E">
            <w:pPr>
              <w:pStyle w:val="MeasureTableTextRightAligned"/>
            </w:pPr>
            <w:r>
              <w:t>30,000</w:t>
            </w:r>
          </w:p>
        </w:tc>
      </w:tr>
      <w:tr w:rsidR="00802D3E" w14:paraId="208704E5" w14:textId="77777777" w:rsidTr="00802D3E">
        <w:trPr>
          <w:cantSplit/>
          <w:jc w:val="center"/>
        </w:trPr>
        <w:tc>
          <w:tcPr>
            <w:tcW w:w="1934" w:type="dxa"/>
            <w:gridSpan w:val="2"/>
            <w:tcBorders>
              <w:top w:val="single" w:sz="2" w:space="0" w:color="auto"/>
              <w:left w:val="nil"/>
              <w:bottom w:val="nil"/>
              <w:right w:val="nil"/>
            </w:tcBorders>
            <w:hideMark/>
          </w:tcPr>
          <w:p w14:paraId="208704E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4E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4E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4E4" w14:textId="77777777" w:rsidR="00802D3E" w:rsidRDefault="00802D3E">
            <w:pPr>
              <w:pStyle w:val="MeasureTableTextLeftAligned"/>
            </w:pPr>
            <w:r>
              <w:t>E5</w:t>
            </w:r>
          </w:p>
        </w:tc>
      </w:tr>
      <w:tr w:rsidR="00802D3E" w14:paraId="208704EA" w14:textId="77777777" w:rsidTr="00802D3E">
        <w:trPr>
          <w:cantSplit/>
          <w:jc w:val="center"/>
        </w:trPr>
        <w:tc>
          <w:tcPr>
            <w:tcW w:w="1934" w:type="dxa"/>
            <w:gridSpan w:val="2"/>
            <w:tcBorders>
              <w:top w:val="nil"/>
              <w:left w:val="nil"/>
              <w:bottom w:val="nil"/>
              <w:right w:val="nil"/>
            </w:tcBorders>
            <w:hideMark/>
          </w:tcPr>
          <w:p w14:paraId="208704E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4E7" w14:textId="77777777" w:rsidR="00802D3E" w:rsidRDefault="00802D3E">
            <w:pPr>
              <w:pStyle w:val="MeasureTableTextLeftAligned"/>
            </w:pPr>
            <w:r>
              <w:t>Low</w:t>
            </w:r>
          </w:p>
        </w:tc>
        <w:tc>
          <w:tcPr>
            <w:tcW w:w="1500" w:type="dxa"/>
            <w:gridSpan w:val="2"/>
            <w:tcBorders>
              <w:top w:val="nil"/>
              <w:left w:val="nil"/>
              <w:bottom w:val="nil"/>
              <w:right w:val="nil"/>
            </w:tcBorders>
          </w:tcPr>
          <w:p w14:paraId="208704E8" w14:textId="77777777" w:rsidR="00802D3E" w:rsidRDefault="00802D3E">
            <w:pPr>
              <w:pStyle w:val="MeasureTableTextItalic"/>
            </w:pPr>
          </w:p>
        </w:tc>
        <w:tc>
          <w:tcPr>
            <w:tcW w:w="1124" w:type="dxa"/>
            <w:gridSpan w:val="2"/>
            <w:tcBorders>
              <w:top w:val="nil"/>
              <w:left w:val="nil"/>
              <w:bottom w:val="nil"/>
              <w:right w:val="nil"/>
            </w:tcBorders>
          </w:tcPr>
          <w:p w14:paraId="208704E9" w14:textId="77777777" w:rsidR="00802D3E" w:rsidRDefault="00802D3E">
            <w:pPr>
              <w:pStyle w:val="MeasureTableTextLeftAligned"/>
            </w:pPr>
          </w:p>
        </w:tc>
      </w:tr>
      <w:tr w:rsidR="00802D3E" w14:paraId="208704EF" w14:textId="77777777" w:rsidTr="00802D3E">
        <w:trPr>
          <w:cantSplit/>
          <w:jc w:val="center"/>
        </w:trPr>
        <w:tc>
          <w:tcPr>
            <w:tcW w:w="1934" w:type="dxa"/>
            <w:gridSpan w:val="2"/>
            <w:tcBorders>
              <w:top w:val="nil"/>
              <w:left w:val="nil"/>
              <w:bottom w:val="nil"/>
              <w:right w:val="nil"/>
            </w:tcBorders>
            <w:hideMark/>
          </w:tcPr>
          <w:p w14:paraId="208704E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4EC" w14:textId="77777777" w:rsidR="00802D3E" w:rsidRDefault="00802D3E">
            <w:pPr>
              <w:pStyle w:val="MeasureTableTextLeftAligned"/>
            </w:pPr>
            <w:r>
              <w:t>1985</w:t>
            </w:r>
          </w:p>
        </w:tc>
        <w:tc>
          <w:tcPr>
            <w:tcW w:w="1500" w:type="dxa"/>
            <w:gridSpan w:val="2"/>
            <w:tcBorders>
              <w:top w:val="nil"/>
              <w:left w:val="nil"/>
              <w:bottom w:val="nil"/>
              <w:right w:val="nil"/>
            </w:tcBorders>
            <w:hideMark/>
          </w:tcPr>
          <w:p w14:paraId="208704ED"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4EE" w14:textId="77777777" w:rsidR="00802D3E" w:rsidRDefault="00802D3E">
            <w:pPr>
              <w:pStyle w:val="MeasureTableTextLeftAligned"/>
            </w:pPr>
          </w:p>
        </w:tc>
      </w:tr>
      <w:tr w:rsidR="00802D3E" w14:paraId="208704F2" w14:textId="77777777" w:rsidTr="00802D3E">
        <w:trPr>
          <w:cantSplit/>
          <w:jc w:val="center"/>
        </w:trPr>
        <w:tc>
          <w:tcPr>
            <w:tcW w:w="1934" w:type="dxa"/>
            <w:gridSpan w:val="2"/>
            <w:tcBorders>
              <w:top w:val="nil"/>
              <w:left w:val="nil"/>
              <w:bottom w:val="single" w:sz="2" w:space="0" w:color="auto"/>
              <w:right w:val="nil"/>
            </w:tcBorders>
            <w:hideMark/>
          </w:tcPr>
          <w:p w14:paraId="208704F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4F1"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Subdivision 118-B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4F3" w14:textId="77777777" w:rsidR="00802D3E" w:rsidRDefault="00802D3E" w:rsidP="00A109BC">
      <w:pPr>
        <w:pStyle w:val="SingleParagraph"/>
      </w:pPr>
    </w:p>
    <w:p w14:paraId="208704F4" w14:textId="17C87AC4" w:rsidR="00802D3E" w:rsidRDefault="00802D3E" w:rsidP="00802D3E">
      <w:r>
        <w:t>Capital gains or losses on the disposal of an individual’s main residence</w:t>
      </w:r>
      <w:r>
        <w:fldChar w:fldCharType="begin"/>
      </w:r>
      <w:r>
        <w:instrText xml:space="preserve"> XE "Main residence" </w:instrText>
      </w:r>
      <w:r>
        <w:fldChar w:fldCharType="end"/>
      </w:r>
      <w:r>
        <w:t xml:space="preserve"> and up to two</w:t>
      </w:r>
      <w:r w:rsidR="000B1D9D">
        <w:t> </w:t>
      </w:r>
      <w:r>
        <w:t>hectares of adjacent land are exempt from CGT, to the extent the dwelling is used as a home.</w:t>
      </w:r>
    </w:p>
    <w:p w14:paraId="208704F5" w14:textId="77777777" w:rsidR="00802D3E" w:rsidRDefault="00802D3E" w:rsidP="00802D3E">
      <w:r>
        <w:t xml:space="preserve">See tax expenditure E6 for the 50 per cent discount component of the main residence exemption. </w:t>
      </w:r>
    </w:p>
    <w:p w14:paraId="208704F6" w14:textId="77777777" w:rsidR="00802D3E" w:rsidRDefault="00802D3E" w:rsidP="00802D3E">
      <w:pPr>
        <w:pStyle w:val="TESHeading5"/>
        <w:ind w:left="0" w:firstLine="0"/>
      </w:pPr>
      <w:r>
        <w:t>E6</w:t>
      </w:r>
      <w:r>
        <w:tab/>
        <w:t xml:space="preserve">Main residence exemption </w:t>
      </w:r>
      <w:r w:rsidR="000B181C">
        <w:t>–</w:t>
      </w:r>
      <w:r>
        <w:t xml:space="preserve"> discount</w:t>
      </w:r>
      <w:r w:rsidR="000B181C">
        <w:t xml:space="preserve"> </w:t>
      </w:r>
      <w:r>
        <w:t>component</w:t>
      </w:r>
    </w:p>
    <w:p w14:paraId="208704F7" w14:textId="77777777" w:rsidR="00802D3E" w:rsidRDefault="00802D3E" w:rsidP="00802D3E">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500" w14:textId="77777777" w:rsidTr="00802D3E">
        <w:trPr>
          <w:cantSplit/>
          <w:jc w:val="center"/>
        </w:trPr>
        <w:tc>
          <w:tcPr>
            <w:tcW w:w="967" w:type="dxa"/>
            <w:tcBorders>
              <w:top w:val="single" w:sz="2" w:space="0" w:color="auto"/>
              <w:left w:val="nil"/>
              <w:bottom w:val="single" w:sz="2" w:space="0" w:color="auto"/>
              <w:right w:val="nil"/>
            </w:tcBorders>
            <w:hideMark/>
          </w:tcPr>
          <w:p w14:paraId="208704F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4F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4F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4F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4F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4F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4F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4FF" w14:textId="77777777" w:rsidR="00802D3E" w:rsidRDefault="00802D3E">
            <w:pPr>
              <w:pStyle w:val="MeasureTableTextRightAligned"/>
            </w:pPr>
            <w:r>
              <w:t>2019-20</w:t>
            </w:r>
          </w:p>
        </w:tc>
      </w:tr>
      <w:tr w:rsidR="00802D3E" w14:paraId="20870509" w14:textId="77777777" w:rsidTr="00802D3E">
        <w:trPr>
          <w:cantSplit/>
          <w:jc w:val="center"/>
        </w:trPr>
        <w:tc>
          <w:tcPr>
            <w:tcW w:w="967" w:type="dxa"/>
            <w:tcBorders>
              <w:top w:val="single" w:sz="2" w:space="0" w:color="auto"/>
              <w:left w:val="nil"/>
              <w:bottom w:val="single" w:sz="2" w:space="0" w:color="auto"/>
              <w:right w:val="nil"/>
            </w:tcBorders>
            <w:hideMark/>
          </w:tcPr>
          <w:p w14:paraId="20870501" w14:textId="77777777" w:rsidR="00802D3E" w:rsidRDefault="00802D3E">
            <w:pPr>
              <w:pStyle w:val="MeasureTableTextRightAligned"/>
            </w:pPr>
            <w:r>
              <w:t>21,500</w:t>
            </w:r>
          </w:p>
        </w:tc>
        <w:tc>
          <w:tcPr>
            <w:tcW w:w="967" w:type="dxa"/>
            <w:tcBorders>
              <w:top w:val="single" w:sz="2" w:space="0" w:color="auto"/>
              <w:left w:val="nil"/>
              <w:bottom w:val="single" w:sz="2" w:space="0" w:color="auto"/>
              <w:right w:val="nil"/>
            </w:tcBorders>
            <w:hideMark/>
          </w:tcPr>
          <w:p w14:paraId="20870502" w14:textId="77777777" w:rsidR="00802D3E" w:rsidRDefault="00802D3E">
            <w:pPr>
              <w:pStyle w:val="MeasureTableTextRightAligned"/>
            </w:pPr>
            <w:r>
              <w:t>25,500</w:t>
            </w:r>
          </w:p>
        </w:tc>
        <w:tc>
          <w:tcPr>
            <w:tcW w:w="967" w:type="dxa"/>
            <w:tcBorders>
              <w:top w:val="single" w:sz="2" w:space="0" w:color="auto"/>
              <w:left w:val="nil"/>
              <w:bottom w:val="single" w:sz="2" w:space="0" w:color="auto"/>
              <w:right w:val="nil"/>
            </w:tcBorders>
            <w:vAlign w:val="bottom"/>
            <w:hideMark/>
          </w:tcPr>
          <w:p w14:paraId="20870503" w14:textId="77777777" w:rsidR="00802D3E" w:rsidRDefault="00802D3E">
            <w:pPr>
              <w:pStyle w:val="MeasureTableTextRightAligned"/>
            </w:pPr>
            <w:r>
              <w:t>30,000</w:t>
            </w:r>
          </w:p>
        </w:tc>
        <w:tc>
          <w:tcPr>
            <w:tcW w:w="967" w:type="dxa"/>
            <w:tcBorders>
              <w:top w:val="single" w:sz="2" w:space="0" w:color="auto"/>
              <w:left w:val="nil"/>
              <w:bottom w:val="single" w:sz="2" w:space="0" w:color="auto"/>
              <w:right w:val="nil"/>
            </w:tcBorders>
            <w:vAlign w:val="bottom"/>
            <w:hideMark/>
          </w:tcPr>
          <w:p w14:paraId="20870504" w14:textId="77777777" w:rsidR="00802D3E" w:rsidRDefault="00802D3E">
            <w:pPr>
              <w:pStyle w:val="MeasureTableTextRightAligned"/>
            </w:pPr>
            <w:r>
              <w:t>34,000</w:t>
            </w:r>
          </w:p>
        </w:tc>
        <w:tc>
          <w:tcPr>
            <w:tcW w:w="967" w:type="dxa"/>
            <w:tcBorders>
              <w:top w:val="single" w:sz="2" w:space="0" w:color="auto"/>
              <w:left w:val="nil"/>
              <w:bottom w:val="single" w:sz="2" w:space="0" w:color="auto"/>
              <w:right w:val="nil"/>
            </w:tcBorders>
            <w:vAlign w:val="bottom"/>
            <w:hideMark/>
          </w:tcPr>
          <w:p w14:paraId="20870505" w14:textId="77777777" w:rsidR="00802D3E" w:rsidRDefault="00802D3E">
            <w:pPr>
              <w:pStyle w:val="MeasureTableTextRightAligned"/>
            </w:pPr>
            <w:r>
              <w:t>34,000</w:t>
            </w:r>
          </w:p>
        </w:tc>
        <w:tc>
          <w:tcPr>
            <w:tcW w:w="967" w:type="dxa"/>
            <w:gridSpan w:val="2"/>
            <w:tcBorders>
              <w:top w:val="single" w:sz="2" w:space="0" w:color="auto"/>
              <w:left w:val="nil"/>
              <w:bottom w:val="single" w:sz="2" w:space="0" w:color="auto"/>
              <w:right w:val="nil"/>
            </w:tcBorders>
            <w:vAlign w:val="bottom"/>
            <w:hideMark/>
          </w:tcPr>
          <w:p w14:paraId="20870506" w14:textId="77777777" w:rsidR="00802D3E" w:rsidRDefault="00802D3E">
            <w:pPr>
              <w:pStyle w:val="MeasureTableTextRightAligned"/>
            </w:pPr>
            <w:r>
              <w:t>34,500</w:t>
            </w:r>
          </w:p>
        </w:tc>
        <w:tc>
          <w:tcPr>
            <w:tcW w:w="967" w:type="dxa"/>
            <w:gridSpan w:val="2"/>
            <w:tcBorders>
              <w:top w:val="single" w:sz="2" w:space="0" w:color="auto"/>
              <w:left w:val="nil"/>
              <w:bottom w:val="single" w:sz="2" w:space="0" w:color="auto"/>
              <w:right w:val="nil"/>
            </w:tcBorders>
            <w:vAlign w:val="bottom"/>
            <w:hideMark/>
          </w:tcPr>
          <w:p w14:paraId="20870507" w14:textId="77777777" w:rsidR="00802D3E" w:rsidRDefault="00802D3E">
            <w:pPr>
              <w:pStyle w:val="MeasureTableTextRightAligned"/>
            </w:pPr>
            <w:r>
              <w:t>34,500</w:t>
            </w:r>
          </w:p>
        </w:tc>
        <w:tc>
          <w:tcPr>
            <w:tcW w:w="968" w:type="dxa"/>
            <w:tcBorders>
              <w:top w:val="single" w:sz="2" w:space="0" w:color="auto"/>
              <w:left w:val="nil"/>
              <w:bottom w:val="single" w:sz="2" w:space="0" w:color="auto"/>
              <w:right w:val="nil"/>
            </w:tcBorders>
            <w:vAlign w:val="bottom"/>
            <w:hideMark/>
          </w:tcPr>
          <w:p w14:paraId="20870508" w14:textId="77777777" w:rsidR="00802D3E" w:rsidRDefault="00802D3E">
            <w:pPr>
              <w:pStyle w:val="MeasureTableTextRightAligned"/>
            </w:pPr>
            <w:r>
              <w:t>36,000</w:t>
            </w:r>
          </w:p>
        </w:tc>
      </w:tr>
      <w:tr w:rsidR="00802D3E" w14:paraId="2087050E" w14:textId="77777777" w:rsidTr="00802D3E">
        <w:trPr>
          <w:cantSplit/>
          <w:jc w:val="center"/>
        </w:trPr>
        <w:tc>
          <w:tcPr>
            <w:tcW w:w="1934" w:type="dxa"/>
            <w:gridSpan w:val="2"/>
            <w:tcBorders>
              <w:top w:val="single" w:sz="2" w:space="0" w:color="auto"/>
              <w:left w:val="nil"/>
              <w:bottom w:val="nil"/>
              <w:right w:val="nil"/>
            </w:tcBorders>
            <w:hideMark/>
          </w:tcPr>
          <w:p w14:paraId="2087050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50B" w14:textId="77777777" w:rsidR="00802D3E" w:rsidRDefault="00802D3E">
            <w:pPr>
              <w:pStyle w:val="MeasureTableTextLeftAligned"/>
            </w:pPr>
            <w:r>
              <w:t>Reduction in taxable value</w:t>
            </w:r>
          </w:p>
        </w:tc>
        <w:tc>
          <w:tcPr>
            <w:tcW w:w="1500" w:type="dxa"/>
            <w:gridSpan w:val="2"/>
            <w:tcBorders>
              <w:top w:val="single" w:sz="2" w:space="0" w:color="auto"/>
              <w:left w:val="nil"/>
              <w:bottom w:val="nil"/>
              <w:right w:val="nil"/>
            </w:tcBorders>
            <w:hideMark/>
          </w:tcPr>
          <w:p w14:paraId="2087050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50D" w14:textId="77777777" w:rsidR="00802D3E" w:rsidRDefault="00802D3E">
            <w:pPr>
              <w:pStyle w:val="MeasureTableTextLeftAligned"/>
            </w:pPr>
            <w:r>
              <w:t>E6</w:t>
            </w:r>
          </w:p>
        </w:tc>
      </w:tr>
      <w:tr w:rsidR="00802D3E" w14:paraId="20870513" w14:textId="77777777" w:rsidTr="00802D3E">
        <w:trPr>
          <w:cantSplit/>
          <w:jc w:val="center"/>
        </w:trPr>
        <w:tc>
          <w:tcPr>
            <w:tcW w:w="1934" w:type="dxa"/>
            <w:gridSpan w:val="2"/>
            <w:tcBorders>
              <w:top w:val="nil"/>
              <w:left w:val="nil"/>
              <w:bottom w:val="nil"/>
              <w:right w:val="nil"/>
            </w:tcBorders>
            <w:hideMark/>
          </w:tcPr>
          <w:p w14:paraId="2087050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510" w14:textId="77777777" w:rsidR="00802D3E" w:rsidRDefault="00802D3E">
            <w:pPr>
              <w:pStyle w:val="MeasureTableTextLeftAligned"/>
            </w:pPr>
            <w:r>
              <w:t>Low</w:t>
            </w:r>
          </w:p>
        </w:tc>
        <w:tc>
          <w:tcPr>
            <w:tcW w:w="1500" w:type="dxa"/>
            <w:gridSpan w:val="2"/>
            <w:tcBorders>
              <w:top w:val="nil"/>
              <w:left w:val="nil"/>
              <w:bottom w:val="nil"/>
              <w:right w:val="nil"/>
            </w:tcBorders>
          </w:tcPr>
          <w:p w14:paraId="20870511" w14:textId="77777777" w:rsidR="00802D3E" w:rsidRDefault="00802D3E">
            <w:pPr>
              <w:pStyle w:val="MeasureTableTextItalic"/>
            </w:pPr>
          </w:p>
        </w:tc>
        <w:tc>
          <w:tcPr>
            <w:tcW w:w="1124" w:type="dxa"/>
            <w:gridSpan w:val="2"/>
            <w:tcBorders>
              <w:top w:val="nil"/>
              <w:left w:val="nil"/>
              <w:bottom w:val="nil"/>
              <w:right w:val="nil"/>
            </w:tcBorders>
          </w:tcPr>
          <w:p w14:paraId="20870512" w14:textId="77777777" w:rsidR="00802D3E" w:rsidRDefault="00802D3E">
            <w:pPr>
              <w:pStyle w:val="MeasureTableTextLeftAligned"/>
            </w:pPr>
          </w:p>
        </w:tc>
      </w:tr>
      <w:tr w:rsidR="00802D3E" w14:paraId="20870518" w14:textId="77777777" w:rsidTr="00802D3E">
        <w:trPr>
          <w:cantSplit/>
          <w:jc w:val="center"/>
        </w:trPr>
        <w:tc>
          <w:tcPr>
            <w:tcW w:w="1934" w:type="dxa"/>
            <w:gridSpan w:val="2"/>
            <w:tcBorders>
              <w:top w:val="nil"/>
              <w:left w:val="nil"/>
              <w:bottom w:val="nil"/>
              <w:right w:val="nil"/>
            </w:tcBorders>
            <w:hideMark/>
          </w:tcPr>
          <w:p w14:paraId="2087051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515" w14:textId="77777777" w:rsidR="00802D3E" w:rsidRDefault="00802D3E">
            <w:pPr>
              <w:pStyle w:val="MeasureTableTextLeftAligned"/>
            </w:pPr>
            <w:r>
              <w:t>1999</w:t>
            </w:r>
          </w:p>
        </w:tc>
        <w:tc>
          <w:tcPr>
            <w:tcW w:w="1500" w:type="dxa"/>
            <w:gridSpan w:val="2"/>
            <w:tcBorders>
              <w:top w:val="nil"/>
              <w:left w:val="nil"/>
              <w:bottom w:val="nil"/>
              <w:right w:val="nil"/>
            </w:tcBorders>
            <w:hideMark/>
          </w:tcPr>
          <w:p w14:paraId="20870516"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517" w14:textId="77777777" w:rsidR="00802D3E" w:rsidRDefault="00802D3E">
            <w:pPr>
              <w:pStyle w:val="MeasureTableTextLeftAligned"/>
            </w:pPr>
          </w:p>
        </w:tc>
      </w:tr>
      <w:tr w:rsidR="00802D3E" w14:paraId="2087051B" w14:textId="77777777" w:rsidTr="00802D3E">
        <w:trPr>
          <w:cantSplit/>
          <w:jc w:val="center"/>
        </w:trPr>
        <w:tc>
          <w:tcPr>
            <w:tcW w:w="1934" w:type="dxa"/>
            <w:gridSpan w:val="2"/>
            <w:tcBorders>
              <w:top w:val="nil"/>
              <w:left w:val="nil"/>
              <w:bottom w:val="single" w:sz="2" w:space="0" w:color="auto"/>
              <w:right w:val="nil"/>
            </w:tcBorders>
            <w:hideMark/>
          </w:tcPr>
          <w:p w14:paraId="2087051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51A" w14:textId="77777777" w:rsidR="00802D3E" w:rsidRPr="00106337" w:rsidRDefault="00802D3E" w:rsidP="00106337">
            <w:pPr>
              <w:widowControl w:val="0"/>
              <w:autoSpaceDE w:val="0"/>
              <w:autoSpaceDN w:val="0"/>
              <w:adjustRightInd w:val="0"/>
              <w:spacing w:after="0" w:line="240" w:lineRule="auto"/>
              <w:jc w:val="left"/>
              <w:rPr>
                <w:sz w:val="16"/>
                <w:szCs w:val="16"/>
              </w:rPr>
            </w:pPr>
            <w:r w:rsidRPr="00106337">
              <w:rPr>
                <w:rFonts w:ascii="Arial" w:hAnsi="Arial" w:cs="Arial"/>
                <w:sz w:val="16"/>
                <w:szCs w:val="16"/>
              </w:rPr>
              <w:t xml:space="preserve">Division 115 of the </w:t>
            </w:r>
            <w:r w:rsidRPr="00106337">
              <w:rPr>
                <w:rFonts w:ascii="Arial" w:hAnsi="Arial" w:cs="Arial"/>
                <w:i/>
                <w:iCs/>
                <w:color w:val="000000"/>
                <w:sz w:val="16"/>
                <w:szCs w:val="16"/>
              </w:rPr>
              <w:t>Income Tax Assessment Act 1997</w:t>
            </w:r>
          </w:p>
        </w:tc>
      </w:tr>
    </w:tbl>
    <w:p w14:paraId="2087051C" w14:textId="77777777" w:rsidR="00802D3E" w:rsidRDefault="00802D3E" w:rsidP="00A109BC">
      <w:pPr>
        <w:pStyle w:val="SingleParagraph"/>
      </w:pPr>
    </w:p>
    <w:p w14:paraId="2087051D" w14:textId="3A7B570E" w:rsidR="00802D3E" w:rsidRDefault="00802D3E" w:rsidP="00802D3E">
      <w:r>
        <w:t>Capital gains or losses on the disposal of an individual’s main residence</w:t>
      </w:r>
      <w:r>
        <w:fldChar w:fldCharType="begin"/>
      </w:r>
      <w:r>
        <w:instrText xml:space="preserve"> XE "Main residence" </w:instrText>
      </w:r>
      <w:r>
        <w:fldChar w:fldCharType="end"/>
      </w:r>
      <w:r>
        <w:t xml:space="preserve"> and up to two</w:t>
      </w:r>
      <w:r w:rsidR="000B1D9D">
        <w:t> </w:t>
      </w:r>
      <w:r>
        <w:t xml:space="preserve">hectares of adjacent land are exempt from CGT, to the extent the dwelling is used as a home. </w:t>
      </w:r>
    </w:p>
    <w:p w14:paraId="2087051E" w14:textId="77777777" w:rsidR="00802D3E" w:rsidRDefault="00802D3E" w:rsidP="00802D3E">
      <w:r>
        <w:t>Disposals of other assets by individuals or trusts receive a CGT exemption applying to 50 per cent of any nominal gain where the asset has been owned for at least 12 months.</w:t>
      </w:r>
      <w:r>
        <w:fldChar w:fldCharType="begin"/>
      </w:r>
      <w:r>
        <w:instrText xml:space="preserve"> XE "Capital gains tax:Discount" </w:instrText>
      </w:r>
      <w:r>
        <w:fldChar w:fldCharType="end"/>
      </w:r>
    </w:p>
    <w:p w14:paraId="2087051F" w14:textId="77777777" w:rsidR="00802D3E" w:rsidRDefault="00802D3E" w:rsidP="00802D3E">
      <w:r>
        <w:lastRenderedPageBreak/>
        <w:t xml:space="preserve">The CGT treatment of the main residence effectively provides a 100 per cent exemption. Conceptually, this can be split into a component reflecting the 50 per cent discount provided to disposals of non-main residence assets and a ‘top up’ component that brings the concession up to 100 per cent. </w:t>
      </w:r>
    </w:p>
    <w:p w14:paraId="20870520" w14:textId="2CC0DB3B" w:rsidR="00802D3E" w:rsidRDefault="00802D3E" w:rsidP="00802D3E">
      <w:r>
        <w:t>See tax expenditure E5 for the remainder of the value of the</w:t>
      </w:r>
      <w:r w:rsidR="000D700A">
        <w:t xml:space="preserve"> CGT main residence exemption. </w:t>
      </w:r>
      <w:r>
        <w:t>See tax expenditure E1</w:t>
      </w:r>
      <w:r w:rsidR="00BA650F">
        <w:t>3</w:t>
      </w:r>
      <w:r>
        <w:t xml:space="preserve"> for detail on the 50 per cent discount applying to other assets. </w:t>
      </w:r>
    </w:p>
    <w:p w14:paraId="20870521" w14:textId="77777777" w:rsidR="00802D3E" w:rsidRDefault="00802D3E" w:rsidP="00802D3E">
      <w:pPr>
        <w:pStyle w:val="TESHeading5"/>
        <w:ind w:left="0" w:firstLine="0"/>
      </w:pPr>
      <w:r>
        <w:t>E7</w:t>
      </w:r>
      <w:r>
        <w:tab/>
        <w:t>Main residence exemption extensions</w:t>
      </w:r>
    </w:p>
    <w:p w14:paraId="20870522" w14:textId="77777777" w:rsidR="00802D3E" w:rsidRDefault="00802D3E" w:rsidP="00802D3E">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52B" w14:textId="77777777" w:rsidTr="00802D3E">
        <w:trPr>
          <w:cantSplit/>
          <w:jc w:val="center"/>
        </w:trPr>
        <w:tc>
          <w:tcPr>
            <w:tcW w:w="967" w:type="dxa"/>
            <w:tcBorders>
              <w:top w:val="single" w:sz="2" w:space="0" w:color="auto"/>
              <w:left w:val="nil"/>
              <w:bottom w:val="single" w:sz="2" w:space="0" w:color="auto"/>
              <w:right w:val="nil"/>
            </w:tcBorders>
            <w:hideMark/>
          </w:tcPr>
          <w:p w14:paraId="2087052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52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52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52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52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52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52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52A" w14:textId="77777777" w:rsidR="00802D3E" w:rsidRDefault="00802D3E">
            <w:pPr>
              <w:pStyle w:val="MeasureTableTextRightAligned"/>
            </w:pPr>
            <w:r>
              <w:t>2019-20</w:t>
            </w:r>
          </w:p>
        </w:tc>
      </w:tr>
      <w:tr w:rsidR="00802D3E" w14:paraId="20870534" w14:textId="77777777" w:rsidTr="00802D3E">
        <w:trPr>
          <w:cantSplit/>
          <w:jc w:val="center"/>
        </w:trPr>
        <w:tc>
          <w:tcPr>
            <w:tcW w:w="967" w:type="dxa"/>
            <w:tcBorders>
              <w:top w:val="single" w:sz="2" w:space="0" w:color="auto"/>
              <w:left w:val="nil"/>
              <w:bottom w:val="single" w:sz="2" w:space="0" w:color="auto"/>
              <w:right w:val="nil"/>
            </w:tcBorders>
            <w:hideMark/>
          </w:tcPr>
          <w:p w14:paraId="2087052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52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2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2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3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3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32"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533" w14:textId="77777777" w:rsidR="00802D3E" w:rsidRDefault="00802D3E">
            <w:pPr>
              <w:pStyle w:val="MeasureTableTextRightAligned"/>
            </w:pPr>
            <w:r>
              <w:t>*</w:t>
            </w:r>
          </w:p>
        </w:tc>
      </w:tr>
      <w:tr w:rsidR="00802D3E" w14:paraId="20870539" w14:textId="77777777" w:rsidTr="00802D3E">
        <w:trPr>
          <w:cantSplit/>
          <w:jc w:val="center"/>
        </w:trPr>
        <w:tc>
          <w:tcPr>
            <w:tcW w:w="1934" w:type="dxa"/>
            <w:gridSpan w:val="2"/>
            <w:tcBorders>
              <w:top w:val="single" w:sz="2" w:space="0" w:color="auto"/>
              <w:left w:val="nil"/>
              <w:bottom w:val="nil"/>
              <w:right w:val="nil"/>
            </w:tcBorders>
            <w:hideMark/>
          </w:tcPr>
          <w:p w14:paraId="20870535"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536"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537"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538" w14:textId="77777777" w:rsidR="00802D3E" w:rsidRDefault="00802D3E">
            <w:pPr>
              <w:pStyle w:val="MeasureTableTextLeftAligned"/>
            </w:pPr>
            <w:r>
              <w:t>E7</w:t>
            </w:r>
          </w:p>
        </w:tc>
      </w:tr>
      <w:tr w:rsidR="00802D3E" w14:paraId="2087053E" w14:textId="77777777" w:rsidTr="00802D3E">
        <w:trPr>
          <w:cantSplit/>
          <w:jc w:val="center"/>
        </w:trPr>
        <w:tc>
          <w:tcPr>
            <w:tcW w:w="1934" w:type="dxa"/>
            <w:gridSpan w:val="2"/>
            <w:tcBorders>
              <w:top w:val="nil"/>
              <w:left w:val="nil"/>
              <w:bottom w:val="nil"/>
              <w:right w:val="nil"/>
            </w:tcBorders>
            <w:hideMark/>
          </w:tcPr>
          <w:p w14:paraId="2087053A"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53B"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53C"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53D" w14:textId="77777777" w:rsidR="00802D3E" w:rsidRDefault="00802D3E">
            <w:pPr>
              <w:pStyle w:val="MeasureTableTextLeftAligned"/>
            </w:pPr>
            <w:r>
              <w:t>3+</w:t>
            </w:r>
          </w:p>
        </w:tc>
      </w:tr>
      <w:tr w:rsidR="00802D3E" w14:paraId="20870543" w14:textId="77777777" w:rsidTr="00802D3E">
        <w:trPr>
          <w:cantSplit/>
          <w:jc w:val="center"/>
        </w:trPr>
        <w:tc>
          <w:tcPr>
            <w:tcW w:w="1934" w:type="dxa"/>
            <w:gridSpan w:val="2"/>
            <w:tcBorders>
              <w:top w:val="nil"/>
              <w:left w:val="nil"/>
              <w:bottom w:val="nil"/>
              <w:right w:val="nil"/>
            </w:tcBorders>
            <w:hideMark/>
          </w:tcPr>
          <w:p w14:paraId="2087053F"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540" w14:textId="77777777" w:rsidR="00802D3E" w:rsidRDefault="00802D3E">
            <w:pPr>
              <w:pStyle w:val="MeasureTableTextLeftAligned"/>
            </w:pPr>
            <w:r>
              <w:t>1985 and 1996</w:t>
            </w:r>
          </w:p>
        </w:tc>
        <w:tc>
          <w:tcPr>
            <w:tcW w:w="1500" w:type="dxa"/>
            <w:gridSpan w:val="2"/>
            <w:tcBorders>
              <w:top w:val="nil"/>
              <w:left w:val="nil"/>
              <w:bottom w:val="nil"/>
              <w:right w:val="nil"/>
            </w:tcBorders>
            <w:hideMark/>
          </w:tcPr>
          <w:p w14:paraId="20870541"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542" w14:textId="77777777" w:rsidR="00802D3E" w:rsidRDefault="00802D3E">
            <w:pPr>
              <w:pStyle w:val="MeasureTableTextLeftAligned"/>
            </w:pPr>
          </w:p>
        </w:tc>
      </w:tr>
      <w:tr w:rsidR="00802D3E" w14:paraId="20870546" w14:textId="77777777" w:rsidTr="00802D3E">
        <w:trPr>
          <w:cantSplit/>
          <w:jc w:val="center"/>
        </w:trPr>
        <w:tc>
          <w:tcPr>
            <w:tcW w:w="1934" w:type="dxa"/>
            <w:gridSpan w:val="2"/>
            <w:tcBorders>
              <w:top w:val="nil"/>
              <w:left w:val="nil"/>
              <w:bottom w:val="single" w:sz="2" w:space="0" w:color="auto"/>
              <w:right w:val="nil"/>
            </w:tcBorders>
            <w:hideMark/>
          </w:tcPr>
          <w:p w14:paraId="20870544"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545" w14:textId="3938AB9B" w:rsidR="00802D3E" w:rsidRPr="00106337" w:rsidRDefault="00802D3E" w:rsidP="000B1D9D">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118-145, 118-195 and 118-200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w:t>
            </w:r>
            <w:r w:rsidR="000B1D9D">
              <w:rPr>
                <w:rFonts w:ascii="Arial" w:hAnsi="Arial" w:cs="Arial"/>
                <w:i/>
                <w:iCs/>
                <w:color w:val="000000"/>
                <w:sz w:val="16"/>
                <w:szCs w:val="16"/>
              </w:rPr>
              <w:t> </w:t>
            </w:r>
            <w:r w:rsidRPr="00106337">
              <w:rPr>
                <w:rFonts w:ascii="Arial" w:hAnsi="Arial" w:cs="Arial"/>
                <w:i/>
                <w:iCs/>
                <w:color w:val="000000"/>
                <w:sz w:val="16"/>
                <w:szCs w:val="16"/>
              </w:rPr>
              <w:t>1997</w:t>
            </w:r>
          </w:p>
        </w:tc>
      </w:tr>
    </w:tbl>
    <w:p w14:paraId="20870547" w14:textId="77777777" w:rsidR="00802D3E" w:rsidRDefault="00802D3E" w:rsidP="00A109BC">
      <w:pPr>
        <w:pStyle w:val="SingleParagraph"/>
      </w:pPr>
    </w:p>
    <w:p w14:paraId="20870548" w14:textId="77777777" w:rsidR="00802D3E" w:rsidRDefault="00802D3E" w:rsidP="00802D3E">
      <w:pPr>
        <w:pStyle w:val="Bullet"/>
        <w:numPr>
          <w:ilvl w:val="0"/>
          <w:numId w:val="0"/>
        </w:numPr>
        <w:tabs>
          <w:tab w:val="left" w:pos="720"/>
        </w:tabs>
      </w:pPr>
      <w:r>
        <w:t>A taxpayer’s dwelling may continue to be treated as their main residence</w:t>
      </w:r>
      <w:r>
        <w:fldChar w:fldCharType="begin"/>
      </w:r>
      <w:r>
        <w:instrText xml:space="preserve"> XE "Main residence" </w:instrText>
      </w:r>
      <w:r>
        <w:fldChar w:fldCharType="end"/>
      </w:r>
      <w:r>
        <w:t xml:space="preserve"> even if it ceases to be their main residence for up to six years, if the dwelling is used to produce assessable income; or indefinitely, if the dwelling is not used to produce assessable income. This is provided that no other dwelling is treated as the taxpayer’s main residence during the period of absence.</w:t>
      </w:r>
    </w:p>
    <w:p w14:paraId="20870549" w14:textId="77777777" w:rsidR="00802D3E" w:rsidRDefault="00802D3E" w:rsidP="00802D3E">
      <w:r>
        <w:t xml:space="preserve">In addition, a taxpayer who receives a dwelling as beneficiary of a deceased estate, or who owns the dwelling as the trustee of a deceased estate, may be able to disregard all or a proportion of a capital gain or loss if certain conditions are met. </w:t>
      </w:r>
    </w:p>
    <w:p w14:paraId="2087054A" w14:textId="77777777" w:rsidR="00802D3E" w:rsidRDefault="00802D3E" w:rsidP="00802D3E">
      <w:pPr>
        <w:pStyle w:val="TESHeading5"/>
        <w:ind w:left="0" w:firstLine="0"/>
      </w:pPr>
      <w:r>
        <w:t>E8</w:t>
      </w:r>
      <w:r>
        <w:tab/>
        <w:t>Exemption for the disposal of assets under the Cultural Gifts program</w:t>
      </w:r>
    </w:p>
    <w:p w14:paraId="2087054B" w14:textId="77777777" w:rsidR="00802D3E" w:rsidRDefault="00802D3E" w:rsidP="00802D3E">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554" w14:textId="77777777" w:rsidTr="00802D3E">
        <w:trPr>
          <w:cantSplit/>
          <w:jc w:val="center"/>
        </w:trPr>
        <w:tc>
          <w:tcPr>
            <w:tcW w:w="967" w:type="dxa"/>
            <w:tcBorders>
              <w:top w:val="single" w:sz="2" w:space="0" w:color="auto"/>
              <w:left w:val="nil"/>
              <w:bottom w:val="single" w:sz="2" w:space="0" w:color="auto"/>
              <w:right w:val="nil"/>
            </w:tcBorders>
            <w:hideMark/>
          </w:tcPr>
          <w:p w14:paraId="2087054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54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54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54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55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55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55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553" w14:textId="77777777" w:rsidR="00802D3E" w:rsidRDefault="00802D3E">
            <w:pPr>
              <w:pStyle w:val="MeasureTableTextRightAligned"/>
            </w:pPr>
            <w:r>
              <w:t>2019-20</w:t>
            </w:r>
          </w:p>
        </w:tc>
      </w:tr>
      <w:tr w:rsidR="00802D3E" w14:paraId="2087055D" w14:textId="77777777" w:rsidTr="00802D3E">
        <w:trPr>
          <w:cantSplit/>
          <w:jc w:val="center"/>
        </w:trPr>
        <w:tc>
          <w:tcPr>
            <w:tcW w:w="967" w:type="dxa"/>
            <w:tcBorders>
              <w:top w:val="single" w:sz="2" w:space="0" w:color="auto"/>
              <w:left w:val="nil"/>
              <w:bottom w:val="single" w:sz="2" w:space="0" w:color="auto"/>
              <w:right w:val="nil"/>
            </w:tcBorders>
            <w:hideMark/>
          </w:tcPr>
          <w:p w14:paraId="2087055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55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5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5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5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5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5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55C" w14:textId="77777777" w:rsidR="00802D3E" w:rsidRDefault="00802D3E">
            <w:pPr>
              <w:pStyle w:val="MeasureTableTextRightAligned"/>
            </w:pPr>
            <w:r>
              <w:t>*</w:t>
            </w:r>
          </w:p>
        </w:tc>
      </w:tr>
      <w:tr w:rsidR="00802D3E" w14:paraId="20870562" w14:textId="77777777" w:rsidTr="00802D3E">
        <w:trPr>
          <w:cantSplit/>
          <w:jc w:val="center"/>
        </w:trPr>
        <w:tc>
          <w:tcPr>
            <w:tcW w:w="1934" w:type="dxa"/>
            <w:gridSpan w:val="2"/>
            <w:tcBorders>
              <w:top w:val="single" w:sz="2" w:space="0" w:color="auto"/>
              <w:left w:val="nil"/>
              <w:bottom w:val="nil"/>
              <w:right w:val="nil"/>
            </w:tcBorders>
            <w:hideMark/>
          </w:tcPr>
          <w:p w14:paraId="2087055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55F"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56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561" w14:textId="77777777" w:rsidR="00802D3E" w:rsidRDefault="00802D3E">
            <w:pPr>
              <w:pStyle w:val="MeasureTableTextLeftAligned"/>
            </w:pPr>
            <w:r>
              <w:t>E8</w:t>
            </w:r>
          </w:p>
        </w:tc>
      </w:tr>
      <w:tr w:rsidR="00802D3E" w14:paraId="20870567" w14:textId="77777777" w:rsidTr="00802D3E">
        <w:trPr>
          <w:cantSplit/>
          <w:jc w:val="center"/>
        </w:trPr>
        <w:tc>
          <w:tcPr>
            <w:tcW w:w="1934" w:type="dxa"/>
            <w:gridSpan w:val="2"/>
            <w:tcBorders>
              <w:top w:val="nil"/>
              <w:left w:val="nil"/>
              <w:bottom w:val="nil"/>
              <w:right w:val="nil"/>
            </w:tcBorders>
            <w:hideMark/>
          </w:tcPr>
          <w:p w14:paraId="2087056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56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56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566" w14:textId="77777777" w:rsidR="00802D3E" w:rsidRDefault="00802D3E">
            <w:pPr>
              <w:pStyle w:val="MeasureTableTextLeftAligned"/>
            </w:pPr>
            <w:r>
              <w:t>1+</w:t>
            </w:r>
          </w:p>
        </w:tc>
      </w:tr>
      <w:tr w:rsidR="00802D3E" w14:paraId="2087056C" w14:textId="77777777" w:rsidTr="00802D3E">
        <w:trPr>
          <w:cantSplit/>
          <w:jc w:val="center"/>
        </w:trPr>
        <w:tc>
          <w:tcPr>
            <w:tcW w:w="1934" w:type="dxa"/>
            <w:gridSpan w:val="2"/>
            <w:tcBorders>
              <w:top w:val="nil"/>
              <w:left w:val="nil"/>
              <w:bottom w:val="nil"/>
              <w:right w:val="nil"/>
            </w:tcBorders>
            <w:hideMark/>
          </w:tcPr>
          <w:p w14:paraId="2087056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569" w14:textId="77777777" w:rsidR="00802D3E" w:rsidRDefault="00802D3E">
            <w:pPr>
              <w:pStyle w:val="MeasureTableTextLeftAligned"/>
            </w:pPr>
            <w:r>
              <w:t>1999</w:t>
            </w:r>
          </w:p>
        </w:tc>
        <w:tc>
          <w:tcPr>
            <w:tcW w:w="1500" w:type="dxa"/>
            <w:gridSpan w:val="2"/>
            <w:tcBorders>
              <w:top w:val="nil"/>
              <w:left w:val="nil"/>
              <w:bottom w:val="nil"/>
              <w:right w:val="nil"/>
            </w:tcBorders>
            <w:hideMark/>
          </w:tcPr>
          <w:p w14:paraId="2087056A"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56B" w14:textId="77777777" w:rsidR="00802D3E" w:rsidRDefault="00802D3E">
            <w:pPr>
              <w:pStyle w:val="MeasureTableTextLeftAligned"/>
            </w:pPr>
          </w:p>
        </w:tc>
      </w:tr>
      <w:tr w:rsidR="00802D3E" w14:paraId="2087056F" w14:textId="77777777" w:rsidTr="00802D3E">
        <w:trPr>
          <w:cantSplit/>
          <w:jc w:val="center"/>
        </w:trPr>
        <w:tc>
          <w:tcPr>
            <w:tcW w:w="1934" w:type="dxa"/>
            <w:gridSpan w:val="2"/>
            <w:tcBorders>
              <w:top w:val="nil"/>
              <w:left w:val="nil"/>
              <w:bottom w:val="single" w:sz="2" w:space="0" w:color="auto"/>
              <w:right w:val="nil"/>
            </w:tcBorders>
            <w:hideMark/>
          </w:tcPr>
          <w:p w14:paraId="2087056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56E"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Subsection 118-60(2)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570" w14:textId="77777777" w:rsidR="00802D3E" w:rsidRDefault="00802D3E" w:rsidP="00A109BC">
      <w:pPr>
        <w:pStyle w:val="SingleParagraph"/>
      </w:pPr>
    </w:p>
    <w:p w14:paraId="20870571" w14:textId="77777777" w:rsidR="00802D3E" w:rsidRDefault="00802D3E" w:rsidP="00802D3E">
      <w:r>
        <w:t xml:space="preserve">Capital gains or losses arising from gifts made under the Cultural Gifts program </w:t>
      </w:r>
      <w:r>
        <w:fldChar w:fldCharType="begin"/>
      </w:r>
      <w:r>
        <w:instrText xml:space="preserve"> XE "Cultural Bequests and Cultural Gifts programs" </w:instrText>
      </w:r>
      <w:r>
        <w:fldChar w:fldCharType="end"/>
      </w:r>
      <w:r>
        <w:t xml:space="preserve">are exempt from CGT. The Cultural Gifts program, which does not apply to testamentary gifts, encourages donations of significant cultural items from private collections to public art galleries, public museums and public libraries or </w:t>
      </w:r>
      <w:proofErr w:type="spellStart"/>
      <w:r>
        <w:t>Artbank</w:t>
      </w:r>
      <w:proofErr w:type="spellEnd"/>
      <w:r>
        <w:t xml:space="preserve"> by offering tax benefits to the donor. </w:t>
      </w:r>
    </w:p>
    <w:p w14:paraId="20870572" w14:textId="77777777" w:rsidR="00802D3E" w:rsidRDefault="00802D3E" w:rsidP="00802D3E">
      <w:pPr>
        <w:pStyle w:val="TESHeading5"/>
        <w:ind w:left="0" w:firstLine="0"/>
      </w:pPr>
      <w:r>
        <w:lastRenderedPageBreak/>
        <w:t>E9</w:t>
      </w:r>
      <w:r>
        <w:tab/>
        <w:t>Roll-over for worker entitlement funds</w:t>
      </w:r>
    </w:p>
    <w:p w14:paraId="20870573" w14:textId="77777777" w:rsidR="00802D3E" w:rsidRDefault="00802D3E" w:rsidP="00802D3E">
      <w:pPr>
        <w:pStyle w:val="MeasureTableHeading"/>
      </w:pPr>
      <w:r>
        <w:t xml:space="preserve">Other economic affairs </w:t>
      </w:r>
      <w:r w:rsidR="000B181C">
        <w:t>–</w:t>
      </w:r>
      <w:r>
        <w:t xml:space="preserve"> Total</w:t>
      </w:r>
      <w:r w:rsidR="000B181C">
        <w:t xml:space="preserve"> </w:t>
      </w:r>
      <w:r>
        <w:t>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57C" w14:textId="77777777" w:rsidTr="00802D3E">
        <w:trPr>
          <w:cantSplit/>
          <w:jc w:val="center"/>
        </w:trPr>
        <w:tc>
          <w:tcPr>
            <w:tcW w:w="967" w:type="dxa"/>
            <w:tcBorders>
              <w:top w:val="single" w:sz="2" w:space="0" w:color="auto"/>
              <w:left w:val="nil"/>
              <w:bottom w:val="single" w:sz="2" w:space="0" w:color="auto"/>
              <w:right w:val="nil"/>
            </w:tcBorders>
            <w:hideMark/>
          </w:tcPr>
          <w:p w14:paraId="2087057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57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57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57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57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57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57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57B" w14:textId="77777777" w:rsidR="00802D3E" w:rsidRDefault="00802D3E">
            <w:pPr>
              <w:pStyle w:val="MeasureTableTextRightAligned"/>
            </w:pPr>
            <w:r>
              <w:t>2019-20</w:t>
            </w:r>
          </w:p>
        </w:tc>
      </w:tr>
      <w:tr w:rsidR="00802D3E" w14:paraId="20870585" w14:textId="77777777" w:rsidTr="00802D3E">
        <w:trPr>
          <w:cantSplit/>
          <w:jc w:val="center"/>
        </w:trPr>
        <w:tc>
          <w:tcPr>
            <w:tcW w:w="967" w:type="dxa"/>
            <w:tcBorders>
              <w:top w:val="single" w:sz="2" w:space="0" w:color="auto"/>
              <w:left w:val="nil"/>
              <w:bottom w:val="single" w:sz="2" w:space="0" w:color="auto"/>
              <w:right w:val="nil"/>
            </w:tcBorders>
            <w:hideMark/>
          </w:tcPr>
          <w:p w14:paraId="2087057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57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7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8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8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8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8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584" w14:textId="77777777" w:rsidR="00802D3E" w:rsidRDefault="00802D3E">
            <w:pPr>
              <w:pStyle w:val="MeasureTableTextRightAligned"/>
            </w:pPr>
            <w:r>
              <w:t>*</w:t>
            </w:r>
          </w:p>
        </w:tc>
      </w:tr>
      <w:tr w:rsidR="00802D3E" w14:paraId="2087058A" w14:textId="77777777" w:rsidTr="00802D3E">
        <w:trPr>
          <w:cantSplit/>
          <w:jc w:val="center"/>
        </w:trPr>
        <w:tc>
          <w:tcPr>
            <w:tcW w:w="1934" w:type="dxa"/>
            <w:gridSpan w:val="2"/>
            <w:tcBorders>
              <w:top w:val="single" w:sz="2" w:space="0" w:color="auto"/>
              <w:left w:val="nil"/>
              <w:bottom w:val="nil"/>
              <w:right w:val="nil"/>
            </w:tcBorders>
            <w:hideMark/>
          </w:tcPr>
          <w:p w14:paraId="2087058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587"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58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589" w14:textId="77777777" w:rsidR="00802D3E" w:rsidRDefault="00802D3E">
            <w:pPr>
              <w:pStyle w:val="MeasureTableTextLeftAligned"/>
            </w:pPr>
            <w:r>
              <w:t>E9</w:t>
            </w:r>
          </w:p>
        </w:tc>
      </w:tr>
      <w:tr w:rsidR="00802D3E" w14:paraId="2087058F" w14:textId="77777777" w:rsidTr="00802D3E">
        <w:trPr>
          <w:cantSplit/>
          <w:jc w:val="center"/>
        </w:trPr>
        <w:tc>
          <w:tcPr>
            <w:tcW w:w="1934" w:type="dxa"/>
            <w:gridSpan w:val="2"/>
            <w:tcBorders>
              <w:top w:val="nil"/>
              <w:left w:val="nil"/>
              <w:bottom w:val="nil"/>
              <w:right w:val="nil"/>
            </w:tcBorders>
            <w:hideMark/>
          </w:tcPr>
          <w:p w14:paraId="2087058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58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58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58E" w14:textId="77777777" w:rsidR="00802D3E" w:rsidRDefault="00802D3E">
            <w:pPr>
              <w:pStyle w:val="MeasureTableTextLeftAligned"/>
            </w:pPr>
            <w:r>
              <w:t>2+</w:t>
            </w:r>
          </w:p>
        </w:tc>
      </w:tr>
      <w:tr w:rsidR="00802D3E" w14:paraId="20870594" w14:textId="77777777" w:rsidTr="00802D3E">
        <w:trPr>
          <w:cantSplit/>
          <w:jc w:val="center"/>
        </w:trPr>
        <w:tc>
          <w:tcPr>
            <w:tcW w:w="1934" w:type="dxa"/>
            <w:gridSpan w:val="2"/>
            <w:tcBorders>
              <w:top w:val="nil"/>
              <w:left w:val="nil"/>
              <w:bottom w:val="nil"/>
              <w:right w:val="nil"/>
            </w:tcBorders>
            <w:hideMark/>
          </w:tcPr>
          <w:p w14:paraId="2087059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591" w14:textId="77777777" w:rsidR="00802D3E" w:rsidRDefault="00802D3E">
            <w:pPr>
              <w:pStyle w:val="MeasureTableTextLeftAligned"/>
            </w:pPr>
            <w:r>
              <w:t>2003</w:t>
            </w:r>
          </w:p>
        </w:tc>
        <w:tc>
          <w:tcPr>
            <w:tcW w:w="1500" w:type="dxa"/>
            <w:gridSpan w:val="2"/>
            <w:tcBorders>
              <w:top w:val="nil"/>
              <w:left w:val="nil"/>
              <w:bottom w:val="nil"/>
              <w:right w:val="nil"/>
            </w:tcBorders>
            <w:hideMark/>
          </w:tcPr>
          <w:p w14:paraId="20870592"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593" w14:textId="77777777" w:rsidR="00802D3E" w:rsidRDefault="00802D3E">
            <w:pPr>
              <w:pStyle w:val="MeasureTableTextLeftAligned"/>
            </w:pPr>
          </w:p>
        </w:tc>
      </w:tr>
      <w:tr w:rsidR="00802D3E" w14:paraId="20870597" w14:textId="77777777" w:rsidTr="00802D3E">
        <w:trPr>
          <w:cantSplit/>
          <w:jc w:val="center"/>
        </w:trPr>
        <w:tc>
          <w:tcPr>
            <w:tcW w:w="1934" w:type="dxa"/>
            <w:gridSpan w:val="2"/>
            <w:tcBorders>
              <w:top w:val="nil"/>
              <w:left w:val="nil"/>
              <w:bottom w:val="single" w:sz="2" w:space="0" w:color="auto"/>
              <w:right w:val="nil"/>
            </w:tcBorders>
            <w:hideMark/>
          </w:tcPr>
          <w:p w14:paraId="2087059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596"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Subdivision 126-C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598" w14:textId="77777777" w:rsidR="00802D3E" w:rsidRDefault="00802D3E" w:rsidP="00A109BC">
      <w:pPr>
        <w:pStyle w:val="SingleParagraph"/>
      </w:pPr>
    </w:p>
    <w:p w14:paraId="20870599" w14:textId="77777777" w:rsidR="00802D3E" w:rsidRDefault="00802D3E" w:rsidP="00802D3E">
      <w:r>
        <w:t>A CGT roll</w:t>
      </w:r>
      <w:r>
        <w:noBreakHyphen/>
        <w:t>over is available for a fund that amends or replaces its trust deed in order to become an approved worker entitlement fund</w:t>
      </w:r>
      <w:r>
        <w:fldChar w:fldCharType="begin"/>
      </w:r>
      <w:r>
        <w:instrText xml:space="preserve"> XE "Worker entitlement funds" </w:instrText>
      </w:r>
      <w:r>
        <w:fldChar w:fldCharType="end"/>
      </w:r>
      <w:r>
        <w:t xml:space="preserve"> for fringe benefits tax purposes. </w:t>
      </w:r>
    </w:p>
    <w:p w14:paraId="2087059A" w14:textId="77777777" w:rsidR="00802D3E" w:rsidRDefault="00802D3E" w:rsidP="00802D3E">
      <w:pPr>
        <w:pStyle w:val="TESHeading5"/>
        <w:ind w:left="0" w:firstLine="0"/>
      </w:pPr>
      <w:r>
        <w:t>E10</w:t>
      </w:r>
      <w:r>
        <w:tab/>
        <w:t>Concession for non-portfolio interests in foreign companies with active businesses</w:t>
      </w:r>
    </w:p>
    <w:p w14:paraId="2087059B"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5A4" w14:textId="77777777" w:rsidTr="00802D3E">
        <w:trPr>
          <w:cantSplit/>
          <w:jc w:val="center"/>
        </w:trPr>
        <w:tc>
          <w:tcPr>
            <w:tcW w:w="967" w:type="dxa"/>
            <w:tcBorders>
              <w:top w:val="single" w:sz="2" w:space="0" w:color="auto"/>
              <w:left w:val="nil"/>
              <w:bottom w:val="single" w:sz="2" w:space="0" w:color="auto"/>
              <w:right w:val="nil"/>
            </w:tcBorders>
            <w:hideMark/>
          </w:tcPr>
          <w:p w14:paraId="2087059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59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59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59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5A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5A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5A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5A3" w14:textId="77777777" w:rsidR="00802D3E" w:rsidRDefault="00802D3E">
            <w:pPr>
              <w:pStyle w:val="MeasureTableTextRightAligned"/>
            </w:pPr>
            <w:r>
              <w:t>2019-20</w:t>
            </w:r>
          </w:p>
        </w:tc>
      </w:tr>
      <w:tr w:rsidR="00802D3E" w14:paraId="208705AD" w14:textId="77777777" w:rsidTr="00802D3E">
        <w:trPr>
          <w:cantSplit/>
          <w:jc w:val="center"/>
        </w:trPr>
        <w:tc>
          <w:tcPr>
            <w:tcW w:w="967" w:type="dxa"/>
            <w:tcBorders>
              <w:top w:val="single" w:sz="2" w:space="0" w:color="auto"/>
              <w:left w:val="nil"/>
              <w:bottom w:val="single" w:sz="2" w:space="0" w:color="auto"/>
              <w:right w:val="nil"/>
            </w:tcBorders>
            <w:hideMark/>
          </w:tcPr>
          <w:p w14:paraId="208705A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5A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A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A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A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A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A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5AC" w14:textId="77777777" w:rsidR="00802D3E" w:rsidRDefault="00802D3E">
            <w:pPr>
              <w:pStyle w:val="MeasureTableTextRightAligned"/>
            </w:pPr>
            <w:r>
              <w:t>*</w:t>
            </w:r>
          </w:p>
        </w:tc>
      </w:tr>
      <w:tr w:rsidR="00802D3E" w14:paraId="208705B2" w14:textId="77777777" w:rsidTr="00802D3E">
        <w:trPr>
          <w:cantSplit/>
          <w:jc w:val="center"/>
        </w:trPr>
        <w:tc>
          <w:tcPr>
            <w:tcW w:w="1934" w:type="dxa"/>
            <w:gridSpan w:val="2"/>
            <w:tcBorders>
              <w:top w:val="single" w:sz="2" w:space="0" w:color="auto"/>
              <w:left w:val="nil"/>
              <w:bottom w:val="nil"/>
              <w:right w:val="nil"/>
            </w:tcBorders>
            <w:hideMark/>
          </w:tcPr>
          <w:p w14:paraId="208705A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5AF" w14:textId="77777777" w:rsidR="00802D3E" w:rsidRDefault="00802D3E">
            <w:pPr>
              <w:pStyle w:val="MeasureTableTextLeftAligned"/>
            </w:pPr>
            <w:r>
              <w:t>Reduction in taxable value</w:t>
            </w:r>
          </w:p>
        </w:tc>
        <w:tc>
          <w:tcPr>
            <w:tcW w:w="1500" w:type="dxa"/>
            <w:gridSpan w:val="2"/>
            <w:tcBorders>
              <w:top w:val="single" w:sz="2" w:space="0" w:color="auto"/>
              <w:left w:val="nil"/>
              <w:bottom w:val="nil"/>
              <w:right w:val="nil"/>
            </w:tcBorders>
            <w:hideMark/>
          </w:tcPr>
          <w:p w14:paraId="208705B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5B1" w14:textId="77777777" w:rsidR="00802D3E" w:rsidRDefault="00802D3E">
            <w:pPr>
              <w:pStyle w:val="MeasureTableTextLeftAligned"/>
            </w:pPr>
            <w:r>
              <w:t>E10</w:t>
            </w:r>
          </w:p>
        </w:tc>
      </w:tr>
      <w:tr w:rsidR="00802D3E" w14:paraId="208705B7" w14:textId="77777777" w:rsidTr="00802D3E">
        <w:trPr>
          <w:cantSplit/>
          <w:jc w:val="center"/>
        </w:trPr>
        <w:tc>
          <w:tcPr>
            <w:tcW w:w="1934" w:type="dxa"/>
            <w:gridSpan w:val="2"/>
            <w:tcBorders>
              <w:top w:val="nil"/>
              <w:left w:val="nil"/>
              <w:bottom w:val="nil"/>
              <w:right w:val="nil"/>
            </w:tcBorders>
            <w:hideMark/>
          </w:tcPr>
          <w:p w14:paraId="208705B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5B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5B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5B6" w14:textId="77777777" w:rsidR="00802D3E" w:rsidRDefault="00802D3E">
            <w:pPr>
              <w:pStyle w:val="MeasureTableTextLeftAligned"/>
            </w:pPr>
            <w:r>
              <w:t>3+</w:t>
            </w:r>
          </w:p>
        </w:tc>
      </w:tr>
      <w:tr w:rsidR="00802D3E" w14:paraId="208705BC" w14:textId="77777777" w:rsidTr="00802D3E">
        <w:trPr>
          <w:cantSplit/>
          <w:jc w:val="center"/>
        </w:trPr>
        <w:tc>
          <w:tcPr>
            <w:tcW w:w="1934" w:type="dxa"/>
            <w:gridSpan w:val="2"/>
            <w:tcBorders>
              <w:top w:val="nil"/>
              <w:left w:val="nil"/>
              <w:bottom w:val="nil"/>
              <w:right w:val="nil"/>
            </w:tcBorders>
            <w:hideMark/>
          </w:tcPr>
          <w:p w14:paraId="208705B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5B9" w14:textId="77777777" w:rsidR="00802D3E" w:rsidRDefault="00802D3E">
            <w:pPr>
              <w:pStyle w:val="MeasureTableTextLeftAligned"/>
            </w:pPr>
            <w:r>
              <w:t>2004</w:t>
            </w:r>
          </w:p>
        </w:tc>
        <w:tc>
          <w:tcPr>
            <w:tcW w:w="1500" w:type="dxa"/>
            <w:gridSpan w:val="2"/>
            <w:tcBorders>
              <w:top w:val="nil"/>
              <w:left w:val="nil"/>
              <w:bottom w:val="nil"/>
              <w:right w:val="nil"/>
            </w:tcBorders>
            <w:hideMark/>
          </w:tcPr>
          <w:p w14:paraId="208705BA"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5BB" w14:textId="77777777" w:rsidR="00802D3E" w:rsidRDefault="00802D3E">
            <w:pPr>
              <w:pStyle w:val="MeasureTableTextLeftAligned"/>
            </w:pPr>
          </w:p>
        </w:tc>
      </w:tr>
      <w:tr w:rsidR="00802D3E" w14:paraId="208705BF" w14:textId="77777777" w:rsidTr="00802D3E">
        <w:trPr>
          <w:cantSplit/>
          <w:jc w:val="center"/>
        </w:trPr>
        <w:tc>
          <w:tcPr>
            <w:tcW w:w="1934" w:type="dxa"/>
            <w:gridSpan w:val="2"/>
            <w:tcBorders>
              <w:top w:val="nil"/>
              <w:left w:val="nil"/>
              <w:bottom w:val="single" w:sz="2" w:space="0" w:color="auto"/>
              <w:right w:val="nil"/>
            </w:tcBorders>
            <w:hideMark/>
          </w:tcPr>
          <w:p w14:paraId="208705B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5BE" w14:textId="77777777" w:rsidR="00802D3E" w:rsidRPr="00106337" w:rsidRDefault="00802D3E">
            <w:pPr>
              <w:widowControl w:val="0"/>
              <w:autoSpaceDE w:val="0"/>
              <w:autoSpaceDN w:val="0"/>
              <w:adjustRightInd w:val="0"/>
              <w:spacing w:after="0" w:line="240" w:lineRule="auto"/>
              <w:rPr>
                <w:rFonts w:ascii="Arial" w:hAnsi="Arial" w:cs="Arial"/>
                <w:sz w:val="16"/>
                <w:szCs w:val="16"/>
              </w:rPr>
            </w:pPr>
            <w:r w:rsidRPr="00106337">
              <w:rPr>
                <w:rFonts w:ascii="Arial" w:hAnsi="Arial" w:cs="Arial"/>
                <w:sz w:val="16"/>
                <w:szCs w:val="16"/>
              </w:rPr>
              <w:t xml:space="preserve">Section 768-505 of the </w:t>
            </w:r>
            <w:r w:rsidRPr="00106337">
              <w:rPr>
                <w:rFonts w:ascii="Arial" w:hAnsi="Arial" w:cs="Arial"/>
                <w:i/>
                <w:iCs/>
                <w:color w:val="000000"/>
                <w:sz w:val="16"/>
                <w:szCs w:val="16"/>
              </w:rPr>
              <w:t>Income Tax Assessment Act 1997</w:t>
            </w:r>
          </w:p>
        </w:tc>
      </w:tr>
    </w:tbl>
    <w:p w14:paraId="208705C0" w14:textId="77777777" w:rsidR="00802D3E" w:rsidRDefault="00802D3E" w:rsidP="00A109BC">
      <w:pPr>
        <w:pStyle w:val="SingleParagraph"/>
      </w:pPr>
    </w:p>
    <w:p w14:paraId="208705C1" w14:textId="1009C0C4" w:rsidR="00802D3E" w:rsidRDefault="00802D3E" w:rsidP="00802D3E">
      <w:r>
        <w:t>Capital gains and losses of Australian companies a</w:t>
      </w:r>
      <w:r w:rsidR="000D700A">
        <w:t>nd controlled foreign companies</w:t>
      </w:r>
      <w:r>
        <w:fldChar w:fldCharType="begin"/>
      </w:r>
      <w:r>
        <w:instrText xml:space="preserve"> XE "Controlled foreign companies" </w:instrText>
      </w:r>
      <w:r>
        <w:fldChar w:fldCharType="end"/>
      </w:r>
      <w:r>
        <w:t xml:space="preserve"> arising from certain CGT events related to non</w:t>
      </w:r>
      <w:r>
        <w:noBreakHyphen/>
        <w:t xml:space="preserve">portfolio interests in foreign companies with active business assets are reduced. The reduction reflects the degree to which the assets of the foreign company are used in active business. The concession applies where the Australian company holds a direct voting percentage of 10 per cent or more in the foreign company throughout a 12 month period. </w:t>
      </w:r>
    </w:p>
    <w:p w14:paraId="208705C2" w14:textId="77777777" w:rsidR="00802D3E" w:rsidRDefault="00802D3E" w:rsidP="00802D3E">
      <w:pPr>
        <w:pStyle w:val="TESHeading5"/>
        <w:ind w:left="0" w:firstLine="0"/>
      </w:pPr>
      <w:r>
        <w:t>E11</w:t>
      </w:r>
      <w:r>
        <w:tab/>
        <w:t>Deferral of liability when taxpayer dies</w:t>
      </w:r>
    </w:p>
    <w:p w14:paraId="208705C3"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5CC" w14:textId="77777777" w:rsidTr="00802D3E">
        <w:trPr>
          <w:cantSplit/>
          <w:jc w:val="center"/>
        </w:trPr>
        <w:tc>
          <w:tcPr>
            <w:tcW w:w="967" w:type="dxa"/>
            <w:tcBorders>
              <w:top w:val="single" w:sz="2" w:space="0" w:color="auto"/>
              <w:left w:val="nil"/>
              <w:bottom w:val="single" w:sz="2" w:space="0" w:color="auto"/>
              <w:right w:val="nil"/>
            </w:tcBorders>
            <w:hideMark/>
          </w:tcPr>
          <w:p w14:paraId="208705C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5C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5C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5C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5C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5C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5C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5CB" w14:textId="77777777" w:rsidR="00802D3E" w:rsidRDefault="00802D3E">
            <w:pPr>
              <w:pStyle w:val="MeasureTableTextRightAligned"/>
            </w:pPr>
            <w:r>
              <w:t>2019-20</w:t>
            </w:r>
          </w:p>
        </w:tc>
      </w:tr>
      <w:tr w:rsidR="00802D3E" w14:paraId="208705D5" w14:textId="77777777" w:rsidTr="00802D3E">
        <w:trPr>
          <w:cantSplit/>
          <w:jc w:val="center"/>
        </w:trPr>
        <w:tc>
          <w:tcPr>
            <w:tcW w:w="967" w:type="dxa"/>
            <w:tcBorders>
              <w:top w:val="single" w:sz="2" w:space="0" w:color="auto"/>
              <w:left w:val="nil"/>
              <w:bottom w:val="single" w:sz="2" w:space="0" w:color="auto"/>
              <w:right w:val="nil"/>
            </w:tcBorders>
            <w:hideMark/>
          </w:tcPr>
          <w:p w14:paraId="208705C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5C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C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D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D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D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D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5D4" w14:textId="77777777" w:rsidR="00802D3E" w:rsidRDefault="00802D3E">
            <w:pPr>
              <w:pStyle w:val="MeasureTableTextRightAligned"/>
            </w:pPr>
            <w:r>
              <w:t>*</w:t>
            </w:r>
          </w:p>
        </w:tc>
      </w:tr>
      <w:tr w:rsidR="00802D3E" w14:paraId="208705DA" w14:textId="77777777" w:rsidTr="00802D3E">
        <w:trPr>
          <w:cantSplit/>
          <w:jc w:val="center"/>
        </w:trPr>
        <w:tc>
          <w:tcPr>
            <w:tcW w:w="1934" w:type="dxa"/>
            <w:gridSpan w:val="2"/>
            <w:tcBorders>
              <w:top w:val="single" w:sz="2" w:space="0" w:color="auto"/>
              <w:left w:val="nil"/>
              <w:bottom w:val="nil"/>
              <w:right w:val="nil"/>
            </w:tcBorders>
            <w:hideMark/>
          </w:tcPr>
          <w:p w14:paraId="208705D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5D7"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5D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5D9" w14:textId="77777777" w:rsidR="00802D3E" w:rsidRDefault="00802D3E">
            <w:pPr>
              <w:pStyle w:val="MeasureTableTextLeftAligned"/>
            </w:pPr>
            <w:r>
              <w:t>E25</w:t>
            </w:r>
          </w:p>
        </w:tc>
      </w:tr>
      <w:tr w:rsidR="00802D3E" w14:paraId="208705DF" w14:textId="77777777" w:rsidTr="00802D3E">
        <w:trPr>
          <w:cantSplit/>
          <w:jc w:val="center"/>
        </w:trPr>
        <w:tc>
          <w:tcPr>
            <w:tcW w:w="1934" w:type="dxa"/>
            <w:gridSpan w:val="2"/>
            <w:tcBorders>
              <w:top w:val="nil"/>
              <w:left w:val="nil"/>
              <w:bottom w:val="nil"/>
              <w:right w:val="nil"/>
            </w:tcBorders>
            <w:hideMark/>
          </w:tcPr>
          <w:p w14:paraId="208705D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5D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5D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5DE" w14:textId="77777777" w:rsidR="00802D3E" w:rsidRDefault="00802D3E">
            <w:pPr>
              <w:pStyle w:val="MeasureTableTextLeftAligned"/>
            </w:pPr>
            <w:r>
              <w:t>3+</w:t>
            </w:r>
          </w:p>
        </w:tc>
      </w:tr>
      <w:tr w:rsidR="00802D3E" w14:paraId="208705E4" w14:textId="77777777" w:rsidTr="00802D3E">
        <w:trPr>
          <w:cantSplit/>
          <w:jc w:val="center"/>
        </w:trPr>
        <w:tc>
          <w:tcPr>
            <w:tcW w:w="1934" w:type="dxa"/>
            <w:gridSpan w:val="2"/>
            <w:tcBorders>
              <w:top w:val="nil"/>
              <w:left w:val="nil"/>
              <w:bottom w:val="nil"/>
              <w:right w:val="nil"/>
            </w:tcBorders>
            <w:hideMark/>
          </w:tcPr>
          <w:p w14:paraId="208705E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5E1" w14:textId="77777777" w:rsidR="00802D3E" w:rsidRDefault="00802D3E">
            <w:pPr>
              <w:pStyle w:val="MeasureTableTextLeftAligned"/>
            </w:pPr>
            <w:r>
              <w:t>1999</w:t>
            </w:r>
          </w:p>
        </w:tc>
        <w:tc>
          <w:tcPr>
            <w:tcW w:w="1500" w:type="dxa"/>
            <w:gridSpan w:val="2"/>
            <w:tcBorders>
              <w:top w:val="nil"/>
              <w:left w:val="nil"/>
              <w:bottom w:val="nil"/>
              <w:right w:val="nil"/>
            </w:tcBorders>
            <w:hideMark/>
          </w:tcPr>
          <w:p w14:paraId="208705E2"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5E3" w14:textId="77777777" w:rsidR="00802D3E" w:rsidRDefault="00802D3E">
            <w:pPr>
              <w:pStyle w:val="MeasureTableTextLeftAligned"/>
            </w:pPr>
          </w:p>
        </w:tc>
      </w:tr>
      <w:tr w:rsidR="00802D3E" w14:paraId="208705E7" w14:textId="77777777" w:rsidTr="00802D3E">
        <w:trPr>
          <w:cantSplit/>
          <w:jc w:val="center"/>
        </w:trPr>
        <w:tc>
          <w:tcPr>
            <w:tcW w:w="1934" w:type="dxa"/>
            <w:gridSpan w:val="2"/>
            <w:tcBorders>
              <w:top w:val="nil"/>
              <w:left w:val="nil"/>
              <w:bottom w:val="single" w:sz="2" w:space="0" w:color="auto"/>
              <w:right w:val="nil"/>
            </w:tcBorders>
            <w:hideMark/>
          </w:tcPr>
          <w:p w14:paraId="208705E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5E6"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Division 128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5E8" w14:textId="77777777" w:rsidR="00802D3E" w:rsidRDefault="00802D3E" w:rsidP="00A109BC">
      <w:pPr>
        <w:pStyle w:val="SingleParagraph"/>
      </w:pPr>
    </w:p>
    <w:p w14:paraId="208705E9" w14:textId="77777777" w:rsidR="00802D3E" w:rsidRDefault="00802D3E" w:rsidP="00802D3E">
      <w:r>
        <w:t xml:space="preserve">There is no CGT taxing point when a taxpayer dies. Recognition of the gains or losses accruing during the life of the deceased is deferred until the person inheriting the CGT asset later disposes of it. An exception applies if the asset passes to an exempt entity, the trustee of a complying superannuation entity, or a foreign resident. </w:t>
      </w:r>
    </w:p>
    <w:p w14:paraId="208705EA" w14:textId="77777777" w:rsidR="00802D3E" w:rsidRDefault="00802D3E" w:rsidP="00802D3E">
      <w:pPr>
        <w:pStyle w:val="TESHeading5"/>
        <w:ind w:left="0" w:firstLine="0"/>
      </w:pPr>
      <w:r>
        <w:lastRenderedPageBreak/>
        <w:t>E12</w:t>
      </w:r>
      <w:r>
        <w:tab/>
        <w:t>Demerger concessions</w:t>
      </w:r>
    </w:p>
    <w:p w14:paraId="208705EB"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5F4" w14:textId="77777777" w:rsidTr="00802D3E">
        <w:trPr>
          <w:cantSplit/>
          <w:jc w:val="center"/>
        </w:trPr>
        <w:tc>
          <w:tcPr>
            <w:tcW w:w="967" w:type="dxa"/>
            <w:tcBorders>
              <w:top w:val="single" w:sz="2" w:space="0" w:color="auto"/>
              <w:left w:val="nil"/>
              <w:bottom w:val="single" w:sz="2" w:space="0" w:color="auto"/>
              <w:right w:val="nil"/>
            </w:tcBorders>
            <w:hideMark/>
          </w:tcPr>
          <w:p w14:paraId="208705E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5E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5E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5E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5F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5F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5F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5F3" w14:textId="77777777" w:rsidR="00802D3E" w:rsidRDefault="00802D3E">
            <w:pPr>
              <w:pStyle w:val="MeasureTableTextRightAligned"/>
            </w:pPr>
            <w:r>
              <w:t>2019-20</w:t>
            </w:r>
          </w:p>
        </w:tc>
      </w:tr>
      <w:tr w:rsidR="00802D3E" w14:paraId="208705FD" w14:textId="77777777" w:rsidTr="00802D3E">
        <w:trPr>
          <w:cantSplit/>
          <w:jc w:val="center"/>
        </w:trPr>
        <w:tc>
          <w:tcPr>
            <w:tcW w:w="967" w:type="dxa"/>
            <w:tcBorders>
              <w:top w:val="single" w:sz="2" w:space="0" w:color="auto"/>
              <w:left w:val="nil"/>
              <w:bottom w:val="single" w:sz="2" w:space="0" w:color="auto"/>
              <w:right w:val="nil"/>
            </w:tcBorders>
            <w:hideMark/>
          </w:tcPr>
          <w:p w14:paraId="208705F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5F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F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F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5F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F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5F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5FC" w14:textId="77777777" w:rsidR="00802D3E" w:rsidRDefault="00802D3E">
            <w:pPr>
              <w:pStyle w:val="MeasureTableTextRightAligned"/>
            </w:pPr>
            <w:r>
              <w:t>*</w:t>
            </w:r>
          </w:p>
        </w:tc>
      </w:tr>
      <w:tr w:rsidR="00802D3E" w14:paraId="20870602" w14:textId="77777777" w:rsidTr="00802D3E">
        <w:trPr>
          <w:cantSplit/>
          <w:jc w:val="center"/>
        </w:trPr>
        <w:tc>
          <w:tcPr>
            <w:tcW w:w="1934" w:type="dxa"/>
            <w:gridSpan w:val="2"/>
            <w:tcBorders>
              <w:top w:val="single" w:sz="2" w:space="0" w:color="auto"/>
              <w:left w:val="nil"/>
              <w:bottom w:val="nil"/>
              <w:right w:val="nil"/>
            </w:tcBorders>
            <w:hideMark/>
          </w:tcPr>
          <w:p w14:paraId="208705F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5FF" w14:textId="77777777" w:rsidR="00802D3E" w:rsidRDefault="00802D3E">
            <w:pPr>
              <w:pStyle w:val="MeasureTableTextLeftAligned"/>
            </w:pPr>
            <w:r>
              <w:t>Exemption, Deferral</w:t>
            </w:r>
          </w:p>
        </w:tc>
        <w:tc>
          <w:tcPr>
            <w:tcW w:w="1500" w:type="dxa"/>
            <w:gridSpan w:val="2"/>
            <w:tcBorders>
              <w:top w:val="single" w:sz="2" w:space="0" w:color="auto"/>
              <w:left w:val="nil"/>
              <w:bottom w:val="nil"/>
              <w:right w:val="nil"/>
            </w:tcBorders>
            <w:hideMark/>
          </w:tcPr>
          <w:p w14:paraId="2087060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601" w14:textId="77777777" w:rsidR="00802D3E" w:rsidRDefault="00802D3E">
            <w:pPr>
              <w:pStyle w:val="MeasureTableTextLeftAligned"/>
            </w:pPr>
            <w:r>
              <w:t>E17</w:t>
            </w:r>
          </w:p>
        </w:tc>
      </w:tr>
      <w:tr w:rsidR="00802D3E" w14:paraId="20870607" w14:textId="77777777" w:rsidTr="00802D3E">
        <w:trPr>
          <w:cantSplit/>
          <w:jc w:val="center"/>
        </w:trPr>
        <w:tc>
          <w:tcPr>
            <w:tcW w:w="1934" w:type="dxa"/>
            <w:gridSpan w:val="2"/>
            <w:tcBorders>
              <w:top w:val="nil"/>
              <w:left w:val="nil"/>
              <w:bottom w:val="nil"/>
              <w:right w:val="nil"/>
            </w:tcBorders>
            <w:hideMark/>
          </w:tcPr>
          <w:p w14:paraId="2087060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60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60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606" w14:textId="77777777" w:rsidR="00802D3E" w:rsidRDefault="00802D3E">
            <w:pPr>
              <w:pStyle w:val="MeasureTableTextLeftAligned"/>
            </w:pPr>
            <w:r>
              <w:t>3+</w:t>
            </w:r>
          </w:p>
        </w:tc>
      </w:tr>
      <w:tr w:rsidR="00802D3E" w14:paraId="2087060C" w14:textId="77777777" w:rsidTr="00802D3E">
        <w:trPr>
          <w:cantSplit/>
          <w:jc w:val="center"/>
        </w:trPr>
        <w:tc>
          <w:tcPr>
            <w:tcW w:w="1934" w:type="dxa"/>
            <w:gridSpan w:val="2"/>
            <w:tcBorders>
              <w:top w:val="nil"/>
              <w:left w:val="nil"/>
              <w:bottom w:val="nil"/>
              <w:right w:val="nil"/>
            </w:tcBorders>
            <w:hideMark/>
          </w:tcPr>
          <w:p w14:paraId="2087060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609" w14:textId="77777777" w:rsidR="00802D3E" w:rsidRDefault="00802D3E">
            <w:pPr>
              <w:pStyle w:val="MeasureTableTextLeftAligned"/>
            </w:pPr>
            <w:r>
              <w:t>2002</w:t>
            </w:r>
          </w:p>
        </w:tc>
        <w:tc>
          <w:tcPr>
            <w:tcW w:w="1500" w:type="dxa"/>
            <w:gridSpan w:val="2"/>
            <w:tcBorders>
              <w:top w:val="nil"/>
              <w:left w:val="nil"/>
              <w:bottom w:val="nil"/>
              <w:right w:val="nil"/>
            </w:tcBorders>
            <w:hideMark/>
          </w:tcPr>
          <w:p w14:paraId="2087060A"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60B" w14:textId="77777777" w:rsidR="00802D3E" w:rsidRDefault="00802D3E">
            <w:pPr>
              <w:pStyle w:val="MeasureTableTextLeftAligned"/>
            </w:pPr>
          </w:p>
        </w:tc>
      </w:tr>
      <w:tr w:rsidR="00802D3E" w14:paraId="2087060F" w14:textId="77777777" w:rsidTr="00802D3E">
        <w:trPr>
          <w:cantSplit/>
          <w:jc w:val="center"/>
        </w:trPr>
        <w:tc>
          <w:tcPr>
            <w:tcW w:w="1934" w:type="dxa"/>
            <w:gridSpan w:val="2"/>
            <w:tcBorders>
              <w:top w:val="nil"/>
              <w:left w:val="nil"/>
              <w:bottom w:val="single" w:sz="2" w:space="0" w:color="auto"/>
              <w:right w:val="nil"/>
            </w:tcBorders>
            <w:hideMark/>
          </w:tcPr>
          <w:p w14:paraId="2087060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60E"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Division 125 of the </w:t>
            </w:r>
            <w:r>
              <w:rPr>
                <w:rFonts w:ascii="Arial" w:hAnsi="Arial" w:cs="Arial"/>
                <w:i/>
                <w:iCs/>
                <w:color w:val="000000"/>
                <w:sz w:val="16"/>
                <w:szCs w:val="16"/>
              </w:rPr>
              <w:t>Income Tax Assessment Act 1997</w:t>
            </w:r>
            <w:r>
              <w:rPr>
                <w:rFonts w:ascii="Arial" w:hAnsi="Arial" w:cs="Arial"/>
                <w:color w:val="000000"/>
                <w:sz w:val="16"/>
                <w:szCs w:val="16"/>
              </w:rPr>
              <w:br/>
              <w:t xml:space="preserve">Subsection 44(4) of the </w:t>
            </w:r>
            <w:r>
              <w:rPr>
                <w:rFonts w:ascii="Arial" w:hAnsi="Arial" w:cs="Arial"/>
                <w:i/>
                <w:iCs/>
                <w:color w:val="000000"/>
                <w:sz w:val="16"/>
                <w:szCs w:val="16"/>
              </w:rPr>
              <w:t>Income Tax Assessment Act 1936</w:t>
            </w:r>
          </w:p>
        </w:tc>
      </w:tr>
    </w:tbl>
    <w:p w14:paraId="20870610" w14:textId="77777777" w:rsidR="00802D3E" w:rsidRDefault="00802D3E" w:rsidP="00A109BC">
      <w:pPr>
        <w:pStyle w:val="SingleParagraph"/>
      </w:pPr>
    </w:p>
    <w:p w14:paraId="20870611" w14:textId="77777777" w:rsidR="00802D3E" w:rsidRDefault="00802D3E" w:rsidP="00802D3E">
      <w:r>
        <w:t>Concessions are available to defer or exempt the CGT payable in respect of the restructuring of a corporate or trust group</w:t>
      </w:r>
      <w:r>
        <w:fldChar w:fldCharType="begin"/>
      </w:r>
      <w:r>
        <w:instrText xml:space="preserve"> XE "Restructuring of a corporate or trust group" </w:instrText>
      </w:r>
      <w:r>
        <w:fldChar w:fldCharType="end"/>
      </w:r>
      <w:r>
        <w:t>, where the group is split into two or more entities or groups (that is, by demerging). There are three elements to demerger relief:</w:t>
      </w:r>
    </w:p>
    <w:p w14:paraId="20870612" w14:textId="77777777" w:rsidR="00802D3E" w:rsidRDefault="00802D3E" w:rsidP="00802D3E">
      <w:pPr>
        <w:pStyle w:val="Bullet"/>
        <w:numPr>
          <w:ilvl w:val="0"/>
          <w:numId w:val="9"/>
        </w:numPr>
      </w:pPr>
      <w:r>
        <w:tab/>
        <w:t>CGT roll</w:t>
      </w:r>
      <w:r>
        <w:noBreakHyphen/>
        <w:t>over at the shareholder or trust membership interest level for interests such as shares that are exchanged during the demerger process;</w:t>
      </w:r>
    </w:p>
    <w:p w14:paraId="20870613" w14:textId="77777777" w:rsidR="00802D3E" w:rsidRDefault="00802D3E" w:rsidP="00802D3E">
      <w:pPr>
        <w:pStyle w:val="Bullet"/>
        <w:numPr>
          <w:ilvl w:val="0"/>
          <w:numId w:val="9"/>
        </w:numPr>
      </w:pPr>
      <w:r>
        <w:tab/>
        <w:t>a CGT exemption for certain capital gains and losses at the entity level; and</w:t>
      </w:r>
    </w:p>
    <w:p w14:paraId="20870614" w14:textId="77777777" w:rsidR="00802D3E" w:rsidRDefault="00802D3E" w:rsidP="00802D3E">
      <w:pPr>
        <w:pStyle w:val="Bullet"/>
        <w:numPr>
          <w:ilvl w:val="0"/>
          <w:numId w:val="9"/>
        </w:numPr>
      </w:pPr>
      <w:r>
        <w:tab/>
        <w:t xml:space="preserve">an income tax exemption for certain ‘demerger dividends’. </w:t>
      </w:r>
    </w:p>
    <w:p w14:paraId="20870615" w14:textId="77777777" w:rsidR="00802D3E" w:rsidRDefault="00802D3E" w:rsidP="00802D3E">
      <w:pPr>
        <w:pStyle w:val="TESHeading5"/>
        <w:ind w:left="0" w:firstLine="0"/>
      </w:pPr>
      <w:r>
        <w:t>E13</w:t>
      </w:r>
      <w:r>
        <w:tab/>
        <w:t>Discount for individuals and trusts</w:t>
      </w:r>
    </w:p>
    <w:p w14:paraId="20870616"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61F" w14:textId="77777777" w:rsidTr="00802D3E">
        <w:trPr>
          <w:cantSplit/>
          <w:jc w:val="center"/>
        </w:trPr>
        <w:tc>
          <w:tcPr>
            <w:tcW w:w="967" w:type="dxa"/>
            <w:tcBorders>
              <w:top w:val="single" w:sz="2" w:space="0" w:color="auto"/>
              <w:left w:val="nil"/>
              <w:bottom w:val="single" w:sz="2" w:space="0" w:color="auto"/>
              <w:right w:val="nil"/>
            </w:tcBorders>
            <w:hideMark/>
          </w:tcPr>
          <w:p w14:paraId="2087061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61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61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61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61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61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61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61E" w14:textId="77777777" w:rsidR="00802D3E" w:rsidRDefault="00802D3E">
            <w:pPr>
              <w:pStyle w:val="MeasureTableTextRightAligned"/>
            </w:pPr>
            <w:r>
              <w:t>2019-20</w:t>
            </w:r>
          </w:p>
        </w:tc>
      </w:tr>
      <w:tr w:rsidR="00802D3E" w14:paraId="20870628" w14:textId="77777777" w:rsidTr="00802D3E">
        <w:trPr>
          <w:cantSplit/>
          <w:jc w:val="center"/>
        </w:trPr>
        <w:tc>
          <w:tcPr>
            <w:tcW w:w="967" w:type="dxa"/>
            <w:tcBorders>
              <w:top w:val="single" w:sz="2" w:space="0" w:color="auto"/>
              <w:left w:val="nil"/>
              <w:bottom w:val="single" w:sz="2" w:space="0" w:color="auto"/>
              <w:right w:val="nil"/>
            </w:tcBorders>
            <w:hideMark/>
          </w:tcPr>
          <w:p w14:paraId="20870620" w14:textId="77777777" w:rsidR="00802D3E" w:rsidRDefault="00802D3E">
            <w:pPr>
              <w:pStyle w:val="MeasureTableTextRightAligned"/>
            </w:pPr>
            <w:r>
              <w:t>4,070</w:t>
            </w:r>
          </w:p>
        </w:tc>
        <w:tc>
          <w:tcPr>
            <w:tcW w:w="967" w:type="dxa"/>
            <w:tcBorders>
              <w:top w:val="single" w:sz="2" w:space="0" w:color="auto"/>
              <w:left w:val="nil"/>
              <w:bottom w:val="single" w:sz="2" w:space="0" w:color="auto"/>
              <w:right w:val="nil"/>
            </w:tcBorders>
            <w:hideMark/>
          </w:tcPr>
          <w:p w14:paraId="20870621" w14:textId="77777777" w:rsidR="00802D3E" w:rsidRDefault="00802D3E">
            <w:pPr>
              <w:pStyle w:val="MeasureTableTextRightAligned"/>
            </w:pPr>
            <w:r>
              <w:t>4,420</w:t>
            </w:r>
          </w:p>
        </w:tc>
        <w:tc>
          <w:tcPr>
            <w:tcW w:w="967" w:type="dxa"/>
            <w:tcBorders>
              <w:top w:val="single" w:sz="2" w:space="0" w:color="auto"/>
              <w:left w:val="nil"/>
              <w:bottom w:val="single" w:sz="2" w:space="0" w:color="auto"/>
              <w:right w:val="nil"/>
            </w:tcBorders>
            <w:vAlign w:val="bottom"/>
            <w:hideMark/>
          </w:tcPr>
          <w:p w14:paraId="20870622" w14:textId="77777777" w:rsidR="00802D3E" w:rsidRDefault="00802D3E">
            <w:pPr>
              <w:pStyle w:val="MeasureTableTextRightAligned"/>
            </w:pPr>
            <w:r>
              <w:t>6,530</w:t>
            </w:r>
          </w:p>
        </w:tc>
        <w:tc>
          <w:tcPr>
            <w:tcW w:w="967" w:type="dxa"/>
            <w:tcBorders>
              <w:top w:val="single" w:sz="2" w:space="0" w:color="auto"/>
              <w:left w:val="nil"/>
              <w:bottom w:val="single" w:sz="2" w:space="0" w:color="auto"/>
              <w:right w:val="nil"/>
            </w:tcBorders>
            <w:vAlign w:val="bottom"/>
            <w:hideMark/>
          </w:tcPr>
          <w:p w14:paraId="20870623" w14:textId="77777777" w:rsidR="00802D3E" w:rsidRDefault="00802D3E">
            <w:pPr>
              <w:pStyle w:val="MeasureTableTextRightAligned"/>
            </w:pPr>
            <w:r>
              <w:t>9,750</w:t>
            </w:r>
          </w:p>
        </w:tc>
        <w:tc>
          <w:tcPr>
            <w:tcW w:w="967" w:type="dxa"/>
            <w:tcBorders>
              <w:top w:val="single" w:sz="2" w:space="0" w:color="auto"/>
              <w:left w:val="nil"/>
              <w:bottom w:val="single" w:sz="2" w:space="0" w:color="auto"/>
              <w:right w:val="nil"/>
            </w:tcBorders>
            <w:vAlign w:val="bottom"/>
            <w:hideMark/>
          </w:tcPr>
          <w:p w14:paraId="20870624" w14:textId="77777777" w:rsidR="00802D3E" w:rsidRDefault="00802D3E">
            <w:pPr>
              <w:pStyle w:val="MeasureTableTextRightAligned"/>
            </w:pPr>
            <w:r>
              <w:t>9,610</w:t>
            </w:r>
          </w:p>
        </w:tc>
        <w:tc>
          <w:tcPr>
            <w:tcW w:w="967" w:type="dxa"/>
            <w:gridSpan w:val="2"/>
            <w:tcBorders>
              <w:top w:val="single" w:sz="2" w:space="0" w:color="auto"/>
              <w:left w:val="nil"/>
              <w:bottom w:val="single" w:sz="2" w:space="0" w:color="auto"/>
              <w:right w:val="nil"/>
            </w:tcBorders>
            <w:vAlign w:val="bottom"/>
            <w:hideMark/>
          </w:tcPr>
          <w:p w14:paraId="20870625" w14:textId="77777777" w:rsidR="00802D3E" w:rsidRDefault="00802D3E">
            <w:pPr>
              <w:pStyle w:val="MeasureTableTextRightAligned"/>
            </w:pPr>
            <w:r>
              <w:t>11,080</w:t>
            </w:r>
          </w:p>
        </w:tc>
        <w:tc>
          <w:tcPr>
            <w:tcW w:w="967" w:type="dxa"/>
            <w:gridSpan w:val="2"/>
            <w:tcBorders>
              <w:top w:val="single" w:sz="2" w:space="0" w:color="auto"/>
              <w:left w:val="nil"/>
              <w:bottom w:val="single" w:sz="2" w:space="0" w:color="auto"/>
              <w:right w:val="nil"/>
            </w:tcBorders>
            <w:vAlign w:val="bottom"/>
            <w:hideMark/>
          </w:tcPr>
          <w:p w14:paraId="20870626" w14:textId="77777777" w:rsidR="00802D3E" w:rsidRDefault="00802D3E">
            <w:pPr>
              <w:pStyle w:val="MeasureTableTextRightAligned"/>
            </w:pPr>
            <w:r>
              <w:t>11,310</w:t>
            </w:r>
          </w:p>
        </w:tc>
        <w:tc>
          <w:tcPr>
            <w:tcW w:w="968" w:type="dxa"/>
            <w:tcBorders>
              <w:top w:val="single" w:sz="2" w:space="0" w:color="auto"/>
              <w:left w:val="nil"/>
              <w:bottom w:val="single" w:sz="2" w:space="0" w:color="auto"/>
              <w:right w:val="nil"/>
            </w:tcBorders>
            <w:vAlign w:val="bottom"/>
            <w:hideMark/>
          </w:tcPr>
          <w:p w14:paraId="20870627" w14:textId="77777777" w:rsidR="00802D3E" w:rsidRDefault="00802D3E">
            <w:pPr>
              <w:pStyle w:val="MeasureTableTextRightAligned"/>
            </w:pPr>
            <w:r>
              <w:t>12,090</w:t>
            </w:r>
          </w:p>
        </w:tc>
      </w:tr>
      <w:tr w:rsidR="00802D3E" w14:paraId="2087062D" w14:textId="77777777" w:rsidTr="00802D3E">
        <w:trPr>
          <w:cantSplit/>
          <w:jc w:val="center"/>
        </w:trPr>
        <w:tc>
          <w:tcPr>
            <w:tcW w:w="1934" w:type="dxa"/>
            <w:gridSpan w:val="2"/>
            <w:tcBorders>
              <w:top w:val="single" w:sz="2" w:space="0" w:color="auto"/>
              <w:left w:val="nil"/>
              <w:bottom w:val="nil"/>
              <w:right w:val="nil"/>
            </w:tcBorders>
            <w:hideMark/>
          </w:tcPr>
          <w:p w14:paraId="2087062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62A" w14:textId="77777777" w:rsidR="00802D3E" w:rsidRDefault="00802D3E">
            <w:pPr>
              <w:pStyle w:val="MeasureTableTextLeftAligned"/>
            </w:pPr>
            <w:r>
              <w:t>Reduction in taxable value</w:t>
            </w:r>
          </w:p>
        </w:tc>
        <w:tc>
          <w:tcPr>
            <w:tcW w:w="1500" w:type="dxa"/>
            <w:gridSpan w:val="2"/>
            <w:tcBorders>
              <w:top w:val="single" w:sz="2" w:space="0" w:color="auto"/>
              <w:left w:val="nil"/>
              <w:bottom w:val="nil"/>
              <w:right w:val="nil"/>
            </w:tcBorders>
            <w:hideMark/>
          </w:tcPr>
          <w:p w14:paraId="2087062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62C" w14:textId="77777777" w:rsidR="00802D3E" w:rsidRDefault="00802D3E">
            <w:pPr>
              <w:pStyle w:val="MeasureTableTextLeftAligned"/>
            </w:pPr>
            <w:r>
              <w:t>E11</w:t>
            </w:r>
          </w:p>
        </w:tc>
      </w:tr>
      <w:tr w:rsidR="00802D3E" w14:paraId="20870632" w14:textId="77777777" w:rsidTr="00802D3E">
        <w:trPr>
          <w:cantSplit/>
          <w:jc w:val="center"/>
        </w:trPr>
        <w:tc>
          <w:tcPr>
            <w:tcW w:w="1934" w:type="dxa"/>
            <w:gridSpan w:val="2"/>
            <w:tcBorders>
              <w:top w:val="nil"/>
              <w:left w:val="nil"/>
              <w:bottom w:val="nil"/>
              <w:right w:val="nil"/>
            </w:tcBorders>
            <w:hideMark/>
          </w:tcPr>
          <w:p w14:paraId="2087062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62F"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630" w14:textId="77777777" w:rsidR="00802D3E" w:rsidRDefault="00802D3E">
            <w:pPr>
              <w:pStyle w:val="MeasureTableTextItalic"/>
            </w:pPr>
          </w:p>
        </w:tc>
        <w:tc>
          <w:tcPr>
            <w:tcW w:w="1124" w:type="dxa"/>
            <w:gridSpan w:val="2"/>
            <w:tcBorders>
              <w:top w:val="nil"/>
              <w:left w:val="nil"/>
              <w:bottom w:val="nil"/>
              <w:right w:val="nil"/>
            </w:tcBorders>
          </w:tcPr>
          <w:p w14:paraId="20870631" w14:textId="77777777" w:rsidR="00802D3E" w:rsidRDefault="00802D3E">
            <w:pPr>
              <w:pStyle w:val="MeasureTableTextLeftAligned"/>
            </w:pPr>
          </w:p>
        </w:tc>
      </w:tr>
      <w:tr w:rsidR="00802D3E" w14:paraId="20870637" w14:textId="77777777" w:rsidTr="00802D3E">
        <w:trPr>
          <w:cantSplit/>
          <w:jc w:val="center"/>
        </w:trPr>
        <w:tc>
          <w:tcPr>
            <w:tcW w:w="1934" w:type="dxa"/>
            <w:gridSpan w:val="2"/>
            <w:tcBorders>
              <w:top w:val="nil"/>
              <w:left w:val="nil"/>
              <w:bottom w:val="nil"/>
              <w:right w:val="nil"/>
            </w:tcBorders>
            <w:hideMark/>
          </w:tcPr>
          <w:p w14:paraId="2087063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634" w14:textId="77777777" w:rsidR="00802D3E" w:rsidRDefault="00802D3E">
            <w:pPr>
              <w:pStyle w:val="MeasureTableTextLeftAligned"/>
            </w:pPr>
            <w:r>
              <w:t>1999; 2012 (removal for non-residents)</w:t>
            </w:r>
          </w:p>
        </w:tc>
        <w:tc>
          <w:tcPr>
            <w:tcW w:w="1500" w:type="dxa"/>
            <w:gridSpan w:val="2"/>
            <w:tcBorders>
              <w:top w:val="nil"/>
              <w:left w:val="nil"/>
              <w:bottom w:val="nil"/>
              <w:right w:val="nil"/>
            </w:tcBorders>
            <w:hideMark/>
          </w:tcPr>
          <w:p w14:paraId="20870635"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636" w14:textId="77777777" w:rsidR="00802D3E" w:rsidRDefault="00802D3E">
            <w:pPr>
              <w:pStyle w:val="MeasureTableTextLeftAligned"/>
            </w:pPr>
          </w:p>
        </w:tc>
      </w:tr>
      <w:tr w:rsidR="00802D3E" w14:paraId="2087063A" w14:textId="77777777" w:rsidTr="00802D3E">
        <w:trPr>
          <w:cantSplit/>
          <w:jc w:val="center"/>
        </w:trPr>
        <w:tc>
          <w:tcPr>
            <w:tcW w:w="1934" w:type="dxa"/>
            <w:gridSpan w:val="2"/>
            <w:tcBorders>
              <w:top w:val="nil"/>
              <w:left w:val="nil"/>
              <w:bottom w:val="single" w:sz="2" w:space="0" w:color="auto"/>
              <w:right w:val="nil"/>
            </w:tcBorders>
            <w:hideMark/>
          </w:tcPr>
          <w:p w14:paraId="2087063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639"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Division 115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63B" w14:textId="77777777" w:rsidR="00802D3E" w:rsidRDefault="00802D3E" w:rsidP="00A109BC">
      <w:pPr>
        <w:pStyle w:val="SingleParagraph"/>
      </w:pPr>
    </w:p>
    <w:p w14:paraId="2087063C" w14:textId="77777777" w:rsidR="00802D3E" w:rsidRDefault="00802D3E" w:rsidP="00802D3E">
      <w:r>
        <w:t>A CGT exemption applies to 50 per cent of any nominal capital gain made by a resident individual or trust where the asset has been owned for at least 12 months. Different rules may apply to assets acquired before 21 September 1999.</w:t>
      </w:r>
      <w:r>
        <w:fldChar w:fldCharType="begin"/>
      </w:r>
      <w:r>
        <w:instrText xml:space="preserve"> XE "</w:instrText>
      </w:r>
      <w:r>
        <w:rPr>
          <w:lang w:val="en-US"/>
        </w:rPr>
        <w:instrText>Capital gains tax:Discount</w:instrText>
      </w:r>
      <w:r>
        <w:instrText xml:space="preserve">" </w:instrText>
      </w:r>
      <w:r>
        <w:fldChar w:fldCharType="end"/>
      </w:r>
    </w:p>
    <w:p w14:paraId="2087063D" w14:textId="77777777" w:rsidR="00802D3E" w:rsidRDefault="00802D3E" w:rsidP="00802D3E">
      <w:pPr>
        <w:pStyle w:val="TESHeading5"/>
        <w:ind w:left="0" w:firstLine="0"/>
      </w:pPr>
      <w:r>
        <w:t>E14</w:t>
      </w:r>
      <w:r>
        <w:tab/>
        <w:t>Discount for investors in listed investment companies</w:t>
      </w:r>
    </w:p>
    <w:p w14:paraId="2087063E"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647" w14:textId="77777777" w:rsidTr="00802D3E">
        <w:trPr>
          <w:cantSplit/>
          <w:jc w:val="center"/>
        </w:trPr>
        <w:tc>
          <w:tcPr>
            <w:tcW w:w="967" w:type="dxa"/>
            <w:tcBorders>
              <w:top w:val="single" w:sz="2" w:space="0" w:color="auto"/>
              <w:left w:val="nil"/>
              <w:bottom w:val="single" w:sz="2" w:space="0" w:color="auto"/>
              <w:right w:val="nil"/>
            </w:tcBorders>
            <w:hideMark/>
          </w:tcPr>
          <w:p w14:paraId="2087063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64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64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64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64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64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64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646" w14:textId="77777777" w:rsidR="00802D3E" w:rsidRDefault="00802D3E">
            <w:pPr>
              <w:pStyle w:val="MeasureTableTextRightAligned"/>
            </w:pPr>
            <w:r>
              <w:t>2019-20</w:t>
            </w:r>
          </w:p>
        </w:tc>
      </w:tr>
      <w:tr w:rsidR="00802D3E" w14:paraId="20870650" w14:textId="77777777" w:rsidTr="00802D3E">
        <w:trPr>
          <w:cantSplit/>
          <w:jc w:val="center"/>
        </w:trPr>
        <w:tc>
          <w:tcPr>
            <w:tcW w:w="967" w:type="dxa"/>
            <w:tcBorders>
              <w:top w:val="single" w:sz="2" w:space="0" w:color="auto"/>
              <w:left w:val="nil"/>
              <w:bottom w:val="single" w:sz="2" w:space="0" w:color="auto"/>
              <w:right w:val="nil"/>
            </w:tcBorders>
            <w:hideMark/>
          </w:tcPr>
          <w:p w14:paraId="20870648" w14:textId="77777777" w:rsidR="00802D3E" w:rsidRDefault="00802D3E">
            <w:pPr>
              <w:pStyle w:val="MeasureTableTextRightAligned"/>
            </w:pPr>
            <w:r>
              <w:t>35</w:t>
            </w:r>
          </w:p>
        </w:tc>
        <w:tc>
          <w:tcPr>
            <w:tcW w:w="967" w:type="dxa"/>
            <w:tcBorders>
              <w:top w:val="single" w:sz="2" w:space="0" w:color="auto"/>
              <w:left w:val="nil"/>
              <w:bottom w:val="single" w:sz="2" w:space="0" w:color="auto"/>
              <w:right w:val="nil"/>
            </w:tcBorders>
            <w:hideMark/>
          </w:tcPr>
          <w:p w14:paraId="20870649" w14:textId="77777777" w:rsidR="00802D3E" w:rsidRDefault="00802D3E">
            <w:pPr>
              <w:pStyle w:val="MeasureTableTextRightAligned"/>
            </w:pPr>
            <w:r>
              <w:t>40</w:t>
            </w:r>
          </w:p>
        </w:tc>
        <w:tc>
          <w:tcPr>
            <w:tcW w:w="967" w:type="dxa"/>
            <w:tcBorders>
              <w:top w:val="single" w:sz="2" w:space="0" w:color="auto"/>
              <w:left w:val="nil"/>
              <w:bottom w:val="single" w:sz="2" w:space="0" w:color="auto"/>
              <w:right w:val="nil"/>
            </w:tcBorders>
            <w:vAlign w:val="bottom"/>
            <w:hideMark/>
          </w:tcPr>
          <w:p w14:paraId="2087064A" w14:textId="77777777" w:rsidR="00802D3E" w:rsidRDefault="00802D3E">
            <w:pPr>
              <w:pStyle w:val="MeasureTableTextRightAligned"/>
            </w:pPr>
            <w:r>
              <w:t>60</w:t>
            </w:r>
          </w:p>
        </w:tc>
        <w:tc>
          <w:tcPr>
            <w:tcW w:w="967" w:type="dxa"/>
            <w:tcBorders>
              <w:top w:val="single" w:sz="2" w:space="0" w:color="auto"/>
              <w:left w:val="nil"/>
              <w:bottom w:val="single" w:sz="2" w:space="0" w:color="auto"/>
              <w:right w:val="nil"/>
            </w:tcBorders>
            <w:vAlign w:val="bottom"/>
            <w:hideMark/>
          </w:tcPr>
          <w:p w14:paraId="2087064B"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7064C" w14:textId="77777777" w:rsidR="00802D3E" w:rsidRDefault="00802D3E">
            <w:pPr>
              <w:pStyle w:val="MeasureTableTextRightAligned"/>
            </w:pPr>
            <w:r>
              <w:t>55</w:t>
            </w:r>
          </w:p>
        </w:tc>
        <w:tc>
          <w:tcPr>
            <w:tcW w:w="967" w:type="dxa"/>
            <w:gridSpan w:val="2"/>
            <w:tcBorders>
              <w:top w:val="single" w:sz="2" w:space="0" w:color="auto"/>
              <w:left w:val="nil"/>
              <w:bottom w:val="single" w:sz="2" w:space="0" w:color="auto"/>
              <w:right w:val="nil"/>
            </w:tcBorders>
            <w:vAlign w:val="bottom"/>
            <w:hideMark/>
          </w:tcPr>
          <w:p w14:paraId="2087064D" w14:textId="77777777" w:rsidR="00802D3E" w:rsidRDefault="00802D3E">
            <w:pPr>
              <w:pStyle w:val="MeasureTableTextRightAligned"/>
            </w:pPr>
            <w:r>
              <w:t>60</w:t>
            </w:r>
          </w:p>
        </w:tc>
        <w:tc>
          <w:tcPr>
            <w:tcW w:w="967" w:type="dxa"/>
            <w:gridSpan w:val="2"/>
            <w:tcBorders>
              <w:top w:val="single" w:sz="2" w:space="0" w:color="auto"/>
              <w:left w:val="nil"/>
              <w:bottom w:val="single" w:sz="2" w:space="0" w:color="auto"/>
              <w:right w:val="nil"/>
            </w:tcBorders>
            <w:vAlign w:val="bottom"/>
            <w:hideMark/>
          </w:tcPr>
          <w:p w14:paraId="2087064E" w14:textId="77777777" w:rsidR="00802D3E" w:rsidRDefault="00802D3E">
            <w:pPr>
              <w:pStyle w:val="MeasureTableTextRightAligned"/>
            </w:pPr>
            <w:r>
              <w:t>80</w:t>
            </w:r>
          </w:p>
        </w:tc>
        <w:tc>
          <w:tcPr>
            <w:tcW w:w="968" w:type="dxa"/>
            <w:tcBorders>
              <w:top w:val="single" w:sz="2" w:space="0" w:color="auto"/>
              <w:left w:val="nil"/>
              <w:bottom w:val="single" w:sz="2" w:space="0" w:color="auto"/>
              <w:right w:val="nil"/>
            </w:tcBorders>
            <w:vAlign w:val="bottom"/>
            <w:hideMark/>
          </w:tcPr>
          <w:p w14:paraId="2087064F" w14:textId="77777777" w:rsidR="00802D3E" w:rsidRDefault="00802D3E">
            <w:pPr>
              <w:pStyle w:val="MeasureTableTextRightAligned"/>
            </w:pPr>
            <w:r>
              <w:t>85</w:t>
            </w:r>
          </w:p>
        </w:tc>
      </w:tr>
      <w:tr w:rsidR="00802D3E" w14:paraId="20870655" w14:textId="77777777" w:rsidTr="00802D3E">
        <w:trPr>
          <w:cantSplit/>
          <w:jc w:val="center"/>
        </w:trPr>
        <w:tc>
          <w:tcPr>
            <w:tcW w:w="1934" w:type="dxa"/>
            <w:gridSpan w:val="2"/>
            <w:tcBorders>
              <w:top w:val="single" w:sz="2" w:space="0" w:color="auto"/>
              <w:left w:val="nil"/>
              <w:bottom w:val="nil"/>
              <w:right w:val="nil"/>
            </w:tcBorders>
            <w:hideMark/>
          </w:tcPr>
          <w:p w14:paraId="2087065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652"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7065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654" w14:textId="77777777" w:rsidR="00802D3E" w:rsidRDefault="00802D3E">
            <w:pPr>
              <w:pStyle w:val="MeasureTableTextLeftAligned"/>
            </w:pPr>
            <w:r>
              <w:t>E12</w:t>
            </w:r>
          </w:p>
        </w:tc>
      </w:tr>
      <w:tr w:rsidR="00802D3E" w14:paraId="2087065A" w14:textId="77777777" w:rsidTr="00802D3E">
        <w:trPr>
          <w:cantSplit/>
          <w:jc w:val="center"/>
        </w:trPr>
        <w:tc>
          <w:tcPr>
            <w:tcW w:w="1934" w:type="dxa"/>
            <w:gridSpan w:val="2"/>
            <w:tcBorders>
              <w:top w:val="nil"/>
              <w:left w:val="nil"/>
              <w:bottom w:val="nil"/>
              <w:right w:val="nil"/>
            </w:tcBorders>
            <w:hideMark/>
          </w:tcPr>
          <w:p w14:paraId="2087065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657" w14:textId="77777777" w:rsidR="00802D3E" w:rsidRDefault="00802D3E">
            <w:pPr>
              <w:pStyle w:val="MeasureTableTextLeftAligned"/>
            </w:pPr>
            <w:r>
              <w:t>Low</w:t>
            </w:r>
          </w:p>
        </w:tc>
        <w:tc>
          <w:tcPr>
            <w:tcW w:w="1500" w:type="dxa"/>
            <w:gridSpan w:val="2"/>
            <w:tcBorders>
              <w:top w:val="nil"/>
              <w:left w:val="nil"/>
              <w:bottom w:val="nil"/>
              <w:right w:val="nil"/>
            </w:tcBorders>
          </w:tcPr>
          <w:p w14:paraId="20870658" w14:textId="77777777" w:rsidR="00802D3E" w:rsidRDefault="00802D3E">
            <w:pPr>
              <w:pStyle w:val="MeasureTableTextItalic"/>
            </w:pPr>
          </w:p>
        </w:tc>
        <w:tc>
          <w:tcPr>
            <w:tcW w:w="1124" w:type="dxa"/>
            <w:gridSpan w:val="2"/>
            <w:tcBorders>
              <w:top w:val="nil"/>
              <w:left w:val="nil"/>
              <w:bottom w:val="nil"/>
              <w:right w:val="nil"/>
            </w:tcBorders>
          </w:tcPr>
          <w:p w14:paraId="20870659" w14:textId="77777777" w:rsidR="00802D3E" w:rsidRDefault="00802D3E">
            <w:pPr>
              <w:pStyle w:val="MeasureTableTextLeftAligned"/>
            </w:pPr>
          </w:p>
        </w:tc>
      </w:tr>
      <w:tr w:rsidR="00802D3E" w14:paraId="2087065F" w14:textId="77777777" w:rsidTr="00802D3E">
        <w:trPr>
          <w:cantSplit/>
          <w:jc w:val="center"/>
        </w:trPr>
        <w:tc>
          <w:tcPr>
            <w:tcW w:w="1934" w:type="dxa"/>
            <w:gridSpan w:val="2"/>
            <w:tcBorders>
              <w:top w:val="nil"/>
              <w:left w:val="nil"/>
              <w:bottom w:val="nil"/>
              <w:right w:val="nil"/>
            </w:tcBorders>
            <w:hideMark/>
          </w:tcPr>
          <w:p w14:paraId="2087065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65C" w14:textId="77777777" w:rsidR="00802D3E" w:rsidRDefault="00802D3E">
            <w:pPr>
              <w:pStyle w:val="MeasureTableTextLeftAligned"/>
            </w:pPr>
            <w:r>
              <w:t>2001</w:t>
            </w:r>
          </w:p>
        </w:tc>
        <w:tc>
          <w:tcPr>
            <w:tcW w:w="1500" w:type="dxa"/>
            <w:gridSpan w:val="2"/>
            <w:tcBorders>
              <w:top w:val="nil"/>
              <w:left w:val="nil"/>
              <w:bottom w:val="nil"/>
              <w:right w:val="nil"/>
            </w:tcBorders>
            <w:hideMark/>
          </w:tcPr>
          <w:p w14:paraId="2087065D"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65E" w14:textId="77777777" w:rsidR="00802D3E" w:rsidRDefault="00802D3E">
            <w:pPr>
              <w:pStyle w:val="MeasureTableTextLeftAligned"/>
            </w:pPr>
          </w:p>
        </w:tc>
      </w:tr>
      <w:tr w:rsidR="00802D3E" w14:paraId="20870662" w14:textId="77777777" w:rsidTr="00802D3E">
        <w:trPr>
          <w:cantSplit/>
          <w:jc w:val="center"/>
        </w:trPr>
        <w:tc>
          <w:tcPr>
            <w:tcW w:w="1934" w:type="dxa"/>
            <w:gridSpan w:val="2"/>
            <w:tcBorders>
              <w:top w:val="nil"/>
              <w:left w:val="nil"/>
              <w:bottom w:val="single" w:sz="2" w:space="0" w:color="auto"/>
              <w:right w:val="nil"/>
            </w:tcBorders>
            <w:hideMark/>
          </w:tcPr>
          <w:p w14:paraId="2087066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661"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Subdivision 115-D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663" w14:textId="77777777" w:rsidR="00802D3E" w:rsidRDefault="00802D3E" w:rsidP="00A109BC">
      <w:pPr>
        <w:pStyle w:val="SingleParagraph"/>
      </w:pPr>
    </w:p>
    <w:p w14:paraId="20870664" w14:textId="77777777" w:rsidR="00802D3E" w:rsidRDefault="00802D3E" w:rsidP="00802D3E">
      <w:r>
        <w:t>The shareholders of a listed investment company</w:t>
      </w:r>
      <w:r>
        <w:fldChar w:fldCharType="begin"/>
      </w:r>
      <w:r>
        <w:instrText xml:space="preserve"> XE "Listed investment company" </w:instrText>
      </w:r>
      <w:r>
        <w:fldChar w:fldCharType="end"/>
      </w:r>
      <w:r>
        <w:t xml:space="preserve"> (LIC) who receive dividends that represent a distribution of capital gains made by that company are entitled to a deduction equivalent to the CGT discount they would have received if they had realised the capital gains themselves. This concession applies in respect of gains </w:t>
      </w:r>
      <w:r>
        <w:lastRenderedPageBreak/>
        <w:t xml:space="preserve">realised by a LIC on or after 1 July 2001, provided the assets have been held by the LIC for at least 12 months. </w:t>
      </w:r>
    </w:p>
    <w:p w14:paraId="20870665" w14:textId="77777777" w:rsidR="00802D3E" w:rsidRDefault="00802D3E" w:rsidP="00802D3E">
      <w:pPr>
        <w:pStyle w:val="TESHeading5"/>
        <w:ind w:left="0" w:firstLine="0"/>
      </w:pPr>
      <w:r>
        <w:t>E15</w:t>
      </w:r>
      <w:r>
        <w:tab/>
        <w:t>Exemption for assets acquired before 20 September 1985</w:t>
      </w:r>
    </w:p>
    <w:p w14:paraId="20870666"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66F" w14:textId="77777777" w:rsidTr="00802D3E">
        <w:trPr>
          <w:cantSplit/>
          <w:jc w:val="center"/>
        </w:trPr>
        <w:tc>
          <w:tcPr>
            <w:tcW w:w="967" w:type="dxa"/>
            <w:tcBorders>
              <w:top w:val="single" w:sz="2" w:space="0" w:color="auto"/>
              <w:left w:val="nil"/>
              <w:bottom w:val="single" w:sz="2" w:space="0" w:color="auto"/>
              <w:right w:val="nil"/>
            </w:tcBorders>
            <w:hideMark/>
          </w:tcPr>
          <w:p w14:paraId="2087066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66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66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66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66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66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66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66E" w14:textId="77777777" w:rsidR="00802D3E" w:rsidRDefault="00802D3E">
            <w:pPr>
              <w:pStyle w:val="MeasureTableTextRightAligned"/>
            </w:pPr>
            <w:r>
              <w:t>2019-20</w:t>
            </w:r>
          </w:p>
        </w:tc>
      </w:tr>
      <w:tr w:rsidR="00802D3E" w14:paraId="20870678" w14:textId="77777777" w:rsidTr="00802D3E">
        <w:trPr>
          <w:cantSplit/>
          <w:jc w:val="center"/>
        </w:trPr>
        <w:tc>
          <w:tcPr>
            <w:tcW w:w="967" w:type="dxa"/>
            <w:tcBorders>
              <w:top w:val="single" w:sz="2" w:space="0" w:color="auto"/>
              <w:left w:val="nil"/>
              <w:bottom w:val="single" w:sz="2" w:space="0" w:color="auto"/>
              <w:right w:val="nil"/>
            </w:tcBorders>
            <w:hideMark/>
          </w:tcPr>
          <w:p w14:paraId="2087067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67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7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7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74"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67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676"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677" w14:textId="77777777" w:rsidR="00802D3E" w:rsidRDefault="00802D3E">
            <w:pPr>
              <w:pStyle w:val="MeasureTableTextRightAligned"/>
            </w:pPr>
            <w:r>
              <w:t>*</w:t>
            </w:r>
          </w:p>
        </w:tc>
      </w:tr>
      <w:tr w:rsidR="00802D3E" w14:paraId="2087067D" w14:textId="77777777" w:rsidTr="00802D3E">
        <w:trPr>
          <w:cantSplit/>
          <w:jc w:val="center"/>
        </w:trPr>
        <w:tc>
          <w:tcPr>
            <w:tcW w:w="1934" w:type="dxa"/>
            <w:gridSpan w:val="2"/>
            <w:tcBorders>
              <w:top w:val="single" w:sz="2" w:space="0" w:color="auto"/>
              <w:left w:val="nil"/>
              <w:bottom w:val="nil"/>
              <w:right w:val="nil"/>
            </w:tcBorders>
            <w:hideMark/>
          </w:tcPr>
          <w:p w14:paraId="2087067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67A"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67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67C" w14:textId="77777777" w:rsidR="00802D3E" w:rsidRDefault="00802D3E">
            <w:pPr>
              <w:pStyle w:val="MeasureTableTextLeftAligned"/>
            </w:pPr>
            <w:r>
              <w:t>E13</w:t>
            </w:r>
          </w:p>
        </w:tc>
      </w:tr>
      <w:tr w:rsidR="00802D3E" w14:paraId="20870682" w14:textId="77777777" w:rsidTr="00802D3E">
        <w:trPr>
          <w:cantSplit/>
          <w:jc w:val="center"/>
        </w:trPr>
        <w:tc>
          <w:tcPr>
            <w:tcW w:w="1934" w:type="dxa"/>
            <w:gridSpan w:val="2"/>
            <w:tcBorders>
              <w:top w:val="nil"/>
              <w:left w:val="nil"/>
              <w:bottom w:val="nil"/>
              <w:right w:val="nil"/>
            </w:tcBorders>
            <w:hideMark/>
          </w:tcPr>
          <w:p w14:paraId="2087067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67F"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680"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681" w14:textId="77777777" w:rsidR="00802D3E" w:rsidRDefault="00802D3E">
            <w:pPr>
              <w:pStyle w:val="MeasureTableTextLeftAligned"/>
            </w:pPr>
            <w:r>
              <w:t>2+</w:t>
            </w:r>
          </w:p>
        </w:tc>
      </w:tr>
      <w:tr w:rsidR="00802D3E" w14:paraId="20870687" w14:textId="77777777" w:rsidTr="00802D3E">
        <w:trPr>
          <w:cantSplit/>
          <w:jc w:val="center"/>
        </w:trPr>
        <w:tc>
          <w:tcPr>
            <w:tcW w:w="1934" w:type="dxa"/>
            <w:gridSpan w:val="2"/>
            <w:tcBorders>
              <w:top w:val="nil"/>
              <w:left w:val="nil"/>
              <w:bottom w:val="nil"/>
              <w:right w:val="nil"/>
            </w:tcBorders>
            <w:hideMark/>
          </w:tcPr>
          <w:p w14:paraId="2087068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684" w14:textId="77777777" w:rsidR="00802D3E" w:rsidRDefault="00802D3E">
            <w:pPr>
              <w:pStyle w:val="MeasureTableTextLeftAligned"/>
            </w:pPr>
            <w:r>
              <w:t>1985</w:t>
            </w:r>
          </w:p>
        </w:tc>
        <w:tc>
          <w:tcPr>
            <w:tcW w:w="1500" w:type="dxa"/>
            <w:gridSpan w:val="2"/>
            <w:tcBorders>
              <w:top w:val="nil"/>
              <w:left w:val="nil"/>
              <w:bottom w:val="nil"/>
              <w:right w:val="nil"/>
            </w:tcBorders>
            <w:hideMark/>
          </w:tcPr>
          <w:p w14:paraId="20870685"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686" w14:textId="77777777" w:rsidR="00802D3E" w:rsidRDefault="00802D3E">
            <w:pPr>
              <w:pStyle w:val="MeasureTableTextLeftAligned"/>
            </w:pPr>
          </w:p>
        </w:tc>
      </w:tr>
      <w:tr w:rsidR="00802D3E" w14:paraId="2087068A" w14:textId="77777777" w:rsidTr="00802D3E">
        <w:trPr>
          <w:cantSplit/>
          <w:jc w:val="center"/>
        </w:trPr>
        <w:tc>
          <w:tcPr>
            <w:tcW w:w="1934" w:type="dxa"/>
            <w:gridSpan w:val="2"/>
            <w:tcBorders>
              <w:top w:val="nil"/>
              <w:left w:val="nil"/>
              <w:bottom w:val="single" w:sz="2" w:space="0" w:color="auto"/>
              <w:right w:val="nil"/>
            </w:tcBorders>
            <w:hideMark/>
          </w:tcPr>
          <w:p w14:paraId="2087068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689"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Division 104 of the </w:t>
            </w:r>
            <w:r>
              <w:rPr>
                <w:rFonts w:ascii="Arial" w:hAnsi="Arial" w:cs="Arial"/>
                <w:i/>
                <w:iCs/>
                <w:color w:val="000000"/>
                <w:sz w:val="16"/>
                <w:szCs w:val="16"/>
              </w:rPr>
              <w:t>Income Tax Assessment Act 1997</w:t>
            </w:r>
          </w:p>
        </w:tc>
      </w:tr>
    </w:tbl>
    <w:p w14:paraId="2087068B" w14:textId="77777777" w:rsidR="00802D3E" w:rsidRDefault="00802D3E" w:rsidP="00A109BC">
      <w:pPr>
        <w:pStyle w:val="SingleParagraph"/>
      </w:pPr>
    </w:p>
    <w:p w14:paraId="2087068C" w14:textId="77777777" w:rsidR="00802D3E" w:rsidRDefault="00802D3E" w:rsidP="00802D3E">
      <w:r>
        <w:t xml:space="preserve">Capital gains or losses on assets acquired before 20 September 1985 (the commencement date of the CGT regime) are generally exempt from CGT. </w:t>
      </w:r>
    </w:p>
    <w:p w14:paraId="2087068D" w14:textId="77777777" w:rsidR="00802D3E" w:rsidRDefault="00802D3E" w:rsidP="00802D3E">
      <w:pPr>
        <w:pStyle w:val="TESHeading5"/>
        <w:ind w:left="0" w:firstLine="0"/>
      </w:pPr>
      <w:r>
        <w:t>E16</w:t>
      </w:r>
      <w:r>
        <w:tab/>
        <w:t>Exemption for demutualisation of mutual entities</w:t>
      </w:r>
    </w:p>
    <w:p w14:paraId="2087068E"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697" w14:textId="77777777" w:rsidTr="00802D3E">
        <w:trPr>
          <w:cantSplit/>
          <w:jc w:val="center"/>
        </w:trPr>
        <w:tc>
          <w:tcPr>
            <w:tcW w:w="967" w:type="dxa"/>
            <w:tcBorders>
              <w:top w:val="single" w:sz="2" w:space="0" w:color="auto"/>
              <w:left w:val="nil"/>
              <w:bottom w:val="single" w:sz="2" w:space="0" w:color="auto"/>
              <w:right w:val="nil"/>
            </w:tcBorders>
            <w:hideMark/>
          </w:tcPr>
          <w:p w14:paraId="2087068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69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69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69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69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69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69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696" w14:textId="77777777" w:rsidR="00802D3E" w:rsidRDefault="00802D3E">
            <w:pPr>
              <w:pStyle w:val="MeasureTableTextRightAligned"/>
            </w:pPr>
            <w:r>
              <w:t>2019-20</w:t>
            </w:r>
          </w:p>
        </w:tc>
      </w:tr>
      <w:tr w:rsidR="00802D3E" w14:paraId="208706A0" w14:textId="77777777" w:rsidTr="00802D3E">
        <w:trPr>
          <w:cantSplit/>
          <w:jc w:val="center"/>
        </w:trPr>
        <w:tc>
          <w:tcPr>
            <w:tcW w:w="967" w:type="dxa"/>
            <w:tcBorders>
              <w:top w:val="single" w:sz="2" w:space="0" w:color="auto"/>
              <w:left w:val="nil"/>
              <w:bottom w:val="single" w:sz="2" w:space="0" w:color="auto"/>
              <w:right w:val="nil"/>
            </w:tcBorders>
            <w:hideMark/>
          </w:tcPr>
          <w:p w14:paraId="2087069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69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9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9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9C"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69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69E"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69F" w14:textId="77777777" w:rsidR="00802D3E" w:rsidRDefault="00802D3E">
            <w:pPr>
              <w:pStyle w:val="MeasureTableTextRightAligned"/>
            </w:pPr>
            <w:r>
              <w:t>*</w:t>
            </w:r>
          </w:p>
        </w:tc>
      </w:tr>
      <w:tr w:rsidR="00802D3E" w14:paraId="208706A5" w14:textId="77777777" w:rsidTr="00802D3E">
        <w:trPr>
          <w:cantSplit/>
          <w:jc w:val="center"/>
        </w:trPr>
        <w:tc>
          <w:tcPr>
            <w:tcW w:w="1934" w:type="dxa"/>
            <w:gridSpan w:val="2"/>
            <w:tcBorders>
              <w:top w:val="single" w:sz="2" w:space="0" w:color="auto"/>
              <w:left w:val="nil"/>
              <w:bottom w:val="nil"/>
              <w:right w:val="nil"/>
            </w:tcBorders>
            <w:hideMark/>
          </w:tcPr>
          <w:p w14:paraId="208706A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6A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6A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6A4" w14:textId="77777777" w:rsidR="00802D3E" w:rsidRDefault="00802D3E">
            <w:pPr>
              <w:pStyle w:val="MeasureTableTextLeftAligned"/>
            </w:pPr>
            <w:r>
              <w:t>E14</w:t>
            </w:r>
          </w:p>
        </w:tc>
      </w:tr>
      <w:tr w:rsidR="00802D3E" w14:paraId="208706AA" w14:textId="77777777" w:rsidTr="00802D3E">
        <w:trPr>
          <w:cantSplit/>
          <w:jc w:val="center"/>
        </w:trPr>
        <w:tc>
          <w:tcPr>
            <w:tcW w:w="1934" w:type="dxa"/>
            <w:gridSpan w:val="2"/>
            <w:tcBorders>
              <w:top w:val="nil"/>
              <w:left w:val="nil"/>
              <w:bottom w:val="nil"/>
              <w:right w:val="nil"/>
            </w:tcBorders>
            <w:hideMark/>
          </w:tcPr>
          <w:p w14:paraId="208706A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6A7"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6A8"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6A9" w14:textId="77777777" w:rsidR="00802D3E" w:rsidRDefault="00802D3E">
            <w:pPr>
              <w:pStyle w:val="MeasureTableTextLeftAligned"/>
            </w:pPr>
            <w:r>
              <w:t>1+</w:t>
            </w:r>
          </w:p>
        </w:tc>
      </w:tr>
      <w:tr w:rsidR="00802D3E" w14:paraId="208706AF" w14:textId="77777777" w:rsidTr="00802D3E">
        <w:trPr>
          <w:cantSplit/>
          <w:jc w:val="center"/>
        </w:trPr>
        <w:tc>
          <w:tcPr>
            <w:tcW w:w="1934" w:type="dxa"/>
            <w:gridSpan w:val="2"/>
            <w:tcBorders>
              <w:top w:val="nil"/>
              <w:left w:val="nil"/>
              <w:bottom w:val="nil"/>
              <w:right w:val="nil"/>
            </w:tcBorders>
            <w:hideMark/>
          </w:tcPr>
          <w:p w14:paraId="208706A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6AC" w14:textId="77777777" w:rsidR="00802D3E" w:rsidRDefault="00802D3E">
            <w:pPr>
              <w:pStyle w:val="MeasureTableTextLeftAligned"/>
            </w:pPr>
            <w:r>
              <w:t>1995 (mutual entities); 2007 (health insurers); 2008 (friendly societies)</w:t>
            </w:r>
          </w:p>
        </w:tc>
        <w:tc>
          <w:tcPr>
            <w:tcW w:w="1500" w:type="dxa"/>
            <w:gridSpan w:val="2"/>
            <w:tcBorders>
              <w:top w:val="nil"/>
              <w:left w:val="nil"/>
              <w:bottom w:val="nil"/>
              <w:right w:val="nil"/>
            </w:tcBorders>
            <w:hideMark/>
          </w:tcPr>
          <w:p w14:paraId="208706AD"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6AE" w14:textId="77777777" w:rsidR="00802D3E" w:rsidRDefault="00802D3E">
            <w:pPr>
              <w:pStyle w:val="MeasureTableTextLeftAligned"/>
            </w:pPr>
          </w:p>
        </w:tc>
      </w:tr>
      <w:tr w:rsidR="00802D3E" w14:paraId="208706B2" w14:textId="77777777" w:rsidTr="00802D3E">
        <w:trPr>
          <w:cantSplit/>
          <w:jc w:val="center"/>
        </w:trPr>
        <w:tc>
          <w:tcPr>
            <w:tcW w:w="1934" w:type="dxa"/>
            <w:gridSpan w:val="2"/>
            <w:tcBorders>
              <w:top w:val="nil"/>
              <w:left w:val="nil"/>
              <w:bottom w:val="single" w:sz="2" w:space="0" w:color="auto"/>
              <w:right w:val="nil"/>
            </w:tcBorders>
            <w:hideMark/>
          </w:tcPr>
          <w:p w14:paraId="208706B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6B1"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Division 9AA and Schedule 2H of the </w:t>
            </w:r>
            <w:r>
              <w:rPr>
                <w:rFonts w:ascii="Arial" w:hAnsi="Arial" w:cs="Arial"/>
                <w:i/>
                <w:iCs/>
                <w:color w:val="000000"/>
                <w:sz w:val="16"/>
                <w:szCs w:val="16"/>
              </w:rPr>
              <w:t>Income Tax Assessment Act 1936</w:t>
            </w:r>
            <w:r>
              <w:rPr>
                <w:rFonts w:ascii="Arial" w:hAnsi="Arial" w:cs="Arial"/>
                <w:i/>
                <w:iCs/>
                <w:color w:val="000000"/>
                <w:sz w:val="16"/>
                <w:szCs w:val="16"/>
              </w:rPr>
              <w:br/>
            </w:r>
            <w:r>
              <w:rPr>
                <w:rFonts w:ascii="Arial" w:hAnsi="Arial" w:cs="Arial"/>
                <w:color w:val="000000"/>
                <w:sz w:val="16"/>
                <w:szCs w:val="16"/>
              </w:rPr>
              <w:t xml:space="preserve">Division 315 and 316 of the </w:t>
            </w:r>
            <w:r>
              <w:rPr>
                <w:rFonts w:ascii="Arial" w:hAnsi="Arial" w:cs="Arial"/>
                <w:i/>
                <w:iCs/>
                <w:color w:val="000000"/>
                <w:sz w:val="16"/>
                <w:szCs w:val="16"/>
              </w:rPr>
              <w:t>Income Tax Assessment Act 1997</w:t>
            </w:r>
          </w:p>
        </w:tc>
      </w:tr>
    </w:tbl>
    <w:p w14:paraId="208706B3" w14:textId="77777777" w:rsidR="00802D3E" w:rsidRDefault="00802D3E" w:rsidP="00A109BC">
      <w:pPr>
        <w:pStyle w:val="SingleParagraph"/>
      </w:pPr>
    </w:p>
    <w:p w14:paraId="208706B4" w14:textId="77777777" w:rsidR="00802D3E" w:rsidRDefault="00802D3E" w:rsidP="00802D3E">
      <w:pPr>
        <w:pStyle w:val="Bullet"/>
        <w:numPr>
          <w:ilvl w:val="0"/>
          <w:numId w:val="0"/>
        </w:numPr>
        <w:tabs>
          <w:tab w:val="left" w:pos="720"/>
        </w:tabs>
      </w:pPr>
      <w:r>
        <w:t>Capital gains and losses arising under the demutualisation</w:t>
      </w:r>
      <w:r>
        <w:fldChar w:fldCharType="begin"/>
      </w:r>
      <w:r>
        <w:instrText xml:space="preserve"> XE "Demutualisation" </w:instrText>
      </w:r>
      <w:r>
        <w:fldChar w:fldCharType="end"/>
      </w:r>
      <w:r>
        <w:t xml:space="preserve"> of a mutual entity, including a life insurer, general insurer or health insurer are disregarded for members and/or policyholders that receive shares in the demutualised entity. Special rules determine the cost base of the shares received. </w:t>
      </w:r>
    </w:p>
    <w:p w14:paraId="208706B5" w14:textId="77777777" w:rsidR="00802D3E" w:rsidRDefault="00802D3E" w:rsidP="00802D3E">
      <w:pPr>
        <w:pStyle w:val="TESHeading5"/>
        <w:ind w:left="0" w:firstLine="0"/>
      </w:pPr>
      <w:r>
        <w:t>E17</w:t>
      </w:r>
      <w:r>
        <w:tab/>
        <w:t>Exemption for testamentary gifts to deductible gift recipients</w:t>
      </w:r>
    </w:p>
    <w:p w14:paraId="208706B6"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6BF" w14:textId="77777777" w:rsidTr="00802D3E">
        <w:trPr>
          <w:cantSplit/>
          <w:jc w:val="center"/>
        </w:trPr>
        <w:tc>
          <w:tcPr>
            <w:tcW w:w="967" w:type="dxa"/>
            <w:tcBorders>
              <w:top w:val="single" w:sz="2" w:space="0" w:color="auto"/>
              <w:left w:val="nil"/>
              <w:bottom w:val="single" w:sz="2" w:space="0" w:color="auto"/>
              <w:right w:val="nil"/>
            </w:tcBorders>
            <w:hideMark/>
          </w:tcPr>
          <w:p w14:paraId="208706B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6B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6B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6B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6B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6B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6B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6BE" w14:textId="77777777" w:rsidR="00802D3E" w:rsidRDefault="00802D3E">
            <w:pPr>
              <w:pStyle w:val="MeasureTableTextRightAligned"/>
            </w:pPr>
            <w:r>
              <w:t>2019-20</w:t>
            </w:r>
          </w:p>
        </w:tc>
      </w:tr>
      <w:tr w:rsidR="00802D3E" w14:paraId="208706C8" w14:textId="77777777" w:rsidTr="00802D3E">
        <w:trPr>
          <w:cantSplit/>
          <w:jc w:val="center"/>
        </w:trPr>
        <w:tc>
          <w:tcPr>
            <w:tcW w:w="967" w:type="dxa"/>
            <w:tcBorders>
              <w:top w:val="single" w:sz="2" w:space="0" w:color="auto"/>
              <w:left w:val="nil"/>
              <w:bottom w:val="single" w:sz="2" w:space="0" w:color="auto"/>
              <w:right w:val="nil"/>
            </w:tcBorders>
            <w:hideMark/>
          </w:tcPr>
          <w:p w14:paraId="208706C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6C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C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C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C4"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6C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6C6"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6C7" w14:textId="77777777" w:rsidR="00802D3E" w:rsidRDefault="00802D3E">
            <w:pPr>
              <w:pStyle w:val="MeasureTableTextRightAligned"/>
            </w:pPr>
            <w:r>
              <w:t>*</w:t>
            </w:r>
          </w:p>
        </w:tc>
      </w:tr>
      <w:tr w:rsidR="00802D3E" w14:paraId="208706CD" w14:textId="77777777" w:rsidTr="00802D3E">
        <w:trPr>
          <w:cantSplit/>
          <w:jc w:val="center"/>
        </w:trPr>
        <w:tc>
          <w:tcPr>
            <w:tcW w:w="1934" w:type="dxa"/>
            <w:gridSpan w:val="2"/>
            <w:tcBorders>
              <w:top w:val="single" w:sz="2" w:space="0" w:color="auto"/>
              <w:left w:val="nil"/>
              <w:bottom w:val="nil"/>
              <w:right w:val="nil"/>
            </w:tcBorders>
            <w:hideMark/>
          </w:tcPr>
          <w:p w14:paraId="208706C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6CA"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6C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6CC" w14:textId="77777777" w:rsidR="00802D3E" w:rsidRDefault="00802D3E">
            <w:pPr>
              <w:pStyle w:val="MeasureTableTextLeftAligned"/>
            </w:pPr>
            <w:r>
              <w:t>E27</w:t>
            </w:r>
          </w:p>
        </w:tc>
      </w:tr>
      <w:tr w:rsidR="00802D3E" w14:paraId="208706D2" w14:textId="77777777" w:rsidTr="00802D3E">
        <w:trPr>
          <w:cantSplit/>
          <w:jc w:val="center"/>
        </w:trPr>
        <w:tc>
          <w:tcPr>
            <w:tcW w:w="1934" w:type="dxa"/>
            <w:gridSpan w:val="2"/>
            <w:tcBorders>
              <w:top w:val="nil"/>
              <w:left w:val="nil"/>
              <w:bottom w:val="nil"/>
              <w:right w:val="nil"/>
            </w:tcBorders>
            <w:hideMark/>
          </w:tcPr>
          <w:p w14:paraId="208706C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6CF"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6D0"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6D1" w14:textId="77777777" w:rsidR="00802D3E" w:rsidRDefault="00802D3E">
            <w:pPr>
              <w:pStyle w:val="MeasureTableTextLeftAligned"/>
            </w:pPr>
            <w:r>
              <w:t>1+</w:t>
            </w:r>
          </w:p>
        </w:tc>
      </w:tr>
      <w:tr w:rsidR="00802D3E" w14:paraId="208706D7" w14:textId="77777777" w:rsidTr="00802D3E">
        <w:trPr>
          <w:cantSplit/>
          <w:jc w:val="center"/>
        </w:trPr>
        <w:tc>
          <w:tcPr>
            <w:tcW w:w="1934" w:type="dxa"/>
            <w:gridSpan w:val="2"/>
            <w:tcBorders>
              <w:top w:val="nil"/>
              <w:left w:val="nil"/>
              <w:bottom w:val="nil"/>
              <w:right w:val="nil"/>
            </w:tcBorders>
            <w:hideMark/>
          </w:tcPr>
          <w:p w14:paraId="208706D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6D4" w14:textId="77777777" w:rsidR="00802D3E" w:rsidRDefault="00802D3E">
            <w:pPr>
              <w:pStyle w:val="MeasureTableTextLeftAligned"/>
            </w:pPr>
            <w:r>
              <w:t>1999 (expanded 2005)</w:t>
            </w:r>
          </w:p>
        </w:tc>
        <w:tc>
          <w:tcPr>
            <w:tcW w:w="1500" w:type="dxa"/>
            <w:gridSpan w:val="2"/>
            <w:tcBorders>
              <w:top w:val="nil"/>
              <w:left w:val="nil"/>
              <w:bottom w:val="nil"/>
              <w:right w:val="nil"/>
            </w:tcBorders>
            <w:hideMark/>
          </w:tcPr>
          <w:p w14:paraId="208706D5"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6D6" w14:textId="77777777" w:rsidR="00802D3E" w:rsidRDefault="00802D3E">
            <w:pPr>
              <w:pStyle w:val="MeasureTableTextLeftAligned"/>
            </w:pPr>
          </w:p>
        </w:tc>
      </w:tr>
      <w:tr w:rsidR="00802D3E" w14:paraId="208706DA" w14:textId="77777777" w:rsidTr="00802D3E">
        <w:trPr>
          <w:cantSplit/>
          <w:jc w:val="center"/>
        </w:trPr>
        <w:tc>
          <w:tcPr>
            <w:tcW w:w="1934" w:type="dxa"/>
            <w:gridSpan w:val="2"/>
            <w:tcBorders>
              <w:top w:val="nil"/>
              <w:left w:val="nil"/>
              <w:bottom w:val="single" w:sz="2" w:space="0" w:color="auto"/>
              <w:right w:val="nil"/>
            </w:tcBorders>
            <w:hideMark/>
          </w:tcPr>
          <w:p w14:paraId="208706D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6D9"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Subsections 118-60(1) and (1A)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6DB" w14:textId="77777777" w:rsidR="00802D3E" w:rsidRDefault="00802D3E" w:rsidP="00A109BC">
      <w:pPr>
        <w:pStyle w:val="SingleParagraph"/>
      </w:pPr>
    </w:p>
    <w:p w14:paraId="208706DC" w14:textId="77777777" w:rsidR="00802D3E" w:rsidRDefault="00802D3E" w:rsidP="00802D3E">
      <w:r>
        <w:t xml:space="preserve">Testamentary gifts </w:t>
      </w:r>
      <w:r>
        <w:fldChar w:fldCharType="begin"/>
      </w:r>
      <w:r>
        <w:instrText xml:space="preserve"> XE "Testamentary gifts" </w:instrText>
      </w:r>
      <w:r>
        <w:fldChar w:fldCharType="end"/>
      </w:r>
      <w:r>
        <w:t xml:space="preserve">(gifts made under a will) of certain property to deductible gift recipients are exempt from CGT. </w:t>
      </w:r>
    </w:p>
    <w:p w14:paraId="208706DD" w14:textId="77777777" w:rsidR="00802D3E" w:rsidRDefault="00802D3E" w:rsidP="00802D3E">
      <w:pPr>
        <w:pStyle w:val="TESHeading5"/>
        <w:ind w:left="0" w:firstLine="0"/>
      </w:pPr>
      <w:r>
        <w:lastRenderedPageBreak/>
        <w:t>E18</w:t>
      </w:r>
      <w:r>
        <w:tab/>
        <w:t>Exemption from the market value substitution rule for certain interests in widely held entities</w:t>
      </w:r>
    </w:p>
    <w:p w14:paraId="208706DE"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6E7" w14:textId="77777777" w:rsidTr="00802D3E">
        <w:trPr>
          <w:cantSplit/>
          <w:jc w:val="center"/>
        </w:trPr>
        <w:tc>
          <w:tcPr>
            <w:tcW w:w="967" w:type="dxa"/>
            <w:tcBorders>
              <w:top w:val="single" w:sz="2" w:space="0" w:color="auto"/>
              <w:left w:val="nil"/>
              <w:bottom w:val="single" w:sz="2" w:space="0" w:color="auto"/>
              <w:right w:val="nil"/>
            </w:tcBorders>
            <w:hideMark/>
          </w:tcPr>
          <w:p w14:paraId="208706D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6E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6E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6E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6E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6E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6E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6E6" w14:textId="77777777" w:rsidR="00802D3E" w:rsidRDefault="00802D3E">
            <w:pPr>
              <w:pStyle w:val="MeasureTableTextRightAligned"/>
            </w:pPr>
            <w:r>
              <w:t>2019-20</w:t>
            </w:r>
          </w:p>
        </w:tc>
      </w:tr>
      <w:tr w:rsidR="00802D3E" w14:paraId="208706F0" w14:textId="77777777" w:rsidTr="00802D3E">
        <w:trPr>
          <w:cantSplit/>
          <w:jc w:val="center"/>
        </w:trPr>
        <w:tc>
          <w:tcPr>
            <w:tcW w:w="967" w:type="dxa"/>
            <w:tcBorders>
              <w:top w:val="single" w:sz="2" w:space="0" w:color="auto"/>
              <w:left w:val="nil"/>
              <w:bottom w:val="single" w:sz="2" w:space="0" w:color="auto"/>
              <w:right w:val="nil"/>
            </w:tcBorders>
            <w:hideMark/>
          </w:tcPr>
          <w:p w14:paraId="208706E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6E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E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E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6EC"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6E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6EE"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6EF" w14:textId="77777777" w:rsidR="00802D3E" w:rsidRDefault="00802D3E">
            <w:pPr>
              <w:pStyle w:val="MeasureTableTextRightAligned"/>
            </w:pPr>
            <w:r>
              <w:t>*</w:t>
            </w:r>
          </w:p>
        </w:tc>
      </w:tr>
      <w:tr w:rsidR="00802D3E" w14:paraId="208706F5" w14:textId="77777777" w:rsidTr="00802D3E">
        <w:trPr>
          <w:cantSplit/>
          <w:jc w:val="center"/>
        </w:trPr>
        <w:tc>
          <w:tcPr>
            <w:tcW w:w="1934" w:type="dxa"/>
            <w:gridSpan w:val="2"/>
            <w:tcBorders>
              <w:top w:val="single" w:sz="2" w:space="0" w:color="auto"/>
              <w:left w:val="nil"/>
              <w:bottom w:val="nil"/>
              <w:right w:val="nil"/>
            </w:tcBorders>
            <w:hideMark/>
          </w:tcPr>
          <w:p w14:paraId="208706F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6F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6F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6F4" w14:textId="77777777" w:rsidR="00802D3E" w:rsidRDefault="00802D3E">
            <w:pPr>
              <w:pStyle w:val="MeasureTableTextLeftAligned"/>
            </w:pPr>
            <w:r>
              <w:t>E26</w:t>
            </w:r>
          </w:p>
        </w:tc>
      </w:tr>
      <w:tr w:rsidR="00802D3E" w14:paraId="208706FA" w14:textId="77777777" w:rsidTr="00802D3E">
        <w:trPr>
          <w:cantSplit/>
          <w:jc w:val="center"/>
        </w:trPr>
        <w:tc>
          <w:tcPr>
            <w:tcW w:w="1934" w:type="dxa"/>
            <w:gridSpan w:val="2"/>
            <w:tcBorders>
              <w:top w:val="nil"/>
              <w:left w:val="nil"/>
              <w:bottom w:val="nil"/>
              <w:right w:val="nil"/>
            </w:tcBorders>
            <w:hideMark/>
          </w:tcPr>
          <w:p w14:paraId="208706F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6F7"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6F8"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6F9" w14:textId="77777777" w:rsidR="00802D3E" w:rsidRDefault="00802D3E">
            <w:pPr>
              <w:pStyle w:val="MeasureTableTextLeftAligned"/>
            </w:pPr>
            <w:r>
              <w:t>1+</w:t>
            </w:r>
          </w:p>
        </w:tc>
      </w:tr>
      <w:tr w:rsidR="00802D3E" w14:paraId="208706FF" w14:textId="77777777" w:rsidTr="00802D3E">
        <w:trPr>
          <w:cantSplit/>
          <w:jc w:val="center"/>
        </w:trPr>
        <w:tc>
          <w:tcPr>
            <w:tcW w:w="1934" w:type="dxa"/>
            <w:gridSpan w:val="2"/>
            <w:tcBorders>
              <w:top w:val="nil"/>
              <w:left w:val="nil"/>
              <w:bottom w:val="nil"/>
              <w:right w:val="nil"/>
            </w:tcBorders>
            <w:hideMark/>
          </w:tcPr>
          <w:p w14:paraId="208706F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6FC" w14:textId="77777777" w:rsidR="00802D3E" w:rsidRDefault="00802D3E">
            <w:pPr>
              <w:pStyle w:val="MeasureTableTextLeftAligned"/>
            </w:pPr>
            <w:r>
              <w:t>2006</w:t>
            </w:r>
          </w:p>
        </w:tc>
        <w:tc>
          <w:tcPr>
            <w:tcW w:w="1500" w:type="dxa"/>
            <w:gridSpan w:val="2"/>
            <w:tcBorders>
              <w:top w:val="nil"/>
              <w:left w:val="nil"/>
              <w:bottom w:val="nil"/>
              <w:right w:val="nil"/>
            </w:tcBorders>
            <w:hideMark/>
          </w:tcPr>
          <w:p w14:paraId="208706FD"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6FE" w14:textId="77777777" w:rsidR="00802D3E" w:rsidRDefault="00802D3E">
            <w:pPr>
              <w:pStyle w:val="MeasureTableTextLeftAligned"/>
            </w:pPr>
          </w:p>
        </w:tc>
      </w:tr>
      <w:tr w:rsidR="00802D3E" w14:paraId="20870702" w14:textId="77777777" w:rsidTr="00802D3E">
        <w:trPr>
          <w:cantSplit/>
          <w:jc w:val="center"/>
        </w:trPr>
        <w:tc>
          <w:tcPr>
            <w:tcW w:w="1934" w:type="dxa"/>
            <w:gridSpan w:val="2"/>
            <w:tcBorders>
              <w:top w:val="nil"/>
              <w:left w:val="nil"/>
              <w:bottom w:val="single" w:sz="2" w:space="0" w:color="auto"/>
              <w:right w:val="nil"/>
            </w:tcBorders>
            <w:hideMark/>
          </w:tcPr>
          <w:p w14:paraId="2087070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701"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Section 116-30 of the </w:t>
            </w:r>
            <w:r>
              <w:rPr>
                <w:rFonts w:ascii="Arial" w:hAnsi="Arial" w:cs="Arial"/>
                <w:i/>
                <w:iCs/>
                <w:color w:val="000000"/>
                <w:sz w:val="16"/>
                <w:szCs w:val="16"/>
              </w:rPr>
              <w:t>Income Tax Assessment Act 1997</w:t>
            </w:r>
          </w:p>
        </w:tc>
      </w:tr>
    </w:tbl>
    <w:p w14:paraId="20870703" w14:textId="77777777" w:rsidR="00802D3E" w:rsidRDefault="00802D3E" w:rsidP="00A109BC">
      <w:pPr>
        <w:pStyle w:val="SingleParagraph"/>
      </w:pPr>
    </w:p>
    <w:p w14:paraId="20870704" w14:textId="77777777" w:rsidR="00802D3E" w:rsidRDefault="00802D3E" w:rsidP="00802D3E">
      <w:r>
        <w:rPr>
          <w:rFonts w:cs="Book Antiqua"/>
        </w:rPr>
        <w:t>The CGT market value substitution rule</w:t>
      </w:r>
      <w:r>
        <w:rPr>
          <w:rFonts w:cs="Book Antiqua"/>
        </w:rPr>
        <w:fldChar w:fldCharType="begin"/>
      </w:r>
      <w:r>
        <w:instrText xml:space="preserve"> XE "</w:instrText>
      </w:r>
      <w:r>
        <w:rPr>
          <w:rFonts w:cs="Book Antiqua"/>
        </w:rPr>
        <w:instrText>Capital gains tax:Market value substitution rule</w:instrText>
      </w:r>
      <w:r>
        <w:instrText xml:space="preserve">" </w:instrText>
      </w:r>
      <w:r>
        <w:rPr>
          <w:rFonts w:cs="Book Antiqua"/>
        </w:rPr>
        <w:fldChar w:fldCharType="end"/>
      </w:r>
      <w:r>
        <w:rPr>
          <w:rFonts w:cs="Book Antiqua"/>
        </w:rPr>
        <w:t xml:space="preserve"> deems assets that are disposed of for less than their market value to have been disposed for a consideration equal to their market value. This treatment exempts membership interests in widely</w:t>
      </w:r>
      <w:r>
        <w:rPr>
          <w:rFonts w:cs="Book Antiqua"/>
        </w:rPr>
        <w:noBreakHyphen/>
        <w:t>held entities that are disposed of by way of a redemption, cancellation or surrender of the interest from the market value substitution rule.</w:t>
      </w:r>
      <w:r>
        <w:t xml:space="preserve"> </w:t>
      </w:r>
    </w:p>
    <w:p w14:paraId="20870705" w14:textId="77777777" w:rsidR="00802D3E" w:rsidRDefault="00802D3E" w:rsidP="00802D3E">
      <w:pPr>
        <w:pStyle w:val="TESHeading5"/>
        <w:ind w:left="0" w:firstLine="0"/>
      </w:pPr>
      <w:r>
        <w:t>E19</w:t>
      </w:r>
      <w:r>
        <w:tab/>
        <w:t>Grandfathering indexation of the cost base</w:t>
      </w:r>
    </w:p>
    <w:p w14:paraId="20870706"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70F" w14:textId="77777777" w:rsidTr="00802D3E">
        <w:trPr>
          <w:cantSplit/>
          <w:jc w:val="center"/>
        </w:trPr>
        <w:tc>
          <w:tcPr>
            <w:tcW w:w="967" w:type="dxa"/>
            <w:tcBorders>
              <w:top w:val="single" w:sz="2" w:space="0" w:color="auto"/>
              <w:left w:val="nil"/>
              <w:bottom w:val="single" w:sz="2" w:space="0" w:color="auto"/>
              <w:right w:val="nil"/>
            </w:tcBorders>
            <w:hideMark/>
          </w:tcPr>
          <w:p w14:paraId="2087070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70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70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70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70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70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70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70E" w14:textId="77777777" w:rsidR="00802D3E" w:rsidRDefault="00802D3E">
            <w:pPr>
              <w:pStyle w:val="MeasureTableTextRightAligned"/>
            </w:pPr>
            <w:r>
              <w:t>2019-20</w:t>
            </w:r>
          </w:p>
        </w:tc>
      </w:tr>
      <w:tr w:rsidR="00802D3E" w14:paraId="20870718" w14:textId="77777777" w:rsidTr="00802D3E">
        <w:trPr>
          <w:cantSplit/>
          <w:jc w:val="center"/>
        </w:trPr>
        <w:tc>
          <w:tcPr>
            <w:tcW w:w="967" w:type="dxa"/>
            <w:tcBorders>
              <w:top w:val="single" w:sz="2" w:space="0" w:color="auto"/>
              <w:left w:val="nil"/>
              <w:bottom w:val="single" w:sz="2" w:space="0" w:color="auto"/>
              <w:right w:val="nil"/>
            </w:tcBorders>
            <w:hideMark/>
          </w:tcPr>
          <w:p w14:paraId="2087071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71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1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1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14"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71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716"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717" w14:textId="77777777" w:rsidR="00802D3E" w:rsidRDefault="00802D3E">
            <w:pPr>
              <w:pStyle w:val="MeasureTableTextRightAligned"/>
            </w:pPr>
            <w:r>
              <w:t>*</w:t>
            </w:r>
          </w:p>
        </w:tc>
      </w:tr>
      <w:tr w:rsidR="00802D3E" w14:paraId="2087071D" w14:textId="77777777" w:rsidTr="00802D3E">
        <w:trPr>
          <w:cantSplit/>
          <w:jc w:val="center"/>
        </w:trPr>
        <w:tc>
          <w:tcPr>
            <w:tcW w:w="1934" w:type="dxa"/>
            <w:gridSpan w:val="2"/>
            <w:tcBorders>
              <w:top w:val="single" w:sz="2" w:space="0" w:color="auto"/>
              <w:left w:val="nil"/>
              <w:bottom w:val="nil"/>
              <w:right w:val="nil"/>
            </w:tcBorders>
            <w:hideMark/>
          </w:tcPr>
          <w:p w14:paraId="2087071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71A" w14:textId="77777777" w:rsidR="00802D3E" w:rsidRDefault="00802D3E">
            <w:pPr>
              <w:pStyle w:val="MeasureTableTextLeftAligned"/>
            </w:pPr>
            <w:r>
              <w:t>Reduction in taxable value</w:t>
            </w:r>
          </w:p>
        </w:tc>
        <w:tc>
          <w:tcPr>
            <w:tcW w:w="1500" w:type="dxa"/>
            <w:gridSpan w:val="2"/>
            <w:tcBorders>
              <w:top w:val="single" w:sz="2" w:space="0" w:color="auto"/>
              <w:left w:val="nil"/>
              <w:bottom w:val="nil"/>
              <w:right w:val="nil"/>
            </w:tcBorders>
            <w:hideMark/>
          </w:tcPr>
          <w:p w14:paraId="2087071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71C" w14:textId="77777777" w:rsidR="00802D3E" w:rsidRDefault="00802D3E">
            <w:pPr>
              <w:pStyle w:val="MeasureTableTextLeftAligned"/>
            </w:pPr>
            <w:r>
              <w:t>E16</w:t>
            </w:r>
          </w:p>
        </w:tc>
      </w:tr>
      <w:tr w:rsidR="00802D3E" w14:paraId="20870722" w14:textId="77777777" w:rsidTr="00802D3E">
        <w:trPr>
          <w:cantSplit/>
          <w:jc w:val="center"/>
        </w:trPr>
        <w:tc>
          <w:tcPr>
            <w:tcW w:w="1934" w:type="dxa"/>
            <w:gridSpan w:val="2"/>
            <w:tcBorders>
              <w:top w:val="nil"/>
              <w:left w:val="nil"/>
              <w:bottom w:val="nil"/>
              <w:right w:val="nil"/>
            </w:tcBorders>
            <w:hideMark/>
          </w:tcPr>
          <w:p w14:paraId="2087071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71F"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720"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721" w14:textId="77777777" w:rsidR="00802D3E" w:rsidRDefault="00802D3E">
            <w:pPr>
              <w:pStyle w:val="MeasureTableTextLeftAligned"/>
            </w:pPr>
            <w:r>
              <w:t>2+</w:t>
            </w:r>
          </w:p>
        </w:tc>
      </w:tr>
      <w:tr w:rsidR="00802D3E" w14:paraId="20870727" w14:textId="77777777" w:rsidTr="00802D3E">
        <w:trPr>
          <w:cantSplit/>
          <w:jc w:val="center"/>
        </w:trPr>
        <w:tc>
          <w:tcPr>
            <w:tcW w:w="1934" w:type="dxa"/>
            <w:gridSpan w:val="2"/>
            <w:tcBorders>
              <w:top w:val="nil"/>
              <w:left w:val="nil"/>
              <w:bottom w:val="nil"/>
              <w:right w:val="nil"/>
            </w:tcBorders>
            <w:hideMark/>
          </w:tcPr>
          <w:p w14:paraId="2087072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724" w14:textId="77777777" w:rsidR="00802D3E" w:rsidRDefault="00802D3E">
            <w:pPr>
              <w:pStyle w:val="MeasureTableTextLeftAligned"/>
            </w:pPr>
            <w:r>
              <w:t>1985</w:t>
            </w:r>
          </w:p>
        </w:tc>
        <w:tc>
          <w:tcPr>
            <w:tcW w:w="1500" w:type="dxa"/>
            <w:gridSpan w:val="2"/>
            <w:tcBorders>
              <w:top w:val="nil"/>
              <w:left w:val="nil"/>
              <w:bottom w:val="nil"/>
              <w:right w:val="nil"/>
            </w:tcBorders>
            <w:hideMark/>
          </w:tcPr>
          <w:p w14:paraId="20870725"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726" w14:textId="77777777" w:rsidR="00802D3E" w:rsidRDefault="00802D3E">
            <w:pPr>
              <w:pStyle w:val="MeasureTableTextLeftAligned"/>
            </w:pPr>
          </w:p>
        </w:tc>
      </w:tr>
      <w:tr w:rsidR="00802D3E" w14:paraId="2087072A" w14:textId="77777777" w:rsidTr="00802D3E">
        <w:trPr>
          <w:cantSplit/>
          <w:jc w:val="center"/>
        </w:trPr>
        <w:tc>
          <w:tcPr>
            <w:tcW w:w="1934" w:type="dxa"/>
            <w:gridSpan w:val="2"/>
            <w:tcBorders>
              <w:top w:val="nil"/>
              <w:left w:val="nil"/>
              <w:bottom w:val="single" w:sz="2" w:space="0" w:color="auto"/>
              <w:right w:val="nil"/>
            </w:tcBorders>
            <w:hideMark/>
          </w:tcPr>
          <w:p w14:paraId="2087072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729"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Section 110-36 and Division 114 of the </w:t>
            </w:r>
            <w:r>
              <w:rPr>
                <w:rFonts w:ascii="Arial" w:hAnsi="Arial" w:cs="Arial"/>
                <w:i/>
                <w:iCs/>
                <w:color w:val="000000"/>
                <w:sz w:val="16"/>
                <w:szCs w:val="16"/>
              </w:rPr>
              <w:t>Income Tax Assessment Act 1997</w:t>
            </w:r>
          </w:p>
        </w:tc>
      </w:tr>
    </w:tbl>
    <w:p w14:paraId="2087072B" w14:textId="77777777" w:rsidR="00802D3E" w:rsidRDefault="00802D3E" w:rsidP="00A109BC">
      <w:pPr>
        <w:pStyle w:val="SingleParagraph"/>
      </w:pPr>
    </w:p>
    <w:p w14:paraId="2087072C" w14:textId="77777777" w:rsidR="00802D3E" w:rsidRDefault="00802D3E" w:rsidP="00802D3E">
      <w:r>
        <w:t>For assets acquired at or before 11:45 am EST on 21 September 1999, taxpayers may choose to calculate the capital gain on the asset by reference to its indexed cost base</w:t>
      </w:r>
      <w:r>
        <w:fldChar w:fldCharType="begin"/>
      </w:r>
      <w:r>
        <w:instrText xml:space="preserve"> XE "Indexed cost base" </w:instrText>
      </w:r>
      <w:r>
        <w:fldChar w:fldCharType="end"/>
      </w:r>
      <w:r>
        <w:t xml:space="preserve">. Taxpayers that choose to use the indexed cost base cannot access the CGT discount. The indexed cost base for these assets was frozen as at 30 September 1999. </w:t>
      </w:r>
    </w:p>
    <w:p w14:paraId="2087072D" w14:textId="77777777" w:rsidR="00802D3E" w:rsidRDefault="00802D3E" w:rsidP="00802D3E">
      <w:pPr>
        <w:pStyle w:val="TESHeading5"/>
        <w:ind w:left="0" w:firstLine="0"/>
      </w:pPr>
      <w:r>
        <w:t>E20</w:t>
      </w:r>
      <w:r>
        <w:tab/>
        <w:t>Quarantining of capital losses</w:t>
      </w:r>
    </w:p>
    <w:p w14:paraId="2087072E"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737" w14:textId="77777777" w:rsidTr="00802D3E">
        <w:trPr>
          <w:cantSplit/>
          <w:jc w:val="center"/>
        </w:trPr>
        <w:tc>
          <w:tcPr>
            <w:tcW w:w="967" w:type="dxa"/>
            <w:tcBorders>
              <w:top w:val="single" w:sz="2" w:space="0" w:color="auto"/>
              <w:left w:val="nil"/>
              <w:bottom w:val="single" w:sz="2" w:space="0" w:color="auto"/>
              <w:right w:val="nil"/>
            </w:tcBorders>
            <w:hideMark/>
          </w:tcPr>
          <w:p w14:paraId="2087072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73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73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73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73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73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73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736" w14:textId="77777777" w:rsidR="00802D3E" w:rsidRDefault="00802D3E">
            <w:pPr>
              <w:pStyle w:val="MeasureTableTextRightAligned"/>
            </w:pPr>
            <w:r>
              <w:t>2019-20</w:t>
            </w:r>
          </w:p>
        </w:tc>
      </w:tr>
      <w:tr w:rsidR="00802D3E" w14:paraId="20870740" w14:textId="77777777" w:rsidTr="00802D3E">
        <w:trPr>
          <w:cantSplit/>
          <w:jc w:val="center"/>
        </w:trPr>
        <w:tc>
          <w:tcPr>
            <w:tcW w:w="967" w:type="dxa"/>
            <w:tcBorders>
              <w:top w:val="single" w:sz="2" w:space="0" w:color="auto"/>
              <w:left w:val="nil"/>
              <w:bottom w:val="single" w:sz="2" w:space="0" w:color="auto"/>
              <w:right w:val="nil"/>
            </w:tcBorders>
            <w:hideMark/>
          </w:tcPr>
          <w:p w14:paraId="2087073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73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3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3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3C"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73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73E"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73F" w14:textId="77777777" w:rsidR="00802D3E" w:rsidRDefault="00802D3E">
            <w:pPr>
              <w:pStyle w:val="MeasureTableTextRightAligned"/>
            </w:pPr>
            <w:r>
              <w:t>*</w:t>
            </w:r>
          </w:p>
        </w:tc>
      </w:tr>
      <w:tr w:rsidR="00802D3E" w14:paraId="20870745" w14:textId="77777777" w:rsidTr="00802D3E">
        <w:trPr>
          <w:cantSplit/>
          <w:jc w:val="center"/>
        </w:trPr>
        <w:tc>
          <w:tcPr>
            <w:tcW w:w="1934" w:type="dxa"/>
            <w:gridSpan w:val="2"/>
            <w:tcBorders>
              <w:top w:val="single" w:sz="2" w:space="0" w:color="auto"/>
              <w:left w:val="nil"/>
              <w:bottom w:val="nil"/>
              <w:right w:val="nil"/>
            </w:tcBorders>
            <w:hideMark/>
          </w:tcPr>
          <w:p w14:paraId="2087074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742" w14:textId="77777777" w:rsidR="00802D3E" w:rsidRDefault="00802D3E">
            <w:pPr>
              <w:pStyle w:val="MeasureTableTextLeftAligned"/>
            </w:pPr>
            <w:r>
              <w:t>Denial of deduction</w:t>
            </w:r>
          </w:p>
        </w:tc>
        <w:tc>
          <w:tcPr>
            <w:tcW w:w="1500" w:type="dxa"/>
            <w:gridSpan w:val="2"/>
            <w:tcBorders>
              <w:top w:val="single" w:sz="2" w:space="0" w:color="auto"/>
              <w:left w:val="nil"/>
              <w:bottom w:val="nil"/>
              <w:right w:val="nil"/>
            </w:tcBorders>
            <w:hideMark/>
          </w:tcPr>
          <w:p w14:paraId="2087074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744" w14:textId="77777777" w:rsidR="00802D3E" w:rsidRDefault="00802D3E">
            <w:pPr>
              <w:pStyle w:val="MeasureTableTextLeftAligned"/>
            </w:pPr>
            <w:r>
              <w:t>E28</w:t>
            </w:r>
          </w:p>
        </w:tc>
      </w:tr>
      <w:tr w:rsidR="00802D3E" w14:paraId="2087074A" w14:textId="77777777" w:rsidTr="00802D3E">
        <w:trPr>
          <w:cantSplit/>
          <w:jc w:val="center"/>
        </w:trPr>
        <w:tc>
          <w:tcPr>
            <w:tcW w:w="1934" w:type="dxa"/>
            <w:gridSpan w:val="2"/>
            <w:tcBorders>
              <w:top w:val="nil"/>
              <w:left w:val="nil"/>
              <w:bottom w:val="nil"/>
              <w:right w:val="nil"/>
            </w:tcBorders>
            <w:hideMark/>
          </w:tcPr>
          <w:p w14:paraId="2087074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747"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748"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749" w14:textId="77777777" w:rsidR="00802D3E" w:rsidRDefault="00802D3E">
            <w:pPr>
              <w:pStyle w:val="MeasureTableTextLeftAligned"/>
            </w:pPr>
            <w:r>
              <w:t>4-</w:t>
            </w:r>
          </w:p>
        </w:tc>
      </w:tr>
      <w:tr w:rsidR="00802D3E" w14:paraId="2087074F" w14:textId="77777777" w:rsidTr="00802D3E">
        <w:trPr>
          <w:cantSplit/>
          <w:jc w:val="center"/>
        </w:trPr>
        <w:tc>
          <w:tcPr>
            <w:tcW w:w="1934" w:type="dxa"/>
            <w:gridSpan w:val="2"/>
            <w:tcBorders>
              <w:top w:val="nil"/>
              <w:left w:val="nil"/>
              <w:bottom w:val="nil"/>
              <w:right w:val="nil"/>
            </w:tcBorders>
            <w:hideMark/>
          </w:tcPr>
          <w:p w14:paraId="2087074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74C" w14:textId="77777777" w:rsidR="00802D3E" w:rsidRDefault="00802D3E">
            <w:pPr>
              <w:pStyle w:val="MeasureTableTextLeftAligned"/>
            </w:pPr>
            <w:r>
              <w:t>1985</w:t>
            </w:r>
          </w:p>
        </w:tc>
        <w:tc>
          <w:tcPr>
            <w:tcW w:w="1500" w:type="dxa"/>
            <w:gridSpan w:val="2"/>
            <w:tcBorders>
              <w:top w:val="nil"/>
              <w:left w:val="nil"/>
              <w:bottom w:val="nil"/>
              <w:right w:val="nil"/>
            </w:tcBorders>
            <w:hideMark/>
          </w:tcPr>
          <w:p w14:paraId="2087074D"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74E" w14:textId="77777777" w:rsidR="00802D3E" w:rsidRDefault="00802D3E">
            <w:pPr>
              <w:pStyle w:val="MeasureTableTextLeftAligned"/>
            </w:pPr>
          </w:p>
        </w:tc>
      </w:tr>
      <w:tr w:rsidR="00802D3E" w14:paraId="20870752" w14:textId="77777777" w:rsidTr="00802D3E">
        <w:trPr>
          <w:cantSplit/>
          <w:jc w:val="center"/>
        </w:trPr>
        <w:tc>
          <w:tcPr>
            <w:tcW w:w="1934" w:type="dxa"/>
            <w:gridSpan w:val="2"/>
            <w:tcBorders>
              <w:top w:val="nil"/>
              <w:left w:val="nil"/>
              <w:bottom w:val="single" w:sz="2" w:space="0" w:color="auto"/>
              <w:right w:val="nil"/>
            </w:tcBorders>
            <w:hideMark/>
          </w:tcPr>
          <w:p w14:paraId="2087075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751"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Section 100-50 of the</w:t>
            </w:r>
            <w:r>
              <w:rPr>
                <w:rFonts w:ascii="Arial" w:hAnsi="Arial" w:cs="Arial"/>
                <w:i/>
                <w:iCs/>
                <w:color w:val="000000"/>
                <w:sz w:val="16"/>
                <w:szCs w:val="16"/>
              </w:rPr>
              <w:t xml:space="preserve"> Income Tax Assessment Act 1997</w:t>
            </w:r>
          </w:p>
        </w:tc>
      </w:tr>
    </w:tbl>
    <w:p w14:paraId="20870753" w14:textId="77777777" w:rsidR="00802D3E" w:rsidRDefault="00802D3E" w:rsidP="00A109BC">
      <w:pPr>
        <w:pStyle w:val="SingleParagraph"/>
      </w:pPr>
    </w:p>
    <w:p w14:paraId="20870754" w14:textId="77777777" w:rsidR="00802D3E" w:rsidRDefault="00802D3E" w:rsidP="00802D3E">
      <w:r>
        <w:t>Capital losses</w:t>
      </w:r>
      <w:r>
        <w:fldChar w:fldCharType="begin"/>
      </w:r>
      <w:r>
        <w:instrText xml:space="preserve"> XE "Capital losses" </w:instrText>
      </w:r>
      <w:r>
        <w:fldChar w:fldCharType="end"/>
      </w:r>
      <w:r>
        <w:t xml:space="preserve"> may only be offset against capital gains, which means they are quarantined from ordinary income. </w:t>
      </w:r>
    </w:p>
    <w:p w14:paraId="20870755" w14:textId="77777777" w:rsidR="00802D3E" w:rsidRDefault="00802D3E" w:rsidP="00802D3E">
      <w:pPr>
        <w:pStyle w:val="TESHeading5"/>
        <w:ind w:left="0" w:firstLine="0"/>
      </w:pPr>
      <w:r>
        <w:lastRenderedPageBreak/>
        <w:t>E21</w:t>
      </w:r>
      <w:r>
        <w:tab/>
        <w:t>Removal of taxation of certain financial instruments at point of conversion or exchange</w:t>
      </w:r>
    </w:p>
    <w:p w14:paraId="20870756"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75F" w14:textId="77777777" w:rsidTr="00802D3E">
        <w:trPr>
          <w:cantSplit/>
          <w:jc w:val="center"/>
        </w:trPr>
        <w:tc>
          <w:tcPr>
            <w:tcW w:w="967" w:type="dxa"/>
            <w:tcBorders>
              <w:top w:val="single" w:sz="2" w:space="0" w:color="auto"/>
              <w:left w:val="nil"/>
              <w:bottom w:val="single" w:sz="2" w:space="0" w:color="auto"/>
              <w:right w:val="nil"/>
            </w:tcBorders>
            <w:hideMark/>
          </w:tcPr>
          <w:p w14:paraId="2087075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75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75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75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75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75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75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75E" w14:textId="77777777" w:rsidR="00802D3E" w:rsidRDefault="00802D3E">
            <w:pPr>
              <w:pStyle w:val="MeasureTableTextRightAligned"/>
            </w:pPr>
            <w:r>
              <w:t>2019-20</w:t>
            </w:r>
          </w:p>
        </w:tc>
      </w:tr>
      <w:tr w:rsidR="00802D3E" w14:paraId="20870768" w14:textId="77777777" w:rsidTr="00802D3E">
        <w:trPr>
          <w:cantSplit/>
          <w:jc w:val="center"/>
        </w:trPr>
        <w:tc>
          <w:tcPr>
            <w:tcW w:w="967" w:type="dxa"/>
            <w:tcBorders>
              <w:top w:val="single" w:sz="2" w:space="0" w:color="auto"/>
              <w:left w:val="nil"/>
              <w:bottom w:val="single" w:sz="2" w:space="0" w:color="auto"/>
              <w:right w:val="nil"/>
            </w:tcBorders>
            <w:hideMark/>
          </w:tcPr>
          <w:p w14:paraId="2087076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76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6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6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64"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76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766"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767" w14:textId="77777777" w:rsidR="00802D3E" w:rsidRDefault="00802D3E">
            <w:pPr>
              <w:pStyle w:val="MeasureTableTextRightAligned"/>
            </w:pPr>
            <w:r>
              <w:t>*</w:t>
            </w:r>
          </w:p>
        </w:tc>
      </w:tr>
      <w:tr w:rsidR="00802D3E" w14:paraId="2087076D" w14:textId="77777777" w:rsidTr="00802D3E">
        <w:trPr>
          <w:cantSplit/>
          <w:jc w:val="center"/>
        </w:trPr>
        <w:tc>
          <w:tcPr>
            <w:tcW w:w="1934" w:type="dxa"/>
            <w:gridSpan w:val="2"/>
            <w:tcBorders>
              <w:top w:val="single" w:sz="2" w:space="0" w:color="auto"/>
              <w:left w:val="nil"/>
              <w:bottom w:val="nil"/>
              <w:right w:val="nil"/>
            </w:tcBorders>
            <w:hideMark/>
          </w:tcPr>
          <w:p w14:paraId="2087076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76A"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76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76C" w14:textId="77777777" w:rsidR="00802D3E" w:rsidRDefault="00802D3E">
            <w:pPr>
              <w:pStyle w:val="MeasureTableTextLeftAligned"/>
            </w:pPr>
            <w:r>
              <w:t>E29</w:t>
            </w:r>
          </w:p>
        </w:tc>
      </w:tr>
      <w:tr w:rsidR="00802D3E" w14:paraId="20870772" w14:textId="77777777" w:rsidTr="00802D3E">
        <w:trPr>
          <w:cantSplit/>
          <w:jc w:val="center"/>
        </w:trPr>
        <w:tc>
          <w:tcPr>
            <w:tcW w:w="1934" w:type="dxa"/>
            <w:gridSpan w:val="2"/>
            <w:tcBorders>
              <w:top w:val="nil"/>
              <w:left w:val="nil"/>
              <w:bottom w:val="nil"/>
              <w:right w:val="nil"/>
            </w:tcBorders>
            <w:hideMark/>
          </w:tcPr>
          <w:p w14:paraId="2087076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76F"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770"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771" w14:textId="77777777" w:rsidR="00802D3E" w:rsidRDefault="00802D3E">
            <w:pPr>
              <w:pStyle w:val="MeasureTableTextLeftAligned"/>
            </w:pPr>
            <w:r>
              <w:t>2+</w:t>
            </w:r>
          </w:p>
        </w:tc>
      </w:tr>
      <w:tr w:rsidR="00802D3E" w14:paraId="20870777" w14:textId="77777777" w:rsidTr="00802D3E">
        <w:trPr>
          <w:cantSplit/>
          <w:jc w:val="center"/>
        </w:trPr>
        <w:tc>
          <w:tcPr>
            <w:tcW w:w="1934" w:type="dxa"/>
            <w:gridSpan w:val="2"/>
            <w:tcBorders>
              <w:top w:val="nil"/>
              <w:left w:val="nil"/>
              <w:bottom w:val="nil"/>
              <w:right w:val="nil"/>
            </w:tcBorders>
            <w:hideMark/>
          </w:tcPr>
          <w:p w14:paraId="2087077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774" w14:textId="77777777" w:rsidR="00802D3E" w:rsidRDefault="00802D3E">
            <w:pPr>
              <w:pStyle w:val="MeasureTableTextLeftAligned"/>
            </w:pPr>
            <w:r>
              <w:t>2002</w:t>
            </w:r>
          </w:p>
        </w:tc>
        <w:tc>
          <w:tcPr>
            <w:tcW w:w="1500" w:type="dxa"/>
            <w:gridSpan w:val="2"/>
            <w:tcBorders>
              <w:top w:val="nil"/>
              <w:left w:val="nil"/>
              <w:bottom w:val="nil"/>
              <w:right w:val="nil"/>
            </w:tcBorders>
            <w:hideMark/>
          </w:tcPr>
          <w:p w14:paraId="20870775"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776" w14:textId="77777777" w:rsidR="00802D3E" w:rsidRDefault="00802D3E">
            <w:pPr>
              <w:pStyle w:val="MeasureTableTextLeftAligned"/>
            </w:pPr>
          </w:p>
        </w:tc>
      </w:tr>
      <w:tr w:rsidR="00802D3E" w14:paraId="2087077A" w14:textId="77777777" w:rsidTr="00802D3E">
        <w:trPr>
          <w:cantSplit/>
          <w:jc w:val="center"/>
        </w:trPr>
        <w:tc>
          <w:tcPr>
            <w:tcW w:w="1934" w:type="dxa"/>
            <w:gridSpan w:val="2"/>
            <w:tcBorders>
              <w:top w:val="nil"/>
              <w:left w:val="nil"/>
              <w:bottom w:val="single" w:sz="2" w:space="0" w:color="auto"/>
              <w:right w:val="nil"/>
            </w:tcBorders>
            <w:hideMark/>
          </w:tcPr>
          <w:p w14:paraId="2087077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779"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Sections 26BB and 70B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1936</w:t>
            </w:r>
          </w:p>
        </w:tc>
      </w:tr>
    </w:tbl>
    <w:p w14:paraId="2087077B" w14:textId="77777777" w:rsidR="00802D3E" w:rsidRDefault="00802D3E" w:rsidP="00A109BC">
      <w:pPr>
        <w:pStyle w:val="SingleParagraph"/>
      </w:pPr>
    </w:p>
    <w:p w14:paraId="2087077C" w14:textId="77777777" w:rsidR="00802D3E" w:rsidRDefault="00802D3E" w:rsidP="00802D3E">
      <w:r>
        <w:t>Gains or losses from conversion or exchange of convertible or exchangeable interests issued after 14 May 2002 are not subject to taxation at the point of conversion or exchange, but instead, taxation is deferred until the ultimate disposal of the shares.</w:t>
      </w:r>
    </w:p>
    <w:p w14:paraId="2087077D" w14:textId="77777777" w:rsidR="00802D3E" w:rsidRDefault="00802D3E" w:rsidP="00802D3E">
      <w:r>
        <w:t>Convertible interests</w:t>
      </w:r>
      <w:r>
        <w:fldChar w:fldCharType="begin"/>
      </w:r>
      <w:r>
        <w:instrText xml:space="preserve"> XE "Financial instruments:Convertible interests" </w:instrText>
      </w:r>
      <w:r>
        <w:fldChar w:fldCharType="end"/>
      </w:r>
      <w:r>
        <w:t xml:space="preserve"> are financial instruments that may convert into shares in the company that issued the convertible interest. Exchangeable interests</w:t>
      </w:r>
      <w:r>
        <w:fldChar w:fldCharType="begin"/>
      </w:r>
      <w:r>
        <w:instrText xml:space="preserve"> XE "Financial instruments:Exchangeable interests" </w:instrText>
      </w:r>
      <w:r>
        <w:fldChar w:fldCharType="end"/>
      </w:r>
      <w:r>
        <w:t xml:space="preserve"> are instruments that may convert into shares in a company other than the issuer. </w:t>
      </w:r>
    </w:p>
    <w:p w14:paraId="2087077E" w14:textId="77777777" w:rsidR="00802D3E" w:rsidRDefault="00802D3E" w:rsidP="00802D3E">
      <w:pPr>
        <w:pStyle w:val="TESHeading5"/>
        <w:ind w:left="0" w:firstLine="0"/>
      </w:pPr>
      <w:r>
        <w:t>E22</w:t>
      </w:r>
      <w:r>
        <w:tab/>
        <w:t>Roll-over for assets compulsorily acquired, lost or destroyed</w:t>
      </w:r>
    </w:p>
    <w:p w14:paraId="2087077F"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788" w14:textId="77777777" w:rsidTr="00802D3E">
        <w:trPr>
          <w:cantSplit/>
          <w:jc w:val="center"/>
        </w:trPr>
        <w:tc>
          <w:tcPr>
            <w:tcW w:w="967" w:type="dxa"/>
            <w:tcBorders>
              <w:top w:val="single" w:sz="2" w:space="0" w:color="auto"/>
              <w:left w:val="nil"/>
              <w:bottom w:val="single" w:sz="2" w:space="0" w:color="auto"/>
              <w:right w:val="nil"/>
            </w:tcBorders>
            <w:hideMark/>
          </w:tcPr>
          <w:p w14:paraId="2087078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78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78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78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78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78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78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787" w14:textId="77777777" w:rsidR="00802D3E" w:rsidRDefault="00802D3E">
            <w:pPr>
              <w:pStyle w:val="MeasureTableTextRightAligned"/>
            </w:pPr>
            <w:r>
              <w:t>2019-20</w:t>
            </w:r>
          </w:p>
        </w:tc>
      </w:tr>
      <w:tr w:rsidR="00802D3E" w14:paraId="20870791" w14:textId="77777777" w:rsidTr="00802D3E">
        <w:trPr>
          <w:cantSplit/>
          <w:jc w:val="center"/>
        </w:trPr>
        <w:tc>
          <w:tcPr>
            <w:tcW w:w="967" w:type="dxa"/>
            <w:tcBorders>
              <w:top w:val="single" w:sz="2" w:space="0" w:color="auto"/>
              <w:left w:val="nil"/>
              <w:bottom w:val="single" w:sz="2" w:space="0" w:color="auto"/>
              <w:right w:val="nil"/>
            </w:tcBorders>
            <w:hideMark/>
          </w:tcPr>
          <w:p w14:paraId="2087078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78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8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8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8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78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78F"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790" w14:textId="77777777" w:rsidR="00802D3E" w:rsidRDefault="00802D3E">
            <w:pPr>
              <w:pStyle w:val="MeasureTableTextRightAligned"/>
            </w:pPr>
            <w:r>
              <w:t>*</w:t>
            </w:r>
          </w:p>
        </w:tc>
      </w:tr>
      <w:tr w:rsidR="00802D3E" w14:paraId="20870796" w14:textId="77777777" w:rsidTr="00802D3E">
        <w:trPr>
          <w:cantSplit/>
          <w:jc w:val="center"/>
        </w:trPr>
        <w:tc>
          <w:tcPr>
            <w:tcW w:w="1934" w:type="dxa"/>
            <w:gridSpan w:val="2"/>
            <w:tcBorders>
              <w:top w:val="single" w:sz="2" w:space="0" w:color="auto"/>
              <w:left w:val="nil"/>
              <w:bottom w:val="nil"/>
              <w:right w:val="nil"/>
            </w:tcBorders>
            <w:hideMark/>
          </w:tcPr>
          <w:p w14:paraId="2087079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793"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79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795" w14:textId="77777777" w:rsidR="00802D3E" w:rsidRDefault="00802D3E">
            <w:pPr>
              <w:pStyle w:val="MeasureTableTextLeftAligned"/>
            </w:pPr>
            <w:r>
              <w:t>E18</w:t>
            </w:r>
          </w:p>
        </w:tc>
      </w:tr>
      <w:tr w:rsidR="00802D3E" w14:paraId="2087079B" w14:textId="77777777" w:rsidTr="00802D3E">
        <w:trPr>
          <w:cantSplit/>
          <w:jc w:val="center"/>
        </w:trPr>
        <w:tc>
          <w:tcPr>
            <w:tcW w:w="1934" w:type="dxa"/>
            <w:gridSpan w:val="2"/>
            <w:tcBorders>
              <w:top w:val="nil"/>
              <w:left w:val="nil"/>
              <w:bottom w:val="nil"/>
              <w:right w:val="nil"/>
            </w:tcBorders>
            <w:hideMark/>
          </w:tcPr>
          <w:p w14:paraId="2087079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798"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799"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79A" w14:textId="77777777" w:rsidR="00802D3E" w:rsidRDefault="00802D3E">
            <w:pPr>
              <w:pStyle w:val="MeasureTableTextLeftAligned"/>
            </w:pPr>
            <w:r>
              <w:t>1+</w:t>
            </w:r>
          </w:p>
        </w:tc>
      </w:tr>
      <w:tr w:rsidR="00802D3E" w14:paraId="208707A0" w14:textId="77777777" w:rsidTr="00802D3E">
        <w:trPr>
          <w:cantSplit/>
          <w:jc w:val="center"/>
        </w:trPr>
        <w:tc>
          <w:tcPr>
            <w:tcW w:w="1934" w:type="dxa"/>
            <w:gridSpan w:val="2"/>
            <w:tcBorders>
              <w:top w:val="nil"/>
              <w:left w:val="nil"/>
              <w:bottom w:val="nil"/>
              <w:right w:val="nil"/>
            </w:tcBorders>
            <w:hideMark/>
          </w:tcPr>
          <w:p w14:paraId="2087079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79D" w14:textId="77777777" w:rsidR="00802D3E" w:rsidRDefault="00802D3E">
            <w:pPr>
              <w:pStyle w:val="MeasureTableTextLeftAligned"/>
            </w:pPr>
            <w:r>
              <w:t>1985</w:t>
            </w:r>
          </w:p>
        </w:tc>
        <w:tc>
          <w:tcPr>
            <w:tcW w:w="1500" w:type="dxa"/>
            <w:gridSpan w:val="2"/>
            <w:tcBorders>
              <w:top w:val="nil"/>
              <w:left w:val="nil"/>
              <w:bottom w:val="nil"/>
              <w:right w:val="nil"/>
            </w:tcBorders>
            <w:hideMark/>
          </w:tcPr>
          <w:p w14:paraId="2087079E"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79F" w14:textId="77777777" w:rsidR="00802D3E" w:rsidRDefault="00802D3E">
            <w:pPr>
              <w:pStyle w:val="MeasureTableTextLeftAligned"/>
            </w:pPr>
          </w:p>
        </w:tc>
      </w:tr>
      <w:tr w:rsidR="00802D3E" w14:paraId="208707A3" w14:textId="77777777" w:rsidTr="00802D3E">
        <w:trPr>
          <w:cantSplit/>
          <w:jc w:val="center"/>
        </w:trPr>
        <w:tc>
          <w:tcPr>
            <w:tcW w:w="1934" w:type="dxa"/>
            <w:gridSpan w:val="2"/>
            <w:tcBorders>
              <w:top w:val="nil"/>
              <w:left w:val="nil"/>
              <w:bottom w:val="single" w:sz="2" w:space="0" w:color="auto"/>
              <w:right w:val="nil"/>
            </w:tcBorders>
            <w:hideMark/>
          </w:tcPr>
          <w:p w14:paraId="208707A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7A2"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Subdivision 124-B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7A4" w14:textId="77777777" w:rsidR="00802D3E" w:rsidRDefault="00802D3E" w:rsidP="00A109BC">
      <w:pPr>
        <w:pStyle w:val="SingleParagraph"/>
      </w:pPr>
    </w:p>
    <w:p w14:paraId="208707A5" w14:textId="77777777" w:rsidR="00802D3E" w:rsidRDefault="00802D3E" w:rsidP="00802D3E">
      <w:r>
        <w:t>A CGT roll</w:t>
      </w:r>
      <w:r>
        <w:noBreakHyphen/>
        <w:t xml:space="preserve">over </w:t>
      </w:r>
      <w:r>
        <w:fldChar w:fldCharType="begin"/>
      </w:r>
      <w:r>
        <w:instrText xml:space="preserve"> XE "Capital gains tax:Roll</w:instrText>
      </w:r>
      <w:r>
        <w:noBreakHyphen/>
        <w:instrText xml:space="preserve">over" </w:instrText>
      </w:r>
      <w:r>
        <w:fldChar w:fldCharType="end"/>
      </w:r>
      <w:r>
        <w:t>is available for capital gains where an asset is compulsorily acquired (whether by a private or public acquirer)</w:t>
      </w:r>
      <w:r>
        <w:fldChar w:fldCharType="begin"/>
      </w:r>
      <w:r>
        <w:instrText xml:space="preserve"> XE "Compulsorily acquired assets" </w:instrText>
      </w:r>
      <w:r>
        <w:fldChar w:fldCharType="end"/>
      </w:r>
      <w:r>
        <w:t>, lost</w:t>
      </w:r>
      <w:r>
        <w:fldChar w:fldCharType="begin"/>
      </w:r>
      <w:r>
        <w:instrText xml:space="preserve"> XE "Lost assets" </w:instrText>
      </w:r>
      <w:r>
        <w:fldChar w:fldCharType="end"/>
      </w:r>
      <w:r>
        <w:t xml:space="preserve"> or destroyed</w:t>
      </w:r>
      <w:r>
        <w:fldChar w:fldCharType="begin"/>
      </w:r>
      <w:r>
        <w:instrText xml:space="preserve"> XE "Destroyed assets" </w:instrText>
      </w:r>
      <w:r>
        <w:fldChar w:fldCharType="end"/>
      </w:r>
      <w:r>
        <w:t xml:space="preserve"> and the taxpayer purchases a replacement asset. The capital gains liability is deferred until the ultimate disposal of the replacement asset. </w:t>
      </w:r>
    </w:p>
    <w:p w14:paraId="208707A6" w14:textId="77777777" w:rsidR="00802D3E" w:rsidRDefault="00802D3E" w:rsidP="00802D3E">
      <w:pPr>
        <w:pStyle w:val="TESHeading5"/>
        <w:ind w:left="0" w:firstLine="0"/>
      </w:pPr>
      <w:r>
        <w:lastRenderedPageBreak/>
        <w:t>E23</w:t>
      </w:r>
      <w:r>
        <w:tab/>
        <w:t>Roll-over for complying superannuation funds in certain circumstances</w:t>
      </w:r>
    </w:p>
    <w:p w14:paraId="208707A7"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7B0" w14:textId="77777777" w:rsidTr="00802D3E">
        <w:trPr>
          <w:cantSplit/>
          <w:jc w:val="center"/>
        </w:trPr>
        <w:tc>
          <w:tcPr>
            <w:tcW w:w="967" w:type="dxa"/>
            <w:tcBorders>
              <w:top w:val="single" w:sz="2" w:space="0" w:color="auto"/>
              <w:left w:val="nil"/>
              <w:bottom w:val="single" w:sz="2" w:space="0" w:color="auto"/>
              <w:right w:val="nil"/>
            </w:tcBorders>
            <w:hideMark/>
          </w:tcPr>
          <w:p w14:paraId="208707A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7A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7A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7A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7A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7A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7A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7AF" w14:textId="77777777" w:rsidR="00802D3E" w:rsidRDefault="00802D3E">
            <w:pPr>
              <w:pStyle w:val="MeasureTableTextRightAligned"/>
            </w:pPr>
            <w:r>
              <w:t>2019-20</w:t>
            </w:r>
          </w:p>
        </w:tc>
      </w:tr>
      <w:tr w:rsidR="00802D3E" w14:paraId="208707B9" w14:textId="77777777" w:rsidTr="00802D3E">
        <w:trPr>
          <w:cantSplit/>
          <w:jc w:val="center"/>
        </w:trPr>
        <w:tc>
          <w:tcPr>
            <w:tcW w:w="967" w:type="dxa"/>
            <w:tcBorders>
              <w:top w:val="single" w:sz="2" w:space="0" w:color="auto"/>
              <w:left w:val="nil"/>
              <w:bottom w:val="single" w:sz="2" w:space="0" w:color="auto"/>
              <w:right w:val="nil"/>
            </w:tcBorders>
            <w:hideMark/>
          </w:tcPr>
          <w:p w14:paraId="208707B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7B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B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B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7B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7B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7B7"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7B8" w14:textId="77777777" w:rsidR="00802D3E" w:rsidRDefault="00802D3E">
            <w:pPr>
              <w:pStyle w:val="MeasureTableTextRightAligned"/>
            </w:pPr>
            <w:r>
              <w:t>*</w:t>
            </w:r>
          </w:p>
        </w:tc>
      </w:tr>
      <w:tr w:rsidR="00802D3E" w14:paraId="208707BE" w14:textId="77777777" w:rsidTr="00802D3E">
        <w:trPr>
          <w:cantSplit/>
          <w:jc w:val="center"/>
        </w:trPr>
        <w:tc>
          <w:tcPr>
            <w:tcW w:w="1934" w:type="dxa"/>
            <w:gridSpan w:val="2"/>
            <w:tcBorders>
              <w:top w:val="single" w:sz="2" w:space="0" w:color="auto"/>
              <w:left w:val="nil"/>
              <w:bottom w:val="nil"/>
              <w:right w:val="nil"/>
            </w:tcBorders>
            <w:hideMark/>
          </w:tcPr>
          <w:p w14:paraId="208707B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7BB"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7B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7BD" w14:textId="77777777" w:rsidR="00802D3E" w:rsidRDefault="00802D3E">
            <w:pPr>
              <w:pStyle w:val="MeasureTableTextLeftAligned"/>
            </w:pPr>
            <w:r>
              <w:t>E19</w:t>
            </w:r>
          </w:p>
        </w:tc>
      </w:tr>
      <w:tr w:rsidR="00802D3E" w14:paraId="208707C3" w14:textId="77777777" w:rsidTr="00802D3E">
        <w:trPr>
          <w:cantSplit/>
          <w:jc w:val="center"/>
        </w:trPr>
        <w:tc>
          <w:tcPr>
            <w:tcW w:w="1934" w:type="dxa"/>
            <w:gridSpan w:val="2"/>
            <w:tcBorders>
              <w:top w:val="nil"/>
              <w:left w:val="nil"/>
              <w:bottom w:val="nil"/>
              <w:right w:val="nil"/>
            </w:tcBorders>
            <w:hideMark/>
          </w:tcPr>
          <w:p w14:paraId="208707B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7C0"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7C1"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7C2" w14:textId="77777777" w:rsidR="00802D3E" w:rsidRDefault="00802D3E">
            <w:pPr>
              <w:pStyle w:val="MeasureTableTextLeftAligned"/>
            </w:pPr>
            <w:r>
              <w:t>2+</w:t>
            </w:r>
          </w:p>
        </w:tc>
      </w:tr>
      <w:tr w:rsidR="00106337" w14:paraId="208707C7" w14:textId="77777777" w:rsidTr="00663962">
        <w:trPr>
          <w:cantSplit/>
          <w:jc w:val="center"/>
        </w:trPr>
        <w:tc>
          <w:tcPr>
            <w:tcW w:w="1934" w:type="dxa"/>
            <w:gridSpan w:val="2"/>
            <w:tcBorders>
              <w:top w:val="nil"/>
              <w:left w:val="nil"/>
              <w:bottom w:val="nil"/>
              <w:right w:val="nil"/>
            </w:tcBorders>
            <w:hideMark/>
          </w:tcPr>
          <w:p w14:paraId="208707C4" w14:textId="77777777" w:rsidR="00106337" w:rsidRDefault="00106337">
            <w:pPr>
              <w:pStyle w:val="MeasureTableTextItalic"/>
            </w:pPr>
            <w:r>
              <w:t>Commencement date:</w:t>
            </w:r>
          </w:p>
        </w:tc>
        <w:tc>
          <w:tcPr>
            <w:tcW w:w="3179" w:type="dxa"/>
            <w:gridSpan w:val="4"/>
            <w:tcBorders>
              <w:top w:val="nil"/>
              <w:left w:val="nil"/>
              <w:bottom w:val="nil"/>
              <w:right w:val="nil"/>
            </w:tcBorders>
            <w:hideMark/>
          </w:tcPr>
          <w:p w14:paraId="208707C5" w14:textId="77777777" w:rsidR="00106337" w:rsidRDefault="00106337">
            <w:pPr>
              <w:pStyle w:val="MeasureTableTextLeftAligned"/>
            </w:pPr>
            <w:r>
              <w:t xml:space="preserve">1994 (ADFs); 2008 (merging funds); 2013 (inter-fund </w:t>
            </w:r>
            <w:proofErr w:type="spellStart"/>
            <w:r>
              <w:t>MySuper</w:t>
            </w:r>
            <w:proofErr w:type="spellEnd"/>
            <w:r>
              <w:t xml:space="preserve"> mandatory transfers) and 2015 (intra-fund </w:t>
            </w:r>
            <w:proofErr w:type="spellStart"/>
            <w:r>
              <w:t>MySuper</w:t>
            </w:r>
            <w:proofErr w:type="spellEnd"/>
            <w:r>
              <w:t xml:space="preserve"> mandatory transfers)</w:t>
            </w:r>
          </w:p>
        </w:tc>
        <w:tc>
          <w:tcPr>
            <w:tcW w:w="2624" w:type="dxa"/>
            <w:gridSpan w:val="4"/>
            <w:tcBorders>
              <w:top w:val="nil"/>
              <w:left w:val="nil"/>
              <w:bottom w:val="nil"/>
              <w:right w:val="nil"/>
            </w:tcBorders>
            <w:hideMark/>
          </w:tcPr>
          <w:p w14:paraId="208707C6" w14:textId="77777777" w:rsidR="00106337" w:rsidRDefault="00106337">
            <w:pPr>
              <w:pStyle w:val="MeasureTableTextLeftAligned"/>
            </w:pPr>
            <w:r w:rsidRPr="00106337">
              <w:rPr>
                <w:i/>
              </w:rPr>
              <w:t>Expiry date:</w:t>
            </w:r>
            <w:r>
              <w:t xml:space="preserve"> 2017 (merging funds and </w:t>
            </w:r>
            <w:proofErr w:type="spellStart"/>
            <w:r>
              <w:t>MySuper</w:t>
            </w:r>
            <w:proofErr w:type="spellEnd"/>
            <w:r>
              <w:t xml:space="preserve"> mandatory transfers)</w:t>
            </w:r>
          </w:p>
        </w:tc>
      </w:tr>
      <w:tr w:rsidR="00802D3E" w14:paraId="208707CB" w14:textId="77777777" w:rsidTr="00802D3E">
        <w:trPr>
          <w:cantSplit/>
          <w:jc w:val="center"/>
        </w:trPr>
        <w:tc>
          <w:tcPr>
            <w:tcW w:w="1934" w:type="dxa"/>
            <w:gridSpan w:val="2"/>
            <w:tcBorders>
              <w:top w:val="nil"/>
              <w:left w:val="nil"/>
              <w:bottom w:val="single" w:sz="2" w:space="0" w:color="auto"/>
              <w:right w:val="nil"/>
            </w:tcBorders>
            <w:hideMark/>
          </w:tcPr>
          <w:p w14:paraId="208707C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7C9" w14:textId="77777777" w:rsidR="00802D3E" w:rsidRDefault="00802D3E" w:rsidP="00106337">
            <w:pPr>
              <w:widowControl w:val="0"/>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Subdivision 126-C (trust deeds), and Division 310 (merging funds) of the </w:t>
            </w:r>
            <w:r>
              <w:rPr>
                <w:rFonts w:ascii="Arial" w:hAnsi="Arial" w:cs="Arial"/>
                <w:i/>
                <w:iCs/>
                <w:color w:val="000000"/>
                <w:sz w:val="16"/>
                <w:szCs w:val="16"/>
              </w:rPr>
              <w:t>Income Tax Assessment Act 1997</w:t>
            </w:r>
          </w:p>
          <w:p w14:paraId="208707CA"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Division 311 of the </w:t>
            </w:r>
            <w:r>
              <w:rPr>
                <w:rFonts w:ascii="Arial" w:hAnsi="Arial" w:cs="Arial"/>
                <w:i/>
                <w:iCs/>
                <w:color w:val="000000"/>
                <w:sz w:val="16"/>
                <w:szCs w:val="16"/>
              </w:rPr>
              <w:t xml:space="preserve">Income Tax Assessment Act 1997 </w:t>
            </w:r>
            <w:r>
              <w:rPr>
                <w:rFonts w:ascii="Arial" w:hAnsi="Arial" w:cs="Arial"/>
                <w:color w:val="000000"/>
                <w:sz w:val="16"/>
                <w:szCs w:val="16"/>
              </w:rPr>
              <w:t>(</w:t>
            </w:r>
            <w:proofErr w:type="spellStart"/>
            <w:r>
              <w:rPr>
                <w:rFonts w:ascii="Arial" w:hAnsi="Arial" w:cs="Arial"/>
                <w:color w:val="000000"/>
                <w:sz w:val="16"/>
                <w:szCs w:val="16"/>
              </w:rPr>
              <w:t>MySuper</w:t>
            </w:r>
            <w:proofErr w:type="spellEnd"/>
            <w:r>
              <w:rPr>
                <w:rFonts w:ascii="Arial" w:hAnsi="Arial" w:cs="Arial"/>
                <w:color w:val="000000"/>
                <w:sz w:val="16"/>
                <w:szCs w:val="16"/>
              </w:rPr>
              <w:t xml:space="preserve"> mandatory transfers) </w:t>
            </w:r>
          </w:p>
        </w:tc>
      </w:tr>
    </w:tbl>
    <w:p w14:paraId="208707CC" w14:textId="77777777" w:rsidR="00802D3E" w:rsidRDefault="00802D3E" w:rsidP="00A109BC">
      <w:pPr>
        <w:pStyle w:val="SingleParagraph"/>
      </w:pPr>
    </w:p>
    <w:p w14:paraId="208707CD" w14:textId="77777777" w:rsidR="00802D3E" w:rsidRDefault="00802D3E" w:rsidP="00802D3E">
      <w:pPr>
        <w:rPr>
          <w:szCs w:val="24"/>
        </w:rPr>
      </w:pPr>
      <w:r>
        <w:rPr>
          <w:szCs w:val="24"/>
        </w:rPr>
        <w:t>A roll</w:t>
      </w:r>
      <w:r>
        <w:rPr>
          <w:szCs w:val="24"/>
        </w:rPr>
        <w:noBreakHyphen/>
        <w:t>over is available where a complying superannuation fund or a complying Approved Deposit Fund amends or replaces its trust deed.</w:t>
      </w:r>
    </w:p>
    <w:p w14:paraId="208707CE" w14:textId="39D3F926" w:rsidR="00802D3E" w:rsidRDefault="00802D3E" w:rsidP="00802D3E">
      <w:r>
        <w:rPr>
          <w:szCs w:val="24"/>
        </w:rPr>
        <w:t>From 24 December 2008 to 2 July 2017, complying superannuation funds that merge are provided with loss relief and an asset roll-over. Loss relief and an asset roll</w:t>
      </w:r>
      <w:r>
        <w:rPr>
          <w:szCs w:val="24"/>
        </w:rPr>
        <w:noBreakHyphen/>
        <w:t xml:space="preserve">over will also be provided between 1 July 2013 to 1 July 2017 for mandatory transfers of default members’ balances and relevant assets to a </w:t>
      </w:r>
      <w:proofErr w:type="spellStart"/>
      <w:r>
        <w:rPr>
          <w:szCs w:val="24"/>
        </w:rPr>
        <w:t>MySuper</w:t>
      </w:r>
      <w:proofErr w:type="spellEnd"/>
      <w:r>
        <w:rPr>
          <w:szCs w:val="24"/>
        </w:rPr>
        <w:t xml:space="preserve"> product in another complying superannuation fund.</w:t>
      </w:r>
      <w:r>
        <w:t xml:space="preserve"> In addition, from 29 June 2015 to 1 July 2017 an asset roll-over will be provided for mandatory transfers of default members’ balances and relevant assets to a </w:t>
      </w:r>
      <w:proofErr w:type="spellStart"/>
      <w:r>
        <w:t>MySuper</w:t>
      </w:r>
      <w:proofErr w:type="spellEnd"/>
      <w:r>
        <w:t xml:space="preserve"> product within a complying superannuation fund’s</w:t>
      </w:r>
      <w:r w:rsidR="000B1D9D">
        <w:t> </w:t>
      </w:r>
      <w:r>
        <w:t xml:space="preserve">structure. </w:t>
      </w:r>
    </w:p>
    <w:p w14:paraId="208707CF" w14:textId="77777777" w:rsidR="00802D3E" w:rsidRDefault="00802D3E" w:rsidP="00802D3E">
      <w:pPr>
        <w:pStyle w:val="TESHeading5"/>
        <w:ind w:left="0" w:firstLine="0"/>
      </w:pPr>
      <w:r>
        <w:t>E24</w:t>
      </w:r>
      <w:r>
        <w:tab/>
        <w:t>Roll-over for replacement small business active assets</w:t>
      </w:r>
    </w:p>
    <w:p w14:paraId="208707D0"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7D9" w14:textId="77777777" w:rsidTr="00802D3E">
        <w:trPr>
          <w:cantSplit/>
          <w:jc w:val="center"/>
        </w:trPr>
        <w:tc>
          <w:tcPr>
            <w:tcW w:w="967" w:type="dxa"/>
            <w:tcBorders>
              <w:top w:val="single" w:sz="2" w:space="0" w:color="auto"/>
              <w:left w:val="nil"/>
              <w:bottom w:val="single" w:sz="2" w:space="0" w:color="auto"/>
              <w:right w:val="nil"/>
            </w:tcBorders>
            <w:hideMark/>
          </w:tcPr>
          <w:p w14:paraId="208707D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7D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7D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7D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7D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7D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7D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7D8" w14:textId="77777777" w:rsidR="00802D3E" w:rsidRDefault="00802D3E">
            <w:pPr>
              <w:pStyle w:val="MeasureTableTextRightAligned"/>
            </w:pPr>
            <w:r>
              <w:t>2019-20</w:t>
            </w:r>
          </w:p>
        </w:tc>
      </w:tr>
      <w:tr w:rsidR="00802D3E" w14:paraId="208707E2" w14:textId="77777777" w:rsidTr="00802D3E">
        <w:trPr>
          <w:cantSplit/>
          <w:jc w:val="center"/>
        </w:trPr>
        <w:tc>
          <w:tcPr>
            <w:tcW w:w="967" w:type="dxa"/>
            <w:tcBorders>
              <w:top w:val="single" w:sz="2" w:space="0" w:color="auto"/>
              <w:left w:val="nil"/>
              <w:bottom w:val="single" w:sz="2" w:space="0" w:color="auto"/>
              <w:right w:val="nil"/>
            </w:tcBorders>
            <w:hideMark/>
          </w:tcPr>
          <w:p w14:paraId="208707DA" w14:textId="77777777" w:rsidR="00802D3E" w:rsidRDefault="00802D3E">
            <w:pPr>
              <w:pStyle w:val="MeasureTableTextRightAligned"/>
            </w:pPr>
            <w:r>
              <w:t>200</w:t>
            </w:r>
          </w:p>
        </w:tc>
        <w:tc>
          <w:tcPr>
            <w:tcW w:w="967" w:type="dxa"/>
            <w:tcBorders>
              <w:top w:val="single" w:sz="2" w:space="0" w:color="auto"/>
              <w:left w:val="nil"/>
              <w:bottom w:val="single" w:sz="2" w:space="0" w:color="auto"/>
              <w:right w:val="nil"/>
            </w:tcBorders>
            <w:hideMark/>
          </w:tcPr>
          <w:p w14:paraId="208707DB" w14:textId="77777777" w:rsidR="00802D3E" w:rsidRDefault="00802D3E">
            <w:pPr>
              <w:pStyle w:val="MeasureTableTextRightAligned"/>
            </w:pPr>
            <w:r>
              <w:t>200</w:t>
            </w:r>
          </w:p>
        </w:tc>
        <w:tc>
          <w:tcPr>
            <w:tcW w:w="967" w:type="dxa"/>
            <w:tcBorders>
              <w:top w:val="single" w:sz="2" w:space="0" w:color="auto"/>
              <w:left w:val="nil"/>
              <w:bottom w:val="single" w:sz="2" w:space="0" w:color="auto"/>
              <w:right w:val="nil"/>
            </w:tcBorders>
            <w:vAlign w:val="bottom"/>
            <w:hideMark/>
          </w:tcPr>
          <w:p w14:paraId="208707DC" w14:textId="77777777" w:rsidR="00802D3E" w:rsidRDefault="00802D3E">
            <w:pPr>
              <w:pStyle w:val="MeasureTableTextRightAligned"/>
            </w:pPr>
            <w:r>
              <w:t>210</w:t>
            </w:r>
          </w:p>
        </w:tc>
        <w:tc>
          <w:tcPr>
            <w:tcW w:w="967" w:type="dxa"/>
            <w:tcBorders>
              <w:top w:val="single" w:sz="2" w:space="0" w:color="auto"/>
              <w:left w:val="nil"/>
              <w:bottom w:val="single" w:sz="2" w:space="0" w:color="auto"/>
              <w:right w:val="nil"/>
            </w:tcBorders>
            <w:vAlign w:val="bottom"/>
            <w:hideMark/>
          </w:tcPr>
          <w:p w14:paraId="208707DD" w14:textId="77777777" w:rsidR="00802D3E" w:rsidRDefault="00802D3E">
            <w:pPr>
              <w:pStyle w:val="MeasureTableTextRightAligned"/>
            </w:pPr>
            <w:r>
              <w:t>250</w:t>
            </w:r>
          </w:p>
        </w:tc>
        <w:tc>
          <w:tcPr>
            <w:tcW w:w="967" w:type="dxa"/>
            <w:tcBorders>
              <w:top w:val="single" w:sz="2" w:space="0" w:color="auto"/>
              <w:left w:val="nil"/>
              <w:bottom w:val="single" w:sz="2" w:space="0" w:color="auto"/>
              <w:right w:val="nil"/>
            </w:tcBorders>
            <w:vAlign w:val="bottom"/>
            <w:hideMark/>
          </w:tcPr>
          <w:p w14:paraId="208707DE" w14:textId="77777777" w:rsidR="00802D3E" w:rsidRDefault="00802D3E">
            <w:pPr>
              <w:pStyle w:val="MeasureTableTextRightAligned"/>
            </w:pPr>
            <w:r>
              <w:t>260</w:t>
            </w:r>
          </w:p>
        </w:tc>
        <w:tc>
          <w:tcPr>
            <w:tcW w:w="967" w:type="dxa"/>
            <w:gridSpan w:val="2"/>
            <w:tcBorders>
              <w:top w:val="single" w:sz="2" w:space="0" w:color="auto"/>
              <w:left w:val="nil"/>
              <w:bottom w:val="single" w:sz="2" w:space="0" w:color="auto"/>
              <w:right w:val="nil"/>
            </w:tcBorders>
            <w:vAlign w:val="bottom"/>
            <w:hideMark/>
          </w:tcPr>
          <w:p w14:paraId="208707DF" w14:textId="77777777" w:rsidR="00802D3E" w:rsidRDefault="00802D3E">
            <w:pPr>
              <w:pStyle w:val="MeasureTableTextRightAligned"/>
            </w:pPr>
            <w:r>
              <w:t>270</w:t>
            </w:r>
          </w:p>
        </w:tc>
        <w:tc>
          <w:tcPr>
            <w:tcW w:w="967" w:type="dxa"/>
            <w:gridSpan w:val="2"/>
            <w:tcBorders>
              <w:top w:val="single" w:sz="2" w:space="0" w:color="auto"/>
              <w:left w:val="nil"/>
              <w:bottom w:val="single" w:sz="2" w:space="0" w:color="auto"/>
              <w:right w:val="nil"/>
            </w:tcBorders>
            <w:vAlign w:val="bottom"/>
            <w:hideMark/>
          </w:tcPr>
          <w:p w14:paraId="208707E0" w14:textId="77777777" w:rsidR="00802D3E" w:rsidRDefault="00802D3E">
            <w:pPr>
              <w:pStyle w:val="MeasureTableTextRightAligned"/>
            </w:pPr>
            <w:r>
              <w:t>280</w:t>
            </w:r>
          </w:p>
        </w:tc>
        <w:tc>
          <w:tcPr>
            <w:tcW w:w="968" w:type="dxa"/>
            <w:tcBorders>
              <w:top w:val="single" w:sz="2" w:space="0" w:color="auto"/>
              <w:left w:val="nil"/>
              <w:bottom w:val="single" w:sz="2" w:space="0" w:color="auto"/>
              <w:right w:val="nil"/>
            </w:tcBorders>
            <w:vAlign w:val="bottom"/>
            <w:hideMark/>
          </w:tcPr>
          <w:p w14:paraId="208707E1" w14:textId="77777777" w:rsidR="00802D3E" w:rsidRDefault="00802D3E">
            <w:pPr>
              <w:pStyle w:val="MeasureTableTextRightAligned"/>
            </w:pPr>
            <w:r>
              <w:t>280</w:t>
            </w:r>
          </w:p>
        </w:tc>
      </w:tr>
      <w:tr w:rsidR="00802D3E" w14:paraId="208707E7" w14:textId="77777777" w:rsidTr="00802D3E">
        <w:trPr>
          <w:cantSplit/>
          <w:jc w:val="center"/>
        </w:trPr>
        <w:tc>
          <w:tcPr>
            <w:tcW w:w="1934" w:type="dxa"/>
            <w:gridSpan w:val="2"/>
            <w:tcBorders>
              <w:top w:val="single" w:sz="2" w:space="0" w:color="auto"/>
              <w:left w:val="nil"/>
              <w:bottom w:val="nil"/>
              <w:right w:val="nil"/>
            </w:tcBorders>
            <w:hideMark/>
          </w:tcPr>
          <w:p w14:paraId="208707E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7E4"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7E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7E6" w14:textId="77777777" w:rsidR="00802D3E" w:rsidRDefault="00802D3E">
            <w:pPr>
              <w:pStyle w:val="MeasureTableTextLeftAligned"/>
            </w:pPr>
            <w:r>
              <w:t>E20</w:t>
            </w:r>
          </w:p>
        </w:tc>
      </w:tr>
      <w:tr w:rsidR="00802D3E" w14:paraId="208707EC" w14:textId="77777777" w:rsidTr="00802D3E">
        <w:trPr>
          <w:cantSplit/>
          <w:jc w:val="center"/>
        </w:trPr>
        <w:tc>
          <w:tcPr>
            <w:tcW w:w="1934" w:type="dxa"/>
            <w:gridSpan w:val="2"/>
            <w:tcBorders>
              <w:top w:val="nil"/>
              <w:left w:val="nil"/>
              <w:bottom w:val="nil"/>
              <w:right w:val="nil"/>
            </w:tcBorders>
            <w:hideMark/>
          </w:tcPr>
          <w:p w14:paraId="208707E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7E9"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7EA" w14:textId="77777777" w:rsidR="00802D3E" w:rsidRDefault="00802D3E">
            <w:pPr>
              <w:pStyle w:val="MeasureTableTextItalic"/>
            </w:pPr>
          </w:p>
        </w:tc>
        <w:tc>
          <w:tcPr>
            <w:tcW w:w="1124" w:type="dxa"/>
            <w:gridSpan w:val="2"/>
            <w:tcBorders>
              <w:top w:val="nil"/>
              <w:left w:val="nil"/>
              <w:bottom w:val="nil"/>
              <w:right w:val="nil"/>
            </w:tcBorders>
          </w:tcPr>
          <w:p w14:paraId="208707EB" w14:textId="77777777" w:rsidR="00802D3E" w:rsidRDefault="00802D3E">
            <w:pPr>
              <w:pStyle w:val="MeasureTableTextLeftAligned"/>
            </w:pPr>
          </w:p>
        </w:tc>
      </w:tr>
      <w:tr w:rsidR="00802D3E" w14:paraId="208707F1" w14:textId="77777777" w:rsidTr="00802D3E">
        <w:trPr>
          <w:cantSplit/>
          <w:jc w:val="center"/>
        </w:trPr>
        <w:tc>
          <w:tcPr>
            <w:tcW w:w="1934" w:type="dxa"/>
            <w:gridSpan w:val="2"/>
            <w:tcBorders>
              <w:top w:val="nil"/>
              <w:left w:val="nil"/>
              <w:bottom w:val="nil"/>
              <w:right w:val="nil"/>
            </w:tcBorders>
            <w:hideMark/>
          </w:tcPr>
          <w:p w14:paraId="208707E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7EE" w14:textId="77777777" w:rsidR="00802D3E" w:rsidRDefault="00802D3E">
            <w:pPr>
              <w:pStyle w:val="MeasureTableTextLeftAligned"/>
            </w:pPr>
            <w:r>
              <w:t>1997</w:t>
            </w:r>
          </w:p>
        </w:tc>
        <w:tc>
          <w:tcPr>
            <w:tcW w:w="1500" w:type="dxa"/>
            <w:gridSpan w:val="2"/>
            <w:tcBorders>
              <w:top w:val="nil"/>
              <w:left w:val="nil"/>
              <w:bottom w:val="nil"/>
              <w:right w:val="nil"/>
            </w:tcBorders>
            <w:hideMark/>
          </w:tcPr>
          <w:p w14:paraId="208707EF"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7F0" w14:textId="77777777" w:rsidR="00802D3E" w:rsidRDefault="00802D3E">
            <w:pPr>
              <w:pStyle w:val="MeasureTableTextLeftAligned"/>
            </w:pPr>
          </w:p>
        </w:tc>
      </w:tr>
      <w:tr w:rsidR="00802D3E" w14:paraId="208707F4" w14:textId="77777777" w:rsidTr="00802D3E">
        <w:trPr>
          <w:cantSplit/>
          <w:jc w:val="center"/>
        </w:trPr>
        <w:tc>
          <w:tcPr>
            <w:tcW w:w="1934" w:type="dxa"/>
            <w:gridSpan w:val="2"/>
            <w:tcBorders>
              <w:top w:val="nil"/>
              <w:left w:val="nil"/>
              <w:bottom w:val="single" w:sz="2" w:space="0" w:color="auto"/>
              <w:right w:val="nil"/>
            </w:tcBorders>
            <w:hideMark/>
          </w:tcPr>
          <w:p w14:paraId="208707F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7F3"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Subdivision 152-E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7F5" w14:textId="77777777" w:rsidR="00802D3E" w:rsidRDefault="00802D3E" w:rsidP="00A109BC">
      <w:pPr>
        <w:pStyle w:val="SingleParagraph"/>
      </w:pPr>
    </w:p>
    <w:p w14:paraId="208707F6" w14:textId="77777777" w:rsidR="00802D3E" w:rsidRDefault="00802D3E" w:rsidP="00802D3E">
      <w:r>
        <w:t>A CGT roll</w:t>
      </w:r>
      <w:r>
        <w:noBreakHyphen/>
        <w:t>over is available for eligible small businesses, for capital gains arising from the disposal of active small business assets</w:t>
      </w:r>
      <w:r>
        <w:fldChar w:fldCharType="begin"/>
      </w:r>
      <w:r>
        <w:instrText xml:space="preserve"> XE "Active small business assets" </w:instrText>
      </w:r>
      <w:r>
        <w:fldChar w:fldCharType="end"/>
      </w:r>
      <w:r>
        <w:t xml:space="preserve"> if the proceeds of the sale are used to purchase other active small business assets. Active assets include assets used in carrying on a business and intangible assets inherently connected with a business (for example, goodwill)</w:t>
      </w:r>
      <w:r>
        <w:fldChar w:fldCharType="begin"/>
      </w:r>
      <w:r>
        <w:instrText xml:space="preserve"> XE "Small business" </w:instrText>
      </w:r>
      <w:r>
        <w:fldChar w:fldCharType="end"/>
      </w:r>
      <w:r>
        <w:t xml:space="preserve">. </w:t>
      </w:r>
    </w:p>
    <w:p w14:paraId="208707F7" w14:textId="77777777" w:rsidR="00802D3E" w:rsidRDefault="00802D3E" w:rsidP="00802D3E">
      <w:pPr>
        <w:pStyle w:val="TESHeading5"/>
        <w:ind w:left="0" w:firstLine="0"/>
      </w:pPr>
      <w:r>
        <w:lastRenderedPageBreak/>
        <w:t>E25</w:t>
      </w:r>
      <w:r>
        <w:tab/>
        <w:t>Roll-over for statutory licences and water entitlements</w:t>
      </w:r>
    </w:p>
    <w:p w14:paraId="208707F8"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801" w14:textId="77777777" w:rsidTr="00802D3E">
        <w:trPr>
          <w:cantSplit/>
          <w:jc w:val="center"/>
        </w:trPr>
        <w:tc>
          <w:tcPr>
            <w:tcW w:w="967" w:type="dxa"/>
            <w:tcBorders>
              <w:top w:val="single" w:sz="2" w:space="0" w:color="auto"/>
              <w:left w:val="nil"/>
              <w:bottom w:val="single" w:sz="2" w:space="0" w:color="auto"/>
              <w:right w:val="nil"/>
            </w:tcBorders>
            <w:hideMark/>
          </w:tcPr>
          <w:p w14:paraId="208707F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7F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7F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7F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7F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7F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7F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800" w14:textId="77777777" w:rsidR="00802D3E" w:rsidRDefault="00802D3E">
            <w:pPr>
              <w:pStyle w:val="MeasureTableTextRightAligned"/>
            </w:pPr>
            <w:r>
              <w:t>2019-20</w:t>
            </w:r>
          </w:p>
        </w:tc>
      </w:tr>
      <w:tr w:rsidR="00802D3E" w14:paraId="2087080A" w14:textId="77777777" w:rsidTr="00802D3E">
        <w:trPr>
          <w:cantSplit/>
          <w:jc w:val="center"/>
        </w:trPr>
        <w:tc>
          <w:tcPr>
            <w:tcW w:w="967" w:type="dxa"/>
            <w:tcBorders>
              <w:top w:val="single" w:sz="2" w:space="0" w:color="auto"/>
              <w:left w:val="nil"/>
              <w:bottom w:val="single" w:sz="2" w:space="0" w:color="auto"/>
              <w:right w:val="nil"/>
            </w:tcBorders>
            <w:hideMark/>
          </w:tcPr>
          <w:p w14:paraId="2087080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80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0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0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0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80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808"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809" w14:textId="77777777" w:rsidR="00802D3E" w:rsidRDefault="00802D3E">
            <w:pPr>
              <w:pStyle w:val="MeasureTableTextRightAligned"/>
            </w:pPr>
            <w:r>
              <w:t>*</w:t>
            </w:r>
          </w:p>
        </w:tc>
      </w:tr>
      <w:tr w:rsidR="00802D3E" w14:paraId="2087080F" w14:textId="77777777" w:rsidTr="00802D3E">
        <w:trPr>
          <w:cantSplit/>
          <w:jc w:val="center"/>
        </w:trPr>
        <w:tc>
          <w:tcPr>
            <w:tcW w:w="1934" w:type="dxa"/>
            <w:gridSpan w:val="2"/>
            <w:tcBorders>
              <w:top w:val="single" w:sz="2" w:space="0" w:color="auto"/>
              <w:left w:val="nil"/>
              <w:bottom w:val="nil"/>
              <w:right w:val="nil"/>
            </w:tcBorders>
            <w:hideMark/>
          </w:tcPr>
          <w:p w14:paraId="2087080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80C"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80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80E" w14:textId="77777777" w:rsidR="00802D3E" w:rsidRDefault="00802D3E">
            <w:pPr>
              <w:pStyle w:val="MeasureTableTextLeftAligned"/>
            </w:pPr>
            <w:r>
              <w:t>E21</w:t>
            </w:r>
          </w:p>
        </w:tc>
      </w:tr>
      <w:tr w:rsidR="00802D3E" w14:paraId="20870814" w14:textId="77777777" w:rsidTr="00802D3E">
        <w:trPr>
          <w:cantSplit/>
          <w:jc w:val="center"/>
        </w:trPr>
        <w:tc>
          <w:tcPr>
            <w:tcW w:w="1934" w:type="dxa"/>
            <w:gridSpan w:val="2"/>
            <w:tcBorders>
              <w:top w:val="nil"/>
              <w:left w:val="nil"/>
              <w:bottom w:val="nil"/>
              <w:right w:val="nil"/>
            </w:tcBorders>
            <w:hideMark/>
          </w:tcPr>
          <w:p w14:paraId="2087081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811"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812"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813" w14:textId="77777777" w:rsidR="00802D3E" w:rsidRDefault="00802D3E">
            <w:pPr>
              <w:pStyle w:val="MeasureTableTextLeftAligned"/>
            </w:pPr>
            <w:r>
              <w:t>1+</w:t>
            </w:r>
          </w:p>
        </w:tc>
      </w:tr>
      <w:tr w:rsidR="00802D3E" w14:paraId="20870819" w14:textId="77777777" w:rsidTr="00802D3E">
        <w:trPr>
          <w:cantSplit/>
          <w:jc w:val="center"/>
        </w:trPr>
        <w:tc>
          <w:tcPr>
            <w:tcW w:w="1934" w:type="dxa"/>
            <w:gridSpan w:val="2"/>
            <w:tcBorders>
              <w:top w:val="nil"/>
              <w:left w:val="nil"/>
              <w:bottom w:val="nil"/>
              <w:right w:val="nil"/>
            </w:tcBorders>
            <w:hideMark/>
          </w:tcPr>
          <w:p w14:paraId="2087081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816" w14:textId="77777777" w:rsidR="00802D3E" w:rsidRDefault="00802D3E">
            <w:pPr>
              <w:pStyle w:val="MeasureTableTextLeftAligned"/>
            </w:pPr>
            <w:r>
              <w:t>1985, 2005 and 2006</w:t>
            </w:r>
          </w:p>
        </w:tc>
        <w:tc>
          <w:tcPr>
            <w:tcW w:w="1500" w:type="dxa"/>
            <w:gridSpan w:val="2"/>
            <w:tcBorders>
              <w:top w:val="nil"/>
              <w:left w:val="nil"/>
              <w:bottom w:val="nil"/>
              <w:right w:val="nil"/>
            </w:tcBorders>
            <w:hideMark/>
          </w:tcPr>
          <w:p w14:paraId="20870817"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818" w14:textId="77777777" w:rsidR="00802D3E" w:rsidRDefault="00802D3E">
            <w:pPr>
              <w:pStyle w:val="MeasureTableTextLeftAligned"/>
            </w:pPr>
          </w:p>
        </w:tc>
      </w:tr>
      <w:tr w:rsidR="00802D3E" w14:paraId="2087081C" w14:textId="77777777" w:rsidTr="00802D3E">
        <w:trPr>
          <w:cantSplit/>
          <w:jc w:val="center"/>
        </w:trPr>
        <w:tc>
          <w:tcPr>
            <w:tcW w:w="1934" w:type="dxa"/>
            <w:gridSpan w:val="2"/>
            <w:tcBorders>
              <w:top w:val="nil"/>
              <w:left w:val="nil"/>
              <w:bottom w:val="single" w:sz="2" w:space="0" w:color="auto"/>
              <w:right w:val="nil"/>
            </w:tcBorders>
            <w:hideMark/>
          </w:tcPr>
          <w:p w14:paraId="2087081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81B"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Subdivisions 124-C (statutory licences) and 124-R (water entitlements) of the </w:t>
            </w:r>
            <w:r>
              <w:rPr>
                <w:rFonts w:ascii="Arial" w:hAnsi="Arial" w:cs="Arial"/>
                <w:i/>
                <w:iCs/>
                <w:color w:val="000000"/>
                <w:sz w:val="16"/>
                <w:szCs w:val="16"/>
              </w:rPr>
              <w:t xml:space="preserve">Income Tax Assessment Act 1997 </w:t>
            </w:r>
          </w:p>
        </w:tc>
      </w:tr>
    </w:tbl>
    <w:p w14:paraId="2087081D" w14:textId="77777777" w:rsidR="00802D3E" w:rsidRDefault="00802D3E" w:rsidP="00A109BC">
      <w:pPr>
        <w:pStyle w:val="SingleParagraph"/>
      </w:pPr>
    </w:p>
    <w:p w14:paraId="2087081E" w14:textId="77777777" w:rsidR="00802D3E" w:rsidRDefault="00802D3E" w:rsidP="00802D3E">
      <w:r>
        <w:t>A CGT roll</w:t>
      </w:r>
      <w:r>
        <w:noBreakHyphen/>
        <w:t>over</w:t>
      </w:r>
      <w:r>
        <w:fldChar w:fldCharType="begin"/>
      </w:r>
      <w:r>
        <w:instrText xml:space="preserve"> XE "Capital gains tax:Roll</w:instrText>
      </w:r>
      <w:r>
        <w:noBreakHyphen/>
        <w:instrText xml:space="preserve">over" </w:instrText>
      </w:r>
      <w:r>
        <w:fldChar w:fldCharType="end"/>
      </w:r>
      <w:r>
        <w:t xml:space="preserve"> is available where a statutory licence</w:t>
      </w:r>
      <w:r>
        <w:fldChar w:fldCharType="begin"/>
      </w:r>
      <w:r>
        <w:instrText xml:space="preserve"> XE "Statutory licence" </w:instrText>
      </w:r>
      <w:r>
        <w:fldChar w:fldCharType="end"/>
      </w:r>
      <w:r>
        <w:t xml:space="preserve"> ends and is replaced with a new licence that authorises substantially similar activity to the original licence. In addition, a CGT roll</w:t>
      </w:r>
      <w:r>
        <w:noBreakHyphen/>
        <w:t xml:space="preserve">over is available where a taxpayer’s ownership of one or more water entitlements ends and the taxpayer receives one or more replacement water entitlements. </w:t>
      </w:r>
    </w:p>
    <w:p w14:paraId="2087081F" w14:textId="77777777" w:rsidR="00802D3E" w:rsidRDefault="00802D3E" w:rsidP="00802D3E">
      <w:pPr>
        <w:pStyle w:val="TESHeading5"/>
        <w:ind w:left="0" w:firstLine="0"/>
      </w:pPr>
      <w:r>
        <w:t>E26</w:t>
      </w:r>
      <w:r>
        <w:tab/>
        <w:t>Roll-over for transfer of assets on marriage or relationship breakdown</w:t>
      </w:r>
    </w:p>
    <w:p w14:paraId="20870820"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829" w14:textId="77777777" w:rsidTr="00802D3E">
        <w:trPr>
          <w:cantSplit/>
          <w:jc w:val="center"/>
        </w:trPr>
        <w:tc>
          <w:tcPr>
            <w:tcW w:w="967" w:type="dxa"/>
            <w:tcBorders>
              <w:top w:val="single" w:sz="2" w:space="0" w:color="auto"/>
              <w:left w:val="nil"/>
              <w:bottom w:val="single" w:sz="2" w:space="0" w:color="auto"/>
              <w:right w:val="nil"/>
            </w:tcBorders>
            <w:hideMark/>
          </w:tcPr>
          <w:p w14:paraId="2087082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82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82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82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82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82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82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828" w14:textId="77777777" w:rsidR="00802D3E" w:rsidRDefault="00802D3E">
            <w:pPr>
              <w:pStyle w:val="MeasureTableTextRightAligned"/>
            </w:pPr>
            <w:r>
              <w:t>2019-20</w:t>
            </w:r>
          </w:p>
        </w:tc>
      </w:tr>
      <w:tr w:rsidR="00802D3E" w14:paraId="20870832" w14:textId="77777777" w:rsidTr="00802D3E">
        <w:trPr>
          <w:cantSplit/>
          <w:jc w:val="center"/>
        </w:trPr>
        <w:tc>
          <w:tcPr>
            <w:tcW w:w="967" w:type="dxa"/>
            <w:tcBorders>
              <w:top w:val="single" w:sz="2" w:space="0" w:color="auto"/>
              <w:left w:val="nil"/>
              <w:bottom w:val="single" w:sz="2" w:space="0" w:color="auto"/>
              <w:right w:val="nil"/>
            </w:tcBorders>
            <w:hideMark/>
          </w:tcPr>
          <w:p w14:paraId="2087082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82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2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2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2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82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830"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831" w14:textId="77777777" w:rsidR="00802D3E" w:rsidRDefault="00802D3E">
            <w:pPr>
              <w:pStyle w:val="MeasureTableTextRightAligned"/>
            </w:pPr>
            <w:r>
              <w:t>*</w:t>
            </w:r>
          </w:p>
        </w:tc>
      </w:tr>
      <w:tr w:rsidR="00802D3E" w14:paraId="20870837" w14:textId="77777777" w:rsidTr="00802D3E">
        <w:trPr>
          <w:cantSplit/>
          <w:jc w:val="center"/>
        </w:trPr>
        <w:tc>
          <w:tcPr>
            <w:tcW w:w="1934" w:type="dxa"/>
            <w:gridSpan w:val="2"/>
            <w:tcBorders>
              <w:top w:val="single" w:sz="2" w:space="0" w:color="auto"/>
              <w:left w:val="nil"/>
              <w:bottom w:val="nil"/>
              <w:right w:val="nil"/>
            </w:tcBorders>
            <w:hideMark/>
          </w:tcPr>
          <w:p w14:paraId="2087083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834"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83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836" w14:textId="77777777" w:rsidR="00802D3E" w:rsidRDefault="00802D3E">
            <w:pPr>
              <w:pStyle w:val="MeasureTableTextLeftAligned"/>
            </w:pPr>
            <w:r>
              <w:t>E22</w:t>
            </w:r>
          </w:p>
        </w:tc>
      </w:tr>
      <w:tr w:rsidR="00802D3E" w14:paraId="2087083C" w14:textId="77777777" w:rsidTr="00802D3E">
        <w:trPr>
          <w:cantSplit/>
          <w:jc w:val="center"/>
        </w:trPr>
        <w:tc>
          <w:tcPr>
            <w:tcW w:w="1934" w:type="dxa"/>
            <w:gridSpan w:val="2"/>
            <w:tcBorders>
              <w:top w:val="nil"/>
              <w:left w:val="nil"/>
              <w:bottom w:val="nil"/>
              <w:right w:val="nil"/>
            </w:tcBorders>
            <w:hideMark/>
          </w:tcPr>
          <w:p w14:paraId="2087083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839"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83A"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83B" w14:textId="77777777" w:rsidR="00802D3E" w:rsidRDefault="00802D3E">
            <w:pPr>
              <w:pStyle w:val="MeasureTableTextLeftAligned"/>
            </w:pPr>
            <w:r>
              <w:t>2+</w:t>
            </w:r>
          </w:p>
        </w:tc>
      </w:tr>
      <w:tr w:rsidR="00802D3E" w14:paraId="20870841" w14:textId="77777777" w:rsidTr="00802D3E">
        <w:trPr>
          <w:cantSplit/>
          <w:jc w:val="center"/>
        </w:trPr>
        <w:tc>
          <w:tcPr>
            <w:tcW w:w="1934" w:type="dxa"/>
            <w:gridSpan w:val="2"/>
            <w:tcBorders>
              <w:top w:val="nil"/>
              <w:left w:val="nil"/>
              <w:bottom w:val="nil"/>
              <w:right w:val="nil"/>
            </w:tcBorders>
            <w:hideMark/>
          </w:tcPr>
          <w:p w14:paraId="2087083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83E" w14:textId="77777777" w:rsidR="00802D3E" w:rsidRDefault="00802D3E">
            <w:pPr>
              <w:pStyle w:val="MeasureTableTextLeftAligned"/>
            </w:pPr>
            <w:r>
              <w:t>1985</w:t>
            </w:r>
          </w:p>
        </w:tc>
        <w:tc>
          <w:tcPr>
            <w:tcW w:w="1500" w:type="dxa"/>
            <w:gridSpan w:val="2"/>
            <w:tcBorders>
              <w:top w:val="nil"/>
              <w:left w:val="nil"/>
              <w:bottom w:val="nil"/>
              <w:right w:val="nil"/>
            </w:tcBorders>
            <w:hideMark/>
          </w:tcPr>
          <w:p w14:paraId="2087083F"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840" w14:textId="77777777" w:rsidR="00802D3E" w:rsidRDefault="00802D3E">
            <w:pPr>
              <w:pStyle w:val="MeasureTableTextLeftAligned"/>
            </w:pPr>
          </w:p>
        </w:tc>
      </w:tr>
      <w:tr w:rsidR="00802D3E" w14:paraId="20870844" w14:textId="77777777" w:rsidTr="00802D3E">
        <w:trPr>
          <w:cantSplit/>
          <w:jc w:val="center"/>
        </w:trPr>
        <w:tc>
          <w:tcPr>
            <w:tcW w:w="1934" w:type="dxa"/>
            <w:gridSpan w:val="2"/>
            <w:tcBorders>
              <w:top w:val="nil"/>
              <w:left w:val="nil"/>
              <w:bottom w:val="single" w:sz="2" w:space="0" w:color="auto"/>
              <w:right w:val="nil"/>
            </w:tcBorders>
            <w:hideMark/>
          </w:tcPr>
          <w:p w14:paraId="2087084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843"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Subdivision 126-A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845" w14:textId="77777777" w:rsidR="00802D3E" w:rsidRDefault="00802D3E" w:rsidP="00A109BC">
      <w:pPr>
        <w:pStyle w:val="SingleParagraph"/>
      </w:pPr>
    </w:p>
    <w:p w14:paraId="20870846" w14:textId="77777777" w:rsidR="00802D3E" w:rsidRDefault="00802D3E" w:rsidP="00802D3E">
      <w:r>
        <w:t>An automatic roll</w:t>
      </w:r>
      <w:r>
        <w:noBreakHyphen/>
        <w:t>over is available where a CGT asset is transferred to a spouse or former spouse because of a marriage or relationship breakdown,</w:t>
      </w:r>
      <w:r>
        <w:fldChar w:fldCharType="begin"/>
      </w:r>
      <w:r>
        <w:instrText xml:space="preserve"> XE "Marriage breakdown" </w:instrText>
      </w:r>
      <w:r>
        <w:fldChar w:fldCharType="end"/>
      </w:r>
      <w:r>
        <w:t xml:space="preserve"> or under a binding financial agreement or an arbitral award entered into under the </w:t>
      </w:r>
      <w:r>
        <w:rPr>
          <w:i/>
        </w:rPr>
        <w:t>Family Law Act 1975</w:t>
      </w:r>
      <w:r>
        <w:t xml:space="preserve"> or similar arrangements under state, territory or foreign legislation. </w:t>
      </w:r>
    </w:p>
    <w:p w14:paraId="20870847" w14:textId="77777777" w:rsidR="00802D3E" w:rsidRDefault="00802D3E" w:rsidP="00802D3E">
      <w:pPr>
        <w:pStyle w:val="TESHeading5"/>
        <w:ind w:left="0" w:firstLine="0"/>
      </w:pPr>
      <w:r>
        <w:t>E27</w:t>
      </w:r>
      <w:r>
        <w:tab/>
        <w:t>Roll-overs not otherwise recognised</w:t>
      </w:r>
    </w:p>
    <w:p w14:paraId="20870848"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851" w14:textId="77777777" w:rsidTr="00802D3E">
        <w:trPr>
          <w:cantSplit/>
          <w:jc w:val="center"/>
        </w:trPr>
        <w:tc>
          <w:tcPr>
            <w:tcW w:w="967" w:type="dxa"/>
            <w:tcBorders>
              <w:top w:val="single" w:sz="2" w:space="0" w:color="auto"/>
              <w:left w:val="nil"/>
              <w:bottom w:val="single" w:sz="2" w:space="0" w:color="auto"/>
              <w:right w:val="nil"/>
            </w:tcBorders>
            <w:hideMark/>
          </w:tcPr>
          <w:p w14:paraId="2087084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84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84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84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84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84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84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850" w14:textId="77777777" w:rsidR="00802D3E" w:rsidRDefault="00802D3E">
            <w:pPr>
              <w:pStyle w:val="MeasureTableTextRightAligned"/>
            </w:pPr>
            <w:r>
              <w:t>2019-20</w:t>
            </w:r>
          </w:p>
        </w:tc>
      </w:tr>
      <w:tr w:rsidR="00802D3E" w14:paraId="2087085A" w14:textId="77777777" w:rsidTr="00802D3E">
        <w:trPr>
          <w:cantSplit/>
          <w:jc w:val="center"/>
        </w:trPr>
        <w:tc>
          <w:tcPr>
            <w:tcW w:w="967" w:type="dxa"/>
            <w:tcBorders>
              <w:top w:val="single" w:sz="2" w:space="0" w:color="auto"/>
              <w:left w:val="nil"/>
              <w:bottom w:val="single" w:sz="2" w:space="0" w:color="auto"/>
              <w:right w:val="nil"/>
            </w:tcBorders>
            <w:hideMark/>
          </w:tcPr>
          <w:p w14:paraId="2087085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85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5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5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5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85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858"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859" w14:textId="77777777" w:rsidR="00802D3E" w:rsidRDefault="00802D3E">
            <w:pPr>
              <w:pStyle w:val="MeasureTableTextRightAligned"/>
            </w:pPr>
            <w:r>
              <w:t>*</w:t>
            </w:r>
          </w:p>
        </w:tc>
      </w:tr>
      <w:tr w:rsidR="00802D3E" w14:paraId="2087085F" w14:textId="77777777" w:rsidTr="00802D3E">
        <w:trPr>
          <w:cantSplit/>
          <w:jc w:val="center"/>
        </w:trPr>
        <w:tc>
          <w:tcPr>
            <w:tcW w:w="1934" w:type="dxa"/>
            <w:gridSpan w:val="2"/>
            <w:tcBorders>
              <w:top w:val="single" w:sz="2" w:space="0" w:color="auto"/>
              <w:left w:val="nil"/>
              <w:bottom w:val="nil"/>
              <w:right w:val="nil"/>
            </w:tcBorders>
            <w:hideMark/>
          </w:tcPr>
          <w:p w14:paraId="2087085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85C"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85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85E" w14:textId="77777777" w:rsidR="00802D3E" w:rsidRDefault="00802D3E">
            <w:pPr>
              <w:pStyle w:val="MeasureTableTextLeftAligned"/>
            </w:pPr>
            <w:r>
              <w:t>E23</w:t>
            </w:r>
          </w:p>
        </w:tc>
      </w:tr>
      <w:tr w:rsidR="00802D3E" w14:paraId="20870864" w14:textId="77777777" w:rsidTr="00802D3E">
        <w:trPr>
          <w:cantSplit/>
          <w:jc w:val="center"/>
        </w:trPr>
        <w:tc>
          <w:tcPr>
            <w:tcW w:w="1934" w:type="dxa"/>
            <w:gridSpan w:val="2"/>
            <w:tcBorders>
              <w:top w:val="nil"/>
              <w:left w:val="nil"/>
              <w:bottom w:val="nil"/>
              <w:right w:val="nil"/>
            </w:tcBorders>
            <w:hideMark/>
          </w:tcPr>
          <w:p w14:paraId="2087086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861"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862"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863" w14:textId="77777777" w:rsidR="00802D3E" w:rsidRDefault="00802D3E">
            <w:pPr>
              <w:pStyle w:val="MeasureTableTextLeftAligned"/>
            </w:pPr>
            <w:r>
              <w:t>NA</w:t>
            </w:r>
          </w:p>
        </w:tc>
      </w:tr>
      <w:tr w:rsidR="00802D3E" w14:paraId="20870869" w14:textId="77777777" w:rsidTr="00802D3E">
        <w:trPr>
          <w:cantSplit/>
          <w:jc w:val="center"/>
        </w:trPr>
        <w:tc>
          <w:tcPr>
            <w:tcW w:w="1934" w:type="dxa"/>
            <w:gridSpan w:val="2"/>
            <w:tcBorders>
              <w:top w:val="nil"/>
              <w:left w:val="nil"/>
              <w:bottom w:val="nil"/>
              <w:right w:val="nil"/>
            </w:tcBorders>
            <w:hideMark/>
          </w:tcPr>
          <w:p w14:paraId="2087086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866" w14:textId="77777777" w:rsidR="00802D3E" w:rsidRDefault="00802D3E">
            <w:pPr>
              <w:pStyle w:val="MeasureTableTextLeftAligned"/>
            </w:pPr>
            <w:r>
              <w:t>Various</w:t>
            </w:r>
          </w:p>
        </w:tc>
        <w:tc>
          <w:tcPr>
            <w:tcW w:w="1500" w:type="dxa"/>
            <w:gridSpan w:val="2"/>
            <w:tcBorders>
              <w:top w:val="nil"/>
              <w:left w:val="nil"/>
              <w:bottom w:val="nil"/>
              <w:right w:val="nil"/>
            </w:tcBorders>
            <w:hideMark/>
          </w:tcPr>
          <w:p w14:paraId="20870867"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868" w14:textId="77777777" w:rsidR="00802D3E" w:rsidRDefault="00802D3E">
            <w:pPr>
              <w:pStyle w:val="MeasureTableTextLeftAligned"/>
            </w:pPr>
          </w:p>
        </w:tc>
      </w:tr>
      <w:tr w:rsidR="00802D3E" w14:paraId="2087086C" w14:textId="77777777" w:rsidTr="00802D3E">
        <w:trPr>
          <w:cantSplit/>
          <w:jc w:val="center"/>
        </w:trPr>
        <w:tc>
          <w:tcPr>
            <w:tcW w:w="1934" w:type="dxa"/>
            <w:gridSpan w:val="2"/>
            <w:tcBorders>
              <w:top w:val="nil"/>
              <w:left w:val="nil"/>
              <w:bottom w:val="single" w:sz="2" w:space="0" w:color="auto"/>
              <w:right w:val="nil"/>
            </w:tcBorders>
            <w:hideMark/>
          </w:tcPr>
          <w:p w14:paraId="2087086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86B" w14:textId="77777777" w:rsidR="00802D3E" w:rsidRPr="00106337" w:rsidRDefault="00802D3E" w:rsidP="00106337">
            <w:pPr>
              <w:widowControl w:val="0"/>
              <w:autoSpaceDE w:val="0"/>
              <w:autoSpaceDN w:val="0"/>
              <w:adjustRightInd w:val="0"/>
              <w:spacing w:after="0" w:line="240" w:lineRule="auto"/>
              <w:jc w:val="left"/>
              <w:rPr>
                <w:sz w:val="16"/>
                <w:szCs w:val="16"/>
              </w:rPr>
            </w:pPr>
            <w:r w:rsidRPr="00106337">
              <w:rPr>
                <w:rFonts w:ascii="Arial" w:hAnsi="Arial" w:cs="Arial"/>
                <w:sz w:val="16"/>
                <w:szCs w:val="16"/>
              </w:rPr>
              <w:t xml:space="preserve">Divisions 122, 124 and 126 of the </w:t>
            </w:r>
            <w:r w:rsidRPr="00106337">
              <w:rPr>
                <w:rFonts w:ascii="Arial" w:hAnsi="Arial" w:cs="Arial"/>
                <w:i/>
                <w:iCs/>
                <w:color w:val="000000"/>
                <w:sz w:val="16"/>
                <w:szCs w:val="16"/>
              </w:rPr>
              <w:t>Income Tax Assessment Act 1997</w:t>
            </w:r>
          </w:p>
        </w:tc>
      </w:tr>
    </w:tbl>
    <w:p w14:paraId="2087086D" w14:textId="77777777" w:rsidR="00802D3E" w:rsidRDefault="00802D3E" w:rsidP="00A109BC">
      <w:pPr>
        <w:pStyle w:val="SingleParagraph"/>
      </w:pPr>
    </w:p>
    <w:p w14:paraId="2087086E" w14:textId="77777777" w:rsidR="00802D3E" w:rsidRDefault="00802D3E" w:rsidP="00802D3E">
      <w:r>
        <w:rPr>
          <w:szCs w:val="24"/>
        </w:rPr>
        <w:t>This tax expenditure encompasses other CGT roll-overs</w:t>
      </w:r>
      <w:r>
        <w:rPr>
          <w:szCs w:val="24"/>
        </w:rPr>
        <w:fldChar w:fldCharType="begin"/>
      </w:r>
      <w:r>
        <w:instrText xml:space="preserve"> XE "Capital gains tax:Roll</w:instrText>
      </w:r>
      <w:r>
        <w:noBreakHyphen/>
        <w:instrText xml:space="preserve">over" </w:instrText>
      </w:r>
      <w:r>
        <w:rPr>
          <w:szCs w:val="24"/>
        </w:rPr>
        <w:fldChar w:fldCharType="end"/>
      </w:r>
      <w:r>
        <w:rPr>
          <w:szCs w:val="24"/>
        </w:rPr>
        <w:t xml:space="preserve"> not specifically covered in existing CGT roll-over tax expenditures. For example, the crown lease roll-over in Subdivision 124-J, the roll-over for the disposal of assets by a trust to a company provided in Subdivision 124-N, and the roll</w:t>
      </w:r>
      <w:r>
        <w:rPr>
          <w:szCs w:val="24"/>
        </w:rPr>
        <w:noBreakHyphen/>
        <w:t>overs facilitating a change to a company structure in Division 122.</w:t>
      </w:r>
      <w:r>
        <w:t xml:space="preserve"> </w:t>
      </w:r>
    </w:p>
    <w:p w14:paraId="2087086F" w14:textId="77777777" w:rsidR="00802D3E" w:rsidRDefault="00802D3E" w:rsidP="00802D3E">
      <w:pPr>
        <w:pStyle w:val="TESHeading5"/>
        <w:ind w:left="0" w:firstLine="0"/>
      </w:pPr>
      <w:r>
        <w:lastRenderedPageBreak/>
        <w:t>E28</w:t>
      </w:r>
      <w:r>
        <w:tab/>
        <w:t>Scrip-for-scrip roll-over</w:t>
      </w:r>
    </w:p>
    <w:p w14:paraId="20870870"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879" w14:textId="77777777" w:rsidTr="00802D3E">
        <w:trPr>
          <w:cantSplit/>
          <w:jc w:val="center"/>
        </w:trPr>
        <w:tc>
          <w:tcPr>
            <w:tcW w:w="967" w:type="dxa"/>
            <w:tcBorders>
              <w:top w:val="single" w:sz="2" w:space="0" w:color="auto"/>
              <w:left w:val="nil"/>
              <w:bottom w:val="single" w:sz="2" w:space="0" w:color="auto"/>
              <w:right w:val="nil"/>
            </w:tcBorders>
            <w:hideMark/>
          </w:tcPr>
          <w:p w14:paraId="2087087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87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87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87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87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87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87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878" w14:textId="77777777" w:rsidR="00802D3E" w:rsidRDefault="00802D3E">
            <w:pPr>
              <w:pStyle w:val="MeasureTableTextRightAligned"/>
            </w:pPr>
            <w:r>
              <w:t>2019-20</w:t>
            </w:r>
          </w:p>
        </w:tc>
      </w:tr>
      <w:tr w:rsidR="00802D3E" w14:paraId="20870882" w14:textId="77777777" w:rsidTr="00802D3E">
        <w:trPr>
          <w:cantSplit/>
          <w:jc w:val="center"/>
        </w:trPr>
        <w:tc>
          <w:tcPr>
            <w:tcW w:w="967" w:type="dxa"/>
            <w:tcBorders>
              <w:top w:val="single" w:sz="2" w:space="0" w:color="auto"/>
              <w:left w:val="nil"/>
              <w:bottom w:val="single" w:sz="2" w:space="0" w:color="auto"/>
              <w:right w:val="nil"/>
            </w:tcBorders>
            <w:hideMark/>
          </w:tcPr>
          <w:p w14:paraId="2087087A" w14:textId="77777777" w:rsidR="00802D3E" w:rsidRDefault="00802D3E">
            <w:pPr>
              <w:pStyle w:val="MeasureTableTextRightAligned"/>
            </w:pPr>
            <w:r>
              <w:t>-150</w:t>
            </w:r>
          </w:p>
        </w:tc>
        <w:tc>
          <w:tcPr>
            <w:tcW w:w="967" w:type="dxa"/>
            <w:tcBorders>
              <w:top w:val="single" w:sz="2" w:space="0" w:color="auto"/>
              <w:left w:val="nil"/>
              <w:bottom w:val="single" w:sz="2" w:space="0" w:color="auto"/>
              <w:right w:val="nil"/>
            </w:tcBorders>
            <w:hideMark/>
          </w:tcPr>
          <w:p w14:paraId="2087087B" w14:textId="77777777" w:rsidR="00802D3E" w:rsidRDefault="00802D3E">
            <w:pPr>
              <w:pStyle w:val="MeasureTableTextRightAligned"/>
            </w:pPr>
            <w:r>
              <w:t>-300</w:t>
            </w:r>
          </w:p>
        </w:tc>
        <w:tc>
          <w:tcPr>
            <w:tcW w:w="967" w:type="dxa"/>
            <w:tcBorders>
              <w:top w:val="single" w:sz="2" w:space="0" w:color="auto"/>
              <w:left w:val="nil"/>
              <w:bottom w:val="single" w:sz="2" w:space="0" w:color="auto"/>
              <w:right w:val="nil"/>
            </w:tcBorders>
            <w:vAlign w:val="bottom"/>
            <w:hideMark/>
          </w:tcPr>
          <w:p w14:paraId="2087087C" w14:textId="77777777" w:rsidR="00802D3E" w:rsidRDefault="00802D3E">
            <w:pPr>
              <w:pStyle w:val="MeasureTableTextRightAligned"/>
            </w:pPr>
            <w:r>
              <w:t>-150</w:t>
            </w:r>
          </w:p>
        </w:tc>
        <w:tc>
          <w:tcPr>
            <w:tcW w:w="967" w:type="dxa"/>
            <w:tcBorders>
              <w:top w:val="single" w:sz="2" w:space="0" w:color="auto"/>
              <w:left w:val="nil"/>
              <w:bottom w:val="single" w:sz="2" w:space="0" w:color="auto"/>
              <w:right w:val="nil"/>
            </w:tcBorders>
            <w:vAlign w:val="bottom"/>
            <w:hideMark/>
          </w:tcPr>
          <w:p w14:paraId="2087087D" w14:textId="77777777" w:rsidR="00802D3E" w:rsidRDefault="00802D3E">
            <w:pPr>
              <w:pStyle w:val="MeasureTableTextRightAligned"/>
            </w:pPr>
            <w:r>
              <w:t>-160</w:t>
            </w:r>
          </w:p>
        </w:tc>
        <w:tc>
          <w:tcPr>
            <w:tcW w:w="967" w:type="dxa"/>
            <w:tcBorders>
              <w:top w:val="single" w:sz="2" w:space="0" w:color="auto"/>
              <w:left w:val="nil"/>
              <w:bottom w:val="single" w:sz="2" w:space="0" w:color="auto"/>
              <w:right w:val="nil"/>
            </w:tcBorders>
            <w:vAlign w:val="bottom"/>
            <w:hideMark/>
          </w:tcPr>
          <w:p w14:paraId="2087087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87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880"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881" w14:textId="77777777" w:rsidR="00802D3E" w:rsidRDefault="00802D3E">
            <w:pPr>
              <w:pStyle w:val="MeasureTableTextRightAligned"/>
            </w:pPr>
            <w:r>
              <w:t>*</w:t>
            </w:r>
          </w:p>
        </w:tc>
      </w:tr>
      <w:tr w:rsidR="00802D3E" w14:paraId="20870887" w14:textId="77777777" w:rsidTr="00802D3E">
        <w:trPr>
          <w:cantSplit/>
          <w:jc w:val="center"/>
        </w:trPr>
        <w:tc>
          <w:tcPr>
            <w:tcW w:w="1934" w:type="dxa"/>
            <w:gridSpan w:val="2"/>
            <w:tcBorders>
              <w:top w:val="single" w:sz="2" w:space="0" w:color="auto"/>
              <w:left w:val="nil"/>
              <w:bottom w:val="nil"/>
              <w:right w:val="nil"/>
            </w:tcBorders>
            <w:hideMark/>
          </w:tcPr>
          <w:p w14:paraId="2087088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884"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88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886" w14:textId="77777777" w:rsidR="00802D3E" w:rsidRDefault="00802D3E">
            <w:pPr>
              <w:pStyle w:val="MeasureTableTextLeftAligned"/>
            </w:pPr>
            <w:r>
              <w:t>E24</w:t>
            </w:r>
          </w:p>
        </w:tc>
      </w:tr>
      <w:tr w:rsidR="00802D3E" w14:paraId="2087088C" w14:textId="77777777" w:rsidTr="00802D3E">
        <w:trPr>
          <w:cantSplit/>
          <w:jc w:val="center"/>
        </w:trPr>
        <w:tc>
          <w:tcPr>
            <w:tcW w:w="1934" w:type="dxa"/>
            <w:gridSpan w:val="2"/>
            <w:tcBorders>
              <w:top w:val="nil"/>
              <w:left w:val="nil"/>
              <w:bottom w:val="nil"/>
              <w:right w:val="nil"/>
            </w:tcBorders>
            <w:hideMark/>
          </w:tcPr>
          <w:p w14:paraId="2087088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889" w14:textId="77777777" w:rsidR="00802D3E" w:rsidRDefault="00802D3E">
            <w:pPr>
              <w:pStyle w:val="MeasureTableTextLeftAligned"/>
            </w:pPr>
            <w:r>
              <w:t>Low</w:t>
            </w:r>
          </w:p>
        </w:tc>
        <w:tc>
          <w:tcPr>
            <w:tcW w:w="1500" w:type="dxa"/>
            <w:gridSpan w:val="2"/>
            <w:tcBorders>
              <w:top w:val="nil"/>
              <w:left w:val="nil"/>
              <w:bottom w:val="nil"/>
              <w:right w:val="nil"/>
            </w:tcBorders>
            <w:hideMark/>
          </w:tcPr>
          <w:p w14:paraId="2087088A"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88B" w14:textId="77777777" w:rsidR="00802D3E" w:rsidRDefault="00802D3E">
            <w:pPr>
              <w:pStyle w:val="MeasureTableTextLeftAligned"/>
            </w:pPr>
            <w:r>
              <w:t>3+</w:t>
            </w:r>
          </w:p>
        </w:tc>
      </w:tr>
      <w:tr w:rsidR="00802D3E" w14:paraId="20870891" w14:textId="77777777" w:rsidTr="00802D3E">
        <w:trPr>
          <w:cantSplit/>
          <w:jc w:val="center"/>
        </w:trPr>
        <w:tc>
          <w:tcPr>
            <w:tcW w:w="1934" w:type="dxa"/>
            <w:gridSpan w:val="2"/>
            <w:tcBorders>
              <w:top w:val="nil"/>
              <w:left w:val="nil"/>
              <w:bottom w:val="nil"/>
              <w:right w:val="nil"/>
            </w:tcBorders>
            <w:hideMark/>
          </w:tcPr>
          <w:p w14:paraId="2087088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88E" w14:textId="77777777" w:rsidR="00802D3E" w:rsidRDefault="00802D3E">
            <w:pPr>
              <w:pStyle w:val="MeasureTableTextLeftAligned"/>
            </w:pPr>
            <w:r>
              <w:t>1999</w:t>
            </w:r>
          </w:p>
        </w:tc>
        <w:tc>
          <w:tcPr>
            <w:tcW w:w="1500" w:type="dxa"/>
            <w:gridSpan w:val="2"/>
            <w:tcBorders>
              <w:top w:val="nil"/>
              <w:left w:val="nil"/>
              <w:bottom w:val="nil"/>
              <w:right w:val="nil"/>
            </w:tcBorders>
            <w:hideMark/>
          </w:tcPr>
          <w:p w14:paraId="2087088F"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890" w14:textId="77777777" w:rsidR="00802D3E" w:rsidRDefault="00802D3E">
            <w:pPr>
              <w:pStyle w:val="MeasureTableTextLeftAligned"/>
            </w:pPr>
          </w:p>
        </w:tc>
      </w:tr>
      <w:tr w:rsidR="00802D3E" w14:paraId="20870894" w14:textId="77777777" w:rsidTr="00802D3E">
        <w:trPr>
          <w:cantSplit/>
          <w:jc w:val="center"/>
        </w:trPr>
        <w:tc>
          <w:tcPr>
            <w:tcW w:w="1934" w:type="dxa"/>
            <w:gridSpan w:val="2"/>
            <w:tcBorders>
              <w:top w:val="nil"/>
              <w:left w:val="nil"/>
              <w:bottom w:val="single" w:sz="2" w:space="0" w:color="auto"/>
              <w:right w:val="nil"/>
            </w:tcBorders>
            <w:hideMark/>
          </w:tcPr>
          <w:p w14:paraId="2087089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893"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Subdivision 124-M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895" w14:textId="77777777" w:rsidR="00802D3E" w:rsidRDefault="00802D3E" w:rsidP="00A109BC">
      <w:pPr>
        <w:pStyle w:val="SingleParagraph"/>
      </w:pPr>
    </w:p>
    <w:p w14:paraId="20870896" w14:textId="77777777" w:rsidR="00802D3E" w:rsidRDefault="00802D3E" w:rsidP="00802D3E">
      <w:r>
        <w:t>A CGT roll</w:t>
      </w:r>
      <w:r>
        <w:noBreakHyphen/>
        <w:t>over</w:t>
      </w:r>
      <w:r>
        <w:fldChar w:fldCharType="begin"/>
      </w:r>
      <w:r>
        <w:instrText xml:space="preserve"> XE "Capital gains tax:Roll</w:instrText>
      </w:r>
      <w:r>
        <w:noBreakHyphen/>
        <w:instrText xml:space="preserve">over" </w:instrText>
      </w:r>
      <w:r>
        <w:fldChar w:fldCharType="end"/>
      </w:r>
      <w:r>
        <w:t xml:space="preserve"> is available for capital gains arising from an exchange of interests in companies or fixed trusts, removing impediments to takeovers or similar arrangements. The roll</w:t>
      </w:r>
      <w:r>
        <w:noBreakHyphen/>
        <w:t>over ensures that an equity holder who exchanges original shares or other equity for new equity in a takeover or merger</w:t>
      </w:r>
      <w:r>
        <w:fldChar w:fldCharType="begin"/>
      </w:r>
      <w:r>
        <w:instrText xml:space="preserve"> XE "Takeover or merger" </w:instrText>
      </w:r>
      <w:r>
        <w:fldChar w:fldCharType="end"/>
      </w:r>
      <w:r>
        <w:t xml:space="preserve"> can defer a CGT liability arising from the exchange until the ultimate disposal of the replacement asset. </w:t>
      </w:r>
    </w:p>
    <w:p w14:paraId="20870897" w14:textId="77777777" w:rsidR="00802D3E" w:rsidRDefault="00802D3E" w:rsidP="00802D3E">
      <w:pPr>
        <w:pStyle w:val="TESHeading5"/>
        <w:ind w:left="0" w:firstLine="0"/>
      </w:pPr>
      <w:r>
        <w:t>E29</w:t>
      </w:r>
      <w:r>
        <w:tab/>
        <w:t>Small business 50 per cent reduction</w:t>
      </w:r>
    </w:p>
    <w:p w14:paraId="20870898"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8A1" w14:textId="77777777" w:rsidTr="00802D3E">
        <w:trPr>
          <w:cantSplit/>
          <w:jc w:val="center"/>
        </w:trPr>
        <w:tc>
          <w:tcPr>
            <w:tcW w:w="967" w:type="dxa"/>
            <w:tcBorders>
              <w:top w:val="single" w:sz="2" w:space="0" w:color="auto"/>
              <w:left w:val="nil"/>
              <w:bottom w:val="single" w:sz="2" w:space="0" w:color="auto"/>
              <w:right w:val="nil"/>
            </w:tcBorders>
            <w:hideMark/>
          </w:tcPr>
          <w:p w14:paraId="2087089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89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89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89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89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89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89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8A0" w14:textId="77777777" w:rsidR="00802D3E" w:rsidRDefault="00802D3E">
            <w:pPr>
              <w:pStyle w:val="MeasureTableTextRightAligned"/>
            </w:pPr>
            <w:r>
              <w:t>2019-20</w:t>
            </w:r>
          </w:p>
        </w:tc>
      </w:tr>
      <w:tr w:rsidR="00802D3E" w14:paraId="208708AA" w14:textId="77777777" w:rsidTr="00802D3E">
        <w:trPr>
          <w:cantSplit/>
          <w:jc w:val="center"/>
        </w:trPr>
        <w:tc>
          <w:tcPr>
            <w:tcW w:w="967" w:type="dxa"/>
            <w:tcBorders>
              <w:top w:val="single" w:sz="2" w:space="0" w:color="auto"/>
              <w:left w:val="nil"/>
              <w:bottom w:val="single" w:sz="2" w:space="0" w:color="auto"/>
              <w:right w:val="nil"/>
            </w:tcBorders>
            <w:hideMark/>
          </w:tcPr>
          <w:p w14:paraId="208708A2" w14:textId="77777777" w:rsidR="00802D3E" w:rsidRDefault="00802D3E">
            <w:pPr>
              <w:pStyle w:val="MeasureTableTextRightAligned"/>
            </w:pPr>
            <w:r>
              <w:t>580</w:t>
            </w:r>
          </w:p>
        </w:tc>
        <w:tc>
          <w:tcPr>
            <w:tcW w:w="967" w:type="dxa"/>
            <w:tcBorders>
              <w:top w:val="single" w:sz="2" w:space="0" w:color="auto"/>
              <w:left w:val="nil"/>
              <w:bottom w:val="single" w:sz="2" w:space="0" w:color="auto"/>
              <w:right w:val="nil"/>
            </w:tcBorders>
            <w:hideMark/>
          </w:tcPr>
          <w:p w14:paraId="208708A3" w14:textId="77777777" w:rsidR="00802D3E" w:rsidRDefault="00802D3E">
            <w:pPr>
              <w:pStyle w:val="MeasureTableTextRightAligned"/>
            </w:pPr>
            <w:r>
              <w:t>570</w:t>
            </w:r>
          </w:p>
        </w:tc>
        <w:tc>
          <w:tcPr>
            <w:tcW w:w="967" w:type="dxa"/>
            <w:tcBorders>
              <w:top w:val="single" w:sz="2" w:space="0" w:color="auto"/>
              <w:left w:val="nil"/>
              <w:bottom w:val="single" w:sz="2" w:space="0" w:color="auto"/>
              <w:right w:val="nil"/>
            </w:tcBorders>
            <w:vAlign w:val="bottom"/>
            <w:hideMark/>
          </w:tcPr>
          <w:p w14:paraId="208708A4" w14:textId="77777777" w:rsidR="00802D3E" w:rsidRDefault="00802D3E">
            <w:pPr>
              <w:pStyle w:val="MeasureTableTextRightAligned"/>
            </w:pPr>
            <w:r>
              <w:t>590</w:t>
            </w:r>
          </w:p>
        </w:tc>
        <w:tc>
          <w:tcPr>
            <w:tcW w:w="967" w:type="dxa"/>
            <w:tcBorders>
              <w:top w:val="single" w:sz="2" w:space="0" w:color="auto"/>
              <w:left w:val="nil"/>
              <w:bottom w:val="single" w:sz="2" w:space="0" w:color="auto"/>
              <w:right w:val="nil"/>
            </w:tcBorders>
            <w:vAlign w:val="bottom"/>
            <w:hideMark/>
          </w:tcPr>
          <w:p w14:paraId="208708A5" w14:textId="77777777" w:rsidR="00802D3E" w:rsidRDefault="00802D3E">
            <w:pPr>
              <w:pStyle w:val="MeasureTableTextRightAligned"/>
            </w:pPr>
            <w:r>
              <w:t>660</w:t>
            </w:r>
          </w:p>
        </w:tc>
        <w:tc>
          <w:tcPr>
            <w:tcW w:w="967" w:type="dxa"/>
            <w:tcBorders>
              <w:top w:val="single" w:sz="2" w:space="0" w:color="auto"/>
              <w:left w:val="nil"/>
              <w:bottom w:val="single" w:sz="2" w:space="0" w:color="auto"/>
              <w:right w:val="nil"/>
            </w:tcBorders>
            <w:vAlign w:val="bottom"/>
            <w:hideMark/>
          </w:tcPr>
          <w:p w14:paraId="208708A6" w14:textId="77777777" w:rsidR="00802D3E" w:rsidRDefault="00802D3E">
            <w:pPr>
              <w:pStyle w:val="MeasureTableTextRightAligned"/>
            </w:pPr>
            <w:r>
              <w:t>630</w:t>
            </w:r>
          </w:p>
        </w:tc>
        <w:tc>
          <w:tcPr>
            <w:tcW w:w="967" w:type="dxa"/>
            <w:gridSpan w:val="2"/>
            <w:tcBorders>
              <w:top w:val="single" w:sz="2" w:space="0" w:color="auto"/>
              <w:left w:val="nil"/>
              <w:bottom w:val="single" w:sz="2" w:space="0" w:color="auto"/>
              <w:right w:val="nil"/>
            </w:tcBorders>
            <w:vAlign w:val="bottom"/>
            <w:hideMark/>
          </w:tcPr>
          <w:p w14:paraId="208708A7" w14:textId="77777777" w:rsidR="00802D3E" w:rsidRDefault="00802D3E">
            <w:pPr>
              <w:pStyle w:val="MeasureTableTextRightAligned"/>
            </w:pPr>
            <w:r>
              <w:t>640</w:t>
            </w:r>
          </w:p>
        </w:tc>
        <w:tc>
          <w:tcPr>
            <w:tcW w:w="967" w:type="dxa"/>
            <w:gridSpan w:val="2"/>
            <w:tcBorders>
              <w:top w:val="single" w:sz="2" w:space="0" w:color="auto"/>
              <w:left w:val="nil"/>
              <w:bottom w:val="single" w:sz="2" w:space="0" w:color="auto"/>
              <w:right w:val="nil"/>
            </w:tcBorders>
            <w:vAlign w:val="bottom"/>
            <w:hideMark/>
          </w:tcPr>
          <w:p w14:paraId="208708A8" w14:textId="77777777" w:rsidR="00802D3E" w:rsidRDefault="00802D3E">
            <w:pPr>
              <w:pStyle w:val="MeasureTableTextRightAligned"/>
            </w:pPr>
            <w:r>
              <w:t>650</w:t>
            </w:r>
          </w:p>
        </w:tc>
        <w:tc>
          <w:tcPr>
            <w:tcW w:w="968" w:type="dxa"/>
            <w:tcBorders>
              <w:top w:val="single" w:sz="2" w:space="0" w:color="auto"/>
              <w:left w:val="nil"/>
              <w:bottom w:val="single" w:sz="2" w:space="0" w:color="auto"/>
              <w:right w:val="nil"/>
            </w:tcBorders>
            <w:vAlign w:val="bottom"/>
            <w:hideMark/>
          </w:tcPr>
          <w:p w14:paraId="208708A9" w14:textId="77777777" w:rsidR="00802D3E" w:rsidRDefault="00802D3E">
            <w:pPr>
              <w:pStyle w:val="MeasureTableTextRightAligned"/>
            </w:pPr>
            <w:r>
              <w:t>660</w:t>
            </w:r>
          </w:p>
        </w:tc>
      </w:tr>
      <w:tr w:rsidR="00802D3E" w14:paraId="208708AF" w14:textId="77777777" w:rsidTr="00802D3E">
        <w:trPr>
          <w:cantSplit/>
          <w:jc w:val="center"/>
        </w:trPr>
        <w:tc>
          <w:tcPr>
            <w:tcW w:w="1934" w:type="dxa"/>
            <w:gridSpan w:val="2"/>
            <w:tcBorders>
              <w:top w:val="single" w:sz="2" w:space="0" w:color="auto"/>
              <w:left w:val="nil"/>
              <w:bottom w:val="nil"/>
              <w:right w:val="nil"/>
            </w:tcBorders>
            <w:hideMark/>
          </w:tcPr>
          <w:p w14:paraId="208708A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8AC"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8A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8AE" w14:textId="77777777" w:rsidR="00802D3E" w:rsidRDefault="00802D3E">
            <w:pPr>
              <w:pStyle w:val="MeasureTableTextLeftAligned"/>
            </w:pPr>
            <w:r>
              <w:t>E30</w:t>
            </w:r>
          </w:p>
        </w:tc>
      </w:tr>
      <w:tr w:rsidR="00802D3E" w14:paraId="208708B4" w14:textId="77777777" w:rsidTr="00802D3E">
        <w:trPr>
          <w:cantSplit/>
          <w:jc w:val="center"/>
        </w:trPr>
        <w:tc>
          <w:tcPr>
            <w:tcW w:w="1934" w:type="dxa"/>
            <w:gridSpan w:val="2"/>
            <w:tcBorders>
              <w:top w:val="nil"/>
              <w:left w:val="nil"/>
              <w:bottom w:val="nil"/>
              <w:right w:val="nil"/>
            </w:tcBorders>
            <w:hideMark/>
          </w:tcPr>
          <w:p w14:paraId="208708B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8B1"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8B2" w14:textId="77777777" w:rsidR="00802D3E" w:rsidRDefault="00802D3E">
            <w:pPr>
              <w:pStyle w:val="MeasureTableTextItalic"/>
            </w:pPr>
          </w:p>
        </w:tc>
        <w:tc>
          <w:tcPr>
            <w:tcW w:w="1124" w:type="dxa"/>
            <w:gridSpan w:val="2"/>
            <w:tcBorders>
              <w:top w:val="nil"/>
              <w:left w:val="nil"/>
              <w:bottom w:val="nil"/>
              <w:right w:val="nil"/>
            </w:tcBorders>
          </w:tcPr>
          <w:p w14:paraId="208708B3" w14:textId="77777777" w:rsidR="00802D3E" w:rsidRDefault="00802D3E">
            <w:pPr>
              <w:pStyle w:val="MeasureTableTextLeftAligned"/>
            </w:pPr>
          </w:p>
        </w:tc>
      </w:tr>
      <w:tr w:rsidR="00802D3E" w14:paraId="208708B9" w14:textId="77777777" w:rsidTr="00802D3E">
        <w:trPr>
          <w:cantSplit/>
          <w:jc w:val="center"/>
        </w:trPr>
        <w:tc>
          <w:tcPr>
            <w:tcW w:w="1934" w:type="dxa"/>
            <w:gridSpan w:val="2"/>
            <w:tcBorders>
              <w:top w:val="nil"/>
              <w:left w:val="nil"/>
              <w:bottom w:val="nil"/>
              <w:right w:val="nil"/>
            </w:tcBorders>
            <w:hideMark/>
          </w:tcPr>
          <w:p w14:paraId="208708B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8B6" w14:textId="77777777" w:rsidR="00802D3E" w:rsidRDefault="00802D3E">
            <w:pPr>
              <w:pStyle w:val="MeasureTableTextLeftAligned"/>
            </w:pPr>
            <w:r>
              <w:t>1999</w:t>
            </w:r>
          </w:p>
        </w:tc>
        <w:tc>
          <w:tcPr>
            <w:tcW w:w="1500" w:type="dxa"/>
            <w:gridSpan w:val="2"/>
            <w:tcBorders>
              <w:top w:val="nil"/>
              <w:left w:val="nil"/>
              <w:bottom w:val="nil"/>
              <w:right w:val="nil"/>
            </w:tcBorders>
            <w:hideMark/>
          </w:tcPr>
          <w:p w14:paraId="208708B7"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8B8" w14:textId="77777777" w:rsidR="00802D3E" w:rsidRDefault="00802D3E">
            <w:pPr>
              <w:pStyle w:val="MeasureTableTextLeftAligned"/>
            </w:pPr>
          </w:p>
        </w:tc>
      </w:tr>
      <w:tr w:rsidR="00802D3E" w14:paraId="208708BC" w14:textId="77777777" w:rsidTr="00802D3E">
        <w:trPr>
          <w:cantSplit/>
          <w:jc w:val="center"/>
        </w:trPr>
        <w:tc>
          <w:tcPr>
            <w:tcW w:w="1934" w:type="dxa"/>
            <w:gridSpan w:val="2"/>
            <w:tcBorders>
              <w:top w:val="nil"/>
              <w:left w:val="nil"/>
              <w:bottom w:val="single" w:sz="2" w:space="0" w:color="auto"/>
              <w:right w:val="nil"/>
            </w:tcBorders>
            <w:hideMark/>
          </w:tcPr>
          <w:p w14:paraId="208708B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8BB"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Subdivision 152-C </w:t>
            </w:r>
            <w:r w:rsidRPr="00106337">
              <w:rPr>
                <w:rFonts w:ascii="Arial" w:hAnsi="Arial" w:cs="Arial"/>
                <w:color w:val="000000"/>
                <w:sz w:val="16"/>
                <w:szCs w:val="16"/>
              </w:rPr>
              <w:t xml:space="preserve">of the </w:t>
            </w:r>
            <w:r w:rsidRPr="00106337">
              <w:rPr>
                <w:rFonts w:ascii="Arial" w:hAnsi="Arial" w:cs="Arial"/>
                <w:i/>
                <w:iCs/>
                <w:color w:val="000000"/>
                <w:sz w:val="16"/>
                <w:szCs w:val="16"/>
              </w:rPr>
              <w:t>Income Tax Assessment Act 1997</w:t>
            </w:r>
          </w:p>
        </w:tc>
      </w:tr>
    </w:tbl>
    <w:p w14:paraId="208708BD" w14:textId="77777777" w:rsidR="00802D3E" w:rsidRDefault="00802D3E" w:rsidP="00A109BC">
      <w:pPr>
        <w:pStyle w:val="SingleParagraph"/>
      </w:pPr>
    </w:p>
    <w:p w14:paraId="208708BE" w14:textId="77777777" w:rsidR="00802D3E" w:rsidRDefault="00802D3E" w:rsidP="00802D3E">
      <w:r>
        <w:t>A capital gain that arises from the sale of active assets held in an eligible small business can be reduced by 50 per cent. This applies in addition to any CGT discount entitlement of the taxpayer. Active assets</w:t>
      </w:r>
      <w:r>
        <w:fldChar w:fldCharType="begin"/>
      </w:r>
      <w:r>
        <w:instrText xml:space="preserve"> XE "Active small business assets" </w:instrText>
      </w:r>
      <w:r>
        <w:fldChar w:fldCharType="end"/>
      </w:r>
      <w:r>
        <w:t xml:space="preserve"> include assets used in carrying on a business and intangible assets inherently connected with a business (for example, goodwill). </w:t>
      </w:r>
    </w:p>
    <w:p w14:paraId="208708BF" w14:textId="77777777" w:rsidR="00802D3E" w:rsidRDefault="00802D3E" w:rsidP="00802D3E">
      <w:pPr>
        <w:pStyle w:val="TESHeading5"/>
        <w:ind w:left="0" w:firstLine="0"/>
      </w:pPr>
      <w:r>
        <w:t>E30</w:t>
      </w:r>
      <w:r>
        <w:tab/>
        <w:t>Small business restructure roll-over</w:t>
      </w:r>
    </w:p>
    <w:p w14:paraId="208708C0" w14:textId="77777777" w:rsidR="00802D3E" w:rsidRDefault="00802D3E" w:rsidP="00802D3E">
      <w:pPr>
        <w:pStyle w:val="MeasureTableHeading"/>
      </w:pPr>
      <w:r>
        <w:t xml:space="preserve">Other economic affairs </w:t>
      </w:r>
      <w:r w:rsidR="000B181C">
        <w:t>–</w:t>
      </w:r>
      <w:r>
        <w:t xml:space="preserve"> Other</w:t>
      </w:r>
      <w:r w:rsidR="000B181C">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8C9" w14:textId="77777777" w:rsidTr="00802D3E">
        <w:trPr>
          <w:cantSplit/>
          <w:jc w:val="center"/>
        </w:trPr>
        <w:tc>
          <w:tcPr>
            <w:tcW w:w="967" w:type="dxa"/>
            <w:tcBorders>
              <w:top w:val="single" w:sz="2" w:space="0" w:color="auto"/>
              <w:left w:val="nil"/>
              <w:bottom w:val="single" w:sz="2" w:space="0" w:color="auto"/>
              <w:right w:val="nil"/>
            </w:tcBorders>
            <w:hideMark/>
          </w:tcPr>
          <w:p w14:paraId="208708C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8C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8C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8C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8C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8C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8C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8C8" w14:textId="77777777" w:rsidR="00802D3E" w:rsidRDefault="00802D3E">
            <w:pPr>
              <w:pStyle w:val="MeasureTableTextRightAligned"/>
            </w:pPr>
            <w:r>
              <w:t>2019-20</w:t>
            </w:r>
          </w:p>
        </w:tc>
      </w:tr>
      <w:tr w:rsidR="00802D3E" w14:paraId="208708D2" w14:textId="77777777" w:rsidTr="00802D3E">
        <w:trPr>
          <w:cantSplit/>
          <w:jc w:val="center"/>
        </w:trPr>
        <w:tc>
          <w:tcPr>
            <w:tcW w:w="967" w:type="dxa"/>
            <w:tcBorders>
              <w:top w:val="single" w:sz="2" w:space="0" w:color="auto"/>
              <w:left w:val="nil"/>
              <w:bottom w:val="single" w:sz="2" w:space="0" w:color="auto"/>
              <w:right w:val="nil"/>
            </w:tcBorders>
            <w:hideMark/>
          </w:tcPr>
          <w:p w14:paraId="208708C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8C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C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C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CE"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8CF" w14:textId="77777777" w:rsidR="00802D3E" w:rsidRDefault="00802D3E">
            <w:pPr>
              <w:pStyle w:val="MeasureTableTextRightAligned"/>
            </w:pPr>
            <w:r>
              <w:t>20</w:t>
            </w:r>
          </w:p>
        </w:tc>
        <w:tc>
          <w:tcPr>
            <w:tcW w:w="967" w:type="dxa"/>
            <w:gridSpan w:val="2"/>
            <w:tcBorders>
              <w:top w:val="single" w:sz="2" w:space="0" w:color="auto"/>
              <w:left w:val="nil"/>
              <w:bottom w:val="single" w:sz="2" w:space="0" w:color="auto"/>
              <w:right w:val="nil"/>
            </w:tcBorders>
            <w:vAlign w:val="bottom"/>
            <w:hideMark/>
          </w:tcPr>
          <w:p w14:paraId="208708D0" w14:textId="77777777" w:rsidR="00802D3E" w:rsidRDefault="00802D3E">
            <w:pPr>
              <w:pStyle w:val="MeasureTableTextRightAligned"/>
            </w:pPr>
            <w:r>
              <w:t>20</w:t>
            </w:r>
          </w:p>
        </w:tc>
        <w:tc>
          <w:tcPr>
            <w:tcW w:w="968" w:type="dxa"/>
            <w:tcBorders>
              <w:top w:val="single" w:sz="2" w:space="0" w:color="auto"/>
              <w:left w:val="nil"/>
              <w:bottom w:val="single" w:sz="2" w:space="0" w:color="auto"/>
              <w:right w:val="nil"/>
            </w:tcBorders>
            <w:vAlign w:val="bottom"/>
            <w:hideMark/>
          </w:tcPr>
          <w:p w14:paraId="208708D1" w14:textId="77777777" w:rsidR="00802D3E" w:rsidRDefault="00802D3E">
            <w:pPr>
              <w:pStyle w:val="MeasureTableTextRightAligned"/>
            </w:pPr>
            <w:r>
              <w:t>20</w:t>
            </w:r>
          </w:p>
        </w:tc>
      </w:tr>
      <w:tr w:rsidR="00802D3E" w14:paraId="208708D7" w14:textId="77777777" w:rsidTr="00802D3E">
        <w:trPr>
          <w:cantSplit/>
          <w:jc w:val="center"/>
        </w:trPr>
        <w:tc>
          <w:tcPr>
            <w:tcW w:w="1934" w:type="dxa"/>
            <w:gridSpan w:val="2"/>
            <w:tcBorders>
              <w:top w:val="single" w:sz="2" w:space="0" w:color="auto"/>
              <w:left w:val="nil"/>
              <w:bottom w:val="nil"/>
              <w:right w:val="nil"/>
            </w:tcBorders>
            <w:hideMark/>
          </w:tcPr>
          <w:p w14:paraId="208708D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8D4" w14:textId="77777777" w:rsidR="00802D3E" w:rsidRDefault="00802D3E">
            <w:pPr>
              <w:pStyle w:val="MeasureTableTextLeftAligned"/>
            </w:pPr>
            <w:r>
              <w:t>Deferral</w:t>
            </w:r>
          </w:p>
        </w:tc>
        <w:tc>
          <w:tcPr>
            <w:tcW w:w="1500" w:type="dxa"/>
            <w:gridSpan w:val="2"/>
            <w:tcBorders>
              <w:top w:val="single" w:sz="2" w:space="0" w:color="auto"/>
              <w:left w:val="nil"/>
              <w:bottom w:val="nil"/>
              <w:right w:val="nil"/>
            </w:tcBorders>
            <w:hideMark/>
          </w:tcPr>
          <w:p w14:paraId="208708D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8D6" w14:textId="77777777" w:rsidR="00802D3E" w:rsidRDefault="00802D3E">
            <w:pPr>
              <w:pStyle w:val="MeasureTableTextLeftAligned"/>
            </w:pPr>
            <w:r>
              <w:t>E15</w:t>
            </w:r>
          </w:p>
        </w:tc>
      </w:tr>
      <w:tr w:rsidR="00802D3E" w14:paraId="208708DC" w14:textId="77777777" w:rsidTr="00802D3E">
        <w:trPr>
          <w:cantSplit/>
          <w:jc w:val="center"/>
        </w:trPr>
        <w:tc>
          <w:tcPr>
            <w:tcW w:w="1934" w:type="dxa"/>
            <w:gridSpan w:val="2"/>
            <w:tcBorders>
              <w:top w:val="nil"/>
              <w:left w:val="nil"/>
              <w:bottom w:val="nil"/>
              <w:right w:val="nil"/>
            </w:tcBorders>
            <w:hideMark/>
          </w:tcPr>
          <w:p w14:paraId="208708D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8D9" w14:textId="77777777" w:rsidR="00802D3E" w:rsidRDefault="00802D3E">
            <w:pPr>
              <w:pStyle w:val="MeasureTableTextLeftAligned"/>
            </w:pPr>
            <w:r>
              <w:t>Very Low</w:t>
            </w:r>
          </w:p>
        </w:tc>
        <w:tc>
          <w:tcPr>
            <w:tcW w:w="1500" w:type="dxa"/>
            <w:gridSpan w:val="2"/>
            <w:tcBorders>
              <w:top w:val="nil"/>
              <w:left w:val="nil"/>
              <w:bottom w:val="nil"/>
              <w:right w:val="nil"/>
            </w:tcBorders>
          </w:tcPr>
          <w:p w14:paraId="208708DA" w14:textId="77777777" w:rsidR="00802D3E" w:rsidRDefault="00802D3E">
            <w:pPr>
              <w:pStyle w:val="MeasureTableTextItalic"/>
            </w:pPr>
          </w:p>
        </w:tc>
        <w:tc>
          <w:tcPr>
            <w:tcW w:w="1124" w:type="dxa"/>
            <w:gridSpan w:val="2"/>
            <w:tcBorders>
              <w:top w:val="nil"/>
              <w:left w:val="nil"/>
              <w:bottom w:val="nil"/>
              <w:right w:val="nil"/>
            </w:tcBorders>
          </w:tcPr>
          <w:p w14:paraId="208708DB" w14:textId="77777777" w:rsidR="00802D3E" w:rsidRDefault="00802D3E">
            <w:pPr>
              <w:pStyle w:val="MeasureTableTextLeftAligned"/>
            </w:pPr>
          </w:p>
        </w:tc>
      </w:tr>
      <w:tr w:rsidR="00802D3E" w14:paraId="208708E1" w14:textId="77777777" w:rsidTr="00802D3E">
        <w:trPr>
          <w:cantSplit/>
          <w:jc w:val="center"/>
        </w:trPr>
        <w:tc>
          <w:tcPr>
            <w:tcW w:w="1934" w:type="dxa"/>
            <w:gridSpan w:val="2"/>
            <w:tcBorders>
              <w:top w:val="nil"/>
              <w:left w:val="nil"/>
              <w:bottom w:val="nil"/>
              <w:right w:val="nil"/>
            </w:tcBorders>
            <w:hideMark/>
          </w:tcPr>
          <w:p w14:paraId="208708D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8DE" w14:textId="77777777" w:rsidR="00802D3E" w:rsidRDefault="00802D3E">
            <w:pPr>
              <w:pStyle w:val="MeasureTableTextLeftAligned"/>
            </w:pPr>
            <w:r>
              <w:t>1 July 2016</w:t>
            </w:r>
          </w:p>
        </w:tc>
        <w:tc>
          <w:tcPr>
            <w:tcW w:w="1500" w:type="dxa"/>
            <w:gridSpan w:val="2"/>
            <w:tcBorders>
              <w:top w:val="nil"/>
              <w:left w:val="nil"/>
              <w:bottom w:val="nil"/>
              <w:right w:val="nil"/>
            </w:tcBorders>
            <w:hideMark/>
          </w:tcPr>
          <w:p w14:paraId="208708DF"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8E0" w14:textId="77777777" w:rsidR="00802D3E" w:rsidRDefault="00802D3E">
            <w:pPr>
              <w:pStyle w:val="MeasureTableTextLeftAligned"/>
            </w:pPr>
          </w:p>
        </w:tc>
      </w:tr>
      <w:tr w:rsidR="00802D3E" w14:paraId="208708E4" w14:textId="77777777" w:rsidTr="00802D3E">
        <w:trPr>
          <w:cantSplit/>
          <w:jc w:val="center"/>
        </w:trPr>
        <w:tc>
          <w:tcPr>
            <w:tcW w:w="1934" w:type="dxa"/>
            <w:gridSpan w:val="2"/>
            <w:tcBorders>
              <w:top w:val="nil"/>
              <w:left w:val="nil"/>
              <w:bottom w:val="single" w:sz="2" w:space="0" w:color="auto"/>
              <w:right w:val="nil"/>
            </w:tcBorders>
            <w:hideMark/>
          </w:tcPr>
          <w:p w14:paraId="208708E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8E3"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Subdivision 328-G of the </w:t>
            </w:r>
            <w:r>
              <w:rPr>
                <w:rFonts w:ascii="Arial" w:hAnsi="Arial" w:cs="Arial"/>
                <w:i/>
                <w:iCs/>
                <w:color w:val="000000"/>
                <w:sz w:val="16"/>
                <w:szCs w:val="16"/>
              </w:rPr>
              <w:t>Income Tax Assessment Act 1997</w:t>
            </w:r>
          </w:p>
        </w:tc>
      </w:tr>
    </w:tbl>
    <w:p w14:paraId="208708E5" w14:textId="77777777" w:rsidR="00802D3E" w:rsidRDefault="00802D3E" w:rsidP="00A109BC">
      <w:pPr>
        <w:pStyle w:val="SingleParagraph"/>
      </w:pPr>
    </w:p>
    <w:p w14:paraId="208708E6" w14:textId="77777777" w:rsidR="00802D3E" w:rsidRDefault="00802D3E" w:rsidP="00802D3E">
      <w:r>
        <w:t xml:space="preserve">Owners of small business active assets are eligible for capital gains roll-over relief when they change the legal structure of their business, provided the underlying economic ownership of the assets is unchanged. </w:t>
      </w:r>
    </w:p>
    <w:p w14:paraId="208708E7" w14:textId="77777777" w:rsidR="007626B2" w:rsidRDefault="007626B2">
      <w:pPr>
        <w:spacing w:after="0" w:line="240" w:lineRule="auto"/>
        <w:jc w:val="left"/>
        <w:rPr>
          <w:rFonts w:ascii="Arial" w:hAnsi="Arial"/>
          <w:b/>
          <w:smallCaps/>
          <w:color w:val="000000"/>
          <w:sz w:val="25"/>
        </w:rPr>
      </w:pPr>
      <w:r>
        <w:br w:type="page"/>
      </w:r>
    </w:p>
    <w:p w14:paraId="208708E8" w14:textId="77777777" w:rsidR="00802D3E" w:rsidRDefault="00802D3E" w:rsidP="00802D3E">
      <w:pPr>
        <w:pStyle w:val="Heading3"/>
      </w:pPr>
      <w:r>
        <w:lastRenderedPageBreak/>
        <w:t>Commodity and other indirect taxes</w:t>
      </w:r>
    </w:p>
    <w:p w14:paraId="208708E9" w14:textId="77777777" w:rsidR="00802D3E" w:rsidRDefault="00802D3E" w:rsidP="00802D3E">
      <w:pPr>
        <w:pStyle w:val="TESHeading5"/>
        <w:ind w:left="0" w:firstLine="0"/>
      </w:pPr>
      <w:r>
        <w:t>F1</w:t>
      </w:r>
      <w:r>
        <w:tab/>
        <w:t>Primary industry levy exemptions</w:t>
      </w:r>
    </w:p>
    <w:p w14:paraId="208708EA"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8F3" w14:textId="77777777" w:rsidTr="00802D3E">
        <w:trPr>
          <w:cantSplit/>
          <w:jc w:val="center"/>
        </w:trPr>
        <w:tc>
          <w:tcPr>
            <w:tcW w:w="967" w:type="dxa"/>
            <w:tcBorders>
              <w:top w:val="single" w:sz="2" w:space="0" w:color="auto"/>
              <w:left w:val="nil"/>
              <w:bottom w:val="single" w:sz="2" w:space="0" w:color="auto"/>
              <w:right w:val="nil"/>
            </w:tcBorders>
            <w:hideMark/>
          </w:tcPr>
          <w:p w14:paraId="208708EB"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8EC"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8ED"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8EE"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8EF"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8F0"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8F1"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8F2" w14:textId="77777777" w:rsidR="00802D3E" w:rsidRDefault="00802D3E">
            <w:pPr>
              <w:pStyle w:val="MeasureTableTextRightAligned"/>
            </w:pPr>
            <w:r>
              <w:t>2019-20</w:t>
            </w:r>
          </w:p>
        </w:tc>
      </w:tr>
      <w:tr w:rsidR="00802D3E" w14:paraId="208708FC" w14:textId="77777777" w:rsidTr="00802D3E">
        <w:trPr>
          <w:cantSplit/>
          <w:jc w:val="center"/>
        </w:trPr>
        <w:tc>
          <w:tcPr>
            <w:tcW w:w="967" w:type="dxa"/>
            <w:tcBorders>
              <w:top w:val="single" w:sz="2" w:space="0" w:color="auto"/>
              <w:left w:val="nil"/>
              <w:bottom w:val="single" w:sz="2" w:space="0" w:color="auto"/>
              <w:right w:val="nil"/>
            </w:tcBorders>
            <w:hideMark/>
          </w:tcPr>
          <w:p w14:paraId="208708F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8F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F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F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8F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8F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8FA"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8FB" w14:textId="77777777" w:rsidR="00802D3E" w:rsidRDefault="00802D3E">
            <w:pPr>
              <w:pStyle w:val="MeasureTableTextRightAligned"/>
            </w:pPr>
            <w:r>
              <w:t>*</w:t>
            </w:r>
          </w:p>
        </w:tc>
      </w:tr>
      <w:tr w:rsidR="00802D3E" w14:paraId="20870901" w14:textId="77777777" w:rsidTr="00802D3E">
        <w:trPr>
          <w:cantSplit/>
          <w:jc w:val="center"/>
        </w:trPr>
        <w:tc>
          <w:tcPr>
            <w:tcW w:w="1934" w:type="dxa"/>
            <w:gridSpan w:val="2"/>
            <w:tcBorders>
              <w:top w:val="single" w:sz="2" w:space="0" w:color="auto"/>
              <w:left w:val="nil"/>
              <w:bottom w:val="nil"/>
              <w:right w:val="nil"/>
            </w:tcBorders>
            <w:hideMark/>
          </w:tcPr>
          <w:p w14:paraId="208708FD"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8FE"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8FF"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900" w14:textId="77777777" w:rsidR="00802D3E" w:rsidRDefault="00802D3E">
            <w:pPr>
              <w:pStyle w:val="MeasureTableTextLeftAligned"/>
            </w:pPr>
            <w:r>
              <w:t>F1</w:t>
            </w:r>
          </w:p>
        </w:tc>
      </w:tr>
      <w:tr w:rsidR="00802D3E" w14:paraId="20870906" w14:textId="77777777" w:rsidTr="00802D3E">
        <w:trPr>
          <w:cantSplit/>
          <w:jc w:val="center"/>
        </w:trPr>
        <w:tc>
          <w:tcPr>
            <w:tcW w:w="1934" w:type="dxa"/>
            <w:gridSpan w:val="2"/>
            <w:tcBorders>
              <w:top w:val="nil"/>
              <w:left w:val="nil"/>
              <w:bottom w:val="nil"/>
              <w:right w:val="nil"/>
            </w:tcBorders>
            <w:hideMark/>
          </w:tcPr>
          <w:p w14:paraId="20870902"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903"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904"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905" w14:textId="77777777" w:rsidR="00802D3E" w:rsidRDefault="00802D3E">
            <w:pPr>
              <w:pStyle w:val="MeasureTableTextLeftAligned"/>
            </w:pPr>
            <w:r>
              <w:t>1+</w:t>
            </w:r>
          </w:p>
        </w:tc>
      </w:tr>
      <w:tr w:rsidR="00802D3E" w14:paraId="2087090B" w14:textId="77777777" w:rsidTr="00802D3E">
        <w:trPr>
          <w:cantSplit/>
          <w:jc w:val="center"/>
        </w:trPr>
        <w:tc>
          <w:tcPr>
            <w:tcW w:w="1934" w:type="dxa"/>
            <w:gridSpan w:val="2"/>
            <w:tcBorders>
              <w:top w:val="nil"/>
              <w:left w:val="nil"/>
              <w:bottom w:val="nil"/>
              <w:right w:val="nil"/>
            </w:tcBorders>
            <w:hideMark/>
          </w:tcPr>
          <w:p w14:paraId="20870907"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908" w14:textId="77777777" w:rsidR="00802D3E" w:rsidRDefault="00802D3E">
            <w:pPr>
              <w:pStyle w:val="MeasureTableTextLeftAligned"/>
            </w:pPr>
            <w:r>
              <w:t>Introduced before 1985</w:t>
            </w:r>
          </w:p>
        </w:tc>
        <w:tc>
          <w:tcPr>
            <w:tcW w:w="1500" w:type="dxa"/>
            <w:gridSpan w:val="2"/>
            <w:tcBorders>
              <w:top w:val="nil"/>
              <w:left w:val="nil"/>
              <w:bottom w:val="nil"/>
              <w:right w:val="nil"/>
            </w:tcBorders>
            <w:hideMark/>
          </w:tcPr>
          <w:p w14:paraId="20870909"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90A" w14:textId="77777777" w:rsidR="00802D3E" w:rsidRDefault="00802D3E">
            <w:pPr>
              <w:pStyle w:val="MeasureTableTextLeftAligned"/>
            </w:pPr>
          </w:p>
        </w:tc>
      </w:tr>
      <w:tr w:rsidR="00802D3E" w14:paraId="2087090F" w14:textId="77777777" w:rsidTr="00802D3E">
        <w:trPr>
          <w:cantSplit/>
          <w:jc w:val="center"/>
        </w:trPr>
        <w:tc>
          <w:tcPr>
            <w:tcW w:w="1934" w:type="dxa"/>
            <w:gridSpan w:val="2"/>
            <w:tcBorders>
              <w:top w:val="nil"/>
              <w:left w:val="nil"/>
              <w:bottom w:val="single" w:sz="2" w:space="0" w:color="auto"/>
              <w:right w:val="nil"/>
            </w:tcBorders>
            <w:hideMark/>
          </w:tcPr>
          <w:p w14:paraId="2087090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90D" w14:textId="77777777" w:rsidR="00802D3E" w:rsidRDefault="00802D3E" w:rsidP="00106337">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i/>
                <w:iCs/>
                <w:color w:val="000000"/>
                <w:sz w:val="16"/>
                <w:szCs w:val="16"/>
              </w:rPr>
              <w:t>Primary Industries (Customs) Charges Act 1999</w:t>
            </w:r>
          </w:p>
          <w:p w14:paraId="2087090E" w14:textId="77777777" w:rsidR="00802D3E" w:rsidRDefault="00802D3E" w:rsidP="00106337">
            <w:pPr>
              <w:widowControl w:val="0"/>
              <w:autoSpaceDE w:val="0"/>
              <w:autoSpaceDN w:val="0"/>
              <w:adjustRightInd w:val="0"/>
              <w:spacing w:after="0" w:line="240" w:lineRule="auto"/>
              <w:jc w:val="left"/>
            </w:pPr>
            <w:r>
              <w:rPr>
                <w:rFonts w:ascii="Arial" w:hAnsi="Arial" w:cs="Arial"/>
                <w:i/>
                <w:iCs/>
                <w:color w:val="000000"/>
                <w:sz w:val="16"/>
                <w:szCs w:val="16"/>
              </w:rPr>
              <w:t>Primary Industries (Excise) Levies Act 1999</w:t>
            </w:r>
          </w:p>
        </w:tc>
      </w:tr>
    </w:tbl>
    <w:p w14:paraId="20870910" w14:textId="77777777" w:rsidR="00802D3E" w:rsidRDefault="00802D3E" w:rsidP="00A109BC">
      <w:pPr>
        <w:pStyle w:val="SingleParagraph"/>
      </w:pPr>
    </w:p>
    <w:p w14:paraId="20870911" w14:textId="77777777" w:rsidR="00802D3E" w:rsidRDefault="00802D3E" w:rsidP="00802D3E">
      <w:r>
        <w:t>Certain producers are exempt from primary industry levies</w:t>
      </w:r>
      <w:r>
        <w:fldChar w:fldCharType="begin"/>
      </w:r>
      <w:r>
        <w:instrText xml:space="preserve"> XE "Primary industry levies" </w:instrText>
      </w:r>
      <w:r>
        <w:fldChar w:fldCharType="end"/>
      </w:r>
      <w:r>
        <w:t xml:space="preserve">. While the specific exemptions differ on a commodity by commodity basis, they are all in some way related to the quantity or value of the particular commodity produced in a given year. </w:t>
      </w:r>
    </w:p>
    <w:p w14:paraId="20870912" w14:textId="77777777" w:rsidR="00802D3E" w:rsidRDefault="00802D3E" w:rsidP="00802D3E">
      <w:pPr>
        <w:pStyle w:val="TESHeading5"/>
        <w:ind w:left="0" w:firstLine="0"/>
      </w:pPr>
      <w:r>
        <w:t>F2</w:t>
      </w:r>
      <w:r>
        <w:tab/>
        <w:t xml:space="preserve">Exemptions from </w:t>
      </w:r>
      <w:proofErr w:type="spellStart"/>
      <w:r>
        <w:t>radiocommunications</w:t>
      </w:r>
      <w:proofErr w:type="spellEnd"/>
      <w:r>
        <w:t xml:space="preserve"> taxes for not-for-profit community or government entities</w:t>
      </w:r>
    </w:p>
    <w:p w14:paraId="20870913" w14:textId="77777777" w:rsidR="00802D3E" w:rsidRDefault="00802D3E" w:rsidP="00802D3E">
      <w:pPr>
        <w:pStyle w:val="MeasureTableHeading"/>
      </w:pPr>
      <w:r>
        <w:t xml:space="preserve">General public services </w:t>
      </w:r>
      <w:r w:rsidR="007626B2">
        <w:t>–</w:t>
      </w:r>
      <w:r>
        <w:t xml:space="preserve"> General</w:t>
      </w:r>
      <w:r w:rsidR="007626B2">
        <w:t xml:space="preserve"> </w:t>
      </w:r>
      <w:r>
        <w:t>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91C" w14:textId="77777777" w:rsidTr="00802D3E">
        <w:trPr>
          <w:cantSplit/>
          <w:jc w:val="center"/>
        </w:trPr>
        <w:tc>
          <w:tcPr>
            <w:tcW w:w="967" w:type="dxa"/>
            <w:tcBorders>
              <w:top w:val="single" w:sz="2" w:space="0" w:color="auto"/>
              <w:left w:val="nil"/>
              <w:bottom w:val="single" w:sz="2" w:space="0" w:color="auto"/>
              <w:right w:val="nil"/>
            </w:tcBorders>
            <w:hideMark/>
          </w:tcPr>
          <w:p w14:paraId="2087091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91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91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91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91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91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91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91B" w14:textId="77777777" w:rsidR="00802D3E" w:rsidRDefault="00802D3E">
            <w:pPr>
              <w:pStyle w:val="MeasureTableTextRightAligned"/>
            </w:pPr>
            <w:r>
              <w:t>2019-20</w:t>
            </w:r>
          </w:p>
        </w:tc>
      </w:tr>
      <w:tr w:rsidR="00802D3E" w14:paraId="20870925" w14:textId="77777777" w:rsidTr="00802D3E">
        <w:trPr>
          <w:cantSplit/>
          <w:jc w:val="center"/>
        </w:trPr>
        <w:tc>
          <w:tcPr>
            <w:tcW w:w="967" w:type="dxa"/>
            <w:tcBorders>
              <w:top w:val="single" w:sz="2" w:space="0" w:color="auto"/>
              <w:left w:val="nil"/>
              <w:bottom w:val="single" w:sz="2" w:space="0" w:color="auto"/>
              <w:right w:val="nil"/>
            </w:tcBorders>
            <w:hideMark/>
          </w:tcPr>
          <w:p w14:paraId="2087091D" w14:textId="77777777" w:rsidR="00802D3E" w:rsidRDefault="00802D3E">
            <w:pPr>
              <w:pStyle w:val="MeasureTableTextRightAligned"/>
            </w:pPr>
            <w:r>
              <w:t>8</w:t>
            </w:r>
          </w:p>
        </w:tc>
        <w:tc>
          <w:tcPr>
            <w:tcW w:w="967" w:type="dxa"/>
            <w:tcBorders>
              <w:top w:val="single" w:sz="2" w:space="0" w:color="auto"/>
              <w:left w:val="nil"/>
              <w:bottom w:val="single" w:sz="2" w:space="0" w:color="auto"/>
              <w:right w:val="nil"/>
            </w:tcBorders>
            <w:hideMark/>
          </w:tcPr>
          <w:p w14:paraId="2087091E" w14:textId="77777777" w:rsidR="00802D3E" w:rsidRDefault="00802D3E">
            <w:pPr>
              <w:pStyle w:val="MeasureTableTextRightAligned"/>
            </w:pPr>
            <w:r>
              <w:t>3</w:t>
            </w:r>
          </w:p>
        </w:tc>
        <w:tc>
          <w:tcPr>
            <w:tcW w:w="967" w:type="dxa"/>
            <w:tcBorders>
              <w:top w:val="single" w:sz="2" w:space="0" w:color="auto"/>
              <w:left w:val="nil"/>
              <w:bottom w:val="single" w:sz="2" w:space="0" w:color="auto"/>
              <w:right w:val="nil"/>
            </w:tcBorders>
            <w:vAlign w:val="bottom"/>
            <w:hideMark/>
          </w:tcPr>
          <w:p w14:paraId="2087091F"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70920" w14:textId="77777777" w:rsidR="00802D3E" w:rsidRDefault="00802D3E">
            <w:pPr>
              <w:pStyle w:val="MeasureTableTextRightAligned"/>
            </w:pPr>
            <w:r>
              <w:t>7</w:t>
            </w:r>
          </w:p>
        </w:tc>
        <w:tc>
          <w:tcPr>
            <w:tcW w:w="967" w:type="dxa"/>
            <w:tcBorders>
              <w:top w:val="single" w:sz="2" w:space="0" w:color="auto"/>
              <w:left w:val="nil"/>
              <w:bottom w:val="single" w:sz="2" w:space="0" w:color="auto"/>
              <w:right w:val="nil"/>
            </w:tcBorders>
            <w:vAlign w:val="bottom"/>
            <w:hideMark/>
          </w:tcPr>
          <w:p w14:paraId="20870921" w14:textId="77777777" w:rsidR="00802D3E" w:rsidRDefault="00802D3E">
            <w:pPr>
              <w:pStyle w:val="MeasureTableTextRightAligned"/>
            </w:pPr>
            <w:r>
              <w:t>7</w:t>
            </w:r>
          </w:p>
        </w:tc>
        <w:tc>
          <w:tcPr>
            <w:tcW w:w="967" w:type="dxa"/>
            <w:gridSpan w:val="2"/>
            <w:tcBorders>
              <w:top w:val="single" w:sz="2" w:space="0" w:color="auto"/>
              <w:left w:val="nil"/>
              <w:bottom w:val="single" w:sz="2" w:space="0" w:color="auto"/>
              <w:right w:val="nil"/>
            </w:tcBorders>
            <w:vAlign w:val="bottom"/>
            <w:hideMark/>
          </w:tcPr>
          <w:p w14:paraId="20870922" w14:textId="77777777" w:rsidR="00802D3E" w:rsidRDefault="00802D3E">
            <w:pPr>
              <w:pStyle w:val="MeasureTableTextRightAligned"/>
            </w:pPr>
            <w:r>
              <w:t>7</w:t>
            </w:r>
          </w:p>
        </w:tc>
        <w:tc>
          <w:tcPr>
            <w:tcW w:w="967" w:type="dxa"/>
            <w:gridSpan w:val="2"/>
            <w:tcBorders>
              <w:top w:val="single" w:sz="2" w:space="0" w:color="auto"/>
              <w:left w:val="nil"/>
              <w:bottom w:val="single" w:sz="2" w:space="0" w:color="auto"/>
              <w:right w:val="nil"/>
            </w:tcBorders>
            <w:vAlign w:val="bottom"/>
            <w:hideMark/>
          </w:tcPr>
          <w:p w14:paraId="20870923" w14:textId="77777777" w:rsidR="00802D3E" w:rsidRDefault="00802D3E">
            <w:pPr>
              <w:pStyle w:val="MeasureTableTextRightAligned"/>
            </w:pPr>
            <w:r>
              <w:t>7</w:t>
            </w:r>
          </w:p>
        </w:tc>
        <w:tc>
          <w:tcPr>
            <w:tcW w:w="968" w:type="dxa"/>
            <w:tcBorders>
              <w:top w:val="single" w:sz="2" w:space="0" w:color="auto"/>
              <w:left w:val="nil"/>
              <w:bottom w:val="single" w:sz="2" w:space="0" w:color="auto"/>
              <w:right w:val="nil"/>
            </w:tcBorders>
            <w:vAlign w:val="bottom"/>
            <w:hideMark/>
          </w:tcPr>
          <w:p w14:paraId="20870924" w14:textId="77777777" w:rsidR="00802D3E" w:rsidRDefault="00802D3E">
            <w:pPr>
              <w:pStyle w:val="MeasureTableTextRightAligned"/>
            </w:pPr>
            <w:r>
              <w:t>7</w:t>
            </w:r>
          </w:p>
        </w:tc>
      </w:tr>
      <w:tr w:rsidR="00802D3E" w14:paraId="2087092A" w14:textId="77777777" w:rsidTr="00802D3E">
        <w:trPr>
          <w:cantSplit/>
          <w:jc w:val="center"/>
        </w:trPr>
        <w:tc>
          <w:tcPr>
            <w:tcW w:w="1934" w:type="dxa"/>
            <w:gridSpan w:val="2"/>
            <w:tcBorders>
              <w:top w:val="single" w:sz="2" w:space="0" w:color="auto"/>
              <w:left w:val="nil"/>
              <w:bottom w:val="nil"/>
              <w:right w:val="nil"/>
            </w:tcBorders>
            <w:hideMark/>
          </w:tcPr>
          <w:p w14:paraId="2087092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92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92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929" w14:textId="77777777" w:rsidR="00802D3E" w:rsidRDefault="00802D3E">
            <w:pPr>
              <w:pStyle w:val="MeasureTableTextLeftAligned"/>
            </w:pPr>
            <w:r>
              <w:t>F2</w:t>
            </w:r>
          </w:p>
        </w:tc>
      </w:tr>
      <w:tr w:rsidR="00802D3E" w14:paraId="2087092F" w14:textId="77777777" w:rsidTr="00802D3E">
        <w:trPr>
          <w:cantSplit/>
          <w:jc w:val="center"/>
        </w:trPr>
        <w:tc>
          <w:tcPr>
            <w:tcW w:w="1934" w:type="dxa"/>
            <w:gridSpan w:val="2"/>
            <w:tcBorders>
              <w:top w:val="nil"/>
              <w:left w:val="nil"/>
              <w:bottom w:val="nil"/>
              <w:right w:val="nil"/>
            </w:tcBorders>
            <w:hideMark/>
          </w:tcPr>
          <w:p w14:paraId="2087092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92C"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92D" w14:textId="77777777" w:rsidR="00802D3E" w:rsidRDefault="00802D3E">
            <w:pPr>
              <w:pStyle w:val="MeasureTableTextItalic"/>
            </w:pPr>
          </w:p>
        </w:tc>
        <w:tc>
          <w:tcPr>
            <w:tcW w:w="1124" w:type="dxa"/>
            <w:gridSpan w:val="2"/>
            <w:tcBorders>
              <w:top w:val="nil"/>
              <w:left w:val="nil"/>
              <w:bottom w:val="nil"/>
              <w:right w:val="nil"/>
            </w:tcBorders>
          </w:tcPr>
          <w:p w14:paraId="2087092E" w14:textId="77777777" w:rsidR="00802D3E" w:rsidRDefault="00802D3E">
            <w:pPr>
              <w:pStyle w:val="MeasureTableTextLeftAligned"/>
            </w:pPr>
          </w:p>
        </w:tc>
      </w:tr>
      <w:tr w:rsidR="00802D3E" w14:paraId="20870934" w14:textId="77777777" w:rsidTr="00802D3E">
        <w:trPr>
          <w:cantSplit/>
          <w:jc w:val="center"/>
        </w:trPr>
        <w:tc>
          <w:tcPr>
            <w:tcW w:w="1934" w:type="dxa"/>
            <w:gridSpan w:val="2"/>
            <w:tcBorders>
              <w:top w:val="nil"/>
              <w:left w:val="nil"/>
              <w:bottom w:val="nil"/>
              <w:right w:val="nil"/>
            </w:tcBorders>
            <w:hideMark/>
          </w:tcPr>
          <w:p w14:paraId="2087093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931" w14:textId="77777777" w:rsidR="00802D3E" w:rsidRDefault="00802D3E">
            <w:pPr>
              <w:pStyle w:val="MeasureTableTextLeftAligned"/>
            </w:pPr>
            <w:r>
              <w:t>1992</w:t>
            </w:r>
          </w:p>
        </w:tc>
        <w:tc>
          <w:tcPr>
            <w:tcW w:w="1500" w:type="dxa"/>
            <w:gridSpan w:val="2"/>
            <w:tcBorders>
              <w:top w:val="nil"/>
              <w:left w:val="nil"/>
              <w:bottom w:val="nil"/>
              <w:right w:val="nil"/>
            </w:tcBorders>
            <w:hideMark/>
          </w:tcPr>
          <w:p w14:paraId="20870932"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933" w14:textId="77777777" w:rsidR="00802D3E" w:rsidRDefault="00802D3E">
            <w:pPr>
              <w:pStyle w:val="MeasureTableTextLeftAligned"/>
            </w:pPr>
          </w:p>
        </w:tc>
      </w:tr>
      <w:tr w:rsidR="00802D3E" w14:paraId="20870938" w14:textId="77777777" w:rsidTr="00802D3E">
        <w:trPr>
          <w:cantSplit/>
          <w:jc w:val="center"/>
        </w:trPr>
        <w:tc>
          <w:tcPr>
            <w:tcW w:w="1934" w:type="dxa"/>
            <w:gridSpan w:val="2"/>
            <w:tcBorders>
              <w:top w:val="nil"/>
              <w:left w:val="nil"/>
              <w:bottom w:val="single" w:sz="2" w:space="0" w:color="auto"/>
              <w:right w:val="nil"/>
            </w:tcBorders>
            <w:hideMark/>
          </w:tcPr>
          <w:p w14:paraId="2087093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936" w14:textId="77777777" w:rsidR="00802D3E" w:rsidRDefault="00802D3E" w:rsidP="00106337">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Section 294, Part 5.7 of the </w:t>
            </w:r>
            <w:proofErr w:type="spellStart"/>
            <w:r>
              <w:rPr>
                <w:rFonts w:ascii="Arial" w:hAnsi="Arial" w:cs="Arial"/>
                <w:i/>
                <w:iCs/>
                <w:color w:val="000000"/>
                <w:sz w:val="16"/>
                <w:szCs w:val="16"/>
              </w:rPr>
              <w:t>Radiocommunications</w:t>
            </w:r>
            <w:proofErr w:type="spellEnd"/>
            <w:r>
              <w:rPr>
                <w:rFonts w:ascii="Arial" w:hAnsi="Arial" w:cs="Arial"/>
                <w:i/>
                <w:iCs/>
                <w:color w:val="000000"/>
                <w:sz w:val="16"/>
                <w:szCs w:val="16"/>
              </w:rPr>
              <w:t xml:space="preserve"> Act 1992</w:t>
            </w:r>
          </w:p>
          <w:p w14:paraId="20870937" w14:textId="31573402" w:rsidR="00802D3E" w:rsidRDefault="00802D3E" w:rsidP="00C11FD2">
            <w:pPr>
              <w:widowControl w:val="0"/>
              <w:autoSpaceDE w:val="0"/>
              <w:autoSpaceDN w:val="0"/>
              <w:adjustRightInd w:val="0"/>
              <w:spacing w:after="0" w:line="240" w:lineRule="auto"/>
              <w:jc w:val="left"/>
            </w:pPr>
            <w:r>
              <w:rPr>
                <w:rFonts w:ascii="Arial" w:hAnsi="Arial" w:cs="Arial"/>
                <w:color w:val="000000"/>
                <w:sz w:val="16"/>
                <w:szCs w:val="16"/>
              </w:rPr>
              <w:t xml:space="preserve">and Regulation 5 of the </w:t>
            </w:r>
            <w:proofErr w:type="spellStart"/>
            <w:r>
              <w:rPr>
                <w:rFonts w:ascii="Arial" w:hAnsi="Arial" w:cs="Arial"/>
                <w:i/>
                <w:iCs/>
                <w:color w:val="000000"/>
                <w:sz w:val="16"/>
                <w:szCs w:val="16"/>
              </w:rPr>
              <w:t>Radiocommunications</w:t>
            </w:r>
            <w:proofErr w:type="spellEnd"/>
            <w:r>
              <w:rPr>
                <w:rFonts w:ascii="Arial" w:hAnsi="Arial" w:cs="Arial"/>
                <w:i/>
                <w:iCs/>
                <w:color w:val="000000"/>
                <w:sz w:val="16"/>
                <w:szCs w:val="16"/>
              </w:rPr>
              <w:t xml:space="preserve"> Taxes Collection Regulations</w:t>
            </w:r>
            <w:r w:rsidR="00C11FD2">
              <w:rPr>
                <w:rFonts w:ascii="Arial" w:hAnsi="Arial" w:cs="Arial"/>
                <w:i/>
                <w:iCs/>
                <w:color w:val="000000"/>
                <w:sz w:val="16"/>
                <w:szCs w:val="16"/>
              </w:rPr>
              <w:t> </w:t>
            </w:r>
            <w:r>
              <w:rPr>
                <w:rFonts w:ascii="Arial" w:hAnsi="Arial" w:cs="Arial"/>
                <w:i/>
                <w:iCs/>
                <w:color w:val="000000"/>
                <w:sz w:val="16"/>
                <w:szCs w:val="16"/>
              </w:rPr>
              <w:t>1985</w:t>
            </w:r>
          </w:p>
        </w:tc>
      </w:tr>
    </w:tbl>
    <w:p w14:paraId="20870939" w14:textId="77777777" w:rsidR="00802D3E" w:rsidRDefault="00802D3E" w:rsidP="00A109BC">
      <w:pPr>
        <w:pStyle w:val="SingleParagraph"/>
      </w:pPr>
    </w:p>
    <w:p w14:paraId="2087093A" w14:textId="77777777" w:rsidR="00802D3E" w:rsidRDefault="00802D3E" w:rsidP="00802D3E">
      <w:r>
        <w:t>An exemption from the apparatus licence fee is available to organisations or individuals who are: diplomatic and consular missions; surf lifesaving and remote area ambulance services; emergency services or services for the safe</w:t>
      </w:r>
      <w:r>
        <w:noBreakHyphen/>
        <w:t>guarding of human life — such as rural fire fighting and coast guard services. These must be staffed principally by volunteers and be exempt from paying income tax.</w:t>
      </w:r>
      <w:r>
        <w:fldChar w:fldCharType="begin"/>
      </w:r>
      <w:r w:rsidR="00DD7995">
        <w:instrText xml:space="preserve"> XE "Broadcasting a</w:instrText>
      </w:r>
      <w:r>
        <w:instrText xml:space="preserve">pparatus licence fee" </w:instrText>
      </w:r>
      <w:r>
        <w:fldChar w:fldCharType="end"/>
      </w:r>
    </w:p>
    <w:p w14:paraId="2087093B" w14:textId="77777777" w:rsidR="00802D3E" w:rsidRDefault="00802D3E" w:rsidP="00802D3E">
      <w:pPr>
        <w:pStyle w:val="TESHeading5"/>
        <w:ind w:left="0" w:firstLine="0"/>
      </w:pPr>
      <w:r>
        <w:t>F3</w:t>
      </w:r>
      <w:r>
        <w:tab/>
        <w:t>Passenger Movement Charge exemptions</w:t>
      </w:r>
    </w:p>
    <w:p w14:paraId="2087093C" w14:textId="77777777" w:rsidR="00802D3E" w:rsidRDefault="00802D3E" w:rsidP="00802D3E">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945" w14:textId="77777777" w:rsidTr="00802D3E">
        <w:trPr>
          <w:cantSplit/>
          <w:jc w:val="center"/>
        </w:trPr>
        <w:tc>
          <w:tcPr>
            <w:tcW w:w="967" w:type="dxa"/>
            <w:tcBorders>
              <w:top w:val="single" w:sz="2" w:space="0" w:color="auto"/>
              <w:left w:val="nil"/>
              <w:bottom w:val="single" w:sz="2" w:space="0" w:color="auto"/>
              <w:right w:val="nil"/>
            </w:tcBorders>
            <w:hideMark/>
          </w:tcPr>
          <w:p w14:paraId="2087093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93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93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94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94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94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94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944" w14:textId="77777777" w:rsidR="00802D3E" w:rsidRDefault="00802D3E">
            <w:pPr>
              <w:pStyle w:val="MeasureTableTextRightAligned"/>
            </w:pPr>
            <w:r>
              <w:t>2019-20</w:t>
            </w:r>
          </w:p>
        </w:tc>
      </w:tr>
      <w:tr w:rsidR="00802D3E" w14:paraId="2087094E" w14:textId="77777777" w:rsidTr="00802D3E">
        <w:trPr>
          <w:cantSplit/>
          <w:jc w:val="center"/>
        </w:trPr>
        <w:tc>
          <w:tcPr>
            <w:tcW w:w="967" w:type="dxa"/>
            <w:tcBorders>
              <w:top w:val="single" w:sz="2" w:space="0" w:color="auto"/>
              <w:left w:val="nil"/>
              <w:bottom w:val="single" w:sz="2" w:space="0" w:color="auto"/>
              <w:right w:val="nil"/>
            </w:tcBorders>
            <w:hideMark/>
          </w:tcPr>
          <w:p w14:paraId="20870946" w14:textId="77777777" w:rsidR="00802D3E" w:rsidRDefault="00802D3E">
            <w:pPr>
              <w:pStyle w:val="MeasureTableTextRightAligned"/>
            </w:pPr>
            <w:r>
              <w:t>60</w:t>
            </w:r>
          </w:p>
        </w:tc>
        <w:tc>
          <w:tcPr>
            <w:tcW w:w="967" w:type="dxa"/>
            <w:tcBorders>
              <w:top w:val="single" w:sz="2" w:space="0" w:color="auto"/>
              <w:left w:val="nil"/>
              <w:bottom w:val="single" w:sz="2" w:space="0" w:color="auto"/>
              <w:right w:val="nil"/>
            </w:tcBorders>
            <w:hideMark/>
          </w:tcPr>
          <w:p w14:paraId="20870947" w14:textId="77777777" w:rsidR="00802D3E" w:rsidRDefault="00802D3E">
            <w:pPr>
              <w:pStyle w:val="MeasureTableTextRightAligned"/>
            </w:pPr>
            <w:r>
              <w:t>70</w:t>
            </w:r>
          </w:p>
        </w:tc>
        <w:tc>
          <w:tcPr>
            <w:tcW w:w="967" w:type="dxa"/>
            <w:tcBorders>
              <w:top w:val="single" w:sz="2" w:space="0" w:color="auto"/>
              <w:left w:val="nil"/>
              <w:bottom w:val="single" w:sz="2" w:space="0" w:color="auto"/>
              <w:right w:val="nil"/>
            </w:tcBorders>
            <w:vAlign w:val="bottom"/>
            <w:hideMark/>
          </w:tcPr>
          <w:p w14:paraId="20870948" w14:textId="77777777" w:rsidR="00802D3E" w:rsidRDefault="00802D3E">
            <w:pPr>
              <w:pStyle w:val="MeasureTableTextRightAligned"/>
            </w:pPr>
            <w:r>
              <w:t>70</w:t>
            </w:r>
          </w:p>
        </w:tc>
        <w:tc>
          <w:tcPr>
            <w:tcW w:w="967" w:type="dxa"/>
            <w:tcBorders>
              <w:top w:val="single" w:sz="2" w:space="0" w:color="auto"/>
              <w:left w:val="nil"/>
              <w:bottom w:val="single" w:sz="2" w:space="0" w:color="auto"/>
              <w:right w:val="nil"/>
            </w:tcBorders>
            <w:vAlign w:val="bottom"/>
            <w:hideMark/>
          </w:tcPr>
          <w:p w14:paraId="20870949" w14:textId="77777777" w:rsidR="00802D3E" w:rsidRDefault="00802D3E">
            <w:pPr>
              <w:pStyle w:val="MeasureTableTextRightAligned"/>
            </w:pPr>
            <w:r>
              <w:t>70</w:t>
            </w:r>
          </w:p>
        </w:tc>
        <w:tc>
          <w:tcPr>
            <w:tcW w:w="967" w:type="dxa"/>
            <w:tcBorders>
              <w:top w:val="single" w:sz="2" w:space="0" w:color="auto"/>
              <w:left w:val="nil"/>
              <w:bottom w:val="single" w:sz="2" w:space="0" w:color="auto"/>
              <w:right w:val="nil"/>
            </w:tcBorders>
            <w:vAlign w:val="bottom"/>
            <w:hideMark/>
          </w:tcPr>
          <w:p w14:paraId="2087094A" w14:textId="77777777" w:rsidR="00802D3E" w:rsidRDefault="00802D3E">
            <w:pPr>
              <w:pStyle w:val="MeasureTableTextRightAligned"/>
            </w:pPr>
            <w:r>
              <w:t>80</w:t>
            </w:r>
          </w:p>
        </w:tc>
        <w:tc>
          <w:tcPr>
            <w:tcW w:w="967" w:type="dxa"/>
            <w:gridSpan w:val="2"/>
            <w:tcBorders>
              <w:top w:val="single" w:sz="2" w:space="0" w:color="auto"/>
              <w:left w:val="nil"/>
              <w:bottom w:val="single" w:sz="2" w:space="0" w:color="auto"/>
              <w:right w:val="nil"/>
            </w:tcBorders>
            <w:vAlign w:val="bottom"/>
            <w:hideMark/>
          </w:tcPr>
          <w:p w14:paraId="2087094B" w14:textId="77777777" w:rsidR="00802D3E" w:rsidRDefault="00802D3E">
            <w:pPr>
              <w:pStyle w:val="MeasureTableTextRightAligned"/>
            </w:pPr>
            <w:r>
              <w:t>80</w:t>
            </w:r>
          </w:p>
        </w:tc>
        <w:tc>
          <w:tcPr>
            <w:tcW w:w="967" w:type="dxa"/>
            <w:gridSpan w:val="2"/>
            <w:tcBorders>
              <w:top w:val="single" w:sz="2" w:space="0" w:color="auto"/>
              <w:left w:val="nil"/>
              <w:bottom w:val="single" w:sz="2" w:space="0" w:color="auto"/>
              <w:right w:val="nil"/>
            </w:tcBorders>
            <w:vAlign w:val="bottom"/>
            <w:hideMark/>
          </w:tcPr>
          <w:p w14:paraId="2087094C" w14:textId="77777777" w:rsidR="00802D3E" w:rsidRDefault="00802D3E">
            <w:pPr>
              <w:pStyle w:val="MeasureTableTextRightAligned"/>
            </w:pPr>
            <w:r>
              <w:t>90</w:t>
            </w:r>
          </w:p>
        </w:tc>
        <w:tc>
          <w:tcPr>
            <w:tcW w:w="968" w:type="dxa"/>
            <w:tcBorders>
              <w:top w:val="single" w:sz="2" w:space="0" w:color="auto"/>
              <w:left w:val="nil"/>
              <w:bottom w:val="single" w:sz="2" w:space="0" w:color="auto"/>
              <w:right w:val="nil"/>
            </w:tcBorders>
            <w:vAlign w:val="bottom"/>
            <w:hideMark/>
          </w:tcPr>
          <w:p w14:paraId="2087094D" w14:textId="77777777" w:rsidR="00802D3E" w:rsidRDefault="00802D3E">
            <w:pPr>
              <w:pStyle w:val="MeasureTableTextRightAligned"/>
            </w:pPr>
            <w:r>
              <w:t>90</w:t>
            </w:r>
          </w:p>
        </w:tc>
      </w:tr>
      <w:tr w:rsidR="00802D3E" w14:paraId="20870953" w14:textId="77777777" w:rsidTr="00802D3E">
        <w:trPr>
          <w:cantSplit/>
          <w:jc w:val="center"/>
        </w:trPr>
        <w:tc>
          <w:tcPr>
            <w:tcW w:w="1934" w:type="dxa"/>
            <w:gridSpan w:val="2"/>
            <w:tcBorders>
              <w:top w:val="single" w:sz="2" w:space="0" w:color="auto"/>
              <w:left w:val="nil"/>
              <w:bottom w:val="nil"/>
              <w:right w:val="nil"/>
            </w:tcBorders>
            <w:hideMark/>
          </w:tcPr>
          <w:p w14:paraId="2087094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95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95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952" w14:textId="77777777" w:rsidR="00802D3E" w:rsidRDefault="00802D3E">
            <w:pPr>
              <w:pStyle w:val="MeasureTableTextLeftAligned"/>
            </w:pPr>
            <w:r>
              <w:t>F3</w:t>
            </w:r>
          </w:p>
        </w:tc>
      </w:tr>
      <w:tr w:rsidR="00802D3E" w14:paraId="20870958" w14:textId="77777777" w:rsidTr="00802D3E">
        <w:trPr>
          <w:cantSplit/>
          <w:jc w:val="center"/>
        </w:trPr>
        <w:tc>
          <w:tcPr>
            <w:tcW w:w="1934" w:type="dxa"/>
            <w:gridSpan w:val="2"/>
            <w:tcBorders>
              <w:top w:val="nil"/>
              <w:left w:val="nil"/>
              <w:bottom w:val="nil"/>
              <w:right w:val="nil"/>
            </w:tcBorders>
            <w:hideMark/>
          </w:tcPr>
          <w:p w14:paraId="2087095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955"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70956" w14:textId="77777777" w:rsidR="00802D3E" w:rsidRDefault="00802D3E">
            <w:pPr>
              <w:pStyle w:val="MeasureTableTextItalic"/>
            </w:pPr>
          </w:p>
        </w:tc>
        <w:tc>
          <w:tcPr>
            <w:tcW w:w="1124" w:type="dxa"/>
            <w:gridSpan w:val="2"/>
            <w:tcBorders>
              <w:top w:val="nil"/>
              <w:left w:val="nil"/>
              <w:bottom w:val="nil"/>
              <w:right w:val="nil"/>
            </w:tcBorders>
          </w:tcPr>
          <w:p w14:paraId="20870957" w14:textId="77777777" w:rsidR="00802D3E" w:rsidRDefault="00802D3E">
            <w:pPr>
              <w:pStyle w:val="MeasureTableTextLeftAligned"/>
            </w:pPr>
          </w:p>
        </w:tc>
      </w:tr>
      <w:tr w:rsidR="00802D3E" w14:paraId="2087095D" w14:textId="77777777" w:rsidTr="00802D3E">
        <w:trPr>
          <w:cantSplit/>
          <w:jc w:val="center"/>
        </w:trPr>
        <w:tc>
          <w:tcPr>
            <w:tcW w:w="1934" w:type="dxa"/>
            <w:gridSpan w:val="2"/>
            <w:tcBorders>
              <w:top w:val="nil"/>
              <w:left w:val="nil"/>
              <w:bottom w:val="nil"/>
              <w:right w:val="nil"/>
            </w:tcBorders>
            <w:hideMark/>
          </w:tcPr>
          <w:p w14:paraId="2087095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95A" w14:textId="77777777" w:rsidR="00802D3E" w:rsidRDefault="00802D3E">
            <w:pPr>
              <w:pStyle w:val="MeasureTableTextLeftAligned"/>
            </w:pPr>
            <w:r>
              <w:t>1978</w:t>
            </w:r>
          </w:p>
        </w:tc>
        <w:tc>
          <w:tcPr>
            <w:tcW w:w="1500" w:type="dxa"/>
            <w:gridSpan w:val="2"/>
            <w:tcBorders>
              <w:top w:val="nil"/>
              <w:left w:val="nil"/>
              <w:bottom w:val="nil"/>
              <w:right w:val="nil"/>
            </w:tcBorders>
            <w:hideMark/>
          </w:tcPr>
          <w:p w14:paraId="2087095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95C" w14:textId="77777777" w:rsidR="00802D3E" w:rsidRDefault="00802D3E">
            <w:pPr>
              <w:pStyle w:val="MeasureTableTextLeftAligned"/>
            </w:pPr>
          </w:p>
        </w:tc>
      </w:tr>
      <w:tr w:rsidR="00802D3E" w14:paraId="20870960" w14:textId="77777777" w:rsidTr="00802D3E">
        <w:trPr>
          <w:cantSplit/>
          <w:jc w:val="center"/>
        </w:trPr>
        <w:tc>
          <w:tcPr>
            <w:tcW w:w="1934" w:type="dxa"/>
            <w:gridSpan w:val="2"/>
            <w:tcBorders>
              <w:top w:val="nil"/>
              <w:left w:val="nil"/>
              <w:bottom w:val="single" w:sz="2" w:space="0" w:color="auto"/>
              <w:right w:val="nil"/>
            </w:tcBorders>
            <w:hideMark/>
          </w:tcPr>
          <w:p w14:paraId="2087095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95F"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Section 5,</w:t>
            </w:r>
            <w:r>
              <w:rPr>
                <w:rFonts w:ascii="Arial" w:hAnsi="Arial" w:cs="Arial"/>
                <w:i/>
                <w:iCs/>
                <w:color w:val="000000"/>
                <w:sz w:val="16"/>
                <w:szCs w:val="16"/>
              </w:rPr>
              <w:t xml:space="preserve"> Passenger Movement Charge Collection Act 1978</w:t>
            </w:r>
          </w:p>
        </w:tc>
      </w:tr>
    </w:tbl>
    <w:p w14:paraId="20870961" w14:textId="77777777" w:rsidR="00802D3E" w:rsidRDefault="00802D3E" w:rsidP="00A109BC">
      <w:pPr>
        <w:pStyle w:val="SingleParagraph"/>
      </w:pPr>
    </w:p>
    <w:p w14:paraId="20870962" w14:textId="77777777" w:rsidR="00802D3E" w:rsidRDefault="00802D3E" w:rsidP="00802D3E">
      <w:r>
        <w:t>Certain passengers are exempt from the Passenger Movement Charge including foreign diplomats, children and outbound crew</w:t>
      </w:r>
      <w:r>
        <w:fldChar w:fldCharType="begin"/>
      </w:r>
      <w:r>
        <w:instrText xml:space="preserve"> XE "Passenger Movement Charge" </w:instrText>
      </w:r>
      <w:r>
        <w:fldChar w:fldCharType="end"/>
      </w:r>
      <w:r>
        <w:t>.</w:t>
      </w:r>
    </w:p>
    <w:p w14:paraId="20870963" w14:textId="77777777" w:rsidR="00802D3E" w:rsidRDefault="00802D3E" w:rsidP="00802D3E">
      <w:pPr>
        <w:pStyle w:val="TESHeading5"/>
        <w:ind w:left="0" w:firstLine="0"/>
      </w:pPr>
      <w:r>
        <w:lastRenderedPageBreak/>
        <w:t>F4</w:t>
      </w:r>
      <w:r>
        <w:tab/>
        <w:t>Regional Equalisation Plan rebates</w:t>
      </w:r>
    </w:p>
    <w:p w14:paraId="20870964" w14:textId="77777777" w:rsidR="00802D3E" w:rsidRDefault="00802D3E" w:rsidP="00802D3E">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96D" w14:textId="77777777" w:rsidTr="00802D3E">
        <w:trPr>
          <w:cantSplit/>
          <w:jc w:val="center"/>
        </w:trPr>
        <w:tc>
          <w:tcPr>
            <w:tcW w:w="967" w:type="dxa"/>
            <w:tcBorders>
              <w:top w:val="single" w:sz="2" w:space="0" w:color="auto"/>
              <w:left w:val="nil"/>
              <w:bottom w:val="single" w:sz="2" w:space="0" w:color="auto"/>
              <w:right w:val="nil"/>
            </w:tcBorders>
            <w:hideMark/>
          </w:tcPr>
          <w:p w14:paraId="2087096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96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96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96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96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96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96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96C" w14:textId="77777777" w:rsidR="00802D3E" w:rsidRDefault="00802D3E">
            <w:pPr>
              <w:pStyle w:val="MeasureTableTextRightAligned"/>
            </w:pPr>
            <w:r>
              <w:t>2019-20</w:t>
            </w:r>
          </w:p>
        </w:tc>
      </w:tr>
      <w:tr w:rsidR="00802D3E" w14:paraId="20870976" w14:textId="77777777" w:rsidTr="00802D3E">
        <w:trPr>
          <w:cantSplit/>
          <w:jc w:val="center"/>
        </w:trPr>
        <w:tc>
          <w:tcPr>
            <w:tcW w:w="967" w:type="dxa"/>
            <w:tcBorders>
              <w:top w:val="single" w:sz="2" w:space="0" w:color="auto"/>
              <w:left w:val="nil"/>
              <w:bottom w:val="single" w:sz="2" w:space="0" w:color="auto"/>
              <w:right w:val="nil"/>
            </w:tcBorders>
            <w:hideMark/>
          </w:tcPr>
          <w:p w14:paraId="2087096E"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hideMark/>
          </w:tcPr>
          <w:p w14:paraId="2087096F"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70970"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70971"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70972" w14:textId="77777777" w:rsidR="00802D3E" w:rsidRDefault="00802D3E">
            <w:pPr>
              <w:pStyle w:val="MeasureTableTextRightAligned"/>
            </w:pPr>
            <w:r>
              <w:t>1</w:t>
            </w:r>
          </w:p>
        </w:tc>
        <w:tc>
          <w:tcPr>
            <w:tcW w:w="967" w:type="dxa"/>
            <w:gridSpan w:val="2"/>
            <w:tcBorders>
              <w:top w:val="single" w:sz="2" w:space="0" w:color="auto"/>
              <w:left w:val="nil"/>
              <w:bottom w:val="single" w:sz="2" w:space="0" w:color="auto"/>
              <w:right w:val="nil"/>
            </w:tcBorders>
            <w:vAlign w:val="bottom"/>
            <w:hideMark/>
          </w:tcPr>
          <w:p w14:paraId="2087097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97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975" w14:textId="77777777" w:rsidR="00802D3E" w:rsidRDefault="00802D3E">
            <w:pPr>
              <w:pStyle w:val="MeasureTableTextRightAligned"/>
            </w:pPr>
            <w:r>
              <w:t>..</w:t>
            </w:r>
          </w:p>
        </w:tc>
      </w:tr>
      <w:tr w:rsidR="00802D3E" w14:paraId="2087097B" w14:textId="77777777" w:rsidTr="00802D3E">
        <w:trPr>
          <w:cantSplit/>
          <w:jc w:val="center"/>
        </w:trPr>
        <w:tc>
          <w:tcPr>
            <w:tcW w:w="1934" w:type="dxa"/>
            <w:gridSpan w:val="2"/>
            <w:tcBorders>
              <w:top w:val="single" w:sz="2" w:space="0" w:color="auto"/>
              <w:left w:val="nil"/>
              <w:bottom w:val="nil"/>
              <w:right w:val="nil"/>
            </w:tcBorders>
            <w:hideMark/>
          </w:tcPr>
          <w:p w14:paraId="2087097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978" w14:textId="77777777" w:rsidR="00802D3E" w:rsidRDefault="00802D3E">
            <w:pPr>
              <w:pStyle w:val="MeasureTableTextLeftAligned"/>
            </w:pPr>
            <w:r>
              <w:t>Rebate</w:t>
            </w:r>
          </w:p>
        </w:tc>
        <w:tc>
          <w:tcPr>
            <w:tcW w:w="1500" w:type="dxa"/>
            <w:gridSpan w:val="2"/>
            <w:tcBorders>
              <w:top w:val="single" w:sz="2" w:space="0" w:color="auto"/>
              <w:left w:val="nil"/>
              <w:bottom w:val="nil"/>
              <w:right w:val="nil"/>
            </w:tcBorders>
            <w:hideMark/>
          </w:tcPr>
          <w:p w14:paraId="2087097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97A" w14:textId="77777777" w:rsidR="00802D3E" w:rsidRDefault="00802D3E">
            <w:pPr>
              <w:pStyle w:val="MeasureTableTextLeftAligned"/>
            </w:pPr>
            <w:r>
              <w:t>F4</w:t>
            </w:r>
          </w:p>
        </w:tc>
      </w:tr>
      <w:tr w:rsidR="00802D3E" w14:paraId="20870980" w14:textId="77777777" w:rsidTr="00802D3E">
        <w:trPr>
          <w:cantSplit/>
          <w:jc w:val="center"/>
        </w:trPr>
        <w:tc>
          <w:tcPr>
            <w:tcW w:w="1934" w:type="dxa"/>
            <w:gridSpan w:val="2"/>
            <w:tcBorders>
              <w:top w:val="nil"/>
              <w:left w:val="nil"/>
              <w:bottom w:val="nil"/>
              <w:right w:val="nil"/>
            </w:tcBorders>
            <w:hideMark/>
          </w:tcPr>
          <w:p w14:paraId="2087097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97D"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97E" w14:textId="77777777" w:rsidR="00802D3E" w:rsidRDefault="00802D3E">
            <w:pPr>
              <w:pStyle w:val="MeasureTableTextItalic"/>
            </w:pPr>
          </w:p>
        </w:tc>
        <w:tc>
          <w:tcPr>
            <w:tcW w:w="1124" w:type="dxa"/>
            <w:gridSpan w:val="2"/>
            <w:tcBorders>
              <w:top w:val="nil"/>
              <w:left w:val="nil"/>
              <w:bottom w:val="nil"/>
              <w:right w:val="nil"/>
            </w:tcBorders>
          </w:tcPr>
          <w:p w14:paraId="2087097F" w14:textId="77777777" w:rsidR="00802D3E" w:rsidRDefault="00802D3E">
            <w:pPr>
              <w:pStyle w:val="MeasureTableTextLeftAligned"/>
            </w:pPr>
          </w:p>
        </w:tc>
      </w:tr>
      <w:tr w:rsidR="00802D3E" w14:paraId="20870985" w14:textId="77777777" w:rsidTr="00802D3E">
        <w:trPr>
          <w:cantSplit/>
          <w:jc w:val="center"/>
        </w:trPr>
        <w:tc>
          <w:tcPr>
            <w:tcW w:w="1934" w:type="dxa"/>
            <w:gridSpan w:val="2"/>
            <w:tcBorders>
              <w:top w:val="nil"/>
              <w:left w:val="nil"/>
              <w:bottom w:val="nil"/>
              <w:right w:val="nil"/>
            </w:tcBorders>
            <w:hideMark/>
          </w:tcPr>
          <w:p w14:paraId="2087098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982"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983" w14:textId="77777777" w:rsidR="00802D3E" w:rsidRDefault="00802D3E">
            <w:pPr>
              <w:pStyle w:val="MeasureTableTextItalic"/>
            </w:pPr>
            <w:r>
              <w:t>Expiry date:</w:t>
            </w:r>
          </w:p>
        </w:tc>
        <w:tc>
          <w:tcPr>
            <w:tcW w:w="1124" w:type="dxa"/>
            <w:gridSpan w:val="2"/>
            <w:tcBorders>
              <w:top w:val="nil"/>
              <w:left w:val="nil"/>
              <w:bottom w:val="nil"/>
              <w:right w:val="nil"/>
            </w:tcBorders>
            <w:hideMark/>
          </w:tcPr>
          <w:p w14:paraId="20870984" w14:textId="77777777" w:rsidR="00802D3E" w:rsidRDefault="00802D3E" w:rsidP="00DD444C">
            <w:pPr>
              <w:pStyle w:val="MeasureTableTextLeftAligned"/>
            </w:pPr>
            <w:r>
              <w:t>31 Dec 2017</w:t>
            </w:r>
          </w:p>
        </w:tc>
      </w:tr>
      <w:tr w:rsidR="00802D3E" w14:paraId="20870989" w14:textId="77777777" w:rsidTr="00802D3E">
        <w:trPr>
          <w:cantSplit/>
          <w:jc w:val="center"/>
        </w:trPr>
        <w:tc>
          <w:tcPr>
            <w:tcW w:w="1934" w:type="dxa"/>
            <w:gridSpan w:val="2"/>
            <w:tcBorders>
              <w:top w:val="nil"/>
              <w:left w:val="nil"/>
              <w:bottom w:val="single" w:sz="2" w:space="0" w:color="auto"/>
              <w:right w:val="nil"/>
            </w:tcBorders>
            <w:hideMark/>
          </w:tcPr>
          <w:p w14:paraId="2087098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987" w14:textId="77777777" w:rsidR="00802D3E" w:rsidRDefault="00802D3E" w:rsidP="00106337">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i/>
                <w:iCs/>
                <w:color w:val="000000"/>
                <w:sz w:val="16"/>
                <w:szCs w:val="16"/>
              </w:rPr>
              <w:t>Television Licence Fees Act 1964</w:t>
            </w:r>
          </w:p>
          <w:p w14:paraId="20870988" w14:textId="77777777" w:rsidR="00802D3E" w:rsidRDefault="00802D3E" w:rsidP="00106337">
            <w:pPr>
              <w:widowControl w:val="0"/>
              <w:autoSpaceDE w:val="0"/>
              <w:autoSpaceDN w:val="0"/>
              <w:adjustRightInd w:val="0"/>
              <w:spacing w:after="0" w:line="240" w:lineRule="auto"/>
              <w:jc w:val="left"/>
            </w:pPr>
            <w:r>
              <w:rPr>
                <w:rFonts w:ascii="Arial" w:hAnsi="Arial" w:cs="Arial"/>
                <w:i/>
                <w:iCs/>
                <w:color w:val="000000"/>
                <w:sz w:val="16"/>
                <w:szCs w:val="16"/>
              </w:rPr>
              <w:t>Television Licence Fees Regulations 1990</w:t>
            </w:r>
          </w:p>
        </w:tc>
      </w:tr>
    </w:tbl>
    <w:p w14:paraId="2087098A" w14:textId="77777777" w:rsidR="00802D3E" w:rsidRDefault="00802D3E" w:rsidP="00A109BC">
      <w:pPr>
        <w:pStyle w:val="SingleParagraph"/>
      </w:pPr>
    </w:p>
    <w:p w14:paraId="2087098B" w14:textId="65C45C9B" w:rsidR="00802D3E" w:rsidRDefault="00802D3E" w:rsidP="00802D3E">
      <w:r>
        <w:rPr>
          <w:color w:val="000000"/>
        </w:rPr>
        <w:t>Remote commercial television broadcasters are entitled to a licence fee rebate to assist with the costs associated with the switchover</w:t>
      </w:r>
      <w:r w:rsidR="00C11FD2">
        <w:rPr>
          <w:color w:val="000000"/>
        </w:rPr>
        <w:t xml:space="preserve"> to digital television until 31 </w:t>
      </w:r>
      <w:r>
        <w:rPr>
          <w:color w:val="000000"/>
        </w:rPr>
        <w:t>December</w:t>
      </w:r>
      <w:r w:rsidR="00C11FD2">
        <w:rPr>
          <w:color w:val="000000"/>
        </w:rPr>
        <w:t> </w:t>
      </w:r>
      <w:r>
        <w:rPr>
          <w:color w:val="000000"/>
        </w:rPr>
        <w:t xml:space="preserve">2017. Regional broadcasters were entitled to the </w:t>
      </w:r>
      <w:r w:rsidR="00C11FD2">
        <w:rPr>
          <w:color w:val="000000"/>
        </w:rPr>
        <w:t>rebate until 31 </w:t>
      </w:r>
      <w:r>
        <w:rPr>
          <w:color w:val="000000"/>
        </w:rPr>
        <w:t>December</w:t>
      </w:r>
      <w:r w:rsidR="00C11FD2">
        <w:rPr>
          <w:color w:val="000000"/>
        </w:rPr>
        <w:t> </w:t>
      </w:r>
      <w:r>
        <w:rPr>
          <w:color w:val="000000"/>
        </w:rPr>
        <w:t>2012.</w:t>
      </w:r>
      <w:r>
        <w:t xml:space="preserve"> </w:t>
      </w:r>
    </w:p>
    <w:p w14:paraId="2087098C" w14:textId="77777777" w:rsidR="00802D3E" w:rsidRDefault="00802D3E" w:rsidP="00802D3E">
      <w:pPr>
        <w:pStyle w:val="TESHeading5"/>
        <w:ind w:left="0" w:firstLine="0"/>
      </w:pPr>
      <w:r>
        <w:t>F5</w:t>
      </w:r>
      <w:r>
        <w:tab/>
        <w:t>Luxury car tax</w:t>
      </w:r>
    </w:p>
    <w:p w14:paraId="2087098D"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996" w14:textId="77777777" w:rsidTr="00802D3E">
        <w:trPr>
          <w:cantSplit/>
          <w:jc w:val="center"/>
        </w:trPr>
        <w:tc>
          <w:tcPr>
            <w:tcW w:w="967" w:type="dxa"/>
            <w:tcBorders>
              <w:top w:val="single" w:sz="2" w:space="0" w:color="auto"/>
              <w:left w:val="nil"/>
              <w:bottom w:val="single" w:sz="2" w:space="0" w:color="auto"/>
              <w:right w:val="nil"/>
            </w:tcBorders>
            <w:hideMark/>
          </w:tcPr>
          <w:p w14:paraId="2087098E"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98F"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990"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991"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992"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993"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994"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995" w14:textId="77777777" w:rsidR="00802D3E" w:rsidRDefault="00802D3E">
            <w:pPr>
              <w:pStyle w:val="MeasureTableTextRightAligned"/>
            </w:pPr>
            <w:r>
              <w:t>2019-20</w:t>
            </w:r>
          </w:p>
        </w:tc>
      </w:tr>
      <w:tr w:rsidR="00802D3E" w14:paraId="2087099F" w14:textId="77777777" w:rsidTr="00802D3E">
        <w:trPr>
          <w:cantSplit/>
          <w:jc w:val="center"/>
        </w:trPr>
        <w:tc>
          <w:tcPr>
            <w:tcW w:w="967" w:type="dxa"/>
            <w:tcBorders>
              <w:top w:val="single" w:sz="2" w:space="0" w:color="auto"/>
              <w:left w:val="nil"/>
              <w:bottom w:val="single" w:sz="2" w:space="0" w:color="auto"/>
              <w:right w:val="nil"/>
            </w:tcBorders>
            <w:hideMark/>
          </w:tcPr>
          <w:p w14:paraId="20870997" w14:textId="77777777" w:rsidR="00802D3E" w:rsidRDefault="00802D3E">
            <w:pPr>
              <w:pStyle w:val="MeasureTableTextRightAligned"/>
            </w:pPr>
            <w:r>
              <w:t>-432</w:t>
            </w:r>
          </w:p>
        </w:tc>
        <w:tc>
          <w:tcPr>
            <w:tcW w:w="967" w:type="dxa"/>
            <w:tcBorders>
              <w:top w:val="single" w:sz="2" w:space="0" w:color="auto"/>
              <w:left w:val="nil"/>
              <w:bottom w:val="single" w:sz="2" w:space="0" w:color="auto"/>
              <w:right w:val="nil"/>
            </w:tcBorders>
            <w:hideMark/>
          </w:tcPr>
          <w:p w14:paraId="20870998" w14:textId="77777777" w:rsidR="00802D3E" w:rsidRDefault="00802D3E">
            <w:pPr>
              <w:pStyle w:val="MeasureTableTextRightAligned"/>
            </w:pPr>
            <w:r>
              <w:t>-476</w:t>
            </w:r>
          </w:p>
        </w:tc>
        <w:tc>
          <w:tcPr>
            <w:tcW w:w="967" w:type="dxa"/>
            <w:tcBorders>
              <w:top w:val="single" w:sz="2" w:space="0" w:color="auto"/>
              <w:left w:val="nil"/>
              <w:bottom w:val="single" w:sz="2" w:space="0" w:color="auto"/>
              <w:right w:val="nil"/>
            </w:tcBorders>
            <w:vAlign w:val="bottom"/>
            <w:hideMark/>
          </w:tcPr>
          <w:p w14:paraId="20870999" w14:textId="77777777" w:rsidR="00802D3E" w:rsidRDefault="00802D3E">
            <w:pPr>
              <w:pStyle w:val="MeasureTableTextRightAligned"/>
            </w:pPr>
            <w:r>
              <w:t>-540</w:t>
            </w:r>
          </w:p>
        </w:tc>
        <w:tc>
          <w:tcPr>
            <w:tcW w:w="967" w:type="dxa"/>
            <w:tcBorders>
              <w:top w:val="single" w:sz="2" w:space="0" w:color="auto"/>
              <w:left w:val="nil"/>
              <w:bottom w:val="single" w:sz="2" w:space="0" w:color="auto"/>
              <w:right w:val="nil"/>
            </w:tcBorders>
            <w:vAlign w:val="bottom"/>
            <w:hideMark/>
          </w:tcPr>
          <w:p w14:paraId="2087099A" w14:textId="77777777" w:rsidR="00802D3E" w:rsidRDefault="00802D3E">
            <w:pPr>
              <w:pStyle w:val="MeasureTableTextRightAligned"/>
            </w:pPr>
            <w:r>
              <w:t>-620</w:t>
            </w:r>
          </w:p>
        </w:tc>
        <w:tc>
          <w:tcPr>
            <w:tcW w:w="967" w:type="dxa"/>
            <w:tcBorders>
              <w:top w:val="single" w:sz="2" w:space="0" w:color="auto"/>
              <w:left w:val="nil"/>
              <w:bottom w:val="single" w:sz="2" w:space="0" w:color="auto"/>
              <w:right w:val="nil"/>
            </w:tcBorders>
            <w:vAlign w:val="bottom"/>
            <w:hideMark/>
          </w:tcPr>
          <w:p w14:paraId="2087099B" w14:textId="77777777" w:rsidR="00802D3E" w:rsidRDefault="00802D3E">
            <w:pPr>
              <w:pStyle w:val="MeasureTableTextRightAligned"/>
            </w:pPr>
            <w:r>
              <w:t>-640</w:t>
            </w:r>
          </w:p>
        </w:tc>
        <w:tc>
          <w:tcPr>
            <w:tcW w:w="967" w:type="dxa"/>
            <w:gridSpan w:val="2"/>
            <w:tcBorders>
              <w:top w:val="single" w:sz="2" w:space="0" w:color="auto"/>
              <w:left w:val="nil"/>
              <w:bottom w:val="single" w:sz="2" w:space="0" w:color="auto"/>
              <w:right w:val="nil"/>
            </w:tcBorders>
            <w:vAlign w:val="bottom"/>
            <w:hideMark/>
          </w:tcPr>
          <w:p w14:paraId="2087099C" w14:textId="77777777" w:rsidR="00802D3E" w:rsidRDefault="00802D3E">
            <w:pPr>
              <w:pStyle w:val="MeasureTableTextRightAligned"/>
            </w:pPr>
            <w:r>
              <w:t>-640</w:t>
            </w:r>
          </w:p>
        </w:tc>
        <w:tc>
          <w:tcPr>
            <w:tcW w:w="967" w:type="dxa"/>
            <w:gridSpan w:val="2"/>
            <w:tcBorders>
              <w:top w:val="single" w:sz="2" w:space="0" w:color="auto"/>
              <w:left w:val="nil"/>
              <w:bottom w:val="single" w:sz="2" w:space="0" w:color="auto"/>
              <w:right w:val="nil"/>
            </w:tcBorders>
            <w:vAlign w:val="bottom"/>
            <w:hideMark/>
          </w:tcPr>
          <w:p w14:paraId="2087099D" w14:textId="77777777" w:rsidR="00802D3E" w:rsidRDefault="00802D3E">
            <w:pPr>
              <w:pStyle w:val="MeasureTableTextRightAligned"/>
            </w:pPr>
            <w:r>
              <w:t>-660</w:t>
            </w:r>
          </w:p>
        </w:tc>
        <w:tc>
          <w:tcPr>
            <w:tcW w:w="968" w:type="dxa"/>
            <w:tcBorders>
              <w:top w:val="single" w:sz="2" w:space="0" w:color="auto"/>
              <w:left w:val="nil"/>
              <w:bottom w:val="single" w:sz="2" w:space="0" w:color="auto"/>
              <w:right w:val="nil"/>
            </w:tcBorders>
            <w:vAlign w:val="bottom"/>
            <w:hideMark/>
          </w:tcPr>
          <w:p w14:paraId="2087099E" w14:textId="77777777" w:rsidR="00802D3E" w:rsidRDefault="00802D3E">
            <w:pPr>
              <w:pStyle w:val="MeasureTableTextRightAligned"/>
            </w:pPr>
            <w:r>
              <w:t>-700</w:t>
            </w:r>
          </w:p>
        </w:tc>
      </w:tr>
      <w:tr w:rsidR="00802D3E" w14:paraId="208709A4" w14:textId="77777777" w:rsidTr="00802D3E">
        <w:trPr>
          <w:cantSplit/>
          <w:jc w:val="center"/>
        </w:trPr>
        <w:tc>
          <w:tcPr>
            <w:tcW w:w="1934" w:type="dxa"/>
            <w:gridSpan w:val="2"/>
            <w:tcBorders>
              <w:top w:val="single" w:sz="2" w:space="0" w:color="auto"/>
              <w:left w:val="nil"/>
              <w:bottom w:val="nil"/>
              <w:right w:val="nil"/>
            </w:tcBorders>
            <w:hideMark/>
          </w:tcPr>
          <w:p w14:paraId="208709A0"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9A1" w14:textId="77777777" w:rsidR="00802D3E" w:rsidRDefault="00802D3E">
            <w:pPr>
              <w:pStyle w:val="MeasureTableTextLeftAligned"/>
            </w:pPr>
            <w:r>
              <w:t>Increased rate</w:t>
            </w:r>
          </w:p>
        </w:tc>
        <w:tc>
          <w:tcPr>
            <w:tcW w:w="1500" w:type="dxa"/>
            <w:gridSpan w:val="2"/>
            <w:tcBorders>
              <w:top w:val="single" w:sz="2" w:space="0" w:color="auto"/>
              <w:left w:val="nil"/>
              <w:bottom w:val="nil"/>
              <w:right w:val="nil"/>
            </w:tcBorders>
            <w:hideMark/>
          </w:tcPr>
          <w:p w14:paraId="208709A2"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9A3" w14:textId="77777777" w:rsidR="00802D3E" w:rsidRDefault="00802D3E">
            <w:pPr>
              <w:pStyle w:val="MeasureTableTextLeftAligned"/>
            </w:pPr>
            <w:r>
              <w:t>F5</w:t>
            </w:r>
          </w:p>
        </w:tc>
      </w:tr>
      <w:tr w:rsidR="00802D3E" w14:paraId="208709A9" w14:textId="77777777" w:rsidTr="00802D3E">
        <w:trPr>
          <w:cantSplit/>
          <w:jc w:val="center"/>
        </w:trPr>
        <w:tc>
          <w:tcPr>
            <w:tcW w:w="1934" w:type="dxa"/>
            <w:gridSpan w:val="2"/>
            <w:tcBorders>
              <w:top w:val="nil"/>
              <w:left w:val="nil"/>
              <w:bottom w:val="nil"/>
              <w:right w:val="nil"/>
            </w:tcBorders>
            <w:hideMark/>
          </w:tcPr>
          <w:p w14:paraId="208709A5"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9A6"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9A7" w14:textId="77777777" w:rsidR="00802D3E" w:rsidRDefault="00802D3E">
            <w:pPr>
              <w:pStyle w:val="MeasureTableTextItalic"/>
            </w:pPr>
          </w:p>
        </w:tc>
        <w:tc>
          <w:tcPr>
            <w:tcW w:w="1124" w:type="dxa"/>
            <w:gridSpan w:val="2"/>
            <w:tcBorders>
              <w:top w:val="nil"/>
              <w:left w:val="nil"/>
              <w:bottom w:val="nil"/>
              <w:right w:val="nil"/>
            </w:tcBorders>
          </w:tcPr>
          <w:p w14:paraId="208709A8" w14:textId="77777777" w:rsidR="00802D3E" w:rsidRDefault="00802D3E">
            <w:pPr>
              <w:pStyle w:val="MeasureTableTextLeftAligned"/>
            </w:pPr>
          </w:p>
        </w:tc>
      </w:tr>
      <w:tr w:rsidR="00802D3E" w14:paraId="208709AE" w14:textId="77777777" w:rsidTr="00802D3E">
        <w:trPr>
          <w:cantSplit/>
          <w:jc w:val="center"/>
        </w:trPr>
        <w:tc>
          <w:tcPr>
            <w:tcW w:w="1934" w:type="dxa"/>
            <w:gridSpan w:val="2"/>
            <w:tcBorders>
              <w:top w:val="nil"/>
              <w:left w:val="nil"/>
              <w:bottom w:val="nil"/>
              <w:right w:val="nil"/>
            </w:tcBorders>
            <w:hideMark/>
          </w:tcPr>
          <w:p w14:paraId="208709AA"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9AB"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9AC"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9AD" w14:textId="77777777" w:rsidR="00802D3E" w:rsidRDefault="00802D3E">
            <w:pPr>
              <w:pStyle w:val="MeasureTableTextLeftAligned"/>
            </w:pPr>
          </w:p>
        </w:tc>
      </w:tr>
      <w:tr w:rsidR="00802D3E" w14:paraId="208709B1" w14:textId="77777777" w:rsidTr="00802D3E">
        <w:trPr>
          <w:cantSplit/>
          <w:jc w:val="center"/>
        </w:trPr>
        <w:tc>
          <w:tcPr>
            <w:tcW w:w="1934" w:type="dxa"/>
            <w:gridSpan w:val="2"/>
            <w:tcBorders>
              <w:top w:val="nil"/>
              <w:left w:val="nil"/>
              <w:bottom w:val="single" w:sz="2" w:space="0" w:color="auto"/>
              <w:right w:val="nil"/>
            </w:tcBorders>
            <w:hideMark/>
          </w:tcPr>
          <w:p w14:paraId="208709AF"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9B0" w14:textId="77777777" w:rsidR="00802D3E" w:rsidRDefault="00802D3E" w:rsidP="00106337">
            <w:pPr>
              <w:widowControl w:val="0"/>
              <w:autoSpaceDE w:val="0"/>
              <w:autoSpaceDN w:val="0"/>
              <w:adjustRightInd w:val="0"/>
              <w:spacing w:after="0" w:line="240" w:lineRule="auto"/>
              <w:jc w:val="left"/>
            </w:pPr>
            <w:r>
              <w:rPr>
                <w:rFonts w:ascii="Arial" w:hAnsi="Arial" w:cs="Arial"/>
                <w:i/>
                <w:iCs/>
                <w:color w:val="000000"/>
                <w:sz w:val="16"/>
                <w:szCs w:val="16"/>
              </w:rPr>
              <w:t>A New Tax System (Luxury Car Tax) Act 2000</w:t>
            </w:r>
          </w:p>
        </w:tc>
      </w:tr>
    </w:tbl>
    <w:p w14:paraId="208709B2" w14:textId="77777777" w:rsidR="00802D3E" w:rsidRDefault="00802D3E" w:rsidP="00A109BC">
      <w:pPr>
        <w:pStyle w:val="SingleParagraph"/>
      </w:pPr>
    </w:p>
    <w:p w14:paraId="208709B3" w14:textId="77777777" w:rsidR="00802D3E" w:rsidRDefault="00802D3E" w:rsidP="00802D3E">
      <w:r>
        <w:t xml:space="preserve">The luxury car tax currently applies to cars that have a GST inclusive price over $64,132 (the luxury car tax threshold for the 2016-17 financial year). The luxury car tax is 33 per cent of the GST exclusive value of the car that exceeds the luxury car tax threshold. </w:t>
      </w:r>
      <w:r w:rsidR="006560E1" w:rsidRPr="00762F6A">
        <w:t xml:space="preserve">Generally, motor vehicle purchases are </w:t>
      </w:r>
      <w:r w:rsidR="006560E1">
        <w:t>only subject to goods and services tax</w:t>
      </w:r>
      <w:r w:rsidR="006560E1" w:rsidRPr="00762F6A">
        <w:t>. Consequently, the luxury car tax is a negative tax expenditure.</w:t>
      </w:r>
      <w:r>
        <w:fldChar w:fldCharType="begin"/>
      </w:r>
      <w:r>
        <w:instrText xml:space="preserve"> XE "Luxury Cars" </w:instrText>
      </w:r>
      <w:r>
        <w:fldChar w:fldCharType="end"/>
      </w:r>
    </w:p>
    <w:p w14:paraId="208709B4" w14:textId="77777777" w:rsidR="00802D3E" w:rsidRDefault="00802D3E" w:rsidP="00802D3E">
      <w:r>
        <w:t xml:space="preserve"> ‘Primary producers’ or certain tourism businesses that acquire a ‘refund</w:t>
      </w:r>
      <w:r>
        <w:noBreakHyphen/>
        <w:t>eligible car’ are eligible to claim a tax refund of up to $3,000 of the amount of luxury car tax paid.</w:t>
      </w:r>
      <w:r>
        <w:fldChar w:fldCharType="begin"/>
      </w:r>
      <w:r>
        <w:instrText xml:space="preserve"> XE "Primary producers" </w:instrText>
      </w:r>
      <w:r>
        <w:fldChar w:fldCharType="end"/>
      </w:r>
    </w:p>
    <w:p w14:paraId="208709B5" w14:textId="77777777" w:rsidR="00802D3E" w:rsidRDefault="00802D3E" w:rsidP="00802D3E">
      <w:r>
        <w:t>Since October 2008 a higher luxury car tax threshold has applied to fuel efficient cars. Eligible fuel efficient cars are subject to a threshold of $75,526 for luxury car tax purposes (for the 2016-17 financial year).</w:t>
      </w:r>
    </w:p>
    <w:p w14:paraId="208709B6" w14:textId="77777777" w:rsidR="00802D3E" w:rsidRDefault="00802D3E" w:rsidP="00802D3E">
      <w:r>
        <w:t xml:space="preserve">Public museums and public art galleries that have been endorsed by the Commissioner of Taxation as a Deductible Gift Recipient will be allowed to acquire cars free of luxury car tax when the car is acquired for the purpose of public display. This will have effect from the date of Royal Assent of the enabling legislation. </w:t>
      </w:r>
    </w:p>
    <w:p w14:paraId="208709B7" w14:textId="77777777" w:rsidR="00802D3E" w:rsidRDefault="00802D3E" w:rsidP="00802D3E">
      <w:pPr>
        <w:pStyle w:val="TESHeading5"/>
        <w:ind w:left="0" w:firstLine="0"/>
      </w:pPr>
      <w:r>
        <w:lastRenderedPageBreak/>
        <w:t>F6</w:t>
      </w:r>
      <w:r>
        <w:tab/>
        <w:t xml:space="preserve">Tourism </w:t>
      </w:r>
      <w:r w:rsidR="007626B2">
        <w:t>–</w:t>
      </w:r>
      <w:r>
        <w:t xml:space="preserve"> inwards</w:t>
      </w:r>
      <w:r w:rsidR="007626B2">
        <w:t xml:space="preserve"> </w:t>
      </w:r>
      <w:r>
        <w:t>duty free</w:t>
      </w:r>
    </w:p>
    <w:p w14:paraId="208709B8"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9C1" w14:textId="77777777" w:rsidTr="00802D3E">
        <w:trPr>
          <w:cantSplit/>
          <w:jc w:val="center"/>
        </w:trPr>
        <w:tc>
          <w:tcPr>
            <w:tcW w:w="967" w:type="dxa"/>
            <w:tcBorders>
              <w:top w:val="single" w:sz="2" w:space="0" w:color="auto"/>
              <w:left w:val="nil"/>
              <w:bottom w:val="single" w:sz="2" w:space="0" w:color="auto"/>
              <w:right w:val="nil"/>
            </w:tcBorders>
            <w:hideMark/>
          </w:tcPr>
          <w:p w14:paraId="208709B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9B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9B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9B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9B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9B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9B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9C0" w14:textId="77777777" w:rsidR="00802D3E" w:rsidRDefault="00802D3E">
            <w:pPr>
              <w:pStyle w:val="MeasureTableTextRightAligned"/>
            </w:pPr>
            <w:r>
              <w:t>2019-20</w:t>
            </w:r>
          </w:p>
        </w:tc>
      </w:tr>
      <w:tr w:rsidR="00802D3E" w14:paraId="208709CA" w14:textId="77777777" w:rsidTr="00802D3E">
        <w:trPr>
          <w:cantSplit/>
          <w:jc w:val="center"/>
        </w:trPr>
        <w:tc>
          <w:tcPr>
            <w:tcW w:w="967" w:type="dxa"/>
            <w:tcBorders>
              <w:top w:val="single" w:sz="2" w:space="0" w:color="auto"/>
              <w:left w:val="nil"/>
              <w:bottom w:val="single" w:sz="2" w:space="0" w:color="auto"/>
              <w:right w:val="nil"/>
            </w:tcBorders>
            <w:hideMark/>
          </w:tcPr>
          <w:p w14:paraId="208709C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9C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9C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9C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9C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9C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9C8"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9C9" w14:textId="77777777" w:rsidR="00802D3E" w:rsidRDefault="00802D3E">
            <w:pPr>
              <w:pStyle w:val="MeasureTableTextRightAligned"/>
            </w:pPr>
            <w:r>
              <w:t>*</w:t>
            </w:r>
          </w:p>
        </w:tc>
      </w:tr>
      <w:tr w:rsidR="00802D3E" w14:paraId="208709CF" w14:textId="77777777" w:rsidTr="00802D3E">
        <w:trPr>
          <w:cantSplit/>
          <w:jc w:val="center"/>
        </w:trPr>
        <w:tc>
          <w:tcPr>
            <w:tcW w:w="1934" w:type="dxa"/>
            <w:gridSpan w:val="2"/>
            <w:tcBorders>
              <w:top w:val="single" w:sz="2" w:space="0" w:color="auto"/>
              <w:left w:val="nil"/>
              <w:bottom w:val="nil"/>
              <w:right w:val="nil"/>
            </w:tcBorders>
            <w:hideMark/>
          </w:tcPr>
          <w:p w14:paraId="208709C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9CC"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9C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9CE" w14:textId="77777777" w:rsidR="00802D3E" w:rsidRDefault="00802D3E">
            <w:pPr>
              <w:pStyle w:val="MeasureTableTextLeftAligned"/>
            </w:pPr>
            <w:r>
              <w:t>F6</w:t>
            </w:r>
          </w:p>
        </w:tc>
      </w:tr>
      <w:tr w:rsidR="00802D3E" w14:paraId="208709D4" w14:textId="77777777" w:rsidTr="00802D3E">
        <w:trPr>
          <w:cantSplit/>
          <w:jc w:val="center"/>
        </w:trPr>
        <w:tc>
          <w:tcPr>
            <w:tcW w:w="1934" w:type="dxa"/>
            <w:gridSpan w:val="2"/>
            <w:tcBorders>
              <w:top w:val="nil"/>
              <w:left w:val="nil"/>
              <w:bottom w:val="nil"/>
              <w:right w:val="nil"/>
            </w:tcBorders>
            <w:hideMark/>
          </w:tcPr>
          <w:p w14:paraId="208709D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9D1"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9D2"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9D3" w14:textId="77777777" w:rsidR="00802D3E" w:rsidRDefault="00802D3E">
            <w:pPr>
              <w:pStyle w:val="MeasureTableTextLeftAligned"/>
            </w:pPr>
            <w:r>
              <w:t>3+</w:t>
            </w:r>
          </w:p>
        </w:tc>
      </w:tr>
      <w:tr w:rsidR="00802D3E" w14:paraId="208709DA" w14:textId="77777777" w:rsidTr="00802D3E">
        <w:trPr>
          <w:cantSplit/>
          <w:jc w:val="center"/>
        </w:trPr>
        <w:tc>
          <w:tcPr>
            <w:tcW w:w="1934" w:type="dxa"/>
            <w:gridSpan w:val="2"/>
            <w:tcBorders>
              <w:top w:val="nil"/>
              <w:left w:val="nil"/>
              <w:bottom w:val="nil"/>
              <w:right w:val="nil"/>
            </w:tcBorders>
            <w:hideMark/>
          </w:tcPr>
          <w:p w14:paraId="208709D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9D6" w14:textId="77777777" w:rsidR="00802D3E" w:rsidRDefault="00802D3E">
            <w:pPr>
              <w:pStyle w:val="MeasureTableTextLeftAligned"/>
            </w:pPr>
            <w:r>
              <w:t>Introduced before 1985</w:t>
            </w:r>
          </w:p>
          <w:p w14:paraId="208709D7" w14:textId="77777777" w:rsidR="00802D3E" w:rsidRDefault="00802D3E">
            <w:pPr>
              <w:pStyle w:val="MeasureTableTextLeftAligned"/>
            </w:pPr>
            <w:r>
              <w:t>1 July 2000 (WET)</w:t>
            </w:r>
          </w:p>
        </w:tc>
        <w:tc>
          <w:tcPr>
            <w:tcW w:w="1500" w:type="dxa"/>
            <w:gridSpan w:val="2"/>
            <w:tcBorders>
              <w:top w:val="nil"/>
              <w:left w:val="nil"/>
              <w:bottom w:val="nil"/>
              <w:right w:val="nil"/>
            </w:tcBorders>
            <w:hideMark/>
          </w:tcPr>
          <w:p w14:paraId="208709D8"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9D9" w14:textId="77777777" w:rsidR="00802D3E" w:rsidRDefault="00802D3E">
            <w:pPr>
              <w:pStyle w:val="MeasureTableTextLeftAligned"/>
            </w:pPr>
          </w:p>
        </w:tc>
      </w:tr>
      <w:tr w:rsidR="00802D3E" w14:paraId="208709DF" w14:textId="77777777" w:rsidTr="00802D3E">
        <w:trPr>
          <w:cantSplit/>
          <w:jc w:val="center"/>
        </w:trPr>
        <w:tc>
          <w:tcPr>
            <w:tcW w:w="1934" w:type="dxa"/>
            <w:gridSpan w:val="2"/>
            <w:tcBorders>
              <w:top w:val="nil"/>
              <w:left w:val="nil"/>
              <w:bottom w:val="single" w:sz="2" w:space="0" w:color="auto"/>
              <w:right w:val="nil"/>
            </w:tcBorders>
            <w:hideMark/>
          </w:tcPr>
          <w:p w14:paraId="208709DB"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9DC" w14:textId="77777777" w:rsidR="00802D3E" w:rsidRDefault="00802D3E" w:rsidP="00106337">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i/>
                <w:iCs/>
                <w:color w:val="000000"/>
                <w:sz w:val="16"/>
                <w:szCs w:val="16"/>
              </w:rPr>
              <w:t>Customs Act 1901</w:t>
            </w:r>
          </w:p>
          <w:p w14:paraId="208709DD" w14:textId="77777777" w:rsidR="00802D3E" w:rsidRDefault="00802D3E" w:rsidP="00106337">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Item 15 in Part 1 of Schedule 4 to the </w:t>
            </w:r>
            <w:r>
              <w:rPr>
                <w:rFonts w:ascii="Arial" w:hAnsi="Arial" w:cs="Arial"/>
                <w:i/>
                <w:iCs/>
                <w:color w:val="000000"/>
                <w:sz w:val="16"/>
                <w:szCs w:val="16"/>
              </w:rPr>
              <w:t>Customs Tariff Act 1995</w:t>
            </w:r>
          </w:p>
          <w:p w14:paraId="208709DE"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Section 7-15 of a </w:t>
            </w:r>
            <w:proofErr w:type="spellStart"/>
            <w:r>
              <w:rPr>
                <w:rFonts w:ascii="Arial" w:hAnsi="Arial" w:cs="Arial"/>
                <w:i/>
                <w:iCs/>
                <w:color w:val="000000"/>
                <w:sz w:val="16"/>
                <w:szCs w:val="16"/>
              </w:rPr>
              <w:t>A</w:t>
            </w:r>
            <w:proofErr w:type="spellEnd"/>
            <w:r>
              <w:rPr>
                <w:rFonts w:ascii="Arial" w:hAnsi="Arial" w:cs="Arial"/>
                <w:i/>
                <w:iCs/>
                <w:color w:val="000000"/>
                <w:sz w:val="16"/>
                <w:szCs w:val="16"/>
              </w:rPr>
              <w:t xml:space="preserve"> New Tax System (Wine Equalisation Tax) Act 1999</w:t>
            </w:r>
          </w:p>
        </w:tc>
      </w:tr>
    </w:tbl>
    <w:p w14:paraId="208709E0" w14:textId="77777777" w:rsidR="00802D3E" w:rsidRPr="000D700A" w:rsidRDefault="00802D3E" w:rsidP="00A109BC">
      <w:pPr>
        <w:pStyle w:val="SingleParagraph"/>
        <w:rPr>
          <w:sz w:val="14"/>
        </w:rPr>
      </w:pPr>
    </w:p>
    <w:p w14:paraId="208709E1" w14:textId="77777777" w:rsidR="00802D3E" w:rsidRDefault="00802D3E" w:rsidP="00802D3E">
      <w:r>
        <w:t>Tobacco and alcohol products brought into Australia by inbound international travellers 18 years and over, within an allowance, are not subject to wine equalisation tax and excise-equivalent customs duty</w:t>
      </w:r>
      <w:r>
        <w:fldChar w:fldCharType="begin"/>
      </w:r>
      <w:r>
        <w:instrText xml:space="preserve"> XE "Duty free" </w:instrText>
      </w:r>
      <w:r>
        <w:fldChar w:fldCharType="end"/>
      </w:r>
      <w:r>
        <w:t>.</w:t>
      </w:r>
    </w:p>
    <w:p w14:paraId="208709E2" w14:textId="77777777" w:rsidR="00802D3E" w:rsidRDefault="00802D3E" w:rsidP="00802D3E">
      <w:pPr>
        <w:pStyle w:val="TESHeading5"/>
        <w:ind w:left="0" w:firstLine="0"/>
      </w:pPr>
      <w:r>
        <w:t>F7</w:t>
      </w:r>
      <w:r>
        <w:tab/>
        <w:t>Concessional rate of excise levied on aviation gasoline and aviation turbine fuel</w:t>
      </w:r>
    </w:p>
    <w:p w14:paraId="208709E3" w14:textId="77777777" w:rsidR="00802D3E" w:rsidRDefault="00802D3E" w:rsidP="00802D3E">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9EC" w14:textId="77777777" w:rsidTr="00802D3E">
        <w:trPr>
          <w:cantSplit/>
          <w:jc w:val="center"/>
        </w:trPr>
        <w:tc>
          <w:tcPr>
            <w:tcW w:w="967" w:type="dxa"/>
            <w:tcBorders>
              <w:top w:val="single" w:sz="2" w:space="0" w:color="auto"/>
              <w:left w:val="nil"/>
              <w:bottom w:val="single" w:sz="2" w:space="0" w:color="auto"/>
              <w:right w:val="nil"/>
            </w:tcBorders>
            <w:hideMark/>
          </w:tcPr>
          <w:p w14:paraId="208709E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9E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9E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9E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9E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9E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9E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9EB" w14:textId="77777777" w:rsidR="00802D3E" w:rsidRDefault="00802D3E">
            <w:pPr>
              <w:pStyle w:val="MeasureTableTextRightAligned"/>
            </w:pPr>
            <w:r>
              <w:t>2019-20</w:t>
            </w:r>
          </w:p>
        </w:tc>
      </w:tr>
      <w:tr w:rsidR="00802D3E" w14:paraId="208709F5" w14:textId="77777777" w:rsidTr="00802D3E">
        <w:trPr>
          <w:cantSplit/>
          <w:jc w:val="center"/>
        </w:trPr>
        <w:tc>
          <w:tcPr>
            <w:tcW w:w="967" w:type="dxa"/>
            <w:tcBorders>
              <w:top w:val="single" w:sz="2" w:space="0" w:color="auto"/>
              <w:left w:val="nil"/>
              <w:bottom w:val="single" w:sz="2" w:space="0" w:color="auto"/>
              <w:right w:val="nil"/>
            </w:tcBorders>
            <w:hideMark/>
          </w:tcPr>
          <w:p w14:paraId="208709ED" w14:textId="77777777" w:rsidR="00802D3E" w:rsidRDefault="00802D3E">
            <w:pPr>
              <w:pStyle w:val="MeasureTableTextRightAligned"/>
            </w:pPr>
            <w:r>
              <w:t>970</w:t>
            </w:r>
          </w:p>
        </w:tc>
        <w:tc>
          <w:tcPr>
            <w:tcW w:w="967" w:type="dxa"/>
            <w:tcBorders>
              <w:top w:val="single" w:sz="2" w:space="0" w:color="auto"/>
              <w:left w:val="nil"/>
              <w:bottom w:val="single" w:sz="2" w:space="0" w:color="auto"/>
              <w:right w:val="nil"/>
            </w:tcBorders>
            <w:hideMark/>
          </w:tcPr>
          <w:p w14:paraId="208709EE" w14:textId="77777777" w:rsidR="00802D3E" w:rsidRDefault="00802D3E">
            <w:pPr>
              <w:pStyle w:val="MeasureTableTextRightAligned"/>
            </w:pPr>
            <w:r>
              <w:t>950</w:t>
            </w:r>
          </w:p>
        </w:tc>
        <w:tc>
          <w:tcPr>
            <w:tcW w:w="967" w:type="dxa"/>
            <w:tcBorders>
              <w:top w:val="single" w:sz="2" w:space="0" w:color="auto"/>
              <w:left w:val="nil"/>
              <w:bottom w:val="single" w:sz="2" w:space="0" w:color="auto"/>
              <w:right w:val="nil"/>
            </w:tcBorders>
            <w:vAlign w:val="bottom"/>
            <w:hideMark/>
          </w:tcPr>
          <w:p w14:paraId="208709EF" w14:textId="77777777" w:rsidR="00802D3E" w:rsidRDefault="00802D3E">
            <w:pPr>
              <w:pStyle w:val="MeasureTableTextRightAligned"/>
            </w:pPr>
            <w:r>
              <w:t>1,110</w:t>
            </w:r>
          </w:p>
        </w:tc>
        <w:tc>
          <w:tcPr>
            <w:tcW w:w="967" w:type="dxa"/>
            <w:tcBorders>
              <w:top w:val="single" w:sz="2" w:space="0" w:color="auto"/>
              <w:left w:val="nil"/>
              <w:bottom w:val="single" w:sz="2" w:space="0" w:color="auto"/>
              <w:right w:val="nil"/>
            </w:tcBorders>
            <w:vAlign w:val="bottom"/>
            <w:hideMark/>
          </w:tcPr>
          <w:p w14:paraId="208709F0" w14:textId="77777777" w:rsidR="00802D3E" w:rsidRDefault="00802D3E">
            <w:pPr>
              <w:pStyle w:val="MeasureTableTextRightAligned"/>
            </w:pPr>
            <w:r>
              <w:t>1,230</w:t>
            </w:r>
          </w:p>
        </w:tc>
        <w:tc>
          <w:tcPr>
            <w:tcW w:w="967" w:type="dxa"/>
            <w:tcBorders>
              <w:top w:val="single" w:sz="2" w:space="0" w:color="auto"/>
              <w:left w:val="nil"/>
              <w:bottom w:val="single" w:sz="2" w:space="0" w:color="auto"/>
              <w:right w:val="nil"/>
            </w:tcBorders>
            <w:vAlign w:val="bottom"/>
            <w:hideMark/>
          </w:tcPr>
          <w:p w14:paraId="208709F1" w14:textId="77777777" w:rsidR="00802D3E" w:rsidRDefault="00802D3E">
            <w:pPr>
              <w:pStyle w:val="MeasureTableTextRightAligned"/>
            </w:pPr>
            <w:r>
              <w:t>1,250</w:t>
            </w:r>
          </w:p>
        </w:tc>
        <w:tc>
          <w:tcPr>
            <w:tcW w:w="967" w:type="dxa"/>
            <w:gridSpan w:val="2"/>
            <w:tcBorders>
              <w:top w:val="single" w:sz="2" w:space="0" w:color="auto"/>
              <w:left w:val="nil"/>
              <w:bottom w:val="single" w:sz="2" w:space="0" w:color="auto"/>
              <w:right w:val="nil"/>
            </w:tcBorders>
            <w:vAlign w:val="bottom"/>
            <w:hideMark/>
          </w:tcPr>
          <w:p w14:paraId="208709F2" w14:textId="77777777" w:rsidR="00802D3E" w:rsidRDefault="00802D3E">
            <w:pPr>
              <w:pStyle w:val="MeasureTableTextRightAligned"/>
            </w:pPr>
            <w:r>
              <w:t>1,330</w:t>
            </w:r>
          </w:p>
        </w:tc>
        <w:tc>
          <w:tcPr>
            <w:tcW w:w="967" w:type="dxa"/>
            <w:gridSpan w:val="2"/>
            <w:tcBorders>
              <w:top w:val="single" w:sz="2" w:space="0" w:color="auto"/>
              <w:left w:val="nil"/>
              <w:bottom w:val="single" w:sz="2" w:space="0" w:color="auto"/>
              <w:right w:val="nil"/>
            </w:tcBorders>
            <w:vAlign w:val="bottom"/>
            <w:hideMark/>
          </w:tcPr>
          <w:p w14:paraId="208709F3" w14:textId="77777777" w:rsidR="00802D3E" w:rsidRDefault="00802D3E">
            <w:pPr>
              <w:pStyle w:val="MeasureTableTextRightAligned"/>
            </w:pPr>
            <w:r>
              <w:t>1,400</w:t>
            </w:r>
          </w:p>
        </w:tc>
        <w:tc>
          <w:tcPr>
            <w:tcW w:w="968" w:type="dxa"/>
            <w:tcBorders>
              <w:top w:val="single" w:sz="2" w:space="0" w:color="auto"/>
              <w:left w:val="nil"/>
              <w:bottom w:val="single" w:sz="2" w:space="0" w:color="auto"/>
              <w:right w:val="nil"/>
            </w:tcBorders>
            <w:vAlign w:val="bottom"/>
            <w:hideMark/>
          </w:tcPr>
          <w:p w14:paraId="208709F4" w14:textId="77777777" w:rsidR="00802D3E" w:rsidRDefault="00802D3E">
            <w:pPr>
              <w:pStyle w:val="MeasureTableTextRightAligned"/>
            </w:pPr>
            <w:r>
              <w:t>1,510</w:t>
            </w:r>
          </w:p>
        </w:tc>
      </w:tr>
      <w:tr w:rsidR="00802D3E" w14:paraId="208709FA" w14:textId="77777777" w:rsidTr="00802D3E">
        <w:trPr>
          <w:cantSplit/>
          <w:jc w:val="center"/>
        </w:trPr>
        <w:tc>
          <w:tcPr>
            <w:tcW w:w="1934" w:type="dxa"/>
            <w:gridSpan w:val="2"/>
            <w:tcBorders>
              <w:top w:val="single" w:sz="2" w:space="0" w:color="auto"/>
              <w:left w:val="nil"/>
              <w:bottom w:val="nil"/>
              <w:right w:val="nil"/>
            </w:tcBorders>
            <w:hideMark/>
          </w:tcPr>
          <w:p w14:paraId="208709F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9F7"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709F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9F9" w14:textId="77777777" w:rsidR="00802D3E" w:rsidRDefault="00802D3E">
            <w:pPr>
              <w:pStyle w:val="MeasureTableTextLeftAligned"/>
            </w:pPr>
            <w:r>
              <w:t>F7</w:t>
            </w:r>
          </w:p>
        </w:tc>
      </w:tr>
      <w:tr w:rsidR="00802D3E" w14:paraId="208709FF" w14:textId="77777777" w:rsidTr="00802D3E">
        <w:trPr>
          <w:cantSplit/>
          <w:jc w:val="center"/>
        </w:trPr>
        <w:tc>
          <w:tcPr>
            <w:tcW w:w="1934" w:type="dxa"/>
            <w:gridSpan w:val="2"/>
            <w:tcBorders>
              <w:top w:val="nil"/>
              <w:left w:val="nil"/>
              <w:bottom w:val="nil"/>
              <w:right w:val="nil"/>
            </w:tcBorders>
            <w:hideMark/>
          </w:tcPr>
          <w:p w14:paraId="208709F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9FC"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9FD" w14:textId="77777777" w:rsidR="00802D3E" w:rsidRDefault="00802D3E">
            <w:pPr>
              <w:pStyle w:val="MeasureTableTextItalic"/>
            </w:pPr>
          </w:p>
        </w:tc>
        <w:tc>
          <w:tcPr>
            <w:tcW w:w="1124" w:type="dxa"/>
            <w:gridSpan w:val="2"/>
            <w:tcBorders>
              <w:top w:val="nil"/>
              <w:left w:val="nil"/>
              <w:bottom w:val="nil"/>
              <w:right w:val="nil"/>
            </w:tcBorders>
          </w:tcPr>
          <w:p w14:paraId="208709FE" w14:textId="77777777" w:rsidR="00802D3E" w:rsidRDefault="00802D3E">
            <w:pPr>
              <w:pStyle w:val="MeasureTableTextLeftAligned"/>
            </w:pPr>
          </w:p>
        </w:tc>
      </w:tr>
      <w:tr w:rsidR="00802D3E" w14:paraId="20870A04" w14:textId="77777777" w:rsidTr="00802D3E">
        <w:trPr>
          <w:cantSplit/>
          <w:jc w:val="center"/>
        </w:trPr>
        <w:tc>
          <w:tcPr>
            <w:tcW w:w="1934" w:type="dxa"/>
            <w:gridSpan w:val="2"/>
            <w:tcBorders>
              <w:top w:val="nil"/>
              <w:left w:val="nil"/>
              <w:bottom w:val="nil"/>
              <w:right w:val="nil"/>
            </w:tcBorders>
            <w:hideMark/>
          </w:tcPr>
          <w:p w14:paraId="20870A0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A01" w14:textId="77777777" w:rsidR="00802D3E" w:rsidRDefault="00802D3E">
            <w:pPr>
              <w:pStyle w:val="MeasureTableTextLeftAligned"/>
            </w:pPr>
            <w:r>
              <w:t>15 March 1956</w:t>
            </w:r>
          </w:p>
        </w:tc>
        <w:tc>
          <w:tcPr>
            <w:tcW w:w="1500" w:type="dxa"/>
            <w:gridSpan w:val="2"/>
            <w:tcBorders>
              <w:top w:val="nil"/>
              <w:left w:val="nil"/>
              <w:bottom w:val="nil"/>
              <w:right w:val="nil"/>
            </w:tcBorders>
            <w:hideMark/>
          </w:tcPr>
          <w:p w14:paraId="20870A02"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A03" w14:textId="77777777" w:rsidR="00802D3E" w:rsidRDefault="00802D3E">
            <w:pPr>
              <w:pStyle w:val="MeasureTableTextLeftAligned"/>
            </w:pPr>
          </w:p>
        </w:tc>
      </w:tr>
      <w:tr w:rsidR="00802D3E" w14:paraId="20870A07" w14:textId="77777777" w:rsidTr="00802D3E">
        <w:trPr>
          <w:cantSplit/>
          <w:jc w:val="center"/>
        </w:trPr>
        <w:tc>
          <w:tcPr>
            <w:tcW w:w="1934" w:type="dxa"/>
            <w:gridSpan w:val="2"/>
            <w:tcBorders>
              <w:top w:val="nil"/>
              <w:left w:val="nil"/>
              <w:bottom w:val="single" w:sz="2" w:space="0" w:color="auto"/>
              <w:right w:val="nil"/>
            </w:tcBorders>
            <w:hideMark/>
          </w:tcPr>
          <w:p w14:paraId="20870A0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A06"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Item 10 of the Schedule to the </w:t>
            </w:r>
            <w:r>
              <w:rPr>
                <w:rFonts w:ascii="Arial" w:hAnsi="Arial" w:cs="Arial"/>
                <w:i/>
                <w:iCs/>
                <w:color w:val="000000"/>
                <w:sz w:val="16"/>
                <w:szCs w:val="16"/>
              </w:rPr>
              <w:t>Excise Tariff Act 1921</w:t>
            </w:r>
          </w:p>
        </w:tc>
      </w:tr>
    </w:tbl>
    <w:p w14:paraId="20870A08" w14:textId="77777777" w:rsidR="00802D3E" w:rsidRPr="000D700A" w:rsidRDefault="00802D3E" w:rsidP="00A109BC">
      <w:pPr>
        <w:pStyle w:val="SingleParagraph"/>
        <w:rPr>
          <w:sz w:val="14"/>
        </w:rPr>
      </w:pPr>
    </w:p>
    <w:p w14:paraId="20870A09" w14:textId="77777777" w:rsidR="00802D3E" w:rsidRDefault="00802D3E" w:rsidP="00802D3E">
      <w:r>
        <w:t>Aviation gasoline</w:t>
      </w:r>
      <w:r>
        <w:fldChar w:fldCharType="begin"/>
      </w:r>
      <w:r>
        <w:instrText xml:space="preserve"> XE "Fuels:Aviation gasoline" </w:instrText>
      </w:r>
      <w:r>
        <w:fldChar w:fldCharType="end"/>
      </w:r>
      <w:r>
        <w:t xml:space="preserve"> and aviation turbine fuel</w:t>
      </w:r>
      <w:r>
        <w:fldChar w:fldCharType="begin"/>
      </w:r>
      <w:r>
        <w:instrText xml:space="preserve"> XE "Fuels:Aviation turbine fuel" </w:instrText>
      </w:r>
      <w:r>
        <w:fldChar w:fldCharType="end"/>
      </w:r>
      <w:r>
        <w:t xml:space="preserve"> are subject to a lower rate of excise than the benchmark rate. From 1 July 2012 to 30 June 2014, the excise rate included a ‘carbon component rate’, which was determined by the emission factor of each fuel and the carbon price. The inclusion of a carbon component of excise reduced the value of the concessional rate of excise. From 1 July 2014, the value of the concession increased due to the removal of the carbon component. </w:t>
      </w:r>
    </w:p>
    <w:p w14:paraId="20870A0A" w14:textId="77777777" w:rsidR="00802D3E" w:rsidRDefault="00802D3E" w:rsidP="00802D3E">
      <w:pPr>
        <w:pStyle w:val="TESHeading5"/>
        <w:ind w:left="0" w:firstLine="0"/>
      </w:pPr>
      <w:r>
        <w:t>F8</w:t>
      </w:r>
      <w:r>
        <w:tab/>
        <w:t>Excise concessions for 'alternative fuels'</w:t>
      </w:r>
    </w:p>
    <w:p w14:paraId="20870A0B" w14:textId="77777777" w:rsidR="00802D3E" w:rsidRDefault="00802D3E" w:rsidP="00802D3E">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A14" w14:textId="77777777" w:rsidTr="00802D3E">
        <w:trPr>
          <w:cantSplit/>
          <w:jc w:val="center"/>
        </w:trPr>
        <w:tc>
          <w:tcPr>
            <w:tcW w:w="967" w:type="dxa"/>
            <w:tcBorders>
              <w:top w:val="single" w:sz="2" w:space="0" w:color="auto"/>
              <w:left w:val="nil"/>
              <w:bottom w:val="single" w:sz="2" w:space="0" w:color="auto"/>
              <w:right w:val="nil"/>
            </w:tcBorders>
            <w:hideMark/>
          </w:tcPr>
          <w:p w14:paraId="20870A0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A0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A0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A0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A1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A1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A1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A13" w14:textId="77777777" w:rsidR="00802D3E" w:rsidRDefault="00802D3E">
            <w:pPr>
              <w:pStyle w:val="MeasureTableTextRightAligned"/>
            </w:pPr>
            <w:r>
              <w:t>2019-20</w:t>
            </w:r>
          </w:p>
        </w:tc>
      </w:tr>
      <w:tr w:rsidR="00802D3E" w14:paraId="20870A1D" w14:textId="77777777" w:rsidTr="00802D3E">
        <w:trPr>
          <w:cantSplit/>
          <w:jc w:val="center"/>
        </w:trPr>
        <w:tc>
          <w:tcPr>
            <w:tcW w:w="967" w:type="dxa"/>
            <w:tcBorders>
              <w:top w:val="single" w:sz="2" w:space="0" w:color="auto"/>
              <w:left w:val="nil"/>
              <w:bottom w:val="single" w:sz="2" w:space="0" w:color="auto"/>
              <w:right w:val="nil"/>
            </w:tcBorders>
            <w:hideMark/>
          </w:tcPr>
          <w:p w14:paraId="20870A15" w14:textId="77777777" w:rsidR="00802D3E" w:rsidRDefault="00802D3E">
            <w:pPr>
              <w:pStyle w:val="MeasureTableTextRightAligned"/>
            </w:pPr>
            <w:r>
              <w:t>550</w:t>
            </w:r>
          </w:p>
        </w:tc>
        <w:tc>
          <w:tcPr>
            <w:tcW w:w="967" w:type="dxa"/>
            <w:tcBorders>
              <w:top w:val="single" w:sz="2" w:space="0" w:color="auto"/>
              <w:left w:val="nil"/>
              <w:bottom w:val="single" w:sz="2" w:space="0" w:color="auto"/>
              <w:right w:val="nil"/>
            </w:tcBorders>
            <w:hideMark/>
          </w:tcPr>
          <w:p w14:paraId="20870A16" w14:textId="77777777" w:rsidR="00802D3E" w:rsidRDefault="00802D3E">
            <w:pPr>
              <w:pStyle w:val="MeasureTableTextRightAligned"/>
            </w:pPr>
            <w:r>
              <w:t>340</w:t>
            </w:r>
          </w:p>
        </w:tc>
        <w:tc>
          <w:tcPr>
            <w:tcW w:w="967" w:type="dxa"/>
            <w:tcBorders>
              <w:top w:val="single" w:sz="2" w:space="0" w:color="auto"/>
              <w:left w:val="nil"/>
              <w:bottom w:val="single" w:sz="2" w:space="0" w:color="auto"/>
              <w:right w:val="nil"/>
            </w:tcBorders>
            <w:vAlign w:val="bottom"/>
            <w:hideMark/>
          </w:tcPr>
          <w:p w14:paraId="20870A17" w14:textId="77777777" w:rsidR="00802D3E" w:rsidRDefault="00802D3E">
            <w:pPr>
              <w:pStyle w:val="MeasureTableTextRightAligned"/>
            </w:pPr>
            <w:r>
              <w:t>270</w:t>
            </w:r>
          </w:p>
        </w:tc>
        <w:tc>
          <w:tcPr>
            <w:tcW w:w="967" w:type="dxa"/>
            <w:tcBorders>
              <w:top w:val="single" w:sz="2" w:space="0" w:color="auto"/>
              <w:left w:val="nil"/>
              <w:bottom w:val="single" w:sz="2" w:space="0" w:color="auto"/>
              <w:right w:val="nil"/>
            </w:tcBorders>
            <w:vAlign w:val="bottom"/>
            <w:hideMark/>
          </w:tcPr>
          <w:p w14:paraId="20870A18" w14:textId="77777777" w:rsidR="00802D3E" w:rsidRDefault="00802D3E">
            <w:pPr>
              <w:pStyle w:val="MeasureTableTextRightAligned"/>
            </w:pPr>
            <w:r>
              <w:t>240</w:t>
            </w:r>
          </w:p>
        </w:tc>
        <w:tc>
          <w:tcPr>
            <w:tcW w:w="967" w:type="dxa"/>
            <w:tcBorders>
              <w:top w:val="single" w:sz="2" w:space="0" w:color="auto"/>
              <w:left w:val="nil"/>
              <w:bottom w:val="single" w:sz="2" w:space="0" w:color="auto"/>
              <w:right w:val="nil"/>
            </w:tcBorders>
            <w:vAlign w:val="bottom"/>
            <w:hideMark/>
          </w:tcPr>
          <w:p w14:paraId="20870A19" w14:textId="77777777" w:rsidR="00802D3E" w:rsidRDefault="00802D3E">
            <w:pPr>
              <w:pStyle w:val="MeasureTableTextRightAligned"/>
            </w:pPr>
            <w:r>
              <w:t>220</w:t>
            </w:r>
          </w:p>
        </w:tc>
        <w:tc>
          <w:tcPr>
            <w:tcW w:w="967" w:type="dxa"/>
            <w:gridSpan w:val="2"/>
            <w:tcBorders>
              <w:top w:val="single" w:sz="2" w:space="0" w:color="auto"/>
              <w:left w:val="nil"/>
              <w:bottom w:val="single" w:sz="2" w:space="0" w:color="auto"/>
              <w:right w:val="nil"/>
            </w:tcBorders>
            <w:vAlign w:val="bottom"/>
            <w:hideMark/>
          </w:tcPr>
          <w:p w14:paraId="20870A1A" w14:textId="77777777" w:rsidR="00802D3E" w:rsidRDefault="00802D3E">
            <w:pPr>
              <w:pStyle w:val="MeasureTableTextRightAligned"/>
            </w:pPr>
            <w:r>
              <w:t>220</w:t>
            </w:r>
          </w:p>
        </w:tc>
        <w:tc>
          <w:tcPr>
            <w:tcW w:w="967" w:type="dxa"/>
            <w:gridSpan w:val="2"/>
            <w:tcBorders>
              <w:top w:val="single" w:sz="2" w:space="0" w:color="auto"/>
              <w:left w:val="nil"/>
              <w:bottom w:val="single" w:sz="2" w:space="0" w:color="auto"/>
              <w:right w:val="nil"/>
            </w:tcBorders>
            <w:vAlign w:val="bottom"/>
            <w:hideMark/>
          </w:tcPr>
          <w:p w14:paraId="20870A1B" w14:textId="77777777" w:rsidR="00802D3E" w:rsidRDefault="00802D3E">
            <w:pPr>
              <w:pStyle w:val="MeasureTableTextRightAligned"/>
            </w:pPr>
            <w:r>
              <w:t>230</w:t>
            </w:r>
          </w:p>
        </w:tc>
        <w:tc>
          <w:tcPr>
            <w:tcW w:w="968" w:type="dxa"/>
            <w:tcBorders>
              <w:top w:val="single" w:sz="2" w:space="0" w:color="auto"/>
              <w:left w:val="nil"/>
              <w:bottom w:val="single" w:sz="2" w:space="0" w:color="auto"/>
              <w:right w:val="nil"/>
            </w:tcBorders>
            <w:vAlign w:val="bottom"/>
            <w:hideMark/>
          </w:tcPr>
          <w:p w14:paraId="20870A1C" w14:textId="77777777" w:rsidR="00802D3E" w:rsidRDefault="00802D3E">
            <w:pPr>
              <w:pStyle w:val="MeasureTableTextRightAligned"/>
            </w:pPr>
            <w:r>
              <w:t>240</w:t>
            </w:r>
          </w:p>
        </w:tc>
      </w:tr>
      <w:tr w:rsidR="00802D3E" w14:paraId="20870A22" w14:textId="77777777" w:rsidTr="00802D3E">
        <w:trPr>
          <w:cantSplit/>
          <w:jc w:val="center"/>
        </w:trPr>
        <w:tc>
          <w:tcPr>
            <w:tcW w:w="1934" w:type="dxa"/>
            <w:gridSpan w:val="2"/>
            <w:tcBorders>
              <w:top w:val="single" w:sz="2" w:space="0" w:color="auto"/>
              <w:left w:val="nil"/>
              <w:bottom w:val="nil"/>
              <w:right w:val="nil"/>
            </w:tcBorders>
            <w:hideMark/>
          </w:tcPr>
          <w:p w14:paraId="20870A1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A1F" w14:textId="77777777" w:rsidR="00802D3E" w:rsidRDefault="00802D3E">
            <w:pPr>
              <w:pStyle w:val="MeasureTableTextLeftAligned"/>
            </w:pPr>
            <w:r>
              <w:t>Concessional rate, Increased rate</w:t>
            </w:r>
          </w:p>
        </w:tc>
        <w:tc>
          <w:tcPr>
            <w:tcW w:w="1500" w:type="dxa"/>
            <w:gridSpan w:val="2"/>
            <w:tcBorders>
              <w:top w:val="single" w:sz="2" w:space="0" w:color="auto"/>
              <w:left w:val="nil"/>
              <w:bottom w:val="nil"/>
              <w:right w:val="nil"/>
            </w:tcBorders>
            <w:hideMark/>
          </w:tcPr>
          <w:p w14:paraId="20870A2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A21" w14:textId="77777777" w:rsidR="00802D3E" w:rsidRDefault="00802D3E">
            <w:pPr>
              <w:pStyle w:val="MeasureTableTextLeftAligned"/>
            </w:pPr>
            <w:r>
              <w:t>F8</w:t>
            </w:r>
          </w:p>
        </w:tc>
      </w:tr>
      <w:tr w:rsidR="00802D3E" w14:paraId="20870A27" w14:textId="77777777" w:rsidTr="00802D3E">
        <w:trPr>
          <w:cantSplit/>
          <w:jc w:val="center"/>
        </w:trPr>
        <w:tc>
          <w:tcPr>
            <w:tcW w:w="1934" w:type="dxa"/>
            <w:gridSpan w:val="2"/>
            <w:tcBorders>
              <w:top w:val="nil"/>
              <w:left w:val="nil"/>
              <w:bottom w:val="nil"/>
              <w:right w:val="nil"/>
            </w:tcBorders>
            <w:hideMark/>
          </w:tcPr>
          <w:p w14:paraId="20870A2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A24" w14:textId="77777777" w:rsidR="00802D3E" w:rsidRDefault="00802D3E">
            <w:pPr>
              <w:pStyle w:val="MeasureTableTextLeftAligned"/>
            </w:pPr>
            <w:r>
              <w:t>Low</w:t>
            </w:r>
          </w:p>
        </w:tc>
        <w:tc>
          <w:tcPr>
            <w:tcW w:w="1500" w:type="dxa"/>
            <w:gridSpan w:val="2"/>
            <w:tcBorders>
              <w:top w:val="nil"/>
              <w:left w:val="nil"/>
              <w:bottom w:val="nil"/>
              <w:right w:val="nil"/>
            </w:tcBorders>
          </w:tcPr>
          <w:p w14:paraId="20870A25" w14:textId="77777777" w:rsidR="00802D3E" w:rsidRDefault="00802D3E">
            <w:pPr>
              <w:pStyle w:val="MeasureTableTextItalic"/>
            </w:pPr>
          </w:p>
        </w:tc>
        <w:tc>
          <w:tcPr>
            <w:tcW w:w="1124" w:type="dxa"/>
            <w:gridSpan w:val="2"/>
            <w:tcBorders>
              <w:top w:val="nil"/>
              <w:left w:val="nil"/>
              <w:bottom w:val="nil"/>
              <w:right w:val="nil"/>
            </w:tcBorders>
          </w:tcPr>
          <w:p w14:paraId="20870A26" w14:textId="77777777" w:rsidR="00802D3E" w:rsidRDefault="00802D3E">
            <w:pPr>
              <w:pStyle w:val="MeasureTableTextLeftAligned"/>
            </w:pPr>
          </w:p>
        </w:tc>
      </w:tr>
      <w:tr w:rsidR="00802D3E" w14:paraId="20870A2C" w14:textId="77777777" w:rsidTr="00802D3E">
        <w:trPr>
          <w:cantSplit/>
          <w:jc w:val="center"/>
        </w:trPr>
        <w:tc>
          <w:tcPr>
            <w:tcW w:w="1934" w:type="dxa"/>
            <w:gridSpan w:val="2"/>
            <w:tcBorders>
              <w:top w:val="nil"/>
              <w:left w:val="nil"/>
              <w:bottom w:val="nil"/>
              <w:right w:val="nil"/>
            </w:tcBorders>
            <w:hideMark/>
          </w:tcPr>
          <w:p w14:paraId="20870A2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A29" w14:textId="77777777" w:rsidR="00802D3E" w:rsidRDefault="00802D3E">
            <w:pPr>
              <w:pStyle w:val="MeasureTableTextLeftAligned"/>
            </w:pPr>
            <w:r>
              <w:t>1985</w:t>
            </w:r>
          </w:p>
        </w:tc>
        <w:tc>
          <w:tcPr>
            <w:tcW w:w="1500" w:type="dxa"/>
            <w:gridSpan w:val="2"/>
            <w:tcBorders>
              <w:top w:val="nil"/>
              <w:left w:val="nil"/>
              <w:bottom w:val="nil"/>
              <w:right w:val="nil"/>
            </w:tcBorders>
            <w:hideMark/>
          </w:tcPr>
          <w:p w14:paraId="20870A2A"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A2B" w14:textId="77777777" w:rsidR="00802D3E" w:rsidRDefault="00802D3E">
            <w:pPr>
              <w:pStyle w:val="MeasureTableTextLeftAligned"/>
            </w:pPr>
          </w:p>
        </w:tc>
      </w:tr>
      <w:tr w:rsidR="00802D3E" w14:paraId="20870A2F" w14:textId="77777777" w:rsidTr="00802D3E">
        <w:trPr>
          <w:cantSplit/>
          <w:jc w:val="center"/>
        </w:trPr>
        <w:tc>
          <w:tcPr>
            <w:tcW w:w="1934" w:type="dxa"/>
            <w:gridSpan w:val="2"/>
            <w:tcBorders>
              <w:top w:val="nil"/>
              <w:left w:val="nil"/>
              <w:bottom w:val="single" w:sz="2" w:space="0" w:color="auto"/>
              <w:right w:val="nil"/>
            </w:tcBorders>
            <w:hideMark/>
          </w:tcPr>
          <w:p w14:paraId="20870A2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A2E" w14:textId="77777777" w:rsidR="00802D3E" w:rsidRDefault="00802D3E" w:rsidP="00106337">
            <w:pPr>
              <w:widowControl w:val="0"/>
              <w:autoSpaceDE w:val="0"/>
              <w:autoSpaceDN w:val="0"/>
              <w:adjustRightInd w:val="0"/>
              <w:spacing w:after="0" w:line="240" w:lineRule="auto"/>
              <w:jc w:val="left"/>
            </w:pPr>
            <w:r>
              <w:rPr>
                <w:rFonts w:ascii="Arial" w:hAnsi="Arial" w:cs="Arial"/>
                <w:i/>
                <w:iCs/>
                <w:color w:val="000000"/>
                <w:sz w:val="16"/>
                <w:szCs w:val="16"/>
              </w:rPr>
              <w:t>Excise Tariff Act 1921</w:t>
            </w:r>
          </w:p>
        </w:tc>
      </w:tr>
    </w:tbl>
    <w:p w14:paraId="20870A30" w14:textId="77777777" w:rsidR="00802D3E" w:rsidRPr="000D700A" w:rsidRDefault="00802D3E" w:rsidP="00A109BC">
      <w:pPr>
        <w:pStyle w:val="SingleParagraph"/>
        <w:rPr>
          <w:sz w:val="14"/>
        </w:rPr>
      </w:pPr>
    </w:p>
    <w:p w14:paraId="20870A31" w14:textId="77777777" w:rsidR="00802D3E" w:rsidRDefault="00802D3E" w:rsidP="00802D3E">
      <w:r>
        <w:t>‘Alternative’ fuels includes ethanol, biodiesel, liquefied petroleum gas (LPG), liquefied natural gas (LNG) and compressed natural gas (CNG). These fuels are subject to rates of duty which are lower than the benchmark rates</w:t>
      </w:r>
      <w:r>
        <w:fldChar w:fldCharType="begin"/>
      </w:r>
      <w:r>
        <w:instrText xml:space="preserve"> XE "Fuels:Alternative transport fuels" </w:instrText>
      </w:r>
      <w:r>
        <w:fldChar w:fldCharType="end"/>
      </w:r>
      <w:r>
        <w:t>. The benchmark rates vary depending on the fuels’ energy content relative to petrol and diesel. The difference between the actual rate of duty and the benchmark rate for each fuel gives rise to the tax expenditure.</w:t>
      </w:r>
    </w:p>
    <w:p w14:paraId="20870A32" w14:textId="77777777" w:rsidR="00802D3E" w:rsidRDefault="00802D3E" w:rsidP="00802D3E">
      <w:r>
        <w:lastRenderedPageBreak/>
        <w:t>From 1 July 2015, domestically produced ethanol and biodiesel had their rates of duty reduced to zero. Each 1 July thereafter, domestically produced ethanol will have its rate of duty increased (in addition to indexation) until the 2020-2021 financial year, when the excise rate for ethanol will be approximately 33 per cent of the excise rate for petrol. This will be 50 per cent of ethanol’s benchmark rate.</w:t>
      </w:r>
    </w:p>
    <w:p w14:paraId="20870A33" w14:textId="77777777" w:rsidR="00802D3E" w:rsidRDefault="00802D3E" w:rsidP="00802D3E">
      <w:r>
        <w:t xml:space="preserve">Domestically produced biodiesel will have its rate of duty increased (in addition to indexation) until the 2030-2031 financial year, when the excise rate for biodiesel will be approximately 50 per cent of the excise rate for diesel. </w:t>
      </w:r>
    </w:p>
    <w:p w14:paraId="20870A34" w14:textId="77777777" w:rsidR="00802D3E" w:rsidRDefault="00802D3E" w:rsidP="00802D3E">
      <w:r>
        <w:t xml:space="preserve">Since 1 July 2015, the rates of duty on LPG, LNG and CNG have been 50 per cent of each fuel’s respective benchmark rate. </w:t>
      </w:r>
    </w:p>
    <w:p w14:paraId="20870A35" w14:textId="6D239FF5" w:rsidR="00802D3E" w:rsidRDefault="00802D3E" w:rsidP="00802D3E">
      <w:r>
        <w:t xml:space="preserve">Users of small, non-commercial scale, domestically-based compressed natural gas </w:t>
      </w:r>
      <w:proofErr w:type="spellStart"/>
      <w:r>
        <w:t>refuellers</w:t>
      </w:r>
      <w:proofErr w:type="spellEnd"/>
      <w:r>
        <w:t xml:space="preserve"> are exempt from paying excise duty on compressed natural gas used to fuel their vehicles. </w:t>
      </w:r>
    </w:p>
    <w:p w14:paraId="20870A36" w14:textId="77777777" w:rsidR="00802D3E" w:rsidRDefault="00802D3E" w:rsidP="00802D3E">
      <w:pPr>
        <w:pStyle w:val="TESHeading5"/>
        <w:ind w:left="0" w:firstLine="0"/>
      </w:pPr>
      <w:r>
        <w:t>F9</w:t>
      </w:r>
      <w:r>
        <w:tab/>
        <w:t>Excise levied on fuel oil, heating oil and kerosene</w:t>
      </w:r>
    </w:p>
    <w:p w14:paraId="20870A37" w14:textId="77777777" w:rsidR="00802D3E" w:rsidRDefault="00802D3E" w:rsidP="00802D3E">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A40" w14:textId="77777777" w:rsidTr="00802D3E">
        <w:trPr>
          <w:cantSplit/>
          <w:jc w:val="center"/>
        </w:trPr>
        <w:tc>
          <w:tcPr>
            <w:tcW w:w="967" w:type="dxa"/>
            <w:tcBorders>
              <w:top w:val="single" w:sz="2" w:space="0" w:color="auto"/>
              <w:left w:val="nil"/>
              <w:bottom w:val="single" w:sz="2" w:space="0" w:color="auto"/>
              <w:right w:val="nil"/>
            </w:tcBorders>
            <w:hideMark/>
          </w:tcPr>
          <w:p w14:paraId="20870A3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A3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A3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A3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A3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A3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A3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A3F" w14:textId="77777777" w:rsidR="00802D3E" w:rsidRDefault="00802D3E">
            <w:pPr>
              <w:pStyle w:val="MeasureTableTextRightAligned"/>
            </w:pPr>
            <w:r>
              <w:t>2019-20</w:t>
            </w:r>
          </w:p>
        </w:tc>
      </w:tr>
      <w:tr w:rsidR="00802D3E" w14:paraId="20870A49" w14:textId="77777777" w:rsidTr="00802D3E">
        <w:trPr>
          <w:cantSplit/>
          <w:jc w:val="center"/>
        </w:trPr>
        <w:tc>
          <w:tcPr>
            <w:tcW w:w="967" w:type="dxa"/>
            <w:tcBorders>
              <w:top w:val="single" w:sz="2" w:space="0" w:color="auto"/>
              <w:left w:val="nil"/>
              <w:bottom w:val="single" w:sz="2" w:space="0" w:color="auto"/>
              <w:right w:val="nil"/>
            </w:tcBorders>
            <w:hideMark/>
          </w:tcPr>
          <w:p w14:paraId="20870A41" w14:textId="77777777" w:rsidR="00802D3E" w:rsidRDefault="00802D3E">
            <w:pPr>
              <w:pStyle w:val="MeasureTableTextRightAligned"/>
            </w:pPr>
            <w:r>
              <w:t>-490</w:t>
            </w:r>
          </w:p>
        </w:tc>
        <w:tc>
          <w:tcPr>
            <w:tcW w:w="967" w:type="dxa"/>
            <w:tcBorders>
              <w:top w:val="single" w:sz="2" w:space="0" w:color="auto"/>
              <w:left w:val="nil"/>
              <w:bottom w:val="single" w:sz="2" w:space="0" w:color="auto"/>
              <w:right w:val="nil"/>
            </w:tcBorders>
            <w:hideMark/>
          </w:tcPr>
          <w:p w14:paraId="20870A42" w14:textId="77777777" w:rsidR="00802D3E" w:rsidRDefault="00802D3E">
            <w:pPr>
              <w:pStyle w:val="MeasureTableTextRightAligned"/>
            </w:pPr>
            <w:r>
              <w:t>-440</w:t>
            </w:r>
          </w:p>
        </w:tc>
        <w:tc>
          <w:tcPr>
            <w:tcW w:w="967" w:type="dxa"/>
            <w:tcBorders>
              <w:top w:val="single" w:sz="2" w:space="0" w:color="auto"/>
              <w:left w:val="nil"/>
              <w:bottom w:val="single" w:sz="2" w:space="0" w:color="auto"/>
              <w:right w:val="nil"/>
            </w:tcBorders>
            <w:vAlign w:val="bottom"/>
            <w:hideMark/>
          </w:tcPr>
          <w:p w14:paraId="20870A43" w14:textId="77777777" w:rsidR="00802D3E" w:rsidRDefault="00802D3E">
            <w:pPr>
              <w:pStyle w:val="MeasureTableTextRightAligned"/>
            </w:pPr>
            <w:r>
              <w:t>-250</w:t>
            </w:r>
          </w:p>
        </w:tc>
        <w:tc>
          <w:tcPr>
            <w:tcW w:w="967" w:type="dxa"/>
            <w:tcBorders>
              <w:top w:val="single" w:sz="2" w:space="0" w:color="auto"/>
              <w:left w:val="nil"/>
              <w:bottom w:val="single" w:sz="2" w:space="0" w:color="auto"/>
              <w:right w:val="nil"/>
            </w:tcBorders>
            <w:vAlign w:val="bottom"/>
            <w:hideMark/>
          </w:tcPr>
          <w:p w14:paraId="20870A44" w14:textId="77777777" w:rsidR="00802D3E" w:rsidRDefault="00802D3E">
            <w:pPr>
              <w:pStyle w:val="MeasureTableTextRightAligned"/>
            </w:pPr>
            <w:r>
              <w:t>-190</w:t>
            </w:r>
          </w:p>
        </w:tc>
        <w:tc>
          <w:tcPr>
            <w:tcW w:w="967" w:type="dxa"/>
            <w:tcBorders>
              <w:top w:val="single" w:sz="2" w:space="0" w:color="auto"/>
              <w:left w:val="nil"/>
              <w:bottom w:val="single" w:sz="2" w:space="0" w:color="auto"/>
              <w:right w:val="nil"/>
            </w:tcBorders>
            <w:vAlign w:val="bottom"/>
            <w:hideMark/>
          </w:tcPr>
          <w:p w14:paraId="20870A45" w14:textId="77777777" w:rsidR="00802D3E" w:rsidRDefault="00802D3E">
            <w:pPr>
              <w:pStyle w:val="MeasureTableTextRightAligned"/>
            </w:pPr>
            <w:r>
              <w:t>-165</w:t>
            </w:r>
          </w:p>
        </w:tc>
        <w:tc>
          <w:tcPr>
            <w:tcW w:w="967" w:type="dxa"/>
            <w:gridSpan w:val="2"/>
            <w:tcBorders>
              <w:top w:val="single" w:sz="2" w:space="0" w:color="auto"/>
              <w:left w:val="nil"/>
              <w:bottom w:val="single" w:sz="2" w:space="0" w:color="auto"/>
              <w:right w:val="nil"/>
            </w:tcBorders>
            <w:vAlign w:val="bottom"/>
            <w:hideMark/>
          </w:tcPr>
          <w:p w14:paraId="20870A46" w14:textId="77777777" w:rsidR="00802D3E" w:rsidRDefault="00802D3E">
            <w:pPr>
              <w:pStyle w:val="MeasureTableTextRightAligned"/>
            </w:pPr>
            <w:r>
              <w:t>-175</w:t>
            </w:r>
          </w:p>
        </w:tc>
        <w:tc>
          <w:tcPr>
            <w:tcW w:w="967" w:type="dxa"/>
            <w:gridSpan w:val="2"/>
            <w:tcBorders>
              <w:top w:val="single" w:sz="2" w:space="0" w:color="auto"/>
              <w:left w:val="nil"/>
              <w:bottom w:val="single" w:sz="2" w:space="0" w:color="auto"/>
              <w:right w:val="nil"/>
            </w:tcBorders>
            <w:vAlign w:val="bottom"/>
            <w:hideMark/>
          </w:tcPr>
          <w:p w14:paraId="20870A47" w14:textId="77777777" w:rsidR="00802D3E" w:rsidRDefault="00802D3E">
            <w:pPr>
              <w:pStyle w:val="MeasureTableTextRightAligned"/>
            </w:pPr>
            <w:r>
              <w:t>-185</w:t>
            </w:r>
          </w:p>
        </w:tc>
        <w:tc>
          <w:tcPr>
            <w:tcW w:w="968" w:type="dxa"/>
            <w:tcBorders>
              <w:top w:val="single" w:sz="2" w:space="0" w:color="auto"/>
              <w:left w:val="nil"/>
              <w:bottom w:val="single" w:sz="2" w:space="0" w:color="auto"/>
              <w:right w:val="nil"/>
            </w:tcBorders>
            <w:vAlign w:val="bottom"/>
            <w:hideMark/>
          </w:tcPr>
          <w:p w14:paraId="20870A48" w14:textId="77777777" w:rsidR="00802D3E" w:rsidRDefault="00802D3E">
            <w:pPr>
              <w:pStyle w:val="MeasureTableTextRightAligned"/>
            </w:pPr>
            <w:r>
              <w:t>-200</w:t>
            </w:r>
          </w:p>
        </w:tc>
      </w:tr>
      <w:tr w:rsidR="00802D3E" w14:paraId="20870A4E" w14:textId="77777777" w:rsidTr="00802D3E">
        <w:trPr>
          <w:cantSplit/>
          <w:jc w:val="center"/>
        </w:trPr>
        <w:tc>
          <w:tcPr>
            <w:tcW w:w="1934" w:type="dxa"/>
            <w:gridSpan w:val="2"/>
            <w:tcBorders>
              <w:top w:val="single" w:sz="2" w:space="0" w:color="auto"/>
              <w:left w:val="nil"/>
              <w:bottom w:val="nil"/>
              <w:right w:val="nil"/>
            </w:tcBorders>
            <w:hideMark/>
          </w:tcPr>
          <w:p w14:paraId="20870A4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A4B" w14:textId="77777777" w:rsidR="00802D3E" w:rsidRDefault="00802D3E">
            <w:pPr>
              <w:pStyle w:val="MeasureTableTextLeftAligned"/>
            </w:pPr>
            <w:r>
              <w:t>Increased rate</w:t>
            </w:r>
          </w:p>
        </w:tc>
        <w:tc>
          <w:tcPr>
            <w:tcW w:w="1500" w:type="dxa"/>
            <w:gridSpan w:val="2"/>
            <w:tcBorders>
              <w:top w:val="single" w:sz="2" w:space="0" w:color="auto"/>
              <w:left w:val="nil"/>
              <w:bottom w:val="nil"/>
              <w:right w:val="nil"/>
            </w:tcBorders>
            <w:hideMark/>
          </w:tcPr>
          <w:p w14:paraId="20870A4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A4D" w14:textId="77777777" w:rsidR="00802D3E" w:rsidRDefault="00802D3E">
            <w:pPr>
              <w:pStyle w:val="MeasureTableTextLeftAligned"/>
            </w:pPr>
            <w:r>
              <w:t>F9</w:t>
            </w:r>
          </w:p>
        </w:tc>
      </w:tr>
      <w:tr w:rsidR="00802D3E" w14:paraId="20870A53" w14:textId="77777777" w:rsidTr="00802D3E">
        <w:trPr>
          <w:cantSplit/>
          <w:jc w:val="center"/>
        </w:trPr>
        <w:tc>
          <w:tcPr>
            <w:tcW w:w="1934" w:type="dxa"/>
            <w:gridSpan w:val="2"/>
            <w:tcBorders>
              <w:top w:val="nil"/>
              <w:left w:val="nil"/>
              <w:bottom w:val="nil"/>
              <w:right w:val="nil"/>
            </w:tcBorders>
            <w:hideMark/>
          </w:tcPr>
          <w:p w14:paraId="20870A4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A50"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70A51" w14:textId="77777777" w:rsidR="00802D3E" w:rsidRDefault="00802D3E">
            <w:pPr>
              <w:pStyle w:val="MeasureTableTextItalic"/>
            </w:pPr>
          </w:p>
        </w:tc>
        <w:tc>
          <w:tcPr>
            <w:tcW w:w="1124" w:type="dxa"/>
            <w:gridSpan w:val="2"/>
            <w:tcBorders>
              <w:top w:val="nil"/>
              <w:left w:val="nil"/>
              <w:bottom w:val="nil"/>
              <w:right w:val="nil"/>
            </w:tcBorders>
          </w:tcPr>
          <w:p w14:paraId="20870A52" w14:textId="77777777" w:rsidR="00802D3E" w:rsidRDefault="00802D3E">
            <w:pPr>
              <w:pStyle w:val="MeasureTableTextLeftAligned"/>
            </w:pPr>
          </w:p>
        </w:tc>
      </w:tr>
      <w:tr w:rsidR="00802D3E" w14:paraId="20870A58" w14:textId="77777777" w:rsidTr="00802D3E">
        <w:trPr>
          <w:cantSplit/>
          <w:jc w:val="center"/>
        </w:trPr>
        <w:tc>
          <w:tcPr>
            <w:tcW w:w="1934" w:type="dxa"/>
            <w:gridSpan w:val="2"/>
            <w:tcBorders>
              <w:top w:val="nil"/>
              <w:left w:val="nil"/>
              <w:bottom w:val="nil"/>
              <w:right w:val="nil"/>
            </w:tcBorders>
            <w:hideMark/>
          </w:tcPr>
          <w:p w14:paraId="20870A5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A55" w14:textId="77777777" w:rsidR="00802D3E" w:rsidRDefault="00802D3E">
            <w:pPr>
              <w:pStyle w:val="MeasureTableTextLeftAligned"/>
            </w:pPr>
            <w:r>
              <w:t>1983</w:t>
            </w:r>
          </w:p>
        </w:tc>
        <w:tc>
          <w:tcPr>
            <w:tcW w:w="1500" w:type="dxa"/>
            <w:gridSpan w:val="2"/>
            <w:tcBorders>
              <w:top w:val="nil"/>
              <w:left w:val="nil"/>
              <w:bottom w:val="nil"/>
              <w:right w:val="nil"/>
            </w:tcBorders>
            <w:hideMark/>
          </w:tcPr>
          <w:p w14:paraId="20870A56"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A57" w14:textId="77777777" w:rsidR="00802D3E" w:rsidRDefault="00802D3E">
            <w:pPr>
              <w:pStyle w:val="MeasureTableTextLeftAligned"/>
            </w:pPr>
          </w:p>
        </w:tc>
      </w:tr>
      <w:tr w:rsidR="00802D3E" w14:paraId="20870A5B" w14:textId="77777777" w:rsidTr="00802D3E">
        <w:trPr>
          <w:cantSplit/>
          <w:jc w:val="center"/>
        </w:trPr>
        <w:tc>
          <w:tcPr>
            <w:tcW w:w="1934" w:type="dxa"/>
            <w:gridSpan w:val="2"/>
            <w:tcBorders>
              <w:top w:val="nil"/>
              <w:left w:val="nil"/>
              <w:bottom w:val="single" w:sz="2" w:space="0" w:color="auto"/>
              <w:right w:val="nil"/>
            </w:tcBorders>
            <w:hideMark/>
          </w:tcPr>
          <w:p w14:paraId="20870A5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A5A"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Item 10 of the Schedule to the </w:t>
            </w:r>
            <w:r>
              <w:rPr>
                <w:rFonts w:ascii="Arial" w:hAnsi="Arial" w:cs="Arial"/>
                <w:i/>
                <w:iCs/>
                <w:color w:val="000000"/>
                <w:sz w:val="16"/>
                <w:szCs w:val="16"/>
              </w:rPr>
              <w:t>Excise Tariff Act 1921</w:t>
            </w:r>
          </w:p>
        </w:tc>
      </w:tr>
    </w:tbl>
    <w:p w14:paraId="20870A5C" w14:textId="77777777" w:rsidR="00802D3E" w:rsidRDefault="00802D3E" w:rsidP="00A109BC">
      <w:pPr>
        <w:pStyle w:val="SingleParagraph"/>
      </w:pPr>
    </w:p>
    <w:p w14:paraId="20870A5D" w14:textId="77777777" w:rsidR="00802D3E" w:rsidRDefault="00802D3E" w:rsidP="00802D3E">
      <w:r>
        <w:t>The benchmark excise rate for fuels consumed for a purpose other than in an internal combustion engine is zero. Fuel oil</w:t>
      </w:r>
      <w:r>
        <w:fldChar w:fldCharType="begin"/>
      </w:r>
      <w:r>
        <w:instrText xml:space="preserve"> XE "Fuels:Fuel oil" </w:instrText>
      </w:r>
      <w:r>
        <w:fldChar w:fldCharType="end"/>
      </w:r>
      <w:r>
        <w:t>, heating oil</w:t>
      </w:r>
      <w:r>
        <w:fldChar w:fldCharType="begin"/>
      </w:r>
      <w:r>
        <w:instrText xml:space="preserve"> XE "Fuels:Heating oil" </w:instrText>
      </w:r>
      <w:r>
        <w:fldChar w:fldCharType="end"/>
      </w:r>
      <w:r>
        <w:t>, and kerosene</w:t>
      </w:r>
      <w:r>
        <w:fldChar w:fldCharType="begin"/>
      </w:r>
      <w:r>
        <w:instrText xml:space="preserve"> XE "Fuels:Kerosene" </w:instrText>
      </w:r>
      <w:r>
        <w:fldChar w:fldCharType="end"/>
      </w:r>
      <w:r>
        <w:t xml:space="preserve"> are subject to excise equivalent to that applying to petroleum and diesel. Users are eligible for a fuel tax credit of an equivalent value. </w:t>
      </w:r>
    </w:p>
    <w:p w14:paraId="20870A5E" w14:textId="77777777" w:rsidR="00802D3E" w:rsidRDefault="00802D3E" w:rsidP="00802D3E">
      <w:pPr>
        <w:pStyle w:val="TESHeading5"/>
        <w:ind w:left="0" w:firstLine="0"/>
      </w:pPr>
      <w:r>
        <w:t>F10</w:t>
      </w:r>
      <w:r>
        <w:tab/>
        <w:t>Excise levied on fuel products used for purposes other than as fuel</w:t>
      </w:r>
    </w:p>
    <w:p w14:paraId="20870A5F" w14:textId="77777777" w:rsidR="00802D3E" w:rsidRDefault="00802D3E" w:rsidP="00802D3E">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A68" w14:textId="77777777" w:rsidTr="00802D3E">
        <w:trPr>
          <w:cantSplit/>
          <w:jc w:val="center"/>
        </w:trPr>
        <w:tc>
          <w:tcPr>
            <w:tcW w:w="967" w:type="dxa"/>
            <w:tcBorders>
              <w:top w:val="single" w:sz="2" w:space="0" w:color="auto"/>
              <w:left w:val="nil"/>
              <w:bottom w:val="single" w:sz="2" w:space="0" w:color="auto"/>
              <w:right w:val="nil"/>
            </w:tcBorders>
            <w:hideMark/>
          </w:tcPr>
          <w:p w14:paraId="20870A6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A6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A6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A6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A6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A6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A6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A67" w14:textId="77777777" w:rsidR="00802D3E" w:rsidRDefault="00802D3E">
            <w:pPr>
              <w:pStyle w:val="MeasureTableTextRightAligned"/>
            </w:pPr>
            <w:r>
              <w:t>2019-20</w:t>
            </w:r>
          </w:p>
        </w:tc>
      </w:tr>
      <w:tr w:rsidR="00802D3E" w14:paraId="20870A71" w14:textId="77777777" w:rsidTr="00802D3E">
        <w:trPr>
          <w:cantSplit/>
          <w:jc w:val="center"/>
        </w:trPr>
        <w:tc>
          <w:tcPr>
            <w:tcW w:w="967" w:type="dxa"/>
            <w:tcBorders>
              <w:top w:val="single" w:sz="2" w:space="0" w:color="auto"/>
              <w:left w:val="nil"/>
              <w:bottom w:val="single" w:sz="2" w:space="0" w:color="auto"/>
              <w:right w:val="nil"/>
            </w:tcBorders>
            <w:hideMark/>
          </w:tcPr>
          <w:p w14:paraId="20870A69"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hideMark/>
          </w:tcPr>
          <w:p w14:paraId="20870A6A"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70A6B"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70A6C"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70A6D" w14:textId="77777777" w:rsidR="00802D3E" w:rsidRDefault="00802D3E">
            <w:pPr>
              <w:pStyle w:val="MeasureTableTextRightAligned"/>
            </w:pPr>
            <w:r>
              <w:t>-55</w:t>
            </w:r>
          </w:p>
        </w:tc>
        <w:tc>
          <w:tcPr>
            <w:tcW w:w="967" w:type="dxa"/>
            <w:gridSpan w:val="2"/>
            <w:tcBorders>
              <w:top w:val="single" w:sz="2" w:space="0" w:color="auto"/>
              <w:left w:val="nil"/>
              <w:bottom w:val="single" w:sz="2" w:space="0" w:color="auto"/>
              <w:right w:val="nil"/>
            </w:tcBorders>
            <w:vAlign w:val="bottom"/>
            <w:hideMark/>
          </w:tcPr>
          <w:p w14:paraId="20870A6E" w14:textId="77777777" w:rsidR="00802D3E" w:rsidRDefault="00802D3E">
            <w:pPr>
              <w:pStyle w:val="MeasureTableTextRightAligned"/>
            </w:pPr>
            <w:r>
              <w:t>-60</w:t>
            </w:r>
          </w:p>
        </w:tc>
        <w:tc>
          <w:tcPr>
            <w:tcW w:w="967" w:type="dxa"/>
            <w:gridSpan w:val="2"/>
            <w:tcBorders>
              <w:top w:val="single" w:sz="2" w:space="0" w:color="auto"/>
              <w:left w:val="nil"/>
              <w:bottom w:val="single" w:sz="2" w:space="0" w:color="auto"/>
              <w:right w:val="nil"/>
            </w:tcBorders>
            <w:vAlign w:val="bottom"/>
            <w:hideMark/>
          </w:tcPr>
          <w:p w14:paraId="20870A6F" w14:textId="77777777" w:rsidR="00802D3E" w:rsidRDefault="00802D3E">
            <w:pPr>
              <w:pStyle w:val="MeasureTableTextRightAligned"/>
            </w:pPr>
            <w:r>
              <w:t>-65</w:t>
            </w:r>
          </w:p>
        </w:tc>
        <w:tc>
          <w:tcPr>
            <w:tcW w:w="968" w:type="dxa"/>
            <w:tcBorders>
              <w:top w:val="single" w:sz="2" w:space="0" w:color="auto"/>
              <w:left w:val="nil"/>
              <w:bottom w:val="single" w:sz="2" w:space="0" w:color="auto"/>
              <w:right w:val="nil"/>
            </w:tcBorders>
            <w:vAlign w:val="bottom"/>
            <w:hideMark/>
          </w:tcPr>
          <w:p w14:paraId="20870A70" w14:textId="77777777" w:rsidR="00802D3E" w:rsidRDefault="00802D3E">
            <w:pPr>
              <w:pStyle w:val="MeasureTableTextRightAligned"/>
            </w:pPr>
            <w:r>
              <w:t>-65</w:t>
            </w:r>
          </w:p>
        </w:tc>
      </w:tr>
      <w:tr w:rsidR="00802D3E" w14:paraId="20870A76" w14:textId="77777777" w:rsidTr="00802D3E">
        <w:trPr>
          <w:cantSplit/>
          <w:jc w:val="center"/>
        </w:trPr>
        <w:tc>
          <w:tcPr>
            <w:tcW w:w="1934" w:type="dxa"/>
            <w:gridSpan w:val="2"/>
            <w:tcBorders>
              <w:top w:val="single" w:sz="2" w:space="0" w:color="auto"/>
              <w:left w:val="nil"/>
              <w:bottom w:val="nil"/>
              <w:right w:val="nil"/>
            </w:tcBorders>
            <w:hideMark/>
          </w:tcPr>
          <w:p w14:paraId="20870A7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A73" w14:textId="77777777" w:rsidR="00802D3E" w:rsidRDefault="00802D3E">
            <w:pPr>
              <w:pStyle w:val="MeasureTableTextLeftAligned"/>
            </w:pPr>
            <w:r>
              <w:t>Rebate</w:t>
            </w:r>
          </w:p>
        </w:tc>
        <w:tc>
          <w:tcPr>
            <w:tcW w:w="1500" w:type="dxa"/>
            <w:gridSpan w:val="2"/>
            <w:tcBorders>
              <w:top w:val="single" w:sz="2" w:space="0" w:color="auto"/>
              <w:left w:val="nil"/>
              <w:bottom w:val="nil"/>
              <w:right w:val="nil"/>
            </w:tcBorders>
            <w:hideMark/>
          </w:tcPr>
          <w:p w14:paraId="20870A7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A75" w14:textId="77777777" w:rsidR="00802D3E" w:rsidRDefault="00802D3E">
            <w:pPr>
              <w:pStyle w:val="MeasureTableTextLeftAligned"/>
            </w:pPr>
            <w:r>
              <w:t>F10</w:t>
            </w:r>
          </w:p>
        </w:tc>
      </w:tr>
      <w:tr w:rsidR="00802D3E" w14:paraId="20870A7B" w14:textId="77777777" w:rsidTr="00802D3E">
        <w:trPr>
          <w:cantSplit/>
          <w:jc w:val="center"/>
        </w:trPr>
        <w:tc>
          <w:tcPr>
            <w:tcW w:w="1934" w:type="dxa"/>
            <w:gridSpan w:val="2"/>
            <w:tcBorders>
              <w:top w:val="nil"/>
              <w:left w:val="nil"/>
              <w:bottom w:val="nil"/>
              <w:right w:val="nil"/>
            </w:tcBorders>
            <w:hideMark/>
          </w:tcPr>
          <w:p w14:paraId="20870A7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A78"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70A79" w14:textId="77777777" w:rsidR="00802D3E" w:rsidRDefault="00802D3E">
            <w:pPr>
              <w:pStyle w:val="MeasureTableTextItalic"/>
            </w:pPr>
          </w:p>
        </w:tc>
        <w:tc>
          <w:tcPr>
            <w:tcW w:w="1124" w:type="dxa"/>
            <w:gridSpan w:val="2"/>
            <w:tcBorders>
              <w:top w:val="nil"/>
              <w:left w:val="nil"/>
              <w:bottom w:val="nil"/>
              <w:right w:val="nil"/>
            </w:tcBorders>
          </w:tcPr>
          <w:p w14:paraId="20870A7A" w14:textId="77777777" w:rsidR="00802D3E" w:rsidRDefault="00802D3E">
            <w:pPr>
              <w:pStyle w:val="MeasureTableTextLeftAligned"/>
            </w:pPr>
          </w:p>
        </w:tc>
      </w:tr>
      <w:tr w:rsidR="00802D3E" w14:paraId="20870A80" w14:textId="77777777" w:rsidTr="00802D3E">
        <w:trPr>
          <w:cantSplit/>
          <w:jc w:val="center"/>
        </w:trPr>
        <w:tc>
          <w:tcPr>
            <w:tcW w:w="1934" w:type="dxa"/>
            <w:gridSpan w:val="2"/>
            <w:tcBorders>
              <w:top w:val="nil"/>
              <w:left w:val="nil"/>
              <w:bottom w:val="nil"/>
              <w:right w:val="nil"/>
            </w:tcBorders>
            <w:hideMark/>
          </w:tcPr>
          <w:p w14:paraId="20870A7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A7D" w14:textId="77777777" w:rsidR="00802D3E" w:rsidRDefault="00802D3E">
            <w:pPr>
              <w:pStyle w:val="MeasureTableTextLeftAligned"/>
            </w:pPr>
            <w:r>
              <w:t>1 July 2006</w:t>
            </w:r>
          </w:p>
        </w:tc>
        <w:tc>
          <w:tcPr>
            <w:tcW w:w="1500" w:type="dxa"/>
            <w:gridSpan w:val="2"/>
            <w:tcBorders>
              <w:top w:val="nil"/>
              <w:left w:val="nil"/>
              <w:bottom w:val="nil"/>
              <w:right w:val="nil"/>
            </w:tcBorders>
            <w:hideMark/>
          </w:tcPr>
          <w:p w14:paraId="20870A7E"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A7F" w14:textId="77777777" w:rsidR="00802D3E" w:rsidRDefault="00802D3E">
            <w:pPr>
              <w:pStyle w:val="MeasureTableTextLeftAligned"/>
            </w:pPr>
          </w:p>
        </w:tc>
      </w:tr>
      <w:tr w:rsidR="00802D3E" w14:paraId="20870A83" w14:textId="77777777" w:rsidTr="00802D3E">
        <w:trPr>
          <w:cantSplit/>
          <w:jc w:val="center"/>
        </w:trPr>
        <w:tc>
          <w:tcPr>
            <w:tcW w:w="1934" w:type="dxa"/>
            <w:gridSpan w:val="2"/>
            <w:tcBorders>
              <w:top w:val="nil"/>
              <w:left w:val="nil"/>
              <w:bottom w:val="single" w:sz="2" w:space="0" w:color="auto"/>
              <w:right w:val="nil"/>
            </w:tcBorders>
            <w:hideMark/>
          </w:tcPr>
          <w:p w14:paraId="20870A8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A82"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Item 10 of the Schedule to the </w:t>
            </w:r>
            <w:r>
              <w:rPr>
                <w:rFonts w:ascii="Arial" w:hAnsi="Arial" w:cs="Arial"/>
                <w:i/>
                <w:iCs/>
                <w:color w:val="000000"/>
                <w:sz w:val="16"/>
                <w:szCs w:val="16"/>
              </w:rPr>
              <w:t>Excise Tariff Act 1921</w:t>
            </w:r>
          </w:p>
        </w:tc>
      </w:tr>
    </w:tbl>
    <w:p w14:paraId="20870A84" w14:textId="77777777" w:rsidR="00802D3E" w:rsidRDefault="00802D3E" w:rsidP="00A109BC">
      <w:pPr>
        <w:pStyle w:val="SingleParagraph"/>
      </w:pPr>
    </w:p>
    <w:p w14:paraId="20870A85" w14:textId="77777777" w:rsidR="00802D3E" w:rsidRDefault="00802D3E" w:rsidP="00802D3E">
      <w:r>
        <w:t>Fuels consumed for a purpose other than in an internal combustion engine (such as toluene, mineral turpentine and white spirits</w:t>
      </w:r>
      <w:r>
        <w:fldChar w:fldCharType="begin"/>
      </w:r>
      <w:r>
        <w:instrText xml:space="preserve"> XE "Fuels:Solvents" </w:instrText>
      </w:r>
      <w:r>
        <w:fldChar w:fldCharType="end"/>
      </w:r>
      <w:r>
        <w:t xml:space="preserve">) are subject to excise equivalent to that applying to petroleum and diesel. Business users of these products are eligible for a fuel tax credit of an equivalent value. </w:t>
      </w:r>
    </w:p>
    <w:p w14:paraId="20870A86" w14:textId="77777777" w:rsidR="00802D3E" w:rsidRDefault="00802D3E" w:rsidP="00802D3E">
      <w:pPr>
        <w:pStyle w:val="TESHeading5"/>
        <w:ind w:left="0" w:firstLine="0"/>
      </w:pPr>
      <w:r>
        <w:lastRenderedPageBreak/>
        <w:t>F11</w:t>
      </w:r>
      <w:r>
        <w:tab/>
        <w:t>Higher rate of excise levied on cigarettes not exceeding 0.8 grams of tobacco</w:t>
      </w:r>
    </w:p>
    <w:p w14:paraId="20870A87"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A90" w14:textId="77777777" w:rsidTr="00802D3E">
        <w:trPr>
          <w:cantSplit/>
          <w:jc w:val="center"/>
        </w:trPr>
        <w:tc>
          <w:tcPr>
            <w:tcW w:w="967" w:type="dxa"/>
            <w:tcBorders>
              <w:top w:val="single" w:sz="2" w:space="0" w:color="auto"/>
              <w:left w:val="nil"/>
              <w:bottom w:val="single" w:sz="2" w:space="0" w:color="auto"/>
              <w:right w:val="nil"/>
            </w:tcBorders>
            <w:hideMark/>
          </w:tcPr>
          <w:p w14:paraId="20870A8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A8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A8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A8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A8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A8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A8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A8F" w14:textId="77777777" w:rsidR="00802D3E" w:rsidRDefault="00802D3E">
            <w:pPr>
              <w:pStyle w:val="MeasureTableTextRightAligned"/>
            </w:pPr>
            <w:r>
              <w:t>2019-20</w:t>
            </w:r>
          </w:p>
        </w:tc>
      </w:tr>
      <w:tr w:rsidR="00802D3E" w14:paraId="20870A99" w14:textId="77777777" w:rsidTr="00802D3E">
        <w:trPr>
          <w:cantSplit/>
          <w:jc w:val="center"/>
        </w:trPr>
        <w:tc>
          <w:tcPr>
            <w:tcW w:w="967" w:type="dxa"/>
            <w:tcBorders>
              <w:top w:val="single" w:sz="2" w:space="0" w:color="auto"/>
              <w:left w:val="nil"/>
              <w:bottom w:val="single" w:sz="2" w:space="0" w:color="auto"/>
              <w:right w:val="nil"/>
            </w:tcBorders>
            <w:hideMark/>
          </w:tcPr>
          <w:p w14:paraId="20870A91" w14:textId="77777777" w:rsidR="00802D3E" w:rsidRDefault="00720060">
            <w:pPr>
              <w:pStyle w:val="MeasureTableTextRightAligned"/>
            </w:pPr>
            <w:proofErr w:type="spellStart"/>
            <w:r>
              <w:t>nfp</w:t>
            </w:r>
            <w:proofErr w:type="spellEnd"/>
          </w:p>
        </w:tc>
        <w:tc>
          <w:tcPr>
            <w:tcW w:w="967" w:type="dxa"/>
            <w:tcBorders>
              <w:top w:val="single" w:sz="2" w:space="0" w:color="auto"/>
              <w:left w:val="nil"/>
              <w:bottom w:val="single" w:sz="2" w:space="0" w:color="auto"/>
              <w:right w:val="nil"/>
            </w:tcBorders>
            <w:hideMark/>
          </w:tcPr>
          <w:p w14:paraId="20870A92" w14:textId="77777777" w:rsidR="00802D3E" w:rsidRDefault="00802D3E">
            <w:pPr>
              <w:pStyle w:val="MeasureTableTextRightAligned"/>
            </w:pPr>
            <w:r>
              <w:t>-1,790</w:t>
            </w:r>
          </w:p>
        </w:tc>
        <w:tc>
          <w:tcPr>
            <w:tcW w:w="967" w:type="dxa"/>
            <w:tcBorders>
              <w:top w:val="single" w:sz="2" w:space="0" w:color="auto"/>
              <w:left w:val="nil"/>
              <w:bottom w:val="single" w:sz="2" w:space="0" w:color="auto"/>
              <w:right w:val="nil"/>
            </w:tcBorders>
            <w:vAlign w:val="bottom"/>
            <w:hideMark/>
          </w:tcPr>
          <w:p w14:paraId="20870A93" w14:textId="77777777" w:rsidR="00802D3E" w:rsidRDefault="00802D3E">
            <w:pPr>
              <w:pStyle w:val="MeasureTableTextRightAligned"/>
            </w:pPr>
            <w:r>
              <w:t>-1,935</w:t>
            </w:r>
          </w:p>
        </w:tc>
        <w:tc>
          <w:tcPr>
            <w:tcW w:w="967" w:type="dxa"/>
            <w:tcBorders>
              <w:top w:val="single" w:sz="2" w:space="0" w:color="auto"/>
              <w:left w:val="nil"/>
              <w:bottom w:val="single" w:sz="2" w:space="0" w:color="auto"/>
              <w:right w:val="nil"/>
            </w:tcBorders>
            <w:vAlign w:val="bottom"/>
            <w:hideMark/>
          </w:tcPr>
          <w:p w14:paraId="20870A94" w14:textId="77777777" w:rsidR="00802D3E" w:rsidRDefault="00802D3E">
            <w:pPr>
              <w:pStyle w:val="MeasureTableTextRightAligned"/>
            </w:pPr>
            <w:r>
              <w:t>-2,065</w:t>
            </w:r>
          </w:p>
        </w:tc>
        <w:tc>
          <w:tcPr>
            <w:tcW w:w="967" w:type="dxa"/>
            <w:tcBorders>
              <w:top w:val="single" w:sz="2" w:space="0" w:color="auto"/>
              <w:left w:val="nil"/>
              <w:bottom w:val="single" w:sz="2" w:space="0" w:color="auto"/>
              <w:right w:val="nil"/>
            </w:tcBorders>
            <w:vAlign w:val="bottom"/>
            <w:hideMark/>
          </w:tcPr>
          <w:p w14:paraId="20870A95" w14:textId="77777777" w:rsidR="00802D3E" w:rsidRDefault="00802D3E">
            <w:pPr>
              <w:pStyle w:val="MeasureTableTextRightAligned"/>
            </w:pPr>
            <w:r>
              <w:t>-2,235</w:t>
            </w:r>
          </w:p>
        </w:tc>
        <w:tc>
          <w:tcPr>
            <w:tcW w:w="967" w:type="dxa"/>
            <w:gridSpan w:val="2"/>
            <w:tcBorders>
              <w:top w:val="single" w:sz="2" w:space="0" w:color="auto"/>
              <w:left w:val="nil"/>
              <w:bottom w:val="single" w:sz="2" w:space="0" w:color="auto"/>
              <w:right w:val="nil"/>
            </w:tcBorders>
            <w:vAlign w:val="bottom"/>
            <w:hideMark/>
          </w:tcPr>
          <w:p w14:paraId="20870A96" w14:textId="77777777" w:rsidR="00802D3E" w:rsidRDefault="00802D3E">
            <w:pPr>
              <w:pStyle w:val="MeasureTableTextRightAligned"/>
            </w:pPr>
            <w:r>
              <w:t>-2,420</w:t>
            </w:r>
          </w:p>
        </w:tc>
        <w:tc>
          <w:tcPr>
            <w:tcW w:w="967" w:type="dxa"/>
            <w:gridSpan w:val="2"/>
            <w:tcBorders>
              <w:top w:val="single" w:sz="2" w:space="0" w:color="auto"/>
              <w:left w:val="nil"/>
              <w:bottom w:val="single" w:sz="2" w:space="0" w:color="auto"/>
              <w:right w:val="nil"/>
            </w:tcBorders>
            <w:vAlign w:val="bottom"/>
            <w:hideMark/>
          </w:tcPr>
          <w:p w14:paraId="20870A97" w14:textId="77777777" w:rsidR="00802D3E" w:rsidRDefault="00802D3E">
            <w:pPr>
              <w:pStyle w:val="MeasureTableTextRightAligned"/>
            </w:pPr>
            <w:r>
              <w:t>-2,645</w:t>
            </w:r>
          </w:p>
        </w:tc>
        <w:tc>
          <w:tcPr>
            <w:tcW w:w="968" w:type="dxa"/>
            <w:tcBorders>
              <w:top w:val="single" w:sz="2" w:space="0" w:color="auto"/>
              <w:left w:val="nil"/>
              <w:bottom w:val="single" w:sz="2" w:space="0" w:color="auto"/>
              <w:right w:val="nil"/>
            </w:tcBorders>
            <w:vAlign w:val="bottom"/>
            <w:hideMark/>
          </w:tcPr>
          <w:p w14:paraId="20870A98" w14:textId="77777777" w:rsidR="00802D3E" w:rsidRDefault="00802D3E">
            <w:pPr>
              <w:pStyle w:val="MeasureTableTextRightAligned"/>
            </w:pPr>
            <w:r>
              <w:t>-2,925</w:t>
            </w:r>
          </w:p>
        </w:tc>
      </w:tr>
      <w:tr w:rsidR="00802D3E" w14:paraId="20870A9E" w14:textId="77777777" w:rsidTr="00802D3E">
        <w:trPr>
          <w:cantSplit/>
          <w:jc w:val="center"/>
        </w:trPr>
        <w:tc>
          <w:tcPr>
            <w:tcW w:w="1934" w:type="dxa"/>
            <w:gridSpan w:val="2"/>
            <w:tcBorders>
              <w:top w:val="single" w:sz="2" w:space="0" w:color="auto"/>
              <w:left w:val="nil"/>
              <w:bottom w:val="nil"/>
              <w:right w:val="nil"/>
            </w:tcBorders>
            <w:hideMark/>
          </w:tcPr>
          <w:p w14:paraId="20870A9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A9B" w14:textId="77777777" w:rsidR="00802D3E" w:rsidRDefault="00802D3E">
            <w:pPr>
              <w:pStyle w:val="MeasureTableTextLeftAligned"/>
            </w:pPr>
            <w:r>
              <w:t>Increased rate</w:t>
            </w:r>
          </w:p>
        </w:tc>
        <w:tc>
          <w:tcPr>
            <w:tcW w:w="1500" w:type="dxa"/>
            <w:gridSpan w:val="2"/>
            <w:tcBorders>
              <w:top w:val="single" w:sz="2" w:space="0" w:color="auto"/>
              <w:left w:val="nil"/>
              <w:bottom w:val="nil"/>
              <w:right w:val="nil"/>
            </w:tcBorders>
            <w:hideMark/>
          </w:tcPr>
          <w:p w14:paraId="20870A9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A9D" w14:textId="77777777" w:rsidR="00802D3E" w:rsidRDefault="00802D3E">
            <w:pPr>
              <w:pStyle w:val="MeasureTableTextLeftAligned"/>
            </w:pPr>
            <w:r>
              <w:t>F11</w:t>
            </w:r>
          </w:p>
        </w:tc>
      </w:tr>
      <w:tr w:rsidR="00802D3E" w14:paraId="20870AA3" w14:textId="77777777" w:rsidTr="00720060">
        <w:trPr>
          <w:cantSplit/>
          <w:jc w:val="center"/>
        </w:trPr>
        <w:tc>
          <w:tcPr>
            <w:tcW w:w="1934" w:type="dxa"/>
            <w:gridSpan w:val="2"/>
            <w:tcBorders>
              <w:top w:val="nil"/>
              <w:left w:val="nil"/>
              <w:bottom w:val="nil"/>
              <w:right w:val="nil"/>
            </w:tcBorders>
            <w:hideMark/>
          </w:tcPr>
          <w:p w14:paraId="20870A9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AA0"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70AA1" w14:textId="77777777" w:rsidR="00802D3E" w:rsidRDefault="00802D3E">
            <w:pPr>
              <w:pStyle w:val="MeasureTableTextItalic"/>
            </w:pPr>
          </w:p>
        </w:tc>
        <w:tc>
          <w:tcPr>
            <w:tcW w:w="1124" w:type="dxa"/>
            <w:gridSpan w:val="2"/>
            <w:tcBorders>
              <w:top w:val="nil"/>
              <w:left w:val="nil"/>
              <w:bottom w:val="nil"/>
              <w:right w:val="nil"/>
            </w:tcBorders>
          </w:tcPr>
          <w:p w14:paraId="20870AA2" w14:textId="77777777" w:rsidR="00802D3E" w:rsidRDefault="00802D3E">
            <w:pPr>
              <w:pStyle w:val="MeasureTableTextLeftAligned"/>
            </w:pPr>
          </w:p>
        </w:tc>
      </w:tr>
      <w:tr w:rsidR="00802D3E" w14:paraId="20870AA8" w14:textId="77777777" w:rsidTr="00802D3E">
        <w:trPr>
          <w:cantSplit/>
          <w:jc w:val="center"/>
        </w:trPr>
        <w:tc>
          <w:tcPr>
            <w:tcW w:w="1934" w:type="dxa"/>
            <w:gridSpan w:val="2"/>
            <w:tcBorders>
              <w:top w:val="nil"/>
              <w:left w:val="nil"/>
              <w:bottom w:val="nil"/>
              <w:right w:val="nil"/>
            </w:tcBorders>
            <w:hideMark/>
          </w:tcPr>
          <w:p w14:paraId="20870AA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AA5" w14:textId="77777777" w:rsidR="00802D3E" w:rsidRDefault="00802D3E">
            <w:pPr>
              <w:pStyle w:val="MeasureTableTextLeftAligned"/>
            </w:pPr>
            <w:r>
              <w:t>1999</w:t>
            </w:r>
          </w:p>
        </w:tc>
        <w:tc>
          <w:tcPr>
            <w:tcW w:w="1500" w:type="dxa"/>
            <w:gridSpan w:val="2"/>
            <w:tcBorders>
              <w:top w:val="nil"/>
              <w:left w:val="nil"/>
              <w:bottom w:val="nil"/>
              <w:right w:val="nil"/>
            </w:tcBorders>
            <w:hideMark/>
          </w:tcPr>
          <w:p w14:paraId="20870AA6"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AA7" w14:textId="77777777" w:rsidR="00802D3E" w:rsidRDefault="00802D3E">
            <w:pPr>
              <w:pStyle w:val="MeasureTableTextLeftAligned"/>
            </w:pPr>
          </w:p>
        </w:tc>
      </w:tr>
      <w:tr w:rsidR="00802D3E" w14:paraId="20870AAB" w14:textId="77777777" w:rsidTr="00802D3E">
        <w:trPr>
          <w:cantSplit/>
          <w:jc w:val="center"/>
        </w:trPr>
        <w:tc>
          <w:tcPr>
            <w:tcW w:w="1934" w:type="dxa"/>
            <w:gridSpan w:val="2"/>
            <w:tcBorders>
              <w:top w:val="nil"/>
              <w:left w:val="nil"/>
              <w:bottom w:val="single" w:sz="2" w:space="0" w:color="auto"/>
              <w:right w:val="nil"/>
            </w:tcBorders>
            <w:hideMark/>
          </w:tcPr>
          <w:p w14:paraId="20870AA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AAA"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Item 5 of the Schedule to the </w:t>
            </w:r>
            <w:r>
              <w:rPr>
                <w:rFonts w:ascii="Arial" w:hAnsi="Arial" w:cs="Arial"/>
                <w:i/>
                <w:iCs/>
                <w:color w:val="000000"/>
                <w:sz w:val="16"/>
                <w:szCs w:val="16"/>
              </w:rPr>
              <w:t>Excise Tariff Act 1921</w:t>
            </w:r>
          </w:p>
        </w:tc>
      </w:tr>
    </w:tbl>
    <w:p w14:paraId="20870AAC" w14:textId="77777777" w:rsidR="00802D3E" w:rsidRDefault="00802D3E" w:rsidP="00802D3E">
      <w:pPr>
        <w:pStyle w:val="Source"/>
      </w:pPr>
      <w:r>
        <w:t>Note: estimate for 2012-13 is not reported consistent with statutory requirements relating to taxpayer confidentiality.</w:t>
      </w:r>
    </w:p>
    <w:p w14:paraId="20870AAD" w14:textId="77777777" w:rsidR="005620DE" w:rsidRPr="005620DE" w:rsidRDefault="005620DE" w:rsidP="00A109BC">
      <w:pPr>
        <w:pStyle w:val="SingleParagraph"/>
      </w:pPr>
    </w:p>
    <w:p w14:paraId="20870AAE" w14:textId="77777777" w:rsidR="00802D3E" w:rsidRDefault="00802D3E" w:rsidP="00802D3E">
      <w:r>
        <w:t>The benchmark excise rate is the rate per kilogram applying to tobacco products containing more than 0.8 grams of tobacco. Cigarettes and cigars containing no more than 0.8 grams of tobacco pay excise at a per-stick rate. For cigarettes containing less than 0.8 grams of tobacco, this results in a higher excise liability than if they were subject to the benchmark rate.</w:t>
      </w:r>
      <w:r>
        <w:fldChar w:fldCharType="begin"/>
      </w:r>
      <w:r>
        <w:instrText xml:space="preserve"> XE "Cigarettes and cigars" </w:instrText>
      </w:r>
      <w:r>
        <w:fldChar w:fldCharType="end"/>
      </w:r>
    </w:p>
    <w:p w14:paraId="20870AAF" w14:textId="77777777" w:rsidR="00802D3E" w:rsidRDefault="00802D3E" w:rsidP="00802D3E">
      <w:pPr>
        <w:pStyle w:val="TESHeading5"/>
        <w:ind w:left="0" w:firstLine="0"/>
      </w:pPr>
      <w:r>
        <w:t>F12</w:t>
      </w:r>
      <w:r>
        <w:tab/>
        <w:t>Concessional rate of excise levied on brandy</w:t>
      </w:r>
    </w:p>
    <w:p w14:paraId="20870AB0"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AB9" w14:textId="77777777" w:rsidTr="00802D3E">
        <w:trPr>
          <w:cantSplit/>
          <w:jc w:val="center"/>
        </w:trPr>
        <w:tc>
          <w:tcPr>
            <w:tcW w:w="967" w:type="dxa"/>
            <w:tcBorders>
              <w:top w:val="single" w:sz="2" w:space="0" w:color="auto"/>
              <w:left w:val="nil"/>
              <w:bottom w:val="single" w:sz="2" w:space="0" w:color="auto"/>
              <w:right w:val="nil"/>
            </w:tcBorders>
            <w:hideMark/>
          </w:tcPr>
          <w:p w14:paraId="20870AB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AB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AB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AB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AB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AB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AB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AB8" w14:textId="77777777" w:rsidR="00802D3E" w:rsidRDefault="00802D3E">
            <w:pPr>
              <w:pStyle w:val="MeasureTableTextRightAligned"/>
            </w:pPr>
            <w:r>
              <w:t>2019-20</w:t>
            </w:r>
          </w:p>
        </w:tc>
      </w:tr>
      <w:tr w:rsidR="00802D3E" w14:paraId="20870AC2" w14:textId="77777777" w:rsidTr="00802D3E">
        <w:trPr>
          <w:cantSplit/>
          <w:jc w:val="center"/>
        </w:trPr>
        <w:tc>
          <w:tcPr>
            <w:tcW w:w="967" w:type="dxa"/>
            <w:tcBorders>
              <w:top w:val="single" w:sz="2" w:space="0" w:color="auto"/>
              <w:left w:val="nil"/>
              <w:bottom w:val="single" w:sz="2" w:space="0" w:color="auto"/>
              <w:right w:val="nil"/>
            </w:tcBorders>
            <w:hideMark/>
          </w:tcPr>
          <w:p w14:paraId="20870ABA"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hideMark/>
          </w:tcPr>
          <w:p w14:paraId="20870ABB"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vAlign w:val="bottom"/>
            <w:hideMark/>
          </w:tcPr>
          <w:p w14:paraId="20870ABC"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70ABD"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70ABE" w14:textId="77777777" w:rsidR="00802D3E" w:rsidRDefault="00802D3E">
            <w:pPr>
              <w:pStyle w:val="MeasureTableTextRightAligned"/>
            </w:pPr>
            <w:r>
              <w:t>5</w:t>
            </w:r>
          </w:p>
        </w:tc>
        <w:tc>
          <w:tcPr>
            <w:tcW w:w="967" w:type="dxa"/>
            <w:gridSpan w:val="2"/>
            <w:tcBorders>
              <w:top w:val="single" w:sz="2" w:space="0" w:color="auto"/>
              <w:left w:val="nil"/>
              <w:bottom w:val="single" w:sz="2" w:space="0" w:color="auto"/>
              <w:right w:val="nil"/>
            </w:tcBorders>
            <w:vAlign w:val="bottom"/>
            <w:hideMark/>
          </w:tcPr>
          <w:p w14:paraId="20870ABF" w14:textId="77777777" w:rsidR="00802D3E" w:rsidRDefault="00802D3E">
            <w:pPr>
              <w:pStyle w:val="MeasureTableTextRightAligned"/>
            </w:pPr>
            <w:r>
              <w:t>5</w:t>
            </w:r>
          </w:p>
        </w:tc>
        <w:tc>
          <w:tcPr>
            <w:tcW w:w="967" w:type="dxa"/>
            <w:gridSpan w:val="2"/>
            <w:tcBorders>
              <w:top w:val="single" w:sz="2" w:space="0" w:color="auto"/>
              <w:left w:val="nil"/>
              <w:bottom w:val="single" w:sz="2" w:space="0" w:color="auto"/>
              <w:right w:val="nil"/>
            </w:tcBorders>
            <w:vAlign w:val="bottom"/>
            <w:hideMark/>
          </w:tcPr>
          <w:p w14:paraId="20870AC0" w14:textId="77777777" w:rsidR="00802D3E" w:rsidRDefault="00802D3E">
            <w:pPr>
              <w:pStyle w:val="MeasureTableTextRightAligned"/>
            </w:pPr>
            <w:r>
              <w:t>5</w:t>
            </w:r>
          </w:p>
        </w:tc>
        <w:tc>
          <w:tcPr>
            <w:tcW w:w="968" w:type="dxa"/>
            <w:tcBorders>
              <w:top w:val="single" w:sz="2" w:space="0" w:color="auto"/>
              <w:left w:val="nil"/>
              <w:bottom w:val="single" w:sz="2" w:space="0" w:color="auto"/>
              <w:right w:val="nil"/>
            </w:tcBorders>
            <w:vAlign w:val="bottom"/>
            <w:hideMark/>
          </w:tcPr>
          <w:p w14:paraId="20870AC1" w14:textId="77777777" w:rsidR="00802D3E" w:rsidRDefault="00802D3E">
            <w:pPr>
              <w:pStyle w:val="MeasureTableTextRightAligned"/>
            </w:pPr>
            <w:r>
              <w:t>5</w:t>
            </w:r>
          </w:p>
        </w:tc>
      </w:tr>
      <w:tr w:rsidR="00802D3E" w14:paraId="20870AC7" w14:textId="77777777" w:rsidTr="00802D3E">
        <w:trPr>
          <w:cantSplit/>
          <w:jc w:val="center"/>
        </w:trPr>
        <w:tc>
          <w:tcPr>
            <w:tcW w:w="1934" w:type="dxa"/>
            <w:gridSpan w:val="2"/>
            <w:tcBorders>
              <w:top w:val="single" w:sz="2" w:space="0" w:color="auto"/>
              <w:left w:val="nil"/>
              <w:bottom w:val="nil"/>
              <w:right w:val="nil"/>
            </w:tcBorders>
            <w:hideMark/>
          </w:tcPr>
          <w:p w14:paraId="20870AC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AC4"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70AC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AC6" w14:textId="77777777" w:rsidR="00802D3E" w:rsidRDefault="00802D3E">
            <w:pPr>
              <w:pStyle w:val="MeasureTableTextLeftAligned"/>
            </w:pPr>
            <w:r>
              <w:t>F12</w:t>
            </w:r>
          </w:p>
        </w:tc>
      </w:tr>
      <w:tr w:rsidR="00802D3E" w14:paraId="20870ACC" w14:textId="77777777" w:rsidTr="00802D3E">
        <w:trPr>
          <w:cantSplit/>
          <w:jc w:val="center"/>
        </w:trPr>
        <w:tc>
          <w:tcPr>
            <w:tcW w:w="1934" w:type="dxa"/>
            <w:gridSpan w:val="2"/>
            <w:tcBorders>
              <w:top w:val="nil"/>
              <w:left w:val="nil"/>
              <w:bottom w:val="nil"/>
              <w:right w:val="nil"/>
            </w:tcBorders>
            <w:hideMark/>
          </w:tcPr>
          <w:p w14:paraId="20870AC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AC9"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ACA" w14:textId="77777777" w:rsidR="00802D3E" w:rsidRDefault="00802D3E">
            <w:pPr>
              <w:pStyle w:val="MeasureTableTextItalic"/>
            </w:pPr>
          </w:p>
        </w:tc>
        <w:tc>
          <w:tcPr>
            <w:tcW w:w="1124" w:type="dxa"/>
            <w:gridSpan w:val="2"/>
            <w:tcBorders>
              <w:top w:val="nil"/>
              <w:left w:val="nil"/>
              <w:bottom w:val="nil"/>
              <w:right w:val="nil"/>
            </w:tcBorders>
          </w:tcPr>
          <w:p w14:paraId="20870ACB" w14:textId="77777777" w:rsidR="00802D3E" w:rsidRDefault="00802D3E">
            <w:pPr>
              <w:pStyle w:val="MeasureTableTextLeftAligned"/>
            </w:pPr>
          </w:p>
        </w:tc>
      </w:tr>
      <w:tr w:rsidR="00802D3E" w14:paraId="20870AD1" w14:textId="77777777" w:rsidTr="00802D3E">
        <w:trPr>
          <w:cantSplit/>
          <w:jc w:val="center"/>
        </w:trPr>
        <w:tc>
          <w:tcPr>
            <w:tcW w:w="1934" w:type="dxa"/>
            <w:gridSpan w:val="2"/>
            <w:tcBorders>
              <w:top w:val="nil"/>
              <w:left w:val="nil"/>
              <w:bottom w:val="nil"/>
              <w:right w:val="nil"/>
            </w:tcBorders>
            <w:hideMark/>
          </w:tcPr>
          <w:p w14:paraId="20870AC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ACE" w14:textId="77777777" w:rsidR="00802D3E" w:rsidRDefault="00802D3E">
            <w:pPr>
              <w:pStyle w:val="MeasureTableTextLeftAligned"/>
            </w:pPr>
            <w:r>
              <w:t>9 November 1979</w:t>
            </w:r>
          </w:p>
        </w:tc>
        <w:tc>
          <w:tcPr>
            <w:tcW w:w="1500" w:type="dxa"/>
            <w:gridSpan w:val="2"/>
            <w:tcBorders>
              <w:top w:val="nil"/>
              <w:left w:val="nil"/>
              <w:bottom w:val="nil"/>
              <w:right w:val="nil"/>
            </w:tcBorders>
            <w:hideMark/>
          </w:tcPr>
          <w:p w14:paraId="20870ACF"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AD0" w14:textId="77777777" w:rsidR="00802D3E" w:rsidRDefault="00802D3E">
            <w:pPr>
              <w:pStyle w:val="MeasureTableTextLeftAligned"/>
            </w:pPr>
          </w:p>
        </w:tc>
      </w:tr>
      <w:tr w:rsidR="00802D3E" w14:paraId="20870AD4" w14:textId="77777777" w:rsidTr="00802D3E">
        <w:trPr>
          <w:cantSplit/>
          <w:jc w:val="center"/>
        </w:trPr>
        <w:tc>
          <w:tcPr>
            <w:tcW w:w="1934" w:type="dxa"/>
            <w:gridSpan w:val="2"/>
            <w:tcBorders>
              <w:top w:val="nil"/>
              <w:left w:val="nil"/>
              <w:bottom w:val="single" w:sz="2" w:space="0" w:color="auto"/>
              <w:right w:val="nil"/>
            </w:tcBorders>
            <w:hideMark/>
          </w:tcPr>
          <w:p w14:paraId="20870AD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AD3"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Item 3 of the Schedule to the </w:t>
            </w:r>
            <w:r w:rsidRPr="00106337">
              <w:rPr>
                <w:rFonts w:ascii="Arial" w:hAnsi="Arial" w:cs="Arial"/>
                <w:i/>
                <w:iCs/>
                <w:color w:val="000000"/>
                <w:sz w:val="16"/>
                <w:szCs w:val="16"/>
              </w:rPr>
              <w:t>Excise Tariff Act 1921</w:t>
            </w:r>
          </w:p>
        </w:tc>
      </w:tr>
    </w:tbl>
    <w:p w14:paraId="20870AD5" w14:textId="77777777" w:rsidR="00802D3E" w:rsidRDefault="00802D3E" w:rsidP="00A109BC">
      <w:pPr>
        <w:pStyle w:val="SingleParagraph"/>
      </w:pPr>
    </w:p>
    <w:p w14:paraId="20870AD6" w14:textId="77777777" w:rsidR="00802D3E" w:rsidRDefault="00802D3E" w:rsidP="00802D3E">
      <w:r>
        <w:t xml:space="preserve">Brandy </w:t>
      </w:r>
      <w:r>
        <w:fldChar w:fldCharType="begin"/>
      </w:r>
      <w:r>
        <w:instrText xml:space="preserve"> XE "Alcohol:Brandy" </w:instrText>
      </w:r>
      <w:r>
        <w:fldChar w:fldCharType="end"/>
      </w:r>
      <w:r>
        <w:t xml:space="preserve">is subject to a lower rate of excise than the benchmark rate of other spirits. </w:t>
      </w:r>
    </w:p>
    <w:p w14:paraId="20870AD7" w14:textId="77777777" w:rsidR="00802D3E" w:rsidRDefault="00802D3E" w:rsidP="00802D3E">
      <w:pPr>
        <w:pStyle w:val="TESHeading5"/>
        <w:ind w:left="0" w:firstLine="0"/>
      </w:pPr>
      <w:r>
        <w:t>F13</w:t>
      </w:r>
      <w:r>
        <w:tab/>
        <w:t>Concessional rate of excise levied on brew-</w:t>
      </w:r>
      <w:proofErr w:type="spellStart"/>
      <w:r>
        <w:t>on-premise</w:t>
      </w:r>
      <w:proofErr w:type="spellEnd"/>
      <w:r>
        <w:t xml:space="preserve"> beer</w:t>
      </w:r>
    </w:p>
    <w:p w14:paraId="20870AD8"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AE1" w14:textId="77777777" w:rsidTr="00802D3E">
        <w:trPr>
          <w:cantSplit/>
          <w:jc w:val="center"/>
        </w:trPr>
        <w:tc>
          <w:tcPr>
            <w:tcW w:w="967" w:type="dxa"/>
            <w:tcBorders>
              <w:top w:val="single" w:sz="2" w:space="0" w:color="auto"/>
              <w:left w:val="nil"/>
              <w:bottom w:val="single" w:sz="2" w:space="0" w:color="auto"/>
              <w:right w:val="nil"/>
            </w:tcBorders>
            <w:hideMark/>
          </w:tcPr>
          <w:p w14:paraId="20870AD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AD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AD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AD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AD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AD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AD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AE0" w14:textId="77777777" w:rsidR="00802D3E" w:rsidRDefault="00802D3E">
            <w:pPr>
              <w:pStyle w:val="MeasureTableTextRightAligned"/>
            </w:pPr>
            <w:r>
              <w:t>2019-20</w:t>
            </w:r>
          </w:p>
        </w:tc>
      </w:tr>
      <w:tr w:rsidR="00802D3E" w14:paraId="20870AEA" w14:textId="77777777" w:rsidTr="00802D3E">
        <w:trPr>
          <w:cantSplit/>
          <w:jc w:val="center"/>
        </w:trPr>
        <w:tc>
          <w:tcPr>
            <w:tcW w:w="967" w:type="dxa"/>
            <w:tcBorders>
              <w:top w:val="single" w:sz="2" w:space="0" w:color="auto"/>
              <w:left w:val="nil"/>
              <w:bottom w:val="single" w:sz="2" w:space="0" w:color="auto"/>
              <w:right w:val="nil"/>
            </w:tcBorders>
            <w:hideMark/>
          </w:tcPr>
          <w:p w14:paraId="20870AE2"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hideMark/>
          </w:tcPr>
          <w:p w14:paraId="20870AE3"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vAlign w:val="bottom"/>
            <w:hideMark/>
          </w:tcPr>
          <w:p w14:paraId="20870AE4"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vAlign w:val="bottom"/>
            <w:hideMark/>
          </w:tcPr>
          <w:p w14:paraId="20870AE5"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vAlign w:val="bottom"/>
            <w:hideMark/>
          </w:tcPr>
          <w:p w14:paraId="20870AE6" w14:textId="77777777" w:rsidR="00802D3E" w:rsidRDefault="00802D3E">
            <w:pPr>
              <w:pStyle w:val="MeasureTableTextRightAligned"/>
            </w:pPr>
            <w:r>
              <w:t>4</w:t>
            </w:r>
          </w:p>
        </w:tc>
        <w:tc>
          <w:tcPr>
            <w:tcW w:w="967" w:type="dxa"/>
            <w:gridSpan w:val="2"/>
            <w:tcBorders>
              <w:top w:val="single" w:sz="2" w:space="0" w:color="auto"/>
              <w:left w:val="nil"/>
              <w:bottom w:val="single" w:sz="2" w:space="0" w:color="auto"/>
              <w:right w:val="nil"/>
            </w:tcBorders>
            <w:vAlign w:val="bottom"/>
            <w:hideMark/>
          </w:tcPr>
          <w:p w14:paraId="20870AE7" w14:textId="77777777" w:rsidR="00802D3E" w:rsidRDefault="00802D3E">
            <w:pPr>
              <w:pStyle w:val="MeasureTableTextRightAligned"/>
            </w:pPr>
            <w:r>
              <w:t>4</w:t>
            </w:r>
          </w:p>
        </w:tc>
        <w:tc>
          <w:tcPr>
            <w:tcW w:w="967" w:type="dxa"/>
            <w:gridSpan w:val="2"/>
            <w:tcBorders>
              <w:top w:val="single" w:sz="2" w:space="0" w:color="auto"/>
              <w:left w:val="nil"/>
              <w:bottom w:val="single" w:sz="2" w:space="0" w:color="auto"/>
              <w:right w:val="nil"/>
            </w:tcBorders>
            <w:vAlign w:val="bottom"/>
            <w:hideMark/>
          </w:tcPr>
          <w:p w14:paraId="20870AE8" w14:textId="77777777" w:rsidR="00802D3E" w:rsidRDefault="00802D3E">
            <w:pPr>
              <w:pStyle w:val="MeasureTableTextRightAligned"/>
            </w:pPr>
            <w:r>
              <w:t>4</w:t>
            </w:r>
          </w:p>
        </w:tc>
        <w:tc>
          <w:tcPr>
            <w:tcW w:w="968" w:type="dxa"/>
            <w:tcBorders>
              <w:top w:val="single" w:sz="2" w:space="0" w:color="auto"/>
              <w:left w:val="nil"/>
              <w:bottom w:val="single" w:sz="2" w:space="0" w:color="auto"/>
              <w:right w:val="nil"/>
            </w:tcBorders>
            <w:vAlign w:val="bottom"/>
            <w:hideMark/>
          </w:tcPr>
          <w:p w14:paraId="20870AE9" w14:textId="77777777" w:rsidR="00802D3E" w:rsidRDefault="00802D3E">
            <w:pPr>
              <w:pStyle w:val="MeasureTableTextRightAligned"/>
            </w:pPr>
            <w:r>
              <w:t>4</w:t>
            </w:r>
          </w:p>
        </w:tc>
      </w:tr>
      <w:tr w:rsidR="00802D3E" w14:paraId="20870AEF" w14:textId="77777777" w:rsidTr="00802D3E">
        <w:trPr>
          <w:cantSplit/>
          <w:jc w:val="center"/>
        </w:trPr>
        <w:tc>
          <w:tcPr>
            <w:tcW w:w="1934" w:type="dxa"/>
            <w:gridSpan w:val="2"/>
            <w:tcBorders>
              <w:top w:val="single" w:sz="2" w:space="0" w:color="auto"/>
              <w:left w:val="nil"/>
              <w:bottom w:val="nil"/>
              <w:right w:val="nil"/>
            </w:tcBorders>
            <w:hideMark/>
          </w:tcPr>
          <w:p w14:paraId="20870AE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AEC"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70AE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AEE" w14:textId="77777777" w:rsidR="00802D3E" w:rsidRDefault="00802D3E">
            <w:pPr>
              <w:pStyle w:val="MeasureTableTextLeftAligned"/>
            </w:pPr>
            <w:r>
              <w:t>F13</w:t>
            </w:r>
          </w:p>
        </w:tc>
      </w:tr>
      <w:tr w:rsidR="00802D3E" w14:paraId="20870AF4" w14:textId="77777777" w:rsidTr="00802D3E">
        <w:trPr>
          <w:cantSplit/>
          <w:jc w:val="center"/>
        </w:trPr>
        <w:tc>
          <w:tcPr>
            <w:tcW w:w="1934" w:type="dxa"/>
            <w:gridSpan w:val="2"/>
            <w:tcBorders>
              <w:top w:val="nil"/>
              <w:left w:val="nil"/>
              <w:bottom w:val="nil"/>
              <w:right w:val="nil"/>
            </w:tcBorders>
            <w:hideMark/>
          </w:tcPr>
          <w:p w14:paraId="20870AF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AF1"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AF2" w14:textId="77777777" w:rsidR="00802D3E" w:rsidRDefault="00802D3E">
            <w:pPr>
              <w:pStyle w:val="MeasureTableTextItalic"/>
            </w:pPr>
          </w:p>
        </w:tc>
        <w:tc>
          <w:tcPr>
            <w:tcW w:w="1124" w:type="dxa"/>
            <w:gridSpan w:val="2"/>
            <w:tcBorders>
              <w:top w:val="nil"/>
              <w:left w:val="nil"/>
              <w:bottom w:val="nil"/>
              <w:right w:val="nil"/>
            </w:tcBorders>
          </w:tcPr>
          <w:p w14:paraId="20870AF3" w14:textId="77777777" w:rsidR="00802D3E" w:rsidRDefault="00802D3E">
            <w:pPr>
              <w:pStyle w:val="MeasureTableTextLeftAligned"/>
            </w:pPr>
          </w:p>
        </w:tc>
      </w:tr>
      <w:tr w:rsidR="00802D3E" w14:paraId="20870AF9" w14:textId="77777777" w:rsidTr="00802D3E">
        <w:trPr>
          <w:cantSplit/>
          <w:jc w:val="center"/>
        </w:trPr>
        <w:tc>
          <w:tcPr>
            <w:tcW w:w="1934" w:type="dxa"/>
            <w:gridSpan w:val="2"/>
            <w:tcBorders>
              <w:top w:val="nil"/>
              <w:left w:val="nil"/>
              <w:bottom w:val="nil"/>
              <w:right w:val="nil"/>
            </w:tcBorders>
            <w:hideMark/>
          </w:tcPr>
          <w:p w14:paraId="20870AF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AF6" w14:textId="77777777" w:rsidR="00802D3E" w:rsidRDefault="00802D3E">
            <w:pPr>
              <w:pStyle w:val="MeasureTableTextLeftAligned"/>
            </w:pPr>
            <w:r>
              <w:t>1993</w:t>
            </w:r>
          </w:p>
        </w:tc>
        <w:tc>
          <w:tcPr>
            <w:tcW w:w="1500" w:type="dxa"/>
            <w:gridSpan w:val="2"/>
            <w:tcBorders>
              <w:top w:val="nil"/>
              <w:left w:val="nil"/>
              <w:bottom w:val="nil"/>
              <w:right w:val="nil"/>
            </w:tcBorders>
            <w:hideMark/>
          </w:tcPr>
          <w:p w14:paraId="20870AF7"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AF8" w14:textId="77777777" w:rsidR="00802D3E" w:rsidRDefault="00802D3E">
            <w:pPr>
              <w:pStyle w:val="MeasureTableTextLeftAligned"/>
            </w:pPr>
          </w:p>
        </w:tc>
      </w:tr>
      <w:tr w:rsidR="00802D3E" w14:paraId="20870AFC" w14:textId="77777777" w:rsidTr="00802D3E">
        <w:trPr>
          <w:cantSplit/>
          <w:jc w:val="center"/>
        </w:trPr>
        <w:tc>
          <w:tcPr>
            <w:tcW w:w="1934" w:type="dxa"/>
            <w:gridSpan w:val="2"/>
            <w:tcBorders>
              <w:top w:val="nil"/>
              <w:left w:val="nil"/>
              <w:bottom w:val="single" w:sz="2" w:space="0" w:color="auto"/>
              <w:right w:val="nil"/>
            </w:tcBorders>
            <w:hideMark/>
          </w:tcPr>
          <w:p w14:paraId="20870AF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AFB"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Item 1 of the Schedule to the </w:t>
            </w:r>
            <w:r w:rsidRPr="00106337">
              <w:rPr>
                <w:rFonts w:ascii="Arial" w:hAnsi="Arial" w:cs="Arial"/>
                <w:i/>
                <w:iCs/>
                <w:color w:val="000000"/>
                <w:sz w:val="16"/>
                <w:szCs w:val="16"/>
              </w:rPr>
              <w:t>Excise Tariff Act 1921</w:t>
            </w:r>
          </w:p>
        </w:tc>
      </w:tr>
    </w:tbl>
    <w:p w14:paraId="20870AFD" w14:textId="77777777" w:rsidR="00802D3E" w:rsidRDefault="00802D3E" w:rsidP="00A109BC">
      <w:pPr>
        <w:pStyle w:val="SingleParagraph"/>
      </w:pPr>
    </w:p>
    <w:p w14:paraId="20870AFE" w14:textId="77777777" w:rsidR="00802D3E" w:rsidRDefault="00802D3E" w:rsidP="00802D3E">
      <w:r>
        <w:t>Brew</w:t>
      </w:r>
      <w:r>
        <w:noBreakHyphen/>
      </w:r>
      <w:proofErr w:type="spellStart"/>
      <w:r>
        <w:t>on</w:t>
      </w:r>
      <w:r>
        <w:noBreakHyphen/>
        <w:t>premise</w:t>
      </w:r>
      <w:proofErr w:type="spellEnd"/>
      <w:r>
        <w:t xml:space="preserve"> beer</w:t>
      </w:r>
      <w:r>
        <w:fldChar w:fldCharType="begin"/>
      </w:r>
      <w:r>
        <w:instrText xml:space="preserve"> XE "Alcohol:Brew</w:instrText>
      </w:r>
      <w:r>
        <w:noBreakHyphen/>
        <w:instrText>on</w:instrText>
      </w:r>
      <w:r>
        <w:noBreakHyphen/>
        <w:instrText xml:space="preserve">premise beer" </w:instrText>
      </w:r>
      <w:r>
        <w:fldChar w:fldCharType="end"/>
      </w:r>
      <w:r>
        <w:t xml:space="preserve"> (that is, beer produced for non</w:t>
      </w:r>
      <w:r>
        <w:noBreakHyphen/>
        <w:t xml:space="preserve">commercial purposes using commercial facilities or equipment) is subject to a lower rate of excise than the benchmark rate of full strength beer packaged in individual containers not exceeding 48 litres. </w:t>
      </w:r>
    </w:p>
    <w:p w14:paraId="20870AFF" w14:textId="77777777" w:rsidR="00802D3E" w:rsidRDefault="00802D3E" w:rsidP="00802D3E">
      <w:pPr>
        <w:pStyle w:val="TESHeading5"/>
        <w:ind w:left="0" w:firstLine="0"/>
      </w:pPr>
      <w:r>
        <w:lastRenderedPageBreak/>
        <w:t>F14</w:t>
      </w:r>
      <w:r>
        <w:tab/>
        <w:t>Concessional rate of excise levied on draught beer</w:t>
      </w:r>
    </w:p>
    <w:p w14:paraId="20870B00"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B09" w14:textId="77777777" w:rsidTr="00802D3E">
        <w:trPr>
          <w:cantSplit/>
          <w:jc w:val="center"/>
        </w:trPr>
        <w:tc>
          <w:tcPr>
            <w:tcW w:w="967" w:type="dxa"/>
            <w:tcBorders>
              <w:top w:val="single" w:sz="2" w:space="0" w:color="auto"/>
              <w:left w:val="nil"/>
              <w:bottom w:val="single" w:sz="2" w:space="0" w:color="auto"/>
              <w:right w:val="nil"/>
            </w:tcBorders>
            <w:hideMark/>
          </w:tcPr>
          <w:p w14:paraId="20870B0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B0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B0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B0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B0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B0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B0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B08" w14:textId="77777777" w:rsidR="00802D3E" w:rsidRDefault="00802D3E">
            <w:pPr>
              <w:pStyle w:val="MeasureTableTextRightAligned"/>
            </w:pPr>
            <w:r>
              <w:t>2019-20</w:t>
            </w:r>
          </w:p>
        </w:tc>
      </w:tr>
      <w:tr w:rsidR="00802D3E" w14:paraId="20870B12" w14:textId="77777777" w:rsidTr="00802D3E">
        <w:trPr>
          <w:cantSplit/>
          <w:jc w:val="center"/>
        </w:trPr>
        <w:tc>
          <w:tcPr>
            <w:tcW w:w="967" w:type="dxa"/>
            <w:tcBorders>
              <w:top w:val="single" w:sz="2" w:space="0" w:color="auto"/>
              <w:left w:val="nil"/>
              <w:bottom w:val="single" w:sz="2" w:space="0" w:color="auto"/>
              <w:right w:val="nil"/>
            </w:tcBorders>
            <w:hideMark/>
          </w:tcPr>
          <w:p w14:paraId="20870B0A" w14:textId="77777777" w:rsidR="00802D3E" w:rsidRDefault="00802D3E">
            <w:pPr>
              <w:pStyle w:val="MeasureTableTextRightAligned"/>
            </w:pPr>
            <w:r>
              <w:t>155</w:t>
            </w:r>
          </w:p>
        </w:tc>
        <w:tc>
          <w:tcPr>
            <w:tcW w:w="967" w:type="dxa"/>
            <w:tcBorders>
              <w:top w:val="single" w:sz="2" w:space="0" w:color="auto"/>
              <w:left w:val="nil"/>
              <w:bottom w:val="single" w:sz="2" w:space="0" w:color="auto"/>
              <w:right w:val="nil"/>
            </w:tcBorders>
            <w:hideMark/>
          </w:tcPr>
          <w:p w14:paraId="20870B0B" w14:textId="77777777" w:rsidR="00802D3E" w:rsidRDefault="00802D3E">
            <w:pPr>
              <w:pStyle w:val="MeasureTableTextRightAligned"/>
            </w:pPr>
            <w:r>
              <w:t>160</w:t>
            </w:r>
          </w:p>
        </w:tc>
        <w:tc>
          <w:tcPr>
            <w:tcW w:w="967" w:type="dxa"/>
            <w:tcBorders>
              <w:top w:val="single" w:sz="2" w:space="0" w:color="auto"/>
              <w:left w:val="nil"/>
              <w:bottom w:val="single" w:sz="2" w:space="0" w:color="auto"/>
              <w:right w:val="nil"/>
            </w:tcBorders>
            <w:vAlign w:val="bottom"/>
            <w:hideMark/>
          </w:tcPr>
          <w:p w14:paraId="20870B0C" w14:textId="77777777" w:rsidR="00802D3E" w:rsidRDefault="00802D3E">
            <w:pPr>
              <w:pStyle w:val="MeasureTableTextRightAligned"/>
            </w:pPr>
            <w:r>
              <w:t>160</w:t>
            </w:r>
          </w:p>
        </w:tc>
        <w:tc>
          <w:tcPr>
            <w:tcW w:w="967" w:type="dxa"/>
            <w:tcBorders>
              <w:top w:val="single" w:sz="2" w:space="0" w:color="auto"/>
              <w:left w:val="nil"/>
              <w:bottom w:val="single" w:sz="2" w:space="0" w:color="auto"/>
              <w:right w:val="nil"/>
            </w:tcBorders>
            <w:vAlign w:val="bottom"/>
            <w:hideMark/>
          </w:tcPr>
          <w:p w14:paraId="20870B0D" w14:textId="77777777" w:rsidR="00802D3E" w:rsidRDefault="00802D3E">
            <w:pPr>
              <w:pStyle w:val="MeasureTableTextRightAligned"/>
            </w:pPr>
            <w:r>
              <w:t>160</w:t>
            </w:r>
          </w:p>
        </w:tc>
        <w:tc>
          <w:tcPr>
            <w:tcW w:w="967" w:type="dxa"/>
            <w:tcBorders>
              <w:top w:val="single" w:sz="2" w:space="0" w:color="auto"/>
              <w:left w:val="nil"/>
              <w:bottom w:val="single" w:sz="2" w:space="0" w:color="auto"/>
              <w:right w:val="nil"/>
            </w:tcBorders>
            <w:vAlign w:val="bottom"/>
            <w:hideMark/>
          </w:tcPr>
          <w:p w14:paraId="20870B0E" w14:textId="77777777" w:rsidR="00802D3E" w:rsidRDefault="00802D3E">
            <w:pPr>
              <w:pStyle w:val="MeasureTableTextRightAligned"/>
            </w:pPr>
            <w:r>
              <w:t>165</w:t>
            </w:r>
          </w:p>
        </w:tc>
        <w:tc>
          <w:tcPr>
            <w:tcW w:w="967" w:type="dxa"/>
            <w:gridSpan w:val="2"/>
            <w:tcBorders>
              <w:top w:val="single" w:sz="2" w:space="0" w:color="auto"/>
              <w:left w:val="nil"/>
              <w:bottom w:val="single" w:sz="2" w:space="0" w:color="auto"/>
              <w:right w:val="nil"/>
            </w:tcBorders>
            <w:vAlign w:val="bottom"/>
            <w:hideMark/>
          </w:tcPr>
          <w:p w14:paraId="20870B0F" w14:textId="77777777" w:rsidR="00802D3E" w:rsidRDefault="00802D3E">
            <w:pPr>
              <w:pStyle w:val="MeasureTableTextRightAligned"/>
            </w:pPr>
            <w:r>
              <w:t>170</w:t>
            </w:r>
          </w:p>
        </w:tc>
        <w:tc>
          <w:tcPr>
            <w:tcW w:w="967" w:type="dxa"/>
            <w:gridSpan w:val="2"/>
            <w:tcBorders>
              <w:top w:val="single" w:sz="2" w:space="0" w:color="auto"/>
              <w:left w:val="nil"/>
              <w:bottom w:val="single" w:sz="2" w:space="0" w:color="auto"/>
              <w:right w:val="nil"/>
            </w:tcBorders>
            <w:vAlign w:val="bottom"/>
            <w:hideMark/>
          </w:tcPr>
          <w:p w14:paraId="20870B10" w14:textId="77777777" w:rsidR="00802D3E" w:rsidRDefault="00802D3E">
            <w:pPr>
              <w:pStyle w:val="MeasureTableTextRightAligned"/>
            </w:pPr>
            <w:r>
              <w:t>175</w:t>
            </w:r>
          </w:p>
        </w:tc>
        <w:tc>
          <w:tcPr>
            <w:tcW w:w="968" w:type="dxa"/>
            <w:tcBorders>
              <w:top w:val="single" w:sz="2" w:space="0" w:color="auto"/>
              <w:left w:val="nil"/>
              <w:bottom w:val="single" w:sz="2" w:space="0" w:color="auto"/>
              <w:right w:val="nil"/>
            </w:tcBorders>
            <w:vAlign w:val="bottom"/>
            <w:hideMark/>
          </w:tcPr>
          <w:p w14:paraId="20870B11" w14:textId="77777777" w:rsidR="00802D3E" w:rsidRDefault="00802D3E">
            <w:pPr>
              <w:pStyle w:val="MeasureTableTextRightAligned"/>
            </w:pPr>
            <w:r>
              <w:t>185</w:t>
            </w:r>
          </w:p>
        </w:tc>
      </w:tr>
      <w:tr w:rsidR="00802D3E" w14:paraId="20870B17" w14:textId="77777777" w:rsidTr="00802D3E">
        <w:trPr>
          <w:cantSplit/>
          <w:jc w:val="center"/>
        </w:trPr>
        <w:tc>
          <w:tcPr>
            <w:tcW w:w="1934" w:type="dxa"/>
            <w:gridSpan w:val="2"/>
            <w:tcBorders>
              <w:top w:val="single" w:sz="2" w:space="0" w:color="auto"/>
              <w:left w:val="nil"/>
              <w:bottom w:val="nil"/>
              <w:right w:val="nil"/>
            </w:tcBorders>
            <w:hideMark/>
          </w:tcPr>
          <w:p w14:paraId="20870B1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B14"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70B1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B16" w14:textId="77777777" w:rsidR="00802D3E" w:rsidRDefault="00802D3E">
            <w:pPr>
              <w:pStyle w:val="MeasureTableTextLeftAligned"/>
            </w:pPr>
            <w:r>
              <w:t>F14</w:t>
            </w:r>
          </w:p>
        </w:tc>
      </w:tr>
      <w:tr w:rsidR="00802D3E" w14:paraId="20870B1C" w14:textId="77777777" w:rsidTr="00802D3E">
        <w:trPr>
          <w:cantSplit/>
          <w:jc w:val="center"/>
        </w:trPr>
        <w:tc>
          <w:tcPr>
            <w:tcW w:w="1934" w:type="dxa"/>
            <w:gridSpan w:val="2"/>
            <w:tcBorders>
              <w:top w:val="nil"/>
              <w:left w:val="nil"/>
              <w:bottom w:val="nil"/>
              <w:right w:val="nil"/>
            </w:tcBorders>
            <w:hideMark/>
          </w:tcPr>
          <w:p w14:paraId="20870B1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B19"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B1A" w14:textId="77777777" w:rsidR="00802D3E" w:rsidRDefault="00802D3E">
            <w:pPr>
              <w:pStyle w:val="MeasureTableTextItalic"/>
            </w:pPr>
          </w:p>
        </w:tc>
        <w:tc>
          <w:tcPr>
            <w:tcW w:w="1124" w:type="dxa"/>
            <w:gridSpan w:val="2"/>
            <w:tcBorders>
              <w:top w:val="nil"/>
              <w:left w:val="nil"/>
              <w:bottom w:val="nil"/>
              <w:right w:val="nil"/>
            </w:tcBorders>
          </w:tcPr>
          <w:p w14:paraId="20870B1B" w14:textId="77777777" w:rsidR="00802D3E" w:rsidRDefault="00802D3E">
            <w:pPr>
              <w:pStyle w:val="MeasureTableTextLeftAligned"/>
            </w:pPr>
          </w:p>
        </w:tc>
      </w:tr>
      <w:tr w:rsidR="00802D3E" w14:paraId="20870B21" w14:textId="77777777" w:rsidTr="00802D3E">
        <w:trPr>
          <w:cantSplit/>
          <w:jc w:val="center"/>
        </w:trPr>
        <w:tc>
          <w:tcPr>
            <w:tcW w:w="1934" w:type="dxa"/>
            <w:gridSpan w:val="2"/>
            <w:tcBorders>
              <w:top w:val="nil"/>
              <w:left w:val="nil"/>
              <w:bottom w:val="nil"/>
              <w:right w:val="nil"/>
            </w:tcBorders>
            <w:hideMark/>
          </w:tcPr>
          <w:p w14:paraId="20870B1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B1E" w14:textId="77777777" w:rsidR="00802D3E" w:rsidRDefault="00802D3E">
            <w:pPr>
              <w:pStyle w:val="MeasureTableTextLeftAligned"/>
            </w:pPr>
            <w:r>
              <w:t>2001</w:t>
            </w:r>
          </w:p>
        </w:tc>
        <w:tc>
          <w:tcPr>
            <w:tcW w:w="1500" w:type="dxa"/>
            <w:gridSpan w:val="2"/>
            <w:tcBorders>
              <w:top w:val="nil"/>
              <w:left w:val="nil"/>
              <w:bottom w:val="nil"/>
              <w:right w:val="nil"/>
            </w:tcBorders>
            <w:hideMark/>
          </w:tcPr>
          <w:p w14:paraId="20870B1F"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B20" w14:textId="77777777" w:rsidR="00802D3E" w:rsidRDefault="00802D3E">
            <w:pPr>
              <w:pStyle w:val="MeasureTableTextLeftAligned"/>
            </w:pPr>
          </w:p>
        </w:tc>
      </w:tr>
      <w:tr w:rsidR="00802D3E" w14:paraId="20870B24" w14:textId="77777777" w:rsidTr="00802D3E">
        <w:trPr>
          <w:cantSplit/>
          <w:jc w:val="center"/>
        </w:trPr>
        <w:tc>
          <w:tcPr>
            <w:tcW w:w="1934" w:type="dxa"/>
            <w:gridSpan w:val="2"/>
            <w:tcBorders>
              <w:top w:val="nil"/>
              <w:left w:val="nil"/>
              <w:bottom w:val="single" w:sz="2" w:space="0" w:color="auto"/>
              <w:right w:val="nil"/>
            </w:tcBorders>
            <w:hideMark/>
          </w:tcPr>
          <w:p w14:paraId="20870B2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B23"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Item 1 of the Schedule to the </w:t>
            </w:r>
            <w:r w:rsidRPr="00106337">
              <w:rPr>
                <w:rFonts w:ascii="Arial" w:hAnsi="Arial" w:cs="Arial"/>
                <w:i/>
                <w:iCs/>
                <w:color w:val="000000"/>
                <w:sz w:val="16"/>
                <w:szCs w:val="16"/>
              </w:rPr>
              <w:t>Excise Tariff Act 1921</w:t>
            </w:r>
          </w:p>
        </w:tc>
      </w:tr>
    </w:tbl>
    <w:p w14:paraId="20870B25" w14:textId="77777777" w:rsidR="00802D3E" w:rsidRDefault="00802D3E" w:rsidP="00A109BC">
      <w:pPr>
        <w:pStyle w:val="SingleParagraph"/>
      </w:pPr>
    </w:p>
    <w:p w14:paraId="20870B26" w14:textId="77777777" w:rsidR="00802D3E" w:rsidRDefault="00802D3E" w:rsidP="00802D3E">
      <w:r>
        <w:t>Draught beer</w:t>
      </w:r>
      <w:r>
        <w:fldChar w:fldCharType="begin"/>
      </w:r>
      <w:r>
        <w:instrText xml:space="preserve"> XE "Alcohol:Draught beer" </w:instrText>
      </w:r>
      <w:r>
        <w:fldChar w:fldCharType="end"/>
      </w:r>
      <w:r>
        <w:t xml:space="preserve"> (that is, beer packaged in individual containers exceeding 48 litres) is subject to a lower rate of excise than the benchmark rate of full strength beer packaged in individual containers not exceeding 48 litres. </w:t>
      </w:r>
    </w:p>
    <w:p w14:paraId="20870B27" w14:textId="77777777" w:rsidR="00802D3E" w:rsidRDefault="00802D3E" w:rsidP="00802D3E">
      <w:pPr>
        <w:pStyle w:val="TESHeading5"/>
        <w:ind w:left="0" w:firstLine="0"/>
      </w:pPr>
      <w:r>
        <w:t>F15</w:t>
      </w:r>
      <w:r>
        <w:tab/>
        <w:t>Concessional rate of excise levied on low strength packaged beer</w:t>
      </w:r>
    </w:p>
    <w:p w14:paraId="20870B28"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B31" w14:textId="77777777" w:rsidTr="00802D3E">
        <w:trPr>
          <w:cantSplit/>
          <w:jc w:val="center"/>
        </w:trPr>
        <w:tc>
          <w:tcPr>
            <w:tcW w:w="967" w:type="dxa"/>
            <w:tcBorders>
              <w:top w:val="single" w:sz="2" w:space="0" w:color="auto"/>
              <w:left w:val="nil"/>
              <w:bottom w:val="single" w:sz="2" w:space="0" w:color="auto"/>
              <w:right w:val="nil"/>
            </w:tcBorders>
            <w:hideMark/>
          </w:tcPr>
          <w:p w14:paraId="20870B2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B2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B2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B2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B2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B2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B2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B30" w14:textId="77777777" w:rsidR="00802D3E" w:rsidRDefault="00802D3E">
            <w:pPr>
              <w:pStyle w:val="MeasureTableTextRightAligned"/>
            </w:pPr>
            <w:r>
              <w:t>2019-20</w:t>
            </w:r>
          </w:p>
        </w:tc>
      </w:tr>
      <w:tr w:rsidR="00802D3E" w14:paraId="20870B3A" w14:textId="77777777" w:rsidTr="00802D3E">
        <w:trPr>
          <w:cantSplit/>
          <w:jc w:val="center"/>
        </w:trPr>
        <w:tc>
          <w:tcPr>
            <w:tcW w:w="967" w:type="dxa"/>
            <w:tcBorders>
              <w:top w:val="single" w:sz="2" w:space="0" w:color="auto"/>
              <w:left w:val="nil"/>
              <w:bottom w:val="single" w:sz="2" w:space="0" w:color="auto"/>
              <w:right w:val="nil"/>
            </w:tcBorders>
            <w:hideMark/>
          </w:tcPr>
          <w:p w14:paraId="20870B32" w14:textId="77777777" w:rsidR="00802D3E" w:rsidRDefault="00802D3E">
            <w:pPr>
              <w:pStyle w:val="MeasureTableTextRightAligned"/>
            </w:pPr>
            <w:r>
              <w:t>8</w:t>
            </w:r>
          </w:p>
        </w:tc>
        <w:tc>
          <w:tcPr>
            <w:tcW w:w="967" w:type="dxa"/>
            <w:tcBorders>
              <w:top w:val="single" w:sz="2" w:space="0" w:color="auto"/>
              <w:left w:val="nil"/>
              <w:bottom w:val="single" w:sz="2" w:space="0" w:color="auto"/>
              <w:right w:val="nil"/>
            </w:tcBorders>
            <w:hideMark/>
          </w:tcPr>
          <w:p w14:paraId="20870B33" w14:textId="77777777" w:rsidR="00802D3E" w:rsidRDefault="00802D3E">
            <w:pPr>
              <w:pStyle w:val="MeasureTableTextRightAligned"/>
            </w:pPr>
            <w:r>
              <w:t>7</w:t>
            </w:r>
          </w:p>
        </w:tc>
        <w:tc>
          <w:tcPr>
            <w:tcW w:w="967" w:type="dxa"/>
            <w:tcBorders>
              <w:top w:val="single" w:sz="2" w:space="0" w:color="auto"/>
              <w:left w:val="nil"/>
              <w:bottom w:val="single" w:sz="2" w:space="0" w:color="auto"/>
              <w:right w:val="nil"/>
            </w:tcBorders>
            <w:vAlign w:val="bottom"/>
            <w:hideMark/>
          </w:tcPr>
          <w:p w14:paraId="20870B34" w14:textId="77777777" w:rsidR="00802D3E" w:rsidRDefault="00802D3E">
            <w:pPr>
              <w:pStyle w:val="MeasureTableTextRightAligned"/>
            </w:pPr>
            <w:r>
              <w:t>6</w:t>
            </w:r>
          </w:p>
        </w:tc>
        <w:tc>
          <w:tcPr>
            <w:tcW w:w="967" w:type="dxa"/>
            <w:tcBorders>
              <w:top w:val="single" w:sz="2" w:space="0" w:color="auto"/>
              <w:left w:val="nil"/>
              <w:bottom w:val="single" w:sz="2" w:space="0" w:color="auto"/>
              <w:right w:val="nil"/>
            </w:tcBorders>
            <w:vAlign w:val="bottom"/>
            <w:hideMark/>
          </w:tcPr>
          <w:p w14:paraId="20870B35" w14:textId="77777777" w:rsidR="00802D3E" w:rsidRDefault="00802D3E">
            <w:pPr>
              <w:pStyle w:val="MeasureTableTextRightAligned"/>
            </w:pPr>
            <w:r>
              <w:t>6</w:t>
            </w:r>
          </w:p>
        </w:tc>
        <w:tc>
          <w:tcPr>
            <w:tcW w:w="967" w:type="dxa"/>
            <w:tcBorders>
              <w:top w:val="single" w:sz="2" w:space="0" w:color="auto"/>
              <w:left w:val="nil"/>
              <w:bottom w:val="single" w:sz="2" w:space="0" w:color="auto"/>
              <w:right w:val="nil"/>
            </w:tcBorders>
            <w:vAlign w:val="bottom"/>
            <w:hideMark/>
          </w:tcPr>
          <w:p w14:paraId="20870B36" w14:textId="77777777" w:rsidR="00802D3E" w:rsidRDefault="00802D3E">
            <w:pPr>
              <w:pStyle w:val="MeasureTableTextRightAligned"/>
            </w:pPr>
            <w:r>
              <w:t>5</w:t>
            </w:r>
          </w:p>
        </w:tc>
        <w:tc>
          <w:tcPr>
            <w:tcW w:w="967" w:type="dxa"/>
            <w:gridSpan w:val="2"/>
            <w:tcBorders>
              <w:top w:val="single" w:sz="2" w:space="0" w:color="auto"/>
              <w:left w:val="nil"/>
              <w:bottom w:val="single" w:sz="2" w:space="0" w:color="auto"/>
              <w:right w:val="nil"/>
            </w:tcBorders>
            <w:vAlign w:val="bottom"/>
            <w:hideMark/>
          </w:tcPr>
          <w:p w14:paraId="20870B37" w14:textId="77777777" w:rsidR="00802D3E" w:rsidRDefault="00802D3E">
            <w:pPr>
              <w:pStyle w:val="MeasureTableTextRightAligned"/>
            </w:pPr>
            <w:r>
              <w:t>6</w:t>
            </w:r>
          </w:p>
        </w:tc>
        <w:tc>
          <w:tcPr>
            <w:tcW w:w="967" w:type="dxa"/>
            <w:gridSpan w:val="2"/>
            <w:tcBorders>
              <w:top w:val="single" w:sz="2" w:space="0" w:color="auto"/>
              <w:left w:val="nil"/>
              <w:bottom w:val="single" w:sz="2" w:space="0" w:color="auto"/>
              <w:right w:val="nil"/>
            </w:tcBorders>
            <w:vAlign w:val="bottom"/>
            <w:hideMark/>
          </w:tcPr>
          <w:p w14:paraId="20870B38" w14:textId="77777777" w:rsidR="00802D3E" w:rsidRDefault="00802D3E">
            <w:pPr>
              <w:pStyle w:val="MeasureTableTextRightAligned"/>
            </w:pPr>
            <w:r>
              <w:t>6</w:t>
            </w:r>
          </w:p>
        </w:tc>
        <w:tc>
          <w:tcPr>
            <w:tcW w:w="968" w:type="dxa"/>
            <w:tcBorders>
              <w:top w:val="single" w:sz="2" w:space="0" w:color="auto"/>
              <w:left w:val="nil"/>
              <w:bottom w:val="single" w:sz="2" w:space="0" w:color="auto"/>
              <w:right w:val="nil"/>
            </w:tcBorders>
            <w:vAlign w:val="bottom"/>
            <w:hideMark/>
          </w:tcPr>
          <w:p w14:paraId="20870B39" w14:textId="77777777" w:rsidR="00802D3E" w:rsidRDefault="00802D3E">
            <w:pPr>
              <w:pStyle w:val="MeasureTableTextRightAligned"/>
            </w:pPr>
            <w:r>
              <w:t>6</w:t>
            </w:r>
          </w:p>
        </w:tc>
      </w:tr>
      <w:tr w:rsidR="00802D3E" w14:paraId="20870B3F" w14:textId="77777777" w:rsidTr="00802D3E">
        <w:trPr>
          <w:cantSplit/>
          <w:jc w:val="center"/>
        </w:trPr>
        <w:tc>
          <w:tcPr>
            <w:tcW w:w="1934" w:type="dxa"/>
            <w:gridSpan w:val="2"/>
            <w:tcBorders>
              <w:top w:val="single" w:sz="2" w:space="0" w:color="auto"/>
              <w:left w:val="nil"/>
              <w:bottom w:val="nil"/>
              <w:right w:val="nil"/>
            </w:tcBorders>
            <w:hideMark/>
          </w:tcPr>
          <w:p w14:paraId="20870B3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B3C"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70B3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B3E" w14:textId="77777777" w:rsidR="00802D3E" w:rsidRDefault="00802D3E">
            <w:pPr>
              <w:pStyle w:val="MeasureTableTextLeftAligned"/>
            </w:pPr>
            <w:r>
              <w:t>F15</w:t>
            </w:r>
          </w:p>
        </w:tc>
      </w:tr>
      <w:tr w:rsidR="00802D3E" w14:paraId="20870B44" w14:textId="77777777" w:rsidTr="00802D3E">
        <w:trPr>
          <w:cantSplit/>
          <w:jc w:val="center"/>
        </w:trPr>
        <w:tc>
          <w:tcPr>
            <w:tcW w:w="1934" w:type="dxa"/>
            <w:gridSpan w:val="2"/>
            <w:tcBorders>
              <w:top w:val="nil"/>
              <w:left w:val="nil"/>
              <w:bottom w:val="nil"/>
              <w:right w:val="nil"/>
            </w:tcBorders>
            <w:hideMark/>
          </w:tcPr>
          <w:p w14:paraId="20870B4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B41"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B42" w14:textId="77777777" w:rsidR="00802D3E" w:rsidRDefault="00802D3E">
            <w:pPr>
              <w:pStyle w:val="MeasureTableTextItalic"/>
            </w:pPr>
          </w:p>
        </w:tc>
        <w:tc>
          <w:tcPr>
            <w:tcW w:w="1124" w:type="dxa"/>
            <w:gridSpan w:val="2"/>
            <w:tcBorders>
              <w:top w:val="nil"/>
              <w:left w:val="nil"/>
              <w:bottom w:val="nil"/>
              <w:right w:val="nil"/>
            </w:tcBorders>
          </w:tcPr>
          <w:p w14:paraId="20870B43" w14:textId="77777777" w:rsidR="00802D3E" w:rsidRDefault="00802D3E">
            <w:pPr>
              <w:pStyle w:val="MeasureTableTextLeftAligned"/>
            </w:pPr>
          </w:p>
        </w:tc>
      </w:tr>
      <w:tr w:rsidR="00802D3E" w14:paraId="20870B49" w14:textId="77777777" w:rsidTr="00802D3E">
        <w:trPr>
          <w:cantSplit/>
          <w:jc w:val="center"/>
        </w:trPr>
        <w:tc>
          <w:tcPr>
            <w:tcW w:w="1934" w:type="dxa"/>
            <w:gridSpan w:val="2"/>
            <w:tcBorders>
              <w:top w:val="nil"/>
              <w:left w:val="nil"/>
              <w:bottom w:val="nil"/>
              <w:right w:val="nil"/>
            </w:tcBorders>
            <w:hideMark/>
          </w:tcPr>
          <w:p w14:paraId="20870B4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B46" w14:textId="77777777" w:rsidR="00802D3E" w:rsidRDefault="00802D3E">
            <w:pPr>
              <w:pStyle w:val="MeasureTableTextLeftAligned"/>
            </w:pPr>
            <w:r>
              <w:t>21 August 1984</w:t>
            </w:r>
          </w:p>
        </w:tc>
        <w:tc>
          <w:tcPr>
            <w:tcW w:w="1500" w:type="dxa"/>
            <w:gridSpan w:val="2"/>
            <w:tcBorders>
              <w:top w:val="nil"/>
              <w:left w:val="nil"/>
              <w:bottom w:val="nil"/>
              <w:right w:val="nil"/>
            </w:tcBorders>
            <w:hideMark/>
          </w:tcPr>
          <w:p w14:paraId="20870B47"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B48" w14:textId="77777777" w:rsidR="00802D3E" w:rsidRDefault="00802D3E">
            <w:pPr>
              <w:pStyle w:val="MeasureTableTextLeftAligned"/>
            </w:pPr>
          </w:p>
        </w:tc>
      </w:tr>
      <w:tr w:rsidR="00802D3E" w14:paraId="20870B4C" w14:textId="77777777" w:rsidTr="00802D3E">
        <w:trPr>
          <w:cantSplit/>
          <w:jc w:val="center"/>
        </w:trPr>
        <w:tc>
          <w:tcPr>
            <w:tcW w:w="1934" w:type="dxa"/>
            <w:gridSpan w:val="2"/>
            <w:tcBorders>
              <w:top w:val="nil"/>
              <w:left w:val="nil"/>
              <w:bottom w:val="single" w:sz="2" w:space="0" w:color="auto"/>
              <w:right w:val="nil"/>
            </w:tcBorders>
            <w:hideMark/>
          </w:tcPr>
          <w:p w14:paraId="20870B4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B4B"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Item 1 of the Schedule to the </w:t>
            </w:r>
            <w:r w:rsidRPr="00106337">
              <w:rPr>
                <w:rFonts w:ascii="Arial" w:hAnsi="Arial" w:cs="Arial"/>
                <w:i/>
                <w:iCs/>
                <w:color w:val="000000"/>
                <w:sz w:val="16"/>
                <w:szCs w:val="16"/>
              </w:rPr>
              <w:t>Excise Tariff Act 1921</w:t>
            </w:r>
          </w:p>
        </w:tc>
      </w:tr>
    </w:tbl>
    <w:p w14:paraId="20870B4D" w14:textId="77777777" w:rsidR="00802D3E" w:rsidRDefault="00802D3E" w:rsidP="00A109BC">
      <w:pPr>
        <w:pStyle w:val="SingleParagraph"/>
      </w:pPr>
    </w:p>
    <w:p w14:paraId="20870B4E" w14:textId="77777777" w:rsidR="00802D3E" w:rsidRDefault="00802D3E" w:rsidP="00802D3E">
      <w:r>
        <w:t>Low strength beer</w:t>
      </w:r>
      <w:r>
        <w:fldChar w:fldCharType="begin"/>
      </w:r>
      <w:r>
        <w:instrText xml:space="preserve"> XE "Alcohol:Low-strength beer" </w:instrText>
      </w:r>
      <w:r>
        <w:fldChar w:fldCharType="end"/>
      </w:r>
      <w:r>
        <w:t xml:space="preserve"> with an alcohol content of no more than 3 per cent packaged in containers not exceeding 48 litres is subject to a lower rate of excise than the benchmark rate of similarly packaged full strength beer. </w:t>
      </w:r>
    </w:p>
    <w:p w14:paraId="20870B4F" w14:textId="77777777" w:rsidR="00802D3E" w:rsidRDefault="00802D3E" w:rsidP="00802D3E">
      <w:pPr>
        <w:pStyle w:val="TESHeading5"/>
        <w:ind w:left="0" w:firstLine="0"/>
      </w:pPr>
      <w:r>
        <w:t>F16</w:t>
      </w:r>
      <w:r>
        <w:tab/>
        <w:t>Excise concession for breweries</w:t>
      </w:r>
    </w:p>
    <w:p w14:paraId="20870B50"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B59" w14:textId="77777777" w:rsidTr="00802D3E">
        <w:trPr>
          <w:cantSplit/>
          <w:jc w:val="center"/>
        </w:trPr>
        <w:tc>
          <w:tcPr>
            <w:tcW w:w="967" w:type="dxa"/>
            <w:tcBorders>
              <w:top w:val="single" w:sz="2" w:space="0" w:color="auto"/>
              <w:left w:val="nil"/>
              <w:bottom w:val="single" w:sz="2" w:space="0" w:color="auto"/>
              <w:right w:val="nil"/>
            </w:tcBorders>
            <w:hideMark/>
          </w:tcPr>
          <w:p w14:paraId="20870B5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B5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B5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B5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B5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B5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B5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B58" w14:textId="77777777" w:rsidR="00802D3E" w:rsidRDefault="00802D3E">
            <w:pPr>
              <w:pStyle w:val="MeasureTableTextRightAligned"/>
            </w:pPr>
            <w:r>
              <w:t>2019-20</w:t>
            </w:r>
          </w:p>
        </w:tc>
      </w:tr>
      <w:tr w:rsidR="00802D3E" w14:paraId="20870B62" w14:textId="77777777" w:rsidTr="00802D3E">
        <w:trPr>
          <w:cantSplit/>
          <w:jc w:val="center"/>
        </w:trPr>
        <w:tc>
          <w:tcPr>
            <w:tcW w:w="967" w:type="dxa"/>
            <w:tcBorders>
              <w:top w:val="single" w:sz="2" w:space="0" w:color="auto"/>
              <w:left w:val="nil"/>
              <w:bottom w:val="single" w:sz="2" w:space="0" w:color="auto"/>
              <w:right w:val="nil"/>
            </w:tcBorders>
            <w:hideMark/>
          </w:tcPr>
          <w:p w14:paraId="20870B5A" w14:textId="77777777" w:rsidR="00802D3E" w:rsidRDefault="00802D3E">
            <w:pPr>
              <w:pStyle w:val="MeasureTableTextRightAligned"/>
            </w:pPr>
            <w:r>
              <w:t>4</w:t>
            </w:r>
          </w:p>
        </w:tc>
        <w:tc>
          <w:tcPr>
            <w:tcW w:w="967" w:type="dxa"/>
            <w:tcBorders>
              <w:top w:val="single" w:sz="2" w:space="0" w:color="auto"/>
              <w:left w:val="nil"/>
              <w:bottom w:val="single" w:sz="2" w:space="0" w:color="auto"/>
              <w:right w:val="nil"/>
            </w:tcBorders>
            <w:hideMark/>
          </w:tcPr>
          <w:p w14:paraId="20870B5B"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70B5C" w14:textId="77777777" w:rsidR="00802D3E" w:rsidRDefault="00802D3E">
            <w:pPr>
              <w:pStyle w:val="MeasureTableTextRightAligned"/>
            </w:pPr>
            <w:r>
              <w:t>5</w:t>
            </w:r>
          </w:p>
        </w:tc>
        <w:tc>
          <w:tcPr>
            <w:tcW w:w="967" w:type="dxa"/>
            <w:tcBorders>
              <w:top w:val="single" w:sz="2" w:space="0" w:color="auto"/>
              <w:left w:val="nil"/>
              <w:bottom w:val="single" w:sz="2" w:space="0" w:color="auto"/>
              <w:right w:val="nil"/>
            </w:tcBorders>
            <w:vAlign w:val="bottom"/>
            <w:hideMark/>
          </w:tcPr>
          <w:p w14:paraId="20870B5D" w14:textId="77777777" w:rsidR="00802D3E" w:rsidRDefault="00802D3E">
            <w:pPr>
              <w:pStyle w:val="MeasureTableTextRightAligned"/>
            </w:pPr>
            <w:r>
              <w:t>6</w:t>
            </w:r>
          </w:p>
        </w:tc>
        <w:tc>
          <w:tcPr>
            <w:tcW w:w="967" w:type="dxa"/>
            <w:tcBorders>
              <w:top w:val="single" w:sz="2" w:space="0" w:color="auto"/>
              <w:left w:val="nil"/>
              <w:bottom w:val="single" w:sz="2" w:space="0" w:color="auto"/>
              <w:right w:val="nil"/>
            </w:tcBorders>
            <w:vAlign w:val="bottom"/>
            <w:hideMark/>
          </w:tcPr>
          <w:p w14:paraId="20870B5E" w14:textId="77777777" w:rsidR="00802D3E" w:rsidRDefault="00802D3E">
            <w:pPr>
              <w:pStyle w:val="MeasureTableTextRightAligned"/>
            </w:pPr>
            <w:r>
              <w:t>6</w:t>
            </w:r>
          </w:p>
        </w:tc>
        <w:tc>
          <w:tcPr>
            <w:tcW w:w="967" w:type="dxa"/>
            <w:gridSpan w:val="2"/>
            <w:tcBorders>
              <w:top w:val="single" w:sz="2" w:space="0" w:color="auto"/>
              <w:left w:val="nil"/>
              <w:bottom w:val="single" w:sz="2" w:space="0" w:color="auto"/>
              <w:right w:val="nil"/>
            </w:tcBorders>
            <w:vAlign w:val="bottom"/>
            <w:hideMark/>
          </w:tcPr>
          <w:p w14:paraId="20870B5F" w14:textId="77777777" w:rsidR="00802D3E" w:rsidRDefault="00802D3E">
            <w:pPr>
              <w:pStyle w:val="MeasureTableTextRightAligned"/>
            </w:pPr>
            <w:r>
              <w:t>10</w:t>
            </w:r>
          </w:p>
        </w:tc>
        <w:tc>
          <w:tcPr>
            <w:tcW w:w="967" w:type="dxa"/>
            <w:gridSpan w:val="2"/>
            <w:tcBorders>
              <w:top w:val="single" w:sz="2" w:space="0" w:color="auto"/>
              <w:left w:val="nil"/>
              <w:bottom w:val="single" w:sz="2" w:space="0" w:color="auto"/>
              <w:right w:val="nil"/>
            </w:tcBorders>
            <w:vAlign w:val="bottom"/>
            <w:hideMark/>
          </w:tcPr>
          <w:p w14:paraId="20870B60" w14:textId="77777777" w:rsidR="00802D3E" w:rsidRDefault="00802D3E">
            <w:pPr>
              <w:pStyle w:val="MeasureTableTextRightAligned"/>
            </w:pPr>
            <w:r>
              <w:t>11</w:t>
            </w:r>
          </w:p>
        </w:tc>
        <w:tc>
          <w:tcPr>
            <w:tcW w:w="968" w:type="dxa"/>
            <w:tcBorders>
              <w:top w:val="single" w:sz="2" w:space="0" w:color="auto"/>
              <w:left w:val="nil"/>
              <w:bottom w:val="single" w:sz="2" w:space="0" w:color="auto"/>
              <w:right w:val="nil"/>
            </w:tcBorders>
            <w:vAlign w:val="bottom"/>
            <w:hideMark/>
          </w:tcPr>
          <w:p w14:paraId="20870B61" w14:textId="77777777" w:rsidR="00802D3E" w:rsidRDefault="00802D3E">
            <w:pPr>
              <w:pStyle w:val="MeasureTableTextRightAligned"/>
            </w:pPr>
            <w:r>
              <w:t>12</w:t>
            </w:r>
          </w:p>
        </w:tc>
      </w:tr>
      <w:tr w:rsidR="00802D3E" w14:paraId="20870B67" w14:textId="77777777" w:rsidTr="00802D3E">
        <w:trPr>
          <w:cantSplit/>
          <w:jc w:val="center"/>
        </w:trPr>
        <w:tc>
          <w:tcPr>
            <w:tcW w:w="1934" w:type="dxa"/>
            <w:gridSpan w:val="2"/>
            <w:tcBorders>
              <w:top w:val="single" w:sz="2" w:space="0" w:color="auto"/>
              <w:left w:val="nil"/>
              <w:bottom w:val="nil"/>
              <w:right w:val="nil"/>
            </w:tcBorders>
            <w:hideMark/>
          </w:tcPr>
          <w:p w14:paraId="20870B6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B64" w14:textId="77777777" w:rsidR="00802D3E" w:rsidRDefault="00802D3E">
            <w:pPr>
              <w:pStyle w:val="MeasureTableTextLeftAligned"/>
            </w:pPr>
            <w:r>
              <w:t>Rebate</w:t>
            </w:r>
          </w:p>
        </w:tc>
        <w:tc>
          <w:tcPr>
            <w:tcW w:w="1500" w:type="dxa"/>
            <w:gridSpan w:val="2"/>
            <w:tcBorders>
              <w:top w:val="single" w:sz="2" w:space="0" w:color="auto"/>
              <w:left w:val="nil"/>
              <w:bottom w:val="nil"/>
              <w:right w:val="nil"/>
            </w:tcBorders>
            <w:hideMark/>
          </w:tcPr>
          <w:p w14:paraId="20870B6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B66" w14:textId="77777777" w:rsidR="00802D3E" w:rsidRDefault="00802D3E">
            <w:pPr>
              <w:pStyle w:val="MeasureTableTextLeftAligned"/>
            </w:pPr>
            <w:r>
              <w:t>F16</w:t>
            </w:r>
          </w:p>
        </w:tc>
      </w:tr>
      <w:tr w:rsidR="00802D3E" w14:paraId="20870B6C" w14:textId="77777777" w:rsidTr="00802D3E">
        <w:trPr>
          <w:cantSplit/>
          <w:jc w:val="center"/>
        </w:trPr>
        <w:tc>
          <w:tcPr>
            <w:tcW w:w="1934" w:type="dxa"/>
            <w:gridSpan w:val="2"/>
            <w:tcBorders>
              <w:top w:val="nil"/>
              <w:left w:val="nil"/>
              <w:bottom w:val="nil"/>
              <w:right w:val="nil"/>
            </w:tcBorders>
            <w:hideMark/>
          </w:tcPr>
          <w:p w14:paraId="20870B6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B69"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B6A" w14:textId="77777777" w:rsidR="00802D3E" w:rsidRDefault="00802D3E">
            <w:pPr>
              <w:pStyle w:val="MeasureTableTextItalic"/>
            </w:pPr>
          </w:p>
        </w:tc>
        <w:tc>
          <w:tcPr>
            <w:tcW w:w="1124" w:type="dxa"/>
            <w:gridSpan w:val="2"/>
            <w:tcBorders>
              <w:top w:val="nil"/>
              <w:left w:val="nil"/>
              <w:bottom w:val="nil"/>
              <w:right w:val="nil"/>
            </w:tcBorders>
          </w:tcPr>
          <w:p w14:paraId="20870B6B" w14:textId="77777777" w:rsidR="00802D3E" w:rsidRDefault="00802D3E">
            <w:pPr>
              <w:pStyle w:val="MeasureTableTextLeftAligned"/>
            </w:pPr>
          </w:p>
        </w:tc>
      </w:tr>
      <w:tr w:rsidR="00802D3E" w14:paraId="20870B71" w14:textId="77777777" w:rsidTr="00802D3E">
        <w:trPr>
          <w:cantSplit/>
          <w:jc w:val="center"/>
        </w:trPr>
        <w:tc>
          <w:tcPr>
            <w:tcW w:w="1934" w:type="dxa"/>
            <w:gridSpan w:val="2"/>
            <w:tcBorders>
              <w:top w:val="nil"/>
              <w:left w:val="nil"/>
              <w:bottom w:val="nil"/>
              <w:right w:val="nil"/>
            </w:tcBorders>
            <w:hideMark/>
          </w:tcPr>
          <w:p w14:paraId="20870B6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B6E" w14:textId="77777777" w:rsidR="00802D3E" w:rsidRDefault="00802D3E">
            <w:pPr>
              <w:pStyle w:val="MeasureTableTextLeftAligned"/>
            </w:pPr>
            <w:r>
              <w:t>2000</w:t>
            </w:r>
          </w:p>
        </w:tc>
        <w:tc>
          <w:tcPr>
            <w:tcW w:w="1500" w:type="dxa"/>
            <w:gridSpan w:val="2"/>
            <w:tcBorders>
              <w:top w:val="nil"/>
              <w:left w:val="nil"/>
              <w:bottom w:val="nil"/>
              <w:right w:val="nil"/>
            </w:tcBorders>
            <w:hideMark/>
          </w:tcPr>
          <w:p w14:paraId="20870B6F"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B70" w14:textId="77777777" w:rsidR="00802D3E" w:rsidRDefault="00802D3E">
            <w:pPr>
              <w:pStyle w:val="MeasureTableTextLeftAligned"/>
            </w:pPr>
          </w:p>
        </w:tc>
      </w:tr>
      <w:tr w:rsidR="00802D3E" w14:paraId="20870B74" w14:textId="77777777" w:rsidTr="00802D3E">
        <w:trPr>
          <w:cantSplit/>
          <w:jc w:val="center"/>
        </w:trPr>
        <w:tc>
          <w:tcPr>
            <w:tcW w:w="1934" w:type="dxa"/>
            <w:gridSpan w:val="2"/>
            <w:tcBorders>
              <w:top w:val="nil"/>
              <w:left w:val="nil"/>
              <w:bottom w:val="single" w:sz="2" w:space="0" w:color="auto"/>
              <w:right w:val="nil"/>
            </w:tcBorders>
            <w:hideMark/>
          </w:tcPr>
          <w:p w14:paraId="20870B7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B73"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Part 2, Division 4 and Schedule 1 to the </w:t>
            </w:r>
            <w:r w:rsidRPr="00106337">
              <w:rPr>
                <w:rFonts w:ascii="Arial" w:hAnsi="Arial" w:cs="Arial"/>
                <w:i/>
                <w:iCs/>
                <w:color w:val="000000"/>
                <w:sz w:val="16"/>
                <w:szCs w:val="16"/>
              </w:rPr>
              <w:t>Excise Regulations 2015</w:t>
            </w:r>
          </w:p>
        </w:tc>
      </w:tr>
    </w:tbl>
    <w:p w14:paraId="20870B75" w14:textId="77777777" w:rsidR="00802D3E" w:rsidRDefault="00802D3E" w:rsidP="00A109BC">
      <w:pPr>
        <w:pStyle w:val="SingleParagraph"/>
      </w:pPr>
    </w:p>
    <w:p w14:paraId="20870B76" w14:textId="77777777" w:rsidR="00802D3E" w:rsidRDefault="00802D3E" w:rsidP="00802D3E">
      <w:r>
        <w:t xml:space="preserve">Breweries receive an excise refund of 60 per cent of excise paid on or after 1 July 2012, up to a maximum amount of $30,000 per financial year. Domestic distilleries and producers of low strength fermented beverages such as non-traditional cider (excluding most alcopops producers) can also claim the refund from 1 July 2017. </w:t>
      </w:r>
    </w:p>
    <w:p w14:paraId="20870B77" w14:textId="77777777" w:rsidR="00802D3E" w:rsidRDefault="00802D3E" w:rsidP="00802D3E">
      <w:pPr>
        <w:pStyle w:val="TESHeading5"/>
        <w:ind w:left="0" w:firstLine="0"/>
      </w:pPr>
      <w:r>
        <w:lastRenderedPageBreak/>
        <w:t>F17</w:t>
      </w:r>
      <w:r>
        <w:tab/>
        <w:t>Excise exemption for privately produced beer</w:t>
      </w:r>
    </w:p>
    <w:p w14:paraId="20870B78"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B81" w14:textId="77777777" w:rsidTr="00802D3E">
        <w:trPr>
          <w:cantSplit/>
          <w:jc w:val="center"/>
        </w:trPr>
        <w:tc>
          <w:tcPr>
            <w:tcW w:w="967" w:type="dxa"/>
            <w:tcBorders>
              <w:top w:val="single" w:sz="2" w:space="0" w:color="auto"/>
              <w:left w:val="nil"/>
              <w:bottom w:val="single" w:sz="2" w:space="0" w:color="auto"/>
              <w:right w:val="nil"/>
            </w:tcBorders>
            <w:hideMark/>
          </w:tcPr>
          <w:p w14:paraId="20870B79"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B7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B7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B7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B7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B7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B7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B80" w14:textId="77777777" w:rsidR="00802D3E" w:rsidRDefault="00802D3E">
            <w:pPr>
              <w:pStyle w:val="MeasureTableTextRightAligned"/>
            </w:pPr>
            <w:r>
              <w:t>2019-20</w:t>
            </w:r>
          </w:p>
        </w:tc>
      </w:tr>
      <w:tr w:rsidR="00802D3E" w14:paraId="20870B8A" w14:textId="77777777" w:rsidTr="00802D3E">
        <w:trPr>
          <w:cantSplit/>
          <w:jc w:val="center"/>
        </w:trPr>
        <w:tc>
          <w:tcPr>
            <w:tcW w:w="967" w:type="dxa"/>
            <w:tcBorders>
              <w:top w:val="single" w:sz="2" w:space="0" w:color="auto"/>
              <w:left w:val="nil"/>
              <w:bottom w:val="single" w:sz="2" w:space="0" w:color="auto"/>
              <w:right w:val="nil"/>
            </w:tcBorders>
            <w:hideMark/>
          </w:tcPr>
          <w:p w14:paraId="20870B8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B8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B8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B8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B8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B8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B88"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B89" w14:textId="77777777" w:rsidR="00802D3E" w:rsidRDefault="00802D3E">
            <w:pPr>
              <w:pStyle w:val="MeasureTableTextRightAligned"/>
            </w:pPr>
            <w:r>
              <w:t>*</w:t>
            </w:r>
          </w:p>
        </w:tc>
      </w:tr>
      <w:tr w:rsidR="00802D3E" w14:paraId="20870B8F" w14:textId="77777777" w:rsidTr="00802D3E">
        <w:trPr>
          <w:cantSplit/>
          <w:jc w:val="center"/>
        </w:trPr>
        <w:tc>
          <w:tcPr>
            <w:tcW w:w="1934" w:type="dxa"/>
            <w:gridSpan w:val="2"/>
            <w:tcBorders>
              <w:top w:val="single" w:sz="2" w:space="0" w:color="auto"/>
              <w:left w:val="nil"/>
              <w:bottom w:val="nil"/>
              <w:right w:val="nil"/>
            </w:tcBorders>
            <w:hideMark/>
          </w:tcPr>
          <w:p w14:paraId="20870B8B"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B8C"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B8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B8E" w14:textId="77777777" w:rsidR="00802D3E" w:rsidRDefault="00802D3E">
            <w:pPr>
              <w:pStyle w:val="MeasureTableTextLeftAligned"/>
            </w:pPr>
            <w:r>
              <w:t>F17</w:t>
            </w:r>
          </w:p>
        </w:tc>
      </w:tr>
      <w:tr w:rsidR="00802D3E" w14:paraId="20870B94" w14:textId="77777777" w:rsidTr="00802D3E">
        <w:trPr>
          <w:cantSplit/>
          <w:jc w:val="center"/>
        </w:trPr>
        <w:tc>
          <w:tcPr>
            <w:tcW w:w="1934" w:type="dxa"/>
            <w:gridSpan w:val="2"/>
            <w:tcBorders>
              <w:top w:val="nil"/>
              <w:left w:val="nil"/>
              <w:bottom w:val="nil"/>
              <w:right w:val="nil"/>
            </w:tcBorders>
            <w:hideMark/>
          </w:tcPr>
          <w:p w14:paraId="20870B90"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B91"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B92"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B93" w14:textId="77777777" w:rsidR="00802D3E" w:rsidRDefault="00802D3E">
            <w:pPr>
              <w:pStyle w:val="MeasureTableTextLeftAligned"/>
            </w:pPr>
            <w:r>
              <w:t>2+</w:t>
            </w:r>
          </w:p>
        </w:tc>
      </w:tr>
      <w:tr w:rsidR="00802D3E" w14:paraId="20870B99" w14:textId="77777777" w:rsidTr="00802D3E">
        <w:trPr>
          <w:cantSplit/>
          <w:jc w:val="center"/>
        </w:trPr>
        <w:tc>
          <w:tcPr>
            <w:tcW w:w="1934" w:type="dxa"/>
            <w:gridSpan w:val="2"/>
            <w:tcBorders>
              <w:top w:val="nil"/>
              <w:left w:val="nil"/>
              <w:bottom w:val="nil"/>
              <w:right w:val="nil"/>
            </w:tcBorders>
            <w:hideMark/>
          </w:tcPr>
          <w:p w14:paraId="20870B95"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B96" w14:textId="77777777" w:rsidR="00802D3E" w:rsidRDefault="00802D3E">
            <w:pPr>
              <w:pStyle w:val="MeasureTableTextLeftAligned"/>
            </w:pPr>
            <w:r>
              <w:t>18 April 1973</w:t>
            </w:r>
          </w:p>
        </w:tc>
        <w:tc>
          <w:tcPr>
            <w:tcW w:w="1500" w:type="dxa"/>
            <w:gridSpan w:val="2"/>
            <w:tcBorders>
              <w:top w:val="nil"/>
              <w:left w:val="nil"/>
              <w:bottom w:val="nil"/>
              <w:right w:val="nil"/>
            </w:tcBorders>
            <w:hideMark/>
          </w:tcPr>
          <w:p w14:paraId="20870B97"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B98" w14:textId="77777777" w:rsidR="00802D3E" w:rsidRDefault="00802D3E">
            <w:pPr>
              <w:pStyle w:val="MeasureTableTextLeftAligned"/>
            </w:pPr>
          </w:p>
        </w:tc>
      </w:tr>
      <w:tr w:rsidR="00802D3E" w14:paraId="20870B9C" w14:textId="77777777" w:rsidTr="00802D3E">
        <w:trPr>
          <w:cantSplit/>
          <w:jc w:val="center"/>
        </w:trPr>
        <w:tc>
          <w:tcPr>
            <w:tcW w:w="1934" w:type="dxa"/>
            <w:gridSpan w:val="2"/>
            <w:tcBorders>
              <w:top w:val="nil"/>
              <w:left w:val="nil"/>
              <w:bottom w:val="single" w:sz="2" w:space="0" w:color="auto"/>
              <w:right w:val="nil"/>
            </w:tcBorders>
            <w:hideMark/>
          </w:tcPr>
          <w:p w14:paraId="20870B9A"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B9B"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Schedule to the </w:t>
            </w:r>
            <w:r w:rsidRPr="00106337">
              <w:rPr>
                <w:rFonts w:ascii="Arial" w:hAnsi="Arial" w:cs="Arial"/>
                <w:i/>
                <w:iCs/>
                <w:color w:val="000000"/>
                <w:sz w:val="16"/>
                <w:szCs w:val="16"/>
              </w:rPr>
              <w:t>Excise Tariff Act 1921</w:t>
            </w:r>
          </w:p>
        </w:tc>
      </w:tr>
    </w:tbl>
    <w:p w14:paraId="20870B9D" w14:textId="77777777" w:rsidR="00802D3E" w:rsidRDefault="00802D3E" w:rsidP="00A109BC">
      <w:pPr>
        <w:pStyle w:val="SingleParagraph"/>
      </w:pPr>
    </w:p>
    <w:p w14:paraId="20870B9E" w14:textId="77777777" w:rsidR="00802D3E" w:rsidRDefault="00802D3E" w:rsidP="00802D3E">
      <w:r>
        <w:t xml:space="preserve">Beer </w:t>
      </w:r>
      <w:r>
        <w:fldChar w:fldCharType="begin"/>
      </w:r>
      <w:r>
        <w:instrText xml:space="preserve"> XE "Alcohol:Privately produced beer" </w:instrText>
      </w:r>
      <w:r>
        <w:fldChar w:fldCharType="end"/>
      </w:r>
      <w:r>
        <w:t xml:space="preserve">made for personal use by private individuals is exempt from the payment of excise. </w:t>
      </w:r>
    </w:p>
    <w:p w14:paraId="20870B9F" w14:textId="77777777" w:rsidR="00802D3E" w:rsidRDefault="00802D3E" w:rsidP="00802D3E">
      <w:pPr>
        <w:pStyle w:val="TESHeading5"/>
        <w:ind w:left="0" w:firstLine="0"/>
      </w:pPr>
      <w:r>
        <w:t>F18</w:t>
      </w:r>
      <w:r>
        <w:tab/>
        <w:t>Increased rate of excise levied on ready to drink alcoholic beverages</w:t>
      </w:r>
    </w:p>
    <w:p w14:paraId="20870BA0"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BA9" w14:textId="77777777" w:rsidTr="00802D3E">
        <w:trPr>
          <w:cantSplit/>
          <w:jc w:val="center"/>
        </w:trPr>
        <w:tc>
          <w:tcPr>
            <w:tcW w:w="967" w:type="dxa"/>
            <w:tcBorders>
              <w:top w:val="single" w:sz="2" w:space="0" w:color="auto"/>
              <w:left w:val="nil"/>
              <w:bottom w:val="single" w:sz="2" w:space="0" w:color="auto"/>
              <w:right w:val="nil"/>
            </w:tcBorders>
            <w:hideMark/>
          </w:tcPr>
          <w:p w14:paraId="20870BA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BA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BA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BA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BA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BA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BA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BA8" w14:textId="77777777" w:rsidR="00802D3E" w:rsidRDefault="00802D3E">
            <w:pPr>
              <w:pStyle w:val="MeasureTableTextRightAligned"/>
            </w:pPr>
            <w:r>
              <w:t>2019-20</w:t>
            </w:r>
          </w:p>
        </w:tc>
      </w:tr>
      <w:tr w:rsidR="00802D3E" w14:paraId="20870BB2" w14:textId="77777777" w:rsidTr="00802D3E">
        <w:trPr>
          <w:cantSplit/>
          <w:jc w:val="center"/>
        </w:trPr>
        <w:tc>
          <w:tcPr>
            <w:tcW w:w="967" w:type="dxa"/>
            <w:tcBorders>
              <w:top w:val="single" w:sz="2" w:space="0" w:color="auto"/>
              <w:left w:val="nil"/>
              <w:bottom w:val="single" w:sz="2" w:space="0" w:color="auto"/>
              <w:right w:val="nil"/>
            </w:tcBorders>
            <w:hideMark/>
          </w:tcPr>
          <w:p w14:paraId="20870BAA" w14:textId="77777777" w:rsidR="00802D3E" w:rsidRDefault="00802D3E">
            <w:pPr>
              <w:pStyle w:val="MeasureTableTextRightAligned"/>
            </w:pPr>
            <w:r>
              <w:t>-515</w:t>
            </w:r>
          </w:p>
        </w:tc>
        <w:tc>
          <w:tcPr>
            <w:tcW w:w="967" w:type="dxa"/>
            <w:tcBorders>
              <w:top w:val="single" w:sz="2" w:space="0" w:color="auto"/>
              <w:left w:val="nil"/>
              <w:bottom w:val="single" w:sz="2" w:space="0" w:color="auto"/>
              <w:right w:val="nil"/>
            </w:tcBorders>
            <w:hideMark/>
          </w:tcPr>
          <w:p w14:paraId="20870BAB" w14:textId="77777777" w:rsidR="00802D3E" w:rsidRDefault="00802D3E">
            <w:pPr>
              <w:pStyle w:val="MeasureTableTextRightAligned"/>
            </w:pPr>
            <w:r>
              <w:t>-510</w:t>
            </w:r>
          </w:p>
        </w:tc>
        <w:tc>
          <w:tcPr>
            <w:tcW w:w="967" w:type="dxa"/>
            <w:tcBorders>
              <w:top w:val="single" w:sz="2" w:space="0" w:color="auto"/>
              <w:left w:val="nil"/>
              <w:bottom w:val="single" w:sz="2" w:space="0" w:color="auto"/>
              <w:right w:val="nil"/>
            </w:tcBorders>
            <w:vAlign w:val="bottom"/>
            <w:hideMark/>
          </w:tcPr>
          <w:p w14:paraId="20870BAC" w14:textId="77777777" w:rsidR="00802D3E" w:rsidRDefault="00802D3E">
            <w:pPr>
              <w:pStyle w:val="MeasureTableTextRightAligned"/>
            </w:pPr>
            <w:r>
              <w:t>-495</w:t>
            </w:r>
          </w:p>
        </w:tc>
        <w:tc>
          <w:tcPr>
            <w:tcW w:w="967" w:type="dxa"/>
            <w:tcBorders>
              <w:top w:val="single" w:sz="2" w:space="0" w:color="auto"/>
              <w:left w:val="nil"/>
              <w:bottom w:val="single" w:sz="2" w:space="0" w:color="auto"/>
              <w:right w:val="nil"/>
            </w:tcBorders>
            <w:vAlign w:val="bottom"/>
            <w:hideMark/>
          </w:tcPr>
          <w:p w14:paraId="20870BAD" w14:textId="77777777" w:rsidR="00802D3E" w:rsidRDefault="00802D3E">
            <w:pPr>
              <w:pStyle w:val="MeasureTableTextRightAligned"/>
            </w:pPr>
            <w:r>
              <w:t>-500</w:t>
            </w:r>
          </w:p>
        </w:tc>
        <w:tc>
          <w:tcPr>
            <w:tcW w:w="967" w:type="dxa"/>
            <w:tcBorders>
              <w:top w:val="single" w:sz="2" w:space="0" w:color="auto"/>
              <w:left w:val="nil"/>
              <w:bottom w:val="single" w:sz="2" w:space="0" w:color="auto"/>
              <w:right w:val="nil"/>
            </w:tcBorders>
            <w:vAlign w:val="bottom"/>
            <w:hideMark/>
          </w:tcPr>
          <w:p w14:paraId="20870BAE" w14:textId="77777777" w:rsidR="00802D3E" w:rsidRDefault="00802D3E">
            <w:pPr>
              <w:pStyle w:val="MeasureTableTextRightAligned"/>
            </w:pPr>
            <w:r>
              <w:t>-505</w:t>
            </w:r>
          </w:p>
        </w:tc>
        <w:tc>
          <w:tcPr>
            <w:tcW w:w="967" w:type="dxa"/>
            <w:gridSpan w:val="2"/>
            <w:tcBorders>
              <w:top w:val="single" w:sz="2" w:space="0" w:color="auto"/>
              <w:left w:val="nil"/>
              <w:bottom w:val="single" w:sz="2" w:space="0" w:color="auto"/>
              <w:right w:val="nil"/>
            </w:tcBorders>
            <w:vAlign w:val="bottom"/>
            <w:hideMark/>
          </w:tcPr>
          <w:p w14:paraId="20870BAF" w14:textId="77777777" w:rsidR="00802D3E" w:rsidRDefault="00802D3E">
            <w:pPr>
              <w:pStyle w:val="MeasureTableTextRightAligned"/>
            </w:pPr>
            <w:r>
              <w:t>-520</w:t>
            </w:r>
          </w:p>
        </w:tc>
        <w:tc>
          <w:tcPr>
            <w:tcW w:w="967" w:type="dxa"/>
            <w:gridSpan w:val="2"/>
            <w:tcBorders>
              <w:top w:val="single" w:sz="2" w:space="0" w:color="auto"/>
              <w:left w:val="nil"/>
              <w:bottom w:val="single" w:sz="2" w:space="0" w:color="auto"/>
              <w:right w:val="nil"/>
            </w:tcBorders>
            <w:vAlign w:val="bottom"/>
            <w:hideMark/>
          </w:tcPr>
          <w:p w14:paraId="20870BB0" w14:textId="77777777" w:rsidR="00802D3E" w:rsidRDefault="00802D3E">
            <w:pPr>
              <w:pStyle w:val="MeasureTableTextRightAligned"/>
            </w:pPr>
            <w:r>
              <w:t>-540</w:t>
            </w:r>
          </w:p>
        </w:tc>
        <w:tc>
          <w:tcPr>
            <w:tcW w:w="968" w:type="dxa"/>
            <w:tcBorders>
              <w:top w:val="single" w:sz="2" w:space="0" w:color="auto"/>
              <w:left w:val="nil"/>
              <w:bottom w:val="single" w:sz="2" w:space="0" w:color="auto"/>
              <w:right w:val="nil"/>
            </w:tcBorders>
            <w:vAlign w:val="bottom"/>
            <w:hideMark/>
          </w:tcPr>
          <w:p w14:paraId="20870BB1" w14:textId="77777777" w:rsidR="00802D3E" w:rsidRDefault="00802D3E">
            <w:pPr>
              <w:pStyle w:val="MeasureTableTextRightAligned"/>
            </w:pPr>
            <w:r>
              <w:t>-575</w:t>
            </w:r>
          </w:p>
        </w:tc>
      </w:tr>
      <w:tr w:rsidR="00802D3E" w14:paraId="20870BB7" w14:textId="77777777" w:rsidTr="00802D3E">
        <w:trPr>
          <w:cantSplit/>
          <w:jc w:val="center"/>
        </w:trPr>
        <w:tc>
          <w:tcPr>
            <w:tcW w:w="1934" w:type="dxa"/>
            <w:gridSpan w:val="2"/>
            <w:tcBorders>
              <w:top w:val="single" w:sz="2" w:space="0" w:color="auto"/>
              <w:left w:val="nil"/>
              <w:bottom w:val="nil"/>
              <w:right w:val="nil"/>
            </w:tcBorders>
            <w:hideMark/>
          </w:tcPr>
          <w:p w14:paraId="20870BB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BB4" w14:textId="77777777" w:rsidR="00802D3E" w:rsidRDefault="00802D3E">
            <w:pPr>
              <w:pStyle w:val="MeasureTableTextLeftAligned"/>
            </w:pPr>
            <w:r>
              <w:t>Increased rate</w:t>
            </w:r>
          </w:p>
        </w:tc>
        <w:tc>
          <w:tcPr>
            <w:tcW w:w="1500" w:type="dxa"/>
            <w:gridSpan w:val="2"/>
            <w:tcBorders>
              <w:top w:val="single" w:sz="2" w:space="0" w:color="auto"/>
              <w:left w:val="nil"/>
              <w:bottom w:val="nil"/>
              <w:right w:val="nil"/>
            </w:tcBorders>
            <w:hideMark/>
          </w:tcPr>
          <w:p w14:paraId="20870BB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BB6" w14:textId="77777777" w:rsidR="00802D3E" w:rsidRDefault="00802D3E">
            <w:pPr>
              <w:pStyle w:val="MeasureTableTextLeftAligned"/>
            </w:pPr>
            <w:r>
              <w:t>F18</w:t>
            </w:r>
          </w:p>
        </w:tc>
      </w:tr>
      <w:tr w:rsidR="00802D3E" w14:paraId="20870BBC" w14:textId="77777777" w:rsidTr="00802D3E">
        <w:trPr>
          <w:cantSplit/>
          <w:jc w:val="center"/>
        </w:trPr>
        <w:tc>
          <w:tcPr>
            <w:tcW w:w="1934" w:type="dxa"/>
            <w:gridSpan w:val="2"/>
            <w:tcBorders>
              <w:top w:val="nil"/>
              <w:left w:val="nil"/>
              <w:bottom w:val="nil"/>
              <w:right w:val="nil"/>
            </w:tcBorders>
            <w:hideMark/>
          </w:tcPr>
          <w:p w14:paraId="20870BB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BB9"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BBA" w14:textId="77777777" w:rsidR="00802D3E" w:rsidRDefault="00802D3E">
            <w:pPr>
              <w:pStyle w:val="MeasureTableTextItalic"/>
            </w:pPr>
          </w:p>
        </w:tc>
        <w:tc>
          <w:tcPr>
            <w:tcW w:w="1124" w:type="dxa"/>
            <w:gridSpan w:val="2"/>
            <w:tcBorders>
              <w:top w:val="nil"/>
              <w:left w:val="nil"/>
              <w:bottom w:val="nil"/>
              <w:right w:val="nil"/>
            </w:tcBorders>
          </w:tcPr>
          <w:p w14:paraId="20870BBB" w14:textId="77777777" w:rsidR="00802D3E" w:rsidRDefault="00802D3E">
            <w:pPr>
              <w:pStyle w:val="MeasureTableTextLeftAligned"/>
            </w:pPr>
          </w:p>
        </w:tc>
      </w:tr>
      <w:tr w:rsidR="00802D3E" w14:paraId="20870BC1" w14:textId="77777777" w:rsidTr="00802D3E">
        <w:trPr>
          <w:cantSplit/>
          <w:jc w:val="center"/>
        </w:trPr>
        <w:tc>
          <w:tcPr>
            <w:tcW w:w="1934" w:type="dxa"/>
            <w:gridSpan w:val="2"/>
            <w:tcBorders>
              <w:top w:val="nil"/>
              <w:left w:val="nil"/>
              <w:bottom w:val="nil"/>
              <w:right w:val="nil"/>
            </w:tcBorders>
            <w:hideMark/>
          </w:tcPr>
          <w:p w14:paraId="20870BB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BBE" w14:textId="77777777" w:rsidR="00802D3E" w:rsidRDefault="00802D3E">
            <w:pPr>
              <w:pStyle w:val="MeasureTableTextLeftAligned"/>
            </w:pPr>
            <w:r>
              <w:t>2000</w:t>
            </w:r>
          </w:p>
        </w:tc>
        <w:tc>
          <w:tcPr>
            <w:tcW w:w="1500" w:type="dxa"/>
            <w:gridSpan w:val="2"/>
            <w:tcBorders>
              <w:top w:val="nil"/>
              <w:left w:val="nil"/>
              <w:bottom w:val="nil"/>
              <w:right w:val="nil"/>
            </w:tcBorders>
            <w:hideMark/>
          </w:tcPr>
          <w:p w14:paraId="20870BBF"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BC0" w14:textId="77777777" w:rsidR="00802D3E" w:rsidRDefault="00802D3E">
            <w:pPr>
              <w:pStyle w:val="MeasureTableTextLeftAligned"/>
            </w:pPr>
          </w:p>
        </w:tc>
      </w:tr>
      <w:tr w:rsidR="00802D3E" w14:paraId="20870BC4" w14:textId="77777777" w:rsidTr="00802D3E">
        <w:trPr>
          <w:cantSplit/>
          <w:jc w:val="center"/>
        </w:trPr>
        <w:tc>
          <w:tcPr>
            <w:tcW w:w="1934" w:type="dxa"/>
            <w:gridSpan w:val="2"/>
            <w:tcBorders>
              <w:top w:val="nil"/>
              <w:left w:val="nil"/>
              <w:bottom w:val="single" w:sz="2" w:space="0" w:color="auto"/>
              <w:right w:val="nil"/>
            </w:tcBorders>
            <w:hideMark/>
          </w:tcPr>
          <w:p w14:paraId="20870BC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BC3" w14:textId="77777777" w:rsidR="00802D3E" w:rsidRPr="00106337" w:rsidRDefault="00802D3E" w:rsidP="00106337">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Item 2 of the Schedule to the </w:t>
            </w:r>
            <w:r w:rsidRPr="00106337">
              <w:rPr>
                <w:rFonts w:ascii="Arial" w:hAnsi="Arial" w:cs="Arial"/>
                <w:i/>
                <w:iCs/>
                <w:color w:val="000000"/>
                <w:sz w:val="16"/>
                <w:szCs w:val="16"/>
              </w:rPr>
              <w:t>Excise Tariff Act 1921</w:t>
            </w:r>
          </w:p>
        </w:tc>
      </w:tr>
    </w:tbl>
    <w:p w14:paraId="20870BC5" w14:textId="77777777" w:rsidR="00802D3E" w:rsidRDefault="00802D3E" w:rsidP="00A109BC">
      <w:pPr>
        <w:pStyle w:val="SingleParagraph"/>
      </w:pPr>
    </w:p>
    <w:p w14:paraId="20870BC6" w14:textId="77777777" w:rsidR="00802D3E" w:rsidRDefault="00802D3E" w:rsidP="00802D3E">
      <w:r>
        <w:t>Excisable alcoholic beverages other than beer with an alcohol content not exceeding 10 per cent (such as ready to drink spirit-based beverages) are subject to a higher rate of excise than the benchmark rate of full strength beer packaged in individual containers not exceeding 48 litres.</w:t>
      </w:r>
      <w:r>
        <w:fldChar w:fldCharType="begin"/>
      </w:r>
      <w:r>
        <w:instrText xml:space="preserve"> XE "Alcohol:Excisable beverages " </w:instrText>
      </w:r>
      <w:r>
        <w:fldChar w:fldCharType="end"/>
      </w:r>
    </w:p>
    <w:p w14:paraId="20870BC7" w14:textId="77777777" w:rsidR="00802D3E" w:rsidRDefault="00802D3E" w:rsidP="00802D3E">
      <w:r>
        <w:t xml:space="preserve">From 27 April 2008 the excise rate on these other excisable beverages increased to the same excise rate as applies to most spirits ($81.21 per litre of alcohol as at 1 August 2016). </w:t>
      </w:r>
    </w:p>
    <w:p w14:paraId="20870BC8" w14:textId="77777777" w:rsidR="00802D3E" w:rsidRDefault="00802D3E" w:rsidP="00802D3E">
      <w:pPr>
        <w:pStyle w:val="TESHeading5"/>
        <w:ind w:left="0" w:firstLine="0"/>
      </w:pPr>
      <w:r>
        <w:t>F19</w:t>
      </w:r>
      <w:r>
        <w:tab/>
        <w:t>Wine equalisation tax exemption for privately produced wine</w:t>
      </w:r>
    </w:p>
    <w:p w14:paraId="20870BC9"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BD2" w14:textId="77777777" w:rsidTr="00802D3E">
        <w:trPr>
          <w:cantSplit/>
          <w:jc w:val="center"/>
        </w:trPr>
        <w:tc>
          <w:tcPr>
            <w:tcW w:w="967" w:type="dxa"/>
            <w:tcBorders>
              <w:top w:val="single" w:sz="2" w:space="0" w:color="auto"/>
              <w:left w:val="nil"/>
              <w:bottom w:val="single" w:sz="2" w:space="0" w:color="auto"/>
              <w:right w:val="nil"/>
            </w:tcBorders>
            <w:hideMark/>
          </w:tcPr>
          <w:p w14:paraId="20870BCA"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BCB"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BCC"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BCD"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BCE"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BCF"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BD0"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BD1" w14:textId="77777777" w:rsidR="00802D3E" w:rsidRDefault="00802D3E">
            <w:pPr>
              <w:pStyle w:val="MeasureTableTextRightAligned"/>
            </w:pPr>
            <w:r>
              <w:t>2019-20</w:t>
            </w:r>
          </w:p>
        </w:tc>
      </w:tr>
      <w:tr w:rsidR="00802D3E" w14:paraId="20870BDB" w14:textId="77777777" w:rsidTr="00802D3E">
        <w:trPr>
          <w:cantSplit/>
          <w:jc w:val="center"/>
        </w:trPr>
        <w:tc>
          <w:tcPr>
            <w:tcW w:w="967" w:type="dxa"/>
            <w:tcBorders>
              <w:top w:val="single" w:sz="2" w:space="0" w:color="auto"/>
              <w:left w:val="nil"/>
              <w:bottom w:val="single" w:sz="2" w:space="0" w:color="auto"/>
              <w:right w:val="nil"/>
            </w:tcBorders>
            <w:hideMark/>
          </w:tcPr>
          <w:p w14:paraId="20870BD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BD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BD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BD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BD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BD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BD9"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BDA" w14:textId="77777777" w:rsidR="00802D3E" w:rsidRDefault="00802D3E">
            <w:pPr>
              <w:pStyle w:val="MeasureTableTextRightAligned"/>
            </w:pPr>
            <w:r>
              <w:t>*</w:t>
            </w:r>
          </w:p>
        </w:tc>
      </w:tr>
      <w:tr w:rsidR="00802D3E" w14:paraId="20870BE0" w14:textId="77777777" w:rsidTr="00802D3E">
        <w:trPr>
          <w:cantSplit/>
          <w:jc w:val="center"/>
        </w:trPr>
        <w:tc>
          <w:tcPr>
            <w:tcW w:w="1934" w:type="dxa"/>
            <w:gridSpan w:val="2"/>
            <w:tcBorders>
              <w:top w:val="single" w:sz="2" w:space="0" w:color="auto"/>
              <w:left w:val="nil"/>
              <w:bottom w:val="nil"/>
              <w:right w:val="nil"/>
            </w:tcBorders>
            <w:hideMark/>
          </w:tcPr>
          <w:p w14:paraId="20870BDC"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BDD"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BDE"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BDF" w14:textId="77777777" w:rsidR="00802D3E" w:rsidRDefault="00802D3E">
            <w:pPr>
              <w:pStyle w:val="MeasureTableTextLeftAligned"/>
            </w:pPr>
            <w:r>
              <w:t>F19</w:t>
            </w:r>
          </w:p>
        </w:tc>
      </w:tr>
      <w:tr w:rsidR="00802D3E" w14:paraId="20870BE5" w14:textId="77777777" w:rsidTr="00802D3E">
        <w:trPr>
          <w:cantSplit/>
          <w:jc w:val="center"/>
        </w:trPr>
        <w:tc>
          <w:tcPr>
            <w:tcW w:w="1934" w:type="dxa"/>
            <w:gridSpan w:val="2"/>
            <w:tcBorders>
              <w:top w:val="nil"/>
              <w:left w:val="nil"/>
              <w:bottom w:val="nil"/>
              <w:right w:val="nil"/>
            </w:tcBorders>
            <w:hideMark/>
          </w:tcPr>
          <w:p w14:paraId="20870BE1"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BE2"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BE3"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BE4" w14:textId="77777777" w:rsidR="00802D3E" w:rsidRDefault="00802D3E">
            <w:pPr>
              <w:pStyle w:val="MeasureTableTextLeftAligned"/>
            </w:pPr>
            <w:r>
              <w:t>2+</w:t>
            </w:r>
          </w:p>
        </w:tc>
      </w:tr>
      <w:tr w:rsidR="00802D3E" w14:paraId="20870BEA" w14:textId="77777777" w:rsidTr="00802D3E">
        <w:trPr>
          <w:cantSplit/>
          <w:jc w:val="center"/>
        </w:trPr>
        <w:tc>
          <w:tcPr>
            <w:tcW w:w="1934" w:type="dxa"/>
            <w:gridSpan w:val="2"/>
            <w:tcBorders>
              <w:top w:val="nil"/>
              <w:left w:val="nil"/>
              <w:bottom w:val="nil"/>
              <w:right w:val="nil"/>
            </w:tcBorders>
            <w:hideMark/>
          </w:tcPr>
          <w:p w14:paraId="20870BE6"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BE7" w14:textId="77777777" w:rsidR="00802D3E" w:rsidRDefault="00802D3E">
            <w:pPr>
              <w:pStyle w:val="MeasureTableTextLeftAligned"/>
            </w:pPr>
            <w:r>
              <w:t>19 August 1970</w:t>
            </w:r>
          </w:p>
        </w:tc>
        <w:tc>
          <w:tcPr>
            <w:tcW w:w="1500" w:type="dxa"/>
            <w:gridSpan w:val="2"/>
            <w:tcBorders>
              <w:top w:val="nil"/>
              <w:left w:val="nil"/>
              <w:bottom w:val="nil"/>
              <w:right w:val="nil"/>
            </w:tcBorders>
            <w:hideMark/>
          </w:tcPr>
          <w:p w14:paraId="20870BE8"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BE9" w14:textId="77777777" w:rsidR="00802D3E" w:rsidRDefault="00802D3E">
            <w:pPr>
              <w:pStyle w:val="MeasureTableTextLeftAligned"/>
            </w:pPr>
          </w:p>
        </w:tc>
      </w:tr>
      <w:tr w:rsidR="00802D3E" w14:paraId="20870BED" w14:textId="77777777" w:rsidTr="00802D3E">
        <w:trPr>
          <w:cantSplit/>
          <w:jc w:val="center"/>
        </w:trPr>
        <w:tc>
          <w:tcPr>
            <w:tcW w:w="1934" w:type="dxa"/>
            <w:gridSpan w:val="2"/>
            <w:tcBorders>
              <w:top w:val="nil"/>
              <w:left w:val="nil"/>
              <w:bottom w:val="single" w:sz="2" w:space="0" w:color="auto"/>
              <w:right w:val="nil"/>
            </w:tcBorders>
            <w:hideMark/>
          </w:tcPr>
          <w:p w14:paraId="20870BEB"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BEC" w14:textId="77777777" w:rsidR="00802D3E" w:rsidRDefault="00802D3E" w:rsidP="00106337">
            <w:pPr>
              <w:widowControl w:val="0"/>
              <w:autoSpaceDE w:val="0"/>
              <w:autoSpaceDN w:val="0"/>
              <w:adjustRightInd w:val="0"/>
              <w:spacing w:after="0" w:line="240" w:lineRule="auto"/>
              <w:jc w:val="left"/>
            </w:pPr>
            <w:r>
              <w:rPr>
                <w:rFonts w:ascii="Arial" w:hAnsi="Arial" w:cs="Arial"/>
                <w:i/>
                <w:iCs/>
                <w:color w:val="000000"/>
                <w:sz w:val="16"/>
                <w:szCs w:val="16"/>
              </w:rPr>
              <w:t>A New Tax System (Wine Equalisation Tax) Act 1999</w:t>
            </w:r>
          </w:p>
        </w:tc>
      </w:tr>
    </w:tbl>
    <w:p w14:paraId="20870BEE" w14:textId="77777777" w:rsidR="00802D3E" w:rsidRDefault="00802D3E" w:rsidP="00A109BC">
      <w:pPr>
        <w:pStyle w:val="SingleParagraph"/>
      </w:pPr>
    </w:p>
    <w:p w14:paraId="20870BEF" w14:textId="4122A762" w:rsidR="00802D3E" w:rsidRDefault="00802D3E" w:rsidP="00802D3E">
      <w:r>
        <w:t>Wine made for personal use by private individuals is exempt from the wine equalisation tax.</w:t>
      </w:r>
      <w:r>
        <w:fldChar w:fldCharType="begin"/>
      </w:r>
      <w:r>
        <w:instrText xml:space="preserve"> XE "Alcohol:Wine" </w:instrText>
      </w:r>
      <w:r>
        <w:fldChar w:fldCharType="end"/>
      </w:r>
    </w:p>
    <w:p w14:paraId="20870BF0" w14:textId="77777777" w:rsidR="00802D3E" w:rsidRDefault="00802D3E" w:rsidP="00802D3E">
      <w:pPr>
        <w:pStyle w:val="TESHeading5"/>
        <w:ind w:left="0" w:firstLine="0"/>
      </w:pPr>
      <w:r>
        <w:lastRenderedPageBreak/>
        <w:t>F20</w:t>
      </w:r>
      <w:r>
        <w:tab/>
        <w:t>Wine equalisation tax producer rebate</w:t>
      </w:r>
    </w:p>
    <w:p w14:paraId="20870BF1"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BFA" w14:textId="77777777" w:rsidTr="00802D3E">
        <w:trPr>
          <w:cantSplit/>
          <w:jc w:val="center"/>
        </w:trPr>
        <w:tc>
          <w:tcPr>
            <w:tcW w:w="967" w:type="dxa"/>
            <w:tcBorders>
              <w:top w:val="single" w:sz="2" w:space="0" w:color="auto"/>
              <w:left w:val="nil"/>
              <w:bottom w:val="single" w:sz="2" w:space="0" w:color="auto"/>
              <w:right w:val="nil"/>
            </w:tcBorders>
            <w:hideMark/>
          </w:tcPr>
          <w:p w14:paraId="20870BF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BF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BF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BF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BF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BF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BF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BF9" w14:textId="77777777" w:rsidR="00802D3E" w:rsidRDefault="00802D3E">
            <w:pPr>
              <w:pStyle w:val="MeasureTableTextRightAligned"/>
            </w:pPr>
            <w:r>
              <w:t>2019-20</w:t>
            </w:r>
          </w:p>
        </w:tc>
      </w:tr>
      <w:tr w:rsidR="00802D3E" w14:paraId="20870C03" w14:textId="77777777" w:rsidTr="00802D3E">
        <w:trPr>
          <w:cantSplit/>
          <w:jc w:val="center"/>
        </w:trPr>
        <w:tc>
          <w:tcPr>
            <w:tcW w:w="967" w:type="dxa"/>
            <w:tcBorders>
              <w:top w:val="single" w:sz="2" w:space="0" w:color="auto"/>
              <w:left w:val="nil"/>
              <w:bottom w:val="single" w:sz="2" w:space="0" w:color="auto"/>
              <w:right w:val="nil"/>
            </w:tcBorders>
            <w:hideMark/>
          </w:tcPr>
          <w:p w14:paraId="20870BFB" w14:textId="77777777" w:rsidR="00802D3E" w:rsidRDefault="00802D3E">
            <w:pPr>
              <w:pStyle w:val="MeasureTableTextRightAligned"/>
            </w:pPr>
            <w:r>
              <w:t>290</w:t>
            </w:r>
          </w:p>
        </w:tc>
        <w:tc>
          <w:tcPr>
            <w:tcW w:w="967" w:type="dxa"/>
            <w:tcBorders>
              <w:top w:val="single" w:sz="2" w:space="0" w:color="auto"/>
              <w:left w:val="nil"/>
              <w:bottom w:val="single" w:sz="2" w:space="0" w:color="auto"/>
              <w:right w:val="nil"/>
            </w:tcBorders>
            <w:hideMark/>
          </w:tcPr>
          <w:p w14:paraId="20870BFC" w14:textId="77777777" w:rsidR="00802D3E" w:rsidRDefault="00802D3E">
            <w:pPr>
              <w:pStyle w:val="MeasureTableTextRightAligned"/>
            </w:pPr>
            <w:r>
              <w:t>300</w:t>
            </w:r>
          </w:p>
        </w:tc>
        <w:tc>
          <w:tcPr>
            <w:tcW w:w="967" w:type="dxa"/>
            <w:tcBorders>
              <w:top w:val="single" w:sz="2" w:space="0" w:color="auto"/>
              <w:left w:val="nil"/>
              <w:bottom w:val="single" w:sz="2" w:space="0" w:color="auto"/>
              <w:right w:val="nil"/>
            </w:tcBorders>
            <w:vAlign w:val="bottom"/>
            <w:hideMark/>
          </w:tcPr>
          <w:p w14:paraId="20870BFD" w14:textId="77777777" w:rsidR="00802D3E" w:rsidRDefault="00802D3E">
            <w:pPr>
              <w:pStyle w:val="MeasureTableTextRightAligned"/>
            </w:pPr>
            <w:r>
              <w:t>320</w:t>
            </w:r>
          </w:p>
        </w:tc>
        <w:tc>
          <w:tcPr>
            <w:tcW w:w="967" w:type="dxa"/>
            <w:tcBorders>
              <w:top w:val="single" w:sz="2" w:space="0" w:color="auto"/>
              <w:left w:val="nil"/>
              <w:bottom w:val="single" w:sz="2" w:space="0" w:color="auto"/>
              <w:right w:val="nil"/>
            </w:tcBorders>
            <w:vAlign w:val="bottom"/>
            <w:hideMark/>
          </w:tcPr>
          <w:p w14:paraId="20870BFE" w14:textId="77777777" w:rsidR="00802D3E" w:rsidRDefault="00802D3E">
            <w:pPr>
              <w:pStyle w:val="MeasureTableTextRightAligned"/>
            </w:pPr>
            <w:r>
              <w:t>320</w:t>
            </w:r>
          </w:p>
        </w:tc>
        <w:tc>
          <w:tcPr>
            <w:tcW w:w="967" w:type="dxa"/>
            <w:tcBorders>
              <w:top w:val="single" w:sz="2" w:space="0" w:color="auto"/>
              <w:left w:val="nil"/>
              <w:bottom w:val="single" w:sz="2" w:space="0" w:color="auto"/>
              <w:right w:val="nil"/>
            </w:tcBorders>
            <w:vAlign w:val="bottom"/>
            <w:hideMark/>
          </w:tcPr>
          <w:p w14:paraId="20870BFF" w14:textId="77777777" w:rsidR="00802D3E" w:rsidRDefault="00802D3E">
            <w:pPr>
              <w:pStyle w:val="MeasureTableTextRightAligned"/>
            </w:pPr>
            <w:r>
              <w:t>330</w:t>
            </w:r>
          </w:p>
        </w:tc>
        <w:tc>
          <w:tcPr>
            <w:tcW w:w="967" w:type="dxa"/>
            <w:gridSpan w:val="2"/>
            <w:tcBorders>
              <w:top w:val="single" w:sz="2" w:space="0" w:color="auto"/>
              <w:left w:val="nil"/>
              <w:bottom w:val="single" w:sz="2" w:space="0" w:color="auto"/>
              <w:right w:val="nil"/>
            </w:tcBorders>
            <w:vAlign w:val="bottom"/>
            <w:hideMark/>
          </w:tcPr>
          <w:p w14:paraId="20870C00" w14:textId="77777777" w:rsidR="00802D3E" w:rsidRDefault="00802D3E">
            <w:pPr>
              <w:pStyle w:val="MeasureTableTextRightAligned"/>
            </w:pPr>
            <w:r>
              <w:t>320</w:t>
            </w:r>
          </w:p>
        </w:tc>
        <w:tc>
          <w:tcPr>
            <w:tcW w:w="967" w:type="dxa"/>
            <w:gridSpan w:val="2"/>
            <w:tcBorders>
              <w:top w:val="single" w:sz="2" w:space="0" w:color="auto"/>
              <w:left w:val="nil"/>
              <w:bottom w:val="single" w:sz="2" w:space="0" w:color="auto"/>
              <w:right w:val="nil"/>
            </w:tcBorders>
            <w:vAlign w:val="bottom"/>
            <w:hideMark/>
          </w:tcPr>
          <w:p w14:paraId="20870C01" w14:textId="77777777" w:rsidR="00802D3E" w:rsidRDefault="00802D3E">
            <w:pPr>
              <w:pStyle w:val="MeasureTableTextRightAligned"/>
            </w:pPr>
            <w:r>
              <w:t>270</w:t>
            </w:r>
          </w:p>
        </w:tc>
        <w:tc>
          <w:tcPr>
            <w:tcW w:w="968" w:type="dxa"/>
            <w:tcBorders>
              <w:top w:val="single" w:sz="2" w:space="0" w:color="auto"/>
              <w:left w:val="nil"/>
              <w:bottom w:val="single" w:sz="2" w:space="0" w:color="auto"/>
              <w:right w:val="nil"/>
            </w:tcBorders>
            <w:vAlign w:val="bottom"/>
            <w:hideMark/>
          </w:tcPr>
          <w:p w14:paraId="20870C02" w14:textId="77777777" w:rsidR="00802D3E" w:rsidRDefault="00802D3E">
            <w:pPr>
              <w:pStyle w:val="MeasureTableTextRightAligned"/>
            </w:pPr>
            <w:r>
              <w:t>260</w:t>
            </w:r>
          </w:p>
        </w:tc>
      </w:tr>
      <w:tr w:rsidR="00802D3E" w14:paraId="20870C08" w14:textId="77777777" w:rsidTr="00802D3E">
        <w:trPr>
          <w:cantSplit/>
          <w:jc w:val="center"/>
        </w:trPr>
        <w:tc>
          <w:tcPr>
            <w:tcW w:w="1934" w:type="dxa"/>
            <w:gridSpan w:val="2"/>
            <w:tcBorders>
              <w:top w:val="single" w:sz="2" w:space="0" w:color="auto"/>
              <w:left w:val="nil"/>
              <w:bottom w:val="nil"/>
              <w:right w:val="nil"/>
            </w:tcBorders>
            <w:hideMark/>
          </w:tcPr>
          <w:p w14:paraId="20870C0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C05" w14:textId="77777777" w:rsidR="00802D3E" w:rsidRDefault="00802D3E">
            <w:pPr>
              <w:pStyle w:val="MeasureTableTextLeftAligned"/>
            </w:pPr>
            <w:r>
              <w:t>Rebate</w:t>
            </w:r>
          </w:p>
        </w:tc>
        <w:tc>
          <w:tcPr>
            <w:tcW w:w="1500" w:type="dxa"/>
            <w:gridSpan w:val="2"/>
            <w:tcBorders>
              <w:top w:val="single" w:sz="2" w:space="0" w:color="auto"/>
              <w:left w:val="nil"/>
              <w:bottom w:val="nil"/>
              <w:right w:val="nil"/>
            </w:tcBorders>
            <w:hideMark/>
          </w:tcPr>
          <w:p w14:paraId="20870C0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C07" w14:textId="77777777" w:rsidR="00802D3E" w:rsidRDefault="00802D3E">
            <w:pPr>
              <w:pStyle w:val="MeasureTableTextLeftAligned"/>
            </w:pPr>
            <w:r>
              <w:t>F20</w:t>
            </w:r>
          </w:p>
        </w:tc>
      </w:tr>
      <w:tr w:rsidR="00802D3E" w14:paraId="20870C0D" w14:textId="77777777" w:rsidTr="00802D3E">
        <w:trPr>
          <w:cantSplit/>
          <w:jc w:val="center"/>
        </w:trPr>
        <w:tc>
          <w:tcPr>
            <w:tcW w:w="1934" w:type="dxa"/>
            <w:gridSpan w:val="2"/>
            <w:tcBorders>
              <w:top w:val="nil"/>
              <w:left w:val="nil"/>
              <w:bottom w:val="nil"/>
              <w:right w:val="nil"/>
            </w:tcBorders>
            <w:hideMark/>
          </w:tcPr>
          <w:p w14:paraId="20870C0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C0A"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C0B" w14:textId="77777777" w:rsidR="00802D3E" w:rsidRDefault="00802D3E">
            <w:pPr>
              <w:pStyle w:val="MeasureTableTextItalic"/>
            </w:pPr>
          </w:p>
        </w:tc>
        <w:tc>
          <w:tcPr>
            <w:tcW w:w="1124" w:type="dxa"/>
            <w:gridSpan w:val="2"/>
            <w:tcBorders>
              <w:top w:val="nil"/>
              <w:left w:val="nil"/>
              <w:bottom w:val="nil"/>
              <w:right w:val="nil"/>
            </w:tcBorders>
          </w:tcPr>
          <w:p w14:paraId="20870C0C" w14:textId="77777777" w:rsidR="00802D3E" w:rsidRDefault="00802D3E">
            <w:pPr>
              <w:pStyle w:val="MeasureTableTextLeftAligned"/>
            </w:pPr>
          </w:p>
        </w:tc>
      </w:tr>
      <w:tr w:rsidR="00802D3E" w14:paraId="20870C12" w14:textId="77777777" w:rsidTr="00802D3E">
        <w:trPr>
          <w:cantSplit/>
          <w:jc w:val="center"/>
        </w:trPr>
        <w:tc>
          <w:tcPr>
            <w:tcW w:w="1934" w:type="dxa"/>
            <w:gridSpan w:val="2"/>
            <w:tcBorders>
              <w:top w:val="nil"/>
              <w:left w:val="nil"/>
              <w:bottom w:val="nil"/>
              <w:right w:val="nil"/>
            </w:tcBorders>
            <w:hideMark/>
          </w:tcPr>
          <w:p w14:paraId="20870C0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C0F" w14:textId="77777777" w:rsidR="00802D3E" w:rsidRDefault="00802D3E">
            <w:pPr>
              <w:pStyle w:val="MeasureTableTextLeftAligned"/>
            </w:pPr>
            <w:r>
              <w:t>1 October 2004</w:t>
            </w:r>
          </w:p>
        </w:tc>
        <w:tc>
          <w:tcPr>
            <w:tcW w:w="1500" w:type="dxa"/>
            <w:gridSpan w:val="2"/>
            <w:tcBorders>
              <w:top w:val="nil"/>
              <w:left w:val="nil"/>
              <w:bottom w:val="nil"/>
              <w:right w:val="nil"/>
            </w:tcBorders>
            <w:hideMark/>
          </w:tcPr>
          <w:p w14:paraId="20870C10"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C11" w14:textId="77777777" w:rsidR="00802D3E" w:rsidRDefault="00802D3E">
            <w:pPr>
              <w:pStyle w:val="MeasureTableTextLeftAligned"/>
            </w:pPr>
          </w:p>
        </w:tc>
      </w:tr>
      <w:tr w:rsidR="00802D3E" w14:paraId="20870C15" w14:textId="77777777" w:rsidTr="00802D3E">
        <w:trPr>
          <w:cantSplit/>
          <w:jc w:val="center"/>
        </w:trPr>
        <w:tc>
          <w:tcPr>
            <w:tcW w:w="1934" w:type="dxa"/>
            <w:gridSpan w:val="2"/>
            <w:tcBorders>
              <w:top w:val="nil"/>
              <w:left w:val="nil"/>
              <w:bottom w:val="single" w:sz="2" w:space="0" w:color="auto"/>
              <w:right w:val="nil"/>
            </w:tcBorders>
            <w:hideMark/>
          </w:tcPr>
          <w:p w14:paraId="20870C1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C14" w14:textId="77777777" w:rsidR="00802D3E" w:rsidRDefault="00802D3E" w:rsidP="00106337">
            <w:pPr>
              <w:widowControl w:val="0"/>
              <w:autoSpaceDE w:val="0"/>
              <w:autoSpaceDN w:val="0"/>
              <w:adjustRightInd w:val="0"/>
              <w:spacing w:after="0" w:line="240" w:lineRule="auto"/>
              <w:jc w:val="left"/>
            </w:pPr>
            <w:r>
              <w:rPr>
                <w:rFonts w:ascii="Arial" w:hAnsi="Arial" w:cs="Arial"/>
                <w:i/>
                <w:iCs/>
                <w:color w:val="000000"/>
                <w:sz w:val="16"/>
                <w:szCs w:val="16"/>
              </w:rPr>
              <w:t>A New Tax System (Wine Equalisation Tax) Act 1999</w:t>
            </w:r>
          </w:p>
        </w:tc>
      </w:tr>
    </w:tbl>
    <w:p w14:paraId="20870C16" w14:textId="77777777" w:rsidR="00802D3E" w:rsidRDefault="00802D3E" w:rsidP="00A109BC">
      <w:pPr>
        <w:pStyle w:val="SingleParagraph"/>
      </w:pPr>
    </w:p>
    <w:p w14:paraId="20870C17" w14:textId="77777777" w:rsidR="00802D3E" w:rsidRDefault="00802D3E" w:rsidP="00802D3E">
      <w:r>
        <w:t>Wine producers are able to claim a rebate of up to $500,000 of wine equalisation tax (WET) payable, or which would have been payable had the buyer not quoted, on eligible wine sales per financial year. The rebate also extends to traditionally</w:t>
      </w:r>
      <w:r>
        <w:noBreakHyphen/>
        <w:t>brewed cider, mead, perry and sake.</w:t>
      </w:r>
      <w:r w:rsidR="00F07C59" w:rsidRPr="00F07C59">
        <w:t xml:space="preserve"> </w:t>
      </w:r>
      <w:r w:rsidR="00F07C59">
        <w:fldChar w:fldCharType="begin"/>
      </w:r>
      <w:r w:rsidR="00F07C59">
        <w:instrText xml:space="preserve"> XE "</w:instrText>
      </w:r>
      <w:r w:rsidR="00607FB4">
        <w:instrText>Alcohol:Wine</w:instrText>
      </w:r>
      <w:r w:rsidR="00F07C59">
        <w:instrText xml:space="preserve">" </w:instrText>
      </w:r>
      <w:r w:rsidR="00F07C59">
        <w:fldChar w:fldCharType="end"/>
      </w:r>
    </w:p>
    <w:p w14:paraId="20870C18" w14:textId="77777777" w:rsidR="00802D3E" w:rsidRDefault="00802D3E" w:rsidP="00802D3E">
      <w:r>
        <w:t>Subject to the passage of legislation, from 1 July 2018, the following eligibility criteria for access to the rebate will apply:</w:t>
      </w:r>
    </w:p>
    <w:p w14:paraId="20870C19" w14:textId="77777777" w:rsidR="00802D3E" w:rsidRDefault="00802D3E" w:rsidP="00802D3E">
      <w:pPr>
        <w:pStyle w:val="Bullet"/>
        <w:numPr>
          <w:ilvl w:val="0"/>
          <w:numId w:val="9"/>
        </w:numPr>
      </w:pPr>
      <w:r>
        <w:t>producers must own 85 per cent of the grapes throughout the winemaking process;</w:t>
      </w:r>
    </w:p>
    <w:p w14:paraId="20870C1A" w14:textId="77777777" w:rsidR="00802D3E" w:rsidRDefault="00802D3E" w:rsidP="00802D3E">
      <w:pPr>
        <w:pStyle w:val="Bullet"/>
        <w:numPr>
          <w:ilvl w:val="0"/>
          <w:numId w:val="9"/>
        </w:numPr>
      </w:pPr>
      <w:r>
        <w:t>wine must be packaged in a container not exceeding 5 litres (51 litres for cider and perry) and branded with a registered trademark (common law trademark by exception) for domestic retail sale; and</w:t>
      </w:r>
    </w:p>
    <w:p w14:paraId="20870C1B" w14:textId="77777777" w:rsidR="00802D3E" w:rsidRDefault="00802D3E" w:rsidP="00802D3E">
      <w:pPr>
        <w:pStyle w:val="Bullet"/>
        <w:numPr>
          <w:ilvl w:val="0"/>
          <w:numId w:val="9"/>
        </w:numPr>
      </w:pPr>
      <w:r>
        <w:t>the rebate claims must be better linked to the WET being paid.</w:t>
      </w:r>
    </w:p>
    <w:p w14:paraId="20870C1C" w14:textId="77777777" w:rsidR="00802D3E" w:rsidRDefault="00802D3E" w:rsidP="00802D3E">
      <w:r>
        <w:t xml:space="preserve">The rebate cap will be reduced to $350,000 per year from 1 July 2018. </w:t>
      </w:r>
    </w:p>
    <w:p w14:paraId="20870C1D" w14:textId="77777777" w:rsidR="00802D3E" w:rsidRDefault="00802D3E" w:rsidP="00802D3E">
      <w:pPr>
        <w:pStyle w:val="TESHeading5"/>
        <w:ind w:left="0" w:firstLine="0"/>
      </w:pPr>
      <w:r>
        <w:t>F21</w:t>
      </w:r>
      <w:r>
        <w:tab/>
        <w:t>Certain exemptions for diplomatic missions and foreign diplomats</w:t>
      </w:r>
    </w:p>
    <w:p w14:paraId="20870C1E" w14:textId="77777777" w:rsidR="00802D3E" w:rsidRDefault="00802D3E" w:rsidP="00802D3E">
      <w:pPr>
        <w:pStyle w:val="MeasureTableHeading"/>
      </w:pPr>
      <w:r>
        <w:t xml:space="preserve">General public services </w:t>
      </w:r>
      <w:r w:rsidR="007626B2">
        <w:t>–</w:t>
      </w:r>
      <w:r>
        <w:t xml:space="preserve"> Foreign</w:t>
      </w:r>
      <w:r w:rsidR="007626B2">
        <w:t xml:space="preserve"> </w:t>
      </w:r>
      <w:r>
        <w:t>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C27" w14:textId="77777777" w:rsidTr="00802D3E">
        <w:trPr>
          <w:cantSplit/>
          <w:jc w:val="center"/>
        </w:trPr>
        <w:tc>
          <w:tcPr>
            <w:tcW w:w="967" w:type="dxa"/>
            <w:tcBorders>
              <w:top w:val="single" w:sz="2" w:space="0" w:color="auto"/>
              <w:left w:val="nil"/>
              <w:bottom w:val="single" w:sz="2" w:space="0" w:color="auto"/>
              <w:right w:val="nil"/>
            </w:tcBorders>
            <w:hideMark/>
          </w:tcPr>
          <w:p w14:paraId="20870C1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C2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C2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C2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C2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C2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C2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C26" w14:textId="77777777" w:rsidR="00802D3E" w:rsidRDefault="00802D3E">
            <w:pPr>
              <w:pStyle w:val="MeasureTableTextRightAligned"/>
            </w:pPr>
            <w:r>
              <w:t>2019-20</w:t>
            </w:r>
          </w:p>
        </w:tc>
      </w:tr>
      <w:tr w:rsidR="00802D3E" w14:paraId="20870C30" w14:textId="77777777" w:rsidTr="00802D3E">
        <w:trPr>
          <w:cantSplit/>
          <w:jc w:val="center"/>
        </w:trPr>
        <w:tc>
          <w:tcPr>
            <w:tcW w:w="967" w:type="dxa"/>
            <w:tcBorders>
              <w:top w:val="single" w:sz="2" w:space="0" w:color="auto"/>
              <w:left w:val="nil"/>
              <w:bottom w:val="single" w:sz="2" w:space="0" w:color="auto"/>
              <w:right w:val="nil"/>
            </w:tcBorders>
            <w:hideMark/>
          </w:tcPr>
          <w:p w14:paraId="20870C28"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hideMark/>
          </w:tcPr>
          <w:p w14:paraId="20870C29"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70C2A"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70C2B" w14:textId="77777777" w:rsidR="00802D3E" w:rsidRDefault="00802D3E">
            <w:pPr>
              <w:pStyle w:val="MeasureTableTextRightAligned"/>
            </w:pPr>
            <w:r>
              <w:t>1</w:t>
            </w:r>
          </w:p>
        </w:tc>
        <w:tc>
          <w:tcPr>
            <w:tcW w:w="967" w:type="dxa"/>
            <w:tcBorders>
              <w:top w:val="single" w:sz="2" w:space="0" w:color="auto"/>
              <w:left w:val="nil"/>
              <w:bottom w:val="single" w:sz="2" w:space="0" w:color="auto"/>
              <w:right w:val="nil"/>
            </w:tcBorders>
            <w:vAlign w:val="bottom"/>
            <w:hideMark/>
          </w:tcPr>
          <w:p w14:paraId="20870C2C" w14:textId="77777777" w:rsidR="00802D3E" w:rsidRDefault="00802D3E">
            <w:pPr>
              <w:pStyle w:val="MeasureTableTextRightAligned"/>
            </w:pPr>
            <w:r>
              <w:t>1</w:t>
            </w:r>
          </w:p>
        </w:tc>
        <w:tc>
          <w:tcPr>
            <w:tcW w:w="967" w:type="dxa"/>
            <w:gridSpan w:val="2"/>
            <w:tcBorders>
              <w:top w:val="single" w:sz="2" w:space="0" w:color="auto"/>
              <w:left w:val="nil"/>
              <w:bottom w:val="single" w:sz="2" w:space="0" w:color="auto"/>
              <w:right w:val="nil"/>
            </w:tcBorders>
            <w:vAlign w:val="bottom"/>
            <w:hideMark/>
          </w:tcPr>
          <w:p w14:paraId="20870C2D" w14:textId="77777777" w:rsidR="00802D3E" w:rsidRDefault="00802D3E">
            <w:pPr>
              <w:pStyle w:val="MeasureTableTextRightAligned"/>
            </w:pPr>
            <w:r>
              <w:t>1</w:t>
            </w:r>
          </w:p>
        </w:tc>
        <w:tc>
          <w:tcPr>
            <w:tcW w:w="967" w:type="dxa"/>
            <w:gridSpan w:val="2"/>
            <w:tcBorders>
              <w:top w:val="single" w:sz="2" w:space="0" w:color="auto"/>
              <w:left w:val="nil"/>
              <w:bottom w:val="single" w:sz="2" w:space="0" w:color="auto"/>
              <w:right w:val="nil"/>
            </w:tcBorders>
            <w:vAlign w:val="bottom"/>
            <w:hideMark/>
          </w:tcPr>
          <w:p w14:paraId="20870C2E" w14:textId="77777777" w:rsidR="00802D3E" w:rsidRDefault="00802D3E">
            <w:pPr>
              <w:pStyle w:val="MeasureTableTextRightAligned"/>
            </w:pPr>
            <w:r>
              <w:t>1</w:t>
            </w:r>
          </w:p>
        </w:tc>
        <w:tc>
          <w:tcPr>
            <w:tcW w:w="968" w:type="dxa"/>
            <w:tcBorders>
              <w:top w:val="single" w:sz="2" w:space="0" w:color="auto"/>
              <w:left w:val="nil"/>
              <w:bottom w:val="single" w:sz="2" w:space="0" w:color="auto"/>
              <w:right w:val="nil"/>
            </w:tcBorders>
            <w:vAlign w:val="bottom"/>
            <w:hideMark/>
          </w:tcPr>
          <w:p w14:paraId="20870C2F" w14:textId="77777777" w:rsidR="00802D3E" w:rsidRDefault="00802D3E">
            <w:pPr>
              <w:pStyle w:val="MeasureTableTextRightAligned"/>
            </w:pPr>
            <w:r>
              <w:t>2</w:t>
            </w:r>
          </w:p>
        </w:tc>
      </w:tr>
      <w:tr w:rsidR="00802D3E" w14:paraId="20870C35" w14:textId="77777777" w:rsidTr="00802D3E">
        <w:trPr>
          <w:cantSplit/>
          <w:jc w:val="center"/>
        </w:trPr>
        <w:tc>
          <w:tcPr>
            <w:tcW w:w="1934" w:type="dxa"/>
            <w:gridSpan w:val="2"/>
            <w:tcBorders>
              <w:top w:val="single" w:sz="2" w:space="0" w:color="auto"/>
              <w:left w:val="nil"/>
              <w:bottom w:val="nil"/>
              <w:right w:val="nil"/>
            </w:tcBorders>
            <w:hideMark/>
          </w:tcPr>
          <w:p w14:paraId="20870C3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C32"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70C3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C34" w14:textId="77777777" w:rsidR="00802D3E" w:rsidRDefault="00802D3E">
            <w:pPr>
              <w:pStyle w:val="MeasureTableTextLeftAligned"/>
            </w:pPr>
            <w:r>
              <w:t>F21</w:t>
            </w:r>
          </w:p>
        </w:tc>
      </w:tr>
      <w:tr w:rsidR="00802D3E" w14:paraId="20870C3A" w14:textId="77777777" w:rsidTr="00802D3E">
        <w:trPr>
          <w:cantSplit/>
          <w:jc w:val="center"/>
        </w:trPr>
        <w:tc>
          <w:tcPr>
            <w:tcW w:w="1934" w:type="dxa"/>
            <w:gridSpan w:val="2"/>
            <w:tcBorders>
              <w:top w:val="nil"/>
              <w:left w:val="nil"/>
              <w:bottom w:val="nil"/>
              <w:right w:val="nil"/>
            </w:tcBorders>
            <w:hideMark/>
          </w:tcPr>
          <w:p w14:paraId="20870C3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C37"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70C38" w14:textId="77777777" w:rsidR="00802D3E" w:rsidRDefault="00802D3E">
            <w:pPr>
              <w:pStyle w:val="MeasureTableTextItalic"/>
            </w:pPr>
          </w:p>
        </w:tc>
        <w:tc>
          <w:tcPr>
            <w:tcW w:w="1124" w:type="dxa"/>
            <w:gridSpan w:val="2"/>
            <w:tcBorders>
              <w:top w:val="nil"/>
              <w:left w:val="nil"/>
              <w:bottom w:val="nil"/>
              <w:right w:val="nil"/>
            </w:tcBorders>
          </w:tcPr>
          <w:p w14:paraId="20870C39" w14:textId="77777777" w:rsidR="00802D3E" w:rsidRDefault="00802D3E">
            <w:pPr>
              <w:pStyle w:val="MeasureTableTextLeftAligned"/>
            </w:pPr>
          </w:p>
        </w:tc>
      </w:tr>
      <w:tr w:rsidR="00802D3E" w14:paraId="20870C3F" w14:textId="77777777" w:rsidTr="00802D3E">
        <w:trPr>
          <w:cantSplit/>
          <w:jc w:val="center"/>
        </w:trPr>
        <w:tc>
          <w:tcPr>
            <w:tcW w:w="1934" w:type="dxa"/>
            <w:gridSpan w:val="2"/>
            <w:tcBorders>
              <w:top w:val="nil"/>
              <w:left w:val="nil"/>
              <w:bottom w:val="nil"/>
              <w:right w:val="nil"/>
            </w:tcBorders>
            <w:hideMark/>
          </w:tcPr>
          <w:p w14:paraId="20870C3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C3C" w14:textId="77777777" w:rsidR="00802D3E" w:rsidRDefault="00802D3E">
            <w:pPr>
              <w:pStyle w:val="MeasureTableTextLeftAligned"/>
            </w:pPr>
            <w:r>
              <w:t>21 August 1940</w:t>
            </w:r>
          </w:p>
        </w:tc>
        <w:tc>
          <w:tcPr>
            <w:tcW w:w="1500" w:type="dxa"/>
            <w:gridSpan w:val="2"/>
            <w:tcBorders>
              <w:top w:val="nil"/>
              <w:left w:val="nil"/>
              <w:bottom w:val="nil"/>
              <w:right w:val="nil"/>
            </w:tcBorders>
            <w:hideMark/>
          </w:tcPr>
          <w:p w14:paraId="20870C3D"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C3E" w14:textId="77777777" w:rsidR="00802D3E" w:rsidRDefault="00802D3E">
            <w:pPr>
              <w:pStyle w:val="MeasureTableTextLeftAligned"/>
            </w:pPr>
          </w:p>
        </w:tc>
      </w:tr>
      <w:tr w:rsidR="00802D3E" w:rsidRPr="00106337" w14:paraId="20870C42" w14:textId="77777777" w:rsidTr="00802D3E">
        <w:trPr>
          <w:cantSplit/>
          <w:jc w:val="center"/>
        </w:trPr>
        <w:tc>
          <w:tcPr>
            <w:tcW w:w="1934" w:type="dxa"/>
            <w:gridSpan w:val="2"/>
            <w:tcBorders>
              <w:top w:val="nil"/>
              <w:left w:val="nil"/>
              <w:bottom w:val="single" w:sz="2" w:space="0" w:color="auto"/>
              <w:right w:val="nil"/>
            </w:tcBorders>
            <w:hideMark/>
          </w:tcPr>
          <w:p w14:paraId="20870C4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C41" w14:textId="123E941B" w:rsidR="00802D3E" w:rsidRPr="00106337" w:rsidRDefault="00802D3E" w:rsidP="00C11FD2">
            <w:pPr>
              <w:widowControl w:val="0"/>
              <w:autoSpaceDE w:val="0"/>
              <w:autoSpaceDN w:val="0"/>
              <w:adjustRightInd w:val="0"/>
              <w:spacing w:after="0" w:line="240" w:lineRule="auto"/>
              <w:jc w:val="left"/>
              <w:rPr>
                <w:rFonts w:ascii="Arial" w:hAnsi="Arial" w:cs="Arial"/>
                <w:sz w:val="16"/>
                <w:szCs w:val="16"/>
              </w:rPr>
            </w:pPr>
            <w:r w:rsidRPr="00106337">
              <w:rPr>
                <w:rFonts w:ascii="Arial" w:hAnsi="Arial" w:cs="Arial"/>
                <w:sz w:val="16"/>
                <w:szCs w:val="16"/>
              </w:rPr>
              <w:t xml:space="preserve">Division 2 and Schedule 1 of the </w:t>
            </w:r>
            <w:r w:rsidRPr="00106337">
              <w:rPr>
                <w:rFonts w:ascii="Arial" w:hAnsi="Arial" w:cs="Arial"/>
                <w:i/>
                <w:iCs/>
                <w:color w:val="000000"/>
                <w:sz w:val="16"/>
                <w:szCs w:val="16"/>
              </w:rPr>
              <w:t>Excise Regulation 2015</w:t>
            </w:r>
            <w:r w:rsidRPr="00106337">
              <w:rPr>
                <w:rFonts w:ascii="Arial" w:hAnsi="Arial" w:cs="Arial"/>
                <w:i/>
                <w:iCs/>
                <w:color w:val="000000"/>
                <w:sz w:val="16"/>
                <w:szCs w:val="16"/>
              </w:rPr>
              <w:br/>
            </w:r>
            <w:r w:rsidRPr="00106337">
              <w:rPr>
                <w:rFonts w:ascii="Arial" w:hAnsi="Arial" w:cs="Arial"/>
                <w:sz w:val="16"/>
                <w:szCs w:val="16"/>
              </w:rPr>
              <w:t xml:space="preserve">Section 10 of the </w:t>
            </w:r>
            <w:r w:rsidRPr="00106337">
              <w:rPr>
                <w:rFonts w:ascii="Arial" w:hAnsi="Arial" w:cs="Arial"/>
                <w:i/>
                <w:iCs/>
                <w:color w:val="000000"/>
                <w:sz w:val="16"/>
                <w:szCs w:val="16"/>
              </w:rPr>
              <w:t>Diplomatic Privileges and Immunities Act 1967</w:t>
            </w:r>
            <w:r w:rsidRPr="00106337">
              <w:rPr>
                <w:rFonts w:ascii="Arial" w:hAnsi="Arial" w:cs="Arial"/>
                <w:i/>
                <w:iCs/>
                <w:color w:val="000000"/>
                <w:sz w:val="16"/>
                <w:szCs w:val="16"/>
              </w:rPr>
              <w:br/>
            </w:r>
            <w:r w:rsidRPr="00106337">
              <w:rPr>
                <w:rFonts w:ascii="Arial" w:hAnsi="Arial" w:cs="Arial"/>
                <w:sz w:val="16"/>
                <w:szCs w:val="16"/>
              </w:rPr>
              <w:t xml:space="preserve">Section 10 of the </w:t>
            </w:r>
            <w:r w:rsidRPr="00106337">
              <w:rPr>
                <w:rFonts w:ascii="Arial" w:hAnsi="Arial" w:cs="Arial"/>
                <w:i/>
                <w:iCs/>
                <w:color w:val="000000"/>
                <w:sz w:val="16"/>
                <w:szCs w:val="16"/>
              </w:rPr>
              <w:t>Consular Privileges and Immunities Act 1972</w:t>
            </w:r>
            <w:r w:rsidRPr="00106337">
              <w:rPr>
                <w:rFonts w:ascii="Arial" w:hAnsi="Arial" w:cs="Arial"/>
                <w:i/>
                <w:iCs/>
                <w:color w:val="000000"/>
                <w:sz w:val="16"/>
                <w:szCs w:val="16"/>
              </w:rPr>
              <w:br/>
            </w:r>
            <w:r w:rsidRPr="00106337">
              <w:rPr>
                <w:rFonts w:ascii="Arial" w:hAnsi="Arial" w:cs="Arial"/>
                <w:sz w:val="16"/>
                <w:szCs w:val="16"/>
              </w:rPr>
              <w:t xml:space="preserve">Section 11 of the </w:t>
            </w:r>
            <w:r w:rsidRPr="00106337">
              <w:rPr>
                <w:rFonts w:ascii="Arial" w:hAnsi="Arial" w:cs="Arial"/>
                <w:i/>
                <w:iCs/>
                <w:color w:val="000000"/>
                <w:sz w:val="16"/>
                <w:szCs w:val="16"/>
              </w:rPr>
              <w:t>International Organisations (Privileges and Immunities) Act</w:t>
            </w:r>
            <w:r w:rsidR="00C11FD2">
              <w:rPr>
                <w:rFonts w:ascii="Arial" w:hAnsi="Arial" w:cs="Arial"/>
                <w:i/>
                <w:iCs/>
                <w:color w:val="000000"/>
                <w:sz w:val="16"/>
                <w:szCs w:val="16"/>
              </w:rPr>
              <w:t> </w:t>
            </w:r>
            <w:r w:rsidRPr="00106337">
              <w:rPr>
                <w:rFonts w:ascii="Arial" w:hAnsi="Arial" w:cs="Arial"/>
                <w:i/>
                <w:iCs/>
                <w:color w:val="000000"/>
                <w:sz w:val="16"/>
                <w:szCs w:val="16"/>
              </w:rPr>
              <w:t>1963</w:t>
            </w:r>
            <w:r w:rsidRPr="00106337">
              <w:rPr>
                <w:rFonts w:ascii="Arial" w:hAnsi="Arial" w:cs="Arial"/>
                <w:i/>
                <w:iCs/>
                <w:color w:val="000000"/>
                <w:sz w:val="16"/>
                <w:szCs w:val="16"/>
              </w:rPr>
              <w:br/>
            </w:r>
            <w:r w:rsidRPr="00106337">
              <w:rPr>
                <w:rFonts w:ascii="Arial" w:hAnsi="Arial" w:cs="Arial"/>
                <w:sz w:val="16"/>
                <w:szCs w:val="16"/>
              </w:rPr>
              <w:t xml:space="preserve">Section 12 of the </w:t>
            </w:r>
            <w:r w:rsidRPr="00106337">
              <w:rPr>
                <w:rFonts w:ascii="Arial" w:hAnsi="Arial" w:cs="Arial"/>
                <w:i/>
                <w:iCs/>
                <w:color w:val="000000"/>
                <w:sz w:val="16"/>
                <w:szCs w:val="16"/>
              </w:rPr>
              <w:t>Overseas Missions (Privileges and Immunities) Act 1995</w:t>
            </w:r>
          </w:p>
        </w:tc>
      </w:tr>
    </w:tbl>
    <w:p w14:paraId="20870C43" w14:textId="77777777" w:rsidR="00802D3E" w:rsidRDefault="00802D3E" w:rsidP="00802D3E">
      <w:pPr>
        <w:pStyle w:val="Source"/>
      </w:pPr>
      <w:r>
        <w:t>Note: estimates represent excise duty only.</w:t>
      </w:r>
    </w:p>
    <w:p w14:paraId="20870C44" w14:textId="77777777" w:rsidR="005620DE" w:rsidRPr="005620DE" w:rsidRDefault="005620DE" w:rsidP="00A109BC">
      <w:pPr>
        <w:pStyle w:val="SingleParagraph"/>
      </w:pPr>
    </w:p>
    <w:p w14:paraId="20870C45" w14:textId="77777777" w:rsidR="00802D3E" w:rsidRDefault="00802D3E" w:rsidP="00802D3E">
      <w:r>
        <w:rPr>
          <w:rFonts w:cs="Book Antiqua"/>
        </w:rPr>
        <w:t>Excise, luxury car tax and wine equalisation tax are not payable (or an equivalent amount of that paid is claimable) for alcohol, fuel, motor vehicles and tobacco used for official purposes by diplomatic missions</w:t>
      </w:r>
      <w:r>
        <w:rPr>
          <w:rFonts w:cs="Book Antiqua"/>
        </w:rPr>
        <w:fldChar w:fldCharType="begin"/>
      </w:r>
      <w:r>
        <w:instrText xml:space="preserve"> XE "</w:instrText>
      </w:r>
      <w:r>
        <w:rPr>
          <w:rFonts w:cs="Book Antiqua"/>
        </w:rPr>
        <w:instrText>Diplomatic missions</w:instrText>
      </w:r>
      <w:r>
        <w:instrText xml:space="preserve">" </w:instrText>
      </w:r>
      <w:r>
        <w:rPr>
          <w:rFonts w:cs="Book Antiqua"/>
        </w:rPr>
        <w:fldChar w:fldCharType="end"/>
      </w:r>
      <w:r>
        <w:rPr>
          <w:rFonts w:cs="Book Antiqua"/>
        </w:rPr>
        <w:t xml:space="preserve"> or for personal use by persons identified in the </w:t>
      </w:r>
      <w:r>
        <w:rPr>
          <w:rFonts w:cs="Book Antiqua"/>
          <w:i/>
          <w:iCs/>
        </w:rPr>
        <w:t>Diplomatic Privileges and Immunities Act 1967</w:t>
      </w:r>
      <w:r>
        <w:rPr>
          <w:rFonts w:cs="Book Antiqua"/>
        </w:rPr>
        <w:t>.</w:t>
      </w:r>
      <w:r>
        <w:t xml:space="preserve"> </w:t>
      </w:r>
    </w:p>
    <w:p w14:paraId="20870C46" w14:textId="77777777" w:rsidR="00802D3E" w:rsidRDefault="00802D3E" w:rsidP="00802D3E">
      <w:pPr>
        <w:pStyle w:val="TESHeading5"/>
        <w:ind w:left="0" w:firstLine="0"/>
      </w:pPr>
      <w:r>
        <w:lastRenderedPageBreak/>
        <w:t>F22</w:t>
      </w:r>
      <w:r>
        <w:tab/>
        <w:t>Certain exemptions for Australian military sea vessels</w:t>
      </w:r>
    </w:p>
    <w:p w14:paraId="20870C47" w14:textId="77777777" w:rsidR="00802D3E" w:rsidRDefault="00802D3E" w:rsidP="00802D3E">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C50" w14:textId="77777777" w:rsidTr="00802D3E">
        <w:trPr>
          <w:cantSplit/>
          <w:jc w:val="center"/>
        </w:trPr>
        <w:tc>
          <w:tcPr>
            <w:tcW w:w="967" w:type="dxa"/>
            <w:tcBorders>
              <w:top w:val="single" w:sz="2" w:space="0" w:color="auto"/>
              <w:left w:val="nil"/>
              <w:bottom w:val="single" w:sz="2" w:space="0" w:color="auto"/>
              <w:right w:val="nil"/>
            </w:tcBorders>
            <w:hideMark/>
          </w:tcPr>
          <w:p w14:paraId="20870C4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C4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C4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C4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C4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C4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C4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C4F" w14:textId="77777777" w:rsidR="00802D3E" w:rsidRDefault="00802D3E">
            <w:pPr>
              <w:pStyle w:val="MeasureTableTextRightAligned"/>
            </w:pPr>
            <w:r>
              <w:t>2019-20</w:t>
            </w:r>
          </w:p>
        </w:tc>
      </w:tr>
      <w:tr w:rsidR="00802D3E" w14:paraId="20870C59" w14:textId="77777777" w:rsidTr="00802D3E">
        <w:trPr>
          <w:cantSplit/>
          <w:jc w:val="center"/>
        </w:trPr>
        <w:tc>
          <w:tcPr>
            <w:tcW w:w="967" w:type="dxa"/>
            <w:tcBorders>
              <w:top w:val="single" w:sz="2" w:space="0" w:color="auto"/>
              <w:left w:val="nil"/>
              <w:bottom w:val="single" w:sz="2" w:space="0" w:color="auto"/>
              <w:right w:val="nil"/>
            </w:tcBorders>
            <w:hideMark/>
          </w:tcPr>
          <w:p w14:paraId="20870C5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C5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5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5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5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C5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C57"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C58" w14:textId="77777777" w:rsidR="00802D3E" w:rsidRDefault="00802D3E">
            <w:pPr>
              <w:pStyle w:val="MeasureTableTextRightAligned"/>
            </w:pPr>
            <w:r>
              <w:t>*</w:t>
            </w:r>
          </w:p>
        </w:tc>
      </w:tr>
      <w:tr w:rsidR="00802D3E" w14:paraId="20870C5E" w14:textId="77777777" w:rsidTr="00802D3E">
        <w:trPr>
          <w:cantSplit/>
          <w:jc w:val="center"/>
        </w:trPr>
        <w:tc>
          <w:tcPr>
            <w:tcW w:w="1934" w:type="dxa"/>
            <w:gridSpan w:val="2"/>
            <w:tcBorders>
              <w:top w:val="single" w:sz="2" w:space="0" w:color="auto"/>
              <w:left w:val="nil"/>
              <w:bottom w:val="nil"/>
              <w:right w:val="nil"/>
            </w:tcBorders>
            <w:hideMark/>
          </w:tcPr>
          <w:p w14:paraId="20870C5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C5B"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70C5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C5D" w14:textId="77777777" w:rsidR="00802D3E" w:rsidRDefault="00802D3E">
            <w:pPr>
              <w:pStyle w:val="MeasureTableTextLeftAligned"/>
            </w:pPr>
            <w:r>
              <w:t>F22</w:t>
            </w:r>
          </w:p>
        </w:tc>
      </w:tr>
      <w:tr w:rsidR="00802D3E" w14:paraId="20870C63" w14:textId="77777777" w:rsidTr="00802D3E">
        <w:trPr>
          <w:cantSplit/>
          <w:jc w:val="center"/>
        </w:trPr>
        <w:tc>
          <w:tcPr>
            <w:tcW w:w="1934" w:type="dxa"/>
            <w:gridSpan w:val="2"/>
            <w:tcBorders>
              <w:top w:val="nil"/>
              <w:left w:val="nil"/>
              <w:bottom w:val="nil"/>
              <w:right w:val="nil"/>
            </w:tcBorders>
            <w:hideMark/>
          </w:tcPr>
          <w:p w14:paraId="20870C5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C60"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C61"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C62" w14:textId="77777777" w:rsidR="00802D3E" w:rsidRDefault="00802D3E">
            <w:pPr>
              <w:pStyle w:val="MeasureTableTextLeftAligned"/>
            </w:pPr>
            <w:r>
              <w:t>1+</w:t>
            </w:r>
          </w:p>
        </w:tc>
      </w:tr>
      <w:tr w:rsidR="00802D3E" w14:paraId="20870C68" w14:textId="77777777" w:rsidTr="00802D3E">
        <w:trPr>
          <w:cantSplit/>
          <w:jc w:val="center"/>
        </w:trPr>
        <w:tc>
          <w:tcPr>
            <w:tcW w:w="1934" w:type="dxa"/>
            <w:gridSpan w:val="2"/>
            <w:tcBorders>
              <w:top w:val="nil"/>
              <w:left w:val="nil"/>
              <w:bottom w:val="nil"/>
              <w:right w:val="nil"/>
            </w:tcBorders>
            <w:hideMark/>
          </w:tcPr>
          <w:p w14:paraId="20870C6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C65" w14:textId="77777777" w:rsidR="00802D3E" w:rsidRDefault="00802D3E">
            <w:pPr>
              <w:pStyle w:val="MeasureTableTextLeftAligned"/>
            </w:pPr>
            <w:r>
              <w:t>2 August 1934</w:t>
            </w:r>
          </w:p>
        </w:tc>
        <w:tc>
          <w:tcPr>
            <w:tcW w:w="1500" w:type="dxa"/>
            <w:gridSpan w:val="2"/>
            <w:tcBorders>
              <w:top w:val="nil"/>
              <w:left w:val="nil"/>
              <w:bottom w:val="nil"/>
              <w:right w:val="nil"/>
            </w:tcBorders>
            <w:hideMark/>
          </w:tcPr>
          <w:p w14:paraId="20870C66"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C67" w14:textId="77777777" w:rsidR="00802D3E" w:rsidRDefault="00802D3E">
            <w:pPr>
              <w:pStyle w:val="MeasureTableTextLeftAligned"/>
            </w:pPr>
          </w:p>
        </w:tc>
      </w:tr>
      <w:tr w:rsidR="00802D3E" w14:paraId="20870C6B" w14:textId="77777777" w:rsidTr="00802D3E">
        <w:trPr>
          <w:cantSplit/>
          <w:jc w:val="center"/>
        </w:trPr>
        <w:tc>
          <w:tcPr>
            <w:tcW w:w="1934" w:type="dxa"/>
            <w:gridSpan w:val="2"/>
            <w:tcBorders>
              <w:top w:val="nil"/>
              <w:left w:val="nil"/>
              <w:bottom w:val="single" w:sz="2" w:space="0" w:color="auto"/>
              <w:right w:val="nil"/>
            </w:tcBorders>
            <w:hideMark/>
          </w:tcPr>
          <w:p w14:paraId="20870C6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C6A" w14:textId="77777777" w:rsidR="00802D3E" w:rsidRDefault="00802D3E" w:rsidP="00106337">
            <w:pPr>
              <w:widowControl w:val="0"/>
              <w:autoSpaceDE w:val="0"/>
              <w:autoSpaceDN w:val="0"/>
              <w:adjustRightInd w:val="0"/>
              <w:spacing w:after="0" w:line="240" w:lineRule="auto"/>
              <w:jc w:val="left"/>
            </w:pPr>
            <w:r>
              <w:rPr>
                <w:rFonts w:ascii="Arial" w:hAnsi="Arial" w:cs="Arial"/>
                <w:color w:val="000000"/>
                <w:sz w:val="16"/>
                <w:szCs w:val="16"/>
              </w:rPr>
              <w:t xml:space="preserve">Schedule 1 to the </w:t>
            </w:r>
            <w:r>
              <w:rPr>
                <w:rFonts w:ascii="Arial" w:hAnsi="Arial" w:cs="Arial"/>
                <w:i/>
                <w:iCs/>
                <w:color w:val="000000"/>
                <w:sz w:val="16"/>
                <w:szCs w:val="16"/>
              </w:rPr>
              <w:t>Excise Regulation 2015</w:t>
            </w:r>
          </w:p>
        </w:tc>
      </w:tr>
    </w:tbl>
    <w:p w14:paraId="20870C6C" w14:textId="77777777" w:rsidR="00802D3E" w:rsidRDefault="00802D3E" w:rsidP="00802D3E">
      <w:pPr>
        <w:pStyle w:val="Source"/>
      </w:pPr>
      <w:r>
        <w:t>Note: estimates represent excise duty only.</w:t>
      </w:r>
    </w:p>
    <w:p w14:paraId="20870C6D" w14:textId="77777777" w:rsidR="005620DE" w:rsidRPr="005620DE" w:rsidRDefault="005620DE" w:rsidP="00A109BC">
      <w:pPr>
        <w:pStyle w:val="SingleParagraph"/>
      </w:pPr>
    </w:p>
    <w:p w14:paraId="20870C6E" w14:textId="77777777" w:rsidR="00802D3E" w:rsidRDefault="00802D3E" w:rsidP="00802D3E">
      <w:r>
        <w:t>Excise on tobacco and certain alcoholic products is not payable by Australian military seagoing vessels</w:t>
      </w:r>
      <w:r>
        <w:fldChar w:fldCharType="begin"/>
      </w:r>
      <w:r>
        <w:instrText xml:space="preserve"> XE "Australian military seagoing vessels" </w:instrText>
      </w:r>
      <w:r>
        <w:fldChar w:fldCharType="end"/>
      </w:r>
      <w:r>
        <w:t xml:space="preserve"> in full commission when the products are consumed on board. </w:t>
      </w:r>
    </w:p>
    <w:p w14:paraId="20870C6F" w14:textId="77777777" w:rsidR="00802D3E" w:rsidRDefault="00802D3E" w:rsidP="00802D3E">
      <w:pPr>
        <w:pStyle w:val="TESHeading5"/>
        <w:ind w:left="0" w:firstLine="0"/>
      </w:pPr>
      <w:r>
        <w:t>F23</w:t>
      </w:r>
      <w:r>
        <w:tab/>
        <w:t>Customs duty</w:t>
      </w:r>
    </w:p>
    <w:p w14:paraId="20870C70" w14:textId="77777777" w:rsidR="00802D3E" w:rsidRDefault="00802D3E" w:rsidP="00802D3E">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C79" w14:textId="77777777" w:rsidTr="00802D3E">
        <w:trPr>
          <w:cantSplit/>
          <w:jc w:val="center"/>
        </w:trPr>
        <w:tc>
          <w:tcPr>
            <w:tcW w:w="967" w:type="dxa"/>
            <w:tcBorders>
              <w:top w:val="single" w:sz="2" w:space="0" w:color="auto"/>
              <w:left w:val="nil"/>
              <w:bottom w:val="single" w:sz="2" w:space="0" w:color="auto"/>
              <w:right w:val="nil"/>
            </w:tcBorders>
            <w:hideMark/>
          </w:tcPr>
          <w:p w14:paraId="20870C7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C7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C7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C7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C7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C7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C7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C78" w14:textId="77777777" w:rsidR="00802D3E" w:rsidRDefault="00802D3E">
            <w:pPr>
              <w:pStyle w:val="MeasureTableTextRightAligned"/>
            </w:pPr>
            <w:r>
              <w:t>2019-20</w:t>
            </w:r>
          </w:p>
        </w:tc>
      </w:tr>
      <w:tr w:rsidR="00802D3E" w14:paraId="20870C82" w14:textId="77777777" w:rsidTr="00802D3E">
        <w:trPr>
          <w:cantSplit/>
          <w:jc w:val="center"/>
        </w:trPr>
        <w:tc>
          <w:tcPr>
            <w:tcW w:w="967" w:type="dxa"/>
            <w:tcBorders>
              <w:top w:val="single" w:sz="2" w:space="0" w:color="auto"/>
              <w:left w:val="nil"/>
              <w:bottom w:val="single" w:sz="2" w:space="0" w:color="auto"/>
              <w:right w:val="nil"/>
            </w:tcBorders>
            <w:hideMark/>
          </w:tcPr>
          <w:p w14:paraId="20870C7A" w14:textId="77777777" w:rsidR="00802D3E" w:rsidRDefault="00802D3E">
            <w:pPr>
              <w:pStyle w:val="MeasureTableTextRightAligned"/>
            </w:pPr>
            <w:r>
              <w:t>-2,730</w:t>
            </w:r>
          </w:p>
        </w:tc>
        <w:tc>
          <w:tcPr>
            <w:tcW w:w="967" w:type="dxa"/>
            <w:tcBorders>
              <w:top w:val="single" w:sz="2" w:space="0" w:color="auto"/>
              <w:left w:val="nil"/>
              <w:bottom w:val="single" w:sz="2" w:space="0" w:color="auto"/>
              <w:right w:val="nil"/>
            </w:tcBorders>
            <w:hideMark/>
          </w:tcPr>
          <w:p w14:paraId="20870C7B" w14:textId="77777777" w:rsidR="00802D3E" w:rsidRDefault="00802D3E">
            <w:pPr>
              <w:pStyle w:val="MeasureTableTextRightAligned"/>
            </w:pPr>
            <w:r>
              <w:t>-3,040</w:t>
            </w:r>
          </w:p>
        </w:tc>
        <w:tc>
          <w:tcPr>
            <w:tcW w:w="967" w:type="dxa"/>
            <w:tcBorders>
              <w:top w:val="single" w:sz="2" w:space="0" w:color="auto"/>
              <w:left w:val="nil"/>
              <w:bottom w:val="single" w:sz="2" w:space="0" w:color="auto"/>
              <w:right w:val="nil"/>
            </w:tcBorders>
            <w:vAlign w:val="bottom"/>
            <w:hideMark/>
          </w:tcPr>
          <w:p w14:paraId="20870C7C" w14:textId="77777777" w:rsidR="00802D3E" w:rsidRDefault="00802D3E">
            <w:pPr>
              <w:pStyle w:val="MeasureTableTextRightAligned"/>
            </w:pPr>
            <w:r>
              <w:t>-2,700</w:t>
            </w:r>
          </w:p>
        </w:tc>
        <w:tc>
          <w:tcPr>
            <w:tcW w:w="967" w:type="dxa"/>
            <w:tcBorders>
              <w:top w:val="single" w:sz="2" w:space="0" w:color="auto"/>
              <w:left w:val="nil"/>
              <w:bottom w:val="single" w:sz="2" w:space="0" w:color="auto"/>
              <w:right w:val="nil"/>
            </w:tcBorders>
            <w:vAlign w:val="bottom"/>
            <w:hideMark/>
          </w:tcPr>
          <w:p w14:paraId="20870C7D" w14:textId="77777777" w:rsidR="00802D3E" w:rsidRDefault="00802D3E">
            <w:pPr>
              <w:pStyle w:val="MeasureTableTextRightAligned"/>
            </w:pPr>
            <w:r>
              <w:t>-2,280</w:t>
            </w:r>
          </w:p>
        </w:tc>
        <w:tc>
          <w:tcPr>
            <w:tcW w:w="967" w:type="dxa"/>
            <w:tcBorders>
              <w:top w:val="single" w:sz="2" w:space="0" w:color="auto"/>
              <w:left w:val="nil"/>
              <w:bottom w:val="single" w:sz="2" w:space="0" w:color="auto"/>
              <w:right w:val="nil"/>
            </w:tcBorders>
            <w:vAlign w:val="bottom"/>
            <w:hideMark/>
          </w:tcPr>
          <w:p w14:paraId="20870C7E" w14:textId="77777777" w:rsidR="00802D3E" w:rsidRDefault="00802D3E">
            <w:pPr>
              <w:pStyle w:val="MeasureTableTextRightAligned"/>
            </w:pPr>
            <w:r>
              <w:t>-1,450</w:t>
            </w:r>
          </w:p>
        </w:tc>
        <w:tc>
          <w:tcPr>
            <w:tcW w:w="967" w:type="dxa"/>
            <w:gridSpan w:val="2"/>
            <w:tcBorders>
              <w:top w:val="single" w:sz="2" w:space="0" w:color="auto"/>
              <w:left w:val="nil"/>
              <w:bottom w:val="single" w:sz="2" w:space="0" w:color="auto"/>
              <w:right w:val="nil"/>
            </w:tcBorders>
            <w:vAlign w:val="bottom"/>
            <w:hideMark/>
          </w:tcPr>
          <w:p w14:paraId="20870C7F" w14:textId="77777777" w:rsidR="00802D3E" w:rsidRDefault="00802D3E">
            <w:pPr>
              <w:pStyle w:val="MeasureTableTextRightAligned"/>
            </w:pPr>
            <w:r>
              <w:t>-1,060</w:t>
            </w:r>
          </w:p>
        </w:tc>
        <w:tc>
          <w:tcPr>
            <w:tcW w:w="967" w:type="dxa"/>
            <w:gridSpan w:val="2"/>
            <w:tcBorders>
              <w:top w:val="single" w:sz="2" w:space="0" w:color="auto"/>
              <w:left w:val="nil"/>
              <w:bottom w:val="single" w:sz="2" w:space="0" w:color="auto"/>
              <w:right w:val="nil"/>
            </w:tcBorders>
            <w:vAlign w:val="bottom"/>
            <w:hideMark/>
          </w:tcPr>
          <w:p w14:paraId="20870C80" w14:textId="77777777" w:rsidR="00802D3E" w:rsidRDefault="00802D3E">
            <w:pPr>
              <w:pStyle w:val="MeasureTableTextRightAligned"/>
            </w:pPr>
            <w:r>
              <w:t>-1,170</w:t>
            </w:r>
          </w:p>
        </w:tc>
        <w:tc>
          <w:tcPr>
            <w:tcW w:w="968" w:type="dxa"/>
            <w:tcBorders>
              <w:top w:val="single" w:sz="2" w:space="0" w:color="auto"/>
              <w:left w:val="nil"/>
              <w:bottom w:val="single" w:sz="2" w:space="0" w:color="auto"/>
              <w:right w:val="nil"/>
            </w:tcBorders>
            <w:vAlign w:val="bottom"/>
            <w:hideMark/>
          </w:tcPr>
          <w:p w14:paraId="20870C81" w14:textId="77777777" w:rsidR="00802D3E" w:rsidRDefault="00802D3E">
            <w:pPr>
              <w:pStyle w:val="MeasureTableTextRightAligned"/>
            </w:pPr>
            <w:r>
              <w:t>-1,340</w:t>
            </w:r>
          </w:p>
        </w:tc>
      </w:tr>
      <w:tr w:rsidR="00802D3E" w14:paraId="20870C87" w14:textId="77777777" w:rsidTr="00802D3E">
        <w:trPr>
          <w:cantSplit/>
          <w:jc w:val="center"/>
        </w:trPr>
        <w:tc>
          <w:tcPr>
            <w:tcW w:w="1934" w:type="dxa"/>
            <w:gridSpan w:val="2"/>
            <w:tcBorders>
              <w:top w:val="single" w:sz="2" w:space="0" w:color="auto"/>
              <w:left w:val="nil"/>
              <w:bottom w:val="nil"/>
              <w:right w:val="nil"/>
            </w:tcBorders>
            <w:hideMark/>
          </w:tcPr>
          <w:p w14:paraId="20870C8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C84" w14:textId="77777777" w:rsidR="00802D3E" w:rsidRDefault="00802D3E">
            <w:pPr>
              <w:pStyle w:val="MeasureTableTextLeftAligned"/>
            </w:pPr>
            <w:r>
              <w:t>Increased rate</w:t>
            </w:r>
          </w:p>
        </w:tc>
        <w:tc>
          <w:tcPr>
            <w:tcW w:w="1500" w:type="dxa"/>
            <w:gridSpan w:val="2"/>
            <w:tcBorders>
              <w:top w:val="single" w:sz="2" w:space="0" w:color="auto"/>
              <w:left w:val="nil"/>
              <w:bottom w:val="nil"/>
              <w:right w:val="nil"/>
            </w:tcBorders>
            <w:hideMark/>
          </w:tcPr>
          <w:p w14:paraId="20870C8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C86" w14:textId="77777777" w:rsidR="00802D3E" w:rsidRDefault="00802D3E">
            <w:pPr>
              <w:pStyle w:val="MeasureTableTextLeftAligned"/>
            </w:pPr>
            <w:r>
              <w:t>F23</w:t>
            </w:r>
          </w:p>
        </w:tc>
      </w:tr>
      <w:tr w:rsidR="00802D3E" w14:paraId="20870C8C" w14:textId="77777777" w:rsidTr="00802D3E">
        <w:trPr>
          <w:cantSplit/>
          <w:jc w:val="center"/>
        </w:trPr>
        <w:tc>
          <w:tcPr>
            <w:tcW w:w="1934" w:type="dxa"/>
            <w:gridSpan w:val="2"/>
            <w:tcBorders>
              <w:top w:val="nil"/>
              <w:left w:val="nil"/>
              <w:bottom w:val="nil"/>
              <w:right w:val="nil"/>
            </w:tcBorders>
            <w:hideMark/>
          </w:tcPr>
          <w:p w14:paraId="20870C8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C89" w14:textId="77777777" w:rsidR="00802D3E" w:rsidRDefault="00802D3E">
            <w:pPr>
              <w:pStyle w:val="MeasureTableTextLeftAligned"/>
            </w:pPr>
            <w:r>
              <w:t>Medium - High</w:t>
            </w:r>
          </w:p>
        </w:tc>
        <w:tc>
          <w:tcPr>
            <w:tcW w:w="1500" w:type="dxa"/>
            <w:gridSpan w:val="2"/>
            <w:tcBorders>
              <w:top w:val="nil"/>
              <w:left w:val="nil"/>
              <w:bottom w:val="nil"/>
              <w:right w:val="nil"/>
            </w:tcBorders>
          </w:tcPr>
          <w:p w14:paraId="20870C8A" w14:textId="77777777" w:rsidR="00802D3E" w:rsidRDefault="00802D3E">
            <w:pPr>
              <w:pStyle w:val="MeasureTableTextItalic"/>
            </w:pPr>
          </w:p>
        </w:tc>
        <w:tc>
          <w:tcPr>
            <w:tcW w:w="1124" w:type="dxa"/>
            <w:gridSpan w:val="2"/>
            <w:tcBorders>
              <w:top w:val="nil"/>
              <w:left w:val="nil"/>
              <w:bottom w:val="nil"/>
              <w:right w:val="nil"/>
            </w:tcBorders>
          </w:tcPr>
          <w:p w14:paraId="20870C8B" w14:textId="77777777" w:rsidR="00802D3E" w:rsidRDefault="00802D3E">
            <w:pPr>
              <w:pStyle w:val="MeasureTableTextLeftAligned"/>
            </w:pPr>
          </w:p>
        </w:tc>
      </w:tr>
      <w:tr w:rsidR="00802D3E" w14:paraId="20870C91" w14:textId="77777777" w:rsidTr="00802D3E">
        <w:trPr>
          <w:cantSplit/>
          <w:jc w:val="center"/>
        </w:trPr>
        <w:tc>
          <w:tcPr>
            <w:tcW w:w="1934" w:type="dxa"/>
            <w:gridSpan w:val="2"/>
            <w:tcBorders>
              <w:top w:val="nil"/>
              <w:left w:val="nil"/>
              <w:bottom w:val="nil"/>
              <w:right w:val="nil"/>
            </w:tcBorders>
            <w:hideMark/>
          </w:tcPr>
          <w:p w14:paraId="20870C8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C8E" w14:textId="77777777" w:rsidR="00802D3E" w:rsidRDefault="00802D3E">
            <w:pPr>
              <w:pStyle w:val="MeasureTableTextLeftAligned"/>
            </w:pPr>
            <w:r>
              <w:t>4 October 1901</w:t>
            </w:r>
          </w:p>
        </w:tc>
        <w:tc>
          <w:tcPr>
            <w:tcW w:w="1500" w:type="dxa"/>
            <w:gridSpan w:val="2"/>
            <w:tcBorders>
              <w:top w:val="nil"/>
              <w:left w:val="nil"/>
              <w:bottom w:val="nil"/>
              <w:right w:val="nil"/>
            </w:tcBorders>
            <w:hideMark/>
          </w:tcPr>
          <w:p w14:paraId="20870C8F"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C90" w14:textId="77777777" w:rsidR="00802D3E" w:rsidRDefault="00802D3E">
            <w:pPr>
              <w:pStyle w:val="MeasureTableTextLeftAligned"/>
            </w:pPr>
          </w:p>
        </w:tc>
      </w:tr>
      <w:tr w:rsidR="00802D3E" w14:paraId="20870C95" w14:textId="77777777" w:rsidTr="00802D3E">
        <w:trPr>
          <w:cantSplit/>
          <w:jc w:val="center"/>
        </w:trPr>
        <w:tc>
          <w:tcPr>
            <w:tcW w:w="1934" w:type="dxa"/>
            <w:gridSpan w:val="2"/>
            <w:tcBorders>
              <w:top w:val="nil"/>
              <w:left w:val="nil"/>
              <w:bottom w:val="single" w:sz="2" w:space="0" w:color="auto"/>
              <w:right w:val="nil"/>
            </w:tcBorders>
            <w:hideMark/>
          </w:tcPr>
          <w:p w14:paraId="20870C9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C93" w14:textId="77777777" w:rsidR="00802D3E" w:rsidRDefault="00802D3E" w:rsidP="00106337">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i/>
                <w:iCs/>
                <w:color w:val="000000"/>
                <w:sz w:val="16"/>
                <w:szCs w:val="16"/>
              </w:rPr>
              <w:t>Customs Act 1901</w:t>
            </w:r>
          </w:p>
          <w:p w14:paraId="20870C94" w14:textId="77777777" w:rsidR="00802D3E" w:rsidRDefault="00802D3E" w:rsidP="00106337">
            <w:pPr>
              <w:widowControl w:val="0"/>
              <w:autoSpaceDE w:val="0"/>
              <w:autoSpaceDN w:val="0"/>
              <w:adjustRightInd w:val="0"/>
              <w:spacing w:after="0" w:line="240" w:lineRule="auto"/>
              <w:jc w:val="left"/>
            </w:pPr>
            <w:r>
              <w:rPr>
                <w:rFonts w:ascii="Arial" w:hAnsi="Arial" w:cs="Arial"/>
                <w:i/>
                <w:iCs/>
                <w:color w:val="000000"/>
                <w:sz w:val="16"/>
                <w:szCs w:val="16"/>
              </w:rPr>
              <w:t>Customs Tariff Act 1995</w:t>
            </w:r>
          </w:p>
        </w:tc>
      </w:tr>
    </w:tbl>
    <w:p w14:paraId="20870C96" w14:textId="77777777" w:rsidR="00802D3E" w:rsidRDefault="00802D3E" w:rsidP="00A109BC">
      <w:pPr>
        <w:pStyle w:val="SingleParagraph"/>
      </w:pPr>
    </w:p>
    <w:p w14:paraId="20870C97" w14:textId="77777777" w:rsidR="00802D3E" w:rsidRDefault="00802D3E" w:rsidP="00802D3E">
      <w:r>
        <w:rPr>
          <w:lang w:val="en-US"/>
        </w:rPr>
        <w:t>Customs duty</w:t>
      </w:r>
      <w:r>
        <w:rPr>
          <w:lang w:val="en-US"/>
        </w:rPr>
        <w:fldChar w:fldCharType="begin"/>
      </w:r>
      <w:r>
        <w:instrText xml:space="preserve"> XE "</w:instrText>
      </w:r>
      <w:r>
        <w:rPr>
          <w:lang w:val="en-US"/>
        </w:rPr>
        <w:instrText>Customs duty</w:instrText>
      </w:r>
      <w:r>
        <w:instrText xml:space="preserve">" </w:instrText>
      </w:r>
      <w:r>
        <w:rPr>
          <w:lang w:val="en-US"/>
        </w:rPr>
        <w:fldChar w:fldCharType="end"/>
      </w:r>
      <w:r>
        <w:rPr>
          <w:lang w:val="en-US"/>
        </w:rPr>
        <w:t xml:space="preserve"> is collected on certain goods imported into Australia (for example, most cars are subject to 5 per cent customs duty upon importation). This is a negative tax expenditure because the benchmark treatment is that imported goods are subject to the same taxes on consumption as domestically produced goods and, therefore, are free from customs duty (except for excise</w:t>
      </w:r>
      <w:r>
        <w:rPr>
          <w:lang w:val="en-US"/>
        </w:rPr>
        <w:noBreakHyphen/>
        <w:t xml:space="preserve">equivalent customs duty). </w:t>
      </w:r>
    </w:p>
    <w:p w14:paraId="20870C98" w14:textId="77777777" w:rsidR="00DD444C" w:rsidRDefault="00DD444C">
      <w:pPr>
        <w:spacing w:after="0" w:line="240" w:lineRule="auto"/>
        <w:jc w:val="left"/>
        <w:rPr>
          <w:rFonts w:ascii="Arial" w:hAnsi="Arial"/>
          <w:b/>
          <w:smallCaps/>
          <w:color w:val="000000"/>
          <w:sz w:val="25"/>
        </w:rPr>
      </w:pPr>
      <w:r>
        <w:br w:type="page"/>
      </w:r>
    </w:p>
    <w:p w14:paraId="20870C99" w14:textId="77777777" w:rsidR="00802D3E" w:rsidRDefault="00802D3E" w:rsidP="00802D3E">
      <w:pPr>
        <w:pStyle w:val="Heading3"/>
      </w:pPr>
      <w:r>
        <w:lastRenderedPageBreak/>
        <w:t>Natural resources taxes</w:t>
      </w:r>
    </w:p>
    <w:p w14:paraId="20870C9A" w14:textId="77777777" w:rsidR="00802D3E" w:rsidRDefault="00802D3E" w:rsidP="00802D3E">
      <w:pPr>
        <w:pStyle w:val="TESHeading5"/>
        <w:ind w:left="0" w:firstLine="0"/>
      </w:pPr>
      <w:r>
        <w:t>G1</w:t>
      </w:r>
      <w:r>
        <w:tab/>
        <w:t>Crude Oil Excise</w:t>
      </w:r>
    </w:p>
    <w:p w14:paraId="20870C9B" w14:textId="77777777" w:rsidR="00802D3E" w:rsidRDefault="00802D3E" w:rsidP="00802D3E">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CA4" w14:textId="77777777" w:rsidTr="00802D3E">
        <w:trPr>
          <w:cantSplit/>
          <w:jc w:val="center"/>
        </w:trPr>
        <w:tc>
          <w:tcPr>
            <w:tcW w:w="967" w:type="dxa"/>
            <w:tcBorders>
              <w:top w:val="single" w:sz="2" w:space="0" w:color="auto"/>
              <w:left w:val="nil"/>
              <w:bottom w:val="single" w:sz="2" w:space="0" w:color="auto"/>
              <w:right w:val="nil"/>
            </w:tcBorders>
            <w:hideMark/>
          </w:tcPr>
          <w:p w14:paraId="20870C9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C9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C9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C9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CA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CA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CA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CA3" w14:textId="77777777" w:rsidR="00802D3E" w:rsidRDefault="00802D3E">
            <w:pPr>
              <w:pStyle w:val="MeasureTableTextRightAligned"/>
            </w:pPr>
            <w:r>
              <w:t>2019-20</w:t>
            </w:r>
          </w:p>
        </w:tc>
      </w:tr>
      <w:tr w:rsidR="00802D3E" w14:paraId="20870CAD" w14:textId="77777777" w:rsidTr="00802D3E">
        <w:trPr>
          <w:cantSplit/>
          <w:jc w:val="center"/>
        </w:trPr>
        <w:tc>
          <w:tcPr>
            <w:tcW w:w="967" w:type="dxa"/>
            <w:tcBorders>
              <w:top w:val="single" w:sz="2" w:space="0" w:color="auto"/>
              <w:left w:val="nil"/>
              <w:bottom w:val="single" w:sz="2" w:space="0" w:color="auto"/>
              <w:right w:val="nil"/>
            </w:tcBorders>
            <w:hideMark/>
          </w:tcPr>
          <w:p w14:paraId="20870CA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CA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A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A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A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CA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CA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CAC" w14:textId="77777777" w:rsidR="00802D3E" w:rsidRDefault="00802D3E">
            <w:pPr>
              <w:pStyle w:val="MeasureTableTextRightAligned"/>
            </w:pPr>
            <w:r>
              <w:t>*</w:t>
            </w:r>
          </w:p>
        </w:tc>
      </w:tr>
      <w:tr w:rsidR="00802D3E" w14:paraId="20870CB2" w14:textId="77777777" w:rsidTr="00802D3E">
        <w:trPr>
          <w:cantSplit/>
          <w:jc w:val="center"/>
        </w:trPr>
        <w:tc>
          <w:tcPr>
            <w:tcW w:w="1934" w:type="dxa"/>
            <w:gridSpan w:val="2"/>
            <w:tcBorders>
              <w:top w:val="single" w:sz="2" w:space="0" w:color="auto"/>
              <w:left w:val="nil"/>
              <w:bottom w:val="nil"/>
              <w:right w:val="nil"/>
            </w:tcBorders>
            <w:hideMark/>
          </w:tcPr>
          <w:p w14:paraId="20870CA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CAF"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70CB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CB1" w14:textId="77777777" w:rsidR="00802D3E" w:rsidRDefault="00802D3E">
            <w:pPr>
              <w:pStyle w:val="MeasureTableTextLeftAligned"/>
            </w:pPr>
            <w:r>
              <w:t>G1</w:t>
            </w:r>
          </w:p>
        </w:tc>
      </w:tr>
      <w:tr w:rsidR="00802D3E" w14:paraId="20870CB7" w14:textId="77777777" w:rsidTr="00802D3E">
        <w:trPr>
          <w:cantSplit/>
          <w:jc w:val="center"/>
        </w:trPr>
        <w:tc>
          <w:tcPr>
            <w:tcW w:w="1934" w:type="dxa"/>
            <w:gridSpan w:val="2"/>
            <w:tcBorders>
              <w:top w:val="nil"/>
              <w:left w:val="nil"/>
              <w:bottom w:val="nil"/>
              <w:right w:val="nil"/>
            </w:tcBorders>
            <w:hideMark/>
          </w:tcPr>
          <w:p w14:paraId="20870CB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CB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CB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CB6" w14:textId="77777777" w:rsidR="00802D3E" w:rsidRDefault="00802D3E">
            <w:pPr>
              <w:pStyle w:val="MeasureTableTextLeftAligned"/>
            </w:pPr>
            <w:r>
              <w:t>NA</w:t>
            </w:r>
          </w:p>
        </w:tc>
      </w:tr>
      <w:tr w:rsidR="00802D3E" w14:paraId="20870CBC" w14:textId="77777777" w:rsidTr="00802D3E">
        <w:trPr>
          <w:cantSplit/>
          <w:jc w:val="center"/>
        </w:trPr>
        <w:tc>
          <w:tcPr>
            <w:tcW w:w="1934" w:type="dxa"/>
            <w:gridSpan w:val="2"/>
            <w:tcBorders>
              <w:top w:val="nil"/>
              <w:left w:val="nil"/>
              <w:bottom w:val="nil"/>
              <w:right w:val="nil"/>
            </w:tcBorders>
            <w:hideMark/>
          </w:tcPr>
          <w:p w14:paraId="20870CB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CB9" w14:textId="77777777" w:rsidR="00802D3E" w:rsidRDefault="00802D3E">
            <w:pPr>
              <w:pStyle w:val="MeasureTableTextLeftAligned"/>
            </w:pPr>
            <w:r>
              <w:t>1 July 2012</w:t>
            </w:r>
          </w:p>
        </w:tc>
        <w:tc>
          <w:tcPr>
            <w:tcW w:w="1500" w:type="dxa"/>
            <w:gridSpan w:val="2"/>
            <w:tcBorders>
              <w:top w:val="nil"/>
              <w:left w:val="nil"/>
              <w:bottom w:val="nil"/>
              <w:right w:val="nil"/>
            </w:tcBorders>
            <w:hideMark/>
          </w:tcPr>
          <w:p w14:paraId="20870CBA"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CBB" w14:textId="77777777" w:rsidR="00802D3E" w:rsidRDefault="00802D3E">
            <w:pPr>
              <w:pStyle w:val="MeasureTableTextLeftAligned"/>
            </w:pPr>
          </w:p>
        </w:tc>
      </w:tr>
      <w:tr w:rsidR="00802D3E" w14:paraId="20870CBF" w14:textId="77777777" w:rsidTr="00802D3E">
        <w:trPr>
          <w:cantSplit/>
          <w:jc w:val="center"/>
        </w:trPr>
        <w:tc>
          <w:tcPr>
            <w:tcW w:w="1934" w:type="dxa"/>
            <w:gridSpan w:val="2"/>
            <w:tcBorders>
              <w:top w:val="nil"/>
              <w:left w:val="nil"/>
              <w:bottom w:val="single" w:sz="2" w:space="0" w:color="auto"/>
              <w:right w:val="nil"/>
            </w:tcBorders>
            <w:hideMark/>
          </w:tcPr>
          <w:p w14:paraId="20870CB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CBE" w14:textId="77777777" w:rsidR="00802D3E" w:rsidRDefault="00802D3E" w:rsidP="00106337">
            <w:pPr>
              <w:widowControl w:val="0"/>
              <w:autoSpaceDE w:val="0"/>
              <w:autoSpaceDN w:val="0"/>
              <w:adjustRightInd w:val="0"/>
              <w:spacing w:after="0" w:line="240" w:lineRule="auto"/>
              <w:jc w:val="left"/>
            </w:pPr>
            <w:r>
              <w:rPr>
                <w:rFonts w:ascii="Arial" w:hAnsi="Arial" w:cs="Arial"/>
                <w:i/>
                <w:iCs/>
                <w:color w:val="000000"/>
                <w:sz w:val="16"/>
                <w:szCs w:val="16"/>
              </w:rPr>
              <w:t>Petroleum Resource Rent Tax Assessment Act 1987</w:t>
            </w:r>
          </w:p>
        </w:tc>
      </w:tr>
    </w:tbl>
    <w:p w14:paraId="20870CC0" w14:textId="77777777" w:rsidR="00802D3E" w:rsidRDefault="00802D3E" w:rsidP="00A109BC">
      <w:pPr>
        <w:pStyle w:val="SingleParagraph"/>
      </w:pPr>
    </w:p>
    <w:p w14:paraId="20870CC1" w14:textId="77777777" w:rsidR="00802D3E" w:rsidRDefault="00802D3E" w:rsidP="00802D3E">
      <w:r>
        <w:rPr>
          <w:lang w:val="en-US"/>
        </w:rPr>
        <w:t xml:space="preserve">Under the natural resource benchmark, crude oil excise is treated as a prepayment of Petroleum Resource Rent Tax (PRRT) liabilities and to the extent that the crude oil excise exceeds the PRRT payable in a year, a negative tax expenditure will arise for that period. Where crude oil excise credits are carried forward and used to reduce PRRT in later periods, a tax expenditure will arise in the year the carried forward credit is </w:t>
      </w:r>
      <w:proofErr w:type="spellStart"/>
      <w:r>
        <w:rPr>
          <w:lang w:val="en-US"/>
        </w:rPr>
        <w:t>utilised</w:t>
      </w:r>
      <w:proofErr w:type="spellEnd"/>
      <w:r>
        <w:rPr>
          <w:lang w:val="en-US"/>
        </w:rPr>
        <w:t>.</w:t>
      </w:r>
      <w:r>
        <w:fldChar w:fldCharType="begin"/>
      </w:r>
      <w:r>
        <w:instrText xml:space="preserve"> XE "Crude Oil" </w:instrText>
      </w:r>
      <w:r>
        <w:fldChar w:fldCharType="end"/>
      </w:r>
    </w:p>
    <w:p w14:paraId="20870CC2" w14:textId="77777777" w:rsidR="00802D3E" w:rsidRDefault="00802D3E" w:rsidP="00802D3E">
      <w:pPr>
        <w:pStyle w:val="TESHeading5"/>
        <w:ind w:left="0" w:firstLine="0"/>
      </w:pPr>
      <w:r>
        <w:t>G2</w:t>
      </w:r>
      <w:r>
        <w:tab/>
        <w:t xml:space="preserve">PRRT </w:t>
      </w:r>
      <w:r w:rsidR="007626B2">
        <w:t>–</w:t>
      </w:r>
      <w:r>
        <w:t xml:space="preserve"> denial</w:t>
      </w:r>
      <w:r w:rsidR="007626B2">
        <w:t xml:space="preserve"> </w:t>
      </w:r>
      <w:r>
        <w:t>of refund of tax credits for losses at project end</w:t>
      </w:r>
    </w:p>
    <w:p w14:paraId="20870CC3" w14:textId="77777777" w:rsidR="00802D3E" w:rsidRDefault="00802D3E" w:rsidP="00802D3E">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CCC" w14:textId="77777777" w:rsidTr="00802D3E">
        <w:trPr>
          <w:cantSplit/>
          <w:jc w:val="center"/>
        </w:trPr>
        <w:tc>
          <w:tcPr>
            <w:tcW w:w="967" w:type="dxa"/>
            <w:tcBorders>
              <w:top w:val="single" w:sz="2" w:space="0" w:color="auto"/>
              <w:left w:val="nil"/>
              <w:bottom w:val="single" w:sz="2" w:space="0" w:color="auto"/>
              <w:right w:val="nil"/>
            </w:tcBorders>
            <w:hideMark/>
          </w:tcPr>
          <w:p w14:paraId="20870CC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CC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CC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CC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CC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CC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CC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CCB" w14:textId="77777777" w:rsidR="00802D3E" w:rsidRDefault="00802D3E">
            <w:pPr>
              <w:pStyle w:val="MeasureTableTextRightAligned"/>
            </w:pPr>
            <w:r>
              <w:t>2019-20</w:t>
            </w:r>
          </w:p>
        </w:tc>
      </w:tr>
      <w:tr w:rsidR="00802D3E" w14:paraId="20870CD5" w14:textId="77777777" w:rsidTr="00802D3E">
        <w:trPr>
          <w:cantSplit/>
          <w:jc w:val="center"/>
        </w:trPr>
        <w:tc>
          <w:tcPr>
            <w:tcW w:w="967" w:type="dxa"/>
            <w:tcBorders>
              <w:top w:val="single" w:sz="2" w:space="0" w:color="auto"/>
              <w:left w:val="nil"/>
              <w:bottom w:val="single" w:sz="2" w:space="0" w:color="auto"/>
              <w:right w:val="nil"/>
            </w:tcBorders>
            <w:hideMark/>
          </w:tcPr>
          <w:p w14:paraId="20870CC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CC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C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D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D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CD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CD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CD4" w14:textId="77777777" w:rsidR="00802D3E" w:rsidRDefault="00802D3E">
            <w:pPr>
              <w:pStyle w:val="MeasureTableTextRightAligned"/>
            </w:pPr>
            <w:r>
              <w:t>*</w:t>
            </w:r>
          </w:p>
        </w:tc>
      </w:tr>
      <w:tr w:rsidR="00802D3E" w14:paraId="20870CDA" w14:textId="77777777" w:rsidTr="00802D3E">
        <w:trPr>
          <w:cantSplit/>
          <w:jc w:val="center"/>
        </w:trPr>
        <w:tc>
          <w:tcPr>
            <w:tcW w:w="1934" w:type="dxa"/>
            <w:gridSpan w:val="2"/>
            <w:tcBorders>
              <w:top w:val="single" w:sz="2" w:space="0" w:color="auto"/>
              <w:left w:val="nil"/>
              <w:bottom w:val="nil"/>
              <w:right w:val="nil"/>
            </w:tcBorders>
            <w:hideMark/>
          </w:tcPr>
          <w:p w14:paraId="20870CD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CD7" w14:textId="77777777" w:rsidR="00802D3E" w:rsidRDefault="00802D3E">
            <w:pPr>
              <w:pStyle w:val="MeasureTableTextLeftAligned"/>
            </w:pPr>
            <w:r>
              <w:t>Denial of refund</w:t>
            </w:r>
          </w:p>
        </w:tc>
        <w:tc>
          <w:tcPr>
            <w:tcW w:w="1500" w:type="dxa"/>
            <w:gridSpan w:val="2"/>
            <w:tcBorders>
              <w:top w:val="single" w:sz="2" w:space="0" w:color="auto"/>
              <w:left w:val="nil"/>
              <w:bottom w:val="nil"/>
              <w:right w:val="nil"/>
            </w:tcBorders>
            <w:hideMark/>
          </w:tcPr>
          <w:p w14:paraId="20870CD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CD9" w14:textId="77777777" w:rsidR="00802D3E" w:rsidRDefault="00802D3E">
            <w:pPr>
              <w:pStyle w:val="MeasureTableTextLeftAligned"/>
            </w:pPr>
            <w:r>
              <w:t>G2</w:t>
            </w:r>
          </w:p>
        </w:tc>
      </w:tr>
      <w:tr w:rsidR="00802D3E" w14:paraId="20870CDF" w14:textId="77777777" w:rsidTr="00802D3E">
        <w:trPr>
          <w:cantSplit/>
          <w:jc w:val="center"/>
        </w:trPr>
        <w:tc>
          <w:tcPr>
            <w:tcW w:w="1934" w:type="dxa"/>
            <w:gridSpan w:val="2"/>
            <w:tcBorders>
              <w:top w:val="nil"/>
              <w:left w:val="nil"/>
              <w:bottom w:val="nil"/>
              <w:right w:val="nil"/>
            </w:tcBorders>
            <w:hideMark/>
          </w:tcPr>
          <w:p w14:paraId="20870CD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CD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CD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CDE" w14:textId="77777777" w:rsidR="00802D3E" w:rsidRDefault="00802D3E">
            <w:pPr>
              <w:pStyle w:val="MeasureTableTextLeftAligned"/>
            </w:pPr>
            <w:r>
              <w:t>1-</w:t>
            </w:r>
          </w:p>
        </w:tc>
      </w:tr>
      <w:tr w:rsidR="00802D3E" w14:paraId="20870CE4" w14:textId="77777777" w:rsidTr="00802D3E">
        <w:trPr>
          <w:cantSplit/>
          <w:jc w:val="center"/>
        </w:trPr>
        <w:tc>
          <w:tcPr>
            <w:tcW w:w="1934" w:type="dxa"/>
            <w:gridSpan w:val="2"/>
            <w:tcBorders>
              <w:top w:val="nil"/>
              <w:left w:val="nil"/>
              <w:bottom w:val="nil"/>
              <w:right w:val="nil"/>
            </w:tcBorders>
            <w:hideMark/>
          </w:tcPr>
          <w:p w14:paraId="20870CE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CE1" w14:textId="77777777" w:rsidR="00802D3E" w:rsidRDefault="00802D3E">
            <w:pPr>
              <w:pStyle w:val="MeasureTableTextLeftAligned"/>
            </w:pPr>
            <w:r>
              <w:t>1 July 1990</w:t>
            </w:r>
          </w:p>
        </w:tc>
        <w:tc>
          <w:tcPr>
            <w:tcW w:w="1500" w:type="dxa"/>
            <w:gridSpan w:val="2"/>
            <w:tcBorders>
              <w:top w:val="nil"/>
              <w:left w:val="nil"/>
              <w:bottom w:val="nil"/>
              <w:right w:val="nil"/>
            </w:tcBorders>
            <w:hideMark/>
          </w:tcPr>
          <w:p w14:paraId="20870CE2"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CE3" w14:textId="77777777" w:rsidR="00802D3E" w:rsidRDefault="00802D3E">
            <w:pPr>
              <w:pStyle w:val="MeasureTableTextLeftAligned"/>
            </w:pPr>
          </w:p>
        </w:tc>
      </w:tr>
      <w:tr w:rsidR="00802D3E" w14:paraId="20870CE7" w14:textId="77777777" w:rsidTr="00802D3E">
        <w:trPr>
          <w:cantSplit/>
          <w:jc w:val="center"/>
        </w:trPr>
        <w:tc>
          <w:tcPr>
            <w:tcW w:w="1934" w:type="dxa"/>
            <w:gridSpan w:val="2"/>
            <w:tcBorders>
              <w:top w:val="nil"/>
              <w:left w:val="nil"/>
              <w:bottom w:val="single" w:sz="2" w:space="0" w:color="auto"/>
              <w:right w:val="nil"/>
            </w:tcBorders>
            <w:hideMark/>
          </w:tcPr>
          <w:p w14:paraId="20870CE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CE6" w14:textId="77777777" w:rsidR="00802D3E" w:rsidRDefault="00802D3E" w:rsidP="00106337">
            <w:pPr>
              <w:widowControl w:val="0"/>
              <w:autoSpaceDE w:val="0"/>
              <w:autoSpaceDN w:val="0"/>
              <w:adjustRightInd w:val="0"/>
              <w:spacing w:after="0" w:line="240" w:lineRule="auto"/>
              <w:jc w:val="left"/>
            </w:pPr>
            <w:r>
              <w:rPr>
                <w:rFonts w:ascii="Arial" w:hAnsi="Arial" w:cs="Arial"/>
                <w:i/>
                <w:iCs/>
                <w:color w:val="000000"/>
                <w:sz w:val="16"/>
                <w:szCs w:val="16"/>
              </w:rPr>
              <w:t>Petroleum Resource Rent Tax Act 1987</w:t>
            </w:r>
          </w:p>
        </w:tc>
      </w:tr>
    </w:tbl>
    <w:p w14:paraId="20870CE8" w14:textId="77777777" w:rsidR="00802D3E" w:rsidRDefault="00802D3E" w:rsidP="00A109BC">
      <w:pPr>
        <w:pStyle w:val="SingleParagraph"/>
      </w:pPr>
    </w:p>
    <w:p w14:paraId="20870CE9" w14:textId="77777777" w:rsidR="00802D3E" w:rsidRDefault="00802D3E" w:rsidP="00802D3E">
      <w:r>
        <w:rPr>
          <w:lang w:val="en-US"/>
        </w:rPr>
        <w:t xml:space="preserve">There is no refund of the tax value of losses available when the project closes down. This treatment is consistent with the benchmark prior to 1 July 2012 but gives rise to a tax expenditure under the benchmark applying from 1 July 2012. </w:t>
      </w:r>
    </w:p>
    <w:p w14:paraId="20870CEA" w14:textId="77777777" w:rsidR="00802D3E" w:rsidRDefault="00802D3E" w:rsidP="00802D3E">
      <w:pPr>
        <w:pStyle w:val="TESHeading5"/>
        <w:ind w:left="0" w:firstLine="0"/>
      </w:pPr>
      <w:r>
        <w:t>G3</w:t>
      </w:r>
      <w:r>
        <w:tab/>
        <w:t xml:space="preserve">PRRT </w:t>
      </w:r>
      <w:r w:rsidR="007626B2">
        <w:t>–</w:t>
      </w:r>
      <w:r>
        <w:t xml:space="preserve"> expenditure</w:t>
      </w:r>
      <w:r w:rsidR="007626B2">
        <w:t xml:space="preserve"> </w:t>
      </w:r>
      <w:r>
        <w:t>uplift rate</w:t>
      </w:r>
    </w:p>
    <w:p w14:paraId="20870CEB" w14:textId="77777777" w:rsidR="00802D3E" w:rsidRDefault="00802D3E" w:rsidP="00802D3E">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CF4" w14:textId="77777777" w:rsidTr="00802D3E">
        <w:trPr>
          <w:cantSplit/>
          <w:jc w:val="center"/>
        </w:trPr>
        <w:tc>
          <w:tcPr>
            <w:tcW w:w="967" w:type="dxa"/>
            <w:tcBorders>
              <w:top w:val="single" w:sz="2" w:space="0" w:color="auto"/>
              <w:left w:val="nil"/>
              <w:bottom w:val="single" w:sz="2" w:space="0" w:color="auto"/>
              <w:right w:val="nil"/>
            </w:tcBorders>
            <w:hideMark/>
          </w:tcPr>
          <w:p w14:paraId="20870CE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CE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CE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CE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CF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CF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CF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CF3" w14:textId="77777777" w:rsidR="00802D3E" w:rsidRDefault="00802D3E">
            <w:pPr>
              <w:pStyle w:val="MeasureTableTextRightAligned"/>
            </w:pPr>
            <w:r>
              <w:t>2019-20</w:t>
            </w:r>
          </w:p>
        </w:tc>
      </w:tr>
      <w:tr w:rsidR="00802D3E" w14:paraId="20870CFD" w14:textId="77777777" w:rsidTr="00802D3E">
        <w:trPr>
          <w:cantSplit/>
          <w:jc w:val="center"/>
        </w:trPr>
        <w:tc>
          <w:tcPr>
            <w:tcW w:w="967" w:type="dxa"/>
            <w:tcBorders>
              <w:top w:val="single" w:sz="2" w:space="0" w:color="auto"/>
              <w:left w:val="nil"/>
              <w:bottom w:val="single" w:sz="2" w:space="0" w:color="auto"/>
              <w:right w:val="nil"/>
            </w:tcBorders>
            <w:hideMark/>
          </w:tcPr>
          <w:p w14:paraId="20870CF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CF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F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F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CF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CF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CF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CFC" w14:textId="77777777" w:rsidR="00802D3E" w:rsidRDefault="00802D3E">
            <w:pPr>
              <w:pStyle w:val="MeasureTableTextRightAligned"/>
            </w:pPr>
            <w:r>
              <w:t>*</w:t>
            </w:r>
          </w:p>
        </w:tc>
      </w:tr>
      <w:tr w:rsidR="00802D3E" w14:paraId="20870D02" w14:textId="77777777" w:rsidTr="00802D3E">
        <w:trPr>
          <w:cantSplit/>
          <w:jc w:val="center"/>
        </w:trPr>
        <w:tc>
          <w:tcPr>
            <w:tcW w:w="1934" w:type="dxa"/>
            <w:gridSpan w:val="2"/>
            <w:tcBorders>
              <w:top w:val="single" w:sz="2" w:space="0" w:color="auto"/>
              <w:left w:val="nil"/>
              <w:bottom w:val="nil"/>
              <w:right w:val="nil"/>
            </w:tcBorders>
            <w:hideMark/>
          </w:tcPr>
          <w:p w14:paraId="20870CF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CFF"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70D0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D01" w14:textId="77777777" w:rsidR="00802D3E" w:rsidRDefault="00802D3E">
            <w:pPr>
              <w:pStyle w:val="MeasureTableTextLeftAligned"/>
            </w:pPr>
            <w:r>
              <w:t>G3</w:t>
            </w:r>
          </w:p>
        </w:tc>
      </w:tr>
      <w:tr w:rsidR="00802D3E" w14:paraId="20870D07" w14:textId="77777777" w:rsidTr="00802D3E">
        <w:trPr>
          <w:cantSplit/>
          <w:jc w:val="center"/>
        </w:trPr>
        <w:tc>
          <w:tcPr>
            <w:tcW w:w="1934" w:type="dxa"/>
            <w:gridSpan w:val="2"/>
            <w:tcBorders>
              <w:top w:val="nil"/>
              <w:left w:val="nil"/>
              <w:bottom w:val="nil"/>
              <w:right w:val="nil"/>
            </w:tcBorders>
            <w:hideMark/>
          </w:tcPr>
          <w:p w14:paraId="20870D0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D0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D0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D06" w14:textId="77777777" w:rsidR="00802D3E" w:rsidRDefault="00802D3E">
            <w:pPr>
              <w:pStyle w:val="MeasureTableTextLeftAligned"/>
            </w:pPr>
            <w:r>
              <w:t>2+</w:t>
            </w:r>
          </w:p>
        </w:tc>
      </w:tr>
      <w:tr w:rsidR="00802D3E" w14:paraId="20870D0C" w14:textId="77777777" w:rsidTr="00802D3E">
        <w:trPr>
          <w:cantSplit/>
          <w:jc w:val="center"/>
        </w:trPr>
        <w:tc>
          <w:tcPr>
            <w:tcW w:w="1934" w:type="dxa"/>
            <w:gridSpan w:val="2"/>
            <w:tcBorders>
              <w:top w:val="nil"/>
              <w:left w:val="nil"/>
              <w:bottom w:val="nil"/>
              <w:right w:val="nil"/>
            </w:tcBorders>
            <w:hideMark/>
          </w:tcPr>
          <w:p w14:paraId="20870D0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D09" w14:textId="77777777" w:rsidR="00802D3E" w:rsidRDefault="00802D3E">
            <w:pPr>
              <w:pStyle w:val="MeasureTableTextLeftAligned"/>
            </w:pPr>
            <w:r>
              <w:t>1 July 1990</w:t>
            </w:r>
          </w:p>
        </w:tc>
        <w:tc>
          <w:tcPr>
            <w:tcW w:w="1500" w:type="dxa"/>
            <w:gridSpan w:val="2"/>
            <w:tcBorders>
              <w:top w:val="nil"/>
              <w:left w:val="nil"/>
              <w:bottom w:val="nil"/>
              <w:right w:val="nil"/>
            </w:tcBorders>
            <w:hideMark/>
          </w:tcPr>
          <w:p w14:paraId="20870D0A"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D0B" w14:textId="77777777" w:rsidR="00802D3E" w:rsidRDefault="00802D3E">
            <w:pPr>
              <w:pStyle w:val="MeasureTableTextLeftAligned"/>
            </w:pPr>
          </w:p>
        </w:tc>
      </w:tr>
      <w:tr w:rsidR="00802D3E" w14:paraId="20870D0F" w14:textId="77777777" w:rsidTr="00802D3E">
        <w:trPr>
          <w:cantSplit/>
          <w:jc w:val="center"/>
        </w:trPr>
        <w:tc>
          <w:tcPr>
            <w:tcW w:w="1934" w:type="dxa"/>
            <w:gridSpan w:val="2"/>
            <w:tcBorders>
              <w:top w:val="nil"/>
              <w:left w:val="nil"/>
              <w:bottom w:val="single" w:sz="2" w:space="0" w:color="auto"/>
              <w:right w:val="nil"/>
            </w:tcBorders>
            <w:hideMark/>
          </w:tcPr>
          <w:p w14:paraId="20870D0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D0E" w14:textId="77777777" w:rsidR="00802D3E" w:rsidRDefault="00802D3E" w:rsidP="00106337">
            <w:pPr>
              <w:widowControl w:val="0"/>
              <w:autoSpaceDE w:val="0"/>
              <w:autoSpaceDN w:val="0"/>
              <w:adjustRightInd w:val="0"/>
              <w:spacing w:after="0" w:line="240" w:lineRule="auto"/>
              <w:jc w:val="left"/>
            </w:pPr>
            <w:r>
              <w:rPr>
                <w:rFonts w:ascii="Arial" w:hAnsi="Arial" w:cs="Arial"/>
                <w:i/>
                <w:iCs/>
                <w:color w:val="000000"/>
                <w:sz w:val="16"/>
                <w:szCs w:val="16"/>
              </w:rPr>
              <w:t>Petroleum Resource Rent Tax Act 1987</w:t>
            </w:r>
          </w:p>
        </w:tc>
      </w:tr>
    </w:tbl>
    <w:p w14:paraId="20870D10" w14:textId="77777777" w:rsidR="00802D3E" w:rsidRDefault="00802D3E" w:rsidP="00A109BC">
      <w:pPr>
        <w:pStyle w:val="SingleParagraph"/>
      </w:pPr>
    </w:p>
    <w:p w14:paraId="20870D11" w14:textId="77777777" w:rsidR="00802D3E" w:rsidRDefault="00802D3E" w:rsidP="00802D3E">
      <w:r>
        <w:rPr>
          <w:lang w:val="en-US"/>
        </w:rPr>
        <w:t>Expenditure that generates project losses is uplifted at a number of different rates depending on when the expenditure took place and the nature of the expenditure.</w:t>
      </w:r>
      <w:r>
        <w:rPr>
          <w:lang w:val="en-US"/>
        </w:rPr>
        <w:fldChar w:fldCharType="begin"/>
      </w:r>
      <w:r>
        <w:instrText xml:space="preserve"> XE "Expenditure uplift" </w:instrText>
      </w:r>
      <w:r>
        <w:rPr>
          <w:lang w:val="en-US"/>
        </w:rPr>
        <w:fldChar w:fldCharType="end"/>
      </w:r>
      <w:r>
        <w:rPr>
          <w:lang w:val="en-US"/>
        </w:rPr>
        <w:t xml:space="preserve"> For example, exploration expenditure is uplifted at the long term bond rate plus 15 percentage points and general expenditure is uplifted at the long term bond rate plus 5 percentage points. These uplift rates are beyond the appropriate benchmark rate of the long term bond rate. </w:t>
      </w:r>
    </w:p>
    <w:p w14:paraId="20870D12" w14:textId="77777777" w:rsidR="00802D3E" w:rsidRDefault="00802D3E" w:rsidP="00802D3E">
      <w:pPr>
        <w:pStyle w:val="TESHeading5"/>
        <w:ind w:left="0" w:firstLine="0"/>
      </w:pPr>
      <w:r>
        <w:lastRenderedPageBreak/>
        <w:t>G4</w:t>
      </w:r>
      <w:r>
        <w:tab/>
        <w:t xml:space="preserve">PRRT </w:t>
      </w:r>
      <w:r w:rsidR="007626B2">
        <w:t>–</w:t>
      </w:r>
      <w:r>
        <w:t xml:space="preserve"> gas</w:t>
      </w:r>
      <w:r w:rsidR="007626B2">
        <w:t xml:space="preserve"> </w:t>
      </w:r>
      <w:r>
        <w:t>transfer price regulations</w:t>
      </w:r>
    </w:p>
    <w:p w14:paraId="20870D13" w14:textId="77777777" w:rsidR="00802D3E" w:rsidRDefault="00802D3E" w:rsidP="00802D3E">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D1C" w14:textId="77777777" w:rsidTr="00802D3E">
        <w:trPr>
          <w:cantSplit/>
          <w:jc w:val="center"/>
        </w:trPr>
        <w:tc>
          <w:tcPr>
            <w:tcW w:w="967" w:type="dxa"/>
            <w:tcBorders>
              <w:top w:val="single" w:sz="2" w:space="0" w:color="auto"/>
              <w:left w:val="nil"/>
              <w:bottom w:val="single" w:sz="2" w:space="0" w:color="auto"/>
              <w:right w:val="nil"/>
            </w:tcBorders>
            <w:hideMark/>
          </w:tcPr>
          <w:p w14:paraId="20870D1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D1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D1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D1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D1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D1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D1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D1B" w14:textId="77777777" w:rsidR="00802D3E" w:rsidRDefault="00802D3E">
            <w:pPr>
              <w:pStyle w:val="MeasureTableTextRightAligned"/>
            </w:pPr>
            <w:r>
              <w:t>2019-20</w:t>
            </w:r>
          </w:p>
        </w:tc>
      </w:tr>
      <w:tr w:rsidR="00802D3E" w14:paraId="20870D25" w14:textId="77777777" w:rsidTr="00802D3E">
        <w:trPr>
          <w:cantSplit/>
          <w:jc w:val="center"/>
        </w:trPr>
        <w:tc>
          <w:tcPr>
            <w:tcW w:w="967" w:type="dxa"/>
            <w:tcBorders>
              <w:top w:val="single" w:sz="2" w:space="0" w:color="auto"/>
              <w:left w:val="nil"/>
              <w:bottom w:val="single" w:sz="2" w:space="0" w:color="auto"/>
              <w:right w:val="nil"/>
            </w:tcBorders>
            <w:hideMark/>
          </w:tcPr>
          <w:p w14:paraId="20870D1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D1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1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2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21"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D2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D2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D24" w14:textId="77777777" w:rsidR="00802D3E" w:rsidRDefault="00802D3E">
            <w:pPr>
              <w:pStyle w:val="MeasureTableTextRightAligned"/>
            </w:pPr>
            <w:r>
              <w:t>*</w:t>
            </w:r>
          </w:p>
        </w:tc>
      </w:tr>
      <w:tr w:rsidR="00802D3E" w14:paraId="20870D2A" w14:textId="77777777" w:rsidTr="00802D3E">
        <w:trPr>
          <w:cantSplit/>
          <w:jc w:val="center"/>
        </w:trPr>
        <w:tc>
          <w:tcPr>
            <w:tcW w:w="1934" w:type="dxa"/>
            <w:gridSpan w:val="2"/>
            <w:tcBorders>
              <w:top w:val="single" w:sz="2" w:space="0" w:color="auto"/>
              <w:left w:val="nil"/>
              <w:bottom w:val="nil"/>
              <w:right w:val="nil"/>
            </w:tcBorders>
            <w:hideMark/>
          </w:tcPr>
          <w:p w14:paraId="20870D2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D27"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70D2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D29" w14:textId="77777777" w:rsidR="00802D3E" w:rsidRDefault="00802D3E">
            <w:pPr>
              <w:pStyle w:val="MeasureTableTextLeftAligned"/>
            </w:pPr>
            <w:r>
              <w:t>G4</w:t>
            </w:r>
          </w:p>
        </w:tc>
      </w:tr>
      <w:tr w:rsidR="00802D3E" w14:paraId="20870D2F" w14:textId="77777777" w:rsidTr="00802D3E">
        <w:trPr>
          <w:cantSplit/>
          <w:jc w:val="center"/>
        </w:trPr>
        <w:tc>
          <w:tcPr>
            <w:tcW w:w="1934" w:type="dxa"/>
            <w:gridSpan w:val="2"/>
            <w:tcBorders>
              <w:top w:val="nil"/>
              <w:left w:val="nil"/>
              <w:bottom w:val="nil"/>
              <w:right w:val="nil"/>
            </w:tcBorders>
            <w:hideMark/>
          </w:tcPr>
          <w:p w14:paraId="20870D2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D2C"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D2D"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D2E" w14:textId="77777777" w:rsidR="00802D3E" w:rsidRDefault="00802D3E">
            <w:pPr>
              <w:pStyle w:val="MeasureTableTextLeftAligned"/>
            </w:pPr>
            <w:r>
              <w:t>2+</w:t>
            </w:r>
          </w:p>
        </w:tc>
      </w:tr>
      <w:tr w:rsidR="00802D3E" w14:paraId="20870D34" w14:textId="77777777" w:rsidTr="00802D3E">
        <w:trPr>
          <w:cantSplit/>
          <w:jc w:val="center"/>
        </w:trPr>
        <w:tc>
          <w:tcPr>
            <w:tcW w:w="1934" w:type="dxa"/>
            <w:gridSpan w:val="2"/>
            <w:tcBorders>
              <w:top w:val="nil"/>
              <w:left w:val="nil"/>
              <w:bottom w:val="nil"/>
              <w:right w:val="nil"/>
            </w:tcBorders>
            <w:hideMark/>
          </w:tcPr>
          <w:p w14:paraId="20870D3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D31" w14:textId="77777777" w:rsidR="00802D3E" w:rsidRDefault="00802D3E">
            <w:pPr>
              <w:pStyle w:val="MeasureTableTextLeftAligned"/>
            </w:pPr>
            <w:r>
              <w:t>20 December 2005</w:t>
            </w:r>
          </w:p>
        </w:tc>
        <w:tc>
          <w:tcPr>
            <w:tcW w:w="1500" w:type="dxa"/>
            <w:gridSpan w:val="2"/>
            <w:tcBorders>
              <w:top w:val="nil"/>
              <w:left w:val="nil"/>
              <w:bottom w:val="nil"/>
              <w:right w:val="nil"/>
            </w:tcBorders>
            <w:hideMark/>
          </w:tcPr>
          <w:p w14:paraId="20870D32"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D33" w14:textId="77777777" w:rsidR="00802D3E" w:rsidRDefault="00802D3E">
            <w:pPr>
              <w:pStyle w:val="MeasureTableTextLeftAligned"/>
            </w:pPr>
          </w:p>
        </w:tc>
      </w:tr>
      <w:tr w:rsidR="00802D3E" w14:paraId="20870D37" w14:textId="77777777" w:rsidTr="00802D3E">
        <w:trPr>
          <w:cantSplit/>
          <w:jc w:val="center"/>
        </w:trPr>
        <w:tc>
          <w:tcPr>
            <w:tcW w:w="1934" w:type="dxa"/>
            <w:gridSpan w:val="2"/>
            <w:tcBorders>
              <w:top w:val="nil"/>
              <w:left w:val="nil"/>
              <w:bottom w:val="single" w:sz="2" w:space="0" w:color="auto"/>
              <w:right w:val="nil"/>
            </w:tcBorders>
            <w:hideMark/>
          </w:tcPr>
          <w:p w14:paraId="20870D3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D36" w14:textId="77777777" w:rsidR="00802D3E" w:rsidRDefault="00802D3E" w:rsidP="00FD6547">
            <w:pPr>
              <w:widowControl w:val="0"/>
              <w:autoSpaceDE w:val="0"/>
              <w:autoSpaceDN w:val="0"/>
              <w:adjustRightInd w:val="0"/>
              <w:spacing w:after="0" w:line="240" w:lineRule="auto"/>
              <w:jc w:val="left"/>
            </w:pPr>
            <w:r>
              <w:rPr>
                <w:rFonts w:ascii="Arial" w:hAnsi="Arial" w:cs="Arial"/>
                <w:i/>
                <w:iCs/>
                <w:color w:val="000000"/>
                <w:sz w:val="16"/>
                <w:szCs w:val="16"/>
              </w:rPr>
              <w:t>Petroleum Resource Rent Tax Assessment Regulation 2015</w:t>
            </w:r>
          </w:p>
        </w:tc>
      </w:tr>
    </w:tbl>
    <w:p w14:paraId="20870D38" w14:textId="77777777" w:rsidR="00802D3E" w:rsidRDefault="00802D3E" w:rsidP="00A109BC">
      <w:pPr>
        <w:pStyle w:val="SingleParagraph"/>
      </w:pPr>
    </w:p>
    <w:p w14:paraId="20870D39" w14:textId="77777777" w:rsidR="00802D3E" w:rsidRDefault="00802D3E" w:rsidP="00802D3E">
      <w:r>
        <w:t>The PRRT gas transfer price regulations</w:t>
      </w:r>
      <w:r>
        <w:fldChar w:fldCharType="begin"/>
      </w:r>
      <w:r>
        <w:instrText xml:space="preserve"> XE "Gas transfer price regulations" </w:instrText>
      </w:r>
      <w:r>
        <w:fldChar w:fldCharType="end"/>
      </w:r>
      <w:r>
        <w:t xml:space="preserve"> stipulate rules for calculating the gas transfer price where there is no arm’s length transaction. The regulations provide an allowance for capital expenditure which is based on the long term bond rate plus 7 percentage points rather than the benchmark rate which is the long term bond rate. The regulations also provide further concessions in the calculation of the gas transfer price by reducing the estimated upstream gas price by half the difference between the estimated ‘upstream’ price and the estimated ‘downstream’ price where the upstream price is the higher. </w:t>
      </w:r>
    </w:p>
    <w:p w14:paraId="20870D3A" w14:textId="77777777" w:rsidR="00802D3E" w:rsidRDefault="00802D3E" w:rsidP="00802D3E">
      <w:pPr>
        <w:pStyle w:val="TESHeading5"/>
        <w:ind w:left="0" w:firstLine="0"/>
      </w:pPr>
      <w:r>
        <w:t>G5</w:t>
      </w:r>
      <w:r>
        <w:tab/>
        <w:t xml:space="preserve">PRRT </w:t>
      </w:r>
      <w:r w:rsidR="007626B2">
        <w:t>–</w:t>
      </w:r>
      <w:r>
        <w:t xml:space="preserve"> starting</w:t>
      </w:r>
      <w:r w:rsidR="007626B2">
        <w:t xml:space="preserve"> </w:t>
      </w:r>
      <w:r>
        <w:t>base and uplift rate for capital assets</w:t>
      </w:r>
    </w:p>
    <w:p w14:paraId="20870D3B" w14:textId="77777777" w:rsidR="00802D3E" w:rsidRDefault="00802D3E" w:rsidP="00802D3E">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D44" w14:textId="77777777" w:rsidTr="00802D3E">
        <w:trPr>
          <w:cantSplit/>
          <w:jc w:val="center"/>
        </w:trPr>
        <w:tc>
          <w:tcPr>
            <w:tcW w:w="967" w:type="dxa"/>
            <w:tcBorders>
              <w:top w:val="single" w:sz="2" w:space="0" w:color="auto"/>
              <w:left w:val="nil"/>
              <w:bottom w:val="single" w:sz="2" w:space="0" w:color="auto"/>
              <w:right w:val="nil"/>
            </w:tcBorders>
            <w:hideMark/>
          </w:tcPr>
          <w:p w14:paraId="20870D3C"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D3D"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D3E"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D3F"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D40"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D41"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D42"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D43" w14:textId="77777777" w:rsidR="00802D3E" w:rsidRDefault="00802D3E">
            <w:pPr>
              <w:pStyle w:val="MeasureTableTextRightAligned"/>
            </w:pPr>
            <w:r>
              <w:t>2019-20</w:t>
            </w:r>
          </w:p>
        </w:tc>
      </w:tr>
      <w:tr w:rsidR="00802D3E" w14:paraId="20870D4D" w14:textId="77777777" w:rsidTr="00802D3E">
        <w:trPr>
          <w:cantSplit/>
          <w:jc w:val="center"/>
        </w:trPr>
        <w:tc>
          <w:tcPr>
            <w:tcW w:w="967" w:type="dxa"/>
            <w:tcBorders>
              <w:top w:val="single" w:sz="2" w:space="0" w:color="auto"/>
              <w:left w:val="nil"/>
              <w:bottom w:val="single" w:sz="2" w:space="0" w:color="auto"/>
              <w:right w:val="nil"/>
            </w:tcBorders>
            <w:hideMark/>
          </w:tcPr>
          <w:p w14:paraId="20870D4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D4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4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4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4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D4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D4B"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D4C" w14:textId="77777777" w:rsidR="00802D3E" w:rsidRDefault="00802D3E">
            <w:pPr>
              <w:pStyle w:val="MeasureTableTextRightAligned"/>
            </w:pPr>
            <w:r>
              <w:t>*</w:t>
            </w:r>
          </w:p>
        </w:tc>
      </w:tr>
      <w:tr w:rsidR="00802D3E" w14:paraId="20870D52" w14:textId="77777777" w:rsidTr="00802D3E">
        <w:trPr>
          <w:cantSplit/>
          <w:jc w:val="center"/>
        </w:trPr>
        <w:tc>
          <w:tcPr>
            <w:tcW w:w="1934" w:type="dxa"/>
            <w:gridSpan w:val="2"/>
            <w:tcBorders>
              <w:top w:val="single" w:sz="2" w:space="0" w:color="auto"/>
              <w:left w:val="nil"/>
              <w:bottom w:val="nil"/>
              <w:right w:val="nil"/>
            </w:tcBorders>
            <w:hideMark/>
          </w:tcPr>
          <w:p w14:paraId="20870D4E"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D4F" w14:textId="77777777" w:rsidR="00802D3E" w:rsidRDefault="00802D3E">
            <w:pPr>
              <w:pStyle w:val="MeasureTableTextLeftAligned"/>
            </w:pPr>
            <w:r>
              <w:t>Deduction</w:t>
            </w:r>
          </w:p>
        </w:tc>
        <w:tc>
          <w:tcPr>
            <w:tcW w:w="1500" w:type="dxa"/>
            <w:gridSpan w:val="2"/>
            <w:tcBorders>
              <w:top w:val="single" w:sz="2" w:space="0" w:color="auto"/>
              <w:left w:val="nil"/>
              <w:bottom w:val="nil"/>
              <w:right w:val="nil"/>
            </w:tcBorders>
            <w:hideMark/>
          </w:tcPr>
          <w:p w14:paraId="20870D50"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D51" w14:textId="77777777" w:rsidR="00802D3E" w:rsidRDefault="00802D3E">
            <w:pPr>
              <w:pStyle w:val="MeasureTableTextLeftAligned"/>
            </w:pPr>
            <w:r>
              <w:t>G5</w:t>
            </w:r>
          </w:p>
        </w:tc>
      </w:tr>
      <w:tr w:rsidR="00802D3E" w14:paraId="20870D57" w14:textId="77777777" w:rsidTr="00802D3E">
        <w:trPr>
          <w:cantSplit/>
          <w:jc w:val="center"/>
        </w:trPr>
        <w:tc>
          <w:tcPr>
            <w:tcW w:w="1934" w:type="dxa"/>
            <w:gridSpan w:val="2"/>
            <w:tcBorders>
              <w:top w:val="nil"/>
              <w:left w:val="nil"/>
              <w:bottom w:val="nil"/>
              <w:right w:val="nil"/>
            </w:tcBorders>
            <w:hideMark/>
          </w:tcPr>
          <w:p w14:paraId="20870D53"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D54"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D55"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D56" w14:textId="77777777" w:rsidR="00802D3E" w:rsidRDefault="00802D3E">
            <w:pPr>
              <w:pStyle w:val="MeasureTableTextLeftAligned"/>
            </w:pPr>
            <w:r>
              <w:t>2+</w:t>
            </w:r>
          </w:p>
        </w:tc>
      </w:tr>
      <w:tr w:rsidR="00802D3E" w14:paraId="20870D5C" w14:textId="77777777" w:rsidTr="00802D3E">
        <w:trPr>
          <w:cantSplit/>
          <w:jc w:val="center"/>
        </w:trPr>
        <w:tc>
          <w:tcPr>
            <w:tcW w:w="1934" w:type="dxa"/>
            <w:gridSpan w:val="2"/>
            <w:tcBorders>
              <w:top w:val="nil"/>
              <w:left w:val="nil"/>
              <w:bottom w:val="nil"/>
              <w:right w:val="nil"/>
            </w:tcBorders>
            <w:hideMark/>
          </w:tcPr>
          <w:p w14:paraId="20870D58"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D59" w14:textId="77777777" w:rsidR="00802D3E" w:rsidRDefault="00802D3E">
            <w:pPr>
              <w:pStyle w:val="MeasureTableTextLeftAligned"/>
            </w:pPr>
            <w:r>
              <w:t>1 July 2012</w:t>
            </w:r>
          </w:p>
        </w:tc>
        <w:tc>
          <w:tcPr>
            <w:tcW w:w="1500" w:type="dxa"/>
            <w:gridSpan w:val="2"/>
            <w:tcBorders>
              <w:top w:val="nil"/>
              <w:left w:val="nil"/>
              <w:bottom w:val="nil"/>
              <w:right w:val="nil"/>
            </w:tcBorders>
            <w:hideMark/>
          </w:tcPr>
          <w:p w14:paraId="20870D5A"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D5B" w14:textId="77777777" w:rsidR="00802D3E" w:rsidRDefault="00802D3E">
            <w:pPr>
              <w:pStyle w:val="MeasureTableTextLeftAligned"/>
            </w:pPr>
          </w:p>
        </w:tc>
      </w:tr>
      <w:tr w:rsidR="00802D3E" w14:paraId="20870D5F" w14:textId="77777777" w:rsidTr="00802D3E">
        <w:trPr>
          <w:cantSplit/>
          <w:jc w:val="center"/>
        </w:trPr>
        <w:tc>
          <w:tcPr>
            <w:tcW w:w="1934" w:type="dxa"/>
            <w:gridSpan w:val="2"/>
            <w:tcBorders>
              <w:top w:val="nil"/>
              <w:left w:val="nil"/>
              <w:bottom w:val="single" w:sz="2" w:space="0" w:color="auto"/>
              <w:right w:val="nil"/>
            </w:tcBorders>
            <w:hideMark/>
          </w:tcPr>
          <w:p w14:paraId="20870D5D"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D5E" w14:textId="77777777" w:rsidR="00802D3E" w:rsidRDefault="00802D3E">
            <w:pPr>
              <w:widowControl w:val="0"/>
              <w:autoSpaceDE w:val="0"/>
              <w:autoSpaceDN w:val="0"/>
              <w:adjustRightInd w:val="0"/>
              <w:spacing w:after="0" w:line="240" w:lineRule="auto"/>
            </w:pPr>
            <w:r>
              <w:rPr>
                <w:rFonts w:ascii="Arial" w:hAnsi="Arial" w:cs="Arial"/>
                <w:i/>
                <w:iCs/>
                <w:color w:val="000000"/>
                <w:sz w:val="16"/>
                <w:szCs w:val="16"/>
              </w:rPr>
              <w:t>Petroleum Resource Rent Tax Assessment Act 1987</w:t>
            </w:r>
          </w:p>
        </w:tc>
      </w:tr>
    </w:tbl>
    <w:p w14:paraId="20870D60" w14:textId="77777777" w:rsidR="00802D3E" w:rsidRDefault="00802D3E" w:rsidP="00A109BC">
      <w:pPr>
        <w:pStyle w:val="SingleParagraph"/>
      </w:pPr>
    </w:p>
    <w:p w14:paraId="20870D61" w14:textId="06FAAAAE" w:rsidR="00802D3E" w:rsidRDefault="00802D3E" w:rsidP="00802D3E">
      <w:pPr>
        <w:rPr>
          <w:lang w:val="en-US"/>
        </w:rPr>
      </w:pPr>
      <w:r>
        <w:t>Existing investments of projects brought under the PRRT on 1 July 2012 are recognised through the provision</w:t>
      </w:r>
      <w:r w:rsidR="000D700A">
        <w:t xml:space="preserve"> of a starting base allowance. </w:t>
      </w:r>
      <w:r>
        <w:t>The starting base allowance recognises assets relating to the upstream assets of the PRRT project o</w:t>
      </w:r>
      <w:r w:rsidR="000D700A">
        <w:t xml:space="preserve">n 2 May 2010. </w:t>
      </w:r>
      <w:r>
        <w:t xml:space="preserve">Unused starting base losses are uplifted at the long term bond </w:t>
      </w:r>
      <w:r w:rsidR="000D700A">
        <w:t xml:space="preserve">rate plus 5 percentage points. </w:t>
      </w:r>
      <w:r>
        <w:t>Unused exploration expenditure under the look back valuation option is uplifted at long term bond rate plus 15 percentage points.</w:t>
      </w:r>
      <w:r>
        <w:rPr>
          <w:lang w:val="en-US"/>
        </w:rPr>
        <w:fldChar w:fldCharType="begin"/>
      </w:r>
      <w:r>
        <w:instrText xml:space="preserve"> XE "North West Shelf starting base" </w:instrText>
      </w:r>
      <w:r>
        <w:rPr>
          <w:lang w:val="en-US"/>
        </w:rPr>
        <w:fldChar w:fldCharType="end"/>
      </w:r>
    </w:p>
    <w:p w14:paraId="20870D62" w14:textId="77777777" w:rsidR="00802D3E" w:rsidRDefault="00802D3E" w:rsidP="00802D3E">
      <w:pPr>
        <w:pStyle w:val="Heading3"/>
      </w:pPr>
      <w:r>
        <w:lastRenderedPageBreak/>
        <w:t>Goods and Services Tax</w:t>
      </w:r>
    </w:p>
    <w:p w14:paraId="20870D63" w14:textId="77777777" w:rsidR="00802D3E" w:rsidRDefault="00802D3E" w:rsidP="00802D3E">
      <w:pPr>
        <w:pStyle w:val="TESHeading5"/>
        <w:ind w:left="0" w:firstLine="0"/>
      </w:pPr>
      <w:r>
        <w:t>H1</w:t>
      </w:r>
      <w:r>
        <w:tab/>
        <w:t xml:space="preserve">Financial supplies </w:t>
      </w:r>
      <w:r w:rsidR="007626B2">
        <w:t>–</w:t>
      </w:r>
      <w:r>
        <w:t xml:space="preserve"> financial</w:t>
      </w:r>
      <w:r w:rsidR="007626B2">
        <w:t xml:space="preserve"> </w:t>
      </w:r>
      <w:r>
        <w:t xml:space="preserve">acquisitions threshold </w:t>
      </w:r>
      <w:r w:rsidR="007626B2">
        <w:t>–</w:t>
      </w:r>
      <w:r>
        <w:t xml:space="preserve"> input</w:t>
      </w:r>
      <w:r w:rsidR="007626B2">
        <w:t xml:space="preserve"> </w:t>
      </w:r>
      <w:r>
        <w:t>tax credits</w:t>
      </w:r>
    </w:p>
    <w:p w14:paraId="20870D64" w14:textId="77777777" w:rsidR="00802D3E" w:rsidRDefault="00802D3E" w:rsidP="00802D3E">
      <w:pPr>
        <w:pStyle w:val="MeasureTableHeading"/>
      </w:pPr>
      <w:r>
        <w:t xml:space="preserve">General public services </w:t>
      </w:r>
      <w:r w:rsidR="007626B2">
        <w:t>–</w:t>
      </w:r>
      <w:r>
        <w:t xml:space="preserve"> Financial</w:t>
      </w:r>
      <w:r w:rsidR="007626B2">
        <w:t xml:space="preserve"> </w:t>
      </w:r>
      <w:r>
        <w:t>and fiscal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D6D" w14:textId="77777777" w:rsidTr="00802D3E">
        <w:trPr>
          <w:cantSplit/>
          <w:jc w:val="center"/>
        </w:trPr>
        <w:tc>
          <w:tcPr>
            <w:tcW w:w="967" w:type="dxa"/>
            <w:tcBorders>
              <w:top w:val="single" w:sz="2" w:space="0" w:color="auto"/>
              <w:left w:val="nil"/>
              <w:bottom w:val="single" w:sz="2" w:space="0" w:color="auto"/>
              <w:right w:val="nil"/>
            </w:tcBorders>
            <w:hideMark/>
          </w:tcPr>
          <w:p w14:paraId="20870D6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D6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D6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D6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D6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D6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D6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D6C" w14:textId="77777777" w:rsidR="00802D3E" w:rsidRDefault="00802D3E">
            <w:pPr>
              <w:pStyle w:val="MeasureTableTextRightAligned"/>
            </w:pPr>
            <w:r>
              <w:t>2019-20</w:t>
            </w:r>
          </w:p>
        </w:tc>
      </w:tr>
      <w:tr w:rsidR="00802D3E" w14:paraId="20870D76" w14:textId="77777777" w:rsidTr="00802D3E">
        <w:trPr>
          <w:cantSplit/>
          <w:jc w:val="center"/>
        </w:trPr>
        <w:tc>
          <w:tcPr>
            <w:tcW w:w="967" w:type="dxa"/>
            <w:tcBorders>
              <w:top w:val="single" w:sz="2" w:space="0" w:color="auto"/>
              <w:left w:val="nil"/>
              <w:bottom w:val="single" w:sz="2" w:space="0" w:color="auto"/>
              <w:right w:val="nil"/>
            </w:tcBorders>
            <w:hideMark/>
          </w:tcPr>
          <w:p w14:paraId="20870D6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D6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7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7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7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D7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D7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D75" w14:textId="77777777" w:rsidR="00802D3E" w:rsidRDefault="00802D3E">
            <w:pPr>
              <w:pStyle w:val="MeasureTableTextRightAligned"/>
            </w:pPr>
            <w:r>
              <w:t>*</w:t>
            </w:r>
          </w:p>
        </w:tc>
      </w:tr>
      <w:tr w:rsidR="00802D3E" w14:paraId="20870D7B" w14:textId="77777777" w:rsidTr="00802D3E">
        <w:trPr>
          <w:cantSplit/>
          <w:jc w:val="center"/>
        </w:trPr>
        <w:tc>
          <w:tcPr>
            <w:tcW w:w="1934" w:type="dxa"/>
            <w:gridSpan w:val="2"/>
            <w:tcBorders>
              <w:top w:val="single" w:sz="2" w:space="0" w:color="auto"/>
              <w:left w:val="nil"/>
              <w:bottom w:val="nil"/>
              <w:right w:val="nil"/>
            </w:tcBorders>
            <w:hideMark/>
          </w:tcPr>
          <w:p w14:paraId="20870D7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D78"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70D7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D7A" w14:textId="77777777" w:rsidR="00802D3E" w:rsidRDefault="00802D3E">
            <w:pPr>
              <w:pStyle w:val="MeasureTableTextLeftAligned"/>
            </w:pPr>
            <w:r>
              <w:t>H1</w:t>
            </w:r>
          </w:p>
        </w:tc>
      </w:tr>
      <w:tr w:rsidR="00802D3E" w14:paraId="20870D80" w14:textId="77777777" w:rsidTr="00802D3E">
        <w:trPr>
          <w:cantSplit/>
          <w:jc w:val="center"/>
        </w:trPr>
        <w:tc>
          <w:tcPr>
            <w:tcW w:w="1934" w:type="dxa"/>
            <w:gridSpan w:val="2"/>
            <w:tcBorders>
              <w:top w:val="nil"/>
              <w:left w:val="nil"/>
              <w:bottom w:val="nil"/>
              <w:right w:val="nil"/>
            </w:tcBorders>
            <w:hideMark/>
          </w:tcPr>
          <w:p w14:paraId="20870D7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D7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D7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D7F" w14:textId="77777777" w:rsidR="00802D3E" w:rsidRDefault="00802D3E">
            <w:pPr>
              <w:pStyle w:val="MeasureTableTextLeftAligned"/>
            </w:pPr>
            <w:r>
              <w:t>3+</w:t>
            </w:r>
          </w:p>
        </w:tc>
      </w:tr>
      <w:tr w:rsidR="00802D3E" w14:paraId="20870D85" w14:textId="77777777" w:rsidTr="00802D3E">
        <w:trPr>
          <w:cantSplit/>
          <w:jc w:val="center"/>
        </w:trPr>
        <w:tc>
          <w:tcPr>
            <w:tcW w:w="1934" w:type="dxa"/>
            <w:gridSpan w:val="2"/>
            <w:tcBorders>
              <w:top w:val="nil"/>
              <w:left w:val="nil"/>
              <w:bottom w:val="nil"/>
              <w:right w:val="nil"/>
            </w:tcBorders>
            <w:hideMark/>
          </w:tcPr>
          <w:p w14:paraId="20870D8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D82"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D8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D84" w14:textId="77777777" w:rsidR="00802D3E" w:rsidRDefault="00802D3E">
            <w:pPr>
              <w:pStyle w:val="MeasureTableTextLeftAligned"/>
            </w:pPr>
          </w:p>
        </w:tc>
      </w:tr>
      <w:tr w:rsidR="00802D3E" w14:paraId="20870D88" w14:textId="77777777" w:rsidTr="00802D3E">
        <w:trPr>
          <w:cantSplit/>
          <w:jc w:val="center"/>
        </w:trPr>
        <w:tc>
          <w:tcPr>
            <w:tcW w:w="1934" w:type="dxa"/>
            <w:gridSpan w:val="2"/>
            <w:tcBorders>
              <w:top w:val="nil"/>
              <w:left w:val="nil"/>
              <w:bottom w:val="single" w:sz="2" w:space="0" w:color="auto"/>
              <w:right w:val="nil"/>
            </w:tcBorders>
            <w:hideMark/>
          </w:tcPr>
          <w:p w14:paraId="20870D8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D87" w14:textId="77777777" w:rsidR="00802D3E" w:rsidRDefault="00802D3E" w:rsidP="00BF50A6">
            <w:pPr>
              <w:widowControl w:val="0"/>
              <w:autoSpaceDE w:val="0"/>
              <w:autoSpaceDN w:val="0"/>
              <w:adjustRightInd w:val="0"/>
              <w:spacing w:after="0" w:line="240" w:lineRule="auto"/>
              <w:jc w:val="left"/>
            </w:pPr>
            <w:r>
              <w:rPr>
                <w:rFonts w:ascii="Arial" w:hAnsi="Arial" w:cs="Arial"/>
                <w:color w:val="000000"/>
                <w:sz w:val="16"/>
                <w:szCs w:val="16"/>
              </w:rPr>
              <w:t xml:space="preserve">Sections 11-15(4) and 189-5 of the </w:t>
            </w:r>
            <w:r>
              <w:rPr>
                <w:rFonts w:ascii="Arial" w:hAnsi="Arial" w:cs="Arial"/>
                <w:i/>
                <w:iCs/>
                <w:color w:val="000000"/>
                <w:sz w:val="16"/>
                <w:szCs w:val="16"/>
              </w:rPr>
              <w:t>A New Tax System (Goods and Services Tax) Act 1999</w:t>
            </w:r>
          </w:p>
        </w:tc>
      </w:tr>
    </w:tbl>
    <w:p w14:paraId="20870D89" w14:textId="77777777" w:rsidR="00802D3E" w:rsidRDefault="00802D3E" w:rsidP="00A109BC">
      <w:pPr>
        <w:pStyle w:val="SingleParagraph"/>
      </w:pPr>
    </w:p>
    <w:p w14:paraId="20870D8A" w14:textId="77777777" w:rsidR="00802D3E" w:rsidRDefault="00802D3E" w:rsidP="00802D3E">
      <w:r>
        <w:t>Generally, financial supplies are not subject to GST and input tax credits cannot be claimed for such supplies. However, entities that make financial supplies without exceeding the financial acquisitions threshold are entitled to input tax credits for acquisitions used or intended to be used for making the financial supplies.</w:t>
      </w:r>
      <w:r>
        <w:fldChar w:fldCharType="begin"/>
      </w:r>
      <w:r>
        <w:instrText xml:space="preserve"> XE "Financial supplies" </w:instrText>
      </w:r>
      <w:r>
        <w:fldChar w:fldCharType="end"/>
      </w:r>
    </w:p>
    <w:p w14:paraId="20870D8B" w14:textId="77777777" w:rsidR="00802D3E" w:rsidRDefault="00802D3E" w:rsidP="00802D3E">
      <w:r>
        <w:t>An entity does not exceed the financial acquisitions threshold</w:t>
      </w:r>
      <w:r>
        <w:fldChar w:fldCharType="begin"/>
      </w:r>
      <w:r>
        <w:instrText xml:space="preserve"> XE "Financial acquisitions threshold" </w:instrText>
      </w:r>
      <w:r>
        <w:fldChar w:fldCharType="end"/>
      </w:r>
      <w:r>
        <w:t xml:space="preserve"> if the input tax credits it would have been entitled to for the acquisitions do not exceed $150,000 or 10 per cent of their total input tax credits for the year. </w:t>
      </w:r>
    </w:p>
    <w:p w14:paraId="20870D8C" w14:textId="77777777" w:rsidR="00802D3E" w:rsidRDefault="00802D3E" w:rsidP="00802D3E">
      <w:pPr>
        <w:pStyle w:val="TESHeading5"/>
        <w:ind w:left="0" w:firstLine="0"/>
      </w:pPr>
      <w:r>
        <w:t>H2</w:t>
      </w:r>
      <w:r>
        <w:tab/>
        <w:t xml:space="preserve">Financial supplies </w:t>
      </w:r>
      <w:r w:rsidR="007626B2">
        <w:t>–</w:t>
      </w:r>
      <w:r>
        <w:t xml:space="preserve"> input</w:t>
      </w:r>
      <w:r w:rsidR="007626B2">
        <w:t xml:space="preserve"> </w:t>
      </w:r>
      <w:r>
        <w:t>taxed treatment</w:t>
      </w:r>
    </w:p>
    <w:p w14:paraId="20870D8D" w14:textId="77777777" w:rsidR="00802D3E" w:rsidRDefault="00802D3E" w:rsidP="00802D3E">
      <w:pPr>
        <w:pStyle w:val="MeasureTableHeading"/>
      </w:pPr>
      <w:r>
        <w:t xml:space="preserve">General public services </w:t>
      </w:r>
      <w:r w:rsidR="007626B2">
        <w:t>–</w:t>
      </w:r>
      <w:r>
        <w:t xml:space="preserve"> Financial</w:t>
      </w:r>
      <w:r w:rsidR="007626B2">
        <w:t xml:space="preserve"> </w:t>
      </w:r>
      <w:r>
        <w:t>and fiscal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D96" w14:textId="77777777" w:rsidTr="00802D3E">
        <w:trPr>
          <w:cantSplit/>
          <w:jc w:val="center"/>
        </w:trPr>
        <w:tc>
          <w:tcPr>
            <w:tcW w:w="967" w:type="dxa"/>
            <w:tcBorders>
              <w:top w:val="single" w:sz="2" w:space="0" w:color="auto"/>
              <w:left w:val="nil"/>
              <w:bottom w:val="single" w:sz="2" w:space="0" w:color="auto"/>
              <w:right w:val="nil"/>
            </w:tcBorders>
            <w:hideMark/>
          </w:tcPr>
          <w:p w14:paraId="20870D8E"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D8F"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D90"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D91"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D92"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D93"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D94"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D95" w14:textId="77777777" w:rsidR="00802D3E" w:rsidRDefault="00802D3E">
            <w:pPr>
              <w:pStyle w:val="MeasureTableTextRightAligned"/>
            </w:pPr>
            <w:r>
              <w:t>2019-20</w:t>
            </w:r>
          </w:p>
        </w:tc>
      </w:tr>
      <w:tr w:rsidR="00802D3E" w14:paraId="20870D9F" w14:textId="77777777" w:rsidTr="00802D3E">
        <w:trPr>
          <w:cantSplit/>
          <w:jc w:val="center"/>
        </w:trPr>
        <w:tc>
          <w:tcPr>
            <w:tcW w:w="967" w:type="dxa"/>
            <w:tcBorders>
              <w:top w:val="single" w:sz="2" w:space="0" w:color="auto"/>
              <w:left w:val="nil"/>
              <w:bottom w:val="single" w:sz="2" w:space="0" w:color="auto"/>
              <w:right w:val="nil"/>
            </w:tcBorders>
            <w:hideMark/>
          </w:tcPr>
          <w:p w14:paraId="20870D97" w14:textId="77777777" w:rsidR="00802D3E" w:rsidRDefault="00802D3E">
            <w:pPr>
              <w:pStyle w:val="MeasureTableTextRightAligned"/>
            </w:pPr>
            <w:r>
              <w:t>2,450</w:t>
            </w:r>
          </w:p>
        </w:tc>
        <w:tc>
          <w:tcPr>
            <w:tcW w:w="967" w:type="dxa"/>
            <w:tcBorders>
              <w:top w:val="single" w:sz="2" w:space="0" w:color="auto"/>
              <w:left w:val="nil"/>
              <w:bottom w:val="single" w:sz="2" w:space="0" w:color="auto"/>
              <w:right w:val="nil"/>
            </w:tcBorders>
            <w:hideMark/>
          </w:tcPr>
          <w:p w14:paraId="20870D98" w14:textId="77777777" w:rsidR="00802D3E" w:rsidRDefault="00802D3E">
            <w:pPr>
              <w:pStyle w:val="MeasureTableTextRightAligned"/>
            </w:pPr>
            <w:r>
              <w:t>2,800</w:t>
            </w:r>
          </w:p>
        </w:tc>
        <w:tc>
          <w:tcPr>
            <w:tcW w:w="967" w:type="dxa"/>
            <w:tcBorders>
              <w:top w:val="single" w:sz="2" w:space="0" w:color="auto"/>
              <w:left w:val="nil"/>
              <w:bottom w:val="single" w:sz="2" w:space="0" w:color="auto"/>
              <w:right w:val="nil"/>
            </w:tcBorders>
            <w:vAlign w:val="bottom"/>
            <w:hideMark/>
          </w:tcPr>
          <w:p w14:paraId="20870D99" w14:textId="77777777" w:rsidR="00802D3E" w:rsidRDefault="00802D3E">
            <w:pPr>
              <w:pStyle w:val="MeasureTableTextRightAligned"/>
            </w:pPr>
            <w:r>
              <w:t>3,050</w:t>
            </w:r>
          </w:p>
        </w:tc>
        <w:tc>
          <w:tcPr>
            <w:tcW w:w="967" w:type="dxa"/>
            <w:tcBorders>
              <w:top w:val="single" w:sz="2" w:space="0" w:color="auto"/>
              <w:left w:val="nil"/>
              <w:bottom w:val="single" w:sz="2" w:space="0" w:color="auto"/>
              <w:right w:val="nil"/>
            </w:tcBorders>
            <w:vAlign w:val="bottom"/>
            <w:hideMark/>
          </w:tcPr>
          <w:p w14:paraId="20870D9A" w14:textId="77777777" w:rsidR="00802D3E" w:rsidRDefault="00802D3E">
            <w:pPr>
              <w:pStyle w:val="MeasureTableTextRightAligned"/>
            </w:pPr>
            <w:r>
              <w:t>3,250</w:t>
            </w:r>
          </w:p>
        </w:tc>
        <w:tc>
          <w:tcPr>
            <w:tcW w:w="967" w:type="dxa"/>
            <w:tcBorders>
              <w:top w:val="single" w:sz="2" w:space="0" w:color="auto"/>
              <w:left w:val="nil"/>
              <w:bottom w:val="single" w:sz="2" w:space="0" w:color="auto"/>
              <w:right w:val="nil"/>
            </w:tcBorders>
            <w:vAlign w:val="bottom"/>
            <w:hideMark/>
          </w:tcPr>
          <w:p w14:paraId="20870D9B" w14:textId="77777777" w:rsidR="00802D3E" w:rsidRDefault="00802D3E">
            <w:pPr>
              <w:pStyle w:val="MeasureTableTextRightAligned"/>
            </w:pPr>
            <w:r>
              <w:t>3,450</w:t>
            </w:r>
          </w:p>
        </w:tc>
        <w:tc>
          <w:tcPr>
            <w:tcW w:w="967" w:type="dxa"/>
            <w:gridSpan w:val="2"/>
            <w:tcBorders>
              <w:top w:val="single" w:sz="2" w:space="0" w:color="auto"/>
              <w:left w:val="nil"/>
              <w:bottom w:val="single" w:sz="2" w:space="0" w:color="auto"/>
              <w:right w:val="nil"/>
            </w:tcBorders>
            <w:vAlign w:val="bottom"/>
            <w:hideMark/>
          </w:tcPr>
          <w:p w14:paraId="20870D9C" w14:textId="77777777" w:rsidR="00802D3E" w:rsidRDefault="00802D3E">
            <w:pPr>
              <w:pStyle w:val="MeasureTableTextRightAligned"/>
            </w:pPr>
            <w:r>
              <w:t>3,700</w:t>
            </w:r>
          </w:p>
        </w:tc>
        <w:tc>
          <w:tcPr>
            <w:tcW w:w="967" w:type="dxa"/>
            <w:gridSpan w:val="2"/>
            <w:tcBorders>
              <w:top w:val="single" w:sz="2" w:space="0" w:color="auto"/>
              <w:left w:val="nil"/>
              <w:bottom w:val="single" w:sz="2" w:space="0" w:color="auto"/>
              <w:right w:val="nil"/>
            </w:tcBorders>
            <w:vAlign w:val="bottom"/>
            <w:hideMark/>
          </w:tcPr>
          <w:p w14:paraId="20870D9D" w14:textId="77777777" w:rsidR="00802D3E" w:rsidRDefault="00802D3E">
            <w:pPr>
              <w:pStyle w:val="MeasureTableTextRightAligned"/>
            </w:pPr>
            <w:r>
              <w:t>3,900</w:t>
            </w:r>
          </w:p>
        </w:tc>
        <w:tc>
          <w:tcPr>
            <w:tcW w:w="968" w:type="dxa"/>
            <w:tcBorders>
              <w:top w:val="single" w:sz="2" w:space="0" w:color="auto"/>
              <w:left w:val="nil"/>
              <w:bottom w:val="single" w:sz="2" w:space="0" w:color="auto"/>
              <w:right w:val="nil"/>
            </w:tcBorders>
            <w:vAlign w:val="bottom"/>
            <w:hideMark/>
          </w:tcPr>
          <w:p w14:paraId="20870D9E" w14:textId="77777777" w:rsidR="00802D3E" w:rsidRDefault="00802D3E">
            <w:pPr>
              <w:pStyle w:val="MeasureTableTextRightAligned"/>
            </w:pPr>
            <w:r>
              <w:t>4,200</w:t>
            </w:r>
          </w:p>
        </w:tc>
      </w:tr>
      <w:tr w:rsidR="00802D3E" w14:paraId="20870DA4" w14:textId="77777777" w:rsidTr="00802D3E">
        <w:trPr>
          <w:cantSplit/>
          <w:jc w:val="center"/>
        </w:trPr>
        <w:tc>
          <w:tcPr>
            <w:tcW w:w="1934" w:type="dxa"/>
            <w:gridSpan w:val="2"/>
            <w:tcBorders>
              <w:top w:val="single" w:sz="2" w:space="0" w:color="auto"/>
              <w:left w:val="nil"/>
              <w:bottom w:val="nil"/>
              <w:right w:val="nil"/>
            </w:tcBorders>
            <w:hideMark/>
          </w:tcPr>
          <w:p w14:paraId="20870DA0"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DA1" w14:textId="77777777" w:rsidR="00802D3E" w:rsidRDefault="00802D3E">
            <w:pPr>
              <w:pStyle w:val="MeasureTableTextLeftAligned"/>
            </w:pPr>
            <w:r>
              <w:t>Exemption, Concessional rate</w:t>
            </w:r>
          </w:p>
        </w:tc>
        <w:tc>
          <w:tcPr>
            <w:tcW w:w="1500" w:type="dxa"/>
            <w:gridSpan w:val="2"/>
            <w:tcBorders>
              <w:top w:val="single" w:sz="2" w:space="0" w:color="auto"/>
              <w:left w:val="nil"/>
              <w:bottom w:val="nil"/>
              <w:right w:val="nil"/>
            </w:tcBorders>
            <w:hideMark/>
          </w:tcPr>
          <w:p w14:paraId="20870DA2"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DA3" w14:textId="77777777" w:rsidR="00802D3E" w:rsidRDefault="00802D3E">
            <w:pPr>
              <w:pStyle w:val="MeasureTableTextLeftAligned"/>
            </w:pPr>
            <w:r>
              <w:t>H2</w:t>
            </w:r>
          </w:p>
        </w:tc>
      </w:tr>
      <w:tr w:rsidR="00802D3E" w14:paraId="20870DA9" w14:textId="77777777" w:rsidTr="00802D3E">
        <w:trPr>
          <w:cantSplit/>
          <w:jc w:val="center"/>
        </w:trPr>
        <w:tc>
          <w:tcPr>
            <w:tcW w:w="1934" w:type="dxa"/>
            <w:gridSpan w:val="2"/>
            <w:tcBorders>
              <w:top w:val="nil"/>
              <w:left w:val="nil"/>
              <w:bottom w:val="nil"/>
              <w:right w:val="nil"/>
            </w:tcBorders>
            <w:hideMark/>
          </w:tcPr>
          <w:p w14:paraId="20870DA5"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DA6"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70DA7" w14:textId="77777777" w:rsidR="00802D3E" w:rsidRDefault="00802D3E">
            <w:pPr>
              <w:pStyle w:val="MeasureTableTextItalic"/>
            </w:pPr>
          </w:p>
        </w:tc>
        <w:tc>
          <w:tcPr>
            <w:tcW w:w="1124" w:type="dxa"/>
            <w:gridSpan w:val="2"/>
            <w:tcBorders>
              <w:top w:val="nil"/>
              <w:left w:val="nil"/>
              <w:bottom w:val="nil"/>
              <w:right w:val="nil"/>
            </w:tcBorders>
          </w:tcPr>
          <w:p w14:paraId="20870DA8" w14:textId="77777777" w:rsidR="00802D3E" w:rsidRDefault="00802D3E">
            <w:pPr>
              <w:pStyle w:val="MeasureTableTextLeftAligned"/>
            </w:pPr>
          </w:p>
        </w:tc>
      </w:tr>
      <w:tr w:rsidR="00802D3E" w14:paraId="20870DAE" w14:textId="77777777" w:rsidTr="00802D3E">
        <w:trPr>
          <w:cantSplit/>
          <w:jc w:val="center"/>
        </w:trPr>
        <w:tc>
          <w:tcPr>
            <w:tcW w:w="1934" w:type="dxa"/>
            <w:gridSpan w:val="2"/>
            <w:tcBorders>
              <w:top w:val="nil"/>
              <w:left w:val="nil"/>
              <w:bottom w:val="nil"/>
              <w:right w:val="nil"/>
            </w:tcBorders>
            <w:hideMark/>
          </w:tcPr>
          <w:p w14:paraId="20870DAA"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DAB"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DAC"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DAD" w14:textId="77777777" w:rsidR="00802D3E" w:rsidRDefault="00802D3E">
            <w:pPr>
              <w:pStyle w:val="MeasureTableTextLeftAligned"/>
            </w:pPr>
          </w:p>
        </w:tc>
      </w:tr>
      <w:tr w:rsidR="00802D3E" w14:paraId="20870DB1" w14:textId="77777777" w:rsidTr="00802D3E">
        <w:trPr>
          <w:cantSplit/>
          <w:jc w:val="center"/>
        </w:trPr>
        <w:tc>
          <w:tcPr>
            <w:tcW w:w="1934" w:type="dxa"/>
            <w:gridSpan w:val="2"/>
            <w:tcBorders>
              <w:top w:val="nil"/>
              <w:left w:val="nil"/>
              <w:bottom w:val="single" w:sz="2" w:space="0" w:color="auto"/>
              <w:right w:val="nil"/>
            </w:tcBorders>
            <w:hideMark/>
          </w:tcPr>
          <w:p w14:paraId="20870DAF"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DB0" w14:textId="2B122C61" w:rsidR="00802D3E" w:rsidRDefault="00802D3E" w:rsidP="00C11FD2">
            <w:pPr>
              <w:widowControl w:val="0"/>
              <w:autoSpaceDE w:val="0"/>
              <w:autoSpaceDN w:val="0"/>
              <w:adjustRightInd w:val="0"/>
              <w:spacing w:after="0" w:line="240" w:lineRule="auto"/>
              <w:jc w:val="left"/>
            </w:pPr>
            <w:r>
              <w:rPr>
                <w:rFonts w:ascii="Arial" w:hAnsi="Arial" w:cs="Arial"/>
                <w:color w:val="000000"/>
                <w:sz w:val="16"/>
                <w:szCs w:val="16"/>
              </w:rPr>
              <w:t xml:space="preserve">Subdivision 40-A of the </w:t>
            </w:r>
            <w:r>
              <w:rPr>
                <w:rFonts w:ascii="Arial" w:hAnsi="Arial" w:cs="Arial"/>
                <w:i/>
                <w:iCs/>
                <w:color w:val="000000"/>
                <w:sz w:val="16"/>
                <w:szCs w:val="16"/>
              </w:rPr>
              <w:t>A New Tax System (Goods and Services Tax) Act</w:t>
            </w:r>
            <w:r w:rsidR="00C11FD2">
              <w:rPr>
                <w:rFonts w:ascii="Arial" w:hAnsi="Arial" w:cs="Arial"/>
                <w:i/>
                <w:iCs/>
                <w:color w:val="000000"/>
                <w:sz w:val="16"/>
                <w:szCs w:val="16"/>
              </w:rPr>
              <w:t> </w:t>
            </w:r>
            <w:r>
              <w:rPr>
                <w:rFonts w:ascii="Arial" w:hAnsi="Arial" w:cs="Arial"/>
                <w:i/>
                <w:iCs/>
                <w:color w:val="000000"/>
                <w:sz w:val="16"/>
                <w:szCs w:val="16"/>
              </w:rPr>
              <w:t>1999</w:t>
            </w:r>
          </w:p>
        </w:tc>
      </w:tr>
    </w:tbl>
    <w:p w14:paraId="20870DB2" w14:textId="77777777" w:rsidR="00802D3E" w:rsidRDefault="00802D3E" w:rsidP="00A109BC">
      <w:pPr>
        <w:pStyle w:val="SingleParagraph"/>
      </w:pPr>
    </w:p>
    <w:p w14:paraId="20870DB3" w14:textId="77777777" w:rsidR="00802D3E" w:rsidRDefault="00802D3E" w:rsidP="00802D3E">
      <w:r>
        <w:t>Generally, financial supplies are not subject to GST and input tax credits cannot be claimed for such supplies. For example, banks do not charge GST on the supply of bank accounts to customers, and cannot claim back the GST component of the costs they incur in supplying bank accounts. A positive tax expenditure arises in this situation as the GST paid is less than 10 per cent of the final value of the financial supply.</w:t>
      </w:r>
      <w:r>
        <w:fldChar w:fldCharType="begin"/>
      </w:r>
      <w:r>
        <w:instrText xml:space="preserve"> XE "Financial supplies" </w:instrText>
      </w:r>
      <w:r>
        <w:fldChar w:fldCharType="end"/>
      </w:r>
    </w:p>
    <w:p w14:paraId="20870DB4" w14:textId="77777777" w:rsidR="00802D3E" w:rsidRDefault="00802D3E" w:rsidP="00802D3E">
      <w:r>
        <w:t xml:space="preserve">A negative tax expenditure arises where the financial supply is to a business. This is because no GST would actually be payable under the benchmark (subjecting financial services to GST) in this situation as businesses would claim an input tax credit for the GST amount. However, under actual tax arrangements, some GST is paid as input tax credits cannot be claimed on financial supplies to businesses. </w:t>
      </w:r>
    </w:p>
    <w:p w14:paraId="20870DB5" w14:textId="77777777" w:rsidR="00802D3E" w:rsidRDefault="00802D3E" w:rsidP="00802D3E">
      <w:pPr>
        <w:pStyle w:val="TESHeading5"/>
        <w:ind w:left="0" w:firstLine="0"/>
      </w:pPr>
      <w:r>
        <w:lastRenderedPageBreak/>
        <w:t>H3</w:t>
      </w:r>
      <w:r>
        <w:tab/>
        <w:t xml:space="preserve">Financial supplies </w:t>
      </w:r>
      <w:r w:rsidR="007626B2">
        <w:t>–</w:t>
      </w:r>
      <w:r>
        <w:t xml:space="preserve"> reduced</w:t>
      </w:r>
      <w:r w:rsidR="007626B2">
        <w:t xml:space="preserve"> </w:t>
      </w:r>
      <w:r>
        <w:t>input tax credits</w:t>
      </w:r>
    </w:p>
    <w:p w14:paraId="20870DB6" w14:textId="77777777" w:rsidR="00802D3E" w:rsidRDefault="00802D3E" w:rsidP="00802D3E">
      <w:pPr>
        <w:pStyle w:val="MeasureTableHeading"/>
      </w:pPr>
      <w:r>
        <w:t xml:space="preserve">General public services </w:t>
      </w:r>
      <w:r w:rsidR="007626B2">
        <w:t>–</w:t>
      </w:r>
      <w:r>
        <w:t xml:space="preserve"> Financial</w:t>
      </w:r>
      <w:r w:rsidR="007626B2">
        <w:t xml:space="preserve"> </w:t>
      </w:r>
      <w:r>
        <w:t>and fiscal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DBF" w14:textId="77777777" w:rsidTr="00802D3E">
        <w:trPr>
          <w:cantSplit/>
          <w:jc w:val="center"/>
        </w:trPr>
        <w:tc>
          <w:tcPr>
            <w:tcW w:w="967" w:type="dxa"/>
            <w:tcBorders>
              <w:top w:val="single" w:sz="2" w:space="0" w:color="auto"/>
              <w:left w:val="nil"/>
              <w:bottom w:val="single" w:sz="2" w:space="0" w:color="auto"/>
              <w:right w:val="nil"/>
            </w:tcBorders>
            <w:hideMark/>
          </w:tcPr>
          <w:p w14:paraId="20870DB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DB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DB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DB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DB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DB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DB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DBE" w14:textId="77777777" w:rsidR="00802D3E" w:rsidRDefault="00802D3E">
            <w:pPr>
              <w:pStyle w:val="MeasureTableTextRightAligned"/>
            </w:pPr>
            <w:r>
              <w:t>2019-20</w:t>
            </w:r>
          </w:p>
        </w:tc>
      </w:tr>
      <w:tr w:rsidR="00802D3E" w14:paraId="20870DC8" w14:textId="77777777" w:rsidTr="00802D3E">
        <w:trPr>
          <w:cantSplit/>
          <w:jc w:val="center"/>
        </w:trPr>
        <w:tc>
          <w:tcPr>
            <w:tcW w:w="967" w:type="dxa"/>
            <w:tcBorders>
              <w:top w:val="single" w:sz="2" w:space="0" w:color="auto"/>
              <w:left w:val="nil"/>
              <w:bottom w:val="single" w:sz="2" w:space="0" w:color="auto"/>
              <w:right w:val="nil"/>
            </w:tcBorders>
            <w:hideMark/>
          </w:tcPr>
          <w:p w14:paraId="20870DC0" w14:textId="77777777" w:rsidR="00802D3E" w:rsidRDefault="00802D3E">
            <w:pPr>
              <w:pStyle w:val="MeasureTableTextRightAligned"/>
            </w:pPr>
            <w:r>
              <w:t>600</w:t>
            </w:r>
          </w:p>
        </w:tc>
        <w:tc>
          <w:tcPr>
            <w:tcW w:w="967" w:type="dxa"/>
            <w:tcBorders>
              <w:top w:val="single" w:sz="2" w:space="0" w:color="auto"/>
              <w:left w:val="nil"/>
              <w:bottom w:val="single" w:sz="2" w:space="0" w:color="auto"/>
              <w:right w:val="nil"/>
            </w:tcBorders>
            <w:hideMark/>
          </w:tcPr>
          <w:p w14:paraId="20870DC1" w14:textId="77777777" w:rsidR="00802D3E" w:rsidRDefault="00802D3E">
            <w:pPr>
              <w:pStyle w:val="MeasureTableTextRightAligned"/>
            </w:pPr>
            <w:r>
              <w:t>700</w:t>
            </w:r>
          </w:p>
        </w:tc>
        <w:tc>
          <w:tcPr>
            <w:tcW w:w="967" w:type="dxa"/>
            <w:tcBorders>
              <w:top w:val="single" w:sz="2" w:space="0" w:color="auto"/>
              <w:left w:val="nil"/>
              <w:bottom w:val="single" w:sz="2" w:space="0" w:color="auto"/>
              <w:right w:val="nil"/>
            </w:tcBorders>
            <w:vAlign w:val="bottom"/>
            <w:hideMark/>
          </w:tcPr>
          <w:p w14:paraId="20870DC2" w14:textId="77777777" w:rsidR="00802D3E" w:rsidRDefault="00802D3E">
            <w:pPr>
              <w:pStyle w:val="MeasureTableTextRightAligned"/>
            </w:pPr>
            <w:r>
              <w:t>750</w:t>
            </w:r>
          </w:p>
        </w:tc>
        <w:tc>
          <w:tcPr>
            <w:tcW w:w="967" w:type="dxa"/>
            <w:tcBorders>
              <w:top w:val="single" w:sz="2" w:space="0" w:color="auto"/>
              <w:left w:val="nil"/>
              <w:bottom w:val="single" w:sz="2" w:space="0" w:color="auto"/>
              <w:right w:val="nil"/>
            </w:tcBorders>
            <w:vAlign w:val="bottom"/>
            <w:hideMark/>
          </w:tcPr>
          <w:p w14:paraId="20870DC3" w14:textId="77777777" w:rsidR="00802D3E" w:rsidRDefault="00802D3E">
            <w:pPr>
              <w:pStyle w:val="MeasureTableTextRightAligned"/>
            </w:pPr>
            <w:r>
              <w:t>800</w:t>
            </w:r>
          </w:p>
        </w:tc>
        <w:tc>
          <w:tcPr>
            <w:tcW w:w="967" w:type="dxa"/>
            <w:tcBorders>
              <w:top w:val="single" w:sz="2" w:space="0" w:color="auto"/>
              <w:left w:val="nil"/>
              <w:bottom w:val="single" w:sz="2" w:space="0" w:color="auto"/>
              <w:right w:val="nil"/>
            </w:tcBorders>
            <w:vAlign w:val="bottom"/>
            <w:hideMark/>
          </w:tcPr>
          <w:p w14:paraId="20870DC4" w14:textId="77777777" w:rsidR="00802D3E" w:rsidRDefault="00802D3E">
            <w:pPr>
              <w:pStyle w:val="MeasureTableTextRightAligned"/>
            </w:pPr>
            <w:r>
              <w:t>850</w:t>
            </w:r>
          </w:p>
        </w:tc>
        <w:tc>
          <w:tcPr>
            <w:tcW w:w="967" w:type="dxa"/>
            <w:gridSpan w:val="2"/>
            <w:tcBorders>
              <w:top w:val="single" w:sz="2" w:space="0" w:color="auto"/>
              <w:left w:val="nil"/>
              <w:bottom w:val="single" w:sz="2" w:space="0" w:color="auto"/>
              <w:right w:val="nil"/>
            </w:tcBorders>
            <w:vAlign w:val="bottom"/>
            <w:hideMark/>
          </w:tcPr>
          <w:p w14:paraId="20870DC5" w14:textId="77777777" w:rsidR="00802D3E" w:rsidRDefault="00802D3E">
            <w:pPr>
              <w:pStyle w:val="MeasureTableTextRightAligned"/>
            </w:pPr>
            <w:r>
              <w:t>950</w:t>
            </w:r>
          </w:p>
        </w:tc>
        <w:tc>
          <w:tcPr>
            <w:tcW w:w="967" w:type="dxa"/>
            <w:gridSpan w:val="2"/>
            <w:tcBorders>
              <w:top w:val="single" w:sz="2" w:space="0" w:color="auto"/>
              <w:left w:val="nil"/>
              <w:bottom w:val="single" w:sz="2" w:space="0" w:color="auto"/>
              <w:right w:val="nil"/>
            </w:tcBorders>
            <w:vAlign w:val="bottom"/>
            <w:hideMark/>
          </w:tcPr>
          <w:p w14:paraId="20870DC6" w14:textId="77777777" w:rsidR="00802D3E" w:rsidRDefault="00802D3E">
            <w:pPr>
              <w:pStyle w:val="MeasureTableTextRightAligned"/>
            </w:pPr>
            <w:r>
              <w:t>1,000</w:t>
            </w:r>
          </w:p>
        </w:tc>
        <w:tc>
          <w:tcPr>
            <w:tcW w:w="968" w:type="dxa"/>
            <w:tcBorders>
              <w:top w:val="single" w:sz="2" w:space="0" w:color="auto"/>
              <w:left w:val="nil"/>
              <w:bottom w:val="single" w:sz="2" w:space="0" w:color="auto"/>
              <w:right w:val="nil"/>
            </w:tcBorders>
            <w:vAlign w:val="bottom"/>
            <w:hideMark/>
          </w:tcPr>
          <w:p w14:paraId="20870DC7" w14:textId="77777777" w:rsidR="00802D3E" w:rsidRDefault="00802D3E">
            <w:pPr>
              <w:pStyle w:val="MeasureTableTextRightAligned"/>
            </w:pPr>
            <w:r>
              <w:t>1,050</w:t>
            </w:r>
          </w:p>
        </w:tc>
      </w:tr>
      <w:tr w:rsidR="00802D3E" w14:paraId="20870DCD" w14:textId="77777777" w:rsidTr="00802D3E">
        <w:trPr>
          <w:cantSplit/>
          <w:jc w:val="center"/>
        </w:trPr>
        <w:tc>
          <w:tcPr>
            <w:tcW w:w="1934" w:type="dxa"/>
            <w:gridSpan w:val="2"/>
            <w:tcBorders>
              <w:top w:val="single" w:sz="2" w:space="0" w:color="auto"/>
              <w:left w:val="nil"/>
              <w:bottom w:val="nil"/>
              <w:right w:val="nil"/>
            </w:tcBorders>
            <w:hideMark/>
          </w:tcPr>
          <w:p w14:paraId="20870DC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DCA"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70DC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DCC" w14:textId="77777777" w:rsidR="00802D3E" w:rsidRDefault="00802D3E">
            <w:pPr>
              <w:pStyle w:val="MeasureTableTextLeftAligned"/>
            </w:pPr>
            <w:r>
              <w:t>H3</w:t>
            </w:r>
          </w:p>
        </w:tc>
      </w:tr>
      <w:tr w:rsidR="00802D3E" w14:paraId="20870DD2" w14:textId="77777777" w:rsidTr="00802D3E">
        <w:trPr>
          <w:cantSplit/>
          <w:jc w:val="center"/>
        </w:trPr>
        <w:tc>
          <w:tcPr>
            <w:tcW w:w="1934" w:type="dxa"/>
            <w:gridSpan w:val="2"/>
            <w:tcBorders>
              <w:top w:val="nil"/>
              <w:left w:val="nil"/>
              <w:bottom w:val="nil"/>
              <w:right w:val="nil"/>
            </w:tcBorders>
            <w:hideMark/>
          </w:tcPr>
          <w:p w14:paraId="20870DC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DCF" w14:textId="77777777" w:rsidR="00802D3E" w:rsidRDefault="00802D3E">
            <w:pPr>
              <w:pStyle w:val="MeasureTableTextLeftAligned"/>
            </w:pPr>
            <w:r>
              <w:t>Low</w:t>
            </w:r>
          </w:p>
        </w:tc>
        <w:tc>
          <w:tcPr>
            <w:tcW w:w="1500" w:type="dxa"/>
            <w:gridSpan w:val="2"/>
            <w:tcBorders>
              <w:top w:val="nil"/>
              <w:left w:val="nil"/>
              <w:bottom w:val="nil"/>
              <w:right w:val="nil"/>
            </w:tcBorders>
          </w:tcPr>
          <w:p w14:paraId="20870DD0" w14:textId="77777777" w:rsidR="00802D3E" w:rsidRDefault="00802D3E">
            <w:pPr>
              <w:pStyle w:val="MeasureTableTextItalic"/>
            </w:pPr>
          </w:p>
        </w:tc>
        <w:tc>
          <w:tcPr>
            <w:tcW w:w="1124" w:type="dxa"/>
            <w:gridSpan w:val="2"/>
            <w:tcBorders>
              <w:top w:val="nil"/>
              <w:left w:val="nil"/>
              <w:bottom w:val="nil"/>
              <w:right w:val="nil"/>
            </w:tcBorders>
          </w:tcPr>
          <w:p w14:paraId="20870DD1" w14:textId="77777777" w:rsidR="00802D3E" w:rsidRDefault="00802D3E">
            <w:pPr>
              <w:pStyle w:val="MeasureTableTextLeftAligned"/>
            </w:pPr>
          </w:p>
        </w:tc>
      </w:tr>
      <w:tr w:rsidR="00802D3E" w14:paraId="20870DD7" w14:textId="77777777" w:rsidTr="00802D3E">
        <w:trPr>
          <w:cantSplit/>
          <w:jc w:val="center"/>
        </w:trPr>
        <w:tc>
          <w:tcPr>
            <w:tcW w:w="1934" w:type="dxa"/>
            <w:gridSpan w:val="2"/>
            <w:tcBorders>
              <w:top w:val="nil"/>
              <w:left w:val="nil"/>
              <w:bottom w:val="nil"/>
              <w:right w:val="nil"/>
            </w:tcBorders>
            <w:hideMark/>
          </w:tcPr>
          <w:p w14:paraId="20870DD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DD4"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DD5"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DD6" w14:textId="77777777" w:rsidR="00802D3E" w:rsidRDefault="00802D3E">
            <w:pPr>
              <w:pStyle w:val="MeasureTableTextLeftAligned"/>
            </w:pPr>
          </w:p>
        </w:tc>
      </w:tr>
      <w:tr w:rsidR="00802D3E" w14:paraId="20870DDA" w14:textId="77777777" w:rsidTr="00802D3E">
        <w:trPr>
          <w:cantSplit/>
          <w:jc w:val="center"/>
        </w:trPr>
        <w:tc>
          <w:tcPr>
            <w:tcW w:w="1934" w:type="dxa"/>
            <w:gridSpan w:val="2"/>
            <w:tcBorders>
              <w:top w:val="nil"/>
              <w:left w:val="nil"/>
              <w:bottom w:val="single" w:sz="2" w:space="0" w:color="auto"/>
              <w:right w:val="nil"/>
            </w:tcBorders>
            <w:hideMark/>
          </w:tcPr>
          <w:p w14:paraId="20870DD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DD9" w14:textId="77777777" w:rsidR="00802D3E" w:rsidRDefault="00802D3E" w:rsidP="00BF50A6">
            <w:pPr>
              <w:widowControl w:val="0"/>
              <w:autoSpaceDE w:val="0"/>
              <w:autoSpaceDN w:val="0"/>
              <w:adjustRightInd w:val="0"/>
              <w:spacing w:after="0" w:line="240" w:lineRule="auto"/>
              <w:jc w:val="left"/>
            </w:pPr>
            <w:r>
              <w:rPr>
                <w:rFonts w:ascii="Arial" w:hAnsi="Arial" w:cs="Arial"/>
                <w:color w:val="000000"/>
                <w:sz w:val="16"/>
                <w:szCs w:val="16"/>
              </w:rPr>
              <w:t xml:space="preserve">Division 70 of the </w:t>
            </w:r>
            <w:r>
              <w:rPr>
                <w:rFonts w:ascii="Arial" w:hAnsi="Arial" w:cs="Arial"/>
                <w:i/>
                <w:iCs/>
                <w:color w:val="000000"/>
                <w:sz w:val="16"/>
                <w:szCs w:val="16"/>
              </w:rPr>
              <w:t>A New Tax System (Goods and Services Tax) Act 1999</w:t>
            </w:r>
          </w:p>
        </w:tc>
      </w:tr>
    </w:tbl>
    <w:p w14:paraId="20870DDB" w14:textId="77777777" w:rsidR="00802D3E" w:rsidRDefault="00802D3E" w:rsidP="00A109BC">
      <w:pPr>
        <w:pStyle w:val="SingleParagraph"/>
      </w:pPr>
    </w:p>
    <w:p w14:paraId="20870DDC" w14:textId="77777777" w:rsidR="00802D3E" w:rsidRDefault="00802D3E" w:rsidP="00802D3E">
      <w:r>
        <w:t>Generally, financial supplies are not subject to GST and input tax credits cannot be claimed for such supplies. However, input tax credits may be claimed for the acquisition of certain supplies (known as reduced credit acquisitions), but at a reduced rate (either 55 or 75 per cent of the standard input tax credit entitlement depending on the acquisition).</w:t>
      </w:r>
      <w:r>
        <w:fldChar w:fldCharType="begin"/>
      </w:r>
      <w:r>
        <w:instrText xml:space="preserve"> XE "Financial supplies" </w:instrText>
      </w:r>
      <w:r>
        <w:fldChar w:fldCharType="end"/>
      </w:r>
    </w:p>
    <w:p w14:paraId="20870DDD" w14:textId="77777777" w:rsidR="00802D3E" w:rsidRDefault="00802D3E" w:rsidP="00802D3E">
      <w:pPr>
        <w:pStyle w:val="TESHeading5"/>
        <w:ind w:left="0" w:firstLine="0"/>
      </w:pPr>
      <w:r>
        <w:t>H4</w:t>
      </w:r>
      <w:r>
        <w:tab/>
        <w:t>Charitable institutions and non-profit bodies</w:t>
      </w:r>
    </w:p>
    <w:p w14:paraId="20870DDE" w14:textId="77777777" w:rsidR="00802D3E" w:rsidRDefault="00802D3E" w:rsidP="00802D3E">
      <w:pPr>
        <w:pStyle w:val="MeasureTableHeading"/>
      </w:pPr>
      <w:r>
        <w:t xml:space="preserve">General public services </w:t>
      </w:r>
      <w:r w:rsidR="007626B2">
        <w:t>–</w:t>
      </w:r>
      <w:r>
        <w:t xml:space="preserve"> General</w:t>
      </w:r>
      <w:r w:rsidR="007626B2">
        <w:t xml:space="preserve"> </w:t>
      </w:r>
      <w:r>
        <w:t>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DE7" w14:textId="77777777" w:rsidTr="00802D3E">
        <w:trPr>
          <w:cantSplit/>
          <w:jc w:val="center"/>
        </w:trPr>
        <w:tc>
          <w:tcPr>
            <w:tcW w:w="967" w:type="dxa"/>
            <w:tcBorders>
              <w:top w:val="single" w:sz="2" w:space="0" w:color="auto"/>
              <w:left w:val="nil"/>
              <w:bottom w:val="single" w:sz="2" w:space="0" w:color="auto"/>
              <w:right w:val="nil"/>
            </w:tcBorders>
            <w:hideMark/>
          </w:tcPr>
          <w:p w14:paraId="20870DD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DE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DE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DE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DE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DE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DE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DE6" w14:textId="77777777" w:rsidR="00802D3E" w:rsidRDefault="00802D3E">
            <w:pPr>
              <w:pStyle w:val="MeasureTableTextRightAligned"/>
            </w:pPr>
            <w:r>
              <w:t>2019-20</w:t>
            </w:r>
          </w:p>
        </w:tc>
      </w:tr>
      <w:tr w:rsidR="00802D3E" w14:paraId="20870DF0" w14:textId="77777777" w:rsidTr="00802D3E">
        <w:trPr>
          <w:cantSplit/>
          <w:jc w:val="center"/>
        </w:trPr>
        <w:tc>
          <w:tcPr>
            <w:tcW w:w="967" w:type="dxa"/>
            <w:tcBorders>
              <w:top w:val="single" w:sz="2" w:space="0" w:color="auto"/>
              <w:left w:val="nil"/>
              <w:bottom w:val="single" w:sz="2" w:space="0" w:color="auto"/>
              <w:right w:val="nil"/>
            </w:tcBorders>
            <w:hideMark/>
          </w:tcPr>
          <w:p w14:paraId="20870DE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DE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E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E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DEC"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DE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DEE"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DEF" w14:textId="77777777" w:rsidR="00802D3E" w:rsidRDefault="00802D3E">
            <w:pPr>
              <w:pStyle w:val="MeasureTableTextRightAligned"/>
            </w:pPr>
            <w:r>
              <w:t>*</w:t>
            </w:r>
          </w:p>
        </w:tc>
      </w:tr>
      <w:tr w:rsidR="00802D3E" w14:paraId="20870DF5" w14:textId="77777777" w:rsidTr="00802D3E">
        <w:trPr>
          <w:cantSplit/>
          <w:jc w:val="center"/>
        </w:trPr>
        <w:tc>
          <w:tcPr>
            <w:tcW w:w="1934" w:type="dxa"/>
            <w:gridSpan w:val="2"/>
            <w:tcBorders>
              <w:top w:val="single" w:sz="2" w:space="0" w:color="auto"/>
              <w:left w:val="nil"/>
              <w:bottom w:val="nil"/>
              <w:right w:val="nil"/>
            </w:tcBorders>
            <w:hideMark/>
          </w:tcPr>
          <w:p w14:paraId="20870DF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DF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DF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DF4" w14:textId="77777777" w:rsidR="00802D3E" w:rsidRDefault="00802D3E">
            <w:pPr>
              <w:pStyle w:val="MeasureTableTextLeftAligned"/>
            </w:pPr>
            <w:r>
              <w:t>H4</w:t>
            </w:r>
          </w:p>
        </w:tc>
      </w:tr>
      <w:tr w:rsidR="00802D3E" w14:paraId="20870DFA" w14:textId="77777777" w:rsidTr="00802D3E">
        <w:trPr>
          <w:cantSplit/>
          <w:jc w:val="center"/>
        </w:trPr>
        <w:tc>
          <w:tcPr>
            <w:tcW w:w="1934" w:type="dxa"/>
            <w:gridSpan w:val="2"/>
            <w:tcBorders>
              <w:top w:val="nil"/>
              <w:left w:val="nil"/>
              <w:bottom w:val="nil"/>
              <w:right w:val="nil"/>
            </w:tcBorders>
            <w:hideMark/>
          </w:tcPr>
          <w:p w14:paraId="20870DF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DF7"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DF8"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DF9" w14:textId="77777777" w:rsidR="00802D3E" w:rsidRDefault="00802D3E">
            <w:pPr>
              <w:pStyle w:val="MeasureTableTextLeftAligned"/>
            </w:pPr>
            <w:r>
              <w:t>3+</w:t>
            </w:r>
          </w:p>
        </w:tc>
      </w:tr>
      <w:tr w:rsidR="00802D3E" w14:paraId="20870DFF" w14:textId="77777777" w:rsidTr="00802D3E">
        <w:trPr>
          <w:cantSplit/>
          <w:jc w:val="center"/>
        </w:trPr>
        <w:tc>
          <w:tcPr>
            <w:tcW w:w="1934" w:type="dxa"/>
            <w:gridSpan w:val="2"/>
            <w:tcBorders>
              <w:top w:val="nil"/>
              <w:left w:val="nil"/>
              <w:bottom w:val="nil"/>
              <w:right w:val="nil"/>
            </w:tcBorders>
            <w:hideMark/>
          </w:tcPr>
          <w:p w14:paraId="20870DF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DFC"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DFD"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DFE" w14:textId="77777777" w:rsidR="00802D3E" w:rsidRDefault="00802D3E">
            <w:pPr>
              <w:pStyle w:val="MeasureTableTextLeftAligned"/>
            </w:pPr>
          </w:p>
        </w:tc>
      </w:tr>
      <w:tr w:rsidR="00802D3E" w14:paraId="20870E02" w14:textId="77777777" w:rsidTr="00802D3E">
        <w:trPr>
          <w:cantSplit/>
          <w:jc w:val="center"/>
        </w:trPr>
        <w:tc>
          <w:tcPr>
            <w:tcW w:w="1934" w:type="dxa"/>
            <w:gridSpan w:val="2"/>
            <w:tcBorders>
              <w:top w:val="nil"/>
              <w:left w:val="nil"/>
              <w:bottom w:val="single" w:sz="2" w:space="0" w:color="auto"/>
              <w:right w:val="nil"/>
            </w:tcBorders>
            <w:hideMark/>
          </w:tcPr>
          <w:p w14:paraId="20870E0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E01" w14:textId="2644C4F7" w:rsidR="00802D3E" w:rsidRDefault="00802D3E" w:rsidP="00C11FD2">
            <w:pPr>
              <w:widowControl w:val="0"/>
              <w:autoSpaceDE w:val="0"/>
              <w:autoSpaceDN w:val="0"/>
              <w:adjustRightInd w:val="0"/>
              <w:spacing w:after="0" w:line="240" w:lineRule="auto"/>
              <w:jc w:val="left"/>
            </w:pPr>
            <w:r>
              <w:rPr>
                <w:rFonts w:ascii="Arial" w:hAnsi="Arial" w:cs="Arial"/>
                <w:color w:val="000000"/>
                <w:sz w:val="16"/>
                <w:szCs w:val="16"/>
              </w:rPr>
              <w:t xml:space="preserve">Subdivision 38-G of the </w:t>
            </w:r>
            <w:r>
              <w:rPr>
                <w:rFonts w:ascii="Arial" w:hAnsi="Arial" w:cs="Arial"/>
                <w:i/>
                <w:iCs/>
                <w:color w:val="000000"/>
                <w:sz w:val="16"/>
                <w:szCs w:val="16"/>
              </w:rPr>
              <w:t>A New Tax System (Goods and Services Tax) Act</w:t>
            </w:r>
            <w:r w:rsidR="00C11FD2">
              <w:rPr>
                <w:rFonts w:ascii="Arial" w:hAnsi="Arial" w:cs="Arial"/>
                <w:i/>
                <w:iCs/>
                <w:color w:val="000000"/>
                <w:sz w:val="16"/>
                <w:szCs w:val="16"/>
              </w:rPr>
              <w:t> </w:t>
            </w:r>
            <w:r>
              <w:rPr>
                <w:rFonts w:ascii="Arial" w:hAnsi="Arial" w:cs="Arial"/>
                <w:i/>
                <w:iCs/>
                <w:color w:val="000000"/>
                <w:sz w:val="16"/>
                <w:szCs w:val="16"/>
              </w:rPr>
              <w:t>1999</w:t>
            </w:r>
          </w:p>
        </w:tc>
      </w:tr>
    </w:tbl>
    <w:p w14:paraId="20870E03" w14:textId="77777777" w:rsidR="00802D3E" w:rsidRDefault="00802D3E" w:rsidP="00A109BC">
      <w:pPr>
        <w:pStyle w:val="SingleParagraph"/>
      </w:pPr>
    </w:p>
    <w:p w14:paraId="20870E04" w14:textId="77777777" w:rsidR="00802D3E" w:rsidRDefault="00802D3E" w:rsidP="00802D3E">
      <w:r>
        <w:fldChar w:fldCharType="begin"/>
      </w:r>
      <w:r>
        <w:instrText xml:space="preserve"> XE "Charitable institutions" </w:instrText>
      </w:r>
      <w:r>
        <w:fldChar w:fldCharType="end"/>
      </w:r>
      <w:r>
        <w:t>Non-profit bodies</w:t>
      </w:r>
      <w:r>
        <w:fldChar w:fldCharType="begin"/>
      </w:r>
      <w:r>
        <w:instrText xml:space="preserve"> XE "Deductible gift recipients" </w:instrText>
      </w:r>
      <w:r>
        <w:fldChar w:fldCharType="end"/>
      </w:r>
      <w:r>
        <w:t xml:space="preserve"> are entitled to a higher GST registration threshold</w:t>
      </w:r>
      <w:r>
        <w:fldChar w:fldCharType="begin"/>
      </w:r>
      <w:r>
        <w:instrText xml:space="preserve"> XE "Goods and Services Tax:Registration threshold" </w:instrText>
      </w:r>
      <w:r>
        <w:fldChar w:fldCharType="end"/>
      </w:r>
      <w:r>
        <w:t xml:space="preserve"> of $150,000. They are entitled to GST-free treatment on non</w:t>
      </w:r>
      <w:r>
        <w:noBreakHyphen/>
        <w:t>commercial activities, certain retirement village services, bingo, and sale of second hand goods. Charities can elect to have fund raising treated as input taxed. This option is also available to gift deductible entities and government schools. Simplified accounting methods may be available and a range of other concessions apply.</w:t>
      </w:r>
    </w:p>
    <w:p w14:paraId="20870E05" w14:textId="77777777" w:rsidR="00802D3E" w:rsidRDefault="00802D3E" w:rsidP="00802D3E">
      <w:r>
        <w:t xml:space="preserve">Certain entities have the option of separately identifying some or all of their operations and treating each as a separate entity for GST purposes. </w:t>
      </w:r>
    </w:p>
    <w:p w14:paraId="20870E06" w14:textId="77777777" w:rsidR="00802D3E" w:rsidRDefault="00802D3E" w:rsidP="00802D3E">
      <w:pPr>
        <w:pStyle w:val="TESHeading5"/>
        <w:ind w:left="0" w:firstLine="0"/>
      </w:pPr>
      <w:r>
        <w:t>H5</w:t>
      </w:r>
      <w:r>
        <w:tab/>
        <w:t>Child care services</w:t>
      </w:r>
    </w:p>
    <w:p w14:paraId="20870E07" w14:textId="77777777" w:rsidR="00802D3E" w:rsidRDefault="00802D3E" w:rsidP="00802D3E">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E10" w14:textId="77777777" w:rsidTr="00802D3E">
        <w:trPr>
          <w:cantSplit/>
          <w:jc w:val="center"/>
        </w:trPr>
        <w:tc>
          <w:tcPr>
            <w:tcW w:w="967" w:type="dxa"/>
            <w:tcBorders>
              <w:top w:val="single" w:sz="2" w:space="0" w:color="auto"/>
              <w:left w:val="nil"/>
              <w:bottom w:val="single" w:sz="2" w:space="0" w:color="auto"/>
              <w:right w:val="nil"/>
            </w:tcBorders>
            <w:hideMark/>
          </w:tcPr>
          <w:p w14:paraId="20870E0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E0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E0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E0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E0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E0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E0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E0F" w14:textId="77777777" w:rsidR="00802D3E" w:rsidRDefault="00802D3E">
            <w:pPr>
              <w:pStyle w:val="MeasureTableTextRightAligned"/>
            </w:pPr>
            <w:r>
              <w:t>2019-20</w:t>
            </w:r>
          </w:p>
        </w:tc>
      </w:tr>
      <w:tr w:rsidR="00802D3E" w14:paraId="20870E19" w14:textId="77777777" w:rsidTr="00802D3E">
        <w:trPr>
          <w:cantSplit/>
          <w:jc w:val="center"/>
        </w:trPr>
        <w:tc>
          <w:tcPr>
            <w:tcW w:w="967" w:type="dxa"/>
            <w:tcBorders>
              <w:top w:val="single" w:sz="2" w:space="0" w:color="auto"/>
              <w:left w:val="nil"/>
              <w:bottom w:val="single" w:sz="2" w:space="0" w:color="auto"/>
              <w:right w:val="nil"/>
            </w:tcBorders>
            <w:hideMark/>
          </w:tcPr>
          <w:p w14:paraId="20870E11" w14:textId="77777777" w:rsidR="00802D3E" w:rsidRDefault="00802D3E">
            <w:pPr>
              <w:pStyle w:val="MeasureTableTextRightAligned"/>
            </w:pPr>
            <w:r>
              <w:t>870</w:t>
            </w:r>
          </w:p>
        </w:tc>
        <w:tc>
          <w:tcPr>
            <w:tcW w:w="967" w:type="dxa"/>
            <w:tcBorders>
              <w:top w:val="single" w:sz="2" w:space="0" w:color="auto"/>
              <w:left w:val="nil"/>
              <w:bottom w:val="single" w:sz="2" w:space="0" w:color="auto"/>
              <w:right w:val="nil"/>
            </w:tcBorders>
            <w:hideMark/>
          </w:tcPr>
          <w:p w14:paraId="20870E12" w14:textId="77777777" w:rsidR="00802D3E" w:rsidRDefault="00802D3E">
            <w:pPr>
              <w:pStyle w:val="MeasureTableTextRightAligned"/>
            </w:pPr>
            <w:r>
              <w:t>1,010</w:t>
            </w:r>
          </w:p>
        </w:tc>
        <w:tc>
          <w:tcPr>
            <w:tcW w:w="967" w:type="dxa"/>
            <w:tcBorders>
              <w:top w:val="single" w:sz="2" w:space="0" w:color="auto"/>
              <w:left w:val="nil"/>
              <w:bottom w:val="single" w:sz="2" w:space="0" w:color="auto"/>
              <w:right w:val="nil"/>
            </w:tcBorders>
            <w:vAlign w:val="bottom"/>
            <w:hideMark/>
          </w:tcPr>
          <w:p w14:paraId="20870E13" w14:textId="77777777" w:rsidR="00802D3E" w:rsidRDefault="00802D3E">
            <w:pPr>
              <w:pStyle w:val="MeasureTableTextRightAligned"/>
            </w:pPr>
            <w:r>
              <w:t>1,160</w:t>
            </w:r>
          </w:p>
        </w:tc>
        <w:tc>
          <w:tcPr>
            <w:tcW w:w="967" w:type="dxa"/>
            <w:tcBorders>
              <w:top w:val="single" w:sz="2" w:space="0" w:color="auto"/>
              <w:left w:val="nil"/>
              <w:bottom w:val="single" w:sz="2" w:space="0" w:color="auto"/>
              <w:right w:val="nil"/>
            </w:tcBorders>
            <w:vAlign w:val="bottom"/>
            <w:hideMark/>
          </w:tcPr>
          <w:p w14:paraId="20870E14" w14:textId="77777777" w:rsidR="00802D3E" w:rsidRDefault="00802D3E">
            <w:pPr>
              <w:pStyle w:val="MeasureTableTextRightAligned"/>
            </w:pPr>
            <w:r>
              <w:t>1,300</w:t>
            </w:r>
          </w:p>
        </w:tc>
        <w:tc>
          <w:tcPr>
            <w:tcW w:w="967" w:type="dxa"/>
            <w:tcBorders>
              <w:top w:val="single" w:sz="2" w:space="0" w:color="auto"/>
              <w:left w:val="nil"/>
              <w:bottom w:val="single" w:sz="2" w:space="0" w:color="auto"/>
              <w:right w:val="nil"/>
            </w:tcBorders>
            <w:vAlign w:val="bottom"/>
            <w:hideMark/>
          </w:tcPr>
          <w:p w14:paraId="20870E15" w14:textId="77777777" w:rsidR="00802D3E" w:rsidRDefault="00802D3E">
            <w:pPr>
              <w:pStyle w:val="MeasureTableTextRightAligned"/>
            </w:pPr>
            <w:r>
              <w:t>1,430</w:t>
            </w:r>
          </w:p>
        </w:tc>
        <w:tc>
          <w:tcPr>
            <w:tcW w:w="967" w:type="dxa"/>
            <w:gridSpan w:val="2"/>
            <w:tcBorders>
              <w:top w:val="single" w:sz="2" w:space="0" w:color="auto"/>
              <w:left w:val="nil"/>
              <w:bottom w:val="single" w:sz="2" w:space="0" w:color="auto"/>
              <w:right w:val="nil"/>
            </w:tcBorders>
            <w:vAlign w:val="bottom"/>
            <w:hideMark/>
          </w:tcPr>
          <w:p w14:paraId="20870E16" w14:textId="77777777" w:rsidR="00802D3E" w:rsidRDefault="00802D3E">
            <w:pPr>
              <w:pStyle w:val="MeasureTableTextRightAligned"/>
            </w:pPr>
            <w:r>
              <w:t>1,560</w:t>
            </w:r>
          </w:p>
        </w:tc>
        <w:tc>
          <w:tcPr>
            <w:tcW w:w="967" w:type="dxa"/>
            <w:gridSpan w:val="2"/>
            <w:tcBorders>
              <w:top w:val="single" w:sz="2" w:space="0" w:color="auto"/>
              <w:left w:val="nil"/>
              <w:bottom w:val="single" w:sz="2" w:space="0" w:color="auto"/>
              <w:right w:val="nil"/>
            </w:tcBorders>
            <w:vAlign w:val="bottom"/>
            <w:hideMark/>
          </w:tcPr>
          <w:p w14:paraId="20870E17" w14:textId="77777777" w:rsidR="00802D3E" w:rsidRDefault="00802D3E">
            <w:pPr>
              <w:pStyle w:val="MeasureTableTextRightAligned"/>
            </w:pPr>
            <w:r>
              <w:t>1,840</w:t>
            </w:r>
          </w:p>
        </w:tc>
        <w:tc>
          <w:tcPr>
            <w:tcW w:w="968" w:type="dxa"/>
            <w:tcBorders>
              <w:top w:val="single" w:sz="2" w:space="0" w:color="auto"/>
              <w:left w:val="nil"/>
              <w:bottom w:val="single" w:sz="2" w:space="0" w:color="auto"/>
              <w:right w:val="nil"/>
            </w:tcBorders>
            <w:vAlign w:val="bottom"/>
            <w:hideMark/>
          </w:tcPr>
          <w:p w14:paraId="20870E18" w14:textId="77777777" w:rsidR="00802D3E" w:rsidRDefault="00802D3E">
            <w:pPr>
              <w:pStyle w:val="MeasureTableTextRightAligned"/>
            </w:pPr>
            <w:r>
              <w:t>2,030</w:t>
            </w:r>
          </w:p>
        </w:tc>
      </w:tr>
      <w:tr w:rsidR="00802D3E" w14:paraId="20870E1E" w14:textId="77777777" w:rsidTr="00802D3E">
        <w:trPr>
          <w:cantSplit/>
          <w:jc w:val="center"/>
        </w:trPr>
        <w:tc>
          <w:tcPr>
            <w:tcW w:w="1934" w:type="dxa"/>
            <w:gridSpan w:val="2"/>
            <w:tcBorders>
              <w:top w:val="single" w:sz="2" w:space="0" w:color="auto"/>
              <w:left w:val="nil"/>
              <w:bottom w:val="nil"/>
              <w:right w:val="nil"/>
            </w:tcBorders>
            <w:hideMark/>
          </w:tcPr>
          <w:p w14:paraId="20870E1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E1B"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E1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E1D" w14:textId="77777777" w:rsidR="00802D3E" w:rsidRDefault="00802D3E">
            <w:pPr>
              <w:pStyle w:val="MeasureTableTextLeftAligned"/>
            </w:pPr>
            <w:r>
              <w:t>H5</w:t>
            </w:r>
          </w:p>
        </w:tc>
      </w:tr>
      <w:tr w:rsidR="00802D3E" w14:paraId="20870E23" w14:textId="77777777" w:rsidTr="00802D3E">
        <w:trPr>
          <w:cantSplit/>
          <w:jc w:val="center"/>
        </w:trPr>
        <w:tc>
          <w:tcPr>
            <w:tcW w:w="1934" w:type="dxa"/>
            <w:gridSpan w:val="2"/>
            <w:tcBorders>
              <w:top w:val="nil"/>
              <w:left w:val="nil"/>
              <w:bottom w:val="nil"/>
              <w:right w:val="nil"/>
            </w:tcBorders>
            <w:hideMark/>
          </w:tcPr>
          <w:p w14:paraId="20870E1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E20" w14:textId="77777777" w:rsidR="00802D3E" w:rsidRDefault="00802D3E">
            <w:pPr>
              <w:pStyle w:val="MeasureTableTextLeftAligned"/>
            </w:pPr>
            <w:r>
              <w:t>Medium - Low</w:t>
            </w:r>
          </w:p>
        </w:tc>
        <w:tc>
          <w:tcPr>
            <w:tcW w:w="1500" w:type="dxa"/>
            <w:gridSpan w:val="2"/>
            <w:tcBorders>
              <w:top w:val="nil"/>
              <w:left w:val="nil"/>
              <w:bottom w:val="nil"/>
              <w:right w:val="nil"/>
            </w:tcBorders>
          </w:tcPr>
          <w:p w14:paraId="20870E21" w14:textId="77777777" w:rsidR="00802D3E" w:rsidRDefault="00802D3E">
            <w:pPr>
              <w:pStyle w:val="MeasureTableTextItalic"/>
            </w:pPr>
          </w:p>
        </w:tc>
        <w:tc>
          <w:tcPr>
            <w:tcW w:w="1124" w:type="dxa"/>
            <w:gridSpan w:val="2"/>
            <w:tcBorders>
              <w:top w:val="nil"/>
              <w:left w:val="nil"/>
              <w:bottom w:val="nil"/>
              <w:right w:val="nil"/>
            </w:tcBorders>
          </w:tcPr>
          <w:p w14:paraId="20870E22" w14:textId="77777777" w:rsidR="00802D3E" w:rsidRDefault="00802D3E">
            <w:pPr>
              <w:pStyle w:val="MeasureTableTextLeftAligned"/>
            </w:pPr>
          </w:p>
        </w:tc>
      </w:tr>
      <w:tr w:rsidR="00802D3E" w14:paraId="20870E28" w14:textId="77777777" w:rsidTr="00802D3E">
        <w:trPr>
          <w:cantSplit/>
          <w:jc w:val="center"/>
        </w:trPr>
        <w:tc>
          <w:tcPr>
            <w:tcW w:w="1934" w:type="dxa"/>
            <w:gridSpan w:val="2"/>
            <w:tcBorders>
              <w:top w:val="nil"/>
              <w:left w:val="nil"/>
              <w:bottom w:val="nil"/>
              <w:right w:val="nil"/>
            </w:tcBorders>
            <w:hideMark/>
          </w:tcPr>
          <w:p w14:paraId="20870E2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E25"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E26"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E27" w14:textId="77777777" w:rsidR="00802D3E" w:rsidRDefault="00802D3E">
            <w:pPr>
              <w:pStyle w:val="MeasureTableTextLeftAligned"/>
            </w:pPr>
          </w:p>
        </w:tc>
      </w:tr>
      <w:tr w:rsidR="00802D3E" w14:paraId="20870E2B" w14:textId="77777777" w:rsidTr="00802D3E">
        <w:trPr>
          <w:cantSplit/>
          <w:jc w:val="center"/>
        </w:trPr>
        <w:tc>
          <w:tcPr>
            <w:tcW w:w="1934" w:type="dxa"/>
            <w:gridSpan w:val="2"/>
            <w:tcBorders>
              <w:top w:val="nil"/>
              <w:left w:val="nil"/>
              <w:bottom w:val="single" w:sz="2" w:space="0" w:color="auto"/>
              <w:right w:val="nil"/>
            </w:tcBorders>
            <w:hideMark/>
          </w:tcPr>
          <w:p w14:paraId="20870E2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E2A" w14:textId="79CFE104" w:rsidR="00802D3E" w:rsidRDefault="00802D3E" w:rsidP="00C11FD2">
            <w:pPr>
              <w:widowControl w:val="0"/>
              <w:autoSpaceDE w:val="0"/>
              <w:autoSpaceDN w:val="0"/>
              <w:adjustRightInd w:val="0"/>
              <w:spacing w:after="0" w:line="240" w:lineRule="auto"/>
              <w:jc w:val="left"/>
            </w:pPr>
            <w:r>
              <w:rPr>
                <w:rFonts w:ascii="Arial" w:hAnsi="Arial" w:cs="Arial"/>
                <w:color w:val="000000"/>
                <w:sz w:val="16"/>
                <w:szCs w:val="16"/>
              </w:rPr>
              <w:t xml:space="preserve">Subdivision 38-D of the </w:t>
            </w:r>
            <w:r>
              <w:rPr>
                <w:rFonts w:ascii="Arial" w:hAnsi="Arial" w:cs="Arial"/>
                <w:i/>
                <w:iCs/>
                <w:color w:val="000000"/>
                <w:sz w:val="16"/>
                <w:szCs w:val="16"/>
              </w:rPr>
              <w:t>A New Tax System (Goods and Services Tax) Act</w:t>
            </w:r>
            <w:r w:rsidR="00C11FD2">
              <w:rPr>
                <w:rFonts w:ascii="Arial" w:hAnsi="Arial" w:cs="Arial"/>
                <w:i/>
                <w:iCs/>
                <w:color w:val="000000"/>
                <w:sz w:val="16"/>
                <w:szCs w:val="16"/>
              </w:rPr>
              <w:t> </w:t>
            </w:r>
            <w:r>
              <w:rPr>
                <w:rFonts w:ascii="Arial" w:hAnsi="Arial" w:cs="Arial"/>
                <w:i/>
                <w:iCs/>
                <w:color w:val="000000"/>
                <w:sz w:val="16"/>
                <w:szCs w:val="16"/>
              </w:rPr>
              <w:t>1999</w:t>
            </w:r>
          </w:p>
        </w:tc>
      </w:tr>
    </w:tbl>
    <w:p w14:paraId="20870E2C" w14:textId="77777777" w:rsidR="00802D3E" w:rsidRDefault="00802D3E" w:rsidP="00A109BC">
      <w:pPr>
        <w:pStyle w:val="SingleParagraph"/>
      </w:pPr>
    </w:p>
    <w:p w14:paraId="10C9196F" w14:textId="77777777" w:rsidR="000D700A" w:rsidRDefault="000D700A">
      <w:pPr>
        <w:spacing w:after="0" w:line="240" w:lineRule="auto"/>
        <w:jc w:val="left"/>
      </w:pPr>
      <w:r>
        <w:br w:type="page"/>
      </w:r>
    </w:p>
    <w:p w14:paraId="20870E2D" w14:textId="46B10993" w:rsidR="00802D3E" w:rsidRDefault="0051476F" w:rsidP="00802D3E">
      <w:r>
        <w:lastRenderedPageBreak/>
        <w:fldChar w:fldCharType="begin"/>
      </w:r>
      <w:r>
        <w:instrText xml:space="preserve"> XE "Goods and Services Tax:Child Care" </w:instrText>
      </w:r>
      <w:r>
        <w:fldChar w:fldCharType="end"/>
      </w:r>
      <w:r w:rsidR="00802D3E">
        <w:t>Generally, child care</w:t>
      </w:r>
      <w:r w:rsidR="00802D3E">
        <w:fldChar w:fldCharType="begin"/>
      </w:r>
      <w:r w:rsidR="00802D3E">
        <w:instrText xml:space="preserve"> XE "Child Care:GST-free" </w:instrText>
      </w:r>
      <w:r w:rsidR="00802D3E">
        <w:fldChar w:fldCharType="end"/>
      </w:r>
      <w:r w:rsidR="00802D3E">
        <w:t xml:space="preserve"> will be GST-free if provided at facilities that are eligible to receive government funding or if the provider is a registered carer or child care service for the purposes of the relevant Commonwealth legislation. All supplies that are directly related to child care are also GST-free.</w:t>
      </w:r>
    </w:p>
    <w:p w14:paraId="20870E2E" w14:textId="77777777" w:rsidR="00802D3E" w:rsidRDefault="00802D3E" w:rsidP="00802D3E">
      <w:pPr>
        <w:pStyle w:val="TESHeading5"/>
        <w:ind w:left="0" w:firstLine="0"/>
      </w:pPr>
      <w:r>
        <w:t>H6</w:t>
      </w:r>
      <w:r>
        <w:tab/>
        <w:t>Water, sewerage and drainage</w:t>
      </w:r>
    </w:p>
    <w:p w14:paraId="20870E2F" w14:textId="77777777" w:rsidR="00802D3E" w:rsidRDefault="00802D3E" w:rsidP="00802D3E">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E38" w14:textId="77777777" w:rsidTr="00802D3E">
        <w:trPr>
          <w:cantSplit/>
          <w:jc w:val="center"/>
        </w:trPr>
        <w:tc>
          <w:tcPr>
            <w:tcW w:w="967" w:type="dxa"/>
            <w:tcBorders>
              <w:top w:val="single" w:sz="2" w:space="0" w:color="auto"/>
              <w:left w:val="nil"/>
              <w:bottom w:val="single" w:sz="2" w:space="0" w:color="auto"/>
              <w:right w:val="nil"/>
            </w:tcBorders>
            <w:hideMark/>
          </w:tcPr>
          <w:p w14:paraId="20870E3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E3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E3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E3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E3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E3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E3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E37" w14:textId="77777777" w:rsidR="00802D3E" w:rsidRDefault="00802D3E">
            <w:pPr>
              <w:pStyle w:val="MeasureTableTextRightAligned"/>
            </w:pPr>
            <w:r>
              <w:t>2019-20</w:t>
            </w:r>
          </w:p>
        </w:tc>
      </w:tr>
      <w:tr w:rsidR="00802D3E" w14:paraId="20870E41" w14:textId="77777777" w:rsidTr="00802D3E">
        <w:trPr>
          <w:cantSplit/>
          <w:jc w:val="center"/>
        </w:trPr>
        <w:tc>
          <w:tcPr>
            <w:tcW w:w="967" w:type="dxa"/>
            <w:tcBorders>
              <w:top w:val="single" w:sz="2" w:space="0" w:color="auto"/>
              <w:left w:val="nil"/>
              <w:bottom w:val="single" w:sz="2" w:space="0" w:color="auto"/>
              <w:right w:val="nil"/>
            </w:tcBorders>
            <w:hideMark/>
          </w:tcPr>
          <w:p w14:paraId="20870E39" w14:textId="77777777" w:rsidR="00802D3E" w:rsidRDefault="00802D3E">
            <w:pPr>
              <w:pStyle w:val="MeasureTableTextRightAligned"/>
            </w:pPr>
            <w:r>
              <w:t>760</w:t>
            </w:r>
          </w:p>
        </w:tc>
        <w:tc>
          <w:tcPr>
            <w:tcW w:w="967" w:type="dxa"/>
            <w:tcBorders>
              <w:top w:val="single" w:sz="2" w:space="0" w:color="auto"/>
              <w:left w:val="nil"/>
              <w:bottom w:val="single" w:sz="2" w:space="0" w:color="auto"/>
              <w:right w:val="nil"/>
            </w:tcBorders>
            <w:hideMark/>
          </w:tcPr>
          <w:p w14:paraId="20870E3A" w14:textId="77777777" w:rsidR="00802D3E" w:rsidRDefault="00802D3E">
            <w:pPr>
              <w:pStyle w:val="MeasureTableTextRightAligned"/>
            </w:pPr>
            <w:r>
              <w:t>840</w:t>
            </w:r>
          </w:p>
        </w:tc>
        <w:tc>
          <w:tcPr>
            <w:tcW w:w="967" w:type="dxa"/>
            <w:tcBorders>
              <w:top w:val="single" w:sz="2" w:space="0" w:color="auto"/>
              <w:left w:val="nil"/>
              <w:bottom w:val="single" w:sz="2" w:space="0" w:color="auto"/>
              <w:right w:val="nil"/>
            </w:tcBorders>
            <w:vAlign w:val="bottom"/>
            <w:hideMark/>
          </w:tcPr>
          <w:p w14:paraId="20870E3B" w14:textId="77777777" w:rsidR="00802D3E" w:rsidRDefault="00802D3E">
            <w:pPr>
              <w:pStyle w:val="MeasureTableTextRightAligned"/>
            </w:pPr>
            <w:r>
              <w:t>860</w:t>
            </w:r>
          </w:p>
        </w:tc>
        <w:tc>
          <w:tcPr>
            <w:tcW w:w="967" w:type="dxa"/>
            <w:tcBorders>
              <w:top w:val="single" w:sz="2" w:space="0" w:color="auto"/>
              <w:left w:val="nil"/>
              <w:bottom w:val="single" w:sz="2" w:space="0" w:color="auto"/>
              <w:right w:val="nil"/>
            </w:tcBorders>
            <w:vAlign w:val="bottom"/>
            <w:hideMark/>
          </w:tcPr>
          <w:p w14:paraId="20870E3C" w14:textId="77777777" w:rsidR="00802D3E" w:rsidRDefault="00802D3E">
            <w:pPr>
              <w:pStyle w:val="MeasureTableTextRightAligned"/>
            </w:pPr>
            <w:r>
              <w:t>890</w:t>
            </w:r>
          </w:p>
        </w:tc>
        <w:tc>
          <w:tcPr>
            <w:tcW w:w="967" w:type="dxa"/>
            <w:tcBorders>
              <w:top w:val="single" w:sz="2" w:space="0" w:color="auto"/>
              <w:left w:val="nil"/>
              <w:bottom w:val="single" w:sz="2" w:space="0" w:color="auto"/>
              <w:right w:val="nil"/>
            </w:tcBorders>
            <w:vAlign w:val="bottom"/>
            <w:hideMark/>
          </w:tcPr>
          <w:p w14:paraId="20870E3D" w14:textId="77777777" w:rsidR="00802D3E" w:rsidRDefault="00802D3E">
            <w:pPr>
              <w:pStyle w:val="MeasureTableTextRightAligned"/>
            </w:pPr>
            <w:r>
              <w:t>960</w:t>
            </w:r>
          </w:p>
        </w:tc>
        <w:tc>
          <w:tcPr>
            <w:tcW w:w="967" w:type="dxa"/>
            <w:gridSpan w:val="2"/>
            <w:tcBorders>
              <w:top w:val="single" w:sz="2" w:space="0" w:color="auto"/>
              <w:left w:val="nil"/>
              <w:bottom w:val="single" w:sz="2" w:space="0" w:color="auto"/>
              <w:right w:val="nil"/>
            </w:tcBorders>
            <w:vAlign w:val="bottom"/>
            <w:hideMark/>
          </w:tcPr>
          <w:p w14:paraId="20870E3E" w14:textId="77777777" w:rsidR="00802D3E" w:rsidRDefault="00802D3E">
            <w:pPr>
              <w:pStyle w:val="MeasureTableTextRightAligned"/>
            </w:pPr>
            <w:r>
              <w:t>1,050</w:t>
            </w:r>
          </w:p>
        </w:tc>
        <w:tc>
          <w:tcPr>
            <w:tcW w:w="967" w:type="dxa"/>
            <w:gridSpan w:val="2"/>
            <w:tcBorders>
              <w:top w:val="single" w:sz="2" w:space="0" w:color="auto"/>
              <w:left w:val="nil"/>
              <w:bottom w:val="single" w:sz="2" w:space="0" w:color="auto"/>
              <w:right w:val="nil"/>
            </w:tcBorders>
            <w:vAlign w:val="bottom"/>
            <w:hideMark/>
          </w:tcPr>
          <w:p w14:paraId="20870E3F" w14:textId="77777777" w:rsidR="00802D3E" w:rsidRDefault="00802D3E">
            <w:pPr>
              <w:pStyle w:val="MeasureTableTextRightAligned"/>
            </w:pPr>
            <w:r>
              <w:t>1,130</w:t>
            </w:r>
          </w:p>
        </w:tc>
        <w:tc>
          <w:tcPr>
            <w:tcW w:w="968" w:type="dxa"/>
            <w:tcBorders>
              <w:top w:val="single" w:sz="2" w:space="0" w:color="auto"/>
              <w:left w:val="nil"/>
              <w:bottom w:val="single" w:sz="2" w:space="0" w:color="auto"/>
              <w:right w:val="nil"/>
            </w:tcBorders>
            <w:vAlign w:val="bottom"/>
            <w:hideMark/>
          </w:tcPr>
          <w:p w14:paraId="20870E40" w14:textId="77777777" w:rsidR="00802D3E" w:rsidRDefault="00802D3E">
            <w:pPr>
              <w:pStyle w:val="MeasureTableTextRightAligned"/>
            </w:pPr>
            <w:r>
              <w:t>1,230</w:t>
            </w:r>
          </w:p>
        </w:tc>
      </w:tr>
      <w:tr w:rsidR="00802D3E" w14:paraId="20870E46" w14:textId="77777777" w:rsidTr="00802D3E">
        <w:trPr>
          <w:cantSplit/>
          <w:jc w:val="center"/>
        </w:trPr>
        <w:tc>
          <w:tcPr>
            <w:tcW w:w="1934" w:type="dxa"/>
            <w:gridSpan w:val="2"/>
            <w:tcBorders>
              <w:top w:val="single" w:sz="2" w:space="0" w:color="auto"/>
              <w:left w:val="nil"/>
              <w:bottom w:val="nil"/>
              <w:right w:val="nil"/>
            </w:tcBorders>
            <w:hideMark/>
          </w:tcPr>
          <w:p w14:paraId="20870E4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E43"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E4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E45" w14:textId="77777777" w:rsidR="00802D3E" w:rsidRDefault="00802D3E">
            <w:pPr>
              <w:pStyle w:val="MeasureTableTextLeftAligned"/>
            </w:pPr>
            <w:r>
              <w:t>H6</w:t>
            </w:r>
          </w:p>
        </w:tc>
      </w:tr>
      <w:tr w:rsidR="00802D3E" w14:paraId="20870E4B" w14:textId="77777777" w:rsidTr="00802D3E">
        <w:trPr>
          <w:cantSplit/>
          <w:jc w:val="center"/>
        </w:trPr>
        <w:tc>
          <w:tcPr>
            <w:tcW w:w="1934" w:type="dxa"/>
            <w:gridSpan w:val="2"/>
            <w:tcBorders>
              <w:top w:val="nil"/>
              <w:left w:val="nil"/>
              <w:bottom w:val="nil"/>
              <w:right w:val="nil"/>
            </w:tcBorders>
            <w:hideMark/>
          </w:tcPr>
          <w:p w14:paraId="20870E4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E48"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E49" w14:textId="77777777" w:rsidR="00802D3E" w:rsidRDefault="00802D3E">
            <w:pPr>
              <w:pStyle w:val="MeasureTableTextItalic"/>
            </w:pPr>
          </w:p>
        </w:tc>
        <w:tc>
          <w:tcPr>
            <w:tcW w:w="1124" w:type="dxa"/>
            <w:gridSpan w:val="2"/>
            <w:tcBorders>
              <w:top w:val="nil"/>
              <w:left w:val="nil"/>
              <w:bottom w:val="nil"/>
              <w:right w:val="nil"/>
            </w:tcBorders>
          </w:tcPr>
          <w:p w14:paraId="20870E4A" w14:textId="77777777" w:rsidR="00802D3E" w:rsidRDefault="00802D3E">
            <w:pPr>
              <w:pStyle w:val="MeasureTableTextLeftAligned"/>
            </w:pPr>
          </w:p>
        </w:tc>
      </w:tr>
      <w:tr w:rsidR="00802D3E" w14:paraId="20870E50" w14:textId="77777777" w:rsidTr="00802D3E">
        <w:trPr>
          <w:cantSplit/>
          <w:jc w:val="center"/>
        </w:trPr>
        <w:tc>
          <w:tcPr>
            <w:tcW w:w="1934" w:type="dxa"/>
            <w:gridSpan w:val="2"/>
            <w:tcBorders>
              <w:top w:val="nil"/>
              <w:left w:val="nil"/>
              <w:bottom w:val="nil"/>
              <w:right w:val="nil"/>
            </w:tcBorders>
            <w:hideMark/>
          </w:tcPr>
          <w:p w14:paraId="20870E4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E4D"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E4E"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E4F" w14:textId="77777777" w:rsidR="00802D3E" w:rsidRDefault="00802D3E">
            <w:pPr>
              <w:pStyle w:val="MeasureTableTextLeftAligned"/>
            </w:pPr>
          </w:p>
        </w:tc>
      </w:tr>
      <w:tr w:rsidR="00802D3E" w14:paraId="20870E53" w14:textId="77777777" w:rsidTr="00802D3E">
        <w:trPr>
          <w:cantSplit/>
          <w:jc w:val="center"/>
        </w:trPr>
        <w:tc>
          <w:tcPr>
            <w:tcW w:w="1934" w:type="dxa"/>
            <w:gridSpan w:val="2"/>
            <w:tcBorders>
              <w:top w:val="nil"/>
              <w:left w:val="nil"/>
              <w:bottom w:val="single" w:sz="2" w:space="0" w:color="auto"/>
              <w:right w:val="nil"/>
            </w:tcBorders>
            <w:hideMark/>
          </w:tcPr>
          <w:p w14:paraId="20870E5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E52" w14:textId="77777777" w:rsidR="00802D3E" w:rsidRDefault="00802D3E" w:rsidP="00BF50A6">
            <w:pPr>
              <w:widowControl w:val="0"/>
              <w:autoSpaceDE w:val="0"/>
              <w:autoSpaceDN w:val="0"/>
              <w:adjustRightInd w:val="0"/>
              <w:spacing w:after="0" w:line="240" w:lineRule="auto"/>
              <w:jc w:val="left"/>
            </w:pPr>
            <w:r>
              <w:rPr>
                <w:rFonts w:ascii="Arial" w:hAnsi="Arial" w:cs="Arial"/>
                <w:color w:val="000000"/>
                <w:sz w:val="16"/>
                <w:szCs w:val="16"/>
              </w:rPr>
              <w:t xml:space="preserve">Subdivision 38-I of the </w:t>
            </w:r>
            <w:r>
              <w:rPr>
                <w:rFonts w:ascii="Arial" w:hAnsi="Arial" w:cs="Arial"/>
                <w:i/>
                <w:iCs/>
                <w:color w:val="000000"/>
                <w:sz w:val="16"/>
                <w:szCs w:val="16"/>
              </w:rPr>
              <w:t>A New Tax System (Goods and Services Tax) Act 1999</w:t>
            </w:r>
          </w:p>
        </w:tc>
      </w:tr>
    </w:tbl>
    <w:p w14:paraId="20870E54" w14:textId="77777777" w:rsidR="00802D3E" w:rsidRDefault="00802D3E" w:rsidP="00A109BC">
      <w:pPr>
        <w:pStyle w:val="SingleParagraph"/>
      </w:pPr>
    </w:p>
    <w:p w14:paraId="20870E55" w14:textId="77777777" w:rsidR="00802D3E" w:rsidRDefault="00802D3E" w:rsidP="00802D3E">
      <w:r>
        <w:t>A supply of water</w:t>
      </w:r>
      <w:r>
        <w:fldChar w:fldCharType="begin"/>
      </w:r>
      <w:r>
        <w:instrText xml:space="preserve"> XE "Water, sewerage and drainage supplies" </w:instrText>
      </w:r>
      <w:r>
        <w:fldChar w:fldCharType="end"/>
      </w:r>
      <w:r>
        <w:t xml:space="preserve"> is GST-free unless it is supplied in, or transferred into, a container with a capacity of less than 100 litres. The draining of storm water, the emptying of a septic tank and sewerage and sewerage</w:t>
      </w:r>
      <w:r>
        <w:noBreakHyphen/>
        <w:t xml:space="preserve">like services are also GST free. Water sold as a beverage is included in tax expenditure H28. </w:t>
      </w:r>
    </w:p>
    <w:p w14:paraId="20870E56" w14:textId="77777777" w:rsidR="00802D3E" w:rsidRDefault="00802D3E" w:rsidP="00802D3E">
      <w:pPr>
        <w:pStyle w:val="TESHeading5"/>
        <w:ind w:left="0" w:firstLine="0"/>
      </w:pPr>
      <w:r>
        <w:t>H7</w:t>
      </w:r>
      <w:r>
        <w:tab/>
        <w:t>Diplomats, diplomatic missions and approved international organisations</w:t>
      </w:r>
    </w:p>
    <w:p w14:paraId="20870E57" w14:textId="77777777" w:rsidR="00802D3E" w:rsidRDefault="00802D3E" w:rsidP="00802D3E">
      <w:pPr>
        <w:pStyle w:val="MeasureTableHeading"/>
      </w:pPr>
      <w:r>
        <w:t xml:space="preserve">General public services </w:t>
      </w:r>
      <w:r w:rsidR="007626B2">
        <w:t>–</w:t>
      </w:r>
      <w:r>
        <w:t xml:space="preserve"> Foreign</w:t>
      </w:r>
      <w:r w:rsidR="007626B2">
        <w:t xml:space="preserve"> </w:t>
      </w:r>
      <w:r>
        <w:t>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E60" w14:textId="77777777" w:rsidTr="00802D3E">
        <w:trPr>
          <w:cantSplit/>
          <w:jc w:val="center"/>
        </w:trPr>
        <w:tc>
          <w:tcPr>
            <w:tcW w:w="967" w:type="dxa"/>
            <w:tcBorders>
              <w:top w:val="single" w:sz="2" w:space="0" w:color="auto"/>
              <w:left w:val="nil"/>
              <w:bottom w:val="single" w:sz="2" w:space="0" w:color="auto"/>
              <w:right w:val="nil"/>
            </w:tcBorders>
            <w:hideMark/>
          </w:tcPr>
          <w:p w14:paraId="20870E58"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E59"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E5A"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E5B"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E5C"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E5D"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E5E"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E5F" w14:textId="77777777" w:rsidR="00802D3E" w:rsidRDefault="00802D3E">
            <w:pPr>
              <w:pStyle w:val="MeasureTableTextRightAligned"/>
            </w:pPr>
            <w:r>
              <w:t>2019-20</w:t>
            </w:r>
          </w:p>
        </w:tc>
      </w:tr>
      <w:tr w:rsidR="00802D3E" w14:paraId="20870E69" w14:textId="77777777" w:rsidTr="00802D3E">
        <w:trPr>
          <w:cantSplit/>
          <w:jc w:val="center"/>
        </w:trPr>
        <w:tc>
          <w:tcPr>
            <w:tcW w:w="967" w:type="dxa"/>
            <w:tcBorders>
              <w:top w:val="single" w:sz="2" w:space="0" w:color="auto"/>
              <w:left w:val="nil"/>
              <w:bottom w:val="single" w:sz="2" w:space="0" w:color="auto"/>
              <w:right w:val="nil"/>
            </w:tcBorders>
            <w:hideMark/>
          </w:tcPr>
          <w:p w14:paraId="20870E61" w14:textId="77777777" w:rsidR="00802D3E" w:rsidRDefault="00802D3E">
            <w:pPr>
              <w:pStyle w:val="MeasureTableTextRightAligned"/>
            </w:pPr>
            <w:r>
              <w:t>7</w:t>
            </w:r>
          </w:p>
        </w:tc>
        <w:tc>
          <w:tcPr>
            <w:tcW w:w="967" w:type="dxa"/>
            <w:tcBorders>
              <w:top w:val="single" w:sz="2" w:space="0" w:color="auto"/>
              <w:left w:val="nil"/>
              <w:bottom w:val="single" w:sz="2" w:space="0" w:color="auto"/>
              <w:right w:val="nil"/>
            </w:tcBorders>
            <w:hideMark/>
          </w:tcPr>
          <w:p w14:paraId="20870E62" w14:textId="77777777" w:rsidR="00802D3E" w:rsidRDefault="00802D3E">
            <w:pPr>
              <w:pStyle w:val="MeasureTableTextRightAligned"/>
            </w:pPr>
            <w:r>
              <w:t>7</w:t>
            </w:r>
          </w:p>
        </w:tc>
        <w:tc>
          <w:tcPr>
            <w:tcW w:w="967" w:type="dxa"/>
            <w:tcBorders>
              <w:top w:val="single" w:sz="2" w:space="0" w:color="auto"/>
              <w:left w:val="nil"/>
              <w:bottom w:val="single" w:sz="2" w:space="0" w:color="auto"/>
              <w:right w:val="nil"/>
            </w:tcBorders>
            <w:vAlign w:val="bottom"/>
            <w:hideMark/>
          </w:tcPr>
          <w:p w14:paraId="20870E63" w14:textId="77777777" w:rsidR="00802D3E" w:rsidRDefault="00802D3E">
            <w:pPr>
              <w:pStyle w:val="MeasureTableTextRightAligned"/>
            </w:pPr>
            <w:r>
              <w:t>8</w:t>
            </w:r>
          </w:p>
        </w:tc>
        <w:tc>
          <w:tcPr>
            <w:tcW w:w="967" w:type="dxa"/>
            <w:tcBorders>
              <w:top w:val="single" w:sz="2" w:space="0" w:color="auto"/>
              <w:left w:val="nil"/>
              <w:bottom w:val="single" w:sz="2" w:space="0" w:color="auto"/>
              <w:right w:val="nil"/>
            </w:tcBorders>
            <w:vAlign w:val="bottom"/>
            <w:hideMark/>
          </w:tcPr>
          <w:p w14:paraId="20870E64" w14:textId="77777777" w:rsidR="00802D3E" w:rsidRDefault="00802D3E">
            <w:pPr>
              <w:pStyle w:val="MeasureTableTextRightAligned"/>
            </w:pPr>
            <w:r>
              <w:t>8</w:t>
            </w:r>
          </w:p>
        </w:tc>
        <w:tc>
          <w:tcPr>
            <w:tcW w:w="967" w:type="dxa"/>
            <w:tcBorders>
              <w:top w:val="single" w:sz="2" w:space="0" w:color="auto"/>
              <w:left w:val="nil"/>
              <w:bottom w:val="single" w:sz="2" w:space="0" w:color="auto"/>
              <w:right w:val="nil"/>
            </w:tcBorders>
            <w:vAlign w:val="bottom"/>
            <w:hideMark/>
          </w:tcPr>
          <w:p w14:paraId="20870E65" w14:textId="77777777" w:rsidR="00802D3E" w:rsidRDefault="00802D3E">
            <w:pPr>
              <w:pStyle w:val="MeasureTableTextRightAligned"/>
            </w:pPr>
            <w:r>
              <w:t>9</w:t>
            </w:r>
          </w:p>
        </w:tc>
        <w:tc>
          <w:tcPr>
            <w:tcW w:w="967" w:type="dxa"/>
            <w:gridSpan w:val="2"/>
            <w:tcBorders>
              <w:top w:val="single" w:sz="2" w:space="0" w:color="auto"/>
              <w:left w:val="nil"/>
              <w:bottom w:val="single" w:sz="2" w:space="0" w:color="auto"/>
              <w:right w:val="nil"/>
            </w:tcBorders>
            <w:vAlign w:val="bottom"/>
            <w:hideMark/>
          </w:tcPr>
          <w:p w14:paraId="20870E66" w14:textId="77777777" w:rsidR="00802D3E" w:rsidRDefault="00802D3E">
            <w:pPr>
              <w:pStyle w:val="MeasureTableTextRightAligned"/>
            </w:pPr>
            <w:r>
              <w:t>9</w:t>
            </w:r>
          </w:p>
        </w:tc>
        <w:tc>
          <w:tcPr>
            <w:tcW w:w="967" w:type="dxa"/>
            <w:gridSpan w:val="2"/>
            <w:tcBorders>
              <w:top w:val="single" w:sz="2" w:space="0" w:color="auto"/>
              <w:left w:val="nil"/>
              <w:bottom w:val="single" w:sz="2" w:space="0" w:color="auto"/>
              <w:right w:val="nil"/>
            </w:tcBorders>
            <w:vAlign w:val="bottom"/>
            <w:hideMark/>
          </w:tcPr>
          <w:p w14:paraId="20870E67" w14:textId="77777777" w:rsidR="00802D3E" w:rsidRDefault="00802D3E">
            <w:pPr>
              <w:pStyle w:val="MeasureTableTextRightAligned"/>
            </w:pPr>
            <w:r>
              <w:t>9</w:t>
            </w:r>
          </w:p>
        </w:tc>
        <w:tc>
          <w:tcPr>
            <w:tcW w:w="968" w:type="dxa"/>
            <w:tcBorders>
              <w:top w:val="single" w:sz="2" w:space="0" w:color="auto"/>
              <w:left w:val="nil"/>
              <w:bottom w:val="single" w:sz="2" w:space="0" w:color="auto"/>
              <w:right w:val="nil"/>
            </w:tcBorders>
            <w:vAlign w:val="bottom"/>
            <w:hideMark/>
          </w:tcPr>
          <w:p w14:paraId="20870E68" w14:textId="77777777" w:rsidR="00802D3E" w:rsidRDefault="00802D3E">
            <w:pPr>
              <w:pStyle w:val="MeasureTableTextRightAligned"/>
            </w:pPr>
            <w:r>
              <w:t>10</w:t>
            </w:r>
          </w:p>
        </w:tc>
      </w:tr>
      <w:tr w:rsidR="00802D3E" w14:paraId="20870E6E" w14:textId="77777777" w:rsidTr="00802D3E">
        <w:trPr>
          <w:cantSplit/>
          <w:jc w:val="center"/>
        </w:trPr>
        <w:tc>
          <w:tcPr>
            <w:tcW w:w="1934" w:type="dxa"/>
            <w:gridSpan w:val="2"/>
            <w:tcBorders>
              <w:top w:val="single" w:sz="2" w:space="0" w:color="auto"/>
              <w:left w:val="nil"/>
              <w:bottom w:val="nil"/>
              <w:right w:val="nil"/>
            </w:tcBorders>
            <w:hideMark/>
          </w:tcPr>
          <w:p w14:paraId="20870E6A"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E6B"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E6C"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E6D" w14:textId="77777777" w:rsidR="00802D3E" w:rsidRDefault="00802D3E">
            <w:pPr>
              <w:pStyle w:val="MeasureTableTextLeftAligned"/>
            </w:pPr>
            <w:r>
              <w:t>H7</w:t>
            </w:r>
          </w:p>
        </w:tc>
      </w:tr>
      <w:tr w:rsidR="00802D3E" w14:paraId="20870E73" w14:textId="77777777" w:rsidTr="00802D3E">
        <w:trPr>
          <w:cantSplit/>
          <w:jc w:val="center"/>
        </w:trPr>
        <w:tc>
          <w:tcPr>
            <w:tcW w:w="1934" w:type="dxa"/>
            <w:gridSpan w:val="2"/>
            <w:tcBorders>
              <w:top w:val="nil"/>
              <w:left w:val="nil"/>
              <w:bottom w:val="nil"/>
              <w:right w:val="nil"/>
            </w:tcBorders>
            <w:hideMark/>
          </w:tcPr>
          <w:p w14:paraId="20870E6F"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E70"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E71" w14:textId="77777777" w:rsidR="00802D3E" w:rsidRDefault="00802D3E">
            <w:pPr>
              <w:pStyle w:val="MeasureTableTextItalic"/>
            </w:pPr>
          </w:p>
        </w:tc>
        <w:tc>
          <w:tcPr>
            <w:tcW w:w="1124" w:type="dxa"/>
            <w:gridSpan w:val="2"/>
            <w:tcBorders>
              <w:top w:val="nil"/>
              <w:left w:val="nil"/>
              <w:bottom w:val="nil"/>
              <w:right w:val="nil"/>
            </w:tcBorders>
          </w:tcPr>
          <w:p w14:paraId="20870E72" w14:textId="77777777" w:rsidR="00802D3E" w:rsidRDefault="00802D3E">
            <w:pPr>
              <w:pStyle w:val="MeasureTableTextLeftAligned"/>
            </w:pPr>
          </w:p>
        </w:tc>
      </w:tr>
      <w:tr w:rsidR="00802D3E" w14:paraId="20870E78" w14:textId="77777777" w:rsidTr="00802D3E">
        <w:trPr>
          <w:cantSplit/>
          <w:jc w:val="center"/>
        </w:trPr>
        <w:tc>
          <w:tcPr>
            <w:tcW w:w="1934" w:type="dxa"/>
            <w:gridSpan w:val="2"/>
            <w:tcBorders>
              <w:top w:val="nil"/>
              <w:left w:val="nil"/>
              <w:bottom w:val="nil"/>
              <w:right w:val="nil"/>
            </w:tcBorders>
            <w:hideMark/>
          </w:tcPr>
          <w:p w14:paraId="20870E74"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E75"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E76"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E77" w14:textId="77777777" w:rsidR="00802D3E" w:rsidRDefault="00802D3E">
            <w:pPr>
              <w:pStyle w:val="MeasureTableTextLeftAligned"/>
            </w:pPr>
          </w:p>
        </w:tc>
      </w:tr>
      <w:tr w:rsidR="00802D3E" w14:paraId="20870E7D" w14:textId="77777777" w:rsidTr="00802D3E">
        <w:trPr>
          <w:cantSplit/>
          <w:jc w:val="center"/>
        </w:trPr>
        <w:tc>
          <w:tcPr>
            <w:tcW w:w="1934" w:type="dxa"/>
            <w:gridSpan w:val="2"/>
            <w:tcBorders>
              <w:top w:val="nil"/>
              <w:left w:val="nil"/>
              <w:bottom w:val="single" w:sz="2" w:space="0" w:color="auto"/>
              <w:right w:val="nil"/>
            </w:tcBorders>
            <w:hideMark/>
          </w:tcPr>
          <w:p w14:paraId="20870E79"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E7A" w14:textId="77777777" w:rsidR="00802D3E" w:rsidRDefault="00802D3E" w:rsidP="00BF50A6">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Section 10B of the</w:t>
            </w:r>
            <w:r>
              <w:rPr>
                <w:rFonts w:ascii="Arial" w:hAnsi="Arial" w:cs="Arial"/>
                <w:i/>
                <w:iCs/>
                <w:color w:val="000000"/>
                <w:sz w:val="16"/>
                <w:szCs w:val="16"/>
              </w:rPr>
              <w:t xml:space="preserve"> Diplomatic Privileges and Immunities Act 1967</w:t>
            </w:r>
          </w:p>
          <w:p w14:paraId="20870E7B" w14:textId="77777777" w:rsidR="00802D3E" w:rsidRDefault="00802D3E" w:rsidP="00BF50A6">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Section 10A of the </w:t>
            </w:r>
            <w:r>
              <w:rPr>
                <w:rFonts w:ascii="Arial" w:hAnsi="Arial" w:cs="Arial"/>
                <w:i/>
                <w:iCs/>
                <w:color w:val="000000"/>
                <w:sz w:val="16"/>
                <w:szCs w:val="16"/>
              </w:rPr>
              <w:t>Consular Privileges and Immunities Act 1972</w:t>
            </w:r>
          </w:p>
          <w:p w14:paraId="20870E7C" w14:textId="3891F4F9" w:rsidR="00802D3E" w:rsidRDefault="00802D3E" w:rsidP="00C11FD2">
            <w:pPr>
              <w:widowControl w:val="0"/>
              <w:autoSpaceDE w:val="0"/>
              <w:autoSpaceDN w:val="0"/>
              <w:adjustRightInd w:val="0"/>
              <w:spacing w:after="0" w:line="240" w:lineRule="auto"/>
              <w:jc w:val="left"/>
            </w:pPr>
            <w:r>
              <w:rPr>
                <w:rFonts w:ascii="Arial" w:hAnsi="Arial" w:cs="Arial"/>
                <w:color w:val="000000"/>
                <w:sz w:val="16"/>
                <w:szCs w:val="16"/>
              </w:rPr>
              <w:t xml:space="preserve">Section 11C of the </w:t>
            </w:r>
            <w:r>
              <w:rPr>
                <w:rFonts w:ascii="Arial" w:hAnsi="Arial" w:cs="Arial"/>
                <w:i/>
                <w:iCs/>
                <w:color w:val="000000"/>
                <w:sz w:val="16"/>
                <w:szCs w:val="16"/>
              </w:rPr>
              <w:t>International Organisations (Privileges and Immunities) Act</w:t>
            </w:r>
            <w:r w:rsidR="00C11FD2">
              <w:rPr>
                <w:rFonts w:ascii="Arial" w:hAnsi="Arial" w:cs="Arial"/>
                <w:i/>
                <w:iCs/>
                <w:color w:val="000000"/>
                <w:sz w:val="16"/>
                <w:szCs w:val="16"/>
              </w:rPr>
              <w:t> </w:t>
            </w:r>
            <w:r>
              <w:rPr>
                <w:rFonts w:ascii="Arial" w:hAnsi="Arial" w:cs="Arial"/>
                <w:i/>
                <w:iCs/>
                <w:color w:val="000000"/>
                <w:sz w:val="16"/>
                <w:szCs w:val="16"/>
              </w:rPr>
              <w:t>1963</w:t>
            </w:r>
          </w:p>
        </w:tc>
      </w:tr>
    </w:tbl>
    <w:p w14:paraId="20870E7E" w14:textId="77777777" w:rsidR="00802D3E" w:rsidRDefault="00802D3E" w:rsidP="00A109BC">
      <w:pPr>
        <w:pStyle w:val="SingleParagraph"/>
      </w:pPr>
    </w:p>
    <w:p w14:paraId="20870E7F" w14:textId="4EF61963" w:rsidR="00802D3E" w:rsidRDefault="00802D3E" w:rsidP="00802D3E">
      <w:r>
        <w:t>Diplomatic missions</w:t>
      </w:r>
      <w:r>
        <w:fldChar w:fldCharType="begin"/>
      </w:r>
      <w:r>
        <w:instrText xml:space="preserve"> XE "Diplomatic missions" </w:instrText>
      </w:r>
      <w:r>
        <w:fldChar w:fldCharType="end"/>
      </w:r>
      <w:r>
        <w:t>, consulates and certain international organisations</w:t>
      </w:r>
      <w:r>
        <w:fldChar w:fldCharType="begin"/>
      </w:r>
      <w:r>
        <w:instrText xml:space="preserve"> XE "International organisations" </w:instrText>
      </w:r>
      <w:r>
        <w:fldChar w:fldCharType="end"/>
      </w:r>
      <w:r>
        <w:t xml:space="preserve"> may be reimbursed the GST included in their purchases of certain goods and services, where the purchase is for the official use of the organisation. The GST included in purchases by diplomatic and consular staff, or certain staff of some international organisations, for the private use of the person may also be refundable. The refund must be within the scope of the </w:t>
      </w:r>
      <w:r>
        <w:rPr>
          <w:i/>
        </w:rPr>
        <w:t xml:space="preserve">Diplomatic Privileges and Immunities Act 1967, </w:t>
      </w:r>
      <w:r>
        <w:t xml:space="preserve">the </w:t>
      </w:r>
      <w:r>
        <w:rPr>
          <w:i/>
        </w:rPr>
        <w:t>Consular Privileges and Immunities Act 1972</w:t>
      </w:r>
      <w:r>
        <w:t xml:space="preserve">, or the </w:t>
      </w:r>
      <w:r>
        <w:rPr>
          <w:i/>
        </w:rPr>
        <w:t>International Organisations (Privileges and Immunities) Act</w:t>
      </w:r>
      <w:r w:rsidR="00C11FD2">
        <w:rPr>
          <w:i/>
        </w:rPr>
        <w:t> </w:t>
      </w:r>
      <w:r>
        <w:rPr>
          <w:i/>
        </w:rPr>
        <w:t>1963</w:t>
      </w:r>
      <w:r>
        <w:t xml:space="preserve">. </w:t>
      </w:r>
    </w:p>
    <w:p w14:paraId="20870E80" w14:textId="77777777" w:rsidR="00802D3E" w:rsidRDefault="00802D3E" w:rsidP="00802D3E">
      <w:pPr>
        <w:pStyle w:val="TESHeading5"/>
        <w:ind w:left="0" w:firstLine="0"/>
      </w:pPr>
      <w:r>
        <w:lastRenderedPageBreak/>
        <w:t>H8</w:t>
      </w:r>
      <w:r>
        <w:tab/>
        <w:t>Global roaming by visitors to Australia</w:t>
      </w:r>
    </w:p>
    <w:p w14:paraId="20870E81" w14:textId="77777777" w:rsidR="00802D3E" w:rsidRDefault="00802D3E" w:rsidP="00802D3E">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E8A" w14:textId="77777777" w:rsidTr="00802D3E">
        <w:trPr>
          <w:cantSplit/>
          <w:jc w:val="center"/>
        </w:trPr>
        <w:tc>
          <w:tcPr>
            <w:tcW w:w="967" w:type="dxa"/>
            <w:tcBorders>
              <w:top w:val="single" w:sz="2" w:space="0" w:color="auto"/>
              <w:left w:val="nil"/>
              <w:bottom w:val="single" w:sz="2" w:space="0" w:color="auto"/>
              <w:right w:val="nil"/>
            </w:tcBorders>
            <w:hideMark/>
          </w:tcPr>
          <w:p w14:paraId="20870E82"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E83"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E84"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E85"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E86"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E87"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E88"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E89" w14:textId="77777777" w:rsidR="00802D3E" w:rsidRDefault="00802D3E">
            <w:pPr>
              <w:pStyle w:val="MeasureTableTextRightAligned"/>
            </w:pPr>
            <w:r>
              <w:t>2019-20</w:t>
            </w:r>
          </w:p>
        </w:tc>
      </w:tr>
      <w:tr w:rsidR="00802D3E" w14:paraId="20870E93" w14:textId="77777777" w:rsidTr="00802D3E">
        <w:trPr>
          <w:cantSplit/>
          <w:jc w:val="center"/>
        </w:trPr>
        <w:tc>
          <w:tcPr>
            <w:tcW w:w="967" w:type="dxa"/>
            <w:tcBorders>
              <w:top w:val="single" w:sz="2" w:space="0" w:color="auto"/>
              <w:left w:val="nil"/>
              <w:bottom w:val="single" w:sz="2" w:space="0" w:color="auto"/>
              <w:right w:val="nil"/>
            </w:tcBorders>
            <w:hideMark/>
          </w:tcPr>
          <w:p w14:paraId="20870E8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E8C"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E8D"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E8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E8F"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E90"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E91"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E92" w14:textId="77777777" w:rsidR="00802D3E" w:rsidRDefault="00802D3E">
            <w:pPr>
              <w:pStyle w:val="MeasureTableTextRightAligned"/>
            </w:pPr>
            <w:r>
              <w:t>*</w:t>
            </w:r>
          </w:p>
        </w:tc>
      </w:tr>
      <w:tr w:rsidR="00802D3E" w14:paraId="20870E98" w14:textId="77777777" w:rsidTr="00802D3E">
        <w:trPr>
          <w:cantSplit/>
          <w:jc w:val="center"/>
        </w:trPr>
        <w:tc>
          <w:tcPr>
            <w:tcW w:w="1934" w:type="dxa"/>
            <w:gridSpan w:val="2"/>
            <w:tcBorders>
              <w:top w:val="single" w:sz="2" w:space="0" w:color="auto"/>
              <w:left w:val="nil"/>
              <w:bottom w:val="nil"/>
              <w:right w:val="nil"/>
            </w:tcBorders>
            <w:hideMark/>
          </w:tcPr>
          <w:p w14:paraId="20870E94"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E95"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E96"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E97" w14:textId="77777777" w:rsidR="00802D3E" w:rsidRDefault="00802D3E">
            <w:pPr>
              <w:pStyle w:val="MeasureTableTextLeftAligned"/>
            </w:pPr>
            <w:r>
              <w:t>H8</w:t>
            </w:r>
          </w:p>
        </w:tc>
      </w:tr>
      <w:tr w:rsidR="00802D3E" w14:paraId="20870E9D" w14:textId="77777777" w:rsidTr="00802D3E">
        <w:trPr>
          <w:cantSplit/>
          <w:jc w:val="center"/>
        </w:trPr>
        <w:tc>
          <w:tcPr>
            <w:tcW w:w="1934" w:type="dxa"/>
            <w:gridSpan w:val="2"/>
            <w:tcBorders>
              <w:top w:val="nil"/>
              <w:left w:val="nil"/>
              <w:bottom w:val="nil"/>
              <w:right w:val="nil"/>
            </w:tcBorders>
            <w:hideMark/>
          </w:tcPr>
          <w:p w14:paraId="20870E99"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E9A"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E9B"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E9C" w14:textId="77777777" w:rsidR="00802D3E" w:rsidRDefault="00802D3E">
            <w:pPr>
              <w:pStyle w:val="MeasureTableTextLeftAligned"/>
            </w:pPr>
            <w:r>
              <w:t>1+</w:t>
            </w:r>
          </w:p>
        </w:tc>
      </w:tr>
      <w:tr w:rsidR="00802D3E" w14:paraId="20870EA2" w14:textId="77777777" w:rsidTr="00802D3E">
        <w:trPr>
          <w:cantSplit/>
          <w:jc w:val="center"/>
        </w:trPr>
        <w:tc>
          <w:tcPr>
            <w:tcW w:w="1934" w:type="dxa"/>
            <w:gridSpan w:val="2"/>
            <w:tcBorders>
              <w:top w:val="nil"/>
              <w:left w:val="nil"/>
              <w:bottom w:val="nil"/>
              <w:right w:val="nil"/>
            </w:tcBorders>
            <w:hideMark/>
          </w:tcPr>
          <w:p w14:paraId="20870E9E"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E9F"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EA0"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EA1" w14:textId="77777777" w:rsidR="00802D3E" w:rsidRDefault="00802D3E">
            <w:pPr>
              <w:pStyle w:val="MeasureTableTextLeftAligned"/>
            </w:pPr>
          </w:p>
        </w:tc>
      </w:tr>
      <w:tr w:rsidR="00802D3E" w14:paraId="20870EA5" w14:textId="77777777" w:rsidTr="00802D3E">
        <w:trPr>
          <w:cantSplit/>
          <w:jc w:val="center"/>
        </w:trPr>
        <w:tc>
          <w:tcPr>
            <w:tcW w:w="1934" w:type="dxa"/>
            <w:gridSpan w:val="2"/>
            <w:tcBorders>
              <w:top w:val="nil"/>
              <w:left w:val="nil"/>
              <w:bottom w:val="single" w:sz="2" w:space="0" w:color="auto"/>
              <w:right w:val="nil"/>
            </w:tcBorders>
            <w:hideMark/>
          </w:tcPr>
          <w:p w14:paraId="20870EA3"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EA4" w14:textId="77777777" w:rsidR="00802D3E" w:rsidRDefault="00802D3E" w:rsidP="00BF50A6">
            <w:pPr>
              <w:widowControl w:val="0"/>
              <w:autoSpaceDE w:val="0"/>
              <w:autoSpaceDN w:val="0"/>
              <w:adjustRightInd w:val="0"/>
              <w:spacing w:after="0" w:line="240" w:lineRule="auto"/>
              <w:jc w:val="left"/>
            </w:pPr>
            <w:r>
              <w:rPr>
                <w:rFonts w:ascii="Arial" w:hAnsi="Arial" w:cs="Arial"/>
                <w:color w:val="000000"/>
                <w:sz w:val="16"/>
                <w:szCs w:val="16"/>
              </w:rPr>
              <w:t xml:space="preserve">Section 38-570 of the </w:t>
            </w:r>
            <w:r>
              <w:rPr>
                <w:rFonts w:ascii="Arial" w:hAnsi="Arial" w:cs="Arial"/>
                <w:i/>
                <w:iCs/>
                <w:color w:val="000000"/>
                <w:sz w:val="16"/>
                <w:szCs w:val="16"/>
              </w:rPr>
              <w:t>A New Tax System (Goods and Services Tax) Act 1999</w:t>
            </w:r>
          </w:p>
        </w:tc>
      </w:tr>
    </w:tbl>
    <w:p w14:paraId="20870EA6" w14:textId="77777777" w:rsidR="00802D3E" w:rsidRPr="00E5312D" w:rsidRDefault="00802D3E" w:rsidP="00A109BC">
      <w:pPr>
        <w:pStyle w:val="SingleParagraph"/>
        <w:rPr>
          <w:sz w:val="18"/>
        </w:rPr>
      </w:pPr>
    </w:p>
    <w:p w14:paraId="20870EA7" w14:textId="77777777" w:rsidR="00802D3E" w:rsidRDefault="00802D3E" w:rsidP="00802D3E">
      <w:r>
        <w:rPr>
          <w:rFonts w:cs="Calibri"/>
        </w:rPr>
        <w:t>Telecommunication supplies for global roaming services</w:t>
      </w:r>
      <w:r>
        <w:rPr>
          <w:rFonts w:cs="Calibri"/>
        </w:rPr>
        <w:fldChar w:fldCharType="begin"/>
      </w:r>
      <w:r>
        <w:instrText xml:space="preserve"> XE "</w:instrText>
      </w:r>
      <w:r>
        <w:rPr>
          <w:rFonts w:cs="Calibri"/>
        </w:rPr>
        <w:instrText>G</w:instrText>
      </w:r>
      <w:r w:rsidR="009169F6">
        <w:rPr>
          <w:rFonts w:cs="Calibri"/>
        </w:rPr>
        <w:instrText>oods and Services</w:instrText>
      </w:r>
      <w:r>
        <w:rPr>
          <w:rFonts w:cs="Calibri"/>
        </w:rPr>
        <w:instrText xml:space="preserve"> Tax: </w:instrText>
      </w:r>
      <w:r>
        <w:instrText xml:space="preserve">Telecommunications global roaming" </w:instrText>
      </w:r>
      <w:r>
        <w:rPr>
          <w:rFonts w:cs="Calibri"/>
        </w:rPr>
        <w:fldChar w:fldCharType="end"/>
      </w:r>
      <w:r>
        <w:rPr>
          <w:rFonts w:cs="Calibri"/>
        </w:rPr>
        <w:t xml:space="preserve"> provided to visitors to Australia are GST</w:t>
      </w:r>
      <w:r>
        <w:rPr>
          <w:rFonts w:cs="Calibri"/>
        </w:rPr>
        <w:noBreakHyphen/>
        <w:t>free, consistent with Australia’s treaty obligations under the International Telecommunication Regulations (the Melbourne Agreement).</w:t>
      </w:r>
      <w:r>
        <w:t xml:space="preserve"> </w:t>
      </w:r>
    </w:p>
    <w:p w14:paraId="20870EA8" w14:textId="77777777" w:rsidR="00802D3E" w:rsidRDefault="008D77BE" w:rsidP="00802D3E">
      <w:pPr>
        <w:pStyle w:val="TESHeading5"/>
        <w:ind w:left="0" w:firstLine="0"/>
      </w:pPr>
      <w:r>
        <w:t>H9</w:t>
      </w:r>
      <w:r>
        <w:tab/>
        <w:t>Tourist refund scheme</w:t>
      </w:r>
    </w:p>
    <w:p w14:paraId="20870EA9" w14:textId="77777777" w:rsidR="00802D3E" w:rsidRDefault="00802D3E" w:rsidP="00802D3E">
      <w:pPr>
        <w:pStyle w:val="MeasureTableHeading"/>
      </w:pPr>
      <w:r>
        <w:t xml:space="preserve">Other economic affairs </w:t>
      </w:r>
      <w:r w:rsidR="007626B2">
        <w:t>–</w:t>
      </w:r>
      <w:r>
        <w:t xml:space="preserve"> Tourism</w:t>
      </w:r>
      <w:r w:rsidR="007626B2">
        <w:t xml:space="preserve"> </w:t>
      </w:r>
      <w:r>
        <w:t>and area promotion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EB2" w14:textId="77777777" w:rsidTr="00802D3E">
        <w:trPr>
          <w:cantSplit/>
          <w:jc w:val="center"/>
        </w:trPr>
        <w:tc>
          <w:tcPr>
            <w:tcW w:w="967" w:type="dxa"/>
            <w:tcBorders>
              <w:top w:val="single" w:sz="2" w:space="0" w:color="auto"/>
              <w:left w:val="nil"/>
              <w:bottom w:val="single" w:sz="2" w:space="0" w:color="auto"/>
              <w:right w:val="nil"/>
            </w:tcBorders>
            <w:hideMark/>
          </w:tcPr>
          <w:p w14:paraId="20870EAA"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EAB"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EAC"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EAD"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EAE"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EAF"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EB0"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EB1" w14:textId="77777777" w:rsidR="00802D3E" w:rsidRDefault="00802D3E">
            <w:pPr>
              <w:pStyle w:val="MeasureTableTextRightAligned"/>
            </w:pPr>
            <w:r>
              <w:t>2019-20</w:t>
            </w:r>
          </w:p>
        </w:tc>
      </w:tr>
      <w:tr w:rsidR="00802D3E" w14:paraId="20870EBB" w14:textId="77777777" w:rsidTr="00802D3E">
        <w:trPr>
          <w:cantSplit/>
          <w:jc w:val="center"/>
        </w:trPr>
        <w:tc>
          <w:tcPr>
            <w:tcW w:w="967" w:type="dxa"/>
            <w:tcBorders>
              <w:top w:val="single" w:sz="2" w:space="0" w:color="auto"/>
              <w:left w:val="nil"/>
              <w:bottom w:val="single" w:sz="2" w:space="0" w:color="auto"/>
              <w:right w:val="nil"/>
            </w:tcBorders>
            <w:hideMark/>
          </w:tcPr>
          <w:p w14:paraId="20870EB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EB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EB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EB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EB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EB8"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EB9"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EBA" w14:textId="77777777" w:rsidR="00802D3E" w:rsidRDefault="00802D3E">
            <w:pPr>
              <w:pStyle w:val="MeasureTableTextRightAligned"/>
            </w:pPr>
            <w:r>
              <w:t>*</w:t>
            </w:r>
          </w:p>
        </w:tc>
      </w:tr>
      <w:tr w:rsidR="00802D3E" w14:paraId="20870EC0" w14:textId="77777777" w:rsidTr="00802D3E">
        <w:trPr>
          <w:cantSplit/>
          <w:jc w:val="center"/>
        </w:trPr>
        <w:tc>
          <w:tcPr>
            <w:tcW w:w="1934" w:type="dxa"/>
            <w:gridSpan w:val="2"/>
            <w:tcBorders>
              <w:top w:val="single" w:sz="2" w:space="0" w:color="auto"/>
              <w:left w:val="nil"/>
              <w:bottom w:val="nil"/>
              <w:right w:val="nil"/>
            </w:tcBorders>
            <w:hideMark/>
          </w:tcPr>
          <w:p w14:paraId="20870EBC"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EBD"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EBE"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EBF" w14:textId="77777777" w:rsidR="00802D3E" w:rsidRDefault="00802D3E">
            <w:pPr>
              <w:pStyle w:val="MeasureTableTextLeftAligned"/>
            </w:pPr>
            <w:r>
              <w:t>H9</w:t>
            </w:r>
          </w:p>
        </w:tc>
      </w:tr>
      <w:tr w:rsidR="00802D3E" w14:paraId="20870EC5" w14:textId="77777777" w:rsidTr="00802D3E">
        <w:trPr>
          <w:cantSplit/>
          <w:jc w:val="center"/>
        </w:trPr>
        <w:tc>
          <w:tcPr>
            <w:tcW w:w="1934" w:type="dxa"/>
            <w:gridSpan w:val="2"/>
            <w:tcBorders>
              <w:top w:val="nil"/>
              <w:left w:val="nil"/>
              <w:bottom w:val="nil"/>
              <w:right w:val="nil"/>
            </w:tcBorders>
            <w:hideMark/>
          </w:tcPr>
          <w:p w14:paraId="20870EC1"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EC2"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EC3"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EC4" w14:textId="77777777" w:rsidR="00802D3E" w:rsidRDefault="00802D3E">
            <w:pPr>
              <w:pStyle w:val="MeasureTableTextLeftAligned"/>
            </w:pPr>
            <w:r>
              <w:t>2+</w:t>
            </w:r>
          </w:p>
        </w:tc>
      </w:tr>
      <w:tr w:rsidR="00802D3E" w14:paraId="20870ECA" w14:textId="77777777" w:rsidTr="00802D3E">
        <w:trPr>
          <w:cantSplit/>
          <w:jc w:val="center"/>
        </w:trPr>
        <w:tc>
          <w:tcPr>
            <w:tcW w:w="1934" w:type="dxa"/>
            <w:gridSpan w:val="2"/>
            <w:tcBorders>
              <w:top w:val="nil"/>
              <w:left w:val="nil"/>
              <w:bottom w:val="nil"/>
              <w:right w:val="nil"/>
            </w:tcBorders>
            <w:hideMark/>
          </w:tcPr>
          <w:p w14:paraId="20870EC6"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EC7"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EC8"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EC9" w14:textId="77777777" w:rsidR="00802D3E" w:rsidRDefault="00802D3E">
            <w:pPr>
              <w:pStyle w:val="MeasureTableTextLeftAligned"/>
            </w:pPr>
          </w:p>
        </w:tc>
      </w:tr>
      <w:tr w:rsidR="00802D3E" w14:paraId="20870ECD" w14:textId="77777777" w:rsidTr="00802D3E">
        <w:trPr>
          <w:cantSplit/>
          <w:jc w:val="center"/>
        </w:trPr>
        <w:tc>
          <w:tcPr>
            <w:tcW w:w="1934" w:type="dxa"/>
            <w:gridSpan w:val="2"/>
            <w:tcBorders>
              <w:top w:val="nil"/>
              <w:left w:val="nil"/>
              <w:bottom w:val="single" w:sz="2" w:space="0" w:color="auto"/>
              <w:right w:val="nil"/>
            </w:tcBorders>
            <w:hideMark/>
          </w:tcPr>
          <w:p w14:paraId="20870ECB"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ECC" w14:textId="77777777" w:rsidR="00802D3E" w:rsidRDefault="00802D3E" w:rsidP="00BF50A6">
            <w:pPr>
              <w:widowControl w:val="0"/>
              <w:autoSpaceDE w:val="0"/>
              <w:autoSpaceDN w:val="0"/>
              <w:adjustRightInd w:val="0"/>
              <w:spacing w:after="0" w:line="240" w:lineRule="auto"/>
              <w:jc w:val="left"/>
            </w:pPr>
            <w:r>
              <w:rPr>
                <w:rFonts w:ascii="Arial" w:hAnsi="Arial" w:cs="Arial"/>
                <w:color w:val="000000"/>
                <w:sz w:val="16"/>
                <w:szCs w:val="16"/>
              </w:rPr>
              <w:t xml:space="preserve">Division 168 of the </w:t>
            </w:r>
            <w:r>
              <w:rPr>
                <w:rFonts w:ascii="Arial" w:hAnsi="Arial" w:cs="Arial"/>
                <w:i/>
                <w:iCs/>
                <w:color w:val="000000"/>
                <w:sz w:val="16"/>
                <w:szCs w:val="16"/>
              </w:rPr>
              <w:t>A New Tax System (Goods and Services Tax) Act 1999</w:t>
            </w:r>
          </w:p>
        </w:tc>
      </w:tr>
    </w:tbl>
    <w:p w14:paraId="20870ECE" w14:textId="77777777" w:rsidR="00802D3E" w:rsidRPr="00E5312D" w:rsidRDefault="00802D3E" w:rsidP="00A109BC">
      <w:pPr>
        <w:pStyle w:val="SingleParagraph"/>
        <w:rPr>
          <w:sz w:val="18"/>
        </w:rPr>
      </w:pPr>
    </w:p>
    <w:p w14:paraId="20870ECF" w14:textId="77777777" w:rsidR="00802D3E" w:rsidRDefault="00802D3E" w:rsidP="00802D3E">
      <w:r>
        <w:t xml:space="preserve">International travellers visiting Australia and Australians travelling overseas may be able to claim a refund of GST paid on certain goods bought in Australia if the total value of the goods is $300 or more, they are purchased within 60 days of departure and the goods are taken with the traveller when they depart Australia. </w:t>
      </w:r>
      <w:r>
        <w:fldChar w:fldCharType="begin"/>
      </w:r>
      <w:r>
        <w:instrText xml:space="preserve"> XE "Tourism businesses" </w:instrText>
      </w:r>
      <w:r>
        <w:fldChar w:fldCharType="end"/>
      </w:r>
    </w:p>
    <w:p w14:paraId="20870ED0" w14:textId="6377C55F" w:rsidR="00802D3E" w:rsidRDefault="00802D3E" w:rsidP="00802D3E">
      <w:r>
        <w:t>In addition, residents of Australia’s External Territories (such as Norfolk, Cocos</w:t>
      </w:r>
      <w:r w:rsidR="00E5312D">
        <w:t> </w:t>
      </w:r>
      <w:r>
        <w:t xml:space="preserve">(Keeling) and Christmas Islands) can claim refunds of GST under the tourist refund scheme. Claims can be made if Australian External Territory residents leaving Australia can show proof that the goods have been exported to their External Territory within the required period after the goods were acquired. </w:t>
      </w:r>
    </w:p>
    <w:p w14:paraId="20870ED1" w14:textId="77777777" w:rsidR="00802D3E" w:rsidRDefault="00802D3E" w:rsidP="00802D3E">
      <w:pPr>
        <w:pStyle w:val="TESHeading5"/>
        <w:ind w:left="0" w:firstLine="0"/>
      </w:pPr>
      <w:r>
        <w:t>H10</w:t>
      </w:r>
      <w:r>
        <w:tab/>
        <w:t>Boats for export</w:t>
      </w:r>
    </w:p>
    <w:p w14:paraId="20870ED2"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EDB" w14:textId="77777777" w:rsidTr="00802D3E">
        <w:trPr>
          <w:cantSplit/>
          <w:jc w:val="center"/>
        </w:trPr>
        <w:tc>
          <w:tcPr>
            <w:tcW w:w="967" w:type="dxa"/>
            <w:tcBorders>
              <w:top w:val="single" w:sz="2" w:space="0" w:color="auto"/>
              <w:left w:val="nil"/>
              <w:bottom w:val="single" w:sz="2" w:space="0" w:color="auto"/>
              <w:right w:val="nil"/>
            </w:tcBorders>
            <w:hideMark/>
          </w:tcPr>
          <w:p w14:paraId="20870ED3"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ED4"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ED5"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ED6"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ED7"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ED8"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ED9"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EDA" w14:textId="77777777" w:rsidR="00802D3E" w:rsidRDefault="00802D3E">
            <w:pPr>
              <w:pStyle w:val="MeasureTableTextRightAligned"/>
            </w:pPr>
            <w:r>
              <w:t>2019-20</w:t>
            </w:r>
          </w:p>
        </w:tc>
      </w:tr>
      <w:tr w:rsidR="00802D3E" w14:paraId="20870EE4" w14:textId="77777777" w:rsidTr="00802D3E">
        <w:trPr>
          <w:cantSplit/>
          <w:jc w:val="center"/>
        </w:trPr>
        <w:tc>
          <w:tcPr>
            <w:tcW w:w="967" w:type="dxa"/>
            <w:tcBorders>
              <w:top w:val="single" w:sz="2" w:space="0" w:color="auto"/>
              <w:left w:val="nil"/>
              <w:bottom w:val="single" w:sz="2" w:space="0" w:color="auto"/>
              <w:right w:val="nil"/>
            </w:tcBorders>
            <w:hideMark/>
          </w:tcPr>
          <w:p w14:paraId="20870EDC" w14:textId="77777777" w:rsidR="00802D3E" w:rsidRDefault="00802D3E">
            <w:pPr>
              <w:pStyle w:val="MeasureTableTextRightAligned"/>
            </w:pPr>
            <w:r>
              <w:t>9</w:t>
            </w:r>
          </w:p>
        </w:tc>
        <w:tc>
          <w:tcPr>
            <w:tcW w:w="967" w:type="dxa"/>
            <w:tcBorders>
              <w:top w:val="single" w:sz="2" w:space="0" w:color="auto"/>
              <w:left w:val="nil"/>
              <w:bottom w:val="single" w:sz="2" w:space="0" w:color="auto"/>
              <w:right w:val="nil"/>
            </w:tcBorders>
            <w:hideMark/>
          </w:tcPr>
          <w:p w14:paraId="20870EDD" w14:textId="77777777" w:rsidR="00802D3E" w:rsidRDefault="00802D3E">
            <w:pPr>
              <w:pStyle w:val="MeasureTableTextRightAligned"/>
            </w:pPr>
            <w:r>
              <w:t>8</w:t>
            </w:r>
          </w:p>
        </w:tc>
        <w:tc>
          <w:tcPr>
            <w:tcW w:w="967" w:type="dxa"/>
            <w:tcBorders>
              <w:top w:val="single" w:sz="2" w:space="0" w:color="auto"/>
              <w:left w:val="nil"/>
              <w:bottom w:val="single" w:sz="2" w:space="0" w:color="auto"/>
              <w:right w:val="nil"/>
            </w:tcBorders>
            <w:vAlign w:val="bottom"/>
            <w:hideMark/>
          </w:tcPr>
          <w:p w14:paraId="20870EDE" w14:textId="77777777" w:rsidR="00802D3E" w:rsidRDefault="00802D3E">
            <w:pPr>
              <w:pStyle w:val="MeasureTableTextRightAligned"/>
            </w:pPr>
            <w:r>
              <w:t>15</w:t>
            </w:r>
          </w:p>
        </w:tc>
        <w:tc>
          <w:tcPr>
            <w:tcW w:w="967" w:type="dxa"/>
            <w:tcBorders>
              <w:top w:val="single" w:sz="2" w:space="0" w:color="auto"/>
              <w:left w:val="nil"/>
              <w:bottom w:val="single" w:sz="2" w:space="0" w:color="auto"/>
              <w:right w:val="nil"/>
            </w:tcBorders>
            <w:vAlign w:val="bottom"/>
            <w:hideMark/>
          </w:tcPr>
          <w:p w14:paraId="20870EDF" w14:textId="77777777" w:rsidR="00802D3E" w:rsidRDefault="00802D3E">
            <w:pPr>
              <w:pStyle w:val="MeasureTableTextRightAligned"/>
            </w:pPr>
            <w:r>
              <w:t>11</w:t>
            </w:r>
          </w:p>
        </w:tc>
        <w:tc>
          <w:tcPr>
            <w:tcW w:w="967" w:type="dxa"/>
            <w:tcBorders>
              <w:top w:val="single" w:sz="2" w:space="0" w:color="auto"/>
              <w:left w:val="nil"/>
              <w:bottom w:val="single" w:sz="2" w:space="0" w:color="auto"/>
              <w:right w:val="nil"/>
            </w:tcBorders>
            <w:vAlign w:val="bottom"/>
            <w:hideMark/>
          </w:tcPr>
          <w:p w14:paraId="20870EE0" w14:textId="77777777" w:rsidR="00802D3E" w:rsidRDefault="00802D3E">
            <w:pPr>
              <w:pStyle w:val="MeasureTableTextRightAligned"/>
            </w:pPr>
            <w:r>
              <w:t>11</w:t>
            </w:r>
          </w:p>
        </w:tc>
        <w:tc>
          <w:tcPr>
            <w:tcW w:w="967" w:type="dxa"/>
            <w:gridSpan w:val="2"/>
            <w:tcBorders>
              <w:top w:val="single" w:sz="2" w:space="0" w:color="auto"/>
              <w:left w:val="nil"/>
              <w:bottom w:val="single" w:sz="2" w:space="0" w:color="auto"/>
              <w:right w:val="nil"/>
            </w:tcBorders>
            <w:vAlign w:val="bottom"/>
            <w:hideMark/>
          </w:tcPr>
          <w:p w14:paraId="20870EE1" w14:textId="77777777" w:rsidR="00802D3E" w:rsidRDefault="00802D3E">
            <w:pPr>
              <w:pStyle w:val="MeasureTableTextRightAligned"/>
            </w:pPr>
            <w:r>
              <w:t>12</w:t>
            </w:r>
          </w:p>
        </w:tc>
        <w:tc>
          <w:tcPr>
            <w:tcW w:w="967" w:type="dxa"/>
            <w:gridSpan w:val="2"/>
            <w:tcBorders>
              <w:top w:val="single" w:sz="2" w:space="0" w:color="auto"/>
              <w:left w:val="nil"/>
              <w:bottom w:val="single" w:sz="2" w:space="0" w:color="auto"/>
              <w:right w:val="nil"/>
            </w:tcBorders>
            <w:vAlign w:val="bottom"/>
            <w:hideMark/>
          </w:tcPr>
          <w:p w14:paraId="20870EE2" w14:textId="77777777" w:rsidR="00802D3E" w:rsidRDefault="00802D3E">
            <w:pPr>
              <w:pStyle w:val="MeasureTableTextRightAligned"/>
            </w:pPr>
            <w:r>
              <w:t>11</w:t>
            </w:r>
          </w:p>
        </w:tc>
        <w:tc>
          <w:tcPr>
            <w:tcW w:w="968" w:type="dxa"/>
            <w:tcBorders>
              <w:top w:val="single" w:sz="2" w:space="0" w:color="auto"/>
              <w:left w:val="nil"/>
              <w:bottom w:val="single" w:sz="2" w:space="0" w:color="auto"/>
              <w:right w:val="nil"/>
            </w:tcBorders>
            <w:vAlign w:val="bottom"/>
            <w:hideMark/>
          </w:tcPr>
          <w:p w14:paraId="20870EE3" w14:textId="77777777" w:rsidR="00802D3E" w:rsidRDefault="00802D3E">
            <w:pPr>
              <w:pStyle w:val="MeasureTableTextRightAligned"/>
            </w:pPr>
            <w:r>
              <w:t>10</w:t>
            </w:r>
          </w:p>
        </w:tc>
      </w:tr>
      <w:tr w:rsidR="00802D3E" w14:paraId="20870EE9" w14:textId="77777777" w:rsidTr="00802D3E">
        <w:trPr>
          <w:cantSplit/>
          <w:jc w:val="center"/>
        </w:trPr>
        <w:tc>
          <w:tcPr>
            <w:tcW w:w="1934" w:type="dxa"/>
            <w:gridSpan w:val="2"/>
            <w:tcBorders>
              <w:top w:val="single" w:sz="2" w:space="0" w:color="auto"/>
              <w:left w:val="nil"/>
              <w:bottom w:val="nil"/>
              <w:right w:val="nil"/>
            </w:tcBorders>
            <w:hideMark/>
          </w:tcPr>
          <w:p w14:paraId="20870EE5"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EE6"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EE7"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EE8" w14:textId="77777777" w:rsidR="00802D3E" w:rsidRDefault="00802D3E">
            <w:pPr>
              <w:pStyle w:val="MeasureTableTextLeftAligned"/>
            </w:pPr>
            <w:r>
              <w:t>H10</w:t>
            </w:r>
          </w:p>
        </w:tc>
      </w:tr>
      <w:tr w:rsidR="00802D3E" w14:paraId="20870EEE" w14:textId="77777777" w:rsidTr="00802D3E">
        <w:trPr>
          <w:cantSplit/>
          <w:jc w:val="center"/>
        </w:trPr>
        <w:tc>
          <w:tcPr>
            <w:tcW w:w="1934" w:type="dxa"/>
            <w:gridSpan w:val="2"/>
            <w:tcBorders>
              <w:top w:val="nil"/>
              <w:left w:val="nil"/>
              <w:bottom w:val="nil"/>
              <w:right w:val="nil"/>
            </w:tcBorders>
            <w:hideMark/>
          </w:tcPr>
          <w:p w14:paraId="20870EEA"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EEB" w14:textId="77777777" w:rsidR="00802D3E" w:rsidRDefault="00802D3E">
            <w:pPr>
              <w:pStyle w:val="MeasureTableTextLeftAligned"/>
            </w:pPr>
            <w:r>
              <w:t>Low</w:t>
            </w:r>
          </w:p>
        </w:tc>
        <w:tc>
          <w:tcPr>
            <w:tcW w:w="1500" w:type="dxa"/>
            <w:gridSpan w:val="2"/>
            <w:tcBorders>
              <w:top w:val="nil"/>
              <w:left w:val="nil"/>
              <w:bottom w:val="nil"/>
              <w:right w:val="nil"/>
            </w:tcBorders>
          </w:tcPr>
          <w:p w14:paraId="20870EEC" w14:textId="77777777" w:rsidR="00802D3E" w:rsidRDefault="00802D3E">
            <w:pPr>
              <w:pStyle w:val="MeasureTableTextItalic"/>
            </w:pPr>
          </w:p>
        </w:tc>
        <w:tc>
          <w:tcPr>
            <w:tcW w:w="1124" w:type="dxa"/>
            <w:gridSpan w:val="2"/>
            <w:tcBorders>
              <w:top w:val="nil"/>
              <w:left w:val="nil"/>
              <w:bottom w:val="nil"/>
              <w:right w:val="nil"/>
            </w:tcBorders>
          </w:tcPr>
          <w:p w14:paraId="20870EED" w14:textId="77777777" w:rsidR="00802D3E" w:rsidRDefault="00802D3E">
            <w:pPr>
              <w:pStyle w:val="MeasureTableTextLeftAligned"/>
            </w:pPr>
          </w:p>
        </w:tc>
      </w:tr>
      <w:tr w:rsidR="00802D3E" w14:paraId="20870EF3" w14:textId="77777777" w:rsidTr="00802D3E">
        <w:trPr>
          <w:cantSplit/>
          <w:jc w:val="center"/>
        </w:trPr>
        <w:tc>
          <w:tcPr>
            <w:tcW w:w="1934" w:type="dxa"/>
            <w:gridSpan w:val="2"/>
            <w:tcBorders>
              <w:top w:val="nil"/>
              <w:left w:val="nil"/>
              <w:bottom w:val="nil"/>
              <w:right w:val="nil"/>
            </w:tcBorders>
            <w:hideMark/>
          </w:tcPr>
          <w:p w14:paraId="20870EEF"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EF0"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EF1"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EF2" w14:textId="77777777" w:rsidR="00802D3E" w:rsidRDefault="00802D3E">
            <w:pPr>
              <w:pStyle w:val="MeasureTableTextLeftAligned"/>
            </w:pPr>
          </w:p>
        </w:tc>
      </w:tr>
      <w:tr w:rsidR="00802D3E" w14:paraId="20870EF6" w14:textId="77777777" w:rsidTr="00802D3E">
        <w:trPr>
          <w:cantSplit/>
          <w:jc w:val="center"/>
        </w:trPr>
        <w:tc>
          <w:tcPr>
            <w:tcW w:w="1934" w:type="dxa"/>
            <w:gridSpan w:val="2"/>
            <w:tcBorders>
              <w:top w:val="nil"/>
              <w:left w:val="nil"/>
              <w:bottom w:val="single" w:sz="2" w:space="0" w:color="auto"/>
              <w:right w:val="nil"/>
            </w:tcBorders>
            <w:hideMark/>
          </w:tcPr>
          <w:p w14:paraId="20870EF4"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EF5" w14:textId="77777777" w:rsidR="00802D3E" w:rsidRDefault="00802D3E" w:rsidP="00BF50A6">
            <w:pPr>
              <w:widowControl w:val="0"/>
              <w:autoSpaceDE w:val="0"/>
              <w:autoSpaceDN w:val="0"/>
              <w:adjustRightInd w:val="0"/>
              <w:spacing w:after="0" w:line="240" w:lineRule="auto"/>
              <w:jc w:val="left"/>
            </w:pPr>
            <w:r>
              <w:rPr>
                <w:rFonts w:ascii="Arial" w:hAnsi="Arial" w:cs="Arial"/>
                <w:color w:val="000000"/>
                <w:sz w:val="16"/>
                <w:szCs w:val="16"/>
              </w:rPr>
              <w:t xml:space="preserve">Item 4 of section 38-185 of the </w:t>
            </w:r>
            <w:r>
              <w:rPr>
                <w:rFonts w:ascii="Arial" w:hAnsi="Arial" w:cs="Arial"/>
                <w:i/>
                <w:iCs/>
                <w:color w:val="000000"/>
                <w:sz w:val="16"/>
                <w:szCs w:val="16"/>
              </w:rPr>
              <w:t>A New Tax System (Goods and Services Tax) Act 1999</w:t>
            </w:r>
          </w:p>
        </w:tc>
      </w:tr>
    </w:tbl>
    <w:p w14:paraId="20870EF7" w14:textId="77777777" w:rsidR="00802D3E" w:rsidRPr="00E5312D" w:rsidRDefault="00802D3E" w:rsidP="00A109BC">
      <w:pPr>
        <w:pStyle w:val="SingleParagraph"/>
        <w:rPr>
          <w:sz w:val="18"/>
        </w:rPr>
      </w:pPr>
    </w:p>
    <w:p w14:paraId="20870EF8" w14:textId="77777777" w:rsidR="00802D3E" w:rsidRDefault="00802D3E" w:rsidP="00802D3E">
      <w:r>
        <w:t>Supplies of eligible boats</w:t>
      </w:r>
      <w:r>
        <w:fldChar w:fldCharType="begin"/>
      </w:r>
      <w:r>
        <w:instrText xml:space="preserve"> XE "Goods and Services Tax:Boats" </w:instrText>
      </w:r>
      <w:r>
        <w:fldChar w:fldCharType="end"/>
      </w:r>
      <w:r>
        <w:t xml:space="preserve"> used for recreational purposes are GST-free if the boats are exported by the purchaser from Australia within 12 months, with effect from 1 July 2011. Other goods must be exported from Australia within 60 days in order to be GST</w:t>
      </w:r>
      <w:r>
        <w:noBreakHyphen/>
        <w:t xml:space="preserve">free. </w:t>
      </w:r>
    </w:p>
    <w:p w14:paraId="20870EF9" w14:textId="77777777" w:rsidR="00802D3E" w:rsidRDefault="00802D3E" w:rsidP="00802D3E">
      <w:pPr>
        <w:pStyle w:val="TESHeading5"/>
        <w:ind w:left="0" w:firstLine="0"/>
      </w:pPr>
      <w:r>
        <w:lastRenderedPageBreak/>
        <w:t>H11</w:t>
      </w:r>
      <w:r>
        <w:tab/>
        <w:t>Digital products and services</w:t>
      </w:r>
    </w:p>
    <w:p w14:paraId="20870EFA"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F03" w14:textId="77777777" w:rsidTr="00802D3E">
        <w:trPr>
          <w:cantSplit/>
          <w:jc w:val="center"/>
        </w:trPr>
        <w:tc>
          <w:tcPr>
            <w:tcW w:w="967" w:type="dxa"/>
            <w:tcBorders>
              <w:top w:val="single" w:sz="2" w:space="0" w:color="auto"/>
              <w:left w:val="nil"/>
              <w:bottom w:val="single" w:sz="2" w:space="0" w:color="auto"/>
              <w:right w:val="nil"/>
            </w:tcBorders>
            <w:hideMark/>
          </w:tcPr>
          <w:p w14:paraId="20870EFB"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EFC"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EFD"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EFE"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EFF"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F00"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F01"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F02" w14:textId="77777777" w:rsidR="00802D3E" w:rsidRDefault="00802D3E">
            <w:pPr>
              <w:pStyle w:val="MeasureTableTextRightAligned"/>
            </w:pPr>
            <w:r>
              <w:t>2019-20</w:t>
            </w:r>
          </w:p>
        </w:tc>
      </w:tr>
      <w:tr w:rsidR="00802D3E" w14:paraId="20870F0C" w14:textId="77777777" w:rsidTr="00802D3E">
        <w:trPr>
          <w:cantSplit/>
          <w:jc w:val="center"/>
        </w:trPr>
        <w:tc>
          <w:tcPr>
            <w:tcW w:w="967" w:type="dxa"/>
            <w:tcBorders>
              <w:top w:val="single" w:sz="2" w:space="0" w:color="auto"/>
              <w:left w:val="nil"/>
              <w:bottom w:val="single" w:sz="2" w:space="0" w:color="auto"/>
              <w:right w:val="nil"/>
            </w:tcBorders>
            <w:hideMark/>
          </w:tcPr>
          <w:p w14:paraId="20870F04" w14:textId="77777777" w:rsidR="00802D3E" w:rsidRDefault="00802D3E">
            <w:pPr>
              <w:pStyle w:val="MeasureTableTextRightAligned"/>
            </w:pPr>
            <w:r>
              <w:t>170</w:t>
            </w:r>
          </w:p>
        </w:tc>
        <w:tc>
          <w:tcPr>
            <w:tcW w:w="967" w:type="dxa"/>
            <w:tcBorders>
              <w:top w:val="single" w:sz="2" w:space="0" w:color="auto"/>
              <w:left w:val="nil"/>
              <w:bottom w:val="single" w:sz="2" w:space="0" w:color="auto"/>
              <w:right w:val="nil"/>
            </w:tcBorders>
            <w:hideMark/>
          </w:tcPr>
          <w:p w14:paraId="20870F05" w14:textId="77777777" w:rsidR="00802D3E" w:rsidRDefault="00802D3E">
            <w:pPr>
              <w:pStyle w:val="MeasureTableTextRightAligned"/>
            </w:pPr>
            <w:r>
              <w:t>180</w:t>
            </w:r>
          </w:p>
        </w:tc>
        <w:tc>
          <w:tcPr>
            <w:tcW w:w="967" w:type="dxa"/>
            <w:tcBorders>
              <w:top w:val="single" w:sz="2" w:space="0" w:color="auto"/>
              <w:left w:val="nil"/>
              <w:bottom w:val="single" w:sz="2" w:space="0" w:color="auto"/>
              <w:right w:val="nil"/>
            </w:tcBorders>
            <w:vAlign w:val="bottom"/>
            <w:hideMark/>
          </w:tcPr>
          <w:p w14:paraId="20870F06" w14:textId="77777777" w:rsidR="00802D3E" w:rsidRDefault="00802D3E">
            <w:pPr>
              <w:pStyle w:val="MeasureTableTextRightAligned"/>
            </w:pPr>
            <w:r>
              <w:t>200</w:t>
            </w:r>
          </w:p>
        </w:tc>
        <w:tc>
          <w:tcPr>
            <w:tcW w:w="967" w:type="dxa"/>
            <w:tcBorders>
              <w:top w:val="single" w:sz="2" w:space="0" w:color="auto"/>
              <w:left w:val="nil"/>
              <w:bottom w:val="single" w:sz="2" w:space="0" w:color="auto"/>
              <w:right w:val="nil"/>
            </w:tcBorders>
            <w:vAlign w:val="bottom"/>
            <w:hideMark/>
          </w:tcPr>
          <w:p w14:paraId="20870F07" w14:textId="77777777" w:rsidR="00802D3E" w:rsidRDefault="00802D3E">
            <w:pPr>
              <w:pStyle w:val="MeasureTableTextRightAligned"/>
            </w:pPr>
            <w:r>
              <w:t>230</w:t>
            </w:r>
          </w:p>
        </w:tc>
        <w:tc>
          <w:tcPr>
            <w:tcW w:w="967" w:type="dxa"/>
            <w:tcBorders>
              <w:top w:val="single" w:sz="2" w:space="0" w:color="auto"/>
              <w:left w:val="nil"/>
              <w:bottom w:val="single" w:sz="2" w:space="0" w:color="auto"/>
              <w:right w:val="nil"/>
            </w:tcBorders>
            <w:vAlign w:val="bottom"/>
            <w:hideMark/>
          </w:tcPr>
          <w:p w14:paraId="20870F08" w14:textId="77777777" w:rsidR="00802D3E" w:rsidRDefault="00802D3E">
            <w:pPr>
              <w:pStyle w:val="MeasureTableTextRightAligned"/>
            </w:pPr>
            <w:r>
              <w:t>250</w:t>
            </w:r>
          </w:p>
        </w:tc>
        <w:tc>
          <w:tcPr>
            <w:tcW w:w="967" w:type="dxa"/>
            <w:gridSpan w:val="2"/>
            <w:tcBorders>
              <w:top w:val="single" w:sz="2" w:space="0" w:color="auto"/>
              <w:left w:val="nil"/>
              <w:bottom w:val="single" w:sz="2" w:space="0" w:color="auto"/>
              <w:right w:val="nil"/>
            </w:tcBorders>
            <w:vAlign w:val="bottom"/>
            <w:hideMark/>
          </w:tcPr>
          <w:p w14:paraId="20870F09"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F0A"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F0B" w14:textId="77777777" w:rsidR="00802D3E" w:rsidRDefault="00802D3E">
            <w:pPr>
              <w:pStyle w:val="MeasureTableTextRightAligned"/>
            </w:pPr>
            <w:r>
              <w:t>-</w:t>
            </w:r>
          </w:p>
        </w:tc>
      </w:tr>
      <w:tr w:rsidR="00802D3E" w14:paraId="20870F11" w14:textId="77777777" w:rsidTr="00802D3E">
        <w:trPr>
          <w:cantSplit/>
          <w:jc w:val="center"/>
        </w:trPr>
        <w:tc>
          <w:tcPr>
            <w:tcW w:w="1934" w:type="dxa"/>
            <w:gridSpan w:val="2"/>
            <w:tcBorders>
              <w:top w:val="single" w:sz="2" w:space="0" w:color="auto"/>
              <w:left w:val="nil"/>
              <w:bottom w:val="nil"/>
              <w:right w:val="nil"/>
            </w:tcBorders>
            <w:hideMark/>
          </w:tcPr>
          <w:p w14:paraId="20870F0D"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F0E"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F0F"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F10" w14:textId="77777777" w:rsidR="00802D3E" w:rsidRDefault="00802D3E">
            <w:pPr>
              <w:pStyle w:val="MeasureTableTextLeftAligned"/>
            </w:pPr>
            <w:r>
              <w:t>H11</w:t>
            </w:r>
          </w:p>
        </w:tc>
      </w:tr>
      <w:tr w:rsidR="00802D3E" w14:paraId="20870F16" w14:textId="77777777" w:rsidTr="00802D3E">
        <w:trPr>
          <w:cantSplit/>
          <w:jc w:val="center"/>
        </w:trPr>
        <w:tc>
          <w:tcPr>
            <w:tcW w:w="1934" w:type="dxa"/>
            <w:gridSpan w:val="2"/>
            <w:tcBorders>
              <w:top w:val="nil"/>
              <w:left w:val="nil"/>
              <w:bottom w:val="nil"/>
              <w:right w:val="nil"/>
            </w:tcBorders>
            <w:hideMark/>
          </w:tcPr>
          <w:p w14:paraId="20870F12"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F13" w14:textId="77777777" w:rsidR="00802D3E" w:rsidRDefault="00802D3E">
            <w:pPr>
              <w:pStyle w:val="MeasureTableTextLeftAligned"/>
            </w:pPr>
            <w:r>
              <w:t>Low</w:t>
            </w:r>
          </w:p>
        </w:tc>
        <w:tc>
          <w:tcPr>
            <w:tcW w:w="1500" w:type="dxa"/>
            <w:gridSpan w:val="2"/>
            <w:tcBorders>
              <w:top w:val="nil"/>
              <w:left w:val="nil"/>
              <w:bottom w:val="nil"/>
              <w:right w:val="nil"/>
            </w:tcBorders>
          </w:tcPr>
          <w:p w14:paraId="20870F14" w14:textId="77777777" w:rsidR="00802D3E" w:rsidRDefault="00802D3E">
            <w:pPr>
              <w:pStyle w:val="MeasureTableTextItalic"/>
            </w:pPr>
          </w:p>
        </w:tc>
        <w:tc>
          <w:tcPr>
            <w:tcW w:w="1124" w:type="dxa"/>
            <w:gridSpan w:val="2"/>
            <w:tcBorders>
              <w:top w:val="nil"/>
              <w:left w:val="nil"/>
              <w:bottom w:val="nil"/>
              <w:right w:val="nil"/>
            </w:tcBorders>
          </w:tcPr>
          <w:p w14:paraId="20870F15" w14:textId="77777777" w:rsidR="00802D3E" w:rsidRDefault="00802D3E">
            <w:pPr>
              <w:pStyle w:val="MeasureTableTextLeftAligned"/>
            </w:pPr>
          </w:p>
        </w:tc>
      </w:tr>
      <w:tr w:rsidR="00802D3E" w14:paraId="20870F1B" w14:textId="77777777" w:rsidTr="00802D3E">
        <w:trPr>
          <w:cantSplit/>
          <w:jc w:val="center"/>
        </w:trPr>
        <w:tc>
          <w:tcPr>
            <w:tcW w:w="1934" w:type="dxa"/>
            <w:gridSpan w:val="2"/>
            <w:tcBorders>
              <w:top w:val="nil"/>
              <w:left w:val="nil"/>
              <w:bottom w:val="nil"/>
              <w:right w:val="nil"/>
            </w:tcBorders>
            <w:hideMark/>
          </w:tcPr>
          <w:p w14:paraId="20870F17"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F18"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F19"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F1A" w14:textId="77777777" w:rsidR="00802D3E" w:rsidRDefault="00802D3E">
            <w:pPr>
              <w:pStyle w:val="MeasureTableTextLeftAligned"/>
            </w:pPr>
          </w:p>
        </w:tc>
      </w:tr>
      <w:tr w:rsidR="00802D3E" w14:paraId="20870F1F" w14:textId="77777777" w:rsidTr="00802D3E">
        <w:trPr>
          <w:cantSplit/>
          <w:jc w:val="center"/>
        </w:trPr>
        <w:tc>
          <w:tcPr>
            <w:tcW w:w="1934" w:type="dxa"/>
            <w:gridSpan w:val="2"/>
            <w:tcBorders>
              <w:top w:val="nil"/>
              <w:left w:val="nil"/>
              <w:bottom w:val="single" w:sz="2" w:space="0" w:color="auto"/>
              <w:right w:val="nil"/>
            </w:tcBorders>
            <w:hideMark/>
          </w:tcPr>
          <w:p w14:paraId="20870F1C"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F1D" w14:textId="77777777" w:rsidR="00802D3E" w:rsidRDefault="00802D3E" w:rsidP="00BF50A6">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Sections 13-1, 38-610 and 40-180 and Division 84 of the </w:t>
            </w:r>
            <w:r>
              <w:rPr>
                <w:rFonts w:ascii="Arial" w:hAnsi="Arial" w:cs="Arial"/>
                <w:i/>
                <w:iCs/>
                <w:color w:val="000000"/>
                <w:sz w:val="16"/>
                <w:szCs w:val="16"/>
              </w:rPr>
              <w:t>A New Tax System (Goods and Services Tax) Act 1999</w:t>
            </w:r>
          </w:p>
          <w:p w14:paraId="20870F1E" w14:textId="77777777" w:rsidR="00802D3E" w:rsidRDefault="00802D3E" w:rsidP="00BF50A6">
            <w:pPr>
              <w:widowControl w:val="0"/>
              <w:autoSpaceDE w:val="0"/>
              <w:autoSpaceDN w:val="0"/>
              <w:adjustRightInd w:val="0"/>
              <w:spacing w:after="0" w:line="240" w:lineRule="auto"/>
              <w:jc w:val="left"/>
            </w:pPr>
            <w:r>
              <w:rPr>
                <w:rFonts w:ascii="Arial" w:hAnsi="Arial" w:cs="Arial"/>
                <w:color w:val="000000"/>
                <w:sz w:val="16"/>
                <w:szCs w:val="16"/>
              </w:rPr>
              <w:t xml:space="preserve">Schedule 1 of the </w:t>
            </w:r>
            <w:r>
              <w:rPr>
                <w:rFonts w:ascii="Arial" w:hAnsi="Arial" w:cs="Arial"/>
                <w:i/>
                <w:iCs/>
                <w:color w:val="000000"/>
                <w:sz w:val="16"/>
                <w:szCs w:val="16"/>
              </w:rPr>
              <w:t>Tax and Superannuation Laws Amendment (2016 Measures No. 1) Act 2016</w:t>
            </w:r>
          </w:p>
        </w:tc>
      </w:tr>
    </w:tbl>
    <w:p w14:paraId="20870F20" w14:textId="77777777" w:rsidR="00802D3E" w:rsidRDefault="00802D3E" w:rsidP="00A109BC">
      <w:pPr>
        <w:pStyle w:val="SingleParagraph"/>
      </w:pPr>
    </w:p>
    <w:p w14:paraId="20870F21" w14:textId="77777777" w:rsidR="00802D3E" w:rsidRDefault="00802D3E" w:rsidP="00802D3E">
      <w:r>
        <w:t>Digital products and services</w:t>
      </w:r>
      <w:r>
        <w:fldChar w:fldCharType="begin"/>
      </w:r>
      <w:r>
        <w:instrText xml:space="preserve"> XE "Imported services" </w:instrText>
      </w:r>
      <w:r>
        <w:fldChar w:fldCharType="end"/>
      </w:r>
      <w:r>
        <w:t xml:space="preserve"> which are not subject to a reverse charge are not subject to GST. This includes, for example, software supplied electronically to Australian consumers by overseas vendors. From 1 July 2017, these products and services will be subject to GST. </w:t>
      </w:r>
    </w:p>
    <w:p w14:paraId="20870F22" w14:textId="77777777" w:rsidR="00802D3E" w:rsidRDefault="00802D3E" w:rsidP="00802D3E">
      <w:pPr>
        <w:pStyle w:val="TESHeading5"/>
        <w:ind w:left="0" w:firstLine="0"/>
      </w:pPr>
      <w:r>
        <w:t>H12</w:t>
      </w:r>
      <w:r>
        <w:tab/>
        <w:t>Importation threshold</w:t>
      </w:r>
    </w:p>
    <w:p w14:paraId="20870F23"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F2C" w14:textId="77777777" w:rsidTr="00802D3E">
        <w:trPr>
          <w:cantSplit/>
          <w:jc w:val="center"/>
        </w:trPr>
        <w:tc>
          <w:tcPr>
            <w:tcW w:w="967" w:type="dxa"/>
            <w:tcBorders>
              <w:top w:val="single" w:sz="2" w:space="0" w:color="auto"/>
              <w:left w:val="nil"/>
              <w:bottom w:val="single" w:sz="2" w:space="0" w:color="auto"/>
              <w:right w:val="nil"/>
            </w:tcBorders>
            <w:hideMark/>
          </w:tcPr>
          <w:p w14:paraId="20870F24"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F25"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F26"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F27"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F28"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F29"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F2A"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F2B" w14:textId="77777777" w:rsidR="00802D3E" w:rsidRDefault="00802D3E">
            <w:pPr>
              <w:pStyle w:val="MeasureTableTextRightAligned"/>
            </w:pPr>
            <w:r>
              <w:t>2019-20</w:t>
            </w:r>
          </w:p>
        </w:tc>
      </w:tr>
      <w:tr w:rsidR="00802D3E" w14:paraId="20870F35" w14:textId="77777777" w:rsidTr="00802D3E">
        <w:trPr>
          <w:cantSplit/>
          <w:jc w:val="center"/>
        </w:trPr>
        <w:tc>
          <w:tcPr>
            <w:tcW w:w="967" w:type="dxa"/>
            <w:tcBorders>
              <w:top w:val="single" w:sz="2" w:space="0" w:color="auto"/>
              <w:left w:val="nil"/>
              <w:bottom w:val="single" w:sz="2" w:space="0" w:color="auto"/>
              <w:right w:val="nil"/>
            </w:tcBorders>
            <w:hideMark/>
          </w:tcPr>
          <w:p w14:paraId="20870F2D" w14:textId="77777777" w:rsidR="00802D3E" w:rsidRDefault="00802D3E">
            <w:pPr>
              <w:pStyle w:val="MeasureTableTextRightAligned"/>
            </w:pPr>
            <w:r>
              <w:t>400</w:t>
            </w:r>
          </w:p>
        </w:tc>
        <w:tc>
          <w:tcPr>
            <w:tcW w:w="967" w:type="dxa"/>
            <w:tcBorders>
              <w:top w:val="single" w:sz="2" w:space="0" w:color="auto"/>
              <w:left w:val="nil"/>
              <w:bottom w:val="single" w:sz="2" w:space="0" w:color="auto"/>
              <w:right w:val="nil"/>
            </w:tcBorders>
            <w:hideMark/>
          </w:tcPr>
          <w:p w14:paraId="20870F2E" w14:textId="77777777" w:rsidR="00802D3E" w:rsidRDefault="00802D3E">
            <w:pPr>
              <w:pStyle w:val="MeasureTableTextRightAligned"/>
            </w:pPr>
            <w:r>
              <w:t>390</w:t>
            </w:r>
          </w:p>
        </w:tc>
        <w:tc>
          <w:tcPr>
            <w:tcW w:w="967" w:type="dxa"/>
            <w:tcBorders>
              <w:top w:val="single" w:sz="2" w:space="0" w:color="auto"/>
              <w:left w:val="nil"/>
              <w:bottom w:val="single" w:sz="2" w:space="0" w:color="auto"/>
              <w:right w:val="nil"/>
            </w:tcBorders>
            <w:vAlign w:val="bottom"/>
            <w:hideMark/>
          </w:tcPr>
          <w:p w14:paraId="20870F2F" w14:textId="77777777" w:rsidR="00802D3E" w:rsidRDefault="00802D3E">
            <w:pPr>
              <w:pStyle w:val="MeasureTableTextRightAligned"/>
            </w:pPr>
            <w:r>
              <w:t>380</w:t>
            </w:r>
          </w:p>
        </w:tc>
        <w:tc>
          <w:tcPr>
            <w:tcW w:w="967" w:type="dxa"/>
            <w:tcBorders>
              <w:top w:val="single" w:sz="2" w:space="0" w:color="auto"/>
              <w:left w:val="nil"/>
              <w:bottom w:val="single" w:sz="2" w:space="0" w:color="auto"/>
              <w:right w:val="nil"/>
            </w:tcBorders>
            <w:vAlign w:val="bottom"/>
            <w:hideMark/>
          </w:tcPr>
          <w:p w14:paraId="20870F30" w14:textId="77777777" w:rsidR="00802D3E" w:rsidRDefault="00802D3E">
            <w:pPr>
              <w:pStyle w:val="MeasureTableTextRightAligned"/>
            </w:pPr>
            <w:r>
              <w:t>390</w:t>
            </w:r>
          </w:p>
        </w:tc>
        <w:tc>
          <w:tcPr>
            <w:tcW w:w="967" w:type="dxa"/>
            <w:tcBorders>
              <w:top w:val="single" w:sz="2" w:space="0" w:color="auto"/>
              <w:left w:val="nil"/>
              <w:bottom w:val="single" w:sz="2" w:space="0" w:color="auto"/>
              <w:right w:val="nil"/>
            </w:tcBorders>
            <w:vAlign w:val="bottom"/>
            <w:hideMark/>
          </w:tcPr>
          <w:p w14:paraId="20870F31" w14:textId="77777777" w:rsidR="00802D3E" w:rsidRDefault="00802D3E">
            <w:pPr>
              <w:pStyle w:val="MeasureTableTextRightAligned"/>
            </w:pPr>
            <w:r>
              <w:t>390</w:t>
            </w:r>
          </w:p>
        </w:tc>
        <w:tc>
          <w:tcPr>
            <w:tcW w:w="967" w:type="dxa"/>
            <w:gridSpan w:val="2"/>
            <w:tcBorders>
              <w:top w:val="single" w:sz="2" w:space="0" w:color="auto"/>
              <w:left w:val="nil"/>
              <w:bottom w:val="single" w:sz="2" w:space="0" w:color="auto"/>
              <w:right w:val="nil"/>
            </w:tcBorders>
            <w:vAlign w:val="bottom"/>
            <w:hideMark/>
          </w:tcPr>
          <w:p w14:paraId="20870F3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F33"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F34" w14:textId="77777777" w:rsidR="00802D3E" w:rsidRDefault="00802D3E">
            <w:pPr>
              <w:pStyle w:val="MeasureTableTextRightAligned"/>
            </w:pPr>
            <w:r>
              <w:t>-</w:t>
            </w:r>
          </w:p>
        </w:tc>
      </w:tr>
      <w:tr w:rsidR="00802D3E" w14:paraId="20870F3A" w14:textId="77777777" w:rsidTr="00802D3E">
        <w:trPr>
          <w:cantSplit/>
          <w:jc w:val="center"/>
        </w:trPr>
        <w:tc>
          <w:tcPr>
            <w:tcW w:w="1934" w:type="dxa"/>
            <w:gridSpan w:val="2"/>
            <w:tcBorders>
              <w:top w:val="single" w:sz="2" w:space="0" w:color="auto"/>
              <w:left w:val="nil"/>
              <w:bottom w:val="nil"/>
              <w:right w:val="nil"/>
            </w:tcBorders>
            <w:hideMark/>
          </w:tcPr>
          <w:p w14:paraId="20870F36"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F37"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F38"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F39" w14:textId="77777777" w:rsidR="00802D3E" w:rsidRDefault="00802D3E">
            <w:pPr>
              <w:pStyle w:val="MeasureTableTextLeftAligned"/>
            </w:pPr>
            <w:r>
              <w:t>H12</w:t>
            </w:r>
          </w:p>
        </w:tc>
      </w:tr>
      <w:tr w:rsidR="00802D3E" w14:paraId="20870F3F" w14:textId="77777777" w:rsidTr="00802D3E">
        <w:trPr>
          <w:cantSplit/>
          <w:jc w:val="center"/>
        </w:trPr>
        <w:tc>
          <w:tcPr>
            <w:tcW w:w="1934" w:type="dxa"/>
            <w:gridSpan w:val="2"/>
            <w:tcBorders>
              <w:top w:val="nil"/>
              <w:left w:val="nil"/>
              <w:bottom w:val="nil"/>
              <w:right w:val="nil"/>
            </w:tcBorders>
            <w:hideMark/>
          </w:tcPr>
          <w:p w14:paraId="20870F3B"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F3C" w14:textId="77777777" w:rsidR="00802D3E" w:rsidRDefault="00802D3E">
            <w:pPr>
              <w:pStyle w:val="MeasureTableTextLeftAligned"/>
            </w:pPr>
            <w:r>
              <w:t>Low</w:t>
            </w:r>
          </w:p>
        </w:tc>
        <w:tc>
          <w:tcPr>
            <w:tcW w:w="1500" w:type="dxa"/>
            <w:gridSpan w:val="2"/>
            <w:tcBorders>
              <w:top w:val="nil"/>
              <w:left w:val="nil"/>
              <w:bottom w:val="nil"/>
              <w:right w:val="nil"/>
            </w:tcBorders>
          </w:tcPr>
          <w:p w14:paraId="20870F3D" w14:textId="77777777" w:rsidR="00802D3E" w:rsidRDefault="00802D3E">
            <w:pPr>
              <w:pStyle w:val="MeasureTableTextItalic"/>
            </w:pPr>
          </w:p>
        </w:tc>
        <w:tc>
          <w:tcPr>
            <w:tcW w:w="1124" w:type="dxa"/>
            <w:gridSpan w:val="2"/>
            <w:tcBorders>
              <w:top w:val="nil"/>
              <w:left w:val="nil"/>
              <w:bottom w:val="nil"/>
              <w:right w:val="nil"/>
            </w:tcBorders>
          </w:tcPr>
          <w:p w14:paraId="20870F3E" w14:textId="77777777" w:rsidR="00802D3E" w:rsidRDefault="00802D3E">
            <w:pPr>
              <w:pStyle w:val="MeasureTableTextLeftAligned"/>
            </w:pPr>
          </w:p>
        </w:tc>
      </w:tr>
      <w:tr w:rsidR="00802D3E" w14:paraId="20870F44" w14:textId="77777777" w:rsidTr="00802D3E">
        <w:trPr>
          <w:cantSplit/>
          <w:jc w:val="center"/>
        </w:trPr>
        <w:tc>
          <w:tcPr>
            <w:tcW w:w="1934" w:type="dxa"/>
            <w:gridSpan w:val="2"/>
            <w:tcBorders>
              <w:top w:val="nil"/>
              <w:left w:val="nil"/>
              <w:bottom w:val="nil"/>
              <w:right w:val="nil"/>
            </w:tcBorders>
            <w:hideMark/>
          </w:tcPr>
          <w:p w14:paraId="20870F40"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F41"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F42"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F43" w14:textId="77777777" w:rsidR="00802D3E" w:rsidRDefault="00802D3E">
            <w:pPr>
              <w:pStyle w:val="MeasureTableTextLeftAligned"/>
            </w:pPr>
          </w:p>
        </w:tc>
      </w:tr>
      <w:tr w:rsidR="00802D3E" w14:paraId="20870F48" w14:textId="77777777" w:rsidTr="00802D3E">
        <w:trPr>
          <w:cantSplit/>
          <w:jc w:val="center"/>
        </w:trPr>
        <w:tc>
          <w:tcPr>
            <w:tcW w:w="1934" w:type="dxa"/>
            <w:gridSpan w:val="2"/>
            <w:tcBorders>
              <w:top w:val="nil"/>
              <w:left w:val="nil"/>
              <w:bottom w:val="single" w:sz="2" w:space="0" w:color="auto"/>
              <w:right w:val="nil"/>
            </w:tcBorders>
            <w:hideMark/>
          </w:tcPr>
          <w:p w14:paraId="20870F45"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F46" w14:textId="77777777" w:rsidR="00802D3E" w:rsidRDefault="00802D3E" w:rsidP="00BF50A6">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Section 42-5 of the </w:t>
            </w:r>
            <w:r>
              <w:rPr>
                <w:rFonts w:ascii="Arial" w:hAnsi="Arial" w:cs="Arial"/>
                <w:i/>
                <w:iCs/>
                <w:color w:val="000000"/>
                <w:sz w:val="16"/>
                <w:szCs w:val="16"/>
              </w:rPr>
              <w:t>A New Tax System (Goods and Services Tax) Act 1999</w:t>
            </w:r>
          </w:p>
          <w:p w14:paraId="20870F47" w14:textId="77777777" w:rsidR="00802D3E" w:rsidRDefault="00802D3E" w:rsidP="00BF50A6">
            <w:pPr>
              <w:widowControl w:val="0"/>
              <w:autoSpaceDE w:val="0"/>
              <w:autoSpaceDN w:val="0"/>
              <w:adjustRightInd w:val="0"/>
              <w:spacing w:after="0" w:line="240" w:lineRule="auto"/>
              <w:jc w:val="left"/>
            </w:pPr>
            <w:r>
              <w:rPr>
                <w:rFonts w:ascii="Arial" w:hAnsi="Arial" w:cs="Arial"/>
                <w:color w:val="000000"/>
                <w:sz w:val="16"/>
                <w:szCs w:val="16"/>
              </w:rPr>
              <w:t xml:space="preserve">Schedule 4 to the </w:t>
            </w:r>
            <w:r>
              <w:rPr>
                <w:rFonts w:ascii="Arial" w:hAnsi="Arial" w:cs="Arial"/>
                <w:i/>
                <w:iCs/>
                <w:color w:val="000000"/>
                <w:sz w:val="16"/>
                <w:szCs w:val="16"/>
              </w:rPr>
              <w:t>Customs Tariff Act 1995</w:t>
            </w:r>
          </w:p>
        </w:tc>
      </w:tr>
    </w:tbl>
    <w:p w14:paraId="20870F49" w14:textId="77777777" w:rsidR="00802D3E" w:rsidRDefault="00802D3E" w:rsidP="00A109BC">
      <w:pPr>
        <w:pStyle w:val="SingleParagraph"/>
      </w:pPr>
    </w:p>
    <w:p w14:paraId="20870F4A" w14:textId="77777777" w:rsidR="00802D3E" w:rsidRDefault="00802D3E" w:rsidP="00802D3E">
      <w:r>
        <w:t>With the exception of consignments containing tobacco, tobacco products or alcoholic beverages, a GST exemption currently applies to imports of goods with a customs value of no more than $1,000.</w:t>
      </w:r>
      <w:r>
        <w:rPr>
          <w:rFonts w:ascii="BookAntiqua" w:hAnsi="BookAntiqua" w:cs="BookAntiqua"/>
        </w:rPr>
        <w:t xml:space="preserve"> </w:t>
      </w:r>
      <w:r>
        <w:rPr>
          <w:rFonts w:cs="BookAntiqua"/>
        </w:rPr>
        <w:t>From 1 July 2017, these goods will be subject to GST. Overseas suppliers that have a turnover of $75,000 or more will be required to account for GST for low value goods supplied to consumers in Australia, using a vendor registration model.</w:t>
      </w:r>
      <w:r>
        <w:t xml:space="preserve"> </w:t>
      </w:r>
    </w:p>
    <w:p w14:paraId="20870F4B" w14:textId="77777777" w:rsidR="00802D3E" w:rsidRDefault="00802D3E" w:rsidP="00802D3E">
      <w:pPr>
        <w:pStyle w:val="TESHeading5"/>
        <w:ind w:left="0" w:firstLine="0"/>
      </w:pPr>
      <w:r>
        <w:t>H13</w:t>
      </w:r>
      <w:r>
        <w:tab/>
        <w:t xml:space="preserve">Tourism </w:t>
      </w:r>
      <w:r w:rsidR="007626B2">
        <w:t>–</w:t>
      </w:r>
      <w:r>
        <w:t xml:space="preserve"> domestic</w:t>
      </w:r>
      <w:r w:rsidR="007626B2">
        <w:t xml:space="preserve"> </w:t>
      </w:r>
      <w:r>
        <w:t>travel as part of an international arrangement</w:t>
      </w:r>
    </w:p>
    <w:p w14:paraId="20870F4C"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F55" w14:textId="77777777" w:rsidTr="00802D3E">
        <w:trPr>
          <w:cantSplit/>
          <w:jc w:val="center"/>
        </w:trPr>
        <w:tc>
          <w:tcPr>
            <w:tcW w:w="967" w:type="dxa"/>
            <w:tcBorders>
              <w:top w:val="single" w:sz="2" w:space="0" w:color="auto"/>
              <w:left w:val="nil"/>
              <w:bottom w:val="single" w:sz="2" w:space="0" w:color="auto"/>
              <w:right w:val="nil"/>
            </w:tcBorders>
            <w:hideMark/>
          </w:tcPr>
          <w:p w14:paraId="20870F4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F4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F4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F5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F5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F5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F5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F54" w14:textId="77777777" w:rsidR="00802D3E" w:rsidRDefault="00802D3E">
            <w:pPr>
              <w:pStyle w:val="MeasureTableTextRightAligned"/>
            </w:pPr>
            <w:r>
              <w:t>2019-20</w:t>
            </w:r>
          </w:p>
        </w:tc>
      </w:tr>
      <w:tr w:rsidR="00802D3E" w14:paraId="20870F5E" w14:textId="77777777" w:rsidTr="00802D3E">
        <w:trPr>
          <w:cantSplit/>
          <w:jc w:val="center"/>
        </w:trPr>
        <w:tc>
          <w:tcPr>
            <w:tcW w:w="967" w:type="dxa"/>
            <w:tcBorders>
              <w:top w:val="single" w:sz="2" w:space="0" w:color="auto"/>
              <w:left w:val="nil"/>
              <w:bottom w:val="single" w:sz="2" w:space="0" w:color="auto"/>
              <w:right w:val="nil"/>
            </w:tcBorders>
            <w:hideMark/>
          </w:tcPr>
          <w:p w14:paraId="20870F56"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F57"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F5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F5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F5A"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F5B"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F5C"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F5D" w14:textId="77777777" w:rsidR="00802D3E" w:rsidRDefault="00802D3E">
            <w:pPr>
              <w:pStyle w:val="MeasureTableTextRightAligned"/>
            </w:pPr>
            <w:r>
              <w:t>*</w:t>
            </w:r>
          </w:p>
        </w:tc>
      </w:tr>
      <w:tr w:rsidR="00802D3E" w14:paraId="20870F63" w14:textId="77777777" w:rsidTr="00802D3E">
        <w:trPr>
          <w:cantSplit/>
          <w:jc w:val="center"/>
        </w:trPr>
        <w:tc>
          <w:tcPr>
            <w:tcW w:w="1934" w:type="dxa"/>
            <w:gridSpan w:val="2"/>
            <w:tcBorders>
              <w:top w:val="single" w:sz="2" w:space="0" w:color="auto"/>
              <w:left w:val="nil"/>
              <w:bottom w:val="nil"/>
              <w:right w:val="nil"/>
            </w:tcBorders>
            <w:hideMark/>
          </w:tcPr>
          <w:p w14:paraId="20870F5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F6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F6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F62" w14:textId="77777777" w:rsidR="00802D3E" w:rsidRDefault="00802D3E">
            <w:pPr>
              <w:pStyle w:val="MeasureTableTextLeftAligned"/>
            </w:pPr>
            <w:r>
              <w:t>H13</w:t>
            </w:r>
          </w:p>
        </w:tc>
      </w:tr>
      <w:tr w:rsidR="00802D3E" w14:paraId="20870F68" w14:textId="77777777" w:rsidTr="00802D3E">
        <w:trPr>
          <w:cantSplit/>
          <w:jc w:val="center"/>
        </w:trPr>
        <w:tc>
          <w:tcPr>
            <w:tcW w:w="1934" w:type="dxa"/>
            <w:gridSpan w:val="2"/>
            <w:tcBorders>
              <w:top w:val="nil"/>
              <w:left w:val="nil"/>
              <w:bottom w:val="nil"/>
              <w:right w:val="nil"/>
            </w:tcBorders>
            <w:hideMark/>
          </w:tcPr>
          <w:p w14:paraId="20870F6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F65"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F66"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F67" w14:textId="77777777" w:rsidR="00802D3E" w:rsidRDefault="00802D3E">
            <w:pPr>
              <w:pStyle w:val="MeasureTableTextLeftAligned"/>
            </w:pPr>
            <w:r>
              <w:t>2+</w:t>
            </w:r>
          </w:p>
        </w:tc>
      </w:tr>
      <w:tr w:rsidR="00802D3E" w14:paraId="20870F6D" w14:textId="77777777" w:rsidTr="00802D3E">
        <w:trPr>
          <w:cantSplit/>
          <w:jc w:val="center"/>
        </w:trPr>
        <w:tc>
          <w:tcPr>
            <w:tcW w:w="1934" w:type="dxa"/>
            <w:gridSpan w:val="2"/>
            <w:tcBorders>
              <w:top w:val="nil"/>
              <w:left w:val="nil"/>
              <w:bottom w:val="nil"/>
              <w:right w:val="nil"/>
            </w:tcBorders>
            <w:hideMark/>
          </w:tcPr>
          <w:p w14:paraId="20870F6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F6A"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F6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F6C" w14:textId="77777777" w:rsidR="00802D3E" w:rsidRDefault="00802D3E">
            <w:pPr>
              <w:pStyle w:val="MeasureTableTextLeftAligned"/>
            </w:pPr>
          </w:p>
        </w:tc>
      </w:tr>
      <w:tr w:rsidR="00802D3E" w14:paraId="20870F70" w14:textId="77777777" w:rsidTr="00802D3E">
        <w:trPr>
          <w:cantSplit/>
          <w:jc w:val="center"/>
        </w:trPr>
        <w:tc>
          <w:tcPr>
            <w:tcW w:w="1934" w:type="dxa"/>
            <w:gridSpan w:val="2"/>
            <w:tcBorders>
              <w:top w:val="nil"/>
              <w:left w:val="nil"/>
              <w:bottom w:val="single" w:sz="2" w:space="0" w:color="auto"/>
              <w:right w:val="nil"/>
            </w:tcBorders>
            <w:hideMark/>
          </w:tcPr>
          <w:p w14:paraId="20870F6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F6F"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 xml:space="preserve">Section 38-355 of the </w:t>
            </w:r>
            <w:r>
              <w:rPr>
                <w:rFonts w:ascii="Arial" w:hAnsi="Arial" w:cs="Arial"/>
                <w:i/>
                <w:iCs/>
                <w:color w:val="000000"/>
                <w:sz w:val="16"/>
                <w:szCs w:val="16"/>
              </w:rPr>
              <w:t>A New Tax System (Goods and Services Tax) Act 1999</w:t>
            </w:r>
          </w:p>
        </w:tc>
      </w:tr>
    </w:tbl>
    <w:p w14:paraId="20870F71" w14:textId="77777777" w:rsidR="00802D3E" w:rsidRDefault="00802D3E" w:rsidP="00A109BC">
      <w:pPr>
        <w:pStyle w:val="SingleParagraph"/>
      </w:pPr>
    </w:p>
    <w:p w14:paraId="20870F72" w14:textId="77777777" w:rsidR="00802D3E" w:rsidRDefault="00802D3E" w:rsidP="00802D3E">
      <w:r>
        <w:t xml:space="preserve">Domestic air or sea travel within Australia by residents or non-residents as part of a wider international arrangement is not subject to GST. Domestic air travel within Australia by non-residents is also GST-free if the ticket is purchased outside Australia. Transport insurance for the above supplies is also GST-free. </w:t>
      </w:r>
    </w:p>
    <w:p w14:paraId="20870F73" w14:textId="77777777" w:rsidR="00802D3E" w:rsidRDefault="00802D3E" w:rsidP="00802D3E">
      <w:pPr>
        <w:pStyle w:val="TESHeading5"/>
        <w:ind w:left="0" w:firstLine="0"/>
      </w:pPr>
      <w:r>
        <w:lastRenderedPageBreak/>
        <w:t>H14</w:t>
      </w:r>
      <w:r>
        <w:tab/>
        <w:t xml:space="preserve">Tourism </w:t>
      </w:r>
      <w:r w:rsidR="007626B2">
        <w:t>–</w:t>
      </w:r>
      <w:r>
        <w:t xml:space="preserve"> inwards</w:t>
      </w:r>
      <w:r w:rsidR="007626B2">
        <w:t xml:space="preserve"> </w:t>
      </w:r>
      <w:r>
        <w:t>duty free</w:t>
      </w:r>
    </w:p>
    <w:p w14:paraId="20870F74"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F7D" w14:textId="77777777" w:rsidTr="00802D3E">
        <w:trPr>
          <w:cantSplit/>
          <w:jc w:val="center"/>
        </w:trPr>
        <w:tc>
          <w:tcPr>
            <w:tcW w:w="967" w:type="dxa"/>
            <w:tcBorders>
              <w:top w:val="single" w:sz="2" w:space="0" w:color="auto"/>
              <w:left w:val="nil"/>
              <w:bottom w:val="single" w:sz="2" w:space="0" w:color="auto"/>
              <w:right w:val="nil"/>
            </w:tcBorders>
            <w:hideMark/>
          </w:tcPr>
          <w:p w14:paraId="20870F7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F7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F7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F7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F7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F7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F7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F7C" w14:textId="77777777" w:rsidR="00802D3E" w:rsidRDefault="00802D3E">
            <w:pPr>
              <w:pStyle w:val="MeasureTableTextRightAligned"/>
            </w:pPr>
            <w:r>
              <w:t>2019-20</w:t>
            </w:r>
          </w:p>
        </w:tc>
      </w:tr>
      <w:tr w:rsidR="00802D3E" w14:paraId="20870F86" w14:textId="77777777" w:rsidTr="00802D3E">
        <w:trPr>
          <w:cantSplit/>
          <w:jc w:val="center"/>
        </w:trPr>
        <w:tc>
          <w:tcPr>
            <w:tcW w:w="967" w:type="dxa"/>
            <w:tcBorders>
              <w:top w:val="single" w:sz="2" w:space="0" w:color="auto"/>
              <w:left w:val="nil"/>
              <w:bottom w:val="single" w:sz="2" w:space="0" w:color="auto"/>
              <w:right w:val="nil"/>
            </w:tcBorders>
            <w:hideMark/>
          </w:tcPr>
          <w:p w14:paraId="20870F7E"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0F7F"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F8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F8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0F8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F83"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0F84"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0F85" w14:textId="77777777" w:rsidR="00802D3E" w:rsidRDefault="00802D3E">
            <w:pPr>
              <w:pStyle w:val="MeasureTableTextRightAligned"/>
            </w:pPr>
            <w:r>
              <w:t>*</w:t>
            </w:r>
          </w:p>
        </w:tc>
      </w:tr>
      <w:tr w:rsidR="00802D3E" w14:paraId="20870F8B" w14:textId="77777777" w:rsidTr="00802D3E">
        <w:trPr>
          <w:cantSplit/>
          <w:jc w:val="center"/>
        </w:trPr>
        <w:tc>
          <w:tcPr>
            <w:tcW w:w="1934" w:type="dxa"/>
            <w:gridSpan w:val="2"/>
            <w:tcBorders>
              <w:top w:val="single" w:sz="2" w:space="0" w:color="auto"/>
              <w:left w:val="nil"/>
              <w:bottom w:val="nil"/>
              <w:right w:val="nil"/>
            </w:tcBorders>
            <w:hideMark/>
          </w:tcPr>
          <w:p w14:paraId="20870F8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F8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F8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F8A" w14:textId="77777777" w:rsidR="00802D3E" w:rsidRDefault="00802D3E">
            <w:pPr>
              <w:pStyle w:val="MeasureTableTextLeftAligned"/>
            </w:pPr>
            <w:r>
              <w:t>H14</w:t>
            </w:r>
          </w:p>
        </w:tc>
      </w:tr>
      <w:tr w:rsidR="00802D3E" w14:paraId="20870F90" w14:textId="77777777" w:rsidTr="00802D3E">
        <w:trPr>
          <w:cantSplit/>
          <w:jc w:val="center"/>
        </w:trPr>
        <w:tc>
          <w:tcPr>
            <w:tcW w:w="1934" w:type="dxa"/>
            <w:gridSpan w:val="2"/>
            <w:tcBorders>
              <w:top w:val="nil"/>
              <w:left w:val="nil"/>
              <w:bottom w:val="nil"/>
              <w:right w:val="nil"/>
            </w:tcBorders>
            <w:hideMark/>
          </w:tcPr>
          <w:p w14:paraId="20870F8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F8D"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0F8E"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0F8F" w14:textId="77777777" w:rsidR="00802D3E" w:rsidRDefault="00802D3E">
            <w:pPr>
              <w:pStyle w:val="MeasureTableTextLeftAligned"/>
            </w:pPr>
            <w:r>
              <w:t>3+</w:t>
            </w:r>
          </w:p>
        </w:tc>
      </w:tr>
      <w:tr w:rsidR="00802D3E" w14:paraId="20870F95" w14:textId="77777777" w:rsidTr="00802D3E">
        <w:trPr>
          <w:cantSplit/>
          <w:jc w:val="center"/>
        </w:trPr>
        <w:tc>
          <w:tcPr>
            <w:tcW w:w="1934" w:type="dxa"/>
            <w:gridSpan w:val="2"/>
            <w:tcBorders>
              <w:top w:val="nil"/>
              <w:left w:val="nil"/>
              <w:bottom w:val="nil"/>
              <w:right w:val="nil"/>
            </w:tcBorders>
            <w:hideMark/>
          </w:tcPr>
          <w:p w14:paraId="20870F9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F92"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F9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F94" w14:textId="77777777" w:rsidR="00802D3E" w:rsidRDefault="00802D3E">
            <w:pPr>
              <w:pStyle w:val="MeasureTableTextLeftAligned"/>
            </w:pPr>
          </w:p>
        </w:tc>
      </w:tr>
      <w:tr w:rsidR="00802D3E" w14:paraId="20870F98" w14:textId="77777777" w:rsidTr="00802D3E">
        <w:trPr>
          <w:cantSplit/>
          <w:jc w:val="center"/>
        </w:trPr>
        <w:tc>
          <w:tcPr>
            <w:tcW w:w="1934" w:type="dxa"/>
            <w:gridSpan w:val="2"/>
            <w:tcBorders>
              <w:top w:val="nil"/>
              <w:left w:val="nil"/>
              <w:bottom w:val="single" w:sz="2" w:space="0" w:color="auto"/>
              <w:right w:val="nil"/>
            </w:tcBorders>
            <w:hideMark/>
          </w:tcPr>
          <w:p w14:paraId="20870F9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F97"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 xml:space="preserve">Section 38-415 of the </w:t>
            </w:r>
            <w:r>
              <w:rPr>
                <w:rFonts w:ascii="Arial" w:hAnsi="Arial" w:cs="Arial"/>
                <w:i/>
                <w:iCs/>
                <w:color w:val="000000"/>
                <w:sz w:val="16"/>
                <w:szCs w:val="16"/>
              </w:rPr>
              <w:t>A New Tax System (Goods and Services Tax) Act 1999</w:t>
            </w:r>
          </w:p>
        </w:tc>
      </w:tr>
    </w:tbl>
    <w:p w14:paraId="20870F99" w14:textId="77777777" w:rsidR="00802D3E" w:rsidRDefault="00802D3E" w:rsidP="00A109BC">
      <w:pPr>
        <w:pStyle w:val="SingleParagraph"/>
      </w:pPr>
    </w:p>
    <w:p w14:paraId="20870F9A" w14:textId="77777777" w:rsidR="00802D3E" w:rsidRDefault="00802D3E" w:rsidP="00802D3E">
      <w:r>
        <w:t>Supplies made through an inwards duty free shop</w:t>
      </w:r>
      <w:r>
        <w:fldChar w:fldCharType="begin"/>
      </w:r>
      <w:r>
        <w:instrText xml:space="preserve"> XE "Duty free" </w:instrText>
      </w:r>
      <w:r>
        <w:fldChar w:fldCharType="end"/>
      </w:r>
      <w:r>
        <w:t xml:space="preserve"> to inbound international travellers are not subject to GST. </w:t>
      </w:r>
    </w:p>
    <w:p w14:paraId="20870F9B" w14:textId="77777777" w:rsidR="00802D3E" w:rsidRDefault="00802D3E" w:rsidP="00802D3E">
      <w:pPr>
        <w:pStyle w:val="TESHeading5"/>
        <w:ind w:left="0" w:firstLine="0"/>
      </w:pPr>
      <w:r>
        <w:t>H15</w:t>
      </w:r>
      <w:r>
        <w:tab/>
        <w:t xml:space="preserve">Tourism </w:t>
      </w:r>
      <w:r w:rsidR="007626B2">
        <w:t>–</w:t>
      </w:r>
      <w:r>
        <w:t xml:space="preserve"> travel</w:t>
      </w:r>
      <w:r w:rsidR="007626B2">
        <w:t xml:space="preserve"> </w:t>
      </w:r>
      <w:r>
        <w:t xml:space="preserve">agents </w:t>
      </w:r>
      <w:r w:rsidR="007626B2">
        <w:t>–</w:t>
      </w:r>
      <w:r>
        <w:t xml:space="preserve"> overseas</w:t>
      </w:r>
      <w:r w:rsidR="007626B2">
        <w:t xml:space="preserve"> </w:t>
      </w:r>
      <w:r>
        <w:t>travel</w:t>
      </w:r>
    </w:p>
    <w:p w14:paraId="20870F9C" w14:textId="77777777" w:rsidR="00802D3E" w:rsidRDefault="00802D3E" w:rsidP="00802D3E">
      <w:pPr>
        <w:pStyle w:val="MeasureTableHeading"/>
      </w:pPr>
      <w:r>
        <w:t xml:space="preserve">Other economic affairs </w:t>
      </w:r>
      <w:r w:rsidR="007626B2">
        <w:t>–</w:t>
      </w:r>
      <w:r>
        <w:t xml:space="preserve"> Other</w:t>
      </w:r>
      <w:r w:rsidR="007626B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FA5" w14:textId="77777777" w:rsidTr="00802D3E">
        <w:trPr>
          <w:cantSplit/>
          <w:jc w:val="center"/>
        </w:trPr>
        <w:tc>
          <w:tcPr>
            <w:tcW w:w="967" w:type="dxa"/>
            <w:tcBorders>
              <w:top w:val="single" w:sz="2" w:space="0" w:color="auto"/>
              <w:left w:val="nil"/>
              <w:bottom w:val="single" w:sz="2" w:space="0" w:color="auto"/>
              <w:right w:val="nil"/>
            </w:tcBorders>
            <w:hideMark/>
          </w:tcPr>
          <w:p w14:paraId="20870F9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F9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F9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FA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FA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FA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FA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FA4" w14:textId="77777777" w:rsidR="00802D3E" w:rsidRDefault="00802D3E">
            <w:pPr>
              <w:pStyle w:val="MeasureTableTextRightAligned"/>
            </w:pPr>
            <w:r>
              <w:t>2019-20</w:t>
            </w:r>
          </w:p>
        </w:tc>
      </w:tr>
      <w:tr w:rsidR="00802D3E" w14:paraId="20870FAE" w14:textId="77777777" w:rsidTr="00802D3E">
        <w:trPr>
          <w:cantSplit/>
          <w:jc w:val="center"/>
        </w:trPr>
        <w:tc>
          <w:tcPr>
            <w:tcW w:w="967" w:type="dxa"/>
            <w:tcBorders>
              <w:top w:val="single" w:sz="2" w:space="0" w:color="auto"/>
              <w:left w:val="nil"/>
              <w:bottom w:val="single" w:sz="2" w:space="0" w:color="auto"/>
              <w:right w:val="nil"/>
            </w:tcBorders>
            <w:hideMark/>
          </w:tcPr>
          <w:p w14:paraId="20870FA6" w14:textId="77777777" w:rsidR="00802D3E" w:rsidRDefault="00802D3E">
            <w:pPr>
              <w:pStyle w:val="MeasureTableTextRightAligned"/>
            </w:pPr>
            <w:r>
              <w:t>160</w:t>
            </w:r>
          </w:p>
        </w:tc>
        <w:tc>
          <w:tcPr>
            <w:tcW w:w="967" w:type="dxa"/>
            <w:tcBorders>
              <w:top w:val="single" w:sz="2" w:space="0" w:color="auto"/>
              <w:left w:val="nil"/>
              <w:bottom w:val="single" w:sz="2" w:space="0" w:color="auto"/>
              <w:right w:val="nil"/>
            </w:tcBorders>
            <w:hideMark/>
          </w:tcPr>
          <w:p w14:paraId="20870FA7" w14:textId="77777777" w:rsidR="00802D3E" w:rsidRDefault="00802D3E">
            <w:pPr>
              <w:pStyle w:val="MeasureTableTextRightAligned"/>
            </w:pPr>
            <w:r>
              <w:t>165</w:t>
            </w:r>
          </w:p>
        </w:tc>
        <w:tc>
          <w:tcPr>
            <w:tcW w:w="967" w:type="dxa"/>
            <w:tcBorders>
              <w:top w:val="single" w:sz="2" w:space="0" w:color="auto"/>
              <w:left w:val="nil"/>
              <w:bottom w:val="single" w:sz="2" w:space="0" w:color="auto"/>
              <w:right w:val="nil"/>
            </w:tcBorders>
            <w:vAlign w:val="bottom"/>
            <w:hideMark/>
          </w:tcPr>
          <w:p w14:paraId="20870FA8" w14:textId="77777777" w:rsidR="00802D3E" w:rsidRDefault="00802D3E">
            <w:pPr>
              <w:pStyle w:val="MeasureTableTextRightAligned"/>
            </w:pPr>
            <w:r>
              <w:t>170</w:t>
            </w:r>
          </w:p>
        </w:tc>
        <w:tc>
          <w:tcPr>
            <w:tcW w:w="967" w:type="dxa"/>
            <w:tcBorders>
              <w:top w:val="single" w:sz="2" w:space="0" w:color="auto"/>
              <w:left w:val="nil"/>
              <w:bottom w:val="single" w:sz="2" w:space="0" w:color="auto"/>
              <w:right w:val="nil"/>
            </w:tcBorders>
            <w:vAlign w:val="bottom"/>
            <w:hideMark/>
          </w:tcPr>
          <w:p w14:paraId="20870FA9" w14:textId="77777777" w:rsidR="00802D3E" w:rsidRDefault="00802D3E">
            <w:pPr>
              <w:pStyle w:val="MeasureTableTextRightAligned"/>
            </w:pPr>
            <w:r>
              <w:t>175</w:t>
            </w:r>
          </w:p>
        </w:tc>
        <w:tc>
          <w:tcPr>
            <w:tcW w:w="967" w:type="dxa"/>
            <w:tcBorders>
              <w:top w:val="single" w:sz="2" w:space="0" w:color="auto"/>
              <w:left w:val="nil"/>
              <w:bottom w:val="single" w:sz="2" w:space="0" w:color="auto"/>
              <w:right w:val="nil"/>
            </w:tcBorders>
            <w:vAlign w:val="bottom"/>
            <w:hideMark/>
          </w:tcPr>
          <w:p w14:paraId="20870FAA" w14:textId="77777777" w:rsidR="00802D3E" w:rsidRDefault="00802D3E">
            <w:pPr>
              <w:pStyle w:val="MeasureTableTextRightAligned"/>
            </w:pPr>
            <w:r>
              <w:t>175</w:t>
            </w:r>
          </w:p>
        </w:tc>
        <w:tc>
          <w:tcPr>
            <w:tcW w:w="967" w:type="dxa"/>
            <w:gridSpan w:val="2"/>
            <w:tcBorders>
              <w:top w:val="single" w:sz="2" w:space="0" w:color="auto"/>
              <w:left w:val="nil"/>
              <w:bottom w:val="single" w:sz="2" w:space="0" w:color="auto"/>
              <w:right w:val="nil"/>
            </w:tcBorders>
            <w:vAlign w:val="bottom"/>
            <w:hideMark/>
          </w:tcPr>
          <w:p w14:paraId="20870FAB" w14:textId="77777777" w:rsidR="00802D3E" w:rsidRDefault="00802D3E">
            <w:pPr>
              <w:pStyle w:val="MeasureTableTextRightAligned"/>
            </w:pPr>
            <w:r>
              <w:t>175</w:t>
            </w:r>
          </w:p>
        </w:tc>
        <w:tc>
          <w:tcPr>
            <w:tcW w:w="967" w:type="dxa"/>
            <w:gridSpan w:val="2"/>
            <w:tcBorders>
              <w:top w:val="single" w:sz="2" w:space="0" w:color="auto"/>
              <w:left w:val="nil"/>
              <w:bottom w:val="single" w:sz="2" w:space="0" w:color="auto"/>
              <w:right w:val="nil"/>
            </w:tcBorders>
            <w:vAlign w:val="bottom"/>
            <w:hideMark/>
          </w:tcPr>
          <w:p w14:paraId="20870FAC" w14:textId="77777777" w:rsidR="00802D3E" w:rsidRDefault="00802D3E">
            <w:pPr>
              <w:pStyle w:val="MeasureTableTextRightAligned"/>
            </w:pPr>
            <w:r>
              <w:t>180</w:t>
            </w:r>
          </w:p>
        </w:tc>
        <w:tc>
          <w:tcPr>
            <w:tcW w:w="968" w:type="dxa"/>
            <w:tcBorders>
              <w:top w:val="single" w:sz="2" w:space="0" w:color="auto"/>
              <w:left w:val="nil"/>
              <w:bottom w:val="single" w:sz="2" w:space="0" w:color="auto"/>
              <w:right w:val="nil"/>
            </w:tcBorders>
            <w:vAlign w:val="bottom"/>
            <w:hideMark/>
          </w:tcPr>
          <w:p w14:paraId="20870FAD" w14:textId="77777777" w:rsidR="00802D3E" w:rsidRDefault="00802D3E">
            <w:pPr>
              <w:pStyle w:val="MeasureTableTextRightAligned"/>
            </w:pPr>
            <w:r>
              <w:t>190</w:t>
            </w:r>
          </w:p>
        </w:tc>
      </w:tr>
      <w:tr w:rsidR="00802D3E" w14:paraId="20870FB3" w14:textId="77777777" w:rsidTr="00802D3E">
        <w:trPr>
          <w:cantSplit/>
          <w:jc w:val="center"/>
        </w:trPr>
        <w:tc>
          <w:tcPr>
            <w:tcW w:w="1934" w:type="dxa"/>
            <w:gridSpan w:val="2"/>
            <w:tcBorders>
              <w:top w:val="single" w:sz="2" w:space="0" w:color="auto"/>
              <w:left w:val="nil"/>
              <w:bottom w:val="nil"/>
              <w:right w:val="nil"/>
            </w:tcBorders>
            <w:hideMark/>
          </w:tcPr>
          <w:p w14:paraId="20870FA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FB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FB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FB2" w14:textId="77777777" w:rsidR="00802D3E" w:rsidRDefault="00802D3E">
            <w:pPr>
              <w:pStyle w:val="MeasureTableTextLeftAligned"/>
            </w:pPr>
            <w:r>
              <w:t>H15</w:t>
            </w:r>
          </w:p>
        </w:tc>
      </w:tr>
      <w:tr w:rsidR="00802D3E" w14:paraId="20870FB8" w14:textId="77777777" w:rsidTr="00802D3E">
        <w:trPr>
          <w:cantSplit/>
          <w:jc w:val="center"/>
        </w:trPr>
        <w:tc>
          <w:tcPr>
            <w:tcW w:w="1934" w:type="dxa"/>
            <w:gridSpan w:val="2"/>
            <w:tcBorders>
              <w:top w:val="nil"/>
              <w:left w:val="nil"/>
              <w:bottom w:val="nil"/>
              <w:right w:val="nil"/>
            </w:tcBorders>
            <w:hideMark/>
          </w:tcPr>
          <w:p w14:paraId="20870FB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FB5" w14:textId="77777777" w:rsidR="00802D3E" w:rsidRDefault="00802D3E">
            <w:pPr>
              <w:pStyle w:val="MeasureTableTextLeftAligned"/>
            </w:pPr>
            <w:r>
              <w:t>Low</w:t>
            </w:r>
          </w:p>
        </w:tc>
        <w:tc>
          <w:tcPr>
            <w:tcW w:w="1500" w:type="dxa"/>
            <w:gridSpan w:val="2"/>
            <w:tcBorders>
              <w:top w:val="nil"/>
              <w:left w:val="nil"/>
              <w:bottom w:val="nil"/>
              <w:right w:val="nil"/>
            </w:tcBorders>
          </w:tcPr>
          <w:p w14:paraId="20870FB6" w14:textId="77777777" w:rsidR="00802D3E" w:rsidRDefault="00802D3E">
            <w:pPr>
              <w:pStyle w:val="MeasureTableTextItalic"/>
            </w:pPr>
          </w:p>
        </w:tc>
        <w:tc>
          <w:tcPr>
            <w:tcW w:w="1124" w:type="dxa"/>
            <w:gridSpan w:val="2"/>
            <w:tcBorders>
              <w:top w:val="nil"/>
              <w:left w:val="nil"/>
              <w:bottom w:val="nil"/>
              <w:right w:val="nil"/>
            </w:tcBorders>
          </w:tcPr>
          <w:p w14:paraId="20870FB7" w14:textId="77777777" w:rsidR="00802D3E" w:rsidRDefault="00802D3E">
            <w:pPr>
              <w:pStyle w:val="MeasureTableTextLeftAligned"/>
            </w:pPr>
          </w:p>
        </w:tc>
      </w:tr>
      <w:tr w:rsidR="00802D3E" w14:paraId="20870FBD" w14:textId="77777777" w:rsidTr="00802D3E">
        <w:trPr>
          <w:cantSplit/>
          <w:jc w:val="center"/>
        </w:trPr>
        <w:tc>
          <w:tcPr>
            <w:tcW w:w="1934" w:type="dxa"/>
            <w:gridSpan w:val="2"/>
            <w:tcBorders>
              <w:top w:val="nil"/>
              <w:left w:val="nil"/>
              <w:bottom w:val="nil"/>
              <w:right w:val="nil"/>
            </w:tcBorders>
            <w:hideMark/>
          </w:tcPr>
          <w:p w14:paraId="20870FB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FBA"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FB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FBC" w14:textId="77777777" w:rsidR="00802D3E" w:rsidRDefault="00802D3E">
            <w:pPr>
              <w:pStyle w:val="MeasureTableTextLeftAligned"/>
            </w:pPr>
          </w:p>
        </w:tc>
      </w:tr>
      <w:tr w:rsidR="00802D3E" w14:paraId="20870FC0" w14:textId="77777777" w:rsidTr="00802D3E">
        <w:trPr>
          <w:cantSplit/>
          <w:jc w:val="center"/>
        </w:trPr>
        <w:tc>
          <w:tcPr>
            <w:tcW w:w="1934" w:type="dxa"/>
            <w:gridSpan w:val="2"/>
            <w:tcBorders>
              <w:top w:val="nil"/>
              <w:left w:val="nil"/>
              <w:bottom w:val="single" w:sz="2" w:space="0" w:color="auto"/>
              <w:right w:val="nil"/>
            </w:tcBorders>
            <w:hideMark/>
          </w:tcPr>
          <w:p w14:paraId="20870FB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FBF"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 xml:space="preserve">Section 38-360 of the </w:t>
            </w:r>
            <w:r>
              <w:rPr>
                <w:rFonts w:ascii="Arial" w:hAnsi="Arial" w:cs="Arial"/>
                <w:i/>
                <w:iCs/>
                <w:color w:val="000000"/>
                <w:sz w:val="16"/>
                <w:szCs w:val="16"/>
              </w:rPr>
              <w:t>A New Tax System (Goods and Services Tax) Act 1999</w:t>
            </w:r>
          </w:p>
        </w:tc>
      </w:tr>
    </w:tbl>
    <w:p w14:paraId="20870FC1" w14:textId="77777777" w:rsidR="00802D3E" w:rsidRDefault="00802D3E" w:rsidP="00A109BC">
      <w:pPr>
        <w:pStyle w:val="SingleParagraph"/>
      </w:pPr>
    </w:p>
    <w:p w14:paraId="20870FC2" w14:textId="77777777" w:rsidR="00802D3E" w:rsidRDefault="00802D3E" w:rsidP="00802D3E">
      <w:r>
        <w:t>The arranging of overseas travel, accommodation and other services by travel agents in Australia in the course of their business is GST-free.</w:t>
      </w:r>
      <w:r>
        <w:fldChar w:fldCharType="begin"/>
      </w:r>
      <w:r>
        <w:instrText xml:space="preserve"> XE "Goods and Services Tax:Travel" </w:instrText>
      </w:r>
      <w:r>
        <w:fldChar w:fldCharType="end"/>
      </w:r>
      <w:r>
        <w:t xml:space="preserve"> The arranging service must relate to a holiday or supply that takes place or is used overseas. </w:t>
      </w:r>
    </w:p>
    <w:p w14:paraId="20870FC3" w14:textId="77777777" w:rsidR="00802D3E" w:rsidRDefault="00802D3E" w:rsidP="00802D3E">
      <w:pPr>
        <w:pStyle w:val="TESHeading5"/>
        <w:ind w:left="0" w:firstLine="0"/>
      </w:pPr>
      <w:r>
        <w:t>H16</w:t>
      </w:r>
      <w:r>
        <w:tab/>
        <w:t>Education</w:t>
      </w:r>
    </w:p>
    <w:p w14:paraId="20870FC4" w14:textId="77777777" w:rsidR="00802D3E" w:rsidRDefault="00802D3E" w:rsidP="00802D3E">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FCD" w14:textId="77777777" w:rsidTr="00802D3E">
        <w:trPr>
          <w:cantSplit/>
          <w:jc w:val="center"/>
        </w:trPr>
        <w:tc>
          <w:tcPr>
            <w:tcW w:w="967" w:type="dxa"/>
            <w:tcBorders>
              <w:top w:val="single" w:sz="2" w:space="0" w:color="auto"/>
              <w:left w:val="nil"/>
              <w:bottom w:val="single" w:sz="2" w:space="0" w:color="auto"/>
              <w:right w:val="nil"/>
            </w:tcBorders>
            <w:hideMark/>
          </w:tcPr>
          <w:p w14:paraId="20870FC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FC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FC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FC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FC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FC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FC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FCC" w14:textId="77777777" w:rsidR="00802D3E" w:rsidRDefault="00802D3E">
            <w:pPr>
              <w:pStyle w:val="MeasureTableTextRightAligned"/>
            </w:pPr>
            <w:r>
              <w:t>2019-20</w:t>
            </w:r>
          </w:p>
        </w:tc>
      </w:tr>
      <w:tr w:rsidR="00802D3E" w14:paraId="20870FD6" w14:textId="77777777" w:rsidTr="00802D3E">
        <w:trPr>
          <w:cantSplit/>
          <w:jc w:val="center"/>
        </w:trPr>
        <w:tc>
          <w:tcPr>
            <w:tcW w:w="967" w:type="dxa"/>
            <w:tcBorders>
              <w:top w:val="single" w:sz="2" w:space="0" w:color="auto"/>
              <w:left w:val="nil"/>
              <w:bottom w:val="single" w:sz="2" w:space="0" w:color="auto"/>
              <w:right w:val="nil"/>
            </w:tcBorders>
            <w:hideMark/>
          </w:tcPr>
          <w:p w14:paraId="20870FCE" w14:textId="77777777" w:rsidR="00802D3E" w:rsidRDefault="00802D3E">
            <w:pPr>
              <w:pStyle w:val="MeasureTableTextRightAligned"/>
            </w:pPr>
            <w:r>
              <w:t>3,350</w:t>
            </w:r>
          </w:p>
        </w:tc>
        <w:tc>
          <w:tcPr>
            <w:tcW w:w="967" w:type="dxa"/>
            <w:tcBorders>
              <w:top w:val="single" w:sz="2" w:space="0" w:color="auto"/>
              <w:left w:val="nil"/>
              <w:bottom w:val="single" w:sz="2" w:space="0" w:color="auto"/>
              <w:right w:val="nil"/>
            </w:tcBorders>
            <w:hideMark/>
          </w:tcPr>
          <w:p w14:paraId="20870FCF" w14:textId="77777777" w:rsidR="00802D3E" w:rsidRDefault="00802D3E">
            <w:pPr>
              <w:pStyle w:val="MeasureTableTextRightAligned"/>
            </w:pPr>
            <w:r>
              <w:t>3,650</w:t>
            </w:r>
          </w:p>
        </w:tc>
        <w:tc>
          <w:tcPr>
            <w:tcW w:w="967" w:type="dxa"/>
            <w:tcBorders>
              <w:top w:val="single" w:sz="2" w:space="0" w:color="auto"/>
              <w:left w:val="nil"/>
              <w:bottom w:val="single" w:sz="2" w:space="0" w:color="auto"/>
              <w:right w:val="nil"/>
            </w:tcBorders>
            <w:vAlign w:val="bottom"/>
            <w:hideMark/>
          </w:tcPr>
          <w:p w14:paraId="20870FD0" w14:textId="77777777" w:rsidR="00802D3E" w:rsidRDefault="00802D3E">
            <w:pPr>
              <w:pStyle w:val="MeasureTableTextRightAligned"/>
            </w:pPr>
            <w:r>
              <w:t>3,850</w:t>
            </w:r>
          </w:p>
        </w:tc>
        <w:tc>
          <w:tcPr>
            <w:tcW w:w="967" w:type="dxa"/>
            <w:tcBorders>
              <w:top w:val="single" w:sz="2" w:space="0" w:color="auto"/>
              <w:left w:val="nil"/>
              <w:bottom w:val="single" w:sz="2" w:space="0" w:color="auto"/>
              <w:right w:val="nil"/>
            </w:tcBorders>
            <w:vAlign w:val="bottom"/>
            <w:hideMark/>
          </w:tcPr>
          <w:p w14:paraId="20870FD1" w14:textId="77777777" w:rsidR="00802D3E" w:rsidRDefault="00802D3E">
            <w:pPr>
              <w:pStyle w:val="MeasureTableTextRightAligned"/>
            </w:pPr>
            <w:r>
              <w:t>4,150</w:t>
            </w:r>
          </w:p>
        </w:tc>
        <w:tc>
          <w:tcPr>
            <w:tcW w:w="967" w:type="dxa"/>
            <w:tcBorders>
              <w:top w:val="single" w:sz="2" w:space="0" w:color="auto"/>
              <w:left w:val="nil"/>
              <w:bottom w:val="single" w:sz="2" w:space="0" w:color="auto"/>
              <w:right w:val="nil"/>
            </w:tcBorders>
            <w:vAlign w:val="bottom"/>
            <w:hideMark/>
          </w:tcPr>
          <w:p w14:paraId="20870FD2" w14:textId="77777777" w:rsidR="00802D3E" w:rsidRDefault="00802D3E">
            <w:pPr>
              <w:pStyle w:val="MeasureTableTextRightAligned"/>
            </w:pPr>
            <w:r>
              <w:t>4,500</w:t>
            </w:r>
          </w:p>
        </w:tc>
        <w:tc>
          <w:tcPr>
            <w:tcW w:w="967" w:type="dxa"/>
            <w:gridSpan w:val="2"/>
            <w:tcBorders>
              <w:top w:val="single" w:sz="2" w:space="0" w:color="auto"/>
              <w:left w:val="nil"/>
              <w:bottom w:val="single" w:sz="2" w:space="0" w:color="auto"/>
              <w:right w:val="nil"/>
            </w:tcBorders>
            <w:vAlign w:val="bottom"/>
            <w:hideMark/>
          </w:tcPr>
          <w:p w14:paraId="20870FD3" w14:textId="77777777" w:rsidR="00802D3E" w:rsidRDefault="00802D3E">
            <w:pPr>
              <w:pStyle w:val="MeasureTableTextRightAligned"/>
            </w:pPr>
            <w:r>
              <w:t>4,850</w:t>
            </w:r>
          </w:p>
        </w:tc>
        <w:tc>
          <w:tcPr>
            <w:tcW w:w="967" w:type="dxa"/>
            <w:gridSpan w:val="2"/>
            <w:tcBorders>
              <w:top w:val="single" w:sz="2" w:space="0" w:color="auto"/>
              <w:left w:val="nil"/>
              <w:bottom w:val="single" w:sz="2" w:space="0" w:color="auto"/>
              <w:right w:val="nil"/>
            </w:tcBorders>
            <w:vAlign w:val="bottom"/>
            <w:hideMark/>
          </w:tcPr>
          <w:p w14:paraId="20870FD4" w14:textId="77777777" w:rsidR="00802D3E" w:rsidRDefault="00802D3E">
            <w:pPr>
              <w:pStyle w:val="MeasureTableTextRightAligned"/>
            </w:pPr>
            <w:r>
              <w:t>5,250</w:t>
            </w:r>
          </w:p>
        </w:tc>
        <w:tc>
          <w:tcPr>
            <w:tcW w:w="968" w:type="dxa"/>
            <w:tcBorders>
              <w:top w:val="single" w:sz="2" w:space="0" w:color="auto"/>
              <w:left w:val="nil"/>
              <w:bottom w:val="single" w:sz="2" w:space="0" w:color="auto"/>
              <w:right w:val="nil"/>
            </w:tcBorders>
            <w:vAlign w:val="bottom"/>
            <w:hideMark/>
          </w:tcPr>
          <w:p w14:paraId="20870FD5" w14:textId="77777777" w:rsidR="00802D3E" w:rsidRDefault="00802D3E">
            <w:pPr>
              <w:pStyle w:val="MeasureTableTextRightAligned"/>
            </w:pPr>
            <w:r>
              <w:t>5,700</w:t>
            </w:r>
          </w:p>
        </w:tc>
      </w:tr>
      <w:tr w:rsidR="00802D3E" w14:paraId="20870FDB" w14:textId="77777777" w:rsidTr="00802D3E">
        <w:trPr>
          <w:cantSplit/>
          <w:jc w:val="center"/>
        </w:trPr>
        <w:tc>
          <w:tcPr>
            <w:tcW w:w="1934" w:type="dxa"/>
            <w:gridSpan w:val="2"/>
            <w:tcBorders>
              <w:top w:val="single" w:sz="2" w:space="0" w:color="auto"/>
              <w:left w:val="nil"/>
              <w:bottom w:val="nil"/>
              <w:right w:val="nil"/>
            </w:tcBorders>
            <w:hideMark/>
          </w:tcPr>
          <w:p w14:paraId="20870FD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0FD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0FD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0FDA" w14:textId="77777777" w:rsidR="00802D3E" w:rsidRDefault="00802D3E">
            <w:pPr>
              <w:pStyle w:val="MeasureTableTextLeftAligned"/>
            </w:pPr>
            <w:r>
              <w:t>H16</w:t>
            </w:r>
          </w:p>
        </w:tc>
      </w:tr>
      <w:tr w:rsidR="00802D3E" w14:paraId="20870FE0" w14:textId="77777777" w:rsidTr="00802D3E">
        <w:trPr>
          <w:cantSplit/>
          <w:jc w:val="center"/>
        </w:trPr>
        <w:tc>
          <w:tcPr>
            <w:tcW w:w="1934" w:type="dxa"/>
            <w:gridSpan w:val="2"/>
            <w:tcBorders>
              <w:top w:val="nil"/>
              <w:left w:val="nil"/>
              <w:bottom w:val="nil"/>
              <w:right w:val="nil"/>
            </w:tcBorders>
            <w:hideMark/>
          </w:tcPr>
          <w:p w14:paraId="20870FD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0FDD" w14:textId="77777777" w:rsidR="00802D3E" w:rsidRDefault="00802D3E">
            <w:pPr>
              <w:pStyle w:val="MeasureTableTextLeftAligned"/>
            </w:pPr>
            <w:r>
              <w:t>Medium</w:t>
            </w:r>
          </w:p>
        </w:tc>
        <w:tc>
          <w:tcPr>
            <w:tcW w:w="1500" w:type="dxa"/>
            <w:gridSpan w:val="2"/>
            <w:tcBorders>
              <w:top w:val="nil"/>
              <w:left w:val="nil"/>
              <w:bottom w:val="nil"/>
              <w:right w:val="nil"/>
            </w:tcBorders>
          </w:tcPr>
          <w:p w14:paraId="20870FDE" w14:textId="77777777" w:rsidR="00802D3E" w:rsidRDefault="00802D3E">
            <w:pPr>
              <w:pStyle w:val="MeasureTableTextItalic"/>
            </w:pPr>
          </w:p>
        </w:tc>
        <w:tc>
          <w:tcPr>
            <w:tcW w:w="1124" w:type="dxa"/>
            <w:gridSpan w:val="2"/>
            <w:tcBorders>
              <w:top w:val="nil"/>
              <w:left w:val="nil"/>
              <w:bottom w:val="nil"/>
              <w:right w:val="nil"/>
            </w:tcBorders>
          </w:tcPr>
          <w:p w14:paraId="20870FDF" w14:textId="77777777" w:rsidR="00802D3E" w:rsidRDefault="00802D3E">
            <w:pPr>
              <w:pStyle w:val="MeasureTableTextLeftAligned"/>
            </w:pPr>
          </w:p>
        </w:tc>
      </w:tr>
      <w:tr w:rsidR="00802D3E" w14:paraId="20870FE5" w14:textId="77777777" w:rsidTr="00802D3E">
        <w:trPr>
          <w:cantSplit/>
          <w:jc w:val="center"/>
        </w:trPr>
        <w:tc>
          <w:tcPr>
            <w:tcW w:w="1934" w:type="dxa"/>
            <w:gridSpan w:val="2"/>
            <w:tcBorders>
              <w:top w:val="nil"/>
              <w:left w:val="nil"/>
              <w:bottom w:val="nil"/>
              <w:right w:val="nil"/>
            </w:tcBorders>
            <w:hideMark/>
          </w:tcPr>
          <w:p w14:paraId="20870FE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0FE2"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0FE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0FE4" w14:textId="77777777" w:rsidR="00802D3E" w:rsidRDefault="00802D3E">
            <w:pPr>
              <w:pStyle w:val="MeasureTableTextLeftAligned"/>
            </w:pPr>
          </w:p>
        </w:tc>
      </w:tr>
      <w:tr w:rsidR="00802D3E" w14:paraId="20870FE8" w14:textId="77777777" w:rsidTr="00802D3E">
        <w:trPr>
          <w:cantSplit/>
          <w:jc w:val="center"/>
        </w:trPr>
        <w:tc>
          <w:tcPr>
            <w:tcW w:w="1934" w:type="dxa"/>
            <w:gridSpan w:val="2"/>
            <w:tcBorders>
              <w:top w:val="nil"/>
              <w:left w:val="nil"/>
              <w:bottom w:val="single" w:sz="2" w:space="0" w:color="auto"/>
              <w:right w:val="nil"/>
            </w:tcBorders>
            <w:hideMark/>
          </w:tcPr>
          <w:p w14:paraId="20870FE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0FE7" w14:textId="3081DB2F" w:rsidR="00802D3E" w:rsidRDefault="00802D3E" w:rsidP="00C11FD2">
            <w:pPr>
              <w:widowControl w:val="0"/>
              <w:autoSpaceDE w:val="0"/>
              <w:autoSpaceDN w:val="0"/>
              <w:adjustRightInd w:val="0"/>
              <w:spacing w:after="0" w:line="240" w:lineRule="auto"/>
              <w:jc w:val="left"/>
            </w:pPr>
            <w:r>
              <w:rPr>
                <w:rFonts w:ascii="Arial" w:hAnsi="Arial" w:cs="Arial"/>
                <w:color w:val="000000"/>
                <w:sz w:val="16"/>
                <w:szCs w:val="16"/>
              </w:rPr>
              <w:t xml:space="preserve">Subdivision 38-C of the </w:t>
            </w:r>
            <w:r>
              <w:rPr>
                <w:rFonts w:ascii="Arial" w:hAnsi="Arial" w:cs="Arial"/>
                <w:i/>
                <w:iCs/>
                <w:color w:val="000000"/>
                <w:sz w:val="16"/>
                <w:szCs w:val="16"/>
              </w:rPr>
              <w:t>A New Tax System (Goods and Services Tax) Act</w:t>
            </w:r>
            <w:r w:rsidR="00C11FD2">
              <w:rPr>
                <w:rFonts w:ascii="Arial" w:hAnsi="Arial" w:cs="Arial"/>
                <w:i/>
                <w:iCs/>
                <w:color w:val="000000"/>
                <w:sz w:val="16"/>
                <w:szCs w:val="16"/>
              </w:rPr>
              <w:t> </w:t>
            </w:r>
            <w:r>
              <w:rPr>
                <w:rFonts w:ascii="Arial" w:hAnsi="Arial" w:cs="Arial"/>
                <w:i/>
                <w:iCs/>
                <w:color w:val="000000"/>
                <w:sz w:val="16"/>
                <w:szCs w:val="16"/>
              </w:rPr>
              <w:t>1999</w:t>
            </w:r>
          </w:p>
        </w:tc>
      </w:tr>
    </w:tbl>
    <w:p w14:paraId="20870FE9" w14:textId="77777777" w:rsidR="00802D3E" w:rsidRDefault="00802D3E" w:rsidP="00A109BC">
      <w:pPr>
        <w:pStyle w:val="SingleParagraph"/>
      </w:pPr>
    </w:p>
    <w:p w14:paraId="20870FEA" w14:textId="77777777" w:rsidR="00802D3E" w:rsidRDefault="00802D3E" w:rsidP="00802D3E">
      <w:r>
        <w:t>Certain education supplies</w:t>
      </w:r>
      <w:r>
        <w:fldChar w:fldCharType="begin"/>
      </w:r>
      <w:r>
        <w:instrText xml:space="preserve"> XE "Education supplies" </w:instrText>
      </w:r>
      <w:r>
        <w:fldChar w:fldCharType="end"/>
      </w:r>
      <w:r>
        <w:t xml:space="preserve"> are GST-free. These include education courses, directly related administrative services, curriculum-related goods, student accommodation for students attending a primary, secondary or special education course, excursions and field trips and supplies related to the recognition of prior learning. </w:t>
      </w:r>
      <w:r>
        <w:fldChar w:fldCharType="begin"/>
      </w:r>
      <w:r>
        <w:instrText xml:space="preserve"> XE "Goods and Services Tax:Education" </w:instrText>
      </w:r>
      <w:r>
        <w:fldChar w:fldCharType="end"/>
      </w:r>
    </w:p>
    <w:p w14:paraId="20870FEB" w14:textId="77777777" w:rsidR="00802D3E" w:rsidRDefault="00802D3E" w:rsidP="00802D3E">
      <w:pPr>
        <w:pStyle w:val="TESHeading5"/>
        <w:ind w:left="0" w:firstLine="0"/>
      </w:pPr>
      <w:r>
        <w:lastRenderedPageBreak/>
        <w:t>H17</w:t>
      </w:r>
      <w:r>
        <w:tab/>
        <w:t xml:space="preserve">Health </w:t>
      </w:r>
      <w:r w:rsidR="007626B2">
        <w:t>–</w:t>
      </w:r>
      <w:r>
        <w:t xml:space="preserve"> drugs</w:t>
      </w:r>
      <w:r w:rsidR="007626B2">
        <w:t xml:space="preserve"> </w:t>
      </w:r>
      <w:r>
        <w:t>and medicinal preparations</w:t>
      </w:r>
    </w:p>
    <w:p w14:paraId="20870FEC"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0FF5" w14:textId="77777777" w:rsidTr="00802D3E">
        <w:trPr>
          <w:cantSplit/>
          <w:jc w:val="center"/>
        </w:trPr>
        <w:tc>
          <w:tcPr>
            <w:tcW w:w="967" w:type="dxa"/>
            <w:tcBorders>
              <w:top w:val="single" w:sz="2" w:space="0" w:color="auto"/>
              <w:left w:val="nil"/>
              <w:bottom w:val="single" w:sz="2" w:space="0" w:color="auto"/>
              <w:right w:val="nil"/>
            </w:tcBorders>
            <w:hideMark/>
          </w:tcPr>
          <w:p w14:paraId="20870FED"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0FEE"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0FEF"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0FF0"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0FF1"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0FF2"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0FF3"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0FF4" w14:textId="77777777" w:rsidR="00802D3E" w:rsidRDefault="00802D3E">
            <w:pPr>
              <w:pStyle w:val="MeasureTableTextRightAligned"/>
            </w:pPr>
            <w:r>
              <w:t>2019-20</w:t>
            </w:r>
          </w:p>
        </w:tc>
      </w:tr>
      <w:tr w:rsidR="00802D3E" w14:paraId="20870FFE" w14:textId="77777777" w:rsidTr="00802D3E">
        <w:trPr>
          <w:cantSplit/>
          <w:jc w:val="center"/>
        </w:trPr>
        <w:tc>
          <w:tcPr>
            <w:tcW w:w="967" w:type="dxa"/>
            <w:tcBorders>
              <w:top w:val="single" w:sz="2" w:space="0" w:color="auto"/>
              <w:left w:val="nil"/>
              <w:bottom w:val="single" w:sz="2" w:space="0" w:color="auto"/>
              <w:right w:val="nil"/>
            </w:tcBorders>
            <w:hideMark/>
          </w:tcPr>
          <w:p w14:paraId="20870FF6" w14:textId="77777777" w:rsidR="00802D3E" w:rsidRDefault="00802D3E">
            <w:pPr>
              <w:pStyle w:val="MeasureTableTextRightAligned"/>
            </w:pPr>
            <w:r>
              <w:t>320</w:t>
            </w:r>
          </w:p>
        </w:tc>
        <w:tc>
          <w:tcPr>
            <w:tcW w:w="967" w:type="dxa"/>
            <w:tcBorders>
              <w:top w:val="single" w:sz="2" w:space="0" w:color="auto"/>
              <w:left w:val="nil"/>
              <w:bottom w:val="single" w:sz="2" w:space="0" w:color="auto"/>
              <w:right w:val="nil"/>
            </w:tcBorders>
            <w:hideMark/>
          </w:tcPr>
          <w:p w14:paraId="20870FF7" w14:textId="77777777" w:rsidR="00802D3E" w:rsidRDefault="00802D3E">
            <w:pPr>
              <w:pStyle w:val="MeasureTableTextRightAligned"/>
            </w:pPr>
            <w:r>
              <w:t>340</w:t>
            </w:r>
          </w:p>
        </w:tc>
        <w:tc>
          <w:tcPr>
            <w:tcW w:w="967" w:type="dxa"/>
            <w:tcBorders>
              <w:top w:val="single" w:sz="2" w:space="0" w:color="auto"/>
              <w:left w:val="nil"/>
              <w:bottom w:val="single" w:sz="2" w:space="0" w:color="auto"/>
              <w:right w:val="nil"/>
            </w:tcBorders>
            <w:vAlign w:val="bottom"/>
            <w:hideMark/>
          </w:tcPr>
          <w:p w14:paraId="20870FF8" w14:textId="77777777" w:rsidR="00802D3E" w:rsidRDefault="00802D3E">
            <w:pPr>
              <w:pStyle w:val="MeasureTableTextRightAligned"/>
            </w:pPr>
            <w:r>
              <w:t>360</w:t>
            </w:r>
          </w:p>
        </w:tc>
        <w:tc>
          <w:tcPr>
            <w:tcW w:w="967" w:type="dxa"/>
            <w:tcBorders>
              <w:top w:val="single" w:sz="2" w:space="0" w:color="auto"/>
              <w:left w:val="nil"/>
              <w:bottom w:val="single" w:sz="2" w:space="0" w:color="auto"/>
              <w:right w:val="nil"/>
            </w:tcBorders>
            <w:vAlign w:val="bottom"/>
            <w:hideMark/>
          </w:tcPr>
          <w:p w14:paraId="20870FF9" w14:textId="77777777" w:rsidR="00802D3E" w:rsidRDefault="00802D3E">
            <w:pPr>
              <w:pStyle w:val="MeasureTableTextRightAligned"/>
            </w:pPr>
            <w:r>
              <w:t>380</w:t>
            </w:r>
          </w:p>
        </w:tc>
        <w:tc>
          <w:tcPr>
            <w:tcW w:w="967" w:type="dxa"/>
            <w:tcBorders>
              <w:top w:val="single" w:sz="2" w:space="0" w:color="auto"/>
              <w:left w:val="nil"/>
              <w:bottom w:val="single" w:sz="2" w:space="0" w:color="auto"/>
              <w:right w:val="nil"/>
            </w:tcBorders>
            <w:vAlign w:val="bottom"/>
            <w:hideMark/>
          </w:tcPr>
          <w:p w14:paraId="20870FFA" w14:textId="77777777" w:rsidR="00802D3E" w:rsidRDefault="00802D3E">
            <w:pPr>
              <w:pStyle w:val="MeasureTableTextRightAligned"/>
            </w:pPr>
            <w:r>
              <w:t>410</w:t>
            </w:r>
          </w:p>
        </w:tc>
        <w:tc>
          <w:tcPr>
            <w:tcW w:w="967" w:type="dxa"/>
            <w:gridSpan w:val="2"/>
            <w:tcBorders>
              <w:top w:val="single" w:sz="2" w:space="0" w:color="auto"/>
              <w:left w:val="nil"/>
              <w:bottom w:val="single" w:sz="2" w:space="0" w:color="auto"/>
              <w:right w:val="nil"/>
            </w:tcBorders>
            <w:vAlign w:val="bottom"/>
            <w:hideMark/>
          </w:tcPr>
          <w:p w14:paraId="20870FFB" w14:textId="77777777" w:rsidR="00802D3E" w:rsidRDefault="00802D3E">
            <w:pPr>
              <w:pStyle w:val="MeasureTableTextRightAligned"/>
            </w:pPr>
            <w:r>
              <w:t>440</w:t>
            </w:r>
          </w:p>
        </w:tc>
        <w:tc>
          <w:tcPr>
            <w:tcW w:w="967" w:type="dxa"/>
            <w:gridSpan w:val="2"/>
            <w:tcBorders>
              <w:top w:val="single" w:sz="2" w:space="0" w:color="auto"/>
              <w:left w:val="nil"/>
              <w:bottom w:val="single" w:sz="2" w:space="0" w:color="auto"/>
              <w:right w:val="nil"/>
            </w:tcBorders>
            <w:vAlign w:val="bottom"/>
            <w:hideMark/>
          </w:tcPr>
          <w:p w14:paraId="20870FFC" w14:textId="77777777" w:rsidR="00802D3E" w:rsidRDefault="00802D3E">
            <w:pPr>
              <w:pStyle w:val="MeasureTableTextRightAligned"/>
            </w:pPr>
            <w:r>
              <w:t>470</w:t>
            </w:r>
          </w:p>
        </w:tc>
        <w:tc>
          <w:tcPr>
            <w:tcW w:w="968" w:type="dxa"/>
            <w:tcBorders>
              <w:top w:val="single" w:sz="2" w:space="0" w:color="auto"/>
              <w:left w:val="nil"/>
              <w:bottom w:val="single" w:sz="2" w:space="0" w:color="auto"/>
              <w:right w:val="nil"/>
            </w:tcBorders>
            <w:vAlign w:val="bottom"/>
            <w:hideMark/>
          </w:tcPr>
          <w:p w14:paraId="20870FFD" w14:textId="77777777" w:rsidR="00802D3E" w:rsidRDefault="00802D3E">
            <w:pPr>
              <w:pStyle w:val="MeasureTableTextRightAligned"/>
            </w:pPr>
            <w:r>
              <w:t>500</w:t>
            </w:r>
          </w:p>
        </w:tc>
      </w:tr>
      <w:tr w:rsidR="00802D3E" w14:paraId="20871003" w14:textId="77777777" w:rsidTr="00802D3E">
        <w:trPr>
          <w:cantSplit/>
          <w:jc w:val="center"/>
        </w:trPr>
        <w:tc>
          <w:tcPr>
            <w:tcW w:w="1934" w:type="dxa"/>
            <w:gridSpan w:val="2"/>
            <w:tcBorders>
              <w:top w:val="single" w:sz="2" w:space="0" w:color="auto"/>
              <w:left w:val="nil"/>
              <w:bottom w:val="nil"/>
              <w:right w:val="nil"/>
            </w:tcBorders>
            <w:hideMark/>
          </w:tcPr>
          <w:p w14:paraId="20870FFF"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1000"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1001"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002" w14:textId="77777777" w:rsidR="00802D3E" w:rsidRDefault="00802D3E">
            <w:pPr>
              <w:pStyle w:val="MeasureTableTextLeftAligned"/>
            </w:pPr>
            <w:r>
              <w:t>H17</w:t>
            </w:r>
          </w:p>
        </w:tc>
      </w:tr>
      <w:tr w:rsidR="00802D3E" w14:paraId="20871008" w14:textId="77777777" w:rsidTr="00802D3E">
        <w:trPr>
          <w:cantSplit/>
          <w:jc w:val="center"/>
        </w:trPr>
        <w:tc>
          <w:tcPr>
            <w:tcW w:w="1934" w:type="dxa"/>
            <w:gridSpan w:val="2"/>
            <w:tcBorders>
              <w:top w:val="nil"/>
              <w:left w:val="nil"/>
              <w:bottom w:val="nil"/>
              <w:right w:val="nil"/>
            </w:tcBorders>
            <w:hideMark/>
          </w:tcPr>
          <w:p w14:paraId="20871004"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1005" w14:textId="77777777" w:rsidR="00802D3E" w:rsidRDefault="00802D3E">
            <w:pPr>
              <w:pStyle w:val="MeasureTableTextLeftAligned"/>
            </w:pPr>
            <w:r>
              <w:t>Medium</w:t>
            </w:r>
          </w:p>
        </w:tc>
        <w:tc>
          <w:tcPr>
            <w:tcW w:w="1500" w:type="dxa"/>
            <w:gridSpan w:val="2"/>
            <w:tcBorders>
              <w:top w:val="nil"/>
              <w:left w:val="nil"/>
              <w:bottom w:val="nil"/>
              <w:right w:val="nil"/>
            </w:tcBorders>
          </w:tcPr>
          <w:p w14:paraId="20871006" w14:textId="77777777" w:rsidR="00802D3E" w:rsidRDefault="00802D3E">
            <w:pPr>
              <w:pStyle w:val="MeasureTableTextItalic"/>
            </w:pPr>
          </w:p>
        </w:tc>
        <w:tc>
          <w:tcPr>
            <w:tcW w:w="1124" w:type="dxa"/>
            <w:gridSpan w:val="2"/>
            <w:tcBorders>
              <w:top w:val="nil"/>
              <w:left w:val="nil"/>
              <w:bottom w:val="nil"/>
              <w:right w:val="nil"/>
            </w:tcBorders>
          </w:tcPr>
          <w:p w14:paraId="20871007" w14:textId="77777777" w:rsidR="00802D3E" w:rsidRDefault="00802D3E">
            <w:pPr>
              <w:pStyle w:val="MeasureTableTextLeftAligned"/>
            </w:pPr>
          </w:p>
        </w:tc>
      </w:tr>
      <w:tr w:rsidR="00802D3E" w14:paraId="2087100D" w14:textId="77777777" w:rsidTr="00802D3E">
        <w:trPr>
          <w:cantSplit/>
          <w:jc w:val="center"/>
        </w:trPr>
        <w:tc>
          <w:tcPr>
            <w:tcW w:w="1934" w:type="dxa"/>
            <w:gridSpan w:val="2"/>
            <w:tcBorders>
              <w:top w:val="nil"/>
              <w:left w:val="nil"/>
              <w:bottom w:val="nil"/>
              <w:right w:val="nil"/>
            </w:tcBorders>
            <w:hideMark/>
          </w:tcPr>
          <w:p w14:paraId="20871009"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100A"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100B"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00C" w14:textId="77777777" w:rsidR="00802D3E" w:rsidRDefault="00802D3E">
            <w:pPr>
              <w:pStyle w:val="MeasureTableTextLeftAligned"/>
            </w:pPr>
          </w:p>
        </w:tc>
      </w:tr>
      <w:tr w:rsidR="00802D3E" w14:paraId="20871010" w14:textId="77777777" w:rsidTr="00802D3E">
        <w:trPr>
          <w:cantSplit/>
          <w:jc w:val="center"/>
        </w:trPr>
        <w:tc>
          <w:tcPr>
            <w:tcW w:w="1934" w:type="dxa"/>
            <w:gridSpan w:val="2"/>
            <w:tcBorders>
              <w:top w:val="nil"/>
              <w:left w:val="nil"/>
              <w:bottom w:val="single" w:sz="2" w:space="0" w:color="auto"/>
              <w:right w:val="nil"/>
            </w:tcBorders>
            <w:hideMark/>
          </w:tcPr>
          <w:p w14:paraId="2087100E"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100F"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 xml:space="preserve">Section 38-50 of the </w:t>
            </w:r>
            <w:r>
              <w:rPr>
                <w:rFonts w:ascii="Arial" w:hAnsi="Arial" w:cs="Arial"/>
                <w:i/>
                <w:iCs/>
                <w:color w:val="000000"/>
                <w:sz w:val="16"/>
                <w:szCs w:val="16"/>
              </w:rPr>
              <w:t>A New Tax System (Goods and Services Tax) Act 1999</w:t>
            </w:r>
          </w:p>
        </w:tc>
      </w:tr>
    </w:tbl>
    <w:p w14:paraId="20871011" w14:textId="77777777" w:rsidR="00802D3E" w:rsidRDefault="00802D3E" w:rsidP="00A109BC">
      <w:pPr>
        <w:pStyle w:val="SingleParagraph"/>
      </w:pPr>
    </w:p>
    <w:p w14:paraId="20871012" w14:textId="77777777" w:rsidR="00802D3E" w:rsidRDefault="00802D3E" w:rsidP="00802D3E">
      <w:r>
        <w:t>Most medicines</w:t>
      </w:r>
      <w:r>
        <w:fldChar w:fldCharType="begin"/>
      </w:r>
      <w:r>
        <w:instrText xml:space="preserve"> XE "Medicines" </w:instrText>
      </w:r>
      <w:r>
        <w:fldChar w:fldCharType="end"/>
      </w:r>
      <w:r>
        <w:t xml:space="preserve"> for human use are GST-free. GST-free medicines include: medicines that can only be supplied on prescription; medicines supplied as a pharmaceutical benefit; non</w:t>
      </w:r>
      <w:r>
        <w:noBreakHyphen/>
        <w:t xml:space="preserve">prescription drugs that can only be supplied by a doctor, dentist, pharmacist or other prescribed person as described by relevant state or territory law; medicines supplied under the Special Access Scheme; and certain analgesics covered by a written determination by the Federal Health Minister. </w:t>
      </w:r>
      <w:r>
        <w:fldChar w:fldCharType="begin"/>
      </w:r>
      <w:r>
        <w:instrText xml:space="preserve"> XE "Goods and Services Tax:Medicines" </w:instrText>
      </w:r>
      <w:r>
        <w:fldChar w:fldCharType="end"/>
      </w:r>
    </w:p>
    <w:p w14:paraId="20871013" w14:textId="77777777" w:rsidR="00802D3E" w:rsidRDefault="00802D3E" w:rsidP="00802D3E">
      <w:pPr>
        <w:pStyle w:val="TESHeading5"/>
        <w:ind w:left="0" w:firstLine="0"/>
      </w:pPr>
      <w:r>
        <w:t>H18</w:t>
      </w:r>
      <w:r>
        <w:tab/>
        <w:t xml:space="preserve">Health </w:t>
      </w:r>
      <w:r w:rsidR="007626B2">
        <w:t>–</w:t>
      </w:r>
      <w:r>
        <w:t xml:space="preserve"> medical</w:t>
      </w:r>
      <w:r w:rsidR="007626B2">
        <w:t xml:space="preserve"> </w:t>
      </w:r>
      <w:r>
        <w:t>aids and appliances</w:t>
      </w:r>
    </w:p>
    <w:p w14:paraId="20871014"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101D" w14:textId="77777777" w:rsidTr="00802D3E">
        <w:trPr>
          <w:cantSplit/>
          <w:jc w:val="center"/>
        </w:trPr>
        <w:tc>
          <w:tcPr>
            <w:tcW w:w="967" w:type="dxa"/>
            <w:tcBorders>
              <w:top w:val="single" w:sz="2" w:space="0" w:color="auto"/>
              <w:left w:val="nil"/>
              <w:bottom w:val="single" w:sz="2" w:space="0" w:color="auto"/>
              <w:right w:val="nil"/>
            </w:tcBorders>
            <w:hideMark/>
          </w:tcPr>
          <w:p w14:paraId="20871015"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1016"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1017"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1018"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1019"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101A"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101B"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101C" w14:textId="77777777" w:rsidR="00802D3E" w:rsidRDefault="00802D3E">
            <w:pPr>
              <w:pStyle w:val="MeasureTableTextRightAligned"/>
            </w:pPr>
            <w:r>
              <w:t>2019-20</w:t>
            </w:r>
          </w:p>
        </w:tc>
      </w:tr>
      <w:tr w:rsidR="00802D3E" w14:paraId="20871026" w14:textId="77777777" w:rsidTr="00802D3E">
        <w:trPr>
          <w:cantSplit/>
          <w:jc w:val="center"/>
        </w:trPr>
        <w:tc>
          <w:tcPr>
            <w:tcW w:w="967" w:type="dxa"/>
            <w:tcBorders>
              <w:top w:val="single" w:sz="2" w:space="0" w:color="auto"/>
              <w:left w:val="nil"/>
              <w:bottom w:val="single" w:sz="2" w:space="0" w:color="auto"/>
              <w:right w:val="nil"/>
            </w:tcBorders>
            <w:hideMark/>
          </w:tcPr>
          <w:p w14:paraId="2087101E" w14:textId="77777777" w:rsidR="00802D3E" w:rsidRDefault="00802D3E">
            <w:pPr>
              <w:pStyle w:val="MeasureTableTextRightAligned"/>
            </w:pPr>
            <w:r>
              <w:t>50</w:t>
            </w:r>
          </w:p>
        </w:tc>
        <w:tc>
          <w:tcPr>
            <w:tcW w:w="967" w:type="dxa"/>
            <w:tcBorders>
              <w:top w:val="single" w:sz="2" w:space="0" w:color="auto"/>
              <w:left w:val="nil"/>
              <w:bottom w:val="single" w:sz="2" w:space="0" w:color="auto"/>
              <w:right w:val="nil"/>
            </w:tcBorders>
            <w:hideMark/>
          </w:tcPr>
          <w:p w14:paraId="2087101F" w14:textId="77777777" w:rsidR="00802D3E" w:rsidRDefault="00802D3E">
            <w:pPr>
              <w:pStyle w:val="MeasureTableTextRightAligned"/>
            </w:pPr>
            <w:r>
              <w:t>55</w:t>
            </w:r>
          </w:p>
        </w:tc>
        <w:tc>
          <w:tcPr>
            <w:tcW w:w="967" w:type="dxa"/>
            <w:tcBorders>
              <w:top w:val="single" w:sz="2" w:space="0" w:color="auto"/>
              <w:left w:val="nil"/>
              <w:bottom w:val="single" w:sz="2" w:space="0" w:color="auto"/>
              <w:right w:val="nil"/>
            </w:tcBorders>
            <w:vAlign w:val="bottom"/>
            <w:hideMark/>
          </w:tcPr>
          <w:p w14:paraId="20871020" w14:textId="77777777" w:rsidR="00802D3E" w:rsidRDefault="00802D3E">
            <w:pPr>
              <w:pStyle w:val="MeasureTableTextRightAligned"/>
            </w:pPr>
            <w:r>
              <w:t>60</w:t>
            </w:r>
          </w:p>
        </w:tc>
        <w:tc>
          <w:tcPr>
            <w:tcW w:w="967" w:type="dxa"/>
            <w:tcBorders>
              <w:top w:val="single" w:sz="2" w:space="0" w:color="auto"/>
              <w:left w:val="nil"/>
              <w:bottom w:val="single" w:sz="2" w:space="0" w:color="auto"/>
              <w:right w:val="nil"/>
            </w:tcBorders>
            <w:vAlign w:val="bottom"/>
            <w:hideMark/>
          </w:tcPr>
          <w:p w14:paraId="20871021" w14:textId="77777777" w:rsidR="00802D3E" w:rsidRDefault="00802D3E">
            <w:pPr>
              <w:pStyle w:val="MeasureTableTextRightAligned"/>
            </w:pPr>
            <w:r>
              <w:t>60</w:t>
            </w:r>
          </w:p>
        </w:tc>
        <w:tc>
          <w:tcPr>
            <w:tcW w:w="967" w:type="dxa"/>
            <w:tcBorders>
              <w:top w:val="single" w:sz="2" w:space="0" w:color="auto"/>
              <w:left w:val="nil"/>
              <w:bottom w:val="single" w:sz="2" w:space="0" w:color="auto"/>
              <w:right w:val="nil"/>
            </w:tcBorders>
            <w:vAlign w:val="bottom"/>
            <w:hideMark/>
          </w:tcPr>
          <w:p w14:paraId="20871022" w14:textId="77777777" w:rsidR="00802D3E" w:rsidRDefault="00802D3E">
            <w:pPr>
              <w:pStyle w:val="MeasureTableTextRightAligned"/>
            </w:pPr>
            <w:r>
              <w:t>65</w:t>
            </w:r>
          </w:p>
        </w:tc>
        <w:tc>
          <w:tcPr>
            <w:tcW w:w="967" w:type="dxa"/>
            <w:gridSpan w:val="2"/>
            <w:tcBorders>
              <w:top w:val="single" w:sz="2" w:space="0" w:color="auto"/>
              <w:left w:val="nil"/>
              <w:bottom w:val="single" w:sz="2" w:space="0" w:color="auto"/>
              <w:right w:val="nil"/>
            </w:tcBorders>
            <w:vAlign w:val="bottom"/>
            <w:hideMark/>
          </w:tcPr>
          <w:p w14:paraId="20871023" w14:textId="77777777" w:rsidR="00802D3E" w:rsidRDefault="00802D3E">
            <w:pPr>
              <w:pStyle w:val="MeasureTableTextRightAligned"/>
            </w:pPr>
            <w:r>
              <w:t>70</w:t>
            </w:r>
          </w:p>
        </w:tc>
        <w:tc>
          <w:tcPr>
            <w:tcW w:w="967" w:type="dxa"/>
            <w:gridSpan w:val="2"/>
            <w:tcBorders>
              <w:top w:val="single" w:sz="2" w:space="0" w:color="auto"/>
              <w:left w:val="nil"/>
              <w:bottom w:val="single" w:sz="2" w:space="0" w:color="auto"/>
              <w:right w:val="nil"/>
            </w:tcBorders>
            <w:vAlign w:val="bottom"/>
            <w:hideMark/>
          </w:tcPr>
          <w:p w14:paraId="20871024" w14:textId="77777777" w:rsidR="00802D3E" w:rsidRDefault="00802D3E">
            <w:pPr>
              <w:pStyle w:val="MeasureTableTextRightAligned"/>
            </w:pPr>
            <w:r>
              <w:t>75</w:t>
            </w:r>
          </w:p>
        </w:tc>
        <w:tc>
          <w:tcPr>
            <w:tcW w:w="968" w:type="dxa"/>
            <w:tcBorders>
              <w:top w:val="single" w:sz="2" w:space="0" w:color="auto"/>
              <w:left w:val="nil"/>
              <w:bottom w:val="single" w:sz="2" w:space="0" w:color="auto"/>
              <w:right w:val="nil"/>
            </w:tcBorders>
            <w:vAlign w:val="bottom"/>
            <w:hideMark/>
          </w:tcPr>
          <w:p w14:paraId="20871025" w14:textId="77777777" w:rsidR="00802D3E" w:rsidRDefault="00802D3E">
            <w:pPr>
              <w:pStyle w:val="MeasureTableTextRightAligned"/>
            </w:pPr>
            <w:r>
              <w:t>80</w:t>
            </w:r>
          </w:p>
        </w:tc>
      </w:tr>
      <w:tr w:rsidR="00802D3E" w14:paraId="2087102B" w14:textId="77777777" w:rsidTr="00802D3E">
        <w:trPr>
          <w:cantSplit/>
          <w:jc w:val="center"/>
        </w:trPr>
        <w:tc>
          <w:tcPr>
            <w:tcW w:w="1934" w:type="dxa"/>
            <w:gridSpan w:val="2"/>
            <w:tcBorders>
              <w:top w:val="single" w:sz="2" w:space="0" w:color="auto"/>
              <w:left w:val="nil"/>
              <w:bottom w:val="nil"/>
              <w:right w:val="nil"/>
            </w:tcBorders>
            <w:hideMark/>
          </w:tcPr>
          <w:p w14:paraId="20871027"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1028"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1029"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02A" w14:textId="77777777" w:rsidR="00802D3E" w:rsidRDefault="00802D3E">
            <w:pPr>
              <w:pStyle w:val="MeasureTableTextLeftAligned"/>
            </w:pPr>
            <w:r>
              <w:t>H18</w:t>
            </w:r>
          </w:p>
        </w:tc>
      </w:tr>
      <w:tr w:rsidR="00802D3E" w14:paraId="20871030" w14:textId="77777777" w:rsidTr="00802D3E">
        <w:trPr>
          <w:cantSplit/>
          <w:jc w:val="center"/>
        </w:trPr>
        <w:tc>
          <w:tcPr>
            <w:tcW w:w="1934" w:type="dxa"/>
            <w:gridSpan w:val="2"/>
            <w:tcBorders>
              <w:top w:val="nil"/>
              <w:left w:val="nil"/>
              <w:bottom w:val="nil"/>
              <w:right w:val="nil"/>
            </w:tcBorders>
            <w:hideMark/>
          </w:tcPr>
          <w:p w14:paraId="2087102C"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102D" w14:textId="77777777" w:rsidR="00802D3E" w:rsidRDefault="00802D3E">
            <w:pPr>
              <w:pStyle w:val="MeasureTableTextLeftAligned"/>
            </w:pPr>
            <w:r>
              <w:t>Low</w:t>
            </w:r>
          </w:p>
        </w:tc>
        <w:tc>
          <w:tcPr>
            <w:tcW w:w="1500" w:type="dxa"/>
            <w:gridSpan w:val="2"/>
            <w:tcBorders>
              <w:top w:val="nil"/>
              <w:left w:val="nil"/>
              <w:bottom w:val="nil"/>
              <w:right w:val="nil"/>
            </w:tcBorders>
          </w:tcPr>
          <w:p w14:paraId="2087102E" w14:textId="77777777" w:rsidR="00802D3E" w:rsidRDefault="00802D3E">
            <w:pPr>
              <w:pStyle w:val="MeasureTableTextItalic"/>
            </w:pPr>
          </w:p>
        </w:tc>
        <w:tc>
          <w:tcPr>
            <w:tcW w:w="1124" w:type="dxa"/>
            <w:gridSpan w:val="2"/>
            <w:tcBorders>
              <w:top w:val="nil"/>
              <w:left w:val="nil"/>
              <w:bottom w:val="nil"/>
              <w:right w:val="nil"/>
            </w:tcBorders>
          </w:tcPr>
          <w:p w14:paraId="2087102F" w14:textId="77777777" w:rsidR="00802D3E" w:rsidRDefault="00802D3E">
            <w:pPr>
              <w:pStyle w:val="MeasureTableTextLeftAligned"/>
            </w:pPr>
          </w:p>
        </w:tc>
      </w:tr>
      <w:tr w:rsidR="00802D3E" w14:paraId="20871035" w14:textId="77777777" w:rsidTr="00802D3E">
        <w:trPr>
          <w:cantSplit/>
          <w:jc w:val="center"/>
        </w:trPr>
        <w:tc>
          <w:tcPr>
            <w:tcW w:w="1934" w:type="dxa"/>
            <w:gridSpan w:val="2"/>
            <w:tcBorders>
              <w:top w:val="nil"/>
              <w:left w:val="nil"/>
              <w:bottom w:val="nil"/>
              <w:right w:val="nil"/>
            </w:tcBorders>
            <w:hideMark/>
          </w:tcPr>
          <w:p w14:paraId="20871031"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1032"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1033"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034" w14:textId="77777777" w:rsidR="00802D3E" w:rsidRDefault="00802D3E">
            <w:pPr>
              <w:pStyle w:val="MeasureTableTextLeftAligned"/>
            </w:pPr>
          </w:p>
        </w:tc>
      </w:tr>
      <w:tr w:rsidR="00802D3E" w14:paraId="20871038" w14:textId="77777777" w:rsidTr="00802D3E">
        <w:trPr>
          <w:cantSplit/>
          <w:jc w:val="center"/>
        </w:trPr>
        <w:tc>
          <w:tcPr>
            <w:tcW w:w="1934" w:type="dxa"/>
            <w:gridSpan w:val="2"/>
            <w:tcBorders>
              <w:top w:val="nil"/>
              <w:left w:val="nil"/>
              <w:bottom w:val="single" w:sz="2" w:space="0" w:color="auto"/>
              <w:right w:val="nil"/>
            </w:tcBorders>
            <w:hideMark/>
          </w:tcPr>
          <w:p w14:paraId="20871036"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1037"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 xml:space="preserve">Sections 38-38, 38-45, 38-47 and Subdivision 38-P of the </w:t>
            </w:r>
            <w:r>
              <w:rPr>
                <w:rFonts w:ascii="Arial" w:hAnsi="Arial" w:cs="Arial"/>
                <w:i/>
                <w:iCs/>
                <w:color w:val="000000"/>
                <w:sz w:val="16"/>
                <w:szCs w:val="16"/>
              </w:rPr>
              <w:t>A New Tax System (Goods and Services Tax) Act 1999</w:t>
            </w:r>
          </w:p>
        </w:tc>
      </w:tr>
    </w:tbl>
    <w:p w14:paraId="20871039" w14:textId="77777777" w:rsidR="00802D3E" w:rsidRDefault="00802D3E" w:rsidP="00A109BC">
      <w:pPr>
        <w:pStyle w:val="SingleParagraph"/>
      </w:pPr>
    </w:p>
    <w:p w14:paraId="2087103A" w14:textId="77777777" w:rsidR="00802D3E" w:rsidRDefault="00802D3E" w:rsidP="00802D3E">
      <w:r>
        <w:t>A medical aid or appliance</w:t>
      </w:r>
      <w:r>
        <w:fldChar w:fldCharType="begin"/>
      </w:r>
      <w:r>
        <w:instrText xml:space="preserve"> XE "Medical aid or appliance" </w:instrText>
      </w:r>
      <w:r>
        <w:fldChar w:fldCharType="end"/>
      </w:r>
      <w:r>
        <w:t xml:space="preserve"> is GST-free if the medical aid or appliance is listed in Schedule 3 to the </w:t>
      </w:r>
      <w:r>
        <w:rPr>
          <w:i/>
        </w:rPr>
        <w:t>A New Tax System (Goods and Services Tax) Act 1999</w:t>
      </w:r>
      <w:r>
        <w:t>, or specified in the regulations and specifically designed for people with an illness or disability and not widely used by others.</w:t>
      </w:r>
    </w:p>
    <w:p w14:paraId="2087103B" w14:textId="77777777" w:rsidR="00802D3E" w:rsidRDefault="00802D3E" w:rsidP="00802D3E">
      <w:r>
        <w:t xml:space="preserve">The supply of cars for use by disabled persons, spare parts for medical aids and appliances and the services related to the provision of the medical aid or appliance are GST-free. Goods that are the subject of a written determination by the Federal Health Minister are also GST-free, including certain disability supports delivered under the </w:t>
      </w:r>
      <w:r>
        <w:rPr>
          <w:i/>
        </w:rPr>
        <w:t>National Disability Insurance Scheme Act 2013</w:t>
      </w:r>
      <w:r>
        <w:t>.</w:t>
      </w:r>
      <w:r>
        <w:fldChar w:fldCharType="begin"/>
      </w:r>
      <w:r>
        <w:instrText xml:space="preserve"> XE "Goods and Services Tax:Health" </w:instrText>
      </w:r>
      <w:r>
        <w:fldChar w:fldCharType="end"/>
      </w:r>
    </w:p>
    <w:p w14:paraId="2087103C" w14:textId="77777777" w:rsidR="00802D3E" w:rsidRDefault="00802D3E" w:rsidP="00802D3E">
      <w:pPr>
        <w:pStyle w:val="TESHeading5"/>
        <w:ind w:left="0" w:firstLine="0"/>
      </w:pPr>
      <w:r>
        <w:lastRenderedPageBreak/>
        <w:t>H19</w:t>
      </w:r>
      <w:r>
        <w:tab/>
        <w:t xml:space="preserve">Health </w:t>
      </w:r>
      <w:r w:rsidR="007626B2">
        <w:t>–</w:t>
      </w:r>
      <w:r>
        <w:t xml:space="preserve"> medical</w:t>
      </w:r>
      <w:r w:rsidR="007626B2">
        <w:t xml:space="preserve"> </w:t>
      </w:r>
      <w:r>
        <w:t>and health services</w:t>
      </w:r>
    </w:p>
    <w:p w14:paraId="2087103D"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1046" w14:textId="77777777" w:rsidTr="00802D3E">
        <w:trPr>
          <w:cantSplit/>
          <w:jc w:val="center"/>
        </w:trPr>
        <w:tc>
          <w:tcPr>
            <w:tcW w:w="967" w:type="dxa"/>
            <w:tcBorders>
              <w:top w:val="single" w:sz="2" w:space="0" w:color="auto"/>
              <w:left w:val="nil"/>
              <w:bottom w:val="single" w:sz="2" w:space="0" w:color="auto"/>
              <w:right w:val="nil"/>
            </w:tcBorders>
            <w:hideMark/>
          </w:tcPr>
          <w:p w14:paraId="2087103E"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103F"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1040"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1041"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1042"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1043"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1044"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1045" w14:textId="77777777" w:rsidR="00802D3E" w:rsidRDefault="00802D3E">
            <w:pPr>
              <w:pStyle w:val="MeasureTableTextRightAligned"/>
            </w:pPr>
            <w:r>
              <w:t>2019-20</w:t>
            </w:r>
          </w:p>
        </w:tc>
      </w:tr>
      <w:tr w:rsidR="00802D3E" w14:paraId="2087104F" w14:textId="77777777" w:rsidTr="00802D3E">
        <w:trPr>
          <w:cantSplit/>
          <w:jc w:val="center"/>
        </w:trPr>
        <w:tc>
          <w:tcPr>
            <w:tcW w:w="967" w:type="dxa"/>
            <w:tcBorders>
              <w:top w:val="single" w:sz="2" w:space="0" w:color="auto"/>
              <w:left w:val="nil"/>
              <w:bottom w:val="single" w:sz="2" w:space="0" w:color="auto"/>
              <w:right w:val="nil"/>
            </w:tcBorders>
            <w:hideMark/>
          </w:tcPr>
          <w:p w14:paraId="20871047" w14:textId="77777777" w:rsidR="00802D3E" w:rsidRDefault="00802D3E">
            <w:pPr>
              <w:pStyle w:val="MeasureTableTextRightAligned"/>
            </w:pPr>
            <w:r>
              <w:t>3,100</w:t>
            </w:r>
          </w:p>
        </w:tc>
        <w:tc>
          <w:tcPr>
            <w:tcW w:w="967" w:type="dxa"/>
            <w:tcBorders>
              <w:top w:val="single" w:sz="2" w:space="0" w:color="auto"/>
              <w:left w:val="nil"/>
              <w:bottom w:val="single" w:sz="2" w:space="0" w:color="auto"/>
              <w:right w:val="nil"/>
            </w:tcBorders>
            <w:hideMark/>
          </w:tcPr>
          <w:p w14:paraId="20871048" w14:textId="77777777" w:rsidR="00802D3E" w:rsidRDefault="00802D3E">
            <w:pPr>
              <w:pStyle w:val="MeasureTableTextRightAligned"/>
            </w:pPr>
            <w:r>
              <w:t>3,300</w:t>
            </w:r>
          </w:p>
        </w:tc>
        <w:tc>
          <w:tcPr>
            <w:tcW w:w="967" w:type="dxa"/>
            <w:tcBorders>
              <w:top w:val="single" w:sz="2" w:space="0" w:color="auto"/>
              <w:left w:val="nil"/>
              <w:bottom w:val="single" w:sz="2" w:space="0" w:color="auto"/>
              <w:right w:val="nil"/>
            </w:tcBorders>
            <w:vAlign w:val="bottom"/>
            <w:hideMark/>
          </w:tcPr>
          <w:p w14:paraId="20871049" w14:textId="77777777" w:rsidR="00802D3E" w:rsidRDefault="00802D3E">
            <w:pPr>
              <w:pStyle w:val="MeasureTableTextRightAligned"/>
            </w:pPr>
            <w:r>
              <w:t>3,500</w:t>
            </w:r>
          </w:p>
        </w:tc>
        <w:tc>
          <w:tcPr>
            <w:tcW w:w="967" w:type="dxa"/>
            <w:tcBorders>
              <w:top w:val="single" w:sz="2" w:space="0" w:color="auto"/>
              <w:left w:val="nil"/>
              <w:bottom w:val="single" w:sz="2" w:space="0" w:color="auto"/>
              <w:right w:val="nil"/>
            </w:tcBorders>
            <w:vAlign w:val="bottom"/>
            <w:hideMark/>
          </w:tcPr>
          <w:p w14:paraId="2087104A" w14:textId="77777777" w:rsidR="00802D3E" w:rsidRDefault="00802D3E">
            <w:pPr>
              <w:pStyle w:val="MeasureTableTextRightAligned"/>
            </w:pPr>
            <w:r>
              <w:t>3,750</w:t>
            </w:r>
          </w:p>
        </w:tc>
        <w:tc>
          <w:tcPr>
            <w:tcW w:w="967" w:type="dxa"/>
            <w:tcBorders>
              <w:top w:val="single" w:sz="2" w:space="0" w:color="auto"/>
              <w:left w:val="nil"/>
              <w:bottom w:val="single" w:sz="2" w:space="0" w:color="auto"/>
              <w:right w:val="nil"/>
            </w:tcBorders>
            <w:vAlign w:val="bottom"/>
            <w:hideMark/>
          </w:tcPr>
          <w:p w14:paraId="2087104B" w14:textId="77777777" w:rsidR="00802D3E" w:rsidRDefault="00802D3E">
            <w:pPr>
              <w:pStyle w:val="MeasureTableTextRightAligned"/>
            </w:pPr>
            <w:r>
              <w:t>4,000</w:t>
            </w:r>
          </w:p>
        </w:tc>
        <w:tc>
          <w:tcPr>
            <w:tcW w:w="967" w:type="dxa"/>
            <w:gridSpan w:val="2"/>
            <w:tcBorders>
              <w:top w:val="single" w:sz="2" w:space="0" w:color="auto"/>
              <w:left w:val="nil"/>
              <w:bottom w:val="single" w:sz="2" w:space="0" w:color="auto"/>
              <w:right w:val="nil"/>
            </w:tcBorders>
            <w:vAlign w:val="bottom"/>
            <w:hideMark/>
          </w:tcPr>
          <w:p w14:paraId="2087104C" w14:textId="77777777" w:rsidR="00802D3E" w:rsidRDefault="00802D3E">
            <w:pPr>
              <w:pStyle w:val="MeasureTableTextRightAligned"/>
            </w:pPr>
            <w:r>
              <w:t>4,300</w:t>
            </w:r>
          </w:p>
        </w:tc>
        <w:tc>
          <w:tcPr>
            <w:tcW w:w="967" w:type="dxa"/>
            <w:gridSpan w:val="2"/>
            <w:tcBorders>
              <w:top w:val="single" w:sz="2" w:space="0" w:color="auto"/>
              <w:left w:val="nil"/>
              <w:bottom w:val="single" w:sz="2" w:space="0" w:color="auto"/>
              <w:right w:val="nil"/>
            </w:tcBorders>
            <w:vAlign w:val="bottom"/>
            <w:hideMark/>
          </w:tcPr>
          <w:p w14:paraId="2087104D" w14:textId="77777777" w:rsidR="00802D3E" w:rsidRDefault="00802D3E">
            <w:pPr>
              <w:pStyle w:val="MeasureTableTextRightAligned"/>
            </w:pPr>
            <w:r>
              <w:t>4,600</w:t>
            </w:r>
          </w:p>
        </w:tc>
        <w:tc>
          <w:tcPr>
            <w:tcW w:w="968" w:type="dxa"/>
            <w:tcBorders>
              <w:top w:val="single" w:sz="2" w:space="0" w:color="auto"/>
              <w:left w:val="nil"/>
              <w:bottom w:val="single" w:sz="2" w:space="0" w:color="auto"/>
              <w:right w:val="nil"/>
            </w:tcBorders>
            <w:vAlign w:val="bottom"/>
            <w:hideMark/>
          </w:tcPr>
          <w:p w14:paraId="2087104E" w14:textId="77777777" w:rsidR="00802D3E" w:rsidRDefault="00802D3E">
            <w:pPr>
              <w:pStyle w:val="MeasureTableTextRightAligned"/>
            </w:pPr>
            <w:r>
              <w:t>4,900</w:t>
            </w:r>
          </w:p>
        </w:tc>
      </w:tr>
      <w:tr w:rsidR="00802D3E" w14:paraId="20871054" w14:textId="77777777" w:rsidTr="00802D3E">
        <w:trPr>
          <w:cantSplit/>
          <w:jc w:val="center"/>
        </w:trPr>
        <w:tc>
          <w:tcPr>
            <w:tcW w:w="1934" w:type="dxa"/>
            <w:gridSpan w:val="2"/>
            <w:tcBorders>
              <w:top w:val="single" w:sz="2" w:space="0" w:color="auto"/>
              <w:left w:val="nil"/>
              <w:bottom w:val="nil"/>
              <w:right w:val="nil"/>
            </w:tcBorders>
            <w:hideMark/>
          </w:tcPr>
          <w:p w14:paraId="20871050"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1051"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1052"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053" w14:textId="77777777" w:rsidR="00802D3E" w:rsidRDefault="00802D3E">
            <w:pPr>
              <w:pStyle w:val="MeasureTableTextLeftAligned"/>
            </w:pPr>
            <w:r>
              <w:t>H19</w:t>
            </w:r>
          </w:p>
        </w:tc>
      </w:tr>
      <w:tr w:rsidR="00802D3E" w14:paraId="20871059" w14:textId="77777777" w:rsidTr="00802D3E">
        <w:trPr>
          <w:cantSplit/>
          <w:jc w:val="center"/>
        </w:trPr>
        <w:tc>
          <w:tcPr>
            <w:tcW w:w="1934" w:type="dxa"/>
            <w:gridSpan w:val="2"/>
            <w:tcBorders>
              <w:top w:val="nil"/>
              <w:left w:val="nil"/>
              <w:bottom w:val="nil"/>
              <w:right w:val="nil"/>
            </w:tcBorders>
            <w:hideMark/>
          </w:tcPr>
          <w:p w14:paraId="20871055"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1056" w14:textId="77777777" w:rsidR="00802D3E" w:rsidRDefault="00802D3E">
            <w:pPr>
              <w:pStyle w:val="MeasureTableTextLeftAligned"/>
            </w:pPr>
            <w:r>
              <w:t>Medium</w:t>
            </w:r>
          </w:p>
        </w:tc>
        <w:tc>
          <w:tcPr>
            <w:tcW w:w="1500" w:type="dxa"/>
            <w:gridSpan w:val="2"/>
            <w:tcBorders>
              <w:top w:val="nil"/>
              <w:left w:val="nil"/>
              <w:bottom w:val="nil"/>
              <w:right w:val="nil"/>
            </w:tcBorders>
          </w:tcPr>
          <w:p w14:paraId="20871057" w14:textId="77777777" w:rsidR="00802D3E" w:rsidRDefault="00802D3E">
            <w:pPr>
              <w:pStyle w:val="MeasureTableTextItalic"/>
            </w:pPr>
          </w:p>
        </w:tc>
        <w:tc>
          <w:tcPr>
            <w:tcW w:w="1124" w:type="dxa"/>
            <w:gridSpan w:val="2"/>
            <w:tcBorders>
              <w:top w:val="nil"/>
              <w:left w:val="nil"/>
              <w:bottom w:val="nil"/>
              <w:right w:val="nil"/>
            </w:tcBorders>
          </w:tcPr>
          <w:p w14:paraId="20871058" w14:textId="77777777" w:rsidR="00802D3E" w:rsidRDefault="00802D3E">
            <w:pPr>
              <w:pStyle w:val="MeasureTableTextLeftAligned"/>
            </w:pPr>
          </w:p>
        </w:tc>
      </w:tr>
      <w:tr w:rsidR="00802D3E" w14:paraId="2087105E" w14:textId="77777777" w:rsidTr="00802D3E">
        <w:trPr>
          <w:cantSplit/>
          <w:jc w:val="center"/>
        </w:trPr>
        <w:tc>
          <w:tcPr>
            <w:tcW w:w="1934" w:type="dxa"/>
            <w:gridSpan w:val="2"/>
            <w:tcBorders>
              <w:top w:val="nil"/>
              <w:left w:val="nil"/>
              <w:bottom w:val="nil"/>
              <w:right w:val="nil"/>
            </w:tcBorders>
            <w:hideMark/>
          </w:tcPr>
          <w:p w14:paraId="2087105A"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105B"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105C"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05D" w14:textId="77777777" w:rsidR="00802D3E" w:rsidRDefault="00802D3E">
            <w:pPr>
              <w:pStyle w:val="MeasureTableTextLeftAligned"/>
            </w:pPr>
          </w:p>
        </w:tc>
      </w:tr>
      <w:tr w:rsidR="00802D3E" w14:paraId="20871061" w14:textId="77777777" w:rsidTr="00802D3E">
        <w:trPr>
          <w:cantSplit/>
          <w:jc w:val="center"/>
        </w:trPr>
        <w:tc>
          <w:tcPr>
            <w:tcW w:w="1934" w:type="dxa"/>
            <w:gridSpan w:val="2"/>
            <w:tcBorders>
              <w:top w:val="nil"/>
              <w:left w:val="nil"/>
              <w:bottom w:val="single" w:sz="2" w:space="0" w:color="auto"/>
              <w:right w:val="nil"/>
            </w:tcBorders>
            <w:hideMark/>
          </w:tcPr>
          <w:p w14:paraId="2087105F"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1060"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 xml:space="preserve">Sections 38-7, 38-10, 38-15, 38-20 of the </w:t>
            </w:r>
            <w:r>
              <w:rPr>
                <w:rFonts w:ascii="Arial" w:hAnsi="Arial" w:cs="Arial"/>
                <w:i/>
                <w:iCs/>
                <w:color w:val="000000"/>
                <w:sz w:val="16"/>
                <w:szCs w:val="16"/>
              </w:rPr>
              <w:t>A New Tax System (Goods and Services Tax) Act 1999</w:t>
            </w:r>
            <w:r>
              <w:rPr>
                <w:rFonts w:ascii="Arial" w:hAnsi="Arial" w:cs="Arial"/>
                <w:color w:val="000000"/>
                <w:sz w:val="16"/>
                <w:szCs w:val="16"/>
              </w:rPr>
              <w:tab/>
            </w:r>
          </w:p>
        </w:tc>
      </w:tr>
    </w:tbl>
    <w:p w14:paraId="20871062" w14:textId="77777777" w:rsidR="00802D3E" w:rsidRDefault="00802D3E" w:rsidP="00A109BC">
      <w:pPr>
        <w:pStyle w:val="SingleParagraph"/>
      </w:pPr>
    </w:p>
    <w:p w14:paraId="20871063" w14:textId="2819D004" w:rsidR="00802D3E" w:rsidRDefault="00802D3E" w:rsidP="00802D3E">
      <w:r>
        <w:t>Medical services</w:t>
      </w:r>
      <w:r>
        <w:fldChar w:fldCharType="begin"/>
      </w:r>
      <w:r>
        <w:instrText xml:space="preserve"> XE "Medical services" </w:instrText>
      </w:r>
      <w:r>
        <w:fldChar w:fldCharType="end"/>
      </w:r>
      <w:r>
        <w:t xml:space="preserve"> </w:t>
      </w:r>
      <w:r w:rsidR="001E032A">
        <w:fldChar w:fldCharType="begin"/>
      </w:r>
      <w:r w:rsidR="001E032A">
        <w:instrText xml:space="preserve"> XE "Goods and Services Tax:Health" </w:instrText>
      </w:r>
      <w:r w:rsidR="001E032A">
        <w:fldChar w:fldCharType="end"/>
      </w:r>
      <w:r>
        <w:t xml:space="preserve">are GST-free if: they are a service for which a Medicare benefit is payable under the </w:t>
      </w:r>
      <w:r>
        <w:rPr>
          <w:i/>
        </w:rPr>
        <w:t>Health Insurance Act 1973</w:t>
      </w:r>
      <w:r>
        <w:t xml:space="preserve">; they are supplied by, or on behalf of, a medical practitioner; and they constitute a service that is generally accepted in the medical profession as being necessary for the treatment of the patient. </w:t>
      </w:r>
    </w:p>
    <w:p w14:paraId="20871064" w14:textId="77777777" w:rsidR="00802D3E" w:rsidRDefault="00802D3E" w:rsidP="00802D3E">
      <w:r>
        <w:t xml:space="preserve">Health services rendered by a recognised professional, as well as hospital treatment are also GST-free. Goods supplied in the course of making GST-free health care services are generally GST-free. </w:t>
      </w:r>
    </w:p>
    <w:p w14:paraId="20871065" w14:textId="77777777" w:rsidR="00802D3E" w:rsidRDefault="00802D3E" w:rsidP="00802D3E">
      <w:pPr>
        <w:pStyle w:val="TESHeading5"/>
        <w:ind w:left="0" w:firstLine="0"/>
      </w:pPr>
      <w:r>
        <w:t>H20</w:t>
      </w:r>
      <w:r>
        <w:tab/>
        <w:t xml:space="preserve">Health </w:t>
      </w:r>
      <w:r w:rsidR="007626B2">
        <w:t>–</w:t>
      </w:r>
      <w:r>
        <w:t xml:space="preserve"> residential</w:t>
      </w:r>
      <w:r w:rsidR="007626B2">
        <w:t xml:space="preserve"> </w:t>
      </w:r>
      <w:r>
        <w:t>care, community care and other care services</w:t>
      </w:r>
    </w:p>
    <w:p w14:paraId="20871066"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106F" w14:textId="77777777" w:rsidTr="00802D3E">
        <w:trPr>
          <w:cantSplit/>
          <w:jc w:val="center"/>
        </w:trPr>
        <w:tc>
          <w:tcPr>
            <w:tcW w:w="967" w:type="dxa"/>
            <w:tcBorders>
              <w:top w:val="single" w:sz="2" w:space="0" w:color="auto"/>
              <w:left w:val="nil"/>
              <w:bottom w:val="single" w:sz="2" w:space="0" w:color="auto"/>
              <w:right w:val="nil"/>
            </w:tcBorders>
            <w:hideMark/>
          </w:tcPr>
          <w:p w14:paraId="2087106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106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106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106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106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106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106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106E" w14:textId="77777777" w:rsidR="00802D3E" w:rsidRDefault="00802D3E">
            <w:pPr>
              <w:pStyle w:val="MeasureTableTextRightAligned"/>
            </w:pPr>
            <w:r>
              <w:t>2019-20</w:t>
            </w:r>
          </w:p>
        </w:tc>
      </w:tr>
      <w:tr w:rsidR="00802D3E" w14:paraId="20871078" w14:textId="77777777" w:rsidTr="00802D3E">
        <w:trPr>
          <w:cantSplit/>
          <w:jc w:val="center"/>
        </w:trPr>
        <w:tc>
          <w:tcPr>
            <w:tcW w:w="967" w:type="dxa"/>
            <w:tcBorders>
              <w:top w:val="single" w:sz="2" w:space="0" w:color="auto"/>
              <w:left w:val="nil"/>
              <w:bottom w:val="single" w:sz="2" w:space="0" w:color="auto"/>
              <w:right w:val="nil"/>
            </w:tcBorders>
            <w:hideMark/>
          </w:tcPr>
          <w:p w14:paraId="20871070" w14:textId="77777777" w:rsidR="00802D3E" w:rsidRDefault="00802D3E">
            <w:pPr>
              <w:pStyle w:val="MeasureTableTextRightAligned"/>
            </w:pPr>
            <w:r>
              <w:t>900</w:t>
            </w:r>
          </w:p>
        </w:tc>
        <w:tc>
          <w:tcPr>
            <w:tcW w:w="967" w:type="dxa"/>
            <w:tcBorders>
              <w:top w:val="single" w:sz="2" w:space="0" w:color="auto"/>
              <w:left w:val="nil"/>
              <w:bottom w:val="single" w:sz="2" w:space="0" w:color="auto"/>
              <w:right w:val="nil"/>
            </w:tcBorders>
            <w:hideMark/>
          </w:tcPr>
          <w:p w14:paraId="20871071" w14:textId="77777777" w:rsidR="00802D3E" w:rsidRDefault="00802D3E">
            <w:pPr>
              <w:pStyle w:val="MeasureTableTextRightAligned"/>
            </w:pPr>
            <w:r>
              <w:t>950</w:t>
            </w:r>
          </w:p>
        </w:tc>
        <w:tc>
          <w:tcPr>
            <w:tcW w:w="967" w:type="dxa"/>
            <w:tcBorders>
              <w:top w:val="single" w:sz="2" w:space="0" w:color="auto"/>
              <w:left w:val="nil"/>
              <w:bottom w:val="single" w:sz="2" w:space="0" w:color="auto"/>
              <w:right w:val="nil"/>
            </w:tcBorders>
            <w:vAlign w:val="bottom"/>
            <w:hideMark/>
          </w:tcPr>
          <w:p w14:paraId="20871072" w14:textId="77777777" w:rsidR="00802D3E" w:rsidRDefault="00802D3E">
            <w:pPr>
              <w:pStyle w:val="MeasureTableTextRightAligned"/>
            </w:pPr>
            <w:r>
              <w:t>1,010</w:t>
            </w:r>
          </w:p>
        </w:tc>
        <w:tc>
          <w:tcPr>
            <w:tcW w:w="967" w:type="dxa"/>
            <w:tcBorders>
              <w:top w:val="single" w:sz="2" w:space="0" w:color="auto"/>
              <w:left w:val="nil"/>
              <w:bottom w:val="single" w:sz="2" w:space="0" w:color="auto"/>
              <w:right w:val="nil"/>
            </w:tcBorders>
            <w:vAlign w:val="bottom"/>
            <w:hideMark/>
          </w:tcPr>
          <w:p w14:paraId="20871073" w14:textId="77777777" w:rsidR="00802D3E" w:rsidRDefault="00802D3E">
            <w:pPr>
              <w:pStyle w:val="MeasureTableTextRightAligned"/>
            </w:pPr>
            <w:r>
              <w:t>1,080</w:t>
            </w:r>
          </w:p>
        </w:tc>
        <w:tc>
          <w:tcPr>
            <w:tcW w:w="967" w:type="dxa"/>
            <w:tcBorders>
              <w:top w:val="single" w:sz="2" w:space="0" w:color="auto"/>
              <w:left w:val="nil"/>
              <w:bottom w:val="single" w:sz="2" w:space="0" w:color="auto"/>
              <w:right w:val="nil"/>
            </w:tcBorders>
            <w:vAlign w:val="bottom"/>
            <w:hideMark/>
          </w:tcPr>
          <w:p w14:paraId="20871074" w14:textId="77777777" w:rsidR="00802D3E" w:rsidRDefault="00802D3E">
            <w:pPr>
              <w:pStyle w:val="MeasureTableTextRightAligned"/>
            </w:pPr>
            <w:r>
              <w:t>1,150</w:t>
            </w:r>
          </w:p>
        </w:tc>
        <w:tc>
          <w:tcPr>
            <w:tcW w:w="967" w:type="dxa"/>
            <w:gridSpan w:val="2"/>
            <w:tcBorders>
              <w:top w:val="single" w:sz="2" w:space="0" w:color="auto"/>
              <w:left w:val="nil"/>
              <w:bottom w:val="single" w:sz="2" w:space="0" w:color="auto"/>
              <w:right w:val="nil"/>
            </w:tcBorders>
            <w:vAlign w:val="bottom"/>
            <w:hideMark/>
          </w:tcPr>
          <w:p w14:paraId="20871075" w14:textId="77777777" w:rsidR="00802D3E" w:rsidRDefault="00802D3E">
            <w:pPr>
              <w:pStyle w:val="MeasureTableTextRightAligned"/>
            </w:pPr>
            <w:r>
              <w:t>1,230</w:t>
            </w:r>
          </w:p>
        </w:tc>
        <w:tc>
          <w:tcPr>
            <w:tcW w:w="967" w:type="dxa"/>
            <w:gridSpan w:val="2"/>
            <w:tcBorders>
              <w:top w:val="single" w:sz="2" w:space="0" w:color="auto"/>
              <w:left w:val="nil"/>
              <w:bottom w:val="single" w:sz="2" w:space="0" w:color="auto"/>
              <w:right w:val="nil"/>
            </w:tcBorders>
            <w:vAlign w:val="bottom"/>
            <w:hideMark/>
          </w:tcPr>
          <w:p w14:paraId="20871076" w14:textId="77777777" w:rsidR="00802D3E" w:rsidRDefault="00802D3E">
            <w:pPr>
              <w:pStyle w:val="MeasureTableTextRightAligned"/>
            </w:pPr>
            <w:r>
              <w:t>1,320</w:t>
            </w:r>
          </w:p>
        </w:tc>
        <w:tc>
          <w:tcPr>
            <w:tcW w:w="968" w:type="dxa"/>
            <w:tcBorders>
              <w:top w:val="single" w:sz="2" w:space="0" w:color="auto"/>
              <w:left w:val="nil"/>
              <w:bottom w:val="single" w:sz="2" w:space="0" w:color="auto"/>
              <w:right w:val="nil"/>
            </w:tcBorders>
            <w:vAlign w:val="bottom"/>
            <w:hideMark/>
          </w:tcPr>
          <w:p w14:paraId="20871077" w14:textId="77777777" w:rsidR="00802D3E" w:rsidRDefault="00802D3E">
            <w:pPr>
              <w:pStyle w:val="MeasureTableTextRightAligned"/>
            </w:pPr>
            <w:r>
              <w:t>1,410</w:t>
            </w:r>
          </w:p>
        </w:tc>
      </w:tr>
      <w:tr w:rsidR="00802D3E" w14:paraId="2087107D" w14:textId="77777777" w:rsidTr="00802D3E">
        <w:trPr>
          <w:cantSplit/>
          <w:jc w:val="center"/>
        </w:trPr>
        <w:tc>
          <w:tcPr>
            <w:tcW w:w="1934" w:type="dxa"/>
            <w:gridSpan w:val="2"/>
            <w:tcBorders>
              <w:top w:val="single" w:sz="2" w:space="0" w:color="auto"/>
              <w:left w:val="nil"/>
              <w:bottom w:val="nil"/>
              <w:right w:val="nil"/>
            </w:tcBorders>
            <w:hideMark/>
          </w:tcPr>
          <w:p w14:paraId="2087107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107A"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107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07C" w14:textId="77777777" w:rsidR="00802D3E" w:rsidRDefault="00802D3E">
            <w:pPr>
              <w:pStyle w:val="MeasureTableTextLeftAligned"/>
            </w:pPr>
            <w:r>
              <w:t>H20</w:t>
            </w:r>
          </w:p>
        </w:tc>
      </w:tr>
      <w:tr w:rsidR="00802D3E" w14:paraId="20871082" w14:textId="77777777" w:rsidTr="00802D3E">
        <w:trPr>
          <w:cantSplit/>
          <w:jc w:val="center"/>
        </w:trPr>
        <w:tc>
          <w:tcPr>
            <w:tcW w:w="1934" w:type="dxa"/>
            <w:gridSpan w:val="2"/>
            <w:tcBorders>
              <w:top w:val="nil"/>
              <w:left w:val="nil"/>
              <w:bottom w:val="nil"/>
              <w:right w:val="nil"/>
            </w:tcBorders>
            <w:hideMark/>
          </w:tcPr>
          <w:p w14:paraId="2087107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107F" w14:textId="77777777" w:rsidR="00802D3E" w:rsidRDefault="00802D3E">
            <w:pPr>
              <w:pStyle w:val="MeasureTableTextLeftAligned"/>
            </w:pPr>
            <w:r>
              <w:t>Medium</w:t>
            </w:r>
          </w:p>
        </w:tc>
        <w:tc>
          <w:tcPr>
            <w:tcW w:w="1500" w:type="dxa"/>
            <w:gridSpan w:val="2"/>
            <w:tcBorders>
              <w:top w:val="nil"/>
              <w:left w:val="nil"/>
              <w:bottom w:val="nil"/>
              <w:right w:val="nil"/>
            </w:tcBorders>
          </w:tcPr>
          <w:p w14:paraId="20871080" w14:textId="77777777" w:rsidR="00802D3E" w:rsidRDefault="00802D3E">
            <w:pPr>
              <w:pStyle w:val="MeasureTableTextItalic"/>
            </w:pPr>
          </w:p>
        </w:tc>
        <w:tc>
          <w:tcPr>
            <w:tcW w:w="1124" w:type="dxa"/>
            <w:gridSpan w:val="2"/>
            <w:tcBorders>
              <w:top w:val="nil"/>
              <w:left w:val="nil"/>
              <w:bottom w:val="nil"/>
              <w:right w:val="nil"/>
            </w:tcBorders>
          </w:tcPr>
          <w:p w14:paraId="20871081" w14:textId="77777777" w:rsidR="00802D3E" w:rsidRDefault="00802D3E">
            <w:pPr>
              <w:pStyle w:val="MeasureTableTextLeftAligned"/>
            </w:pPr>
          </w:p>
        </w:tc>
      </w:tr>
      <w:tr w:rsidR="00802D3E" w14:paraId="20871087" w14:textId="77777777" w:rsidTr="00802D3E">
        <w:trPr>
          <w:cantSplit/>
          <w:jc w:val="center"/>
        </w:trPr>
        <w:tc>
          <w:tcPr>
            <w:tcW w:w="1934" w:type="dxa"/>
            <w:gridSpan w:val="2"/>
            <w:tcBorders>
              <w:top w:val="nil"/>
              <w:left w:val="nil"/>
              <w:bottom w:val="nil"/>
              <w:right w:val="nil"/>
            </w:tcBorders>
            <w:hideMark/>
          </w:tcPr>
          <w:p w14:paraId="2087108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1084"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1085"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086" w14:textId="77777777" w:rsidR="00802D3E" w:rsidRDefault="00802D3E">
            <w:pPr>
              <w:pStyle w:val="MeasureTableTextLeftAligned"/>
            </w:pPr>
          </w:p>
        </w:tc>
      </w:tr>
      <w:tr w:rsidR="00802D3E" w14:paraId="2087108A" w14:textId="77777777" w:rsidTr="00802D3E">
        <w:trPr>
          <w:cantSplit/>
          <w:jc w:val="center"/>
        </w:trPr>
        <w:tc>
          <w:tcPr>
            <w:tcW w:w="1934" w:type="dxa"/>
            <w:gridSpan w:val="2"/>
            <w:tcBorders>
              <w:top w:val="nil"/>
              <w:left w:val="nil"/>
              <w:bottom w:val="single" w:sz="2" w:space="0" w:color="auto"/>
              <w:right w:val="nil"/>
            </w:tcBorders>
            <w:hideMark/>
          </w:tcPr>
          <w:p w14:paraId="2087108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1089"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 xml:space="preserve">Sections 38-25, 38-30, 38-35, 38-38, 38-40 of the </w:t>
            </w:r>
            <w:r>
              <w:rPr>
                <w:rFonts w:ascii="Arial" w:hAnsi="Arial" w:cs="Arial"/>
                <w:i/>
                <w:iCs/>
                <w:color w:val="000000"/>
                <w:sz w:val="16"/>
                <w:szCs w:val="16"/>
              </w:rPr>
              <w:t>A New Tax System (Goods and Services Tax) Act 1999</w:t>
            </w:r>
          </w:p>
        </w:tc>
      </w:tr>
    </w:tbl>
    <w:p w14:paraId="2087108B" w14:textId="77777777" w:rsidR="00802D3E" w:rsidRDefault="00802D3E" w:rsidP="00A109BC">
      <w:pPr>
        <w:pStyle w:val="SingleParagraph"/>
      </w:pPr>
    </w:p>
    <w:p w14:paraId="2087108C" w14:textId="77777777" w:rsidR="00802D3E" w:rsidRDefault="00802D3E" w:rsidP="00802D3E">
      <w:r>
        <w:t>Some services provided by care and specialist disability providers</w:t>
      </w:r>
      <w:r>
        <w:fldChar w:fldCharType="begin"/>
      </w:r>
      <w:r>
        <w:instrText xml:space="preserve"> XE "Care and specialist disability providers" </w:instrText>
      </w:r>
      <w:r>
        <w:fldChar w:fldCharType="end"/>
      </w:r>
      <w:r>
        <w:t xml:space="preserve"> are GST-free, including certain disability supports delivered under the </w:t>
      </w:r>
      <w:r>
        <w:rPr>
          <w:i/>
        </w:rPr>
        <w:t>National Disability Insurance Scheme Act 2013</w:t>
      </w:r>
      <w:r>
        <w:t xml:space="preserve">. The quality of care principles found in the </w:t>
      </w:r>
      <w:r>
        <w:rPr>
          <w:i/>
        </w:rPr>
        <w:t>Aged Care Act 1997</w:t>
      </w:r>
      <w:r>
        <w:t xml:space="preserve"> apply in determining the tax status of specific care services. In general, publicly funded aged or disability care services are GST-free, as are privately funded aged care services which meet the quality of care principles found in the </w:t>
      </w:r>
      <w:r>
        <w:rPr>
          <w:i/>
        </w:rPr>
        <w:t>Aged Care Act 1997</w:t>
      </w:r>
      <w:r>
        <w:t xml:space="preserve"> and are provided to those needing daily living activities assistance or nursing services. </w:t>
      </w:r>
      <w:r>
        <w:fldChar w:fldCharType="begin"/>
      </w:r>
      <w:r>
        <w:instrText xml:space="preserve"> XE "Goods and Services Tax:Health" </w:instrText>
      </w:r>
      <w:r>
        <w:fldChar w:fldCharType="end"/>
      </w:r>
      <w:r>
        <w:fldChar w:fldCharType="begin"/>
      </w:r>
      <w:r>
        <w:instrText xml:space="preserve"> XE "National Disability Insurance Scheme" </w:instrText>
      </w:r>
      <w:r>
        <w:fldChar w:fldCharType="end"/>
      </w:r>
    </w:p>
    <w:p w14:paraId="2087108D" w14:textId="77777777" w:rsidR="00802D3E" w:rsidRDefault="00802D3E" w:rsidP="00802D3E">
      <w:pPr>
        <w:pStyle w:val="TESHeading5"/>
        <w:ind w:left="0" w:firstLine="0"/>
      </w:pPr>
      <w:r>
        <w:lastRenderedPageBreak/>
        <w:t>H21</w:t>
      </w:r>
      <w:r>
        <w:tab/>
        <w:t>Private health insurance</w:t>
      </w:r>
    </w:p>
    <w:p w14:paraId="2087108E" w14:textId="77777777" w:rsidR="00802D3E" w:rsidRDefault="00802D3E" w:rsidP="00802D3E">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1097" w14:textId="77777777" w:rsidTr="00802D3E">
        <w:trPr>
          <w:cantSplit/>
          <w:jc w:val="center"/>
        </w:trPr>
        <w:tc>
          <w:tcPr>
            <w:tcW w:w="967" w:type="dxa"/>
            <w:tcBorders>
              <w:top w:val="single" w:sz="2" w:space="0" w:color="auto"/>
              <w:left w:val="nil"/>
              <w:bottom w:val="single" w:sz="2" w:space="0" w:color="auto"/>
              <w:right w:val="nil"/>
            </w:tcBorders>
            <w:hideMark/>
          </w:tcPr>
          <w:p w14:paraId="2087108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109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109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109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109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109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109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1096" w14:textId="77777777" w:rsidR="00802D3E" w:rsidRDefault="00802D3E">
            <w:pPr>
              <w:pStyle w:val="MeasureTableTextRightAligned"/>
            </w:pPr>
            <w:r>
              <w:t>2019-20</w:t>
            </w:r>
          </w:p>
        </w:tc>
      </w:tr>
      <w:tr w:rsidR="00802D3E" w14:paraId="208710A0" w14:textId="77777777" w:rsidTr="00802D3E">
        <w:trPr>
          <w:cantSplit/>
          <w:jc w:val="center"/>
        </w:trPr>
        <w:tc>
          <w:tcPr>
            <w:tcW w:w="967" w:type="dxa"/>
            <w:tcBorders>
              <w:top w:val="single" w:sz="2" w:space="0" w:color="auto"/>
              <w:left w:val="nil"/>
              <w:bottom w:val="single" w:sz="2" w:space="0" w:color="auto"/>
              <w:right w:val="nil"/>
            </w:tcBorders>
            <w:hideMark/>
          </w:tcPr>
          <w:p w14:paraId="20871098" w14:textId="77777777" w:rsidR="00802D3E" w:rsidRDefault="00802D3E">
            <w:pPr>
              <w:pStyle w:val="MeasureTableTextRightAligned"/>
            </w:pPr>
            <w:r>
              <w:t>250</w:t>
            </w:r>
          </w:p>
        </w:tc>
        <w:tc>
          <w:tcPr>
            <w:tcW w:w="967" w:type="dxa"/>
            <w:tcBorders>
              <w:top w:val="single" w:sz="2" w:space="0" w:color="auto"/>
              <w:left w:val="nil"/>
              <w:bottom w:val="single" w:sz="2" w:space="0" w:color="auto"/>
              <w:right w:val="nil"/>
            </w:tcBorders>
            <w:hideMark/>
          </w:tcPr>
          <w:p w14:paraId="20871099" w14:textId="77777777" w:rsidR="00802D3E" w:rsidRDefault="00802D3E">
            <w:pPr>
              <w:pStyle w:val="MeasureTableTextRightAligned"/>
            </w:pPr>
            <w:r>
              <w:t>260</w:t>
            </w:r>
          </w:p>
        </w:tc>
        <w:tc>
          <w:tcPr>
            <w:tcW w:w="967" w:type="dxa"/>
            <w:tcBorders>
              <w:top w:val="single" w:sz="2" w:space="0" w:color="auto"/>
              <w:left w:val="nil"/>
              <w:bottom w:val="single" w:sz="2" w:space="0" w:color="auto"/>
              <w:right w:val="nil"/>
            </w:tcBorders>
            <w:vAlign w:val="bottom"/>
            <w:hideMark/>
          </w:tcPr>
          <w:p w14:paraId="2087109A" w14:textId="77777777" w:rsidR="00802D3E" w:rsidRDefault="00802D3E">
            <w:pPr>
              <w:pStyle w:val="MeasureTableTextRightAligned"/>
            </w:pPr>
            <w:r>
              <w:t>290</w:t>
            </w:r>
          </w:p>
        </w:tc>
        <w:tc>
          <w:tcPr>
            <w:tcW w:w="967" w:type="dxa"/>
            <w:tcBorders>
              <w:top w:val="single" w:sz="2" w:space="0" w:color="auto"/>
              <w:left w:val="nil"/>
              <w:bottom w:val="single" w:sz="2" w:space="0" w:color="auto"/>
              <w:right w:val="nil"/>
            </w:tcBorders>
            <w:vAlign w:val="bottom"/>
            <w:hideMark/>
          </w:tcPr>
          <w:p w14:paraId="2087109B" w14:textId="77777777" w:rsidR="00802D3E" w:rsidRDefault="00802D3E">
            <w:pPr>
              <w:pStyle w:val="MeasureTableTextRightAligned"/>
            </w:pPr>
            <w:r>
              <w:t>320</w:t>
            </w:r>
          </w:p>
        </w:tc>
        <w:tc>
          <w:tcPr>
            <w:tcW w:w="967" w:type="dxa"/>
            <w:tcBorders>
              <w:top w:val="single" w:sz="2" w:space="0" w:color="auto"/>
              <w:left w:val="nil"/>
              <w:bottom w:val="single" w:sz="2" w:space="0" w:color="auto"/>
              <w:right w:val="nil"/>
            </w:tcBorders>
            <w:vAlign w:val="bottom"/>
            <w:hideMark/>
          </w:tcPr>
          <w:p w14:paraId="2087109C" w14:textId="77777777" w:rsidR="00802D3E" w:rsidRDefault="00802D3E">
            <w:pPr>
              <w:pStyle w:val="MeasureTableTextRightAligned"/>
            </w:pPr>
            <w:r>
              <w:t>340</w:t>
            </w:r>
          </w:p>
        </w:tc>
        <w:tc>
          <w:tcPr>
            <w:tcW w:w="967" w:type="dxa"/>
            <w:gridSpan w:val="2"/>
            <w:tcBorders>
              <w:top w:val="single" w:sz="2" w:space="0" w:color="auto"/>
              <w:left w:val="nil"/>
              <w:bottom w:val="single" w:sz="2" w:space="0" w:color="auto"/>
              <w:right w:val="nil"/>
            </w:tcBorders>
            <w:vAlign w:val="bottom"/>
            <w:hideMark/>
          </w:tcPr>
          <w:p w14:paraId="2087109D" w14:textId="77777777" w:rsidR="00802D3E" w:rsidRDefault="00802D3E">
            <w:pPr>
              <w:pStyle w:val="MeasureTableTextRightAligned"/>
            </w:pPr>
            <w:r>
              <w:t>360</w:t>
            </w:r>
          </w:p>
        </w:tc>
        <w:tc>
          <w:tcPr>
            <w:tcW w:w="967" w:type="dxa"/>
            <w:gridSpan w:val="2"/>
            <w:tcBorders>
              <w:top w:val="single" w:sz="2" w:space="0" w:color="auto"/>
              <w:left w:val="nil"/>
              <w:bottom w:val="single" w:sz="2" w:space="0" w:color="auto"/>
              <w:right w:val="nil"/>
            </w:tcBorders>
            <w:vAlign w:val="bottom"/>
            <w:hideMark/>
          </w:tcPr>
          <w:p w14:paraId="2087109E" w14:textId="77777777" w:rsidR="00802D3E" w:rsidRDefault="00802D3E">
            <w:pPr>
              <w:pStyle w:val="MeasureTableTextRightAligned"/>
            </w:pPr>
            <w:r>
              <w:t>390</w:t>
            </w:r>
          </w:p>
        </w:tc>
        <w:tc>
          <w:tcPr>
            <w:tcW w:w="968" w:type="dxa"/>
            <w:tcBorders>
              <w:top w:val="single" w:sz="2" w:space="0" w:color="auto"/>
              <w:left w:val="nil"/>
              <w:bottom w:val="single" w:sz="2" w:space="0" w:color="auto"/>
              <w:right w:val="nil"/>
            </w:tcBorders>
            <w:vAlign w:val="bottom"/>
            <w:hideMark/>
          </w:tcPr>
          <w:p w14:paraId="2087109F" w14:textId="77777777" w:rsidR="00802D3E" w:rsidRDefault="00802D3E">
            <w:pPr>
              <w:pStyle w:val="MeasureTableTextRightAligned"/>
            </w:pPr>
            <w:r>
              <w:t>410</w:t>
            </w:r>
          </w:p>
        </w:tc>
      </w:tr>
      <w:tr w:rsidR="00802D3E" w14:paraId="208710A5" w14:textId="77777777" w:rsidTr="00802D3E">
        <w:trPr>
          <w:cantSplit/>
          <w:jc w:val="center"/>
        </w:trPr>
        <w:tc>
          <w:tcPr>
            <w:tcW w:w="1934" w:type="dxa"/>
            <w:gridSpan w:val="2"/>
            <w:tcBorders>
              <w:top w:val="single" w:sz="2" w:space="0" w:color="auto"/>
              <w:left w:val="nil"/>
              <w:bottom w:val="nil"/>
              <w:right w:val="nil"/>
            </w:tcBorders>
            <w:hideMark/>
          </w:tcPr>
          <w:p w14:paraId="208710A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10A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10A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0A4" w14:textId="77777777" w:rsidR="00802D3E" w:rsidRDefault="00802D3E">
            <w:pPr>
              <w:pStyle w:val="MeasureTableTextLeftAligned"/>
            </w:pPr>
            <w:r>
              <w:t>H21</w:t>
            </w:r>
          </w:p>
        </w:tc>
      </w:tr>
      <w:tr w:rsidR="00802D3E" w14:paraId="208710AA" w14:textId="77777777" w:rsidTr="00802D3E">
        <w:trPr>
          <w:cantSplit/>
          <w:jc w:val="center"/>
        </w:trPr>
        <w:tc>
          <w:tcPr>
            <w:tcW w:w="1934" w:type="dxa"/>
            <w:gridSpan w:val="2"/>
            <w:tcBorders>
              <w:top w:val="nil"/>
              <w:left w:val="nil"/>
              <w:bottom w:val="nil"/>
              <w:right w:val="nil"/>
            </w:tcBorders>
            <w:hideMark/>
          </w:tcPr>
          <w:p w14:paraId="208710A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10A7" w14:textId="77777777" w:rsidR="00802D3E" w:rsidRDefault="00802D3E">
            <w:pPr>
              <w:pStyle w:val="MeasureTableTextLeftAligned"/>
            </w:pPr>
            <w:r>
              <w:t>Medium</w:t>
            </w:r>
          </w:p>
        </w:tc>
        <w:tc>
          <w:tcPr>
            <w:tcW w:w="1500" w:type="dxa"/>
            <w:gridSpan w:val="2"/>
            <w:tcBorders>
              <w:top w:val="nil"/>
              <w:left w:val="nil"/>
              <w:bottom w:val="nil"/>
              <w:right w:val="nil"/>
            </w:tcBorders>
          </w:tcPr>
          <w:p w14:paraId="208710A8" w14:textId="77777777" w:rsidR="00802D3E" w:rsidRDefault="00802D3E">
            <w:pPr>
              <w:pStyle w:val="MeasureTableTextItalic"/>
            </w:pPr>
          </w:p>
        </w:tc>
        <w:tc>
          <w:tcPr>
            <w:tcW w:w="1124" w:type="dxa"/>
            <w:gridSpan w:val="2"/>
            <w:tcBorders>
              <w:top w:val="nil"/>
              <w:left w:val="nil"/>
              <w:bottom w:val="nil"/>
              <w:right w:val="nil"/>
            </w:tcBorders>
          </w:tcPr>
          <w:p w14:paraId="208710A9" w14:textId="77777777" w:rsidR="00802D3E" w:rsidRDefault="00802D3E">
            <w:pPr>
              <w:pStyle w:val="MeasureTableTextLeftAligned"/>
            </w:pPr>
          </w:p>
        </w:tc>
      </w:tr>
      <w:tr w:rsidR="00802D3E" w14:paraId="208710AF" w14:textId="77777777" w:rsidTr="00802D3E">
        <w:trPr>
          <w:cantSplit/>
          <w:jc w:val="center"/>
        </w:trPr>
        <w:tc>
          <w:tcPr>
            <w:tcW w:w="1934" w:type="dxa"/>
            <w:gridSpan w:val="2"/>
            <w:tcBorders>
              <w:top w:val="nil"/>
              <w:left w:val="nil"/>
              <w:bottom w:val="nil"/>
              <w:right w:val="nil"/>
            </w:tcBorders>
            <w:hideMark/>
          </w:tcPr>
          <w:p w14:paraId="208710A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10AC"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10AD"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0AE" w14:textId="77777777" w:rsidR="00802D3E" w:rsidRDefault="00802D3E">
            <w:pPr>
              <w:pStyle w:val="MeasureTableTextLeftAligned"/>
            </w:pPr>
          </w:p>
        </w:tc>
      </w:tr>
      <w:tr w:rsidR="00802D3E" w14:paraId="208710B2" w14:textId="77777777" w:rsidTr="00802D3E">
        <w:trPr>
          <w:cantSplit/>
          <w:jc w:val="center"/>
        </w:trPr>
        <w:tc>
          <w:tcPr>
            <w:tcW w:w="1934" w:type="dxa"/>
            <w:gridSpan w:val="2"/>
            <w:tcBorders>
              <w:top w:val="nil"/>
              <w:left w:val="nil"/>
              <w:bottom w:val="single" w:sz="2" w:space="0" w:color="auto"/>
              <w:right w:val="nil"/>
            </w:tcBorders>
            <w:hideMark/>
          </w:tcPr>
          <w:p w14:paraId="208710B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10B1"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 xml:space="preserve">Sections 38-55, 38-60 of the </w:t>
            </w:r>
            <w:r>
              <w:rPr>
                <w:rFonts w:ascii="Arial" w:hAnsi="Arial" w:cs="Arial"/>
                <w:i/>
                <w:iCs/>
                <w:color w:val="000000"/>
                <w:sz w:val="16"/>
                <w:szCs w:val="16"/>
              </w:rPr>
              <w:t>A New Tax System (Goods and Services Tax) Act 1999</w:t>
            </w:r>
          </w:p>
        </w:tc>
      </w:tr>
    </w:tbl>
    <w:p w14:paraId="208710B3" w14:textId="77777777" w:rsidR="00802D3E" w:rsidRDefault="00802D3E" w:rsidP="00A109BC">
      <w:pPr>
        <w:pStyle w:val="SingleParagraph"/>
      </w:pPr>
    </w:p>
    <w:p w14:paraId="208710B4" w14:textId="77777777" w:rsidR="00802D3E" w:rsidRDefault="00802D3E" w:rsidP="00802D3E">
      <w:r>
        <w:t>A supply of private health insurance</w:t>
      </w:r>
      <w:r>
        <w:fldChar w:fldCharType="begin"/>
      </w:r>
      <w:r>
        <w:instrText xml:space="preserve"> XE "Private health insurance" </w:instrText>
      </w:r>
      <w:r>
        <w:fldChar w:fldCharType="end"/>
      </w:r>
      <w:r>
        <w:t xml:space="preserve"> by a private health insurer (within the meaning of the </w:t>
      </w:r>
      <w:r>
        <w:rPr>
          <w:i/>
        </w:rPr>
        <w:t>Private Health Insurance Act 2007</w:t>
      </w:r>
      <w:r>
        <w:t>) is GST-free. In line with the GST treatment of general insurance, the tax expenditure for this item is based on the difference between the premium income of private health insurers and the value of benefits paid out.</w:t>
      </w:r>
      <w:r>
        <w:fldChar w:fldCharType="begin"/>
      </w:r>
      <w:r>
        <w:instrText xml:space="preserve"> XE "Goods and Services Tax:Health" </w:instrText>
      </w:r>
      <w:r>
        <w:fldChar w:fldCharType="end"/>
      </w:r>
    </w:p>
    <w:p w14:paraId="208710B5" w14:textId="77777777" w:rsidR="00802D3E" w:rsidRDefault="00802D3E" w:rsidP="00802D3E">
      <w:pPr>
        <w:pStyle w:val="TESHeading5"/>
        <w:ind w:left="0" w:firstLine="0"/>
      </w:pPr>
      <w:r>
        <w:t>H22</w:t>
      </w:r>
      <w:r>
        <w:tab/>
        <w:t>Religious services</w:t>
      </w:r>
    </w:p>
    <w:p w14:paraId="208710B6" w14:textId="77777777" w:rsidR="00802D3E" w:rsidRDefault="00802D3E" w:rsidP="00802D3E">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10BF" w14:textId="77777777" w:rsidTr="00802D3E">
        <w:trPr>
          <w:cantSplit/>
          <w:jc w:val="center"/>
        </w:trPr>
        <w:tc>
          <w:tcPr>
            <w:tcW w:w="967" w:type="dxa"/>
            <w:tcBorders>
              <w:top w:val="single" w:sz="2" w:space="0" w:color="auto"/>
              <w:left w:val="nil"/>
              <w:bottom w:val="single" w:sz="2" w:space="0" w:color="auto"/>
              <w:right w:val="nil"/>
            </w:tcBorders>
            <w:hideMark/>
          </w:tcPr>
          <w:p w14:paraId="208710B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10B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10B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10B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10B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10B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10B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10BE" w14:textId="77777777" w:rsidR="00802D3E" w:rsidRDefault="00802D3E">
            <w:pPr>
              <w:pStyle w:val="MeasureTableTextRightAligned"/>
            </w:pPr>
            <w:r>
              <w:t>2019-20</w:t>
            </w:r>
          </w:p>
        </w:tc>
      </w:tr>
      <w:tr w:rsidR="00802D3E" w14:paraId="208710C8" w14:textId="77777777" w:rsidTr="00802D3E">
        <w:trPr>
          <w:cantSplit/>
          <w:jc w:val="center"/>
        </w:trPr>
        <w:tc>
          <w:tcPr>
            <w:tcW w:w="967" w:type="dxa"/>
            <w:tcBorders>
              <w:top w:val="single" w:sz="2" w:space="0" w:color="auto"/>
              <w:left w:val="nil"/>
              <w:bottom w:val="single" w:sz="2" w:space="0" w:color="auto"/>
              <w:right w:val="nil"/>
            </w:tcBorders>
            <w:hideMark/>
          </w:tcPr>
          <w:p w14:paraId="208710C0" w14:textId="77777777" w:rsidR="00802D3E" w:rsidRDefault="00802D3E">
            <w:pPr>
              <w:pStyle w:val="MeasureTableTextRightAligned"/>
            </w:pPr>
            <w:r>
              <w:t>35</w:t>
            </w:r>
          </w:p>
        </w:tc>
        <w:tc>
          <w:tcPr>
            <w:tcW w:w="967" w:type="dxa"/>
            <w:tcBorders>
              <w:top w:val="single" w:sz="2" w:space="0" w:color="auto"/>
              <w:left w:val="nil"/>
              <w:bottom w:val="single" w:sz="2" w:space="0" w:color="auto"/>
              <w:right w:val="nil"/>
            </w:tcBorders>
            <w:hideMark/>
          </w:tcPr>
          <w:p w14:paraId="208710C1" w14:textId="77777777" w:rsidR="00802D3E" w:rsidRDefault="00802D3E">
            <w:pPr>
              <w:pStyle w:val="MeasureTableTextRightAligned"/>
            </w:pPr>
            <w:r>
              <w:t>35</w:t>
            </w:r>
          </w:p>
        </w:tc>
        <w:tc>
          <w:tcPr>
            <w:tcW w:w="967" w:type="dxa"/>
            <w:tcBorders>
              <w:top w:val="single" w:sz="2" w:space="0" w:color="auto"/>
              <w:left w:val="nil"/>
              <w:bottom w:val="single" w:sz="2" w:space="0" w:color="auto"/>
              <w:right w:val="nil"/>
            </w:tcBorders>
            <w:vAlign w:val="bottom"/>
            <w:hideMark/>
          </w:tcPr>
          <w:p w14:paraId="208710C2" w14:textId="77777777" w:rsidR="00802D3E" w:rsidRDefault="00802D3E">
            <w:pPr>
              <w:pStyle w:val="MeasureTableTextRightAligned"/>
            </w:pPr>
            <w:r>
              <w:t>40</w:t>
            </w:r>
          </w:p>
        </w:tc>
        <w:tc>
          <w:tcPr>
            <w:tcW w:w="967" w:type="dxa"/>
            <w:tcBorders>
              <w:top w:val="single" w:sz="2" w:space="0" w:color="auto"/>
              <w:left w:val="nil"/>
              <w:bottom w:val="single" w:sz="2" w:space="0" w:color="auto"/>
              <w:right w:val="nil"/>
            </w:tcBorders>
            <w:vAlign w:val="bottom"/>
            <w:hideMark/>
          </w:tcPr>
          <w:p w14:paraId="208710C3" w14:textId="77777777" w:rsidR="00802D3E" w:rsidRDefault="00802D3E">
            <w:pPr>
              <w:pStyle w:val="MeasureTableTextRightAligned"/>
            </w:pPr>
            <w:r>
              <w:t>45</w:t>
            </w:r>
          </w:p>
        </w:tc>
        <w:tc>
          <w:tcPr>
            <w:tcW w:w="967" w:type="dxa"/>
            <w:tcBorders>
              <w:top w:val="single" w:sz="2" w:space="0" w:color="auto"/>
              <w:left w:val="nil"/>
              <w:bottom w:val="single" w:sz="2" w:space="0" w:color="auto"/>
              <w:right w:val="nil"/>
            </w:tcBorders>
            <w:vAlign w:val="bottom"/>
            <w:hideMark/>
          </w:tcPr>
          <w:p w14:paraId="208710C4" w14:textId="77777777" w:rsidR="00802D3E" w:rsidRDefault="00802D3E">
            <w:pPr>
              <w:pStyle w:val="MeasureTableTextRightAligned"/>
            </w:pPr>
            <w:r>
              <w:t>45</w:t>
            </w:r>
          </w:p>
        </w:tc>
        <w:tc>
          <w:tcPr>
            <w:tcW w:w="967" w:type="dxa"/>
            <w:gridSpan w:val="2"/>
            <w:tcBorders>
              <w:top w:val="single" w:sz="2" w:space="0" w:color="auto"/>
              <w:left w:val="nil"/>
              <w:bottom w:val="single" w:sz="2" w:space="0" w:color="auto"/>
              <w:right w:val="nil"/>
            </w:tcBorders>
            <w:vAlign w:val="bottom"/>
            <w:hideMark/>
          </w:tcPr>
          <w:p w14:paraId="208710C5" w14:textId="77777777" w:rsidR="00802D3E" w:rsidRDefault="00802D3E">
            <w:pPr>
              <w:pStyle w:val="MeasureTableTextRightAligned"/>
            </w:pPr>
            <w:r>
              <w:t>50</w:t>
            </w:r>
          </w:p>
        </w:tc>
        <w:tc>
          <w:tcPr>
            <w:tcW w:w="967" w:type="dxa"/>
            <w:gridSpan w:val="2"/>
            <w:tcBorders>
              <w:top w:val="single" w:sz="2" w:space="0" w:color="auto"/>
              <w:left w:val="nil"/>
              <w:bottom w:val="single" w:sz="2" w:space="0" w:color="auto"/>
              <w:right w:val="nil"/>
            </w:tcBorders>
            <w:vAlign w:val="bottom"/>
            <w:hideMark/>
          </w:tcPr>
          <w:p w14:paraId="208710C6" w14:textId="77777777" w:rsidR="00802D3E" w:rsidRDefault="00802D3E">
            <w:pPr>
              <w:pStyle w:val="MeasureTableTextRightAligned"/>
            </w:pPr>
            <w:r>
              <w:t>55</w:t>
            </w:r>
          </w:p>
        </w:tc>
        <w:tc>
          <w:tcPr>
            <w:tcW w:w="968" w:type="dxa"/>
            <w:tcBorders>
              <w:top w:val="single" w:sz="2" w:space="0" w:color="auto"/>
              <w:left w:val="nil"/>
              <w:bottom w:val="single" w:sz="2" w:space="0" w:color="auto"/>
              <w:right w:val="nil"/>
            </w:tcBorders>
            <w:vAlign w:val="bottom"/>
            <w:hideMark/>
          </w:tcPr>
          <w:p w14:paraId="208710C7" w14:textId="77777777" w:rsidR="00802D3E" w:rsidRDefault="00802D3E">
            <w:pPr>
              <w:pStyle w:val="MeasureTableTextRightAligned"/>
            </w:pPr>
            <w:r>
              <w:t>60</w:t>
            </w:r>
          </w:p>
        </w:tc>
      </w:tr>
      <w:tr w:rsidR="00802D3E" w14:paraId="208710CD" w14:textId="77777777" w:rsidTr="00802D3E">
        <w:trPr>
          <w:cantSplit/>
          <w:jc w:val="center"/>
        </w:trPr>
        <w:tc>
          <w:tcPr>
            <w:tcW w:w="1934" w:type="dxa"/>
            <w:gridSpan w:val="2"/>
            <w:tcBorders>
              <w:top w:val="single" w:sz="2" w:space="0" w:color="auto"/>
              <w:left w:val="nil"/>
              <w:bottom w:val="nil"/>
              <w:right w:val="nil"/>
            </w:tcBorders>
            <w:hideMark/>
          </w:tcPr>
          <w:p w14:paraId="208710C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10CA"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10C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0CC" w14:textId="77777777" w:rsidR="00802D3E" w:rsidRDefault="00802D3E">
            <w:pPr>
              <w:pStyle w:val="MeasureTableTextLeftAligned"/>
            </w:pPr>
            <w:r>
              <w:t>H22</w:t>
            </w:r>
          </w:p>
        </w:tc>
      </w:tr>
      <w:tr w:rsidR="00802D3E" w14:paraId="208710D2" w14:textId="77777777" w:rsidTr="00802D3E">
        <w:trPr>
          <w:cantSplit/>
          <w:jc w:val="center"/>
        </w:trPr>
        <w:tc>
          <w:tcPr>
            <w:tcW w:w="1934" w:type="dxa"/>
            <w:gridSpan w:val="2"/>
            <w:tcBorders>
              <w:top w:val="nil"/>
              <w:left w:val="nil"/>
              <w:bottom w:val="nil"/>
              <w:right w:val="nil"/>
            </w:tcBorders>
            <w:hideMark/>
          </w:tcPr>
          <w:p w14:paraId="208710C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10CF" w14:textId="77777777" w:rsidR="00802D3E" w:rsidRDefault="00802D3E">
            <w:pPr>
              <w:pStyle w:val="MeasureTableTextLeftAligned"/>
            </w:pPr>
            <w:r>
              <w:t>Low</w:t>
            </w:r>
          </w:p>
        </w:tc>
        <w:tc>
          <w:tcPr>
            <w:tcW w:w="1500" w:type="dxa"/>
            <w:gridSpan w:val="2"/>
            <w:tcBorders>
              <w:top w:val="nil"/>
              <w:left w:val="nil"/>
              <w:bottom w:val="nil"/>
              <w:right w:val="nil"/>
            </w:tcBorders>
          </w:tcPr>
          <w:p w14:paraId="208710D0" w14:textId="77777777" w:rsidR="00802D3E" w:rsidRDefault="00802D3E">
            <w:pPr>
              <w:pStyle w:val="MeasureTableTextItalic"/>
            </w:pPr>
          </w:p>
        </w:tc>
        <w:tc>
          <w:tcPr>
            <w:tcW w:w="1124" w:type="dxa"/>
            <w:gridSpan w:val="2"/>
            <w:tcBorders>
              <w:top w:val="nil"/>
              <w:left w:val="nil"/>
              <w:bottom w:val="nil"/>
              <w:right w:val="nil"/>
            </w:tcBorders>
          </w:tcPr>
          <w:p w14:paraId="208710D1" w14:textId="77777777" w:rsidR="00802D3E" w:rsidRDefault="00802D3E">
            <w:pPr>
              <w:pStyle w:val="MeasureTableTextLeftAligned"/>
            </w:pPr>
          </w:p>
        </w:tc>
      </w:tr>
      <w:tr w:rsidR="00802D3E" w14:paraId="208710D7" w14:textId="77777777" w:rsidTr="00802D3E">
        <w:trPr>
          <w:cantSplit/>
          <w:jc w:val="center"/>
        </w:trPr>
        <w:tc>
          <w:tcPr>
            <w:tcW w:w="1934" w:type="dxa"/>
            <w:gridSpan w:val="2"/>
            <w:tcBorders>
              <w:top w:val="nil"/>
              <w:left w:val="nil"/>
              <w:bottom w:val="nil"/>
              <w:right w:val="nil"/>
            </w:tcBorders>
            <w:hideMark/>
          </w:tcPr>
          <w:p w14:paraId="208710D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10D4"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10D5"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0D6" w14:textId="77777777" w:rsidR="00802D3E" w:rsidRDefault="00802D3E">
            <w:pPr>
              <w:pStyle w:val="MeasureTableTextLeftAligned"/>
            </w:pPr>
          </w:p>
        </w:tc>
      </w:tr>
      <w:tr w:rsidR="00802D3E" w14:paraId="208710DA" w14:textId="77777777" w:rsidTr="00802D3E">
        <w:trPr>
          <w:cantSplit/>
          <w:jc w:val="center"/>
        </w:trPr>
        <w:tc>
          <w:tcPr>
            <w:tcW w:w="1934" w:type="dxa"/>
            <w:gridSpan w:val="2"/>
            <w:tcBorders>
              <w:top w:val="nil"/>
              <w:left w:val="nil"/>
              <w:bottom w:val="single" w:sz="2" w:space="0" w:color="auto"/>
              <w:right w:val="nil"/>
            </w:tcBorders>
            <w:hideMark/>
          </w:tcPr>
          <w:p w14:paraId="208710D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10D9"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 xml:space="preserve">Section 38-220 of the </w:t>
            </w:r>
            <w:r>
              <w:rPr>
                <w:rFonts w:ascii="Arial" w:hAnsi="Arial" w:cs="Arial"/>
                <w:i/>
                <w:iCs/>
                <w:color w:val="000000"/>
                <w:sz w:val="16"/>
                <w:szCs w:val="16"/>
              </w:rPr>
              <w:t>A New Tax System (Goods and Services Tax) Act 1999</w:t>
            </w:r>
          </w:p>
        </w:tc>
      </w:tr>
    </w:tbl>
    <w:p w14:paraId="208710DB" w14:textId="77777777" w:rsidR="00802D3E" w:rsidRDefault="00802D3E" w:rsidP="00A109BC">
      <w:pPr>
        <w:pStyle w:val="SingleParagraph"/>
      </w:pPr>
    </w:p>
    <w:p w14:paraId="208710DC" w14:textId="77777777" w:rsidR="00802D3E" w:rsidRDefault="00802D3E" w:rsidP="00802D3E">
      <w:r>
        <w:t>Supplies of religious services</w:t>
      </w:r>
      <w:r>
        <w:fldChar w:fldCharType="begin"/>
      </w:r>
      <w:r>
        <w:instrText xml:space="preserve"> XE "Religious services" </w:instrText>
      </w:r>
      <w:r>
        <w:fldChar w:fldCharType="end"/>
      </w:r>
      <w:r>
        <w:t xml:space="preserve"> are GST-free if supplied by a religious institution and the supplied service is integral to the practice of that religion. </w:t>
      </w:r>
    </w:p>
    <w:p w14:paraId="208710DD" w14:textId="77777777" w:rsidR="00802D3E" w:rsidRDefault="00802D3E" w:rsidP="00802D3E">
      <w:pPr>
        <w:pStyle w:val="TESHeading5"/>
        <w:ind w:left="0" w:firstLine="0"/>
      </w:pPr>
      <w:r>
        <w:t>H23</w:t>
      </w:r>
      <w:r>
        <w:tab/>
        <w:t>Supplies of farm land</w:t>
      </w:r>
    </w:p>
    <w:p w14:paraId="208710DE" w14:textId="77777777" w:rsidR="00802D3E" w:rsidRDefault="00802D3E" w:rsidP="00802D3E">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10E7" w14:textId="77777777" w:rsidTr="00802D3E">
        <w:trPr>
          <w:cantSplit/>
          <w:jc w:val="center"/>
        </w:trPr>
        <w:tc>
          <w:tcPr>
            <w:tcW w:w="967" w:type="dxa"/>
            <w:tcBorders>
              <w:top w:val="single" w:sz="2" w:space="0" w:color="auto"/>
              <w:left w:val="nil"/>
              <w:bottom w:val="single" w:sz="2" w:space="0" w:color="auto"/>
              <w:right w:val="nil"/>
            </w:tcBorders>
            <w:hideMark/>
          </w:tcPr>
          <w:p w14:paraId="208710DF"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10E0"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10E1"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10E2"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10E3"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10E4"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10E5"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10E6" w14:textId="77777777" w:rsidR="00802D3E" w:rsidRDefault="00802D3E">
            <w:pPr>
              <w:pStyle w:val="MeasureTableTextRightAligned"/>
            </w:pPr>
            <w:r>
              <w:t>2019-20</w:t>
            </w:r>
          </w:p>
        </w:tc>
      </w:tr>
      <w:tr w:rsidR="00802D3E" w14:paraId="208710F0" w14:textId="77777777" w:rsidTr="00802D3E">
        <w:trPr>
          <w:cantSplit/>
          <w:jc w:val="center"/>
        </w:trPr>
        <w:tc>
          <w:tcPr>
            <w:tcW w:w="967" w:type="dxa"/>
            <w:tcBorders>
              <w:top w:val="single" w:sz="2" w:space="0" w:color="auto"/>
              <w:left w:val="nil"/>
              <w:bottom w:val="single" w:sz="2" w:space="0" w:color="auto"/>
              <w:right w:val="nil"/>
            </w:tcBorders>
            <w:hideMark/>
          </w:tcPr>
          <w:p w14:paraId="208710E8"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10E9"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10EA"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10EB"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10EC"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10ED"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10EE"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10EF" w14:textId="77777777" w:rsidR="00802D3E" w:rsidRDefault="00802D3E">
            <w:pPr>
              <w:pStyle w:val="MeasureTableTextRightAligned"/>
            </w:pPr>
            <w:r>
              <w:t>*</w:t>
            </w:r>
          </w:p>
        </w:tc>
      </w:tr>
      <w:tr w:rsidR="00802D3E" w14:paraId="208710F5" w14:textId="77777777" w:rsidTr="00802D3E">
        <w:trPr>
          <w:cantSplit/>
          <w:jc w:val="center"/>
        </w:trPr>
        <w:tc>
          <w:tcPr>
            <w:tcW w:w="1934" w:type="dxa"/>
            <w:gridSpan w:val="2"/>
            <w:tcBorders>
              <w:top w:val="single" w:sz="2" w:space="0" w:color="auto"/>
              <w:left w:val="nil"/>
              <w:bottom w:val="nil"/>
              <w:right w:val="nil"/>
            </w:tcBorders>
            <w:hideMark/>
          </w:tcPr>
          <w:p w14:paraId="208710F1"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10F2"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10F3"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0F4" w14:textId="77777777" w:rsidR="00802D3E" w:rsidRDefault="00802D3E">
            <w:pPr>
              <w:pStyle w:val="MeasureTableTextLeftAligned"/>
            </w:pPr>
            <w:r>
              <w:t>H23</w:t>
            </w:r>
          </w:p>
        </w:tc>
      </w:tr>
      <w:tr w:rsidR="00802D3E" w14:paraId="208710FA" w14:textId="77777777" w:rsidTr="00802D3E">
        <w:trPr>
          <w:cantSplit/>
          <w:jc w:val="center"/>
        </w:trPr>
        <w:tc>
          <w:tcPr>
            <w:tcW w:w="1934" w:type="dxa"/>
            <w:gridSpan w:val="2"/>
            <w:tcBorders>
              <w:top w:val="nil"/>
              <w:left w:val="nil"/>
              <w:bottom w:val="nil"/>
              <w:right w:val="nil"/>
            </w:tcBorders>
            <w:hideMark/>
          </w:tcPr>
          <w:p w14:paraId="208710F6"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10F7"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10F8"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10F9" w14:textId="77777777" w:rsidR="00802D3E" w:rsidRDefault="00802D3E">
            <w:pPr>
              <w:pStyle w:val="MeasureTableTextLeftAligned"/>
            </w:pPr>
            <w:r>
              <w:t>3+</w:t>
            </w:r>
          </w:p>
        </w:tc>
      </w:tr>
      <w:tr w:rsidR="00802D3E" w14:paraId="208710FF" w14:textId="77777777" w:rsidTr="00802D3E">
        <w:trPr>
          <w:cantSplit/>
          <w:jc w:val="center"/>
        </w:trPr>
        <w:tc>
          <w:tcPr>
            <w:tcW w:w="1934" w:type="dxa"/>
            <w:gridSpan w:val="2"/>
            <w:tcBorders>
              <w:top w:val="nil"/>
              <w:left w:val="nil"/>
              <w:bottom w:val="nil"/>
              <w:right w:val="nil"/>
            </w:tcBorders>
            <w:hideMark/>
          </w:tcPr>
          <w:p w14:paraId="208710FB"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10FC"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10FD"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0FE" w14:textId="77777777" w:rsidR="00802D3E" w:rsidRDefault="00802D3E">
            <w:pPr>
              <w:pStyle w:val="MeasureTableTextLeftAligned"/>
            </w:pPr>
          </w:p>
        </w:tc>
      </w:tr>
      <w:tr w:rsidR="00802D3E" w14:paraId="20871102" w14:textId="77777777" w:rsidTr="00802D3E">
        <w:trPr>
          <w:cantSplit/>
          <w:jc w:val="center"/>
        </w:trPr>
        <w:tc>
          <w:tcPr>
            <w:tcW w:w="1934" w:type="dxa"/>
            <w:gridSpan w:val="2"/>
            <w:tcBorders>
              <w:top w:val="nil"/>
              <w:left w:val="nil"/>
              <w:bottom w:val="single" w:sz="2" w:space="0" w:color="auto"/>
              <w:right w:val="nil"/>
            </w:tcBorders>
            <w:hideMark/>
          </w:tcPr>
          <w:p w14:paraId="20871100"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1101" w14:textId="591B04B3" w:rsidR="00802D3E" w:rsidRDefault="00802D3E" w:rsidP="00C11FD2">
            <w:pPr>
              <w:widowControl w:val="0"/>
              <w:autoSpaceDE w:val="0"/>
              <w:autoSpaceDN w:val="0"/>
              <w:adjustRightInd w:val="0"/>
              <w:spacing w:after="0" w:line="240" w:lineRule="auto"/>
              <w:jc w:val="left"/>
            </w:pPr>
            <w:r>
              <w:rPr>
                <w:rFonts w:ascii="Arial" w:hAnsi="Arial" w:cs="Arial"/>
                <w:color w:val="000000"/>
                <w:sz w:val="16"/>
                <w:szCs w:val="16"/>
              </w:rPr>
              <w:t xml:space="preserve">Subdivision 38-O of the </w:t>
            </w:r>
            <w:r>
              <w:rPr>
                <w:rFonts w:ascii="Arial" w:hAnsi="Arial" w:cs="Arial"/>
                <w:i/>
                <w:iCs/>
                <w:color w:val="000000"/>
                <w:sz w:val="16"/>
                <w:szCs w:val="16"/>
              </w:rPr>
              <w:t>A New Tax System (Goods and Services Tax) Act</w:t>
            </w:r>
            <w:r w:rsidR="00C11FD2">
              <w:rPr>
                <w:rFonts w:ascii="Arial" w:hAnsi="Arial" w:cs="Arial"/>
                <w:i/>
                <w:iCs/>
                <w:color w:val="000000"/>
                <w:sz w:val="16"/>
                <w:szCs w:val="16"/>
              </w:rPr>
              <w:t> </w:t>
            </w:r>
            <w:r>
              <w:rPr>
                <w:rFonts w:ascii="Arial" w:hAnsi="Arial" w:cs="Arial"/>
                <w:i/>
                <w:iCs/>
                <w:color w:val="000000"/>
                <w:sz w:val="16"/>
                <w:szCs w:val="16"/>
              </w:rPr>
              <w:t>1999</w:t>
            </w:r>
          </w:p>
        </w:tc>
      </w:tr>
    </w:tbl>
    <w:p w14:paraId="20871103" w14:textId="77777777" w:rsidR="00802D3E" w:rsidRDefault="00802D3E" w:rsidP="00A109BC">
      <w:pPr>
        <w:pStyle w:val="SingleParagraph"/>
      </w:pPr>
    </w:p>
    <w:p w14:paraId="20871104" w14:textId="77777777" w:rsidR="00802D3E" w:rsidRDefault="00802D3E" w:rsidP="00802D3E">
      <w:r>
        <w:t>Specific supplies of farm land</w:t>
      </w:r>
      <w:r>
        <w:fldChar w:fldCharType="begin"/>
      </w:r>
      <w:r>
        <w:instrText xml:space="preserve"> XE "Supplies of farm land" </w:instrText>
      </w:r>
      <w:r>
        <w:fldChar w:fldCharType="end"/>
      </w:r>
      <w:r>
        <w:t xml:space="preserve"> are GST-free. This includes: farm land supplied for farming on which a farming business has been carried on for at least five years and upon which a farming business is intended to continue to be carried on; and subdivided farm land that is potential residential land that is supplied to associates for nil or inadequate consideration</w:t>
      </w:r>
      <w:r>
        <w:fldChar w:fldCharType="begin"/>
      </w:r>
      <w:r>
        <w:instrText xml:space="preserve"> XE </w:instrText>
      </w:r>
      <w:r w:rsidR="001E032A">
        <w:instrText>"Goods and Services Tax:</w:instrText>
      </w:r>
      <w:r>
        <w:instrText xml:space="preserve">Farm land" </w:instrText>
      </w:r>
      <w:r>
        <w:fldChar w:fldCharType="end"/>
      </w:r>
      <w:r>
        <w:t>.</w:t>
      </w:r>
    </w:p>
    <w:p w14:paraId="20871105" w14:textId="77777777" w:rsidR="00802D3E" w:rsidRDefault="00802D3E" w:rsidP="00802D3E">
      <w:pPr>
        <w:pStyle w:val="TESHeading5"/>
        <w:ind w:left="0" w:firstLine="0"/>
      </w:pPr>
      <w:r>
        <w:lastRenderedPageBreak/>
        <w:t>H24</w:t>
      </w:r>
      <w:r>
        <w:tab/>
        <w:t>Registration thresholds</w:t>
      </w:r>
    </w:p>
    <w:p w14:paraId="20871106" w14:textId="77777777" w:rsidR="00802D3E" w:rsidRDefault="00802D3E" w:rsidP="00802D3E">
      <w:pPr>
        <w:pStyle w:val="MeasureTableHeading"/>
      </w:pPr>
      <w:r>
        <w:t xml:space="preserve">Other economic affairs </w:t>
      </w:r>
      <w:r w:rsidR="00D50322">
        <w:t>–</w:t>
      </w:r>
      <w:r>
        <w:t xml:space="preserve"> Other</w:t>
      </w:r>
      <w:r w:rsidR="00D5032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110F" w14:textId="77777777" w:rsidTr="00802D3E">
        <w:trPr>
          <w:cantSplit/>
          <w:jc w:val="center"/>
        </w:trPr>
        <w:tc>
          <w:tcPr>
            <w:tcW w:w="967" w:type="dxa"/>
            <w:tcBorders>
              <w:top w:val="single" w:sz="2" w:space="0" w:color="auto"/>
              <w:left w:val="nil"/>
              <w:bottom w:val="single" w:sz="2" w:space="0" w:color="auto"/>
              <w:right w:val="nil"/>
            </w:tcBorders>
            <w:hideMark/>
          </w:tcPr>
          <w:p w14:paraId="20871107"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1108"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1109"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110A"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110B"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110C"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110D"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110E" w14:textId="77777777" w:rsidR="00802D3E" w:rsidRDefault="00802D3E">
            <w:pPr>
              <w:pStyle w:val="MeasureTableTextRightAligned"/>
            </w:pPr>
            <w:r>
              <w:t>2019-20</w:t>
            </w:r>
          </w:p>
        </w:tc>
      </w:tr>
      <w:tr w:rsidR="00802D3E" w14:paraId="20871118" w14:textId="77777777" w:rsidTr="00802D3E">
        <w:trPr>
          <w:cantSplit/>
          <w:jc w:val="center"/>
        </w:trPr>
        <w:tc>
          <w:tcPr>
            <w:tcW w:w="967" w:type="dxa"/>
            <w:tcBorders>
              <w:top w:val="single" w:sz="2" w:space="0" w:color="auto"/>
              <w:left w:val="nil"/>
              <w:bottom w:val="single" w:sz="2" w:space="0" w:color="auto"/>
              <w:right w:val="nil"/>
            </w:tcBorders>
            <w:hideMark/>
          </w:tcPr>
          <w:p w14:paraId="20871110"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hideMark/>
          </w:tcPr>
          <w:p w14:paraId="20871111"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1112"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111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1114"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1115"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1116"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1117" w14:textId="77777777" w:rsidR="00802D3E" w:rsidRDefault="00802D3E">
            <w:pPr>
              <w:pStyle w:val="MeasureTableTextRightAligned"/>
            </w:pPr>
            <w:r>
              <w:t>*</w:t>
            </w:r>
          </w:p>
        </w:tc>
      </w:tr>
      <w:tr w:rsidR="00802D3E" w14:paraId="2087111D" w14:textId="77777777" w:rsidTr="00802D3E">
        <w:trPr>
          <w:cantSplit/>
          <w:jc w:val="center"/>
        </w:trPr>
        <w:tc>
          <w:tcPr>
            <w:tcW w:w="1934" w:type="dxa"/>
            <w:gridSpan w:val="2"/>
            <w:tcBorders>
              <w:top w:val="single" w:sz="2" w:space="0" w:color="auto"/>
              <w:left w:val="nil"/>
              <w:bottom w:val="nil"/>
              <w:right w:val="nil"/>
            </w:tcBorders>
            <w:hideMark/>
          </w:tcPr>
          <w:p w14:paraId="20871119"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111A"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111B"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11C" w14:textId="77777777" w:rsidR="00802D3E" w:rsidRDefault="00802D3E">
            <w:pPr>
              <w:pStyle w:val="MeasureTableTextLeftAligned"/>
            </w:pPr>
            <w:r>
              <w:t>H24</w:t>
            </w:r>
          </w:p>
        </w:tc>
      </w:tr>
      <w:tr w:rsidR="00802D3E" w14:paraId="20871122" w14:textId="77777777" w:rsidTr="00802D3E">
        <w:trPr>
          <w:cantSplit/>
          <w:jc w:val="center"/>
        </w:trPr>
        <w:tc>
          <w:tcPr>
            <w:tcW w:w="1934" w:type="dxa"/>
            <w:gridSpan w:val="2"/>
            <w:tcBorders>
              <w:top w:val="nil"/>
              <w:left w:val="nil"/>
              <w:bottom w:val="nil"/>
              <w:right w:val="nil"/>
            </w:tcBorders>
            <w:hideMark/>
          </w:tcPr>
          <w:p w14:paraId="2087111E"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111F"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1120"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1121" w14:textId="77777777" w:rsidR="00802D3E" w:rsidRDefault="00802D3E">
            <w:pPr>
              <w:pStyle w:val="MeasureTableTextLeftAligned"/>
            </w:pPr>
            <w:r>
              <w:t>3+</w:t>
            </w:r>
          </w:p>
        </w:tc>
      </w:tr>
      <w:tr w:rsidR="00802D3E" w14:paraId="20871127" w14:textId="77777777" w:rsidTr="00802D3E">
        <w:trPr>
          <w:cantSplit/>
          <w:jc w:val="center"/>
        </w:trPr>
        <w:tc>
          <w:tcPr>
            <w:tcW w:w="1934" w:type="dxa"/>
            <w:gridSpan w:val="2"/>
            <w:tcBorders>
              <w:top w:val="nil"/>
              <w:left w:val="nil"/>
              <w:bottom w:val="nil"/>
              <w:right w:val="nil"/>
            </w:tcBorders>
            <w:hideMark/>
          </w:tcPr>
          <w:p w14:paraId="20871123"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1124"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1125"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126" w14:textId="77777777" w:rsidR="00802D3E" w:rsidRDefault="00802D3E">
            <w:pPr>
              <w:pStyle w:val="MeasureTableTextLeftAligned"/>
            </w:pPr>
          </w:p>
        </w:tc>
      </w:tr>
      <w:tr w:rsidR="00802D3E" w14:paraId="2087112B" w14:textId="77777777" w:rsidTr="00802D3E">
        <w:trPr>
          <w:cantSplit/>
          <w:jc w:val="center"/>
        </w:trPr>
        <w:tc>
          <w:tcPr>
            <w:tcW w:w="1934" w:type="dxa"/>
            <w:gridSpan w:val="2"/>
            <w:tcBorders>
              <w:top w:val="nil"/>
              <w:left w:val="nil"/>
              <w:bottom w:val="single" w:sz="2" w:space="0" w:color="auto"/>
              <w:right w:val="nil"/>
            </w:tcBorders>
            <w:hideMark/>
          </w:tcPr>
          <w:p w14:paraId="20871128"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1129" w14:textId="77777777" w:rsidR="00802D3E" w:rsidRDefault="00802D3E" w:rsidP="008874F8">
            <w:pPr>
              <w:widowControl w:val="0"/>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Section 23-15 and Part 4-5 of the </w:t>
            </w:r>
            <w:r>
              <w:rPr>
                <w:rFonts w:ascii="Arial" w:hAnsi="Arial" w:cs="Arial"/>
                <w:i/>
                <w:iCs/>
                <w:color w:val="000000"/>
                <w:sz w:val="16"/>
                <w:szCs w:val="16"/>
              </w:rPr>
              <w:t>A New Tax System (Goods and Services Tax) Act 1999</w:t>
            </w:r>
          </w:p>
          <w:p w14:paraId="2087112A"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Regulations 23-15.01 and 23-15.02 of the</w:t>
            </w:r>
            <w:r>
              <w:rPr>
                <w:rFonts w:ascii="Arial" w:hAnsi="Arial" w:cs="Arial"/>
                <w:i/>
                <w:iCs/>
                <w:color w:val="000000"/>
                <w:sz w:val="16"/>
                <w:szCs w:val="16"/>
              </w:rPr>
              <w:t xml:space="preserve"> A New Tax System (Goods and Services Tax) Regulation 1999</w:t>
            </w:r>
          </w:p>
        </w:tc>
      </w:tr>
    </w:tbl>
    <w:p w14:paraId="2087112C" w14:textId="77777777" w:rsidR="00802D3E" w:rsidRDefault="00802D3E" w:rsidP="00A109BC">
      <w:pPr>
        <w:pStyle w:val="SingleParagraph"/>
      </w:pPr>
    </w:p>
    <w:p w14:paraId="2087112D" w14:textId="77777777" w:rsidR="00802D3E" w:rsidRDefault="00CD72AC" w:rsidP="00802D3E">
      <w:r>
        <w:fldChar w:fldCharType="begin"/>
      </w:r>
      <w:r>
        <w:instrText xml:space="preserve"> XE "Goods and Services Tax:Registration threshold" </w:instrText>
      </w:r>
      <w:r>
        <w:fldChar w:fldCharType="end"/>
      </w:r>
      <w:r w:rsidR="00802D3E">
        <w:t>Entities (other than taxi operators) with a GST turnover less than $75,000 or $150,000 for non</w:t>
      </w:r>
      <w:r w:rsidR="00802D3E">
        <w:noBreakHyphen/>
        <w:t>profit entities are not required to register for GST. Supplies made by unregistered entities are not subject to GST.</w:t>
      </w:r>
    </w:p>
    <w:p w14:paraId="2087112E" w14:textId="77777777" w:rsidR="00802D3E" w:rsidRDefault="00802D3E" w:rsidP="00802D3E">
      <w:pPr>
        <w:pStyle w:val="TESHeading5"/>
        <w:ind w:left="0" w:firstLine="0"/>
      </w:pPr>
      <w:r>
        <w:t>H25</w:t>
      </w:r>
      <w:r>
        <w:tab/>
        <w:t>Simplified accounting methods</w:t>
      </w:r>
    </w:p>
    <w:p w14:paraId="2087112F" w14:textId="77777777" w:rsidR="00802D3E" w:rsidRDefault="00802D3E" w:rsidP="00802D3E">
      <w:pPr>
        <w:pStyle w:val="MeasureTableHeading"/>
      </w:pPr>
      <w:r>
        <w:t xml:space="preserve">Other economic affairs </w:t>
      </w:r>
      <w:r w:rsidR="00D50322">
        <w:t>–</w:t>
      </w:r>
      <w:r>
        <w:t xml:space="preserve"> Other</w:t>
      </w:r>
      <w:r w:rsidR="00D5032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1138" w14:textId="77777777" w:rsidTr="00802D3E">
        <w:trPr>
          <w:cantSplit/>
          <w:jc w:val="center"/>
        </w:trPr>
        <w:tc>
          <w:tcPr>
            <w:tcW w:w="967" w:type="dxa"/>
            <w:tcBorders>
              <w:top w:val="single" w:sz="2" w:space="0" w:color="auto"/>
              <w:left w:val="nil"/>
              <w:bottom w:val="single" w:sz="2" w:space="0" w:color="auto"/>
              <w:right w:val="nil"/>
            </w:tcBorders>
            <w:hideMark/>
          </w:tcPr>
          <w:p w14:paraId="20871130"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1131"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1132"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1133"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1134"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1135"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1136"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1137" w14:textId="77777777" w:rsidR="00802D3E" w:rsidRDefault="00802D3E">
            <w:pPr>
              <w:pStyle w:val="MeasureTableTextRightAligned"/>
            </w:pPr>
            <w:r>
              <w:t>2019-20</w:t>
            </w:r>
          </w:p>
        </w:tc>
      </w:tr>
      <w:tr w:rsidR="00802D3E" w14:paraId="20871141" w14:textId="77777777" w:rsidTr="00802D3E">
        <w:trPr>
          <w:cantSplit/>
          <w:jc w:val="center"/>
        </w:trPr>
        <w:tc>
          <w:tcPr>
            <w:tcW w:w="967" w:type="dxa"/>
            <w:tcBorders>
              <w:top w:val="single" w:sz="2" w:space="0" w:color="auto"/>
              <w:left w:val="nil"/>
              <w:bottom w:val="single" w:sz="2" w:space="0" w:color="auto"/>
              <w:right w:val="nil"/>
            </w:tcBorders>
            <w:hideMark/>
          </w:tcPr>
          <w:p w14:paraId="20871139" w14:textId="77777777" w:rsidR="00802D3E" w:rsidRDefault="00802D3E">
            <w:pPr>
              <w:pStyle w:val="MeasureTableTextRightAligned"/>
            </w:pPr>
            <w:r>
              <w:t>12</w:t>
            </w:r>
          </w:p>
        </w:tc>
        <w:tc>
          <w:tcPr>
            <w:tcW w:w="967" w:type="dxa"/>
            <w:tcBorders>
              <w:top w:val="single" w:sz="2" w:space="0" w:color="auto"/>
              <w:left w:val="nil"/>
              <w:bottom w:val="single" w:sz="2" w:space="0" w:color="auto"/>
              <w:right w:val="nil"/>
            </w:tcBorders>
            <w:hideMark/>
          </w:tcPr>
          <w:p w14:paraId="2087113A" w14:textId="77777777" w:rsidR="00802D3E" w:rsidRDefault="00802D3E">
            <w:pPr>
              <w:pStyle w:val="MeasureTableTextRightAligned"/>
            </w:pPr>
            <w:r>
              <w:t>11</w:t>
            </w:r>
          </w:p>
        </w:tc>
        <w:tc>
          <w:tcPr>
            <w:tcW w:w="967" w:type="dxa"/>
            <w:tcBorders>
              <w:top w:val="single" w:sz="2" w:space="0" w:color="auto"/>
              <w:left w:val="nil"/>
              <w:bottom w:val="single" w:sz="2" w:space="0" w:color="auto"/>
              <w:right w:val="nil"/>
            </w:tcBorders>
            <w:vAlign w:val="bottom"/>
            <w:hideMark/>
          </w:tcPr>
          <w:p w14:paraId="2087113B" w14:textId="77777777" w:rsidR="00802D3E" w:rsidRDefault="00802D3E">
            <w:pPr>
              <w:pStyle w:val="MeasureTableTextRightAligned"/>
            </w:pPr>
            <w:r>
              <w:t>11</w:t>
            </w:r>
          </w:p>
        </w:tc>
        <w:tc>
          <w:tcPr>
            <w:tcW w:w="967" w:type="dxa"/>
            <w:tcBorders>
              <w:top w:val="single" w:sz="2" w:space="0" w:color="auto"/>
              <w:left w:val="nil"/>
              <w:bottom w:val="single" w:sz="2" w:space="0" w:color="auto"/>
              <w:right w:val="nil"/>
            </w:tcBorders>
            <w:vAlign w:val="bottom"/>
            <w:hideMark/>
          </w:tcPr>
          <w:p w14:paraId="2087113C" w14:textId="77777777" w:rsidR="00802D3E" w:rsidRDefault="00802D3E">
            <w:pPr>
              <w:pStyle w:val="MeasureTableTextRightAligned"/>
            </w:pPr>
            <w:r>
              <w:t>11</w:t>
            </w:r>
          </w:p>
        </w:tc>
        <w:tc>
          <w:tcPr>
            <w:tcW w:w="967" w:type="dxa"/>
            <w:tcBorders>
              <w:top w:val="single" w:sz="2" w:space="0" w:color="auto"/>
              <w:left w:val="nil"/>
              <w:bottom w:val="single" w:sz="2" w:space="0" w:color="auto"/>
              <w:right w:val="nil"/>
            </w:tcBorders>
            <w:vAlign w:val="bottom"/>
            <w:hideMark/>
          </w:tcPr>
          <w:p w14:paraId="2087113D" w14:textId="77777777" w:rsidR="00802D3E" w:rsidRDefault="00802D3E">
            <w:pPr>
              <w:pStyle w:val="MeasureTableTextRightAligned"/>
            </w:pPr>
            <w:r>
              <w:t>13</w:t>
            </w:r>
          </w:p>
        </w:tc>
        <w:tc>
          <w:tcPr>
            <w:tcW w:w="967" w:type="dxa"/>
            <w:gridSpan w:val="2"/>
            <w:tcBorders>
              <w:top w:val="single" w:sz="2" w:space="0" w:color="auto"/>
              <w:left w:val="nil"/>
              <w:bottom w:val="single" w:sz="2" w:space="0" w:color="auto"/>
              <w:right w:val="nil"/>
            </w:tcBorders>
            <w:vAlign w:val="bottom"/>
            <w:hideMark/>
          </w:tcPr>
          <w:p w14:paraId="2087113E" w14:textId="77777777" w:rsidR="00802D3E" w:rsidRDefault="00802D3E">
            <w:pPr>
              <w:pStyle w:val="MeasureTableTextRightAligned"/>
            </w:pPr>
            <w:r>
              <w:t>14</w:t>
            </w:r>
          </w:p>
        </w:tc>
        <w:tc>
          <w:tcPr>
            <w:tcW w:w="967" w:type="dxa"/>
            <w:gridSpan w:val="2"/>
            <w:tcBorders>
              <w:top w:val="single" w:sz="2" w:space="0" w:color="auto"/>
              <w:left w:val="nil"/>
              <w:bottom w:val="single" w:sz="2" w:space="0" w:color="auto"/>
              <w:right w:val="nil"/>
            </w:tcBorders>
            <w:vAlign w:val="bottom"/>
            <w:hideMark/>
          </w:tcPr>
          <w:p w14:paraId="2087113F" w14:textId="77777777" w:rsidR="00802D3E" w:rsidRDefault="00802D3E">
            <w:pPr>
              <w:pStyle w:val="MeasureTableTextRightAligned"/>
            </w:pPr>
            <w:r>
              <w:t>13</w:t>
            </w:r>
          </w:p>
        </w:tc>
        <w:tc>
          <w:tcPr>
            <w:tcW w:w="968" w:type="dxa"/>
            <w:tcBorders>
              <w:top w:val="single" w:sz="2" w:space="0" w:color="auto"/>
              <w:left w:val="nil"/>
              <w:bottom w:val="single" w:sz="2" w:space="0" w:color="auto"/>
              <w:right w:val="nil"/>
            </w:tcBorders>
            <w:vAlign w:val="bottom"/>
            <w:hideMark/>
          </w:tcPr>
          <w:p w14:paraId="20871140" w14:textId="77777777" w:rsidR="00802D3E" w:rsidRDefault="00802D3E">
            <w:pPr>
              <w:pStyle w:val="MeasureTableTextRightAligned"/>
            </w:pPr>
            <w:r>
              <w:t>13</w:t>
            </w:r>
          </w:p>
        </w:tc>
      </w:tr>
      <w:tr w:rsidR="00802D3E" w14:paraId="20871146" w14:textId="77777777" w:rsidTr="00802D3E">
        <w:trPr>
          <w:cantSplit/>
          <w:jc w:val="center"/>
        </w:trPr>
        <w:tc>
          <w:tcPr>
            <w:tcW w:w="1934" w:type="dxa"/>
            <w:gridSpan w:val="2"/>
            <w:tcBorders>
              <w:top w:val="single" w:sz="2" w:space="0" w:color="auto"/>
              <w:left w:val="nil"/>
              <w:bottom w:val="nil"/>
              <w:right w:val="nil"/>
            </w:tcBorders>
            <w:hideMark/>
          </w:tcPr>
          <w:p w14:paraId="20871142"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1143" w14:textId="77777777" w:rsidR="00802D3E" w:rsidRDefault="00802D3E">
            <w:pPr>
              <w:pStyle w:val="MeasureTableTextLeftAligned"/>
            </w:pPr>
            <w:r>
              <w:t>Concessional rate</w:t>
            </w:r>
          </w:p>
        </w:tc>
        <w:tc>
          <w:tcPr>
            <w:tcW w:w="1500" w:type="dxa"/>
            <w:gridSpan w:val="2"/>
            <w:tcBorders>
              <w:top w:val="single" w:sz="2" w:space="0" w:color="auto"/>
              <w:left w:val="nil"/>
              <w:bottom w:val="nil"/>
              <w:right w:val="nil"/>
            </w:tcBorders>
            <w:hideMark/>
          </w:tcPr>
          <w:p w14:paraId="20871144"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145" w14:textId="77777777" w:rsidR="00802D3E" w:rsidRDefault="00802D3E">
            <w:pPr>
              <w:pStyle w:val="MeasureTableTextLeftAligned"/>
            </w:pPr>
            <w:r>
              <w:t>H25</w:t>
            </w:r>
          </w:p>
        </w:tc>
      </w:tr>
      <w:tr w:rsidR="00802D3E" w14:paraId="2087114B" w14:textId="77777777" w:rsidTr="00802D3E">
        <w:trPr>
          <w:cantSplit/>
          <w:jc w:val="center"/>
        </w:trPr>
        <w:tc>
          <w:tcPr>
            <w:tcW w:w="1934" w:type="dxa"/>
            <w:gridSpan w:val="2"/>
            <w:tcBorders>
              <w:top w:val="nil"/>
              <w:left w:val="nil"/>
              <w:bottom w:val="nil"/>
              <w:right w:val="nil"/>
            </w:tcBorders>
            <w:hideMark/>
          </w:tcPr>
          <w:p w14:paraId="20871147"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1148" w14:textId="77777777" w:rsidR="00802D3E" w:rsidRDefault="00802D3E">
            <w:pPr>
              <w:pStyle w:val="MeasureTableTextLeftAligned"/>
            </w:pPr>
            <w:r>
              <w:t>Low</w:t>
            </w:r>
          </w:p>
        </w:tc>
        <w:tc>
          <w:tcPr>
            <w:tcW w:w="1500" w:type="dxa"/>
            <w:gridSpan w:val="2"/>
            <w:tcBorders>
              <w:top w:val="nil"/>
              <w:left w:val="nil"/>
              <w:bottom w:val="nil"/>
              <w:right w:val="nil"/>
            </w:tcBorders>
          </w:tcPr>
          <w:p w14:paraId="20871149" w14:textId="77777777" w:rsidR="00802D3E" w:rsidRDefault="00802D3E">
            <w:pPr>
              <w:pStyle w:val="MeasureTableTextItalic"/>
            </w:pPr>
          </w:p>
        </w:tc>
        <w:tc>
          <w:tcPr>
            <w:tcW w:w="1124" w:type="dxa"/>
            <w:gridSpan w:val="2"/>
            <w:tcBorders>
              <w:top w:val="nil"/>
              <w:left w:val="nil"/>
              <w:bottom w:val="nil"/>
              <w:right w:val="nil"/>
            </w:tcBorders>
          </w:tcPr>
          <w:p w14:paraId="2087114A" w14:textId="77777777" w:rsidR="00802D3E" w:rsidRDefault="00802D3E">
            <w:pPr>
              <w:pStyle w:val="MeasureTableTextLeftAligned"/>
            </w:pPr>
          </w:p>
        </w:tc>
      </w:tr>
      <w:tr w:rsidR="00802D3E" w14:paraId="20871150" w14:textId="77777777" w:rsidTr="00802D3E">
        <w:trPr>
          <w:cantSplit/>
          <w:jc w:val="center"/>
        </w:trPr>
        <w:tc>
          <w:tcPr>
            <w:tcW w:w="1934" w:type="dxa"/>
            <w:gridSpan w:val="2"/>
            <w:tcBorders>
              <w:top w:val="nil"/>
              <w:left w:val="nil"/>
              <w:bottom w:val="nil"/>
              <w:right w:val="nil"/>
            </w:tcBorders>
            <w:hideMark/>
          </w:tcPr>
          <w:p w14:paraId="2087114C"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114D"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114E"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14F" w14:textId="77777777" w:rsidR="00802D3E" w:rsidRDefault="00802D3E">
            <w:pPr>
              <w:pStyle w:val="MeasureTableTextLeftAligned"/>
            </w:pPr>
          </w:p>
        </w:tc>
      </w:tr>
      <w:tr w:rsidR="00802D3E" w14:paraId="20871153" w14:textId="77777777" w:rsidTr="00802D3E">
        <w:trPr>
          <w:cantSplit/>
          <w:jc w:val="center"/>
        </w:trPr>
        <w:tc>
          <w:tcPr>
            <w:tcW w:w="1934" w:type="dxa"/>
            <w:gridSpan w:val="2"/>
            <w:tcBorders>
              <w:top w:val="nil"/>
              <w:left w:val="nil"/>
              <w:bottom w:val="single" w:sz="2" w:space="0" w:color="auto"/>
              <w:right w:val="nil"/>
            </w:tcBorders>
            <w:hideMark/>
          </w:tcPr>
          <w:p w14:paraId="20871151"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1152"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 xml:space="preserve">Division 123 of the </w:t>
            </w:r>
            <w:r>
              <w:rPr>
                <w:rFonts w:ascii="Arial" w:hAnsi="Arial" w:cs="Arial"/>
                <w:i/>
                <w:iCs/>
                <w:color w:val="000000"/>
                <w:sz w:val="16"/>
                <w:szCs w:val="16"/>
              </w:rPr>
              <w:t>A New Tax System (Goods and Services Tax) Act 1999</w:t>
            </w:r>
          </w:p>
        </w:tc>
      </w:tr>
    </w:tbl>
    <w:p w14:paraId="20871154" w14:textId="77777777" w:rsidR="00802D3E" w:rsidRDefault="00802D3E" w:rsidP="00A109BC">
      <w:pPr>
        <w:pStyle w:val="SingleParagraph"/>
      </w:pPr>
    </w:p>
    <w:p w14:paraId="20871155" w14:textId="77777777" w:rsidR="00802D3E" w:rsidRDefault="00802D3E" w:rsidP="00802D3E">
      <w:r>
        <w:t>The Commissioner of Taxation can create simplified accounting methods (SAMs)</w:t>
      </w:r>
      <w:r>
        <w:fldChar w:fldCharType="begin"/>
      </w:r>
      <w:r>
        <w:instrText xml:space="preserve"> XE </w:instrText>
      </w:r>
      <w:r w:rsidR="001E032A">
        <w:instrText>"Goods and Services Tax:</w:instrText>
      </w:r>
      <w:r>
        <w:instrText xml:space="preserve">Simplified accounting methods" </w:instrText>
      </w:r>
      <w:r>
        <w:fldChar w:fldCharType="end"/>
      </w:r>
      <w:r>
        <w:t xml:space="preserve"> that some small businesses</w:t>
      </w:r>
      <w:r>
        <w:rPr>
          <w:rFonts w:ascii="Arial" w:hAnsi="Arial" w:cs="Arial"/>
          <w:b/>
          <w:bCs/>
        </w:rPr>
        <w:t xml:space="preserve"> </w:t>
      </w:r>
      <w:r>
        <w:t>can choose to apply to reduce their GST compliance costs. SAMs allow taxpayers to apply simple ratios to calculate their GST liabilities (or components of them) rather than accounting for each supply to determine if it is taxable or non</w:t>
      </w:r>
      <w:r>
        <w:noBreakHyphen/>
        <w:t>taxable. Being ratios, SAMs will benefit some taxpayers by reducing their GST liabilities while increasing the GST liabilities of others, relative to the amounts calculated using a full GST calculation.</w:t>
      </w:r>
    </w:p>
    <w:p w14:paraId="20871156" w14:textId="77777777" w:rsidR="00802D3E" w:rsidRDefault="00802D3E" w:rsidP="00802D3E">
      <w:r>
        <w:t xml:space="preserve">While SAMs are designed to reduce compliance costs rather than provide a tax concession, entities that expect to receive a tax benefit from applying SAMs are more likely to adopt this methodology than those that do not. This would be expected to result in a net tax concession. </w:t>
      </w:r>
    </w:p>
    <w:p w14:paraId="20871157" w14:textId="77777777" w:rsidR="00802D3E" w:rsidRDefault="00802D3E" w:rsidP="00802D3E">
      <w:pPr>
        <w:pStyle w:val="TESHeading5"/>
        <w:ind w:left="0" w:firstLine="0"/>
      </w:pPr>
      <w:r>
        <w:lastRenderedPageBreak/>
        <w:t>H26</w:t>
      </w:r>
      <w:r>
        <w:tab/>
        <w:t>Precious metal</w:t>
      </w:r>
    </w:p>
    <w:p w14:paraId="20871158" w14:textId="77777777" w:rsidR="00802D3E" w:rsidRDefault="00802D3E" w:rsidP="00802D3E">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889"/>
        <w:gridCol w:w="78"/>
        <w:gridCol w:w="967"/>
        <w:gridCol w:w="967"/>
        <w:gridCol w:w="967"/>
        <w:gridCol w:w="278"/>
        <w:gridCol w:w="689"/>
        <w:gridCol w:w="811"/>
        <w:gridCol w:w="156"/>
        <w:gridCol w:w="968"/>
      </w:tblGrid>
      <w:tr w:rsidR="00802D3E" w14:paraId="20871161" w14:textId="77777777" w:rsidTr="00802D3E">
        <w:trPr>
          <w:cantSplit/>
          <w:jc w:val="center"/>
        </w:trPr>
        <w:tc>
          <w:tcPr>
            <w:tcW w:w="967" w:type="dxa"/>
            <w:tcBorders>
              <w:top w:val="single" w:sz="2" w:space="0" w:color="auto"/>
              <w:left w:val="nil"/>
              <w:bottom w:val="single" w:sz="2" w:space="0" w:color="auto"/>
              <w:right w:val="nil"/>
            </w:tcBorders>
            <w:hideMark/>
          </w:tcPr>
          <w:p w14:paraId="20871159" w14:textId="77777777" w:rsidR="00802D3E" w:rsidRDefault="00802D3E">
            <w:pPr>
              <w:pStyle w:val="MeasureTableTextRightAligned"/>
            </w:pPr>
            <w:r>
              <w:t>2012-13</w:t>
            </w:r>
          </w:p>
        </w:tc>
        <w:tc>
          <w:tcPr>
            <w:tcW w:w="967" w:type="dxa"/>
            <w:gridSpan w:val="2"/>
            <w:tcBorders>
              <w:top w:val="single" w:sz="2" w:space="0" w:color="auto"/>
              <w:left w:val="nil"/>
              <w:bottom w:val="single" w:sz="2" w:space="0" w:color="auto"/>
              <w:right w:val="nil"/>
            </w:tcBorders>
            <w:hideMark/>
          </w:tcPr>
          <w:p w14:paraId="2087115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115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115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115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115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115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1160" w14:textId="77777777" w:rsidR="00802D3E" w:rsidRDefault="00802D3E">
            <w:pPr>
              <w:pStyle w:val="MeasureTableTextRightAligned"/>
            </w:pPr>
            <w:r>
              <w:t>2019-20</w:t>
            </w:r>
          </w:p>
        </w:tc>
      </w:tr>
      <w:tr w:rsidR="00802D3E" w14:paraId="2087116A" w14:textId="77777777" w:rsidTr="00802D3E">
        <w:trPr>
          <w:cantSplit/>
          <w:jc w:val="center"/>
        </w:trPr>
        <w:tc>
          <w:tcPr>
            <w:tcW w:w="967" w:type="dxa"/>
            <w:tcBorders>
              <w:top w:val="single" w:sz="2" w:space="0" w:color="auto"/>
              <w:left w:val="nil"/>
              <w:bottom w:val="single" w:sz="2" w:space="0" w:color="auto"/>
              <w:right w:val="nil"/>
            </w:tcBorders>
            <w:hideMark/>
          </w:tcPr>
          <w:p w14:paraId="20871162"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hideMark/>
          </w:tcPr>
          <w:p w14:paraId="20871163"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1164"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1165" w14:textId="77777777" w:rsidR="00802D3E" w:rsidRDefault="00802D3E">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0871166"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1167" w14:textId="77777777" w:rsidR="00802D3E" w:rsidRDefault="00802D3E">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0871168" w14:textId="77777777" w:rsidR="00802D3E" w:rsidRDefault="00802D3E">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20871169" w14:textId="77777777" w:rsidR="00802D3E" w:rsidRDefault="00802D3E">
            <w:pPr>
              <w:pStyle w:val="MeasureTableTextRightAligned"/>
            </w:pPr>
            <w:r>
              <w:t>*</w:t>
            </w:r>
          </w:p>
        </w:tc>
      </w:tr>
      <w:tr w:rsidR="00802D3E" w14:paraId="2087116F" w14:textId="77777777" w:rsidTr="00A1526E">
        <w:trPr>
          <w:cantSplit/>
          <w:jc w:val="center"/>
        </w:trPr>
        <w:tc>
          <w:tcPr>
            <w:tcW w:w="1856" w:type="dxa"/>
            <w:gridSpan w:val="2"/>
            <w:tcBorders>
              <w:top w:val="single" w:sz="2" w:space="0" w:color="auto"/>
              <w:left w:val="nil"/>
              <w:bottom w:val="nil"/>
              <w:right w:val="nil"/>
            </w:tcBorders>
            <w:hideMark/>
          </w:tcPr>
          <w:p w14:paraId="2087116B" w14:textId="77777777" w:rsidR="00802D3E" w:rsidRDefault="00802D3E">
            <w:pPr>
              <w:pStyle w:val="MeasureTableTextItalic"/>
            </w:pPr>
            <w:r>
              <w:t>Tax expenditure type:</w:t>
            </w:r>
          </w:p>
        </w:tc>
        <w:tc>
          <w:tcPr>
            <w:tcW w:w="3257" w:type="dxa"/>
            <w:gridSpan w:val="5"/>
            <w:tcBorders>
              <w:top w:val="single" w:sz="2" w:space="0" w:color="auto"/>
              <w:left w:val="nil"/>
              <w:bottom w:val="nil"/>
              <w:right w:val="nil"/>
            </w:tcBorders>
            <w:hideMark/>
          </w:tcPr>
          <w:p w14:paraId="2087116C"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116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16E" w14:textId="77777777" w:rsidR="00802D3E" w:rsidRDefault="00802D3E">
            <w:pPr>
              <w:pStyle w:val="MeasureTableTextLeftAligned"/>
            </w:pPr>
            <w:r>
              <w:t>H26</w:t>
            </w:r>
          </w:p>
        </w:tc>
      </w:tr>
      <w:tr w:rsidR="00802D3E" w14:paraId="20871174" w14:textId="77777777" w:rsidTr="00A1526E">
        <w:trPr>
          <w:cantSplit/>
          <w:jc w:val="center"/>
        </w:trPr>
        <w:tc>
          <w:tcPr>
            <w:tcW w:w="1856" w:type="dxa"/>
            <w:gridSpan w:val="2"/>
            <w:tcBorders>
              <w:top w:val="nil"/>
              <w:left w:val="nil"/>
              <w:bottom w:val="nil"/>
              <w:right w:val="nil"/>
            </w:tcBorders>
            <w:hideMark/>
          </w:tcPr>
          <w:p w14:paraId="20871170" w14:textId="77777777" w:rsidR="00802D3E" w:rsidRDefault="00802D3E">
            <w:pPr>
              <w:pStyle w:val="MeasureTableTextItalic"/>
            </w:pPr>
            <w:r>
              <w:t>Estimate Reliability:</w:t>
            </w:r>
          </w:p>
        </w:tc>
        <w:tc>
          <w:tcPr>
            <w:tcW w:w="3257" w:type="dxa"/>
            <w:gridSpan w:val="5"/>
            <w:tcBorders>
              <w:top w:val="nil"/>
              <w:left w:val="nil"/>
              <w:bottom w:val="nil"/>
              <w:right w:val="nil"/>
            </w:tcBorders>
            <w:hideMark/>
          </w:tcPr>
          <w:p w14:paraId="20871171" w14:textId="77777777" w:rsidR="00802D3E" w:rsidRDefault="00802D3E">
            <w:pPr>
              <w:pStyle w:val="MeasureTableTextLeftAligned"/>
            </w:pPr>
            <w:r>
              <w:t>Not Applicable</w:t>
            </w:r>
          </w:p>
        </w:tc>
        <w:tc>
          <w:tcPr>
            <w:tcW w:w="1500" w:type="dxa"/>
            <w:gridSpan w:val="2"/>
            <w:tcBorders>
              <w:top w:val="nil"/>
              <w:left w:val="nil"/>
              <w:bottom w:val="nil"/>
              <w:right w:val="nil"/>
            </w:tcBorders>
            <w:hideMark/>
          </w:tcPr>
          <w:p w14:paraId="20871172" w14:textId="77777777" w:rsidR="00802D3E" w:rsidRDefault="00802D3E">
            <w:pPr>
              <w:pStyle w:val="MeasureTableTextItalic"/>
            </w:pPr>
            <w:r>
              <w:t>* Category</w:t>
            </w:r>
          </w:p>
        </w:tc>
        <w:tc>
          <w:tcPr>
            <w:tcW w:w="1124" w:type="dxa"/>
            <w:gridSpan w:val="2"/>
            <w:tcBorders>
              <w:top w:val="nil"/>
              <w:left w:val="nil"/>
              <w:bottom w:val="nil"/>
              <w:right w:val="nil"/>
            </w:tcBorders>
            <w:hideMark/>
          </w:tcPr>
          <w:p w14:paraId="20871173" w14:textId="77777777" w:rsidR="00802D3E" w:rsidRDefault="00802D3E">
            <w:pPr>
              <w:pStyle w:val="MeasureTableTextLeftAligned"/>
            </w:pPr>
            <w:r>
              <w:t>2+</w:t>
            </w:r>
          </w:p>
        </w:tc>
      </w:tr>
      <w:tr w:rsidR="00802D3E" w14:paraId="20871179" w14:textId="77777777" w:rsidTr="00A1526E">
        <w:trPr>
          <w:cantSplit/>
          <w:jc w:val="center"/>
        </w:trPr>
        <w:tc>
          <w:tcPr>
            <w:tcW w:w="1856" w:type="dxa"/>
            <w:gridSpan w:val="2"/>
            <w:tcBorders>
              <w:top w:val="nil"/>
              <w:left w:val="nil"/>
              <w:bottom w:val="nil"/>
              <w:right w:val="nil"/>
            </w:tcBorders>
            <w:hideMark/>
          </w:tcPr>
          <w:p w14:paraId="20871175" w14:textId="77777777" w:rsidR="00802D3E" w:rsidRDefault="00802D3E">
            <w:pPr>
              <w:pStyle w:val="MeasureTableTextItalic"/>
            </w:pPr>
            <w:r>
              <w:t>Commencement date:</w:t>
            </w:r>
          </w:p>
        </w:tc>
        <w:tc>
          <w:tcPr>
            <w:tcW w:w="3257" w:type="dxa"/>
            <w:gridSpan w:val="5"/>
            <w:tcBorders>
              <w:top w:val="nil"/>
              <w:left w:val="nil"/>
              <w:bottom w:val="nil"/>
              <w:right w:val="nil"/>
            </w:tcBorders>
            <w:hideMark/>
          </w:tcPr>
          <w:p w14:paraId="20871176"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1177"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178" w14:textId="77777777" w:rsidR="00802D3E" w:rsidRDefault="00802D3E">
            <w:pPr>
              <w:pStyle w:val="MeasureTableTextLeftAligned"/>
            </w:pPr>
          </w:p>
        </w:tc>
      </w:tr>
      <w:tr w:rsidR="00802D3E" w14:paraId="2087117C" w14:textId="77777777" w:rsidTr="00A1526E">
        <w:trPr>
          <w:cantSplit/>
          <w:jc w:val="center"/>
        </w:trPr>
        <w:tc>
          <w:tcPr>
            <w:tcW w:w="1856" w:type="dxa"/>
            <w:gridSpan w:val="2"/>
            <w:tcBorders>
              <w:top w:val="nil"/>
              <w:left w:val="nil"/>
              <w:bottom w:val="single" w:sz="2" w:space="0" w:color="auto"/>
              <w:right w:val="nil"/>
            </w:tcBorders>
            <w:hideMark/>
          </w:tcPr>
          <w:p w14:paraId="2087117A" w14:textId="77777777" w:rsidR="00802D3E" w:rsidRDefault="00802D3E">
            <w:pPr>
              <w:pStyle w:val="MeasureTableTextItalic"/>
            </w:pPr>
            <w:r>
              <w:t>Legislative reference:</w:t>
            </w:r>
          </w:p>
        </w:tc>
        <w:tc>
          <w:tcPr>
            <w:tcW w:w="5881" w:type="dxa"/>
            <w:gridSpan w:val="9"/>
            <w:tcBorders>
              <w:top w:val="nil"/>
              <w:left w:val="nil"/>
              <w:bottom w:val="single" w:sz="2" w:space="0" w:color="auto"/>
              <w:right w:val="nil"/>
            </w:tcBorders>
            <w:hideMark/>
          </w:tcPr>
          <w:p w14:paraId="2087117B" w14:textId="55CC3FB7" w:rsidR="00802D3E" w:rsidRDefault="00802D3E" w:rsidP="00C11FD2">
            <w:pPr>
              <w:widowControl w:val="0"/>
              <w:autoSpaceDE w:val="0"/>
              <w:autoSpaceDN w:val="0"/>
              <w:adjustRightInd w:val="0"/>
              <w:spacing w:after="0" w:line="240" w:lineRule="auto"/>
              <w:jc w:val="left"/>
            </w:pPr>
            <w:r>
              <w:rPr>
                <w:rFonts w:ascii="Arial" w:hAnsi="Arial" w:cs="Arial"/>
                <w:color w:val="000000"/>
                <w:sz w:val="16"/>
                <w:szCs w:val="16"/>
              </w:rPr>
              <w:t xml:space="preserve">Subdivision 38-L of the </w:t>
            </w:r>
            <w:r>
              <w:rPr>
                <w:rFonts w:ascii="Arial" w:hAnsi="Arial" w:cs="Arial"/>
                <w:i/>
                <w:iCs/>
                <w:color w:val="000000"/>
                <w:sz w:val="16"/>
                <w:szCs w:val="16"/>
              </w:rPr>
              <w:t>A New Tax System (Goods and Services Tax) Act</w:t>
            </w:r>
            <w:r w:rsidR="00C11FD2">
              <w:rPr>
                <w:rFonts w:ascii="Arial" w:hAnsi="Arial" w:cs="Arial"/>
                <w:i/>
                <w:iCs/>
                <w:color w:val="000000"/>
                <w:sz w:val="16"/>
                <w:szCs w:val="16"/>
              </w:rPr>
              <w:t> </w:t>
            </w:r>
            <w:r>
              <w:rPr>
                <w:rFonts w:ascii="Arial" w:hAnsi="Arial" w:cs="Arial"/>
                <w:i/>
                <w:iCs/>
                <w:color w:val="000000"/>
                <w:sz w:val="16"/>
                <w:szCs w:val="16"/>
              </w:rPr>
              <w:t>1999</w:t>
            </w:r>
          </w:p>
        </w:tc>
      </w:tr>
    </w:tbl>
    <w:p w14:paraId="2087117D" w14:textId="77777777" w:rsidR="00802D3E" w:rsidRDefault="00802D3E" w:rsidP="00C11FD2">
      <w:pPr>
        <w:pStyle w:val="SingleParagraph"/>
        <w:spacing w:line="180" w:lineRule="exact"/>
      </w:pPr>
    </w:p>
    <w:p w14:paraId="2087117E" w14:textId="77777777" w:rsidR="00802D3E" w:rsidRDefault="00802D3E" w:rsidP="00A1526E">
      <w:r>
        <w:t>The first supply of a precious metal</w:t>
      </w:r>
      <w:r>
        <w:fldChar w:fldCharType="begin"/>
      </w:r>
      <w:r>
        <w:instrText xml:space="preserve"> XE "Supply of a precious metal" </w:instrText>
      </w:r>
      <w:r>
        <w:fldChar w:fldCharType="end"/>
      </w:r>
      <w:r>
        <w:t xml:space="preserve"> (after its refining by or on behalf of the supplier) to a precious metal dealer is GST-free. Subsequent supplies of precious metals are input taxed. The importation of precious metals is a non-taxable importation and GST is not charged on the importation. The tax expenditure here is the loss of tax on the GST-free and input taxed supplies and imports (where this would not be offset by input tax credits) reduced by any input tax credits denied for acquisitions related to the input taxed activities. </w:t>
      </w:r>
    </w:p>
    <w:p w14:paraId="2087117F" w14:textId="77777777" w:rsidR="00802D3E" w:rsidRDefault="00802D3E" w:rsidP="00802D3E">
      <w:pPr>
        <w:pStyle w:val="TESHeading5"/>
        <w:ind w:left="0" w:firstLine="0"/>
      </w:pPr>
      <w:r>
        <w:t>H27</w:t>
      </w:r>
      <w:r>
        <w:tab/>
        <w:t>Cross-border transport supplies</w:t>
      </w:r>
    </w:p>
    <w:p w14:paraId="20871180" w14:textId="77777777" w:rsidR="00802D3E" w:rsidRDefault="00802D3E" w:rsidP="00802D3E">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802D3E" w14:paraId="20871189" w14:textId="77777777" w:rsidTr="00802D3E">
        <w:trPr>
          <w:cantSplit/>
          <w:jc w:val="center"/>
        </w:trPr>
        <w:tc>
          <w:tcPr>
            <w:tcW w:w="967" w:type="dxa"/>
            <w:tcBorders>
              <w:top w:val="single" w:sz="2" w:space="0" w:color="auto"/>
              <w:left w:val="nil"/>
              <w:bottom w:val="single" w:sz="2" w:space="0" w:color="auto"/>
              <w:right w:val="nil"/>
            </w:tcBorders>
            <w:hideMark/>
          </w:tcPr>
          <w:p w14:paraId="20871181" w14:textId="77777777" w:rsidR="00802D3E" w:rsidRDefault="00802D3E">
            <w:pPr>
              <w:pStyle w:val="MeasureTableTextRightAligned"/>
            </w:pPr>
            <w:r>
              <w:t>2012-13</w:t>
            </w:r>
          </w:p>
        </w:tc>
        <w:tc>
          <w:tcPr>
            <w:tcW w:w="967" w:type="dxa"/>
            <w:tcBorders>
              <w:top w:val="single" w:sz="2" w:space="0" w:color="auto"/>
              <w:left w:val="nil"/>
              <w:bottom w:val="single" w:sz="2" w:space="0" w:color="auto"/>
              <w:right w:val="nil"/>
            </w:tcBorders>
            <w:hideMark/>
          </w:tcPr>
          <w:p w14:paraId="20871182"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1183"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1184"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1185"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1186"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1187"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1188" w14:textId="77777777" w:rsidR="00802D3E" w:rsidRDefault="00802D3E">
            <w:pPr>
              <w:pStyle w:val="MeasureTableTextRightAligned"/>
            </w:pPr>
            <w:r>
              <w:t>2019-20</w:t>
            </w:r>
          </w:p>
        </w:tc>
      </w:tr>
      <w:tr w:rsidR="00802D3E" w14:paraId="20871192" w14:textId="77777777" w:rsidTr="00802D3E">
        <w:trPr>
          <w:cantSplit/>
          <w:jc w:val="center"/>
        </w:trPr>
        <w:tc>
          <w:tcPr>
            <w:tcW w:w="967" w:type="dxa"/>
            <w:tcBorders>
              <w:top w:val="single" w:sz="2" w:space="0" w:color="auto"/>
              <w:left w:val="nil"/>
              <w:bottom w:val="single" w:sz="2" w:space="0" w:color="auto"/>
              <w:right w:val="nil"/>
            </w:tcBorders>
            <w:hideMark/>
          </w:tcPr>
          <w:p w14:paraId="2087118A" w14:textId="77777777" w:rsidR="00802D3E" w:rsidRDefault="00802D3E">
            <w:pPr>
              <w:pStyle w:val="MeasureTableTextRightAligned"/>
            </w:pPr>
            <w:r>
              <w:t>2</w:t>
            </w:r>
          </w:p>
        </w:tc>
        <w:tc>
          <w:tcPr>
            <w:tcW w:w="967" w:type="dxa"/>
            <w:tcBorders>
              <w:top w:val="single" w:sz="2" w:space="0" w:color="auto"/>
              <w:left w:val="nil"/>
              <w:bottom w:val="single" w:sz="2" w:space="0" w:color="auto"/>
              <w:right w:val="nil"/>
            </w:tcBorders>
            <w:hideMark/>
          </w:tcPr>
          <w:p w14:paraId="2087118B" w14:textId="77777777" w:rsidR="00802D3E" w:rsidRDefault="00802D3E">
            <w:pPr>
              <w:pStyle w:val="MeasureTableTextRightAligned"/>
            </w:pPr>
            <w:r>
              <w:t>2</w:t>
            </w:r>
          </w:p>
        </w:tc>
        <w:tc>
          <w:tcPr>
            <w:tcW w:w="967" w:type="dxa"/>
            <w:tcBorders>
              <w:top w:val="single" w:sz="2" w:space="0" w:color="auto"/>
              <w:left w:val="nil"/>
              <w:bottom w:val="single" w:sz="2" w:space="0" w:color="auto"/>
              <w:right w:val="nil"/>
            </w:tcBorders>
            <w:vAlign w:val="bottom"/>
            <w:hideMark/>
          </w:tcPr>
          <w:p w14:paraId="2087118C" w14:textId="77777777" w:rsidR="00802D3E" w:rsidRDefault="00802D3E">
            <w:pPr>
              <w:pStyle w:val="MeasureTableTextRightAligned"/>
            </w:pPr>
            <w:r>
              <w:t>2</w:t>
            </w:r>
          </w:p>
        </w:tc>
        <w:tc>
          <w:tcPr>
            <w:tcW w:w="967" w:type="dxa"/>
            <w:tcBorders>
              <w:top w:val="single" w:sz="2" w:space="0" w:color="auto"/>
              <w:left w:val="nil"/>
              <w:bottom w:val="single" w:sz="2" w:space="0" w:color="auto"/>
              <w:right w:val="nil"/>
            </w:tcBorders>
            <w:vAlign w:val="bottom"/>
            <w:hideMark/>
          </w:tcPr>
          <w:p w14:paraId="2087118D" w14:textId="77777777" w:rsidR="00802D3E" w:rsidRDefault="00802D3E">
            <w:pPr>
              <w:pStyle w:val="MeasureTableTextRightAligned"/>
            </w:pPr>
            <w:r>
              <w:t>2</w:t>
            </w:r>
          </w:p>
        </w:tc>
        <w:tc>
          <w:tcPr>
            <w:tcW w:w="967" w:type="dxa"/>
            <w:tcBorders>
              <w:top w:val="single" w:sz="2" w:space="0" w:color="auto"/>
              <w:left w:val="nil"/>
              <w:bottom w:val="single" w:sz="2" w:space="0" w:color="auto"/>
              <w:right w:val="nil"/>
            </w:tcBorders>
            <w:vAlign w:val="bottom"/>
            <w:hideMark/>
          </w:tcPr>
          <w:p w14:paraId="2087118E" w14:textId="77777777" w:rsidR="00802D3E" w:rsidRDefault="00802D3E">
            <w:pPr>
              <w:pStyle w:val="MeasureTableTextRightAligned"/>
            </w:pPr>
            <w:r>
              <w:t>2</w:t>
            </w:r>
          </w:p>
        </w:tc>
        <w:tc>
          <w:tcPr>
            <w:tcW w:w="967" w:type="dxa"/>
            <w:gridSpan w:val="2"/>
            <w:tcBorders>
              <w:top w:val="single" w:sz="2" w:space="0" w:color="auto"/>
              <w:left w:val="nil"/>
              <w:bottom w:val="single" w:sz="2" w:space="0" w:color="auto"/>
              <w:right w:val="nil"/>
            </w:tcBorders>
            <w:vAlign w:val="bottom"/>
            <w:hideMark/>
          </w:tcPr>
          <w:p w14:paraId="2087118F" w14:textId="77777777" w:rsidR="00802D3E" w:rsidRDefault="00802D3E">
            <w:pPr>
              <w:pStyle w:val="MeasureTableTextRightAligned"/>
            </w:pPr>
            <w:r>
              <w:t>2</w:t>
            </w:r>
          </w:p>
        </w:tc>
        <w:tc>
          <w:tcPr>
            <w:tcW w:w="967" w:type="dxa"/>
            <w:gridSpan w:val="2"/>
            <w:tcBorders>
              <w:top w:val="single" w:sz="2" w:space="0" w:color="auto"/>
              <w:left w:val="nil"/>
              <w:bottom w:val="single" w:sz="2" w:space="0" w:color="auto"/>
              <w:right w:val="nil"/>
            </w:tcBorders>
            <w:vAlign w:val="bottom"/>
            <w:hideMark/>
          </w:tcPr>
          <w:p w14:paraId="20871190" w14:textId="77777777" w:rsidR="00802D3E" w:rsidRDefault="00802D3E">
            <w:pPr>
              <w:pStyle w:val="MeasureTableTextRightAligned"/>
            </w:pPr>
            <w:r>
              <w:t>2</w:t>
            </w:r>
          </w:p>
        </w:tc>
        <w:tc>
          <w:tcPr>
            <w:tcW w:w="968" w:type="dxa"/>
            <w:tcBorders>
              <w:top w:val="single" w:sz="2" w:space="0" w:color="auto"/>
              <w:left w:val="nil"/>
              <w:bottom w:val="single" w:sz="2" w:space="0" w:color="auto"/>
              <w:right w:val="nil"/>
            </w:tcBorders>
            <w:vAlign w:val="bottom"/>
            <w:hideMark/>
          </w:tcPr>
          <w:p w14:paraId="20871191" w14:textId="77777777" w:rsidR="00802D3E" w:rsidRDefault="00802D3E">
            <w:pPr>
              <w:pStyle w:val="MeasureTableTextRightAligned"/>
            </w:pPr>
            <w:r>
              <w:t>2</w:t>
            </w:r>
          </w:p>
        </w:tc>
      </w:tr>
      <w:tr w:rsidR="00802D3E" w14:paraId="20871197" w14:textId="77777777" w:rsidTr="00802D3E">
        <w:trPr>
          <w:cantSplit/>
          <w:jc w:val="center"/>
        </w:trPr>
        <w:tc>
          <w:tcPr>
            <w:tcW w:w="1934" w:type="dxa"/>
            <w:gridSpan w:val="2"/>
            <w:tcBorders>
              <w:top w:val="single" w:sz="2" w:space="0" w:color="auto"/>
              <w:left w:val="nil"/>
              <w:bottom w:val="nil"/>
              <w:right w:val="nil"/>
            </w:tcBorders>
            <w:hideMark/>
          </w:tcPr>
          <w:p w14:paraId="20871193" w14:textId="77777777" w:rsidR="00802D3E" w:rsidRDefault="00802D3E">
            <w:pPr>
              <w:pStyle w:val="MeasureTableTextItalic"/>
            </w:pPr>
            <w:r>
              <w:t>Tax expenditure type:</w:t>
            </w:r>
          </w:p>
        </w:tc>
        <w:tc>
          <w:tcPr>
            <w:tcW w:w="3179" w:type="dxa"/>
            <w:gridSpan w:val="4"/>
            <w:tcBorders>
              <w:top w:val="single" w:sz="2" w:space="0" w:color="auto"/>
              <w:left w:val="nil"/>
              <w:bottom w:val="nil"/>
              <w:right w:val="nil"/>
            </w:tcBorders>
            <w:hideMark/>
          </w:tcPr>
          <w:p w14:paraId="20871194"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1195"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196" w14:textId="77777777" w:rsidR="00802D3E" w:rsidRDefault="00802D3E">
            <w:pPr>
              <w:pStyle w:val="MeasureTableTextLeftAligned"/>
            </w:pPr>
            <w:r>
              <w:t>H27</w:t>
            </w:r>
          </w:p>
        </w:tc>
      </w:tr>
      <w:tr w:rsidR="00802D3E" w14:paraId="2087119C" w14:textId="77777777" w:rsidTr="00802D3E">
        <w:trPr>
          <w:cantSplit/>
          <w:jc w:val="center"/>
        </w:trPr>
        <w:tc>
          <w:tcPr>
            <w:tcW w:w="1934" w:type="dxa"/>
            <w:gridSpan w:val="2"/>
            <w:tcBorders>
              <w:top w:val="nil"/>
              <w:left w:val="nil"/>
              <w:bottom w:val="nil"/>
              <w:right w:val="nil"/>
            </w:tcBorders>
            <w:hideMark/>
          </w:tcPr>
          <w:p w14:paraId="20871198" w14:textId="77777777" w:rsidR="00802D3E" w:rsidRDefault="00802D3E">
            <w:pPr>
              <w:pStyle w:val="MeasureTableTextItalic"/>
            </w:pPr>
            <w:r>
              <w:t>Estimate Reliability:</w:t>
            </w:r>
          </w:p>
        </w:tc>
        <w:tc>
          <w:tcPr>
            <w:tcW w:w="3179" w:type="dxa"/>
            <w:gridSpan w:val="4"/>
            <w:tcBorders>
              <w:top w:val="nil"/>
              <w:left w:val="nil"/>
              <w:bottom w:val="nil"/>
              <w:right w:val="nil"/>
            </w:tcBorders>
            <w:hideMark/>
          </w:tcPr>
          <w:p w14:paraId="20871199" w14:textId="77777777" w:rsidR="00802D3E" w:rsidRDefault="00802D3E">
            <w:pPr>
              <w:pStyle w:val="MeasureTableTextLeftAligned"/>
            </w:pPr>
            <w:r>
              <w:t>Low</w:t>
            </w:r>
          </w:p>
        </w:tc>
        <w:tc>
          <w:tcPr>
            <w:tcW w:w="1500" w:type="dxa"/>
            <w:gridSpan w:val="2"/>
            <w:tcBorders>
              <w:top w:val="nil"/>
              <w:left w:val="nil"/>
              <w:bottom w:val="nil"/>
              <w:right w:val="nil"/>
            </w:tcBorders>
          </w:tcPr>
          <w:p w14:paraId="2087119A" w14:textId="77777777" w:rsidR="00802D3E" w:rsidRDefault="00802D3E">
            <w:pPr>
              <w:pStyle w:val="MeasureTableTextItalic"/>
            </w:pPr>
          </w:p>
        </w:tc>
        <w:tc>
          <w:tcPr>
            <w:tcW w:w="1124" w:type="dxa"/>
            <w:gridSpan w:val="2"/>
            <w:tcBorders>
              <w:top w:val="nil"/>
              <w:left w:val="nil"/>
              <w:bottom w:val="nil"/>
              <w:right w:val="nil"/>
            </w:tcBorders>
          </w:tcPr>
          <w:p w14:paraId="2087119B" w14:textId="77777777" w:rsidR="00802D3E" w:rsidRDefault="00802D3E">
            <w:pPr>
              <w:pStyle w:val="MeasureTableTextLeftAligned"/>
            </w:pPr>
          </w:p>
        </w:tc>
      </w:tr>
      <w:tr w:rsidR="00802D3E" w14:paraId="208711A1" w14:textId="77777777" w:rsidTr="00802D3E">
        <w:trPr>
          <w:cantSplit/>
          <w:jc w:val="center"/>
        </w:trPr>
        <w:tc>
          <w:tcPr>
            <w:tcW w:w="1934" w:type="dxa"/>
            <w:gridSpan w:val="2"/>
            <w:tcBorders>
              <w:top w:val="nil"/>
              <w:left w:val="nil"/>
              <w:bottom w:val="nil"/>
              <w:right w:val="nil"/>
            </w:tcBorders>
            <w:hideMark/>
          </w:tcPr>
          <w:p w14:paraId="2087119D" w14:textId="77777777" w:rsidR="00802D3E" w:rsidRDefault="00802D3E">
            <w:pPr>
              <w:pStyle w:val="MeasureTableTextItalic"/>
            </w:pPr>
            <w:r>
              <w:t>Commencement date:</w:t>
            </w:r>
          </w:p>
        </w:tc>
        <w:tc>
          <w:tcPr>
            <w:tcW w:w="3179" w:type="dxa"/>
            <w:gridSpan w:val="4"/>
            <w:tcBorders>
              <w:top w:val="nil"/>
              <w:left w:val="nil"/>
              <w:bottom w:val="nil"/>
              <w:right w:val="nil"/>
            </w:tcBorders>
            <w:hideMark/>
          </w:tcPr>
          <w:p w14:paraId="2087119E" w14:textId="77777777" w:rsidR="00802D3E" w:rsidRDefault="00802D3E">
            <w:pPr>
              <w:pStyle w:val="MeasureTableTextLeftAligned"/>
            </w:pPr>
            <w:r>
              <w:t>1 July 2010</w:t>
            </w:r>
          </w:p>
        </w:tc>
        <w:tc>
          <w:tcPr>
            <w:tcW w:w="1500" w:type="dxa"/>
            <w:gridSpan w:val="2"/>
            <w:tcBorders>
              <w:top w:val="nil"/>
              <w:left w:val="nil"/>
              <w:bottom w:val="nil"/>
              <w:right w:val="nil"/>
            </w:tcBorders>
            <w:hideMark/>
          </w:tcPr>
          <w:p w14:paraId="2087119F"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1A0" w14:textId="77777777" w:rsidR="00802D3E" w:rsidRDefault="00802D3E">
            <w:pPr>
              <w:pStyle w:val="MeasureTableTextLeftAligned"/>
            </w:pPr>
          </w:p>
        </w:tc>
      </w:tr>
      <w:tr w:rsidR="00802D3E" w14:paraId="208711A4" w14:textId="77777777" w:rsidTr="00802D3E">
        <w:trPr>
          <w:cantSplit/>
          <w:jc w:val="center"/>
        </w:trPr>
        <w:tc>
          <w:tcPr>
            <w:tcW w:w="1934" w:type="dxa"/>
            <w:gridSpan w:val="2"/>
            <w:tcBorders>
              <w:top w:val="nil"/>
              <w:left w:val="nil"/>
              <w:bottom w:val="single" w:sz="2" w:space="0" w:color="auto"/>
              <w:right w:val="nil"/>
            </w:tcBorders>
            <w:hideMark/>
          </w:tcPr>
          <w:p w14:paraId="208711A2" w14:textId="77777777" w:rsidR="00802D3E" w:rsidRDefault="00802D3E">
            <w:pPr>
              <w:pStyle w:val="MeasureTableTextItalic"/>
            </w:pPr>
            <w:r>
              <w:t>Legislative reference:</w:t>
            </w:r>
          </w:p>
        </w:tc>
        <w:tc>
          <w:tcPr>
            <w:tcW w:w="5803" w:type="dxa"/>
            <w:gridSpan w:val="8"/>
            <w:tcBorders>
              <w:top w:val="nil"/>
              <w:left w:val="nil"/>
              <w:bottom w:val="single" w:sz="2" w:space="0" w:color="auto"/>
              <w:right w:val="nil"/>
            </w:tcBorders>
            <w:hideMark/>
          </w:tcPr>
          <w:p w14:paraId="208711A3" w14:textId="77777777" w:rsidR="00802D3E" w:rsidRDefault="00802D3E" w:rsidP="008874F8">
            <w:pPr>
              <w:widowControl w:val="0"/>
              <w:autoSpaceDE w:val="0"/>
              <w:autoSpaceDN w:val="0"/>
              <w:adjustRightInd w:val="0"/>
              <w:spacing w:after="0" w:line="240" w:lineRule="auto"/>
              <w:jc w:val="left"/>
            </w:pPr>
            <w:r>
              <w:rPr>
                <w:rFonts w:ascii="Arial" w:hAnsi="Arial" w:cs="Arial"/>
                <w:color w:val="000000"/>
                <w:sz w:val="16"/>
                <w:szCs w:val="16"/>
              </w:rPr>
              <w:t xml:space="preserve">Section 13-20 of the </w:t>
            </w:r>
            <w:r>
              <w:rPr>
                <w:rFonts w:ascii="Arial" w:hAnsi="Arial" w:cs="Arial"/>
                <w:i/>
                <w:iCs/>
                <w:color w:val="000000"/>
                <w:sz w:val="16"/>
                <w:szCs w:val="16"/>
              </w:rPr>
              <w:t xml:space="preserve">A New Tax System (Goods and Services Tax) Act 1999 </w:t>
            </w:r>
          </w:p>
        </w:tc>
      </w:tr>
    </w:tbl>
    <w:p w14:paraId="208711A5" w14:textId="77777777" w:rsidR="00802D3E" w:rsidRDefault="00802D3E" w:rsidP="00C11FD2">
      <w:pPr>
        <w:pStyle w:val="SingleParagraph"/>
        <w:spacing w:line="180" w:lineRule="exact"/>
      </w:pPr>
    </w:p>
    <w:p w14:paraId="208711A6" w14:textId="58FE2B6B" w:rsidR="00802D3E" w:rsidRDefault="00802D3E" w:rsidP="00A1526E">
      <w:r>
        <w:t>Since 1 July 2010, the total transport and insurance cost of imported goods is included in the calculation of the value of the taxable importation</w:t>
      </w:r>
      <w:r w:rsidR="00C11FD2">
        <w:t>. If the imported good is a non</w:t>
      </w:r>
      <w:r w:rsidR="00C11FD2">
        <w:noBreakHyphen/>
      </w:r>
      <w:r>
        <w:t>taxable importation (for example, the supply of the good would be GST-free or the value of the good does not exceed the import threshold of $1,000), the domestic transport or insurance component of the transportation supplied is still not taxed.</w:t>
      </w:r>
      <w:r>
        <w:fldChar w:fldCharType="begin"/>
      </w:r>
      <w:r>
        <w:instrText xml:space="preserve"> XE "Cross-border transport supplies" </w:instrText>
      </w:r>
      <w:r>
        <w:fldChar w:fldCharType="end"/>
      </w:r>
    </w:p>
    <w:p w14:paraId="208711A7" w14:textId="77777777" w:rsidR="00802D3E" w:rsidRDefault="00802D3E" w:rsidP="00802D3E">
      <w:pPr>
        <w:pStyle w:val="TESHeading5"/>
        <w:ind w:left="0" w:firstLine="0"/>
      </w:pPr>
      <w:r>
        <w:t>H28</w:t>
      </w:r>
      <w:r>
        <w:tab/>
        <w:t>Food</w:t>
      </w:r>
    </w:p>
    <w:p w14:paraId="208711A8" w14:textId="77777777" w:rsidR="00802D3E" w:rsidRDefault="00802D3E" w:rsidP="00802D3E">
      <w:pPr>
        <w:pStyle w:val="MeasureTableHeading"/>
      </w:pPr>
      <w:r>
        <w:t xml:space="preserve">Other economic affairs </w:t>
      </w:r>
      <w:r w:rsidR="00D50322">
        <w:t>–</w:t>
      </w:r>
      <w:r>
        <w:t xml:space="preserve"> Other</w:t>
      </w:r>
      <w:r w:rsidR="00D50322">
        <w:t xml:space="preserve"> </w:t>
      </w:r>
      <w:r>
        <w:t xml:space="preserve">economic affairs, </w:t>
      </w:r>
      <w:proofErr w:type="spellStart"/>
      <w:r>
        <w:t>nec</w:t>
      </w:r>
      <w:proofErr w:type="spell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889"/>
        <w:gridCol w:w="78"/>
        <w:gridCol w:w="967"/>
        <w:gridCol w:w="967"/>
        <w:gridCol w:w="967"/>
        <w:gridCol w:w="278"/>
        <w:gridCol w:w="689"/>
        <w:gridCol w:w="811"/>
        <w:gridCol w:w="156"/>
        <w:gridCol w:w="968"/>
      </w:tblGrid>
      <w:tr w:rsidR="00802D3E" w14:paraId="208711B1" w14:textId="77777777" w:rsidTr="00802D3E">
        <w:trPr>
          <w:cantSplit/>
          <w:jc w:val="center"/>
        </w:trPr>
        <w:tc>
          <w:tcPr>
            <w:tcW w:w="967" w:type="dxa"/>
            <w:tcBorders>
              <w:top w:val="single" w:sz="2" w:space="0" w:color="auto"/>
              <w:left w:val="nil"/>
              <w:bottom w:val="single" w:sz="2" w:space="0" w:color="auto"/>
              <w:right w:val="nil"/>
            </w:tcBorders>
            <w:hideMark/>
          </w:tcPr>
          <w:p w14:paraId="208711A9" w14:textId="77777777" w:rsidR="00802D3E" w:rsidRDefault="00802D3E">
            <w:pPr>
              <w:pStyle w:val="MeasureTableTextRightAligned"/>
            </w:pPr>
            <w:r>
              <w:t>2012-13</w:t>
            </w:r>
          </w:p>
        </w:tc>
        <w:tc>
          <w:tcPr>
            <w:tcW w:w="967" w:type="dxa"/>
            <w:gridSpan w:val="2"/>
            <w:tcBorders>
              <w:top w:val="single" w:sz="2" w:space="0" w:color="auto"/>
              <w:left w:val="nil"/>
              <w:bottom w:val="single" w:sz="2" w:space="0" w:color="auto"/>
              <w:right w:val="nil"/>
            </w:tcBorders>
            <w:hideMark/>
          </w:tcPr>
          <w:p w14:paraId="208711AA" w14:textId="77777777" w:rsidR="00802D3E" w:rsidRDefault="00802D3E">
            <w:pPr>
              <w:pStyle w:val="MeasureTableTextRightAligned"/>
            </w:pPr>
            <w:r>
              <w:t>2013-14</w:t>
            </w:r>
          </w:p>
        </w:tc>
        <w:tc>
          <w:tcPr>
            <w:tcW w:w="967" w:type="dxa"/>
            <w:tcBorders>
              <w:top w:val="single" w:sz="2" w:space="0" w:color="auto"/>
              <w:left w:val="nil"/>
              <w:bottom w:val="single" w:sz="2" w:space="0" w:color="auto"/>
              <w:right w:val="nil"/>
            </w:tcBorders>
            <w:hideMark/>
          </w:tcPr>
          <w:p w14:paraId="208711AB" w14:textId="77777777" w:rsidR="00802D3E" w:rsidRDefault="00802D3E">
            <w:pPr>
              <w:pStyle w:val="MeasureTableTextRightAligned"/>
            </w:pPr>
            <w:r>
              <w:t>2014-15</w:t>
            </w:r>
          </w:p>
        </w:tc>
        <w:tc>
          <w:tcPr>
            <w:tcW w:w="967" w:type="dxa"/>
            <w:tcBorders>
              <w:top w:val="single" w:sz="2" w:space="0" w:color="auto"/>
              <w:left w:val="nil"/>
              <w:bottom w:val="single" w:sz="2" w:space="0" w:color="auto"/>
              <w:right w:val="nil"/>
            </w:tcBorders>
            <w:hideMark/>
          </w:tcPr>
          <w:p w14:paraId="208711AC" w14:textId="77777777" w:rsidR="00802D3E" w:rsidRDefault="00802D3E">
            <w:pPr>
              <w:pStyle w:val="MeasureTableTextRightAligned"/>
            </w:pPr>
            <w:r>
              <w:t>2015-16</w:t>
            </w:r>
          </w:p>
        </w:tc>
        <w:tc>
          <w:tcPr>
            <w:tcW w:w="967" w:type="dxa"/>
            <w:tcBorders>
              <w:top w:val="single" w:sz="2" w:space="0" w:color="auto"/>
              <w:left w:val="nil"/>
              <w:bottom w:val="single" w:sz="2" w:space="0" w:color="auto"/>
              <w:right w:val="nil"/>
            </w:tcBorders>
            <w:hideMark/>
          </w:tcPr>
          <w:p w14:paraId="208711AD" w14:textId="77777777" w:rsidR="00802D3E" w:rsidRDefault="00802D3E">
            <w:pPr>
              <w:pStyle w:val="MeasureTableTextRightAligned"/>
            </w:pPr>
            <w:r>
              <w:t>2016-17</w:t>
            </w:r>
          </w:p>
        </w:tc>
        <w:tc>
          <w:tcPr>
            <w:tcW w:w="967" w:type="dxa"/>
            <w:gridSpan w:val="2"/>
            <w:tcBorders>
              <w:top w:val="single" w:sz="2" w:space="0" w:color="auto"/>
              <w:left w:val="nil"/>
              <w:bottom w:val="single" w:sz="2" w:space="0" w:color="auto"/>
              <w:right w:val="nil"/>
            </w:tcBorders>
            <w:hideMark/>
          </w:tcPr>
          <w:p w14:paraId="208711AE" w14:textId="77777777" w:rsidR="00802D3E" w:rsidRDefault="00802D3E">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08711AF" w14:textId="77777777" w:rsidR="00802D3E" w:rsidRDefault="00802D3E">
            <w:pPr>
              <w:pStyle w:val="MeasureTableTextRightAligned"/>
            </w:pPr>
            <w:r>
              <w:t>2018-19</w:t>
            </w:r>
          </w:p>
        </w:tc>
        <w:tc>
          <w:tcPr>
            <w:tcW w:w="968" w:type="dxa"/>
            <w:tcBorders>
              <w:top w:val="single" w:sz="2" w:space="0" w:color="auto"/>
              <w:left w:val="nil"/>
              <w:bottom w:val="single" w:sz="2" w:space="0" w:color="auto"/>
              <w:right w:val="nil"/>
            </w:tcBorders>
            <w:hideMark/>
          </w:tcPr>
          <w:p w14:paraId="208711B0" w14:textId="77777777" w:rsidR="00802D3E" w:rsidRDefault="00802D3E">
            <w:pPr>
              <w:pStyle w:val="MeasureTableTextRightAligned"/>
            </w:pPr>
            <w:r>
              <w:t>2019-20</w:t>
            </w:r>
          </w:p>
        </w:tc>
      </w:tr>
      <w:tr w:rsidR="00802D3E" w14:paraId="208711BA" w14:textId="77777777" w:rsidTr="00802D3E">
        <w:trPr>
          <w:cantSplit/>
          <w:jc w:val="center"/>
        </w:trPr>
        <w:tc>
          <w:tcPr>
            <w:tcW w:w="967" w:type="dxa"/>
            <w:tcBorders>
              <w:top w:val="single" w:sz="2" w:space="0" w:color="auto"/>
              <w:left w:val="nil"/>
              <w:bottom w:val="single" w:sz="2" w:space="0" w:color="auto"/>
              <w:right w:val="nil"/>
            </w:tcBorders>
            <w:hideMark/>
          </w:tcPr>
          <w:p w14:paraId="208711B2" w14:textId="77777777" w:rsidR="00802D3E" w:rsidRDefault="00802D3E">
            <w:pPr>
              <w:pStyle w:val="MeasureTableTextRightAligned"/>
            </w:pPr>
            <w:r>
              <w:t>6,000</w:t>
            </w:r>
          </w:p>
        </w:tc>
        <w:tc>
          <w:tcPr>
            <w:tcW w:w="967" w:type="dxa"/>
            <w:gridSpan w:val="2"/>
            <w:tcBorders>
              <w:top w:val="single" w:sz="2" w:space="0" w:color="auto"/>
              <w:left w:val="nil"/>
              <w:bottom w:val="single" w:sz="2" w:space="0" w:color="auto"/>
              <w:right w:val="nil"/>
            </w:tcBorders>
            <w:hideMark/>
          </w:tcPr>
          <w:p w14:paraId="208711B3" w14:textId="77777777" w:rsidR="00802D3E" w:rsidRDefault="00802D3E">
            <w:pPr>
              <w:pStyle w:val="MeasureTableTextRightAligned"/>
            </w:pPr>
            <w:r>
              <w:t>6,200</w:t>
            </w:r>
          </w:p>
        </w:tc>
        <w:tc>
          <w:tcPr>
            <w:tcW w:w="967" w:type="dxa"/>
            <w:tcBorders>
              <w:top w:val="single" w:sz="2" w:space="0" w:color="auto"/>
              <w:left w:val="nil"/>
              <w:bottom w:val="single" w:sz="2" w:space="0" w:color="auto"/>
              <w:right w:val="nil"/>
            </w:tcBorders>
            <w:vAlign w:val="bottom"/>
            <w:hideMark/>
          </w:tcPr>
          <w:p w14:paraId="208711B4" w14:textId="77777777" w:rsidR="00802D3E" w:rsidRDefault="00802D3E">
            <w:pPr>
              <w:pStyle w:val="MeasureTableTextRightAligned"/>
            </w:pPr>
            <w:r>
              <w:t>6,400</w:t>
            </w:r>
          </w:p>
        </w:tc>
        <w:tc>
          <w:tcPr>
            <w:tcW w:w="967" w:type="dxa"/>
            <w:tcBorders>
              <w:top w:val="single" w:sz="2" w:space="0" w:color="auto"/>
              <w:left w:val="nil"/>
              <w:bottom w:val="single" w:sz="2" w:space="0" w:color="auto"/>
              <w:right w:val="nil"/>
            </w:tcBorders>
            <w:vAlign w:val="bottom"/>
            <w:hideMark/>
          </w:tcPr>
          <w:p w14:paraId="208711B5" w14:textId="77777777" w:rsidR="00802D3E" w:rsidRDefault="00802D3E">
            <w:pPr>
              <w:pStyle w:val="MeasureTableTextRightAligned"/>
            </w:pPr>
            <w:r>
              <w:t>6,600</w:t>
            </w:r>
          </w:p>
        </w:tc>
        <w:tc>
          <w:tcPr>
            <w:tcW w:w="967" w:type="dxa"/>
            <w:tcBorders>
              <w:top w:val="single" w:sz="2" w:space="0" w:color="auto"/>
              <w:left w:val="nil"/>
              <w:bottom w:val="single" w:sz="2" w:space="0" w:color="auto"/>
              <w:right w:val="nil"/>
            </w:tcBorders>
            <w:vAlign w:val="bottom"/>
            <w:hideMark/>
          </w:tcPr>
          <w:p w14:paraId="208711B6" w14:textId="77777777" w:rsidR="00802D3E" w:rsidRDefault="00802D3E">
            <w:pPr>
              <w:pStyle w:val="MeasureTableTextRightAligned"/>
            </w:pPr>
            <w:r>
              <w:t>6,900</w:t>
            </w:r>
          </w:p>
        </w:tc>
        <w:tc>
          <w:tcPr>
            <w:tcW w:w="967" w:type="dxa"/>
            <w:gridSpan w:val="2"/>
            <w:tcBorders>
              <w:top w:val="single" w:sz="2" w:space="0" w:color="auto"/>
              <w:left w:val="nil"/>
              <w:bottom w:val="single" w:sz="2" w:space="0" w:color="auto"/>
              <w:right w:val="nil"/>
            </w:tcBorders>
            <w:vAlign w:val="bottom"/>
            <w:hideMark/>
          </w:tcPr>
          <w:p w14:paraId="208711B7" w14:textId="77777777" w:rsidR="00802D3E" w:rsidRDefault="00802D3E">
            <w:pPr>
              <w:pStyle w:val="MeasureTableTextRightAligned"/>
            </w:pPr>
            <w:r>
              <w:t>7,200</w:t>
            </w:r>
          </w:p>
        </w:tc>
        <w:tc>
          <w:tcPr>
            <w:tcW w:w="967" w:type="dxa"/>
            <w:gridSpan w:val="2"/>
            <w:tcBorders>
              <w:top w:val="single" w:sz="2" w:space="0" w:color="auto"/>
              <w:left w:val="nil"/>
              <w:bottom w:val="single" w:sz="2" w:space="0" w:color="auto"/>
              <w:right w:val="nil"/>
            </w:tcBorders>
            <w:vAlign w:val="bottom"/>
            <w:hideMark/>
          </w:tcPr>
          <w:p w14:paraId="208711B8" w14:textId="77777777" w:rsidR="00802D3E" w:rsidRDefault="00802D3E">
            <w:pPr>
              <w:pStyle w:val="MeasureTableTextRightAligned"/>
            </w:pPr>
            <w:r>
              <w:t>7,500</w:t>
            </w:r>
          </w:p>
        </w:tc>
        <w:tc>
          <w:tcPr>
            <w:tcW w:w="968" w:type="dxa"/>
            <w:tcBorders>
              <w:top w:val="single" w:sz="2" w:space="0" w:color="auto"/>
              <w:left w:val="nil"/>
              <w:bottom w:val="single" w:sz="2" w:space="0" w:color="auto"/>
              <w:right w:val="nil"/>
            </w:tcBorders>
            <w:vAlign w:val="bottom"/>
            <w:hideMark/>
          </w:tcPr>
          <w:p w14:paraId="208711B9" w14:textId="77777777" w:rsidR="00802D3E" w:rsidRDefault="00802D3E">
            <w:pPr>
              <w:pStyle w:val="MeasureTableTextRightAligned"/>
            </w:pPr>
            <w:r>
              <w:t>7,800</w:t>
            </w:r>
          </w:p>
        </w:tc>
      </w:tr>
      <w:tr w:rsidR="00802D3E" w14:paraId="208711BF" w14:textId="77777777" w:rsidTr="00A1526E">
        <w:trPr>
          <w:cantSplit/>
          <w:jc w:val="center"/>
        </w:trPr>
        <w:tc>
          <w:tcPr>
            <w:tcW w:w="1856" w:type="dxa"/>
            <w:gridSpan w:val="2"/>
            <w:tcBorders>
              <w:top w:val="single" w:sz="2" w:space="0" w:color="auto"/>
              <w:left w:val="nil"/>
              <w:bottom w:val="nil"/>
              <w:right w:val="nil"/>
            </w:tcBorders>
            <w:hideMark/>
          </w:tcPr>
          <w:p w14:paraId="208711BB" w14:textId="77777777" w:rsidR="00802D3E" w:rsidRDefault="00802D3E">
            <w:pPr>
              <w:pStyle w:val="MeasureTableTextItalic"/>
            </w:pPr>
            <w:r>
              <w:t>Tax expenditure type:</w:t>
            </w:r>
          </w:p>
        </w:tc>
        <w:tc>
          <w:tcPr>
            <w:tcW w:w="3257" w:type="dxa"/>
            <w:gridSpan w:val="5"/>
            <w:tcBorders>
              <w:top w:val="single" w:sz="2" w:space="0" w:color="auto"/>
              <w:left w:val="nil"/>
              <w:bottom w:val="nil"/>
              <w:right w:val="nil"/>
            </w:tcBorders>
            <w:hideMark/>
          </w:tcPr>
          <w:p w14:paraId="208711BC" w14:textId="77777777" w:rsidR="00802D3E" w:rsidRDefault="00802D3E">
            <w:pPr>
              <w:pStyle w:val="MeasureTableTextLeftAligned"/>
            </w:pPr>
            <w:r>
              <w:t>Exemption</w:t>
            </w:r>
          </w:p>
        </w:tc>
        <w:tc>
          <w:tcPr>
            <w:tcW w:w="1500" w:type="dxa"/>
            <w:gridSpan w:val="2"/>
            <w:tcBorders>
              <w:top w:val="single" w:sz="2" w:space="0" w:color="auto"/>
              <w:left w:val="nil"/>
              <w:bottom w:val="nil"/>
              <w:right w:val="nil"/>
            </w:tcBorders>
            <w:hideMark/>
          </w:tcPr>
          <w:p w14:paraId="208711BD" w14:textId="77777777" w:rsidR="00802D3E" w:rsidRDefault="00802D3E">
            <w:pPr>
              <w:pStyle w:val="MeasureTableTextItalic"/>
            </w:pPr>
            <w:r>
              <w:t>2015 TES code:</w:t>
            </w:r>
          </w:p>
        </w:tc>
        <w:tc>
          <w:tcPr>
            <w:tcW w:w="1124" w:type="dxa"/>
            <w:gridSpan w:val="2"/>
            <w:tcBorders>
              <w:top w:val="single" w:sz="2" w:space="0" w:color="auto"/>
              <w:left w:val="nil"/>
              <w:bottom w:val="nil"/>
              <w:right w:val="nil"/>
            </w:tcBorders>
            <w:hideMark/>
          </w:tcPr>
          <w:p w14:paraId="208711BE" w14:textId="77777777" w:rsidR="00802D3E" w:rsidRDefault="00802D3E">
            <w:pPr>
              <w:pStyle w:val="MeasureTableTextLeftAligned"/>
            </w:pPr>
            <w:r>
              <w:t>H28</w:t>
            </w:r>
          </w:p>
        </w:tc>
      </w:tr>
      <w:tr w:rsidR="00802D3E" w14:paraId="208711C4" w14:textId="77777777" w:rsidTr="00A1526E">
        <w:trPr>
          <w:cantSplit/>
          <w:jc w:val="center"/>
        </w:trPr>
        <w:tc>
          <w:tcPr>
            <w:tcW w:w="1856" w:type="dxa"/>
            <w:gridSpan w:val="2"/>
            <w:tcBorders>
              <w:top w:val="nil"/>
              <w:left w:val="nil"/>
              <w:bottom w:val="nil"/>
              <w:right w:val="nil"/>
            </w:tcBorders>
            <w:hideMark/>
          </w:tcPr>
          <w:p w14:paraId="208711C0" w14:textId="77777777" w:rsidR="00802D3E" w:rsidRDefault="00802D3E">
            <w:pPr>
              <w:pStyle w:val="MeasureTableTextItalic"/>
            </w:pPr>
            <w:r>
              <w:t>Estimate Reliability:</w:t>
            </w:r>
          </w:p>
        </w:tc>
        <w:tc>
          <w:tcPr>
            <w:tcW w:w="3257" w:type="dxa"/>
            <w:gridSpan w:val="5"/>
            <w:tcBorders>
              <w:top w:val="nil"/>
              <w:left w:val="nil"/>
              <w:bottom w:val="nil"/>
              <w:right w:val="nil"/>
            </w:tcBorders>
            <w:hideMark/>
          </w:tcPr>
          <w:p w14:paraId="208711C1" w14:textId="77777777" w:rsidR="00802D3E" w:rsidRDefault="00802D3E">
            <w:pPr>
              <w:pStyle w:val="MeasureTableTextLeftAligned"/>
            </w:pPr>
            <w:r>
              <w:t>Medium</w:t>
            </w:r>
          </w:p>
        </w:tc>
        <w:tc>
          <w:tcPr>
            <w:tcW w:w="1500" w:type="dxa"/>
            <w:gridSpan w:val="2"/>
            <w:tcBorders>
              <w:top w:val="nil"/>
              <w:left w:val="nil"/>
              <w:bottom w:val="nil"/>
              <w:right w:val="nil"/>
            </w:tcBorders>
          </w:tcPr>
          <w:p w14:paraId="208711C2" w14:textId="77777777" w:rsidR="00802D3E" w:rsidRDefault="00802D3E">
            <w:pPr>
              <w:pStyle w:val="MeasureTableTextItalic"/>
            </w:pPr>
          </w:p>
        </w:tc>
        <w:tc>
          <w:tcPr>
            <w:tcW w:w="1124" w:type="dxa"/>
            <w:gridSpan w:val="2"/>
            <w:tcBorders>
              <w:top w:val="nil"/>
              <w:left w:val="nil"/>
              <w:bottom w:val="nil"/>
              <w:right w:val="nil"/>
            </w:tcBorders>
          </w:tcPr>
          <w:p w14:paraId="208711C3" w14:textId="77777777" w:rsidR="00802D3E" w:rsidRDefault="00802D3E">
            <w:pPr>
              <w:pStyle w:val="MeasureTableTextLeftAligned"/>
            </w:pPr>
          </w:p>
        </w:tc>
      </w:tr>
      <w:tr w:rsidR="00802D3E" w14:paraId="208711C9" w14:textId="77777777" w:rsidTr="00A1526E">
        <w:trPr>
          <w:cantSplit/>
          <w:jc w:val="center"/>
        </w:trPr>
        <w:tc>
          <w:tcPr>
            <w:tcW w:w="1856" w:type="dxa"/>
            <w:gridSpan w:val="2"/>
            <w:tcBorders>
              <w:top w:val="nil"/>
              <w:left w:val="nil"/>
              <w:bottom w:val="nil"/>
              <w:right w:val="nil"/>
            </w:tcBorders>
            <w:hideMark/>
          </w:tcPr>
          <w:p w14:paraId="208711C5" w14:textId="77777777" w:rsidR="00802D3E" w:rsidRDefault="00802D3E">
            <w:pPr>
              <w:pStyle w:val="MeasureTableTextItalic"/>
            </w:pPr>
            <w:r>
              <w:t>Commencement date:</w:t>
            </w:r>
          </w:p>
        </w:tc>
        <w:tc>
          <w:tcPr>
            <w:tcW w:w="3257" w:type="dxa"/>
            <w:gridSpan w:val="5"/>
            <w:tcBorders>
              <w:top w:val="nil"/>
              <w:left w:val="nil"/>
              <w:bottom w:val="nil"/>
              <w:right w:val="nil"/>
            </w:tcBorders>
            <w:hideMark/>
          </w:tcPr>
          <w:p w14:paraId="208711C6" w14:textId="77777777" w:rsidR="00802D3E" w:rsidRDefault="00802D3E">
            <w:pPr>
              <w:pStyle w:val="MeasureTableTextLeftAligned"/>
            </w:pPr>
            <w:r>
              <w:t>1 July 2000</w:t>
            </w:r>
          </w:p>
        </w:tc>
        <w:tc>
          <w:tcPr>
            <w:tcW w:w="1500" w:type="dxa"/>
            <w:gridSpan w:val="2"/>
            <w:tcBorders>
              <w:top w:val="nil"/>
              <w:left w:val="nil"/>
              <w:bottom w:val="nil"/>
              <w:right w:val="nil"/>
            </w:tcBorders>
            <w:hideMark/>
          </w:tcPr>
          <w:p w14:paraId="208711C7" w14:textId="77777777" w:rsidR="00802D3E" w:rsidRDefault="00802D3E">
            <w:pPr>
              <w:pStyle w:val="MeasureTableTextItalic"/>
            </w:pPr>
            <w:r>
              <w:t>Expiry date:</w:t>
            </w:r>
          </w:p>
        </w:tc>
        <w:tc>
          <w:tcPr>
            <w:tcW w:w="1124" w:type="dxa"/>
            <w:gridSpan w:val="2"/>
            <w:tcBorders>
              <w:top w:val="nil"/>
              <w:left w:val="nil"/>
              <w:bottom w:val="nil"/>
              <w:right w:val="nil"/>
            </w:tcBorders>
          </w:tcPr>
          <w:p w14:paraId="208711C8" w14:textId="77777777" w:rsidR="00802D3E" w:rsidRDefault="00802D3E">
            <w:pPr>
              <w:pStyle w:val="MeasureTableTextLeftAligned"/>
            </w:pPr>
          </w:p>
        </w:tc>
      </w:tr>
      <w:tr w:rsidR="00802D3E" w14:paraId="208711CC" w14:textId="77777777" w:rsidTr="00A1526E">
        <w:trPr>
          <w:cantSplit/>
          <w:jc w:val="center"/>
        </w:trPr>
        <w:tc>
          <w:tcPr>
            <w:tcW w:w="1856" w:type="dxa"/>
            <w:gridSpan w:val="2"/>
            <w:tcBorders>
              <w:top w:val="nil"/>
              <w:left w:val="nil"/>
              <w:bottom w:val="single" w:sz="2" w:space="0" w:color="auto"/>
              <w:right w:val="nil"/>
            </w:tcBorders>
            <w:hideMark/>
          </w:tcPr>
          <w:p w14:paraId="208711CA" w14:textId="77777777" w:rsidR="00802D3E" w:rsidRDefault="00802D3E">
            <w:pPr>
              <w:pStyle w:val="MeasureTableTextItalic"/>
            </w:pPr>
            <w:r>
              <w:t>Legislative reference:</w:t>
            </w:r>
          </w:p>
        </w:tc>
        <w:tc>
          <w:tcPr>
            <w:tcW w:w="5881" w:type="dxa"/>
            <w:gridSpan w:val="9"/>
            <w:tcBorders>
              <w:top w:val="nil"/>
              <w:left w:val="nil"/>
              <w:bottom w:val="single" w:sz="2" w:space="0" w:color="auto"/>
              <w:right w:val="nil"/>
            </w:tcBorders>
            <w:hideMark/>
          </w:tcPr>
          <w:p w14:paraId="208711CB" w14:textId="307F7127" w:rsidR="00802D3E" w:rsidRDefault="00802D3E" w:rsidP="00C11FD2">
            <w:pPr>
              <w:widowControl w:val="0"/>
              <w:autoSpaceDE w:val="0"/>
              <w:autoSpaceDN w:val="0"/>
              <w:adjustRightInd w:val="0"/>
              <w:spacing w:after="0" w:line="240" w:lineRule="auto"/>
              <w:jc w:val="left"/>
            </w:pPr>
            <w:r>
              <w:rPr>
                <w:rFonts w:ascii="Arial" w:hAnsi="Arial" w:cs="Arial"/>
                <w:color w:val="000000"/>
                <w:sz w:val="16"/>
                <w:szCs w:val="16"/>
              </w:rPr>
              <w:t xml:space="preserve">Subdivision 38-A of the </w:t>
            </w:r>
            <w:r>
              <w:rPr>
                <w:rFonts w:ascii="Arial" w:hAnsi="Arial" w:cs="Arial"/>
                <w:i/>
                <w:iCs/>
                <w:color w:val="000000"/>
                <w:sz w:val="16"/>
                <w:szCs w:val="16"/>
              </w:rPr>
              <w:t>A New Tax System (Goods and Services Tax) Act</w:t>
            </w:r>
          </w:p>
        </w:tc>
      </w:tr>
    </w:tbl>
    <w:p w14:paraId="208711CD" w14:textId="77777777" w:rsidR="00802D3E" w:rsidRDefault="00802D3E" w:rsidP="00C11FD2">
      <w:pPr>
        <w:pStyle w:val="SingleParagraph"/>
        <w:spacing w:line="180" w:lineRule="exact"/>
      </w:pPr>
    </w:p>
    <w:p w14:paraId="208711E7" w14:textId="4C5D3F7A" w:rsidR="00DD444C" w:rsidRDefault="00802D3E" w:rsidP="00A1526E">
      <w:pPr>
        <w:rPr>
          <w:rFonts w:ascii="Arial" w:hAnsi="Arial"/>
          <w:b/>
          <w:smallCaps/>
          <w:color w:val="auto"/>
          <w:kern w:val="28"/>
          <w:sz w:val="34"/>
        </w:rPr>
      </w:pPr>
      <w:r>
        <w:t>Most food</w:t>
      </w:r>
      <w:r w:rsidR="00BD35C8">
        <w:fldChar w:fldCharType="begin"/>
      </w:r>
      <w:r w:rsidR="00BD35C8">
        <w:instrText xml:space="preserve"> XE "Goods and Services Tax:Food" </w:instrText>
      </w:r>
      <w:r w:rsidR="00BD35C8">
        <w:fldChar w:fldCharType="end"/>
      </w:r>
      <w:r>
        <w:t xml:space="preserve"> items for human consumption that are prepared and/or consumed at home are GST-free. Examples of GST-free food include fresh fruit and vegetables, fish, dairy products, bread and meat. Examples of GST-free beverages include unflavoured milk products, tea, coffee, water and fruit juices. Food and beverages subject to GST include: restaurant and takeaway meals, confectionary, savoury snacks, ice cream, biscuits and soft drinks.</w:t>
      </w:r>
      <w:bookmarkStart w:id="22" w:name="_Toc406673238"/>
      <w:bookmarkStart w:id="23" w:name="_Toc441066985"/>
    </w:p>
    <w:p w14:paraId="208711E8" w14:textId="77777777" w:rsidR="00CB1A57" w:rsidRDefault="00CB1A57" w:rsidP="00A1526E">
      <w:pPr>
        <w:sectPr w:rsidR="00CB1A57" w:rsidSect="00C11FD2">
          <w:headerReference w:type="default" r:id="rId34"/>
          <w:type w:val="oddPage"/>
          <w:pgSz w:w="11907" w:h="16840" w:code="9"/>
          <w:pgMar w:top="2466" w:right="2098" w:bottom="2466" w:left="2098" w:header="1899" w:footer="1899" w:gutter="0"/>
          <w:cols w:space="720"/>
          <w:titlePg/>
          <w:docGrid w:linePitch="360"/>
        </w:sectPr>
      </w:pPr>
    </w:p>
    <w:p w14:paraId="208711E9" w14:textId="77777777" w:rsidR="003F0CEE" w:rsidRPr="002A2928" w:rsidRDefault="003F0CEE" w:rsidP="003F0CEE">
      <w:pPr>
        <w:pStyle w:val="Heading1"/>
        <w:pageBreakBefore w:val="0"/>
      </w:pPr>
      <w:bookmarkStart w:id="24" w:name="_Toc472604536"/>
      <w:r w:rsidRPr="00762F6A">
        <w:lastRenderedPageBreak/>
        <w:t xml:space="preserve">Chapter 3: Revenue gain estimates of tax </w:t>
      </w:r>
      <w:r w:rsidRPr="002A2928">
        <w:t>expenditures</w:t>
      </w:r>
      <w:bookmarkEnd w:id="22"/>
      <w:bookmarkEnd w:id="23"/>
      <w:bookmarkEnd w:id="24"/>
    </w:p>
    <w:p w14:paraId="208711EA" w14:textId="77777777" w:rsidR="003F0CEE" w:rsidRPr="002A2928" w:rsidRDefault="003F0CEE" w:rsidP="003F0CEE">
      <w:bookmarkStart w:id="25" w:name="_Toc406673239"/>
      <w:r w:rsidRPr="002A2928">
        <w:t>The revenue gain approach is an alternative to the revenue forgone approach used to produce the tax expenditure estimates in Chapter 2. Revenue gain estimates for individual tax expenditure items are more akin to estimates of the revenue impact of budget measures.</w:t>
      </w:r>
    </w:p>
    <w:p w14:paraId="208711EB" w14:textId="77777777" w:rsidR="003F0CEE" w:rsidRPr="00762F6A" w:rsidRDefault="003F0CEE" w:rsidP="003F0CEE">
      <w:pPr>
        <w:spacing w:after="200"/>
      </w:pPr>
      <w:r w:rsidRPr="002A2928">
        <w:t>Consistent with a recommendation of the Australian National Audit Office in its 2007</w:t>
      </w:r>
      <w:r w:rsidRPr="002A2928">
        <w:noBreakHyphen/>
        <w:t>08 performance audit of the TES,</w:t>
      </w:r>
      <w:r w:rsidRPr="002A2928">
        <w:rPr>
          <w:rStyle w:val="FootnoteReference"/>
        </w:rPr>
        <w:footnoteReference w:id="3"/>
      </w:r>
      <w:r w:rsidRPr="002A2928">
        <w:t xml:space="preserve"> this Chapter reports revenue gain estimates for 10 large tax expenditures.</w:t>
      </w:r>
      <w:r w:rsidRPr="002A2928">
        <w:rPr>
          <w:rStyle w:val="FootnoteReference"/>
        </w:rPr>
        <w:footnoteReference w:id="4"/>
      </w:r>
    </w:p>
    <w:p w14:paraId="208711EC" w14:textId="77777777" w:rsidR="003F0CEE" w:rsidRPr="00762F6A" w:rsidRDefault="003F0CEE" w:rsidP="005251CE">
      <w:r w:rsidRPr="00762F6A">
        <w:t>These tax expenditures have been chosen because they best illustrate the considerable differences between the revenue forgone and revenue gain approaches, and how those differences can vary between tax expenditure items.</w:t>
      </w:r>
    </w:p>
    <w:p w14:paraId="7F1BB1FB" w14:textId="77777777" w:rsidR="00516AEB" w:rsidRDefault="00516AEB" w:rsidP="00516AEB">
      <w:r>
        <w:t>Revenue gain estimates for tax expenditures relating to the CGT concessions for housing (E5 and E6) and the CGT discount for individuals and trusts (E13) have not been produced because of the significant uncertainty about taxpayer behavioural responses were these tax expenditures to be (hypothetically) abolished.</w:t>
      </w:r>
    </w:p>
    <w:p w14:paraId="208711EE" w14:textId="77777777" w:rsidR="003F0CEE" w:rsidRPr="00762F6A" w:rsidRDefault="003F0CEE" w:rsidP="003F0CEE">
      <w:pPr>
        <w:spacing w:after="200"/>
      </w:pPr>
      <w:r w:rsidRPr="00762F6A">
        <w:t xml:space="preserve">Revenue gain estimates should be treated with extreme caution. </w:t>
      </w:r>
    </w:p>
    <w:p w14:paraId="0E718A3C" w14:textId="77777777" w:rsidR="00CC2AB8" w:rsidRPr="00762F6A" w:rsidRDefault="00CC2AB8" w:rsidP="00CC2AB8">
      <w:pPr>
        <w:pStyle w:val="Bullet"/>
      </w:pPr>
      <w:r w:rsidRPr="00762F6A">
        <w:t xml:space="preserve">In practice, the revenue gain can be difficult to estimate as there is usually little, if any, information on how taxpayers might react to the removal of </w:t>
      </w:r>
      <w:proofErr w:type="gramStart"/>
      <w:r w:rsidRPr="00762F6A">
        <w:t>a tax</w:t>
      </w:r>
      <w:proofErr w:type="gramEnd"/>
      <w:r w:rsidRPr="00762F6A">
        <w:t xml:space="preserve"> expenditure. Assumptions about taxpayer behavioural responses therefore need to be made, and these assumptions can be difficult to meaningfully substantiate. </w:t>
      </w:r>
    </w:p>
    <w:p w14:paraId="34D0E3AF" w14:textId="77777777" w:rsidR="00CC2AB8" w:rsidRPr="00762F6A" w:rsidRDefault="00CC2AB8" w:rsidP="00CC2AB8">
      <w:pPr>
        <w:pStyle w:val="Bullet"/>
      </w:pPr>
      <w:r>
        <w:t xml:space="preserve">Revenue gains estimates </w:t>
      </w:r>
      <w:r w:rsidRPr="00762F6A">
        <w:t>assume that a tax expenditure is abolished</w:t>
      </w:r>
      <w:r>
        <w:t xml:space="preserve"> with immediate effect,</w:t>
      </w:r>
      <w:r w:rsidRPr="00762F6A">
        <w:t xml:space="preserve"> wh</w:t>
      </w:r>
      <w:r>
        <w:t>ereas it may be more plausible on policy grounds to adopt transitional arrangements (for example, grandfathering), or to reduce the size of a tax expenditure rather than abolish it.</w:t>
      </w:r>
    </w:p>
    <w:p w14:paraId="208711F1" w14:textId="77777777" w:rsidR="003F0CEE" w:rsidRPr="00762F6A" w:rsidRDefault="003F0CEE" w:rsidP="003F0CEE">
      <w:pPr>
        <w:pStyle w:val="Bullet"/>
        <w:spacing w:after="200"/>
      </w:pPr>
      <w:r w:rsidRPr="00762F6A">
        <w:t>Judgments also need to be made about likely policy settings — for example, whether it is realistic to assess the abolition of a single tax expenditure (for example, a particular GST exemption) while keeping other tax expenditures unchanged (for example, other GST exemptions).</w:t>
      </w:r>
    </w:p>
    <w:p w14:paraId="208711F2" w14:textId="77777777" w:rsidR="003F0CEE" w:rsidRPr="00762F6A" w:rsidRDefault="003F0CEE" w:rsidP="003F0CEE">
      <w:pPr>
        <w:pStyle w:val="Bullet"/>
      </w:pPr>
      <w:r w:rsidRPr="00762F6A">
        <w:t xml:space="preserve">Revenue gain estimates do not take into account any potential changes in direct expenditure flowing from the removal of </w:t>
      </w:r>
      <w:proofErr w:type="gramStart"/>
      <w:r w:rsidRPr="00762F6A">
        <w:t>a tax</w:t>
      </w:r>
      <w:proofErr w:type="gramEnd"/>
      <w:r w:rsidRPr="00762F6A">
        <w:t xml:space="preserve"> expenditure.</w:t>
      </w:r>
    </w:p>
    <w:p w14:paraId="208711F3" w14:textId="77777777" w:rsidR="003F0CEE" w:rsidRPr="00762F6A" w:rsidRDefault="003F0CEE" w:rsidP="003F0CEE">
      <w:pPr>
        <w:pStyle w:val="Heading2"/>
        <w:numPr>
          <w:ilvl w:val="1"/>
          <w:numId w:val="6"/>
        </w:numPr>
      </w:pPr>
      <w:bookmarkStart w:id="26" w:name="_Toc441066986"/>
      <w:bookmarkStart w:id="27" w:name="_Toc472604537"/>
      <w:r w:rsidRPr="00762F6A">
        <w:lastRenderedPageBreak/>
        <w:t>Standard assumptions for the revenue gain estimates</w:t>
      </w:r>
      <w:bookmarkEnd w:id="26"/>
      <w:bookmarkEnd w:id="27"/>
    </w:p>
    <w:p w14:paraId="208711F4" w14:textId="77777777" w:rsidR="003F0CEE" w:rsidRPr="00762F6A" w:rsidRDefault="003F0CEE" w:rsidP="003F0CEE">
      <w:pPr>
        <w:spacing w:after="200"/>
      </w:pPr>
      <w:r w:rsidRPr="00762F6A">
        <w:t>The tax expenditures listed below have been estimated using both the revenue gain and revenue forgone approaches. The revenue gain estimates all assume that the tax expenditures:</w:t>
      </w:r>
    </w:p>
    <w:p w14:paraId="208711F5" w14:textId="77777777" w:rsidR="003F0CEE" w:rsidRPr="00762F6A" w:rsidRDefault="003F0CEE" w:rsidP="003F0CEE">
      <w:pPr>
        <w:pStyle w:val="Bullet"/>
        <w:numPr>
          <w:ilvl w:val="0"/>
          <w:numId w:val="0"/>
        </w:numPr>
        <w:tabs>
          <w:tab w:val="left" w:pos="283"/>
        </w:tabs>
        <w:spacing w:after="200"/>
        <w:ind w:left="284" w:hanging="284"/>
      </w:pPr>
      <w:r w:rsidRPr="00762F6A">
        <w:rPr>
          <w:rFonts w:ascii="Symbol" w:hAnsi="Symbol"/>
          <w:sz w:val="16"/>
        </w:rPr>
        <w:t></w:t>
      </w:r>
      <w:r w:rsidRPr="00762F6A">
        <w:rPr>
          <w:rFonts w:ascii="Symbol" w:hAnsi="Symbol"/>
          <w:sz w:val="16"/>
        </w:rPr>
        <w:tab/>
      </w:r>
      <w:r w:rsidRPr="00762F6A">
        <w:t>are removed with effect from 1 July 201</w:t>
      </w:r>
      <w:r>
        <w:t>6</w:t>
      </w:r>
      <w:r w:rsidRPr="00762F6A">
        <w:t xml:space="preserve">; </w:t>
      </w:r>
    </w:p>
    <w:p w14:paraId="208711F6" w14:textId="77777777" w:rsidR="003F0CEE" w:rsidRPr="00762F6A" w:rsidRDefault="003F0CEE" w:rsidP="003F0CEE">
      <w:pPr>
        <w:pStyle w:val="Bullet"/>
        <w:numPr>
          <w:ilvl w:val="0"/>
          <w:numId w:val="0"/>
        </w:numPr>
        <w:tabs>
          <w:tab w:val="left" w:pos="283"/>
        </w:tabs>
        <w:spacing w:after="200"/>
        <w:ind w:left="284" w:hanging="284"/>
      </w:pPr>
      <w:r w:rsidRPr="00762F6A">
        <w:rPr>
          <w:rFonts w:ascii="Symbol" w:hAnsi="Symbol"/>
          <w:sz w:val="16"/>
        </w:rPr>
        <w:t></w:t>
      </w:r>
      <w:r w:rsidRPr="00762F6A">
        <w:rPr>
          <w:rFonts w:ascii="Symbol" w:hAnsi="Symbol"/>
          <w:sz w:val="16"/>
        </w:rPr>
        <w:tab/>
      </w:r>
      <w:r w:rsidRPr="00762F6A">
        <w:t>apply prospectively to transactions entered into after that date; and</w:t>
      </w:r>
    </w:p>
    <w:p w14:paraId="208711F7" w14:textId="1E1C6450" w:rsidR="003F0CEE" w:rsidRPr="00762F6A" w:rsidRDefault="003F0CEE" w:rsidP="003F0CEE">
      <w:pPr>
        <w:pStyle w:val="Bullet"/>
        <w:numPr>
          <w:ilvl w:val="0"/>
          <w:numId w:val="0"/>
        </w:numPr>
        <w:tabs>
          <w:tab w:val="left" w:pos="283"/>
        </w:tabs>
        <w:ind w:left="284" w:hanging="284"/>
      </w:pPr>
      <w:r w:rsidRPr="00762F6A">
        <w:rPr>
          <w:rFonts w:ascii="Symbol" w:hAnsi="Symbol"/>
          <w:sz w:val="16"/>
        </w:rPr>
        <w:t></w:t>
      </w:r>
      <w:r w:rsidRPr="00762F6A">
        <w:rPr>
          <w:rFonts w:ascii="Symbol" w:hAnsi="Symbol"/>
          <w:sz w:val="16"/>
        </w:rPr>
        <w:tab/>
      </w:r>
      <w:r w:rsidRPr="00762F6A">
        <w:t xml:space="preserve">include other specific assumptions concerning likely policy specifications for the removal of each concession as set out in the </w:t>
      </w:r>
      <w:r w:rsidR="00E21758">
        <w:t>text below each set of estimates</w:t>
      </w:r>
      <w:r w:rsidRPr="00762F6A">
        <w:t>.</w:t>
      </w:r>
    </w:p>
    <w:p w14:paraId="208711F8" w14:textId="0B4AC70B" w:rsidR="003F0CEE" w:rsidRPr="00762F6A" w:rsidRDefault="003F0CEE" w:rsidP="003F0CEE">
      <w:r w:rsidRPr="00762F6A">
        <w:t>The revenue gain estimates also incorporate the impact of direct behavioural responses from the change where these are expected to have a significant impact on the estimates. The revenue gain estimates do not include any allowance for second round effects (that is, those arising from the flow</w:t>
      </w:r>
      <w:r w:rsidRPr="00762F6A">
        <w:noBreakHyphen/>
        <w:t xml:space="preserve">on of a change, beyond those directly affected, into the wider economy) because of the considerable uncertainty regarding the magnitude and timing of such </w:t>
      </w:r>
      <w:r w:rsidR="00273604">
        <w:t>effects</w:t>
      </w:r>
      <w:r w:rsidRPr="00762F6A">
        <w:t>.</w:t>
      </w:r>
    </w:p>
    <w:p w14:paraId="208711F9" w14:textId="3EDF77FC" w:rsidR="003F0CEE" w:rsidRPr="00762F6A" w:rsidRDefault="00E21758" w:rsidP="003F0CEE">
      <w:pPr>
        <w:spacing w:after="360"/>
      </w:pPr>
      <w:r>
        <w:t>R</w:t>
      </w:r>
      <w:r w:rsidR="003F0CEE" w:rsidRPr="00762F6A">
        <w:t xml:space="preserve">evenue forgone and revenue gain estimates </w:t>
      </w:r>
      <w:r>
        <w:t xml:space="preserve">are presented </w:t>
      </w:r>
      <w:r w:rsidR="003F0CEE" w:rsidRPr="00762F6A">
        <w:t>for a four</w:t>
      </w:r>
      <w:r w:rsidR="00273604">
        <w:t>-</w:t>
      </w:r>
      <w:r w:rsidR="003F0CEE" w:rsidRPr="00762F6A">
        <w:t>year period</w:t>
      </w:r>
      <w:r>
        <w:t xml:space="preserve"> from 2016-17</w:t>
      </w:r>
      <w:r w:rsidR="003F0CEE" w:rsidRPr="00762F6A">
        <w:t xml:space="preserve">. A brief outline of the reasons for any difference </w:t>
      </w:r>
      <w:r>
        <w:t xml:space="preserve">between the revenue gain and revenue forgone </w:t>
      </w:r>
      <w:r w:rsidR="003F0CEE" w:rsidRPr="00762F6A">
        <w:t>estimates is then provided.</w:t>
      </w:r>
    </w:p>
    <w:bookmarkEnd w:id="25"/>
    <w:p w14:paraId="208711FA" w14:textId="77777777" w:rsidR="007A1108" w:rsidRDefault="007A1108" w:rsidP="00A96CE4">
      <w:pPr>
        <w:spacing w:after="0" w:line="240" w:lineRule="auto"/>
        <w:jc w:val="left"/>
      </w:pPr>
    </w:p>
    <w:p w14:paraId="208711FB" w14:textId="77777777" w:rsidR="007A1108" w:rsidRDefault="007A1108" w:rsidP="00A96CE4">
      <w:pPr>
        <w:spacing w:after="0" w:line="240" w:lineRule="auto"/>
        <w:jc w:val="left"/>
      </w:pPr>
    </w:p>
    <w:p w14:paraId="208711FC" w14:textId="77777777" w:rsidR="007A1108" w:rsidRDefault="007A1108" w:rsidP="00A96CE4">
      <w:pPr>
        <w:spacing w:after="0" w:line="240" w:lineRule="auto"/>
        <w:jc w:val="left"/>
      </w:pPr>
    </w:p>
    <w:p w14:paraId="208711FD" w14:textId="77777777" w:rsidR="003F0CEE" w:rsidRDefault="003F0CEE" w:rsidP="00A96CE4">
      <w:pPr>
        <w:spacing w:after="0" w:line="240" w:lineRule="auto"/>
        <w:jc w:val="left"/>
      </w:pPr>
    </w:p>
    <w:p w14:paraId="208711FE" w14:textId="77777777" w:rsidR="003F0CEE" w:rsidRDefault="003F0CEE" w:rsidP="00A96CE4">
      <w:pPr>
        <w:spacing w:after="0" w:line="240" w:lineRule="auto"/>
        <w:jc w:val="left"/>
      </w:pPr>
    </w:p>
    <w:p w14:paraId="208711FF" w14:textId="77777777" w:rsidR="003F0CEE" w:rsidRDefault="003F0CEE" w:rsidP="00A96CE4">
      <w:pPr>
        <w:spacing w:after="0" w:line="240" w:lineRule="auto"/>
        <w:jc w:val="left"/>
      </w:pPr>
    </w:p>
    <w:p w14:paraId="20871200" w14:textId="77777777" w:rsidR="003F0CEE" w:rsidRDefault="003F0CEE" w:rsidP="00A96CE4">
      <w:pPr>
        <w:spacing w:after="0" w:line="240" w:lineRule="auto"/>
        <w:jc w:val="left"/>
      </w:pPr>
    </w:p>
    <w:p w14:paraId="20871201" w14:textId="77777777" w:rsidR="003F0CEE" w:rsidRDefault="003F0CEE" w:rsidP="00A96CE4">
      <w:pPr>
        <w:spacing w:after="0" w:line="240" w:lineRule="auto"/>
        <w:jc w:val="left"/>
      </w:pPr>
    </w:p>
    <w:p w14:paraId="20871202" w14:textId="77777777" w:rsidR="003F0CEE" w:rsidRDefault="003F0CEE" w:rsidP="00A96CE4">
      <w:pPr>
        <w:spacing w:after="0" w:line="240" w:lineRule="auto"/>
        <w:jc w:val="left"/>
      </w:pPr>
    </w:p>
    <w:p w14:paraId="20871203" w14:textId="77777777" w:rsidR="003F0CEE" w:rsidRDefault="003F0CEE" w:rsidP="00A96CE4">
      <w:pPr>
        <w:spacing w:after="0" w:line="240" w:lineRule="auto"/>
        <w:jc w:val="left"/>
      </w:pPr>
    </w:p>
    <w:p w14:paraId="20871204" w14:textId="77777777" w:rsidR="003F0CEE" w:rsidRDefault="003F0CEE" w:rsidP="00A96CE4">
      <w:pPr>
        <w:spacing w:after="0" w:line="240" w:lineRule="auto"/>
        <w:jc w:val="left"/>
      </w:pPr>
    </w:p>
    <w:p w14:paraId="20871205" w14:textId="77777777" w:rsidR="003F0CEE" w:rsidRDefault="003F0CEE" w:rsidP="00A96CE4">
      <w:pPr>
        <w:spacing w:after="0" w:line="240" w:lineRule="auto"/>
        <w:jc w:val="left"/>
      </w:pPr>
    </w:p>
    <w:p w14:paraId="20871206" w14:textId="77777777" w:rsidR="003F0CEE" w:rsidRDefault="003F0CEE" w:rsidP="00A96CE4">
      <w:pPr>
        <w:spacing w:after="0" w:line="240" w:lineRule="auto"/>
        <w:jc w:val="left"/>
      </w:pPr>
    </w:p>
    <w:p w14:paraId="20871207" w14:textId="77777777" w:rsidR="003F0CEE" w:rsidRDefault="003F0CEE" w:rsidP="00A96CE4">
      <w:pPr>
        <w:spacing w:after="0" w:line="240" w:lineRule="auto"/>
        <w:jc w:val="left"/>
      </w:pPr>
    </w:p>
    <w:p w14:paraId="20871208" w14:textId="0269F860" w:rsidR="00174024" w:rsidRDefault="00174024">
      <w:pPr>
        <w:spacing w:after="0" w:line="240" w:lineRule="auto"/>
        <w:jc w:val="left"/>
      </w:pPr>
      <w:r>
        <w:br w:type="page"/>
      </w:r>
    </w:p>
    <w:p w14:paraId="2087120F" w14:textId="77777777" w:rsidR="003F0CEE" w:rsidRPr="00762F6A" w:rsidRDefault="003F0CEE" w:rsidP="003F0CEE">
      <w:pPr>
        <w:pStyle w:val="Heading3"/>
      </w:pPr>
      <w:bookmarkStart w:id="28" w:name="_Toc406673242"/>
      <w:r w:rsidRPr="00762F6A">
        <w:lastRenderedPageBreak/>
        <w:t>Tax expenditures based on revenue gain approach</w:t>
      </w:r>
      <w:bookmarkEnd w:id="28"/>
    </w:p>
    <w:tbl>
      <w:tblPr>
        <w:tblW w:w="7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816"/>
        <w:gridCol w:w="816"/>
        <w:gridCol w:w="815"/>
        <w:gridCol w:w="815"/>
        <w:gridCol w:w="815"/>
        <w:gridCol w:w="815"/>
        <w:gridCol w:w="815"/>
        <w:gridCol w:w="887"/>
      </w:tblGrid>
      <w:tr w:rsidR="003F0CEE" w:rsidRPr="00762F6A" w14:paraId="20871211" w14:textId="77777777" w:rsidTr="003F0CEE">
        <w:trPr>
          <w:tblHeader/>
        </w:trPr>
        <w:tc>
          <w:tcPr>
            <w:tcW w:w="7727" w:type="dxa"/>
            <w:gridSpan w:val="9"/>
            <w:tcBorders>
              <w:top w:val="single" w:sz="2" w:space="0" w:color="000000"/>
              <w:left w:val="nil"/>
              <w:bottom w:val="single" w:sz="2" w:space="0" w:color="000000"/>
              <w:right w:val="nil"/>
            </w:tcBorders>
            <w:shd w:val="clear" w:color="auto" w:fill="E6E6E6"/>
          </w:tcPr>
          <w:p w14:paraId="20871210" w14:textId="77777777" w:rsidR="003F0CEE" w:rsidRPr="00762F6A" w:rsidRDefault="003F0CEE" w:rsidP="00037890">
            <w:pPr>
              <w:pStyle w:val="TableColumnHeadingLeft"/>
              <w:spacing w:before="60" w:after="60"/>
            </w:pPr>
            <w:r w:rsidRPr="00762F6A">
              <w:t>C</w:t>
            </w:r>
            <w:r w:rsidR="00037890">
              <w:t>2</w:t>
            </w:r>
            <w:r w:rsidRPr="00762F6A">
              <w:t>: Concessional taxation of employer superannuation contributions</w:t>
            </w:r>
          </w:p>
        </w:tc>
      </w:tr>
      <w:tr w:rsidR="003F0CEE" w:rsidRPr="00762F6A" w14:paraId="20871215" w14:textId="77777777" w:rsidTr="003F0CEE">
        <w:trPr>
          <w:tblHeader/>
        </w:trPr>
        <w:tc>
          <w:tcPr>
            <w:tcW w:w="1133" w:type="dxa"/>
            <w:vMerge w:val="restart"/>
            <w:tcBorders>
              <w:top w:val="single" w:sz="2" w:space="0" w:color="000000"/>
              <w:left w:val="nil"/>
              <w:bottom w:val="nil"/>
              <w:right w:val="nil"/>
            </w:tcBorders>
          </w:tcPr>
          <w:p w14:paraId="20871212" w14:textId="77777777" w:rsidR="003F0CEE" w:rsidRPr="00762F6A" w:rsidRDefault="003F0CEE" w:rsidP="003F0CEE">
            <w:pPr>
              <w:pStyle w:val="TableTextLeft"/>
              <w:spacing w:line="260" w:lineRule="exact"/>
              <w:jc w:val="both"/>
            </w:pPr>
            <w:r w:rsidRPr="00762F6A">
              <w:t>Estimates</w:t>
            </w:r>
          </w:p>
        </w:tc>
        <w:tc>
          <w:tcPr>
            <w:tcW w:w="3262" w:type="dxa"/>
            <w:gridSpan w:val="4"/>
            <w:tcBorders>
              <w:top w:val="single" w:sz="2" w:space="0" w:color="000000"/>
              <w:left w:val="nil"/>
              <w:bottom w:val="single" w:sz="2" w:space="0" w:color="000000"/>
              <w:right w:val="single" w:sz="2" w:space="0" w:color="000000"/>
            </w:tcBorders>
          </w:tcPr>
          <w:p w14:paraId="20871213" w14:textId="77777777" w:rsidR="003F0CEE" w:rsidRPr="00762F6A" w:rsidRDefault="003F0CEE" w:rsidP="003F0CEE">
            <w:pPr>
              <w:pStyle w:val="TableColumnHeadingLeft"/>
              <w:spacing w:line="260" w:lineRule="exact"/>
              <w:jc w:val="both"/>
            </w:pPr>
            <w:r w:rsidRPr="00762F6A">
              <w:t>Revenue forgone estimate ($m)</w:t>
            </w:r>
          </w:p>
        </w:tc>
        <w:tc>
          <w:tcPr>
            <w:tcW w:w="3332" w:type="dxa"/>
            <w:gridSpan w:val="4"/>
            <w:tcBorders>
              <w:top w:val="single" w:sz="2" w:space="0" w:color="000000"/>
              <w:left w:val="single" w:sz="2" w:space="0" w:color="000000"/>
              <w:bottom w:val="single" w:sz="2" w:space="0" w:color="000000"/>
              <w:right w:val="nil"/>
            </w:tcBorders>
          </w:tcPr>
          <w:p w14:paraId="20871214" w14:textId="77777777" w:rsidR="003F0CEE" w:rsidRPr="00762F6A" w:rsidRDefault="003F0CEE" w:rsidP="003F0CEE">
            <w:pPr>
              <w:pStyle w:val="TableColumnHeadingLeft"/>
              <w:spacing w:line="260" w:lineRule="exact"/>
              <w:jc w:val="both"/>
            </w:pPr>
            <w:r w:rsidRPr="00762F6A">
              <w:t>Revenue gain estimate ($m)</w:t>
            </w:r>
          </w:p>
        </w:tc>
      </w:tr>
      <w:tr w:rsidR="003F0CEE" w:rsidRPr="00762F6A" w14:paraId="2087121F" w14:textId="77777777" w:rsidTr="003F0CEE">
        <w:trPr>
          <w:trHeight w:val="249"/>
          <w:tblHeader/>
        </w:trPr>
        <w:tc>
          <w:tcPr>
            <w:tcW w:w="1133" w:type="dxa"/>
            <w:vMerge/>
            <w:tcBorders>
              <w:top w:val="nil"/>
              <w:left w:val="nil"/>
              <w:bottom w:val="nil"/>
              <w:right w:val="nil"/>
            </w:tcBorders>
          </w:tcPr>
          <w:p w14:paraId="20871216" w14:textId="77777777" w:rsidR="003F0CEE" w:rsidRPr="00762F6A" w:rsidRDefault="003F0CEE" w:rsidP="003F0CEE">
            <w:pPr>
              <w:pStyle w:val="TableTextLeft"/>
              <w:spacing w:line="260" w:lineRule="exact"/>
              <w:jc w:val="both"/>
              <w:rPr>
                <w:highlight w:val="yellow"/>
              </w:rPr>
            </w:pPr>
          </w:p>
        </w:tc>
        <w:tc>
          <w:tcPr>
            <w:tcW w:w="816" w:type="dxa"/>
            <w:tcBorders>
              <w:top w:val="single" w:sz="2" w:space="0" w:color="000000"/>
              <w:left w:val="nil"/>
              <w:bottom w:val="single" w:sz="2" w:space="0" w:color="000000"/>
              <w:right w:val="single" w:sz="2" w:space="0" w:color="000000"/>
            </w:tcBorders>
            <w:vAlign w:val="bottom"/>
          </w:tcPr>
          <w:p w14:paraId="20871217" w14:textId="77777777" w:rsidR="003F0CEE" w:rsidRPr="00762F6A" w:rsidRDefault="003F0CEE" w:rsidP="00C11FD2">
            <w:pPr>
              <w:pStyle w:val="TableColumnHeadingCentred"/>
              <w:spacing w:line="260" w:lineRule="exact"/>
            </w:pPr>
            <w:r w:rsidRPr="00762F6A">
              <w:rPr>
                <w:rFonts w:cs="Arial"/>
                <w:bCs/>
                <w:szCs w:val="16"/>
              </w:rPr>
              <w:t>2016</w:t>
            </w:r>
            <w:r w:rsidRPr="00762F6A">
              <w:rPr>
                <w:rFonts w:cs="Arial"/>
                <w:bCs/>
                <w:szCs w:val="16"/>
              </w:rPr>
              <w:noBreakHyphen/>
              <w:t>17</w:t>
            </w:r>
          </w:p>
        </w:tc>
        <w:tc>
          <w:tcPr>
            <w:tcW w:w="816" w:type="dxa"/>
            <w:tcBorders>
              <w:top w:val="single" w:sz="2" w:space="0" w:color="000000"/>
              <w:left w:val="single" w:sz="2" w:space="0" w:color="000000"/>
              <w:bottom w:val="single" w:sz="2" w:space="0" w:color="000000"/>
              <w:right w:val="single" w:sz="2" w:space="0" w:color="000000"/>
            </w:tcBorders>
            <w:vAlign w:val="bottom"/>
          </w:tcPr>
          <w:p w14:paraId="20871218" w14:textId="77777777" w:rsidR="003F0CEE" w:rsidRPr="00762F6A" w:rsidRDefault="003F0CEE" w:rsidP="00C11FD2">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19" w14:textId="77777777" w:rsidR="003F0CEE" w:rsidRPr="00762F6A" w:rsidRDefault="003F0CEE" w:rsidP="00C11FD2">
            <w:pPr>
              <w:pStyle w:val="TableColumnHeadingCentred"/>
              <w:spacing w:line="260" w:lineRule="exact"/>
            </w:pPr>
            <w:r w:rsidRPr="00762F6A">
              <w:t>2018</w:t>
            </w:r>
            <w:r w:rsidRPr="00762F6A">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1A" w14:textId="77777777" w:rsidR="003F0CEE" w:rsidRPr="00762F6A" w:rsidRDefault="003F0CEE" w:rsidP="00C11FD2">
            <w:pPr>
              <w:pStyle w:val="TableColumnHeadingCentred"/>
              <w:spacing w:line="260" w:lineRule="exact"/>
            </w:pPr>
            <w:r w:rsidRPr="00762F6A">
              <w:t>201</w:t>
            </w:r>
            <w:r>
              <w:t>9</w:t>
            </w:r>
            <w:r w:rsidRPr="00762F6A">
              <w:noBreakHyphen/>
            </w:r>
            <w:r>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1B" w14:textId="77777777" w:rsidR="003F0CEE" w:rsidRPr="00762F6A" w:rsidRDefault="003F0CEE" w:rsidP="00C11FD2">
            <w:pPr>
              <w:pStyle w:val="TableColumnHeadingCentred"/>
              <w:spacing w:line="260" w:lineRule="exact"/>
            </w:pPr>
            <w:r w:rsidRPr="00762F6A">
              <w:rPr>
                <w:rFonts w:cs="Arial"/>
                <w:bCs/>
                <w:szCs w:val="16"/>
              </w:rPr>
              <w:t>2016</w:t>
            </w:r>
            <w:r w:rsidRPr="00762F6A">
              <w:rPr>
                <w:rFonts w:cs="Arial"/>
                <w:bCs/>
                <w:szCs w:val="16"/>
              </w:rPr>
              <w:noBreakHyphen/>
              <w:t>17</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1C" w14:textId="77777777" w:rsidR="003F0CEE" w:rsidRPr="00762F6A" w:rsidRDefault="003F0CEE" w:rsidP="00C11FD2">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1D" w14:textId="77777777" w:rsidR="003F0CEE" w:rsidRPr="00762F6A" w:rsidRDefault="003F0CEE" w:rsidP="00C11FD2">
            <w:pPr>
              <w:pStyle w:val="TableColumnHeadingCentred"/>
              <w:spacing w:line="260" w:lineRule="exact"/>
            </w:pPr>
            <w:r w:rsidRPr="00762F6A">
              <w:t>2018</w:t>
            </w:r>
            <w:r w:rsidRPr="00762F6A">
              <w:noBreakHyphen/>
              <w:t>19</w:t>
            </w:r>
          </w:p>
        </w:tc>
        <w:tc>
          <w:tcPr>
            <w:tcW w:w="887" w:type="dxa"/>
            <w:tcBorders>
              <w:top w:val="single" w:sz="2" w:space="0" w:color="000000"/>
              <w:left w:val="single" w:sz="2" w:space="0" w:color="000000"/>
              <w:bottom w:val="single" w:sz="2" w:space="0" w:color="000000"/>
              <w:right w:val="nil"/>
            </w:tcBorders>
            <w:vAlign w:val="bottom"/>
          </w:tcPr>
          <w:p w14:paraId="2087121E" w14:textId="77777777" w:rsidR="003F0CEE" w:rsidRPr="00762F6A" w:rsidRDefault="003F0CEE" w:rsidP="00C11FD2">
            <w:pPr>
              <w:pStyle w:val="TableColumnHeadingCentred"/>
              <w:spacing w:line="260" w:lineRule="exact"/>
            </w:pPr>
            <w:r w:rsidRPr="00762F6A">
              <w:t>201</w:t>
            </w:r>
            <w:r>
              <w:t>9</w:t>
            </w:r>
            <w:r w:rsidRPr="00762F6A">
              <w:noBreakHyphen/>
            </w:r>
            <w:r>
              <w:t>20</w:t>
            </w:r>
          </w:p>
        </w:tc>
      </w:tr>
      <w:tr w:rsidR="003A466A" w:rsidRPr="003E7865" w14:paraId="20871229" w14:textId="77777777" w:rsidTr="003A466A">
        <w:tc>
          <w:tcPr>
            <w:tcW w:w="1133" w:type="dxa"/>
            <w:tcBorders>
              <w:top w:val="nil"/>
              <w:left w:val="nil"/>
              <w:bottom w:val="single" w:sz="2" w:space="0" w:color="000000"/>
              <w:right w:val="nil"/>
            </w:tcBorders>
          </w:tcPr>
          <w:p w14:paraId="20871220" w14:textId="77777777" w:rsidR="003A466A" w:rsidRPr="00762F6A" w:rsidRDefault="003A466A" w:rsidP="003F0CEE">
            <w:pPr>
              <w:spacing w:before="20" w:after="20"/>
              <w:rPr>
                <w:highlight w:val="yellow"/>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20871221" w14:textId="77777777" w:rsidR="003A466A" w:rsidRPr="00D6605C" w:rsidRDefault="003A466A" w:rsidP="00C11FD2">
            <w:pPr>
              <w:spacing w:after="20"/>
              <w:jc w:val="center"/>
              <w:rPr>
                <w:rFonts w:ascii="Arial" w:hAnsi="Arial" w:cs="Arial"/>
                <w:color w:val="000000"/>
                <w:sz w:val="16"/>
                <w:szCs w:val="16"/>
              </w:rPr>
            </w:pPr>
            <w:r w:rsidRPr="00D6605C">
              <w:rPr>
                <w:rFonts w:ascii="Arial" w:hAnsi="Arial" w:cs="Arial"/>
                <w:color w:val="000000"/>
                <w:sz w:val="16"/>
                <w:szCs w:val="16"/>
              </w:rPr>
              <w:t>16,250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22" w14:textId="77777777" w:rsidR="003A466A" w:rsidRPr="00D6605C" w:rsidRDefault="003A466A" w:rsidP="00C11FD2">
            <w:pPr>
              <w:spacing w:after="20"/>
              <w:jc w:val="center"/>
              <w:rPr>
                <w:rFonts w:ascii="Arial" w:hAnsi="Arial" w:cs="Arial"/>
                <w:color w:val="000000"/>
                <w:sz w:val="16"/>
                <w:szCs w:val="16"/>
              </w:rPr>
            </w:pPr>
            <w:r w:rsidRPr="00D6605C">
              <w:rPr>
                <w:rFonts w:ascii="Arial" w:hAnsi="Arial" w:cs="Arial"/>
                <w:color w:val="000000"/>
                <w:sz w:val="16"/>
                <w:szCs w:val="16"/>
              </w:rPr>
              <w:t>16,200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23" w14:textId="77777777" w:rsidR="003A466A" w:rsidRPr="00D6605C" w:rsidRDefault="003A466A" w:rsidP="00C11FD2">
            <w:pPr>
              <w:spacing w:after="20"/>
              <w:jc w:val="center"/>
              <w:rPr>
                <w:rFonts w:ascii="Arial" w:hAnsi="Arial" w:cs="Arial"/>
                <w:color w:val="000000"/>
                <w:sz w:val="16"/>
                <w:szCs w:val="16"/>
              </w:rPr>
            </w:pPr>
            <w:r w:rsidRPr="00D6605C">
              <w:rPr>
                <w:rFonts w:ascii="Arial" w:hAnsi="Arial" w:cs="Arial"/>
                <w:color w:val="000000"/>
                <w:sz w:val="16"/>
                <w:szCs w:val="16"/>
              </w:rPr>
              <w:t>17,800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24" w14:textId="77777777" w:rsidR="003A466A" w:rsidRPr="00D6605C" w:rsidRDefault="003A466A" w:rsidP="00C11FD2">
            <w:pPr>
              <w:spacing w:after="20"/>
              <w:jc w:val="center"/>
              <w:rPr>
                <w:rFonts w:ascii="Arial" w:hAnsi="Arial" w:cs="Arial"/>
                <w:color w:val="000000"/>
                <w:sz w:val="16"/>
                <w:szCs w:val="16"/>
              </w:rPr>
            </w:pPr>
            <w:r w:rsidRPr="00D6605C">
              <w:rPr>
                <w:rFonts w:ascii="Arial" w:hAnsi="Arial" w:cs="Arial"/>
                <w:color w:val="000000"/>
                <w:sz w:val="16"/>
                <w:szCs w:val="16"/>
              </w:rPr>
              <w:t>18,800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25" w14:textId="77777777" w:rsidR="003A466A" w:rsidRPr="00D6605C" w:rsidRDefault="003A466A" w:rsidP="00C11FD2">
            <w:pPr>
              <w:spacing w:after="20"/>
              <w:jc w:val="center"/>
              <w:rPr>
                <w:rFonts w:ascii="Arial" w:hAnsi="Arial" w:cs="Arial"/>
                <w:color w:val="000000"/>
                <w:sz w:val="16"/>
                <w:szCs w:val="16"/>
              </w:rPr>
            </w:pPr>
            <w:r w:rsidRPr="00D6605C">
              <w:rPr>
                <w:rFonts w:ascii="Arial" w:hAnsi="Arial" w:cs="Arial"/>
                <w:color w:val="000000"/>
                <w:sz w:val="16"/>
                <w:szCs w:val="16"/>
              </w:rPr>
              <w:t>15,600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26" w14:textId="77777777" w:rsidR="003A466A" w:rsidRPr="00D6605C" w:rsidRDefault="003A466A" w:rsidP="00C11FD2">
            <w:pPr>
              <w:spacing w:after="20"/>
              <w:jc w:val="center"/>
              <w:rPr>
                <w:rFonts w:ascii="Arial" w:hAnsi="Arial" w:cs="Arial"/>
                <w:color w:val="000000"/>
                <w:sz w:val="16"/>
                <w:szCs w:val="16"/>
              </w:rPr>
            </w:pPr>
            <w:r w:rsidRPr="00D6605C">
              <w:rPr>
                <w:rFonts w:ascii="Arial" w:hAnsi="Arial" w:cs="Arial"/>
                <w:color w:val="000000"/>
                <w:sz w:val="16"/>
                <w:szCs w:val="16"/>
              </w:rPr>
              <w:t>15,500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27" w14:textId="77777777" w:rsidR="003A466A" w:rsidRPr="00D6605C" w:rsidRDefault="003A466A" w:rsidP="00C11FD2">
            <w:pPr>
              <w:spacing w:after="20"/>
              <w:jc w:val="center"/>
              <w:rPr>
                <w:rFonts w:ascii="Arial" w:hAnsi="Arial" w:cs="Arial"/>
                <w:color w:val="000000"/>
                <w:sz w:val="16"/>
                <w:szCs w:val="16"/>
              </w:rPr>
            </w:pPr>
            <w:r w:rsidRPr="00D6605C">
              <w:rPr>
                <w:rFonts w:ascii="Arial" w:hAnsi="Arial" w:cs="Arial"/>
                <w:color w:val="000000"/>
                <w:sz w:val="16"/>
                <w:szCs w:val="16"/>
              </w:rPr>
              <w:t>17,050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20871228" w14:textId="77777777" w:rsidR="003A466A" w:rsidRPr="00D6605C" w:rsidRDefault="003A466A" w:rsidP="00C11FD2">
            <w:pPr>
              <w:spacing w:after="20"/>
              <w:jc w:val="center"/>
              <w:rPr>
                <w:rFonts w:ascii="Arial" w:hAnsi="Arial" w:cs="Arial"/>
                <w:color w:val="000000"/>
                <w:sz w:val="16"/>
                <w:szCs w:val="16"/>
              </w:rPr>
            </w:pPr>
            <w:r w:rsidRPr="00D6605C">
              <w:rPr>
                <w:rFonts w:ascii="Arial" w:hAnsi="Arial" w:cs="Arial"/>
                <w:color w:val="000000"/>
                <w:sz w:val="16"/>
                <w:szCs w:val="16"/>
              </w:rPr>
              <w:t>18,050</w:t>
            </w:r>
          </w:p>
        </w:tc>
      </w:tr>
      <w:tr w:rsidR="003F0CEE" w:rsidRPr="00762F6A" w14:paraId="2087122C" w14:textId="77777777" w:rsidTr="003F0CEE">
        <w:tc>
          <w:tcPr>
            <w:tcW w:w="1133" w:type="dxa"/>
            <w:tcBorders>
              <w:top w:val="single" w:sz="2" w:space="0" w:color="000000"/>
              <w:left w:val="nil"/>
              <w:bottom w:val="single" w:sz="2" w:space="0" w:color="000000"/>
              <w:right w:val="nil"/>
            </w:tcBorders>
          </w:tcPr>
          <w:p w14:paraId="2087122A" w14:textId="77777777" w:rsidR="003F0CEE" w:rsidRPr="00762F6A" w:rsidRDefault="003F0CEE" w:rsidP="003F0CEE">
            <w:pPr>
              <w:pStyle w:val="TableTextLeft"/>
              <w:spacing w:before="80" w:after="80"/>
            </w:pPr>
            <w:r w:rsidRPr="00762F6A">
              <w:t>Reason for difference</w:t>
            </w:r>
          </w:p>
        </w:tc>
        <w:tc>
          <w:tcPr>
            <w:tcW w:w="6594" w:type="dxa"/>
            <w:gridSpan w:val="8"/>
            <w:tcBorders>
              <w:top w:val="single" w:sz="2" w:space="0" w:color="000000"/>
              <w:left w:val="nil"/>
              <w:bottom w:val="single" w:sz="2" w:space="0" w:color="000000"/>
              <w:right w:val="nil"/>
            </w:tcBorders>
          </w:tcPr>
          <w:p w14:paraId="2087122B" w14:textId="1CEFFED6" w:rsidR="003F0CEE" w:rsidRPr="00762F6A" w:rsidRDefault="003F0CEE" w:rsidP="00273604">
            <w:pPr>
              <w:pStyle w:val="TableTextLeft"/>
              <w:spacing w:before="80" w:after="80"/>
              <w:jc w:val="both"/>
            </w:pPr>
            <w:r w:rsidRPr="00762F6A">
              <w:t>Broadly, the revenue gain approach yields a lower estimate of the tax expenditure because it incorporates a likely behavioural response, with removal of the concessional taxation of superannuation leading to reduced superannuation contributions. It is assumed that the Superannuation Guarantee remains and therefore compulsory contributions continue. Voluntary contributions are assumed to be directed to alternative tax</w:t>
            </w:r>
            <w:r w:rsidR="00273604">
              <w:t>-</w:t>
            </w:r>
            <w:r w:rsidRPr="00762F6A">
              <w:t xml:space="preserve">preferred investments. </w:t>
            </w:r>
          </w:p>
        </w:tc>
      </w:tr>
      <w:tr w:rsidR="003F0CEE" w:rsidRPr="00762F6A" w14:paraId="2087122E" w14:textId="77777777" w:rsidTr="003F0CEE">
        <w:tc>
          <w:tcPr>
            <w:tcW w:w="7727" w:type="dxa"/>
            <w:gridSpan w:val="9"/>
            <w:tcBorders>
              <w:top w:val="single" w:sz="2" w:space="0" w:color="000000"/>
              <w:left w:val="nil"/>
              <w:bottom w:val="single" w:sz="2" w:space="0" w:color="000000"/>
              <w:right w:val="nil"/>
            </w:tcBorders>
            <w:shd w:val="clear" w:color="auto" w:fill="E6E6E6"/>
          </w:tcPr>
          <w:p w14:paraId="2087122D" w14:textId="77777777" w:rsidR="003F0CEE" w:rsidRPr="00762F6A" w:rsidRDefault="003F0CEE" w:rsidP="00037890">
            <w:pPr>
              <w:pStyle w:val="TableColumnHeadingLeft"/>
              <w:spacing w:before="60" w:after="60"/>
            </w:pPr>
            <w:r w:rsidRPr="00762F6A">
              <w:t>C</w:t>
            </w:r>
            <w:r w:rsidR="00037890">
              <w:t>4</w:t>
            </w:r>
            <w:r w:rsidRPr="00762F6A">
              <w:t>: Concessional taxation of superannuation entity earnings</w:t>
            </w:r>
          </w:p>
        </w:tc>
      </w:tr>
      <w:tr w:rsidR="003F0CEE" w:rsidRPr="00762F6A" w14:paraId="20871232" w14:textId="77777777" w:rsidTr="003F0CEE">
        <w:tc>
          <w:tcPr>
            <w:tcW w:w="1133" w:type="dxa"/>
            <w:vMerge w:val="restart"/>
            <w:tcBorders>
              <w:top w:val="single" w:sz="2" w:space="0" w:color="000000"/>
              <w:left w:val="nil"/>
              <w:bottom w:val="nil"/>
              <w:right w:val="nil"/>
            </w:tcBorders>
          </w:tcPr>
          <w:p w14:paraId="2087122F" w14:textId="77777777" w:rsidR="003F0CEE" w:rsidRPr="00762F6A" w:rsidRDefault="003F0CEE" w:rsidP="003F0CEE">
            <w:pPr>
              <w:pStyle w:val="TableTextLeft"/>
              <w:spacing w:line="260" w:lineRule="exact"/>
              <w:jc w:val="both"/>
            </w:pPr>
            <w:r w:rsidRPr="00762F6A">
              <w:t>Estimates</w:t>
            </w:r>
          </w:p>
        </w:tc>
        <w:tc>
          <w:tcPr>
            <w:tcW w:w="3262" w:type="dxa"/>
            <w:gridSpan w:val="4"/>
            <w:tcBorders>
              <w:top w:val="single" w:sz="2" w:space="0" w:color="000000"/>
              <w:left w:val="nil"/>
              <w:bottom w:val="single" w:sz="2" w:space="0" w:color="000000"/>
              <w:right w:val="single" w:sz="2" w:space="0" w:color="000000"/>
            </w:tcBorders>
          </w:tcPr>
          <w:p w14:paraId="20871230" w14:textId="77777777" w:rsidR="003F0CEE" w:rsidRPr="00762F6A" w:rsidRDefault="003F0CEE" w:rsidP="003F0CEE">
            <w:pPr>
              <w:pStyle w:val="TableColumnHeadingLeft"/>
              <w:spacing w:line="260" w:lineRule="exact"/>
              <w:jc w:val="both"/>
            </w:pPr>
            <w:r w:rsidRPr="00762F6A">
              <w:t>Revenue forgone estimate ($m)</w:t>
            </w:r>
          </w:p>
        </w:tc>
        <w:tc>
          <w:tcPr>
            <w:tcW w:w="3332" w:type="dxa"/>
            <w:gridSpan w:val="4"/>
            <w:tcBorders>
              <w:top w:val="single" w:sz="2" w:space="0" w:color="000000"/>
              <w:left w:val="single" w:sz="2" w:space="0" w:color="000000"/>
              <w:bottom w:val="single" w:sz="2" w:space="0" w:color="000000"/>
              <w:right w:val="nil"/>
            </w:tcBorders>
          </w:tcPr>
          <w:p w14:paraId="20871231" w14:textId="77777777" w:rsidR="003F0CEE" w:rsidRPr="00762F6A" w:rsidRDefault="003F0CEE" w:rsidP="003F0CEE">
            <w:pPr>
              <w:pStyle w:val="TableColumnHeadingLeft"/>
              <w:spacing w:line="260" w:lineRule="exact"/>
              <w:jc w:val="both"/>
            </w:pPr>
            <w:r w:rsidRPr="00762F6A">
              <w:t>Revenue gain estimate ($m)</w:t>
            </w:r>
          </w:p>
        </w:tc>
      </w:tr>
      <w:tr w:rsidR="003F0CEE" w:rsidRPr="00762F6A" w14:paraId="2087123C" w14:textId="77777777" w:rsidTr="003F0CEE">
        <w:trPr>
          <w:trHeight w:val="249"/>
        </w:trPr>
        <w:tc>
          <w:tcPr>
            <w:tcW w:w="1133" w:type="dxa"/>
            <w:vMerge/>
            <w:tcBorders>
              <w:top w:val="nil"/>
              <w:left w:val="nil"/>
              <w:bottom w:val="nil"/>
              <w:right w:val="nil"/>
            </w:tcBorders>
          </w:tcPr>
          <w:p w14:paraId="20871233" w14:textId="77777777" w:rsidR="003F0CEE" w:rsidRPr="00762F6A" w:rsidRDefault="003F0CEE" w:rsidP="003F0CEE">
            <w:pPr>
              <w:pStyle w:val="TableTextLeft"/>
              <w:spacing w:line="260" w:lineRule="exact"/>
              <w:jc w:val="both"/>
              <w:rPr>
                <w:highlight w:val="yellow"/>
              </w:rPr>
            </w:pPr>
          </w:p>
        </w:tc>
        <w:tc>
          <w:tcPr>
            <w:tcW w:w="816" w:type="dxa"/>
            <w:tcBorders>
              <w:top w:val="single" w:sz="2" w:space="0" w:color="000000"/>
              <w:left w:val="nil"/>
              <w:bottom w:val="single" w:sz="2" w:space="0" w:color="000000"/>
              <w:right w:val="single" w:sz="2" w:space="0" w:color="000000"/>
            </w:tcBorders>
            <w:vAlign w:val="bottom"/>
          </w:tcPr>
          <w:p w14:paraId="20871234"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6" w:type="dxa"/>
            <w:tcBorders>
              <w:top w:val="single" w:sz="2" w:space="0" w:color="000000"/>
              <w:left w:val="single" w:sz="2" w:space="0" w:color="000000"/>
              <w:bottom w:val="single" w:sz="2" w:space="0" w:color="000000"/>
              <w:right w:val="single" w:sz="2" w:space="0" w:color="000000"/>
            </w:tcBorders>
            <w:vAlign w:val="bottom"/>
          </w:tcPr>
          <w:p w14:paraId="20871235"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36" w14:textId="77777777" w:rsidR="003F0CEE" w:rsidRPr="00762F6A" w:rsidRDefault="003F0CEE" w:rsidP="003F0CEE">
            <w:pPr>
              <w:pStyle w:val="TableColumnHeadingCentred"/>
              <w:spacing w:line="260" w:lineRule="exact"/>
            </w:pPr>
            <w:r w:rsidRPr="00762F6A">
              <w:t>2018</w:t>
            </w:r>
            <w:r w:rsidRPr="00762F6A">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37" w14:textId="77777777" w:rsidR="003F0CEE" w:rsidRPr="00762F6A" w:rsidRDefault="003F0CEE" w:rsidP="003F0CEE">
            <w:pPr>
              <w:pStyle w:val="TableColumnHeadingCentred"/>
              <w:spacing w:line="260" w:lineRule="exact"/>
            </w:pPr>
            <w:r w:rsidRPr="00762F6A">
              <w:t>201</w:t>
            </w:r>
            <w:r>
              <w:t>9</w:t>
            </w:r>
            <w:r w:rsidRPr="00762F6A">
              <w:noBreakHyphen/>
            </w:r>
            <w:r>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38"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39"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3A" w14:textId="77777777" w:rsidR="003F0CEE" w:rsidRPr="00762F6A" w:rsidRDefault="003F0CEE" w:rsidP="003F0CEE">
            <w:pPr>
              <w:pStyle w:val="TableColumnHeadingCentred"/>
              <w:spacing w:line="260" w:lineRule="exact"/>
            </w:pPr>
            <w:r w:rsidRPr="00762F6A">
              <w:t>2018</w:t>
            </w:r>
            <w:r w:rsidRPr="00762F6A">
              <w:noBreakHyphen/>
              <w:t>19</w:t>
            </w:r>
          </w:p>
        </w:tc>
        <w:tc>
          <w:tcPr>
            <w:tcW w:w="887" w:type="dxa"/>
            <w:tcBorders>
              <w:top w:val="single" w:sz="2" w:space="0" w:color="000000"/>
              <w:left w:val="single" w:sz="2" w:space="0" w:color="000000"/>
              <w:bottom w:val="single" w:sz="2" w:space="0" w:color="000000"/>
              <w:right w:val="nil"/>
            </w:tcBorders>
            <w:vAlign w:val="bottom"/>
          </w:tcPr>
          <w:p w14:paraId="2087123B" w14:textId="77777777" w:rsidR="003F0CEE" w:rsidRPr="00762F6A" w:rsidRDefault="003F0CEE" w:rsidP="003F0CEE">
            <w:pPr>
              <w:pStyle w:val="TableColumnHeadingCentred"/>
              <w:spacing w:line="260" w:lineRule="exact"/>
            </w:pPr>
            <w:r w:rsidRPr="00762F6A">
              <w:t>201</w:t>
            </w:r>
            <w:r>
              <w:t>9</w:t>
            </w:r>
            <w:r w:rsidRPr="00762F6A">
              <w:noBreakHyphen/>
            </w:r>
            <w:r>
              <w:t>20</w:t>
            </w:r>
          </w:p>
        </w:tc>
      </w:tr>
      <w:tr w:rsidR="003F0CEE" w:rsidRPr="00762F6A" w14:paraId="20871246" w14:textId="77777777" w:rsidTr="0045679A">
        <w:tc>
          <w:tcPr>
            <w:tcW w:w="1133" w:type="dxa"/>
            <w:tcBorders>
              <w:top w:val="nil"/>
              <w:left w:val="nil"/>
              <w:bottom w:val="single" w:sz="2" w:space="0" w:color="000000"/>
              <w:right w:val="nil"/>
            </w:tcBorders>
          </w:tcPr>
          <w:p w14:paraId="2087123D" w14:textId="77777777" w:rsidR="003F0CEE" w:rsidRPr="00762F6A" w:rsidRDefault="003F0CEE" w:rsidP="003F0CEE">
            <w:pPr>
              <w:spacing w:before="20" w:after="20"/>
              <w:rPr>
                <w:highlight w:val="yellow"/>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2087123E" w14:textId="77777777" w:rsidR="003F0CEE" w:rsidRPr="00D6605C" w:rsidRDefault="001965EB" w:rsidP="003F0CEE">
            <w:pPr>
              <w:spacing w:after="20"/>
              <w:jc w:val="center"/>
              <w:rPr>
                <w:rFonts w:ascii="Arial" w:hAnsi="Arial" w:cs="Arial"/>
                <w:color w:val="000000"/>
                <w:sz w:val="16"/>
                <w:szCs w:val="16"/>
              </w:rPr>
            </w:pPr>
            <w:r w:rsidRPr="00D6605C">
              <w:rPr>
                <w:rFonts w:ascii="Arial" w:hAnsi="Arial" w:cs="Arial"/>
                <w:color w:val="000000"/>
                <w:sz w:val="16"/>
                <w:szCs w:val="16"/>
              </w:rPr>
              <w:t>16</w:t>
            </w:r>
            <w:r w:rsidR="00E05239" w:rsidRPr="00D6605C">
              <w:rPr>
                <w:rFonts w:ascii="Arial" w:hAnsi="Arial" w:cs="Arial"/>
                <w:color w:val="000000"/>
                <w:sz w:val="16"/>
                <w:szCs w:val="16"/>
              </w:rPr>
              <w:t>,</w:t>
            </w:r>
            <w:r w:rsidRPr="00D6605C">
              <w:rPr>
                <w:rFonts w:ascii="Arial" w:hAnsi="Arial" w:cs="Arial"/>
                <w:color w:val="000000"/>
                <w:sz w:val="16"/>
                <w:szCs w:val="16"/>
              </w:rPr>
              <w:t>850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3F" w14:textId="77777777" w:rsidR="003F0CEE" w:rsidRPr="00D6605C" w:rsidRDefault="001965EB" w:rsidP="003F0CEE">
            <w:pPr>
              <w:spacing w:after="20"/>
              <w:jc w:val="center"/>
              <w:rPr>
                <w:rFonts w:ascii="Arial" w:hAnsi="Arial" w:cs="Arial"/>
                <w:color w:val="000000"/>
                <w:sz w:val="16"/>
                <w:szCs w:val="16"/>
              </w:rPr>
            </w:pPr>
            <w:r w:rsidRPr="00D6605C">
              <w:rPr>
                <w:rFonts w:ascii="Arial" w:hAnsi="Arial" w:cs="Arial"/>
                <w:color w:val="000000"/>
                <w:sz w:val="16"/>
                <w:szCs w:val="16"/>
              </w:rPr>
              <w:t>17</w:t>
            </w:r>
            <w:r w:rsidR="00E05239" w:rsidRPr="00D6605C">
              <w:rPr>
                <w:rFonts w:ascii="Arial" w:hAnsi="Arial" w:cs="Arial"/>
                <w:color w:val="000000"/>
                <w:sz w:val="16"/>
                <w:szCs w:val="16"/>
              </w:rPr>
              <w:t>,</w:t>
            </w:r>
            <w:r w:rsidRPr="00D6605C">
              <w:rPr>
                <w:rFonts w:ascii="Arial" w:hAnsi="Arial" w:cs="Arial"/>
                <w:color w:val="000000"/>
                <w:sz w:val="16"/>
                <w:szCs w:val="16"/>
              </w:rPr>
              <w:t>700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40" w14:textId="77777777" w:rsidR="003F0CEE" w:rsidRPr="00D6605C" w:rsidRDefault="001965EB" w:rsidP="003F0CEE">
            <w:pPr>
              <w:spacing w:after="20"/>
              <w:jc w:val="center"/>
              <w:rPr>
                <w:rFonts w:ascii="Arial" w:hAnsi="Arial" w:cs="Arial"/>
                <w:color w:val="000000"/>
                <w:sz w:val="16"/>
                <w:szCs w:val="16"/>
              </w:rPr>
            </w:pPr>
            <w:r w:rsidRPr="00D6605C">
              <w:rPr>
                <w:rFonts w:ascii="Arial" w:hAnsi="Arial" w:cs="Arial"/>
                <w:color w:val="000000"/>
                <w:sz w:val="16"/>
                <w:szCs w:val="16"/>
              </w:rPr>
              <w:t>20</w:t>
            </w:r>
            <w:r w:rsidR="00E05239" w:rsidRPr="00D6605C">
              <w:rPr>
                <w:rFonts w:ascii="Arial" w:hAnsi="Arial" w:cs="Arial"/>
                <w:color w:val="000000"/>
                <w:sz w:val="16"/>
                <w:szCs w:val="16"/>
              </w:rPr>
              <w:t>,</w:t>
            </w:r>
            <w:r w:rsidRPr="00D6605C">
              <w:rPr>
                <w:rFonts w:ascii="Arial" w:hAnsi="Arial" w:cs="Arial"/>
                <w:color w:val="000000"/>
                <w:sz w:val="16"/>
                <w:szCs w:val="16"/>
              </w:rPr>
              <w:t>650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41" w14:textId="77777777" w:rsidR="003F0CEE" w:rsidRPr="00D6605C" w:rsidRDefault="001965EB" w:rsidP="003F0CEE">
            <w:pPr>
              <w:spacing w:after="20"/>
              <w:jc w:val="center"/>
              <w:rPr>
                <w:rFonts w:ascii="Arial" w:hAnsi="Arial" w:cs="Arial"/>
                <w:color w:val="000000"/>
                <w:sz w:val="16"/>
                <w:szCs w:val="16"/>
              </w:rPr>
            </w:pPr>
            <w:r w:rsidRPr="00D6605C">
              <w:rPr>
                <w:rFonts w:ascii="Arial" w:hAnsi="Arial" w:cs="Arial"/>
                <w:color w:val="000000"/>
                <w:sz w:val="16"/>
                <w:szCs w:val="16"/>
              </w:rPr>
              <w:t>24</w:t>
            </w:r>
            <w:r w:rsidR="00E05239" w:rsidRPr="00D6605C">
              <w:rPr>
                <w:rFonts w:ascii="Arial" w:hAnsi="Arial" w:cs="Arial"/>
                <w:color w:val="000000"/>
                <w:sz w:val="16"/>
                <w:szCs w:val="16"/>
              </w:rPr>
              <w:t>,</w:t>
            </w:r>
            <w:r w:rsidRPr="00D6605C">
              <w:rPr>
                <w:rFonts w:ascii="Arial" w:hAnsi="Arial" w:cs="Arial"/>
                <w:color w:val="000000"/>
                <w:sz w:val="16"/>
                <w:szCs w:val="16"/>
              </w:rPr>
              <w:t>050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42" w14:textId="05C03295" w:rsidR="003F0CEE" w:rsidRPr="00D6605C" w:rsidRDefault="00D6605C" w:rsidP="003F0CEE">
            <w:pPr>
              <w:spacing w:after="20"/>
              <w:jc w:val="center"/>
              <w:rPr>
                <w:rFonts w:ascii="Arial" w:hAnsi="Arial" w:cs="Arial"/>
                <w:color w:val="000000"/>
                <w:sz w:val="16"/>
                <w:szCs w:val="16"/>
              </w:rPr>
            </w:pPr>
            <w:r w:rsidRPr="00D6605C">
              <w:rPr>
                <w:rFonts w:ascii="Arial" w:hAnsi="Arial" w:cs="Arial"/>
                <w:color w:val="000000"/>
                <w:sz w:val="16"/>
                <w:szCs w:val="16"/>
              </w:rPr>
              <w:t>15,750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43" w14:textId="39612B03" w:rsidR="003F0CEE" w:rsidRPr="00D6605C" w:rsidRDefault="00D6605C" w:rsidP="003F0CEE">
            <w:pPr>
              <w:spacing w:after="20"/>
              <w:jc w:val="center"/>
              <w:rPr>
                <w:rFonts w:ascii="Arial" w:hAnsi="Arial" w:cs="Arial"/>
                <w:color w:val="000000"/>
                <w:sz w:val="16"/>
                <w:szCs w:val="16"/>
              </w:rPr>
            </w:pPr>
            <w:r w:rsidRPr="00D6605C">
              <w:rPr>
                <w:rFonts w:ascii="Arial" w:hAnsi="Arial" w:cs="Arial"/>
                <w:color w:val="000000"/>
                <w:sz w:val="16"/>
                <w:szCs w:val="16"/>
              </w:rPr>
              <w:t>15,800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44" w14:textId="5FBBE45C" w:rsidR="003F0CEE" w:rsidRPr="00D6605C" w:rsidRDefault="00D6605C" w:rsidP="003F0CEE">
            <w:pPr>
              <w:spacing w:after="20"/>
              <w:jc w:val="center"/>
              <w:rPr>
                <w:rFonts w:ascii="Arial" w:hAnsi="Arial" w:cs="Arial"/>
                <w:color w:val="000000"/>
                <w:sz w:val="16"/>
                <w:szCs w:val="16"/>
              </w:rPr>
            </w:pPr>
            <w:r w:rsidRPr="00D6605C">
              <w:rPr>
                <w:rFonts w:ascii="Arial" w:hAnsi="Arial" w:cs="Arial"/>
                <w:color w:val="000000"/>
                <w:sz w:val="16"/>
                <w:szCs w:val="16"/>
              </w:rPr>
              <w:t>18,200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20871245" w14:textId="46348832" w:rsidR="003F0CEE" w:rsidRPr="00D6605C" w:rsidRDefault="00D6605C" w:rsidP="003F0CEE">
            <w:pPr>
              <w:spacing w:after="20"/>
              <w:jc w:val="center"/>
              <w:rPr>
                <w:rFonts w:ascii="Arial" w:hAnsi="Arial" w:cs="Arial"/>
                <w:color w:val="000000"/>
                <w:sz w:val="16"/>
                <w:szCs w:val="16"/>
              </w:rPr>
            </w:pPr>
            <w:r w:rsidRPr="00D6605C">
              <w:rPr>
                <w:rFonts w:ascii="Arial" w:hAnsi="Arial" w:cs="Arial"/>
                <w:color w:val="000000"/>
                <w:sz w:val="16"/>
                <w:szCs w:val="16"/>
              </w:rPr>
              <w:t>21,100</w:t>
            </w:r>
          </w:p>
        </w:tc>
      </w:tr>
      <w:tr w:rsidR="003F0CEE" w:rsidRPr="00762F6A" w14:paraId="20871249" w14:textId="77777777" w:rsidTr="003F0CEE">
        <w:tc>
          <w:tcPr>
            <w:tcW w:w="1133" w:type="dxa"/>
            <w:tcBorders>
              <w:top w:val="single" w:sz="2" w:space="0" w:color="000000"/>
              <w:left w:val="nil"/>
              <w:bottom w:val="single" w:sz="2" w:space="0" w:color="000000"/>
              <w:right w:val="nil"/>
            </w:tcBorders>
          </w:tcPr>
          <w:p w14:paraId="20871247" w14:textId="77777777" w:rsidR="003F0CEE" w:rsidRPr="00762F6A" w:rsidRDefault="003F0CEE" w:rsidP="003F0CEE">
            <w:pPr>
              <w:pStyle w:val="TableTextLeft"/>
              <w:spacing w:before="80" w:after="80"/>
            </w:pPr>
            <w:r w:rsidRPr="00762F6A">
              <w:t>Reason for difference</w:t>
            </w:r>
          </w:p>
        </w:tc>
        <w:tc>
          <w:tcPr>
            <w:tcW w:w="6594" w:type="dxa"/>
            <w:gridSpan w:val="8"/>
            <w:tcBorders>
              <w:top w:val="single" w:sz="2" w:space="0" w:color="000000"/>
              <w:left w:val="nil"/>
              <w:bottom w:val="single" w:sz="2" w:space="0" w:color="000000"/>
              <w:right w:val="nil"/>
            </w:tcBorders>
          </w:tcPr>
          <w:p w14:paraId="20871248" w14:textId="1E915CCC" w:rsidR="003F0CEE" w:rsidRPr="00762F6A" w:rsidRDefault="00691ED7" w:rsidP="00691ED7">
            <w:pPr>
              <w:pStyle w:val="TableTextLeft"/>
              <w:spacing w:before="80" w:after="80"/>
              <w:jc w:val="both"/>
            </w:pPr>
            <w:r w:rsidRPr="00691ED7">
              <w:t>Broadly, the revenue gain approach yields a lower estimate of the tax expenditure because it incorporates a likely behavioural response, with removal of the concessional taxation of both superannuation contributions and earnings leading to reduced superannuation contributions (and lower balances). It is assumed current preservation rules remain. In the accumulation phase, voluntary concessional contributions are assumed to cease (as in C</w:t>
            </w:r>
            <w:r>
              <w:t>2</w:t>
            </w:r>
            <w:r w:rsidRPr="00691ED7">
              <w:t>) and most non concessional contributions also cease after the start date. Over time this reduces the superannuation asset base and thus the revenue gain on withdrawing the earnings tax concession. Additionally, a significant proportion of funds in the retirement phase (not preserved) are withdrawn. Because of other tax concessions for older Australians (particularly the Seniors and Pensioners Tax Offset), the funds withdrawn attract minimal tax in the new investments chosen.</w:t>
            </w:r>
          </w:p>
        </w:tc>
      </w:tr>
      <w:tr w:rsidR="003F0CEE" w:rsidRPr="00762F6A" w14:paraId="2087124B" w14:textId="77777777" w:rsidTr="003F0CEE">
        <w:tc>
          <w:tcPr>
            <w:tcW w:w="7727" w:type="dxa"/>
            <w:gridSpan w:val="9"/>
            <w:tcBorders>
              <w:top w:val="single" w:sz="2" w:space="0" w:color="000000"/>
              <w:left w:val="nil"/>
              <w:bottom w:val="single" w:sz="2" w:space="0" w:color="000000"/>
              <w:right w:val="nil"/>
            </w:tcBorders>
            <w:shd w:val="clear" w:color="auto" w:fill="E6E6E6"/>
          </w:tcPr>
          <w:p w14:paraId="2087124A" w14:textId="77777777" w:rsidR="003F0CEE" w:rsidRPr="00762F6A" w:rsidRDefault="003F0CEE" w:rsidP="003F0CEE">
            <w:pPr>
              <w:pStyle w:val="TableColumnHeadingLeft"/>
              <w:spacing w:before="60" w:after="60"/>
            </w:pPr>
            <w:r w:rsidRPr="00762F6A">
              <w:br w:type="page"/>
            </w:r>
            <w:r w:rsidRPr="00762F6A">
              <w:br w:type="page"/>
              <w:t>H28: GST — Food</w:t>
            </w:r>
          </w:p>
        </w:tc>
      </w:tr>
      <w:tr w:rsidR="003F0CEE" w:rsidRPr="00762F6A" w14:paraId="2087124F" w14:textId="77777777" w:rsidTr="003F0CEE">
        <w:tc>
          <w:tcPr>
            <w:tcW w:w="1133" w:type="dxa"/>
            <w:vMerge w:val="restart"/>
            <w:tcBorders>
              <w:top w:val="single" w:sz="2" w:space="0" w:color="000000"/>
              <w:left w:val="nil"/>
              <w:bottom w:val="nil"/>
              <w:right w:val="nil"/>
            </w:tcBorders>
          </w:tcPr>
          <w:p w14:paraId="2087124C" w14:textId="77777777" w:rsidR="003F0CEE" w:rsidRPr="00762F6A" w:rsidRDefault="003F0CEE" w:rsidP="003F0CEE">
            <w:pPr>
              <w:pStyle w:val="TableTextLeft"/>
              <w:spacing w:line="260" w:lineRule="exact"/>
              <w:jc w:val="both"/>
            </w:pPr>
            <w:r w:rsidRPr="00762F6A">
              <w:t>Estimates</w:t>
            </w:r>
          </w:p>
        </w:tc>
        <w:tc>
          <w:tcPr>
            <w:tcW w:w="3262" w:type="dxa"/>
            <w:gridSpan w:val="4"/>
            <w:tcBorders>
              <w:top w:val="single" w:sz="2" w:space="0" w:color="000000"/>
              <w:left w:val="nil"/>
              <w:bottom w:val="single" w:sz="2" w:space="0" w:color="000000"/>
              <w:right w:val="single" w:sz="2" w:space="0" w:color="000000"/>
            </w:tcBorders>
          </w:tcPr>
          <w:p w14:paraId="2087124D" w14:textId="77777777" w:rsidR="003F0CEE" w:rsidRPr="00762F6A" w:rsidRDefault="003F0CEE" w:rsidP="003F0CEE">
            <w:pPr>
              <w:pStyle w:val="TableColumnHeadingLeft"/>
              <w:spacing w:line="260" w:lineRule="exact"/>
              <w:jc w:val="both"/>
            </w:pPr>
            <w:r w:rsidRPr="00762F6A">
              <w:t>Revenue forgone estimate ($m)</w:t>
            </w:r>
          </w:p>
        </w:tc>
        <w:tc>
          <w:tcPr>
            <w:tcW w:w="3332" w:type="dxa"/>
            <w:gridSpan w:val="4"/>
            <w:tcBorders>
              <w:top w:val="single" w:sz="2" w:space="0" w:color="000000"/>
              <w:left w:val="single" w:sz="2" w:space="0" w:color="000000"/>
              <w:bottom w:val="single" w:sz="2" w:space="0" w:color="000000"/>
              <w:right w:val="nil"/>
            </w:tcBorders>
          </w:tcPr>
          <w:p w14:paraId="2087124E" w14:textId="77777777" w:rsidR="003F0CEE" w:rsidRPr="00762F6A" w:rsidRDefault="003F0CEE" w:rsidP="003F0CEE">
            <w:pPr>
              <w:pStyle w:val="TableColumnHeadingLeft"/>
              <w:spacing w:line="260" w:lineRule="exact"/>
              <w:jc w:val="both"/>
            </w:pPr>
            <w:r w:rsidRPr="00762F6A">
              <w:t>Revenue gain estimate ($m)</w:t>
            </w:r>
          </w:p>
        </w:tc>
      </w:tr>
      <w:tr w:rsidR="003F0CEE" w:rsidRPr="00762F6A" w14:paraId="20871259" w14:textId="77777777" w:rsidTr="003F0CEE">
        <w:trPr>
          <w:trHeight w:val="249"/>
        </w:trPr>
        <w:tc>
          <w:tcPr>
            <w:tcW w:w="1133" w:type="dxa"/>
            <w:vMerge/>
            <w:tcBorders>
              <w:top w:val="nil"/>
              <w:left w:val="nil"/>
              <w:bottom w:val="nil"/>
              <w:right w:val="nil"/>
            </w:tcBorders>
          </w:tcPr>
          <w:p w14:paraId="20871250" w14:textId="77777777" w:rsidR="003F0CEE" w:rsidRPr="00762F6A" w:rsidRDefault="003F0CEE" w:rsidP="003F0CEE">
            <w:pPr>
              <w:pStyle w:val="TableTextLeft"/>
              <w:spacing w:line="260" w:lineRule="exact"/>
              <w:jc w:val="both"/>
              <w:rPr>
                <w:highlight w:val="yellow"/>
              </w:rPr>
            </w:pPr>
          </w:p>
        </w:tc>
        <w:tc>
          <w:tcPr>
            <w:tcW w:w="816" w:type="dxa"/>
            <w:tcBorders>
              <w:top w:val="single" w:sz="2" w:space="0" w:color="000000"/>
              <w:left w:val="nil"/>
              <w:bottom w:val="single" w:sz="2" w:space="0" w:color="000000"/>
              <w:right w:val="single" w:sz="2" w:space="0" w:color="000000"/>
            </w:tcBorders>
            <w:vAlign w:val="bottom"/>
          </w:tcPr>
          <w:p w14:paraId="20871251"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6" w:type="dxa"/>
            <w:tcBorders>
              <w:top w:val="single" w:sz="2" w:space="0" w:color="000000"/>
              <w:left w:val="single" w:sz="2" w:space="0" w:color="000000"/>
              <w:bottom w:val="single" w:sz="2" w:space="0" w:color="000000"/>
              <w:right w:val="single" w:sz="2" w:space="0" w:color="000000"/>
            </w:tcBorders>
            <w:vAlign w:val="bottom"/>
          </w:tcPr>
          <w:p w14:paraId="20871252"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53" w14:textId="77777777" w:rsidR="003F0CEE" w:rsidRPr="00762F6A" w:rsidRDefault="003F0CEE" w:rsidP="003F0CEE">
            <w:pPr>
              <w:pStyle w:val="TableColumnHeadingCentred"/>
              <w:spacing w:line="260" w:lineRule="exact"/>
            </w:pPr>
            <w:r w:rsidRPr="00762F6A">
              <w:t>2018</w:t>
            </w:r>
            <w:r w:rsidRPr="00762F6A">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54" w14:textId="77777777" w:rsidR="003F0CEE" w:rsidRPr="00762F6A" w:rsidRDefault="003F0CEE" w:rsidP="003F0CEE">
            <w:pPr>
              <w:pStyle w:val="TableColumnHeadingCentred"/>
              <w:spacing w:line="260" w:lineRule="exact"/>
            </w:pPr>
            <w:r w:rsidRPr="00762F6A">
              <w:t>201</w:t>
            </w:r>
            <w:r>
              <w:t>9</w:t>
            </w:r>
            <w:r w:rsidRPr="00762F6A">
              <w:noBreakHyphen/>
            </w:r>
            <w:r>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55"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56"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57" w14:textId="77777777" w:rsidR="003F0CEE" w:rsidRPr="00762F6A" w:rsidRDefault="003F0CEE" w:rsidP="003F0CEE">
            <w:pPr>
              <w:pStyle w:val="TableColumnHeadingCentred"/>
              <w:spacing w:line="260" w:lineRule="exact"/>
            </w:pPr>
            <w:r w:rsidRPr="00762F6A">
              <w:t>2018</w:t>
            </w:r>
            <w:r w:rsidRPr="00762F6A">
              <w:noBreakHyphen/>
              <w:t>19</w:t>
            </w:r>
          </w:p>
        </w:tc>
        <w:tc>
          <w:tcPr>
            <w:tcW w:w="887" w:type="dxa"/>
            <w:tcBorders>
              <w:top w:val="single" w:sz="2" w:space="0" w:color="000000"/>
              <w:left w:val="single" w:sz="2" w:space="0" w:color="000000"/>
              <w:bottom w:val="single" w:sz="2" w:space="0" w:color="000000"/>
              <w:right w:val="nil"/>
            </w:tcBorders>
            <w:vAlign w:val="bottom"/>
          </w:tcPr>
          <w:p w14:paraId="20871258" w14:textId="77777777" w:rsidR="003F0CEE" w:rsidRPr="00762F6A" w:rsidRDefault="003F0CEE" w:rsidP="003F0CEE">
            <w:pPr>
              <w:pStyle w:val="TableColumnHeadingCentred"/>
              <w:spacing w:line="260" w:lineRule="exact"/>
            </w:pPr>
            <w:r w:rsidRPr="00762F6A">
              <w:t>201</w:t>
            </w:r>
            <w:r>
              <w:t>9</w:t>
            </w:r>
            <w:r w:rsidRPr="00762F6A">
              <w:noBreakHyphen/>
            </w:r>
            <w:r>
              <w:t>20</w:t>
            </w:r>
          </w:p>
        </w:tc>
      </w:tr>
      <w:tr w:rsidR="003F0CEE" w:rsidRPr="00762F6A" w14:paraId="20871263" w14:textId="77777777" w:rsidTr="003F0CEE">
        <w:tc>
          <w:tcPr>
            <w:tcW w:w="1133" w:type="dxa"/>
            <w:tcBorders>
              <w:top w:val="nil"/>
              <w:left w:val="nil"/>
              <w:bottom w:val="single" w:sz="2" w:space="0" w:color="000000"/>
              <w:right w:val="nil"/>
            </w:tcBorders>
          </w:tcPr>
          <w:p w14:paraId="2087125A" w14:textId="77777777" w:rsidR="003F0CEE" w:rsidRPr="00762F6A" w:rsidRDefault="003F0CEE" w:rsidP="003F0CEE">
            <w:pPr>
              <w:spacing w:before="20" w:after="20"/>
              <w:rPr>
                <w:highlight w:val="yellow"/>
              </w:rPr>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2087125B" w14:textId="77777777" w:rsidR="003F0CEE" w:rsidRPr="00762F6A" w:rsidRDefault="007B437D" w:rsidP="003F0CEE">
            <w:pPr>
              <w:pStyle w:val="TableTextRight"/>
              <w:spacing w:line="260" w:lineRule="exact"/>
              <w:jc w:val="center"/>
            </w:pPr>
            <w:r>
              <w:t>6,900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5C" w14:textId="77777777" w:rsidR="003F0CEE" w:rsidRPr="00762F6A" w:rsidRDefault="007B437D" w:rsidP="003F0CEE">
            <w:pPr>
              <w:pStyle w:val="TableTextRight"/>
              <w:spacing w:line="260" w:lineRule="exact"/>
              <w:jc w:val="center"/>
            </w:pPr>
            <w:r>
              <w:t>7,200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5D" w14:textId="77777777" w:rsidR="003F0CEE" w:rsidRPr="00762F6A" w:rsidRDefault="007B437D" w:rsidP="003F0CEE">
            <w:pPr>
              <w:pStyle w:val="TableTextRight"/>
              <w:spacing w:line="260" w:lineRule="exact"/>
              <w:jc w:val="center"/>
            </w:pPr>
            <w:r>
              <w:t>7,500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5E" w14:textId="77777777" w:rsidR="003F0CEE" w:rsidRPr="00762F6A" w:rsidRDefault="007B437D" w:rsidP="003F0CEE">
            <w:pPr>
              <w:pStyle w:val="TableTextRight"/>
              <w:spacing w:line="260" w:lineRule="exact"/>
              <w:jc w:val="center"/>
            </w:pPr>
            <w:r>
              <w:t>7,800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5F" w14:textId="77777777" w:rsidR="003F0CEE" w:rsidRPr="00762F6A" w:rsidRDefault="006A4790" w:rsidP="003F0CEE">
            <w:pPr>
              <w:pStyle w:val="TableTextRight"/>
              <w:spacing w:line="260" w:lineRule="exact"/>
              <w:jc w:val="center"/>
            </w:pPr>
            <w:r>
              <w:t>6,800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60" w14:textId="77777777" w:rsidR="003F0CEE" w:rsidRPr="00762F6A" w:rsidRDefault="006A4790" w:rsidP="003F0CEE">
            <w:pPr>
              <w:pStyle w:val="TableTextRight"/>
              <w:spacing w:line="260" w:lineRule="exact"/>
              <w:jc w:val="center"/>
            </w:pPr>
            <w:r>
              <w:t>7,000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61" w14:textId="77777777" w:rsidR="003F0CEE" w:rsidRPr="00762F6A" w:rsidRDefault="006A4790" w:rsidP="003F0CEE">
            <w:pPr>
              <w:pStyle w:val="TableTextRight"/>
              <w:spacing w:line="260" w:lineRule="exact"/>
              <w:jc w:val="center"/>
            </w:pPr>
            <w:r>
              <w:t>7,300</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20871262" w14:textId="77777777" w:rsidR="003F0CEE" w:rsidRPr="00762F6A" w:rsidRDefault="006A4790" w:rsidP="003F0CEE">
            <w:pPr>
              <w:pStyle w:val="TableTextRight"/>
              <w:spacing w:line="260" w:lineRule="exact"/>
              <w:jc w:val="center"/>
            </w:pPr>
            <w:r>
              <w:t>7,600</w:t>
            </w:r>
          </w:p>
        </w:tc>
      </w:tr>
      <w:tr w:rsidR="003F0CEE" w:rsidRPr="00762F6A" w14:paraId="20871266" w14:textId="77777777" w:rsidTr="003F0CEE">
        <w:tc>
          <w:tcPr>
            <w:tcW w:w="1133" w:type="dxa"/>
            <w:tcBorders>
              <w:top w:val="single" w:sz="2" w:space="0" w:color="000000"/>
              <w:left w:val="nil"/>
              <w:bottom w:val="single" w:sz="4" w:space="0" w:color="auto"/>
              <w:right w:val="nil"/>
            </w:tcBorders>
          </w:tcPr>
          <w:p w14:paraId="20871264" w14:textId="77777777" w:rsidR="003F0CEE" w:rsidRPr="00762F6A" w:rsidRDefault="003F0CEE" w:rsidP="003F0CEE">
            <w:pPr>
              <w:pStyle w:val="TableTextLeft"/>
              <w:spacing w:before="80" w:after="80"/>
            </w:pPr>
            <w:r w:rsidRPr="00762F6A">
              <w:t>Reason for difference</w:t>
            </w:r>
          </w:p>
        </w:tc>
        <w:tc>
          <w:tcPr>
            <w:tcW w:w="6594" w:type="dxa"/>
            <w:gridSpan w:val="8"/>
            <w:tcBorders>
              <w:top w:val="single" w:sz="2" w:space="0" w:color="000000"/>
              <w:left w:val="nil"/>
              <w:bottom w:val="single" w:sz="4" w:space="0" w:color="auto"/>
              <w:right w:val="nil"/>
            </w:tcBorders>
          </w:tcPr>
          <w:p w14:paraId="20871265" w14:textId="77777777" w:rsidR="003F0CEE" w:rsidRPr="00762F6A" w:rsidRDefault="003F0CEE" w:rsidP="003F0CEE">
            <w:pPr>
              <w:pStyle w:val="TableTextLeft"/>
              <w:spacing w:before="80" w:after="80"/>
              <w:jc w:val="both"/>
            </w:pPr>
            <w:r w:rsidRPr="00762F6A">
              <w:t>Removing the GST exemption applicable to certain types of food would be expected to decrease demand for those items. However, the impact of this behavioural response is expected to be small as demand for GST</w:t>
            </w:r>
            <w:r w:rsidRPr="00762F6A">
              <w:noBreakHyphen/>
              <w:t>free food is likely to be relatively unresponsive to changes in price.</w:t>
            </w:r>
          </w:p>
        </w:tc>
      </w:tr>
      <w:tr w:rsidR="003F0CEE" w:rsidRPr="00762F6A" w14:paraId="20871268" w14:textId="77777777" w:rsidTr="003F0CEE">
        <w:tc>
          <w:tcPr>
            <w:tcW w:w="7727" w:type="dxa"/>
            <w:gridSpan w:val="9"/>
            <w:tcBorders>
              <w:top w:val="single" w:sz="2" w:space="0" w:color="000000"/>
              <w:left w:val="nil"/>
              <w:bottom w:val="single" w:sz="2" w:space="0" w:color="000000"/>
              <w:right w:val="nil"/>
            </w:tcBorders>
            <w:shd w:val="clear" w:color="auto" w:fill="E6E6E6"/>
          </w:tcPr>
          <w:p w14:paraId="20871267" w14:textId="77777777" w:rsidR="003F0CEE" w:rsidRPr="00762F6A" w:rsidRDefault="003F0CEE" w:rsidP="003F0CEE">
            <w:pPr>
              <w:pStyle w:val="TableColumnHeadingLeft"/>
              <w:tabs>
                <w:tab w:val="left" w:pos="2364"/>
              </w:tabs>
              <w:spacing w:before="60" w:after="60"/>
            </w:pPr>
            <w:r w:rsidRPr="00762F6A">
              <w:t>H16: GST — Education</w:t>
            </w:r>
          </w:p>
        </w:tc>
      </w:tr>
      <w:tr w:rsidR="003F0CEE" w:rsidRPr="00762F6A" w14:paraId="2087126C" w14:textId="77777777" w:rsidTr="003F0CEE">
        <w:tc>
          <w:tcPr>
            <w:tcW w:w="1133" w:type="dxa"/>
            <w:vMerge w:val="restart"/>
            <w:tcBorders>
              <w:top w:val="single" w:sz="2" w:space="0" w:color="000000"/>
              <w:left w:val="nil"/>
              <w:bottom w:val="nil"/>
              <w:right w:val="nil"/>
            </w:tcBorders>
          </w:tcPr>
          <w:p w14:paraId="20871269" w14:textId="77777777" w:rsidR="003F0CEE" w:rsidRPr="00762F6A" w:rsidRDefault="003F0CEE" w:rsidP="003F0CEE">
            <w:pPr>
              <w:pStyle w:val="TableTextLeft"/>
              <w:spacing w:line="260" w:lineRule="exact"/>
              <w:jc w:val="both"/>
            </w:pPr>
            <w:r w:rsidRPr="00762F6A">
              <w:t>Estimates</w:t>
            </w:r>
          </w:p>
        </w:tc>
        <w:tc>
          <w:tcPr>
            <w:tcW w:w="3262" w:type="dxa"/>
            <w:gridSpan w:val="4"/>
            <w:tcBorders>
              <w:top w:val="single" w:sz="2" w:space="0" w:color="000000"/>
              <w:left w:val="nil"/>
              <w:bottom w:val="single" w:sz="2" w:space="0" w:color="000000"/>
              <w:right w:val="single" w:sz="2" w:space="0" w:color="000000"/>
            </w:tcBorders>
          </w:tcPr>
          <w:p w14:paraId="2087126A" w14:textId="77777777" w:rsidR="003F0CEE" w:rsidRPr="00762F6A" w:rsidRDefault="003F0CEE" w:rsidP="003F0CEE">
            <w:pPr>
              <w:pStyle w:val="TableColumnHeadingLeft"/>
              <w:spacing w:line="260" w:lineRule="exact"/>
              <w:jc w:val="both"/>
            </w:pPr>
            <w:r w:rsidRPr="00762F6A">
              <w:t>Revenue forgone estimate ($m)</w:t>
            </w:r>
          </w:p>
        </w:tc>
        <w:tc>
          <w:tcPr>
            <w:tcW w:w="3332" w:type="dxa"/>
            <w:gridSpan w:val="4"/>
            <w:tcBorders>
              <w:top w:val="single" w:sz="2" w:space="0" w:color="000000"/>
              <w:left w:val="single" w:sz="2" w:space="0" w:color="000000"/>
              <w:bottom w:val="single" w:sz="2" w:space="0" w:color="000000"/>
              <w:right w:val="nil"/>
            </w:tcBorders>
          </w:tcPr>
          <w:p w14:paraId="2087126B" w14:textId="77777777" w:rsidR="003F0CEE" w:rsidRPr="00762F6A" w:rsidRDefault="003F0CEE" w:rsidP="003F0CEE">
            <w:pPr>
              <w:pStyle w:val="TableColumnHeadingLeft"/>
              <w:spacing w:line="260" w:lineRule="exact"/>
              <w:jc w:val="both"/>
            </w:pPr>
            <w:r w:rsidRPr="00762F6A">
              <w:t>Revenue gain estimate ($m)</w:t>
            </w:r>
          </w:p>
        </w:tc>
      </w:tr>
      <w:tr w:rsidR="003F0CEE" w:rsidRPr="00762F6A" w14:paraId="20871276" w14:textId="77777777" w:rsidTr="003F0CEE">
        <w:trPr>
          <w:trHeight w:val="249"/>
        </w:trPr>
        <w:tc>
          <w:tcPr>
            <w:tcW w:w="1133" w:type="dxa"/>
            <w:vMerge/>
            <w:tcBorders>
              <w:top w:val="nil"/>
              <w:left w:val="nil"/>
              <w:bottom w:val="nil"/>
              <w:right w:val="nil"/>
            </w:tcBorders>
          </w:tcPr>
          <w:p w14:paraId="2087126D" w14:textId="77777777" w:rsidR="003F0CEE" w:rsidRPr="00762F6A" w:rsidRDefault="003F0CEE" w:rsidP="003F0CEE">
            <w:pPr>
              <w:pStyle w:val="TableTextLeft"/>
              <w:spacing w:line="260" w:lineRule="exact"/>
              <w:jc w:val="both"/>
              <w:rPr>
                <w:highlight w:val="yellow"/>
              </w:rPr>
            </w:pPr>
          </w:p>
        </w:tc>
        <w:tc>
          <w:tcPr>
            <w:tcW w:w="816" w:type="dxa"/>
            <w:tcBorders>
              <w:top w:val="single" w:sz="2" w:space="0" w:color="000000"/>
              <w:left w:val="nil"/>
              <w:bottom w:val="single" w:sz="2" w:space="0" w:color="000000"/>
              <w:right w:val="single" w:sz="2" w:space="0" w:color="000000"/>
            </w:tcBorders>
            <w:vAlign w:val="bottom"/>
          </w:tcPr>
          <w:p w14:paraId="2087126E"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6" w:type="dxa"/>
            <w:tcBorders>
              <w:top w:val="single" w:sz="2" w:space="0" w:color="000000"/>
              <w:left w:val="single" w:sz="2" w:space="0" w:color="000000"/>
              <w:bottom w:val="single" w:sz="2" w:space="0" w:color="000000"/>
              <w:right w:val="single" w:sz="2" w:space="0" w:color="000000"/>
            </w:tcBorders>
            <w:vAlign w:val="bottom"/>
          </w:tcPr>
          <w:p w14:paraId="2087126F"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70" w14:textId="77777777" w:rsidR="003F0CEE" w:rsidRPr="00762F6A" w:rsidRDefault="003F0CEE" w:rsidP="003F0CEE">
            <w:pPr>
              <w:pStyle w:val="TableColumnHeadingCentred"/>
              <w:spacing w:line="260" w:lineRule="exact"/>
            </w:pPr>
            <w:r w:rsidRPr="00762F6A">
              <w:t>2018</w:t>
            </w:r>
            <w:r w:rsidRPr="00762F6A">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71" w14:textId="77777777" w:rsidR="003F0CEE" w:rsidRPr="00762F6A" w:rsidRDefault="003F0CEE" w:rsidP="003F0CEE">
            <w:pPr>
              <w:pStyle w:val="TableColumnHeadingCentred"/>
              <w:spacing w:line="260" w:lineRule="exact"/>
            </w:pPr>
            <w:r w:rsidRPr="00762F6A">
              <w:t>201</w:t>
            </w:r>
            <w:r>
              <w:t>9</w:t>
            </w:r>
            <w:r w:rsidRPr="00762F6A">
              <w:noBreakHyphen/>
            </w:r>
            <w:r>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72"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73"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74" w14:textId="77777777" w:rsidR="003F0CEE" w:rsidRPr="00762F6A" w:rsidRDefault="003F0CEE" w:rsidP="003F0CEE">
            <w:pPr>
              <w:pStyle w:val="TableColumnHeadingCentred"/>
              <w:spacing w:line="260" w:lineRule="exact"/>
            </w:pPr>
            <w:r w:rsidRPr="00762F6A">
              <w:t>2018</w:t>
            </w:r>
            <w:r w:rsidRPr="00762F6A">
              <w:noBreakHyphen/>
              <w:t>19</w:t>
            </w:r>
          </w:p>
        </w:tc>
        <w:tc>
          <w:tcPr>
            <w:tcW w:w="887" w:type="dxa"/>
            <w:tcBorders>
              <w:top w:val="single" w:sz="2" w:space="0" w:color="000000"/>
              <w:left w:val="single" w:sz="2" w:space="0" w:color="000000"/>
              <w:bottom w:val="single" w:sz="2" w:space="0" w:color="000000"/>
              <w:right w:val="nil"/>
            </w:tcBorders>
            <w:vAlign w:val="bottom"/>
          </w:tcPr>
          <w:p w14:paraId="20871275" w14:textId="77777777" w:rsidR="003F0CEE" w:rsidRPr="00762F6A" w:rsidRDefault="003F0CEE" w:rsidP="003F0CEE">
            <w:pPr>
              <w:pStyle w:val="TableColumnHeadingCentred"/>
              <w:spacing w:line="260" w:lineRule="exact"/>
            </w:pPr>
            <w:r w:rsidRPr="00762F6A">
              <w:t>201</w:t>
            </w:r>
            <w:r>
              <w:t>9</w:t>
            </w:r>
            <w:r w:rsidRPr="00762F6A">
              <w:noBreakHyphen/>
            </w:r>
            <w:r>
              <w:t>20</w:t>
            </w:r>
          </w:p>
        </w:tc>
      </w:tr>
      <w:tr w:rsidR="003F0CEE" w:rsidRPr="00762F6A" w14:paraId="20871280" w14:textId="77777777" w:rsidTr="003F0CEE">
        <w:tc>
          <w:tcPr>
            <w:tcW w:w="1133" w:type="dxa"/>
            <w:tcBorders>
              <w:top w:val="nil"/>
              <w:left w:val="nil"/>
              <w:bottom w:val="single" w:sz="2" w:space="0" w:color="000000"/>
              <w:right w:val="nil"/>
            </w:tcBorders>
          </w:tcPr>
          <w:p w14:paraId="20871277" w14:textId="77777777" w:rsidR="003F0CEE" w:rsidRPr="00762F6A" w:rsidRDefault="003F0CEE" w:rsidP="003F0CEE">
            <w:pPr>
              <w:spacing w:before="20" w:after="20"/>
              <w:rPr>
                <w:highlight w:val="yellow"/>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20871278" w14:textId="77777777" w:rsidR="003F0CEE" w:rsidRPr="00762F6A" w:rsidRDefault="007B437D" w:rsidP="003F0CEE">
            <w:pPr>
              <w:spacing w:before="20" w:after="20"/>
              <w:jc w:val="center"/>
              <w:rPr>
                <w:rFonts w:ascii="Arial" w:hAnsi="Arial" w:cs="Arial"/>
                <w:color w:val="000000"/>
                <w:sz w:val="16"/>
                <w:szCs w:val="16"/>
              </w:rPr>
            </w:pPr>
            <w:r>
              <w:rPr>
                <w:rFonts w:ascii="Arial" w:hAnsi="Arial" w:cs="Arial"/>
                <w:color w:val="000000"/>
                <w:sz w:val="16"/>
                <w:szCs w:val="16"/>
              </w:rPr>
              <w:t>4,500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79" w14:textId="77777777" w:rsidR="003F0CEE" w:rsidRPr="00762F6A" w:rsidRDefault="007B437D" w:rsidP="003F0CEE">
            <w:pPr>
              <w:spacing w:before="20" w:after="20"/>
              <w:jc w:val="center"/>
              <w:rPr>
                <w:rFonts w:ascii="Arial" w:hAnsi="Arial" w:cs="Arial"/>
                <w:color w:val="000000"/>
                <w:sz w:val="16"/>
                <w:szCs w:val="16"/>
              </w:rPr>
            </w:pPr>
            <w:r>
              <w:rPr>
                <w:rFonts w:ascii="Arial" w:hAnsi="Arial" w:cs="Arial"/>
                <w:color w:val="000000"/>
                <w:sz w:val="16"/>
                <w:szCs w:val="16"/>
              </w:rPr>
              <w:t>4,850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7A" w14:textId="77777777" w:rsidR="003F0CEE" w:rsidRPr="00762F6A" w:rsidRDefault="007B437D" w:rsidP="003F0CEE">
            <w:pPr>
              <w:spacing w:before="20" w:after="20"/>
              <w:jc w:val="center"/>
              <w:rPr>
                <w:rFonts w:ascii="Arial" w:hAnsi="Arial" w:cs="Arial"/>
                <w:color w:val="000000"/>
                <w:sz w:val="16"/>
                <w:szCs w:val="16"/>
              </w:rPr>
            </w:pPr>
            <w:r>
              <w:rPr>
                <w:rFonts w:ascii="Arial" w:hAnsi="Arial" w:cs="Arial"/>
                <w:color w:val="000000"/>
                <w:sz w:val="16"/>
                <w:szCs w:val="16"/>
              </w:rPr>
              <w:t>5,250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7B" w14:textId="77777777" w:rsidR="003F0CEE" w:rsidRPr="00762F6A" w:rsidRDefault="007B437D" w:rsidP="003F0CEE">
            <w:pPr>
              <w:spacing w:before="20" w:after="20"/>
              <w:jc w:val="center"/>
              <w:rPr>
                <w:rFonts w:ascii="Arial" w:hAnsi="Arial" w:cs="Arial"/>
                <w:color w:val="000000"/>
                <w:sz w:val="16"/>
                <w:szCs w:val="16"/>
              </w:rPr>
            </w:pPr>
            <w:r>
              <w:rPr>
                <w:rFonts w:ascii="Arial" w:hAnsi="Arial" w:cs="Arial"/>
                <w:color w:val="000000"/>
                <w:sz w:val="16"/>
                <w:szCs w:val="16"/>
              </w:rPr>
              <w:t>5,700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7C" w14:textId="77777777" w:rsidR="003F0CEE" w:rsidRPr="00762F6A" w:rsidRDefault="006A4790" w:rsidP="003F0CEE">
            <w:pPr>
              <w:spacing w:before="20" w:after="20"/>
              <w:jc w:val="center"/>
              <w:rPr>
                <w:rFonts w:ascii="Arial" w:hAnsi="Arial" w:cs="Arial"/>
                <w:color w:val="000000"/>
                <w:sz w:val="16"/>
                <w:szCs w:val="16"/>
              </w:rPr>
            </w:pPr>
            <w:r>
              <w:rPr>
                <w:rFonts w:ascii="Arial" w:hAnsi="Arial" w:cs="Arial"/>
                <w:color w:val="000000"/>
                <w:sz w:val="16"/>
                <w:szCs w:val="16"/>
              </w:rPr>
              <w:t>4,050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7D" w14:textId="77777777" w:rsidR="003F0CEE" w:rsidRPr="00762F6A" w:rsidRDefault="006A4790" w:rsidP="003F0CEE">
            <w:pPr>
              <w:spacing w:before="20" w:after="20"/>
              <w:jc w:val="center"/>
              <w:rPr>
                <w:rFonts w:ascii="Arial" w:hAnsi="Arial" w:cs="Arial"/>
                <w:color w:val="000000"/>
                <w:sz w:val="16"/>
                <w:szCs w:val="16"/>
              </w:rPr>
            </w:pPr>
            <w:r>
              <w:rPr>
                <w:rFonts w:ascii="Arial" w:hAnsi="Arial" w:cs="Arial"/>
                <w:color w:val="000000"/>
                <w:sz w:val="16"/>
                <w:szCs w:val="16"/>
              </w:rPr>
              <w:t>4,350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7E" w14:textId="77777777" w:rsidR="003F0CEE" w:rsidRPr="00762F6A" w:rsidRDefault="006A4790" w:rsidP="003F0CEE">
            <w:pPr>
              <w:spacing w:before="20" w:after="20"/>
              <w:jc w:val="center"/>
              <w:rPr>
                <w:rFonts w:ascii="Arial" w:hAnsi="Arial" w:cs="Arial"/>
                <w:color w:val="000000"/>
                <w:sz w:val="16"/>
                <w:szCs w:val="16"/>
              </w:rPr>
            </w:pPr>
            <w:r>
              <w:rPr>
                <w:rFonts w:ascii="Arial" w:hAnsi="Arial" w:cs="Arial"/>
                <w:color w:val="000000"/>
                <w:sz w:val="16"/>
                <w:szCs w:val="16"/>
              </w:rPr>
              <w:t>4,750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2087127F" w14:textId="77777777" w:rsidR="003F0CEE" w:rsidRPr="00762F6A" w:rsidRDefault="006A4790" w:rsidP="003F0CEE">
            <w:pPr>
              <w:spacing w:before="20" w:after="20"/>
              <w:jc w:val="center"/>
              <w:rPr>
                <w:rFonts w:ascii="Arial" w:hAnsi="Arial" w:cs="Arial"/>
                <w:color w:val="000000"/>
                <w:sz w:val="16"/>
                <w:szCs w:val="16"/>
              </w:rPr>
            </w:pPr>
            <w:r>
              <w:rPr>
                <w:rFonts w:ascii="Arial" w:hAnsi="Arial" w:cs="Arial"/>
                <w:color w:val="000000"/>
                <w:sz w:val="16"/>
                <w:szCs w:val="16"/>
              </w:rPr>
              <w:t>5,150</w:t>
            </w:r>
          </w:p>
        </w:tc>
      </w:tr>
      <w:tr w:rsidR="003F0CEE" w:rsidRPr="00762F6A" w14:paraId="20871283" w14:textId="77777777" w:rsidTr="003F0CEE">
        <w:tc>
          <w:tcPr>
            <w:tcW w:w="1133" w:type="dxa"/>
            <w:tcBorders>
              <w:top w:val="single" w:sz="2" w:space="0" w:color="000000"/>
              <w:left w:val="nil"/>
              <w:bottom w:val="single" w:sz="2" w:space="0" w:color="000000"/>
              <w:right w:val="nil"/>
            </w:tcBorders>
          </w:tcPr>
          <w:p w14:paraId="20871281" w14:textId="77777777" w:rsidR="003F0CEE" w:rsidRPr="00762F6A" w:rsidRDefault="003F0CEE" w:rsidP="003F0CEE">
            <w:pPr>
              <w:pStyle w:val="TableTextLeft"/>
              <w:spacing w:before="80" w:after="80"/>
            </w:pPr>
            <w:r w:rsidRPr="00762F6A">
              <w:t>Reason for difference</w:t>
            </w:r>
          </w:p>
        </w:tc>
        <w:tc>
          <w:tcPr>
            <w:tcW w:w="6594" w:type="dxa"/>
            <w:gridSpan w:val="8"/>
            <w:tcBorders>
              <w:top w:val="single" w:sz="2" w:space="0" w:color="000000"/>
              <w:left w:val="nil"/>
              <w:bottom w:val="single" w:sz="2" w:space="0" w:color="000000"/>
              <w:right w:val="nil"/>
            </w:tcBorders>
          </w:tcPr>
          <w:p w14:paraId="20871282" w14:textId="77777777" w:rsidR="003F0CEE" w:rsidRPr="00762F6A" w:rsidRDefault="003F0CEE" w:rsidP="003F0CEE">
            <w:pPr>
              <w:pStyle w:val="TableTextLeft"/>
              <w:spacing w:before="80" w:after="80"/>
              <w:jc w:val="both"/>
            </w:pPr>
            <w:r w:rsidRPr="00762F6A">
              <w:t>Removing the GST exemption for education would be expected to decrease demand for education services. This is primarily due to an expected fall in demand for private education and ‘discretionary courses’.</w:t>
            </w:r>
          </w:p>
        </w:tc>
      </w:tr>
    </w:tbl>
    <w:p w14:paraId="20871284" w14:textId="77777777" w:rsidR="003F0CEE" w:rsidRPr="00762F6A" w:rsidRDefault="003F0CEE" w:rsidP="003F0CEE">
      <w:pPr>
        <w:pStyle w:val="SingleParagraph"/>
        <w:rPr>
          <w:highlight w:val="yellow"/>
        </w:rPr>
      </w:pPr>
      <w:r w:rsidRPr="00762F6A">
        <w:rPr>
          <w:highlight w:val="yellow"/>
        </w:rPr>
        <w:br w:type="page"/>
      </w:r>
    </w:p>
    <w:tbl>
      <w:tblPr>
        <w:tblW w:w="7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816"/>
        <w:gridCol w:w="816"/>
        <w:gridCol w:w="815"/>
        <w:gridCol w:w="815"/>
        <w:gridCol w:w="815"/>
        <w:gridCol w:w="815"/>
        <w:gridCol w:w="815"/>
        <w:gridCol w:w="887"/>
      </w:tblGrid>
      <w:tr w:rsidR="003F0CEE" w:rsidRPr="00762F6A" w14:paraId="20871286" w14:textId="77777777" w:rsidTr="003F0CEE">
        <w:trPr>
          <w:tblHeader/>
        </w:trPr>
        <w:tc>
          <w:tcPr>
            <w:tcW w:w="7727" w:type="dxa"/>
            <w:gridSpan w:val="9"/>
            <w:tcBorders>
              <w:top w:val="single" w:sz="4" w:space="0" w:color="auto"/>
              <w:left w:val="nil"/>
              <w:bottom w:val="single" w:sz="2" w:space="0" w:color="000000"/>
              <w:right w:val="nil"/>
            </w:tcBorders>
            <w:shd w:val="clear" w:color="auto" w:fill="E6E6E6"/>
          </w:tcPr>
          <w:p w14:paraId="20871285" w14:textId="77777777" w:rsidR="003F0CEE" w:rsidRPr="00762F6A" w:rsidRDefault="003F0CEE" w:rsidP="003F0CEE">
            <w:pPr>
              <w:pStyle w:val="TableColumnHeadingLeft"/>
              <w:spacing w:before="60" w:after="60"/>
            </w:pPr>
            <w:r w:rsidRPr="00762F6A">
              <w:lastRenderedPageBreak/>
              <w:t>H2: GST — Financial supplies — input taxed treatment</w:t>
            </w:r>
          </w:p>
        </w:tc>
      </w:tr>
      <w:tr w:rsidR="003F0CEE" w:rsidRPr="00762F6A" w14:paraId="2087128A" w14:textId="77777777" w:rsidTr="003F0CEE">
        <w:trPr>
          <w:tblHeader/>
        </w:trPr>
        <w:tc>
          <w:tcPr>
            <w:tcW w:w="1133" w:type="dxa"/>
            <w:vMerge w:val="restart"/>
            <w:tcBorders>
              <w:top w:val="single" w:sz="2" w:space="0" w:color="000000"/>
              <w:left w:val="nil"/>
              <w:bottom w:val="nil"/>
              <w:right w:val="nil"/>
            </w:tcBorders>
            <w:shd w:val="clear" w:color="auto" w:fill="auto"/>
          </w:tcPr>
          <w:p w14:paraId="20871287" w14:textId="77777777" w:rsidR="003F0CEE" w:rsidRPr="00762F6A" w:rsidRDefault="003F0CEE" w:rsidP="003F0CEE">
            <w:pPr>
              <w:pStyle w:val="TableTextLeft"/>
              <w:spacing w:line="260" w:lineRule="exact"/>
              <w:jc w:val="both"/>
            </w:pPr>
            <w:r w:rsidRPr="00762F6A">
              <w:t>Estimates</w:t>
            </w:r>
          </w:p>
        </w:tc>
        <w:tc>
          <w:tcPr>
            <w:tcW w:w="3262" w:type="dxa"/>
            <w:gridSpan w:val="4"/>
            <w:tcBorders>
              <w:top w:val="single" w:sz="2" w:space="0" w:color="000000"/>
              <w:left w:val="nil"/>
              <w:bottom w:val="single" w:sz="2" w:space="0" w:color="000000"/>
              <w:right w:val="single" w:sz="2" w:space="0" w:color="000000"/>
            </w:tcBorders>
            <w:shd w:val="clear" w:color="auto" w:fill="auto"/>
          </w:tcPr>
          <w:p w14:paraId="20871288" w14:textId="77777777" w:rsidR="003F0CEE" w:rsidRPr="00762F6A" w:rsidRDefault="003F0CEE" w:rsidP="003F0CEE">
            <w:pPr>
              <w:pStyle w:val="TableColumnHeadingLeft"/>
              <w:spacing w:line="260" w:lineRule="exact"/>
              <w:jc w:val="both"/>
            </w:pPr>
            <w:r w:rsidRPr="00762F6A">
              <w:t>Revenue forgone estimate ($m)</w:t>
            </w:r>
          </w:p>
        </w:tc>
        <w:tc>
          <w:tcPr>
            <w:tcW w:w="3332" w:type="dxa"/>
            <w:gridSpan w:val="4"/>
            <w:tcBorders>
              <w:top w:val="single" w:sz="2" w:space="0" w:color="000000"/>
              <w:left w:val="single" w:sz="2" w:space="0" w:color="000000"/>
              <w:bottom w:val="single" w:sz="2" w:space="0" w:color="000000"/>
              <w:right w:val="nil"/>
            </w:tcBorders>
            <w:shd w:val="clear" w:color="auto" w:fill="auto"/>
          </w:tcPr>
          <w:p w14:paraId="20871289" w14:textId="77777777" w:rsidR="003F0CEE" w:rsidRPr="00762F6A" w:rsidRDefault="003F0CEE" w:rsidP="003F0CEE">
            <w:pPr>
              <w:pStyle w:val="TableColumnHeadingLeft"/>
              <w:spacing w:line="260" w:lineRule="exact"/>
              <w:jc w:val="both"/>
            </w:pPr>
            <w:r w:rsidRPr="00762F6A">
              <w:t>Revenue gain estimate ($m)</w:t>
            </w:r>
          </w:p>
        </w:tc>
      </w:tr>
      <w:tr w:rsidR="003F0CEE" w:rsidRPr="00762F6A" w14:paraId="20871294" w14:textId="77777777" w:rsidTr="003F0CEE">
        <w:trPr>
          <w:trHeight w:val="249"/>
          <w:tblHeader/>
        </w:trPr>
        <w:tc>
          <w:tcPr>
            <w:tcW w:w="1133" w:type="dxa"/>
            <w:vMerge/>
            <w:tcBorders>
              <w:top w:val="nil"/>
              <w:left w:val="nil"/>
              <w:bottom w:val="nil"/>
              <w:right w:val="nil"/>
            </w:tcBorders>
            <w:shd w:val="clear" w:color="auto" w:fill="auto"/>
          </w:tcPr>
          <w:p w14:paraId="2087128B" w14:textId="77777777" w:rsidR="003F0CEE" w:rsidRPr="00762F6A" w:rsidRDefault="003F0CEE" w:rsidP="003F0CEE">
            <w:pPr>
              <w:pStyle w:val="TableTextLeft"/>
              <w:spacing w:line="260" w:lineRule="exact"/>
              <w:jc w:val="both"/>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2087128C" w14:textId="77777777" w:rsidR="003F0CEE" w:rsidRPr="00762F6A" w:rsidRDefault="003F0CEE" w:rsidP="00C11FD2">
            <w:pPr>
              <w:pStyle w:val="TableColumnHeadingCentred"/>
              <w:spacing w:line="260" w:lineRule="exact"/>
            </w:pPr>
            <w:r w:rsidRPr="00762F6A">
              <w:rPr>
                <w:rFonts w:cs="Arial"/>
                <w:bCs/>
                <w:szCs w:val="16"/>
              </w:rPr>
              <w:t>2016</w:t>
            </w:r>
            <w:r w:rsidRPr="00762F6A">
              <w:rPr>
                <w:rFonts w:cs="Arial"/>
                <w:bCs/>
                <w:szCs w:val="16"/>
              </w:rPr>
              <w:noBreakHyphen/>
              <w:t>17</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8D" w14:textId="77777777" w:rsidR="003F0CEE" w:rsidRPr="00762F6A" w:rsidRDefault="003F0CEE" w:rsidP="00C11FD2">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8E" w14:textId="77777777" w:rsidR="003F0CEE" w:rsidRPr="00762F6A" w:rsidRDefault="003F0CEE" w:rsidP="00C11FD2">
            <w:pPr>
              <w:pStyle w:val="TableColumnHeadingCentred"/>
              <w:spacing w:line="260" w:lineRule="exact"/>
            </w:pPr>
            <w:r w:rsidRPr="00762F6A">
              <w:t>2018</w:t>
            </w:r>
            <w:r w:rsidRPr="00762F6A">
              <w:noBreakHyphen/>
              <w:t>19</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8F" w14:textId="77777777" w:rsidR="003F0CEE" w:rsidRPr="00762F6A" w:rsidRDefault="003F0CEE" w:rsidP="00C11FD2">
            <w:pPr>
              <w:pStyle w:val="TableColumnHeadingCentred"/>
              <w:spacing w:line="260" w:lineRule="exact"/>
            </w:pPr>
            <w:r w:rsidRPr="00762F6A">
              <w:t>201</w:t>
            </w:r>
            <w:r>
              <w:t>9</w:t>
            </w:r>
            <w:r w:rsidRPr="00762F6A">
              <w:noBreakHyphen/>
            </w:r>
            <w:r>
              <w:t>20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90" w14:textId="77777777" w:rsidR="003F0CEE" w:rsidRPr="00762F6A" w:rsidRDefault="003F0CEE" w:rsidP="00C11FD2">
            <w:pPr>
              <w:pStyle w:val="TableColumnHeadingCentred"/>
              <w:spacing w:line="260" w:lineRule="exact"/>
            </w:pPr>
            <w:r w:rsidRPr="00762F6A">
              <w:rPr>
                <w:rFonts w:cs="Arial"/>
                <w:bCs/>
                <w:szCs w:val="16"/>
              </w:rPr>
              <w:t>2016</w:t>
            </w:r>
            <w:r w:rsidRPr="00762F6A">
              <w:rPr>
                <w:rFonts w:cs="Arial"/>
                <w:bCs/>
                <w:szCs w:val="16"/>
              </w:rPr>
              <w:noBreakHyphen/>
              <w:t>17</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91" w14:textId="77777777" w:rsidR="003F0CEE" w:rsidRPr="00762F6A" w:rsidRDefault="003F0CEE" w:rsidP="00C11FD2">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92" w14:textId="77777777" w:rsidR="003F0CEE" w:rsidRPr="00762F6A" w:rsidRDefault="003F0CEE" w:rsidP="00C11FD2">
            <w:pPr>
              <w:pStyle w:val="TableColumnHeadingCentred"/>
              <w:spacing w:line="260" w:lineRule="exact"/>
            </w:pPr>
            <w:r w:rsidRPr="00762F6A">
              <w:t>2018</w:t>
            </w:r>
            <w:r w:rsidRPr="00762F6A">
              <w:noBreakHyphen/>
              <w:t>19</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20871293" w14:textId="77777777" w:rsidR="003F0CEE" w:rsidRPr="00762F6A" w:rsidRDefault="003F0CEE" w:rsidP="00C11FD2">
            <w:pPr>
              <w:pStyle w:val="TableColumnHeadingCentred"/>
              <w:spacing w:line="260" w:lineRule="exact"/>
            </w:pPr>
            <w:r w:rsidRPr="00762F6A">
              <w:t>201</w:t>
            </w:r>
            <w:r>
              <w:t>9</w:t>
            </w:r>
            <w:r w:rsidRPr="00762F6A">
              <w:noBreakHyphen/>
            </w:r>
            <w:r>
              <w:t>20</w:t>
            </w:r>
          </w:p>
        </w:tc>
      </w:tr>
      <w:tr w:rsidR="007B437D" w:rsidRPr="00762F6A" w14:paraId="2087129E" w14:textId="77777777" w:rsidTr="003F0CEE">
        <w:tc>
          <w:tcPr>
            <w:tcW w:w="1133" w:type="dxa"/>
            <w:tcBorders>
              <w:top w:val="nil"/>
              <w:left w:val="nil"/>
              <w:bottom w:val="single" w:sz="2" w:space="0" w:color="000000"/>
              <w:right w:val="nil"/>
            </w:tcBorders>
            <w:shd w:val="clear" w:color="auto" w:fill="auto"/>
          </w:tcPr>
          <w:p w14:paraId="20871295" w14:textId="77777777" w:rsidR="007B437D" w:rsidRPr="00762F6A" w:rsidRDefault="007B437D" w:rsidP="003F0CEE">
            <w:pPr>
              <w:spacing w:before="20" w:after="20"/>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20871296" w14:textId="77777777" w:rsidR="007B437D" w:rsidRPr="00762F6A" w:rsidRDefault="007B437D" w:rsidP="00C11FD2">
            <w:pPr>
              <w:spacing w:after="20"/>
              <w:jc w:val="center"/>
              <w:rPr>
                <w:rFonts w:ascii="Arial" w:hAnsi="Arial" w:cs="Arial"/>
                <w:color w:val="000000"/>
                <w:sz w:val="16"/>
                <w:szCs w:val="16"/>
              </w:rPr>
            </w:pPr>
            <w:r>
              <w:rPr>
                <w:rFonts w:ascii="Arial" w:hAnsi="Arial" w:cs="Arial"/>
                <w:color w:val="000000"/>
                <w:sz w:val="16"/>
                <w:szCs w:val="16"/>
              </w:rPr>
              <w:t>3,450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97" w14:textId="77777777" w:rsidR="007B437D" w:rsidRPr="00762F6A" w:rsidRDefault="007B437D" w:rsidP="00C11FD2">
            <w:pPr>
              <w:spacing w:after="20"/>
              <w:jc w:val="center"/>
              <w:rPr>
                <w:rFonts w:ascii="Arial" w:hAnsi="Arial" w:cs="Arial"/>
                <w:color w:val="000000"/>
                <w:sz w:val="16"/>
                <w:szCs w:val="16"/>
              </w:rPr>
            </w:pPr>
            <w:r>
              <w:rPr>
                <w:rFonts w:ascii="Arial" w:hAnsi="Arial" w:cs="Arial"/>
                <w:color w:val="000000"/>
                <w:sz w:val="16"/>
                <w:szCs w:val="16"/>
              </w:rPr>
              <w:t>3,700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98" w14:textId="77777777" w:rsidR="007B437D" w:rsidRPr="00762F6A" w:rsidRDefault="007B437D" w:rsidP="00C11FD2">
            <w:pPr>
              <w:spacing w:after="20"/>
              <w:jc w:val="center"/>
              <w:rPr>
                <w:rFonts w:ascii="Arial" w:hAnsi="Arial" w:cs="Arial"/>
                <w:color w:val="000000"/>
                <w:sz w:val="16"/>
                <w:szCs w:val="16"/>
              </w:rPr>
            </w:pPr>
            <w:r>
              <w:rPr>
                <w:rFonts w:ascii="Arial" w:hAnsi="Arial" w:cs="Arial"/>
                <w:color w:val="000000"/>
                <w:sz w:val="16"/>
                <w:szCs w:val="16"/>
              </w:rPr>
              <w:t>3,900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99" w14:textId="77777777" w:rsidR="007B437D" w:rsidRPr="00762F6A" w:rsidRDefault="007B437D" w:rsidP="00C11FD2">
            <w:pPr>
              <w:spacing w:after="20"/>
              <w:jc w:val="center"/>
              <w:rPr>
                <w:rFonts w:ascii="Arial" w:hAnsi="Arial" w:cs="Arial"/>
                <w:color w:val="000000"/>
                <w:sz w:val="16"/>
                <w:szCs w:val="16"/>
              </w:rPr>
            </w:pPr>
            <w:r>
              <w:rPr>
                <w:rFonts w:ascii="Arial" w:hAnsi="Arial" w:cs="Arial"/>
                <w:color w:val="000000"/>
                <w:sz w:val="16"/>
                <w:szCs w:val="16"/>
              </w:rPr>
              <w:t>4,200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9A" w14:textId="77777777" w:rsidR="007B437D" w:rsidRPr="00762F6A" w:rsidRDefault="007B437D" w:rsidP="00C11FD2">
            <w:pPr>
              <w:spacing w:after="20"/>
              <w:jc w:val="center"/>
              <w:rPr>
                <w:rFonts w:ascii="Arial" w:hAnsi="Arial" w:cs="Arial"/>
                <w:color w:val="000000"/>
                <w:sz w:val="16"/>
                <w:szCs w:val="16"/>
              </w:rPr>
            </w:pPr>
            <w:r>
              <w:rPr>
                <w:rFonts w:ascii="Arial" w:hAnsi="Arial" w:cs="Arial"/>
                <w:color w:val="000000"/>
                <w:sz w:val="16"/>
                <w:szCs w:val="16"/>
              </w:rPr>
              <w:t>3,450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9B" w14:textId="77777777" w:rsidR="007B437D" w:rsidRPr="00762F6A" w:rsidRDefault="007B437D" w:rsidP="00C11FD2">
            <w:pPr>
              <w:spacing w:after="20"/>
              <w:jc w:val="center"/>
              <w:rPr>
                <w:rFonts w:ascii="Arial" w:hAnsi="Arial" w:cs="Arial"/>
                <w:color w:val="000000"/>
                <w:sz w:val="16"/>
                <w:szCs w:val="16"/>
              </w:rPr>
            </w:pPr>
            <w:r>
              <w:rPr>
                <w:rFonts w:ascii="Arial" w:hAnsi="Arial" w:cs="Arial"/>
                <w:color w:val="000000"/>
                <w:sz w:val="16"/>
                <w:szCs w:val="16"/>
              </w:rPr>
              <w:t>3,700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9C" w14:textId="77777777" w:rsidR="007B437D" w:rsidRPr="00762F6A" w:rsidRDefault="007B437D" w:rsidP="00C11FD2">
            <w:pPr>
              <w:spacing w:after="20"/>
              <w:jc w:val="center"/>
              <w:rPr>
                <w:rFonts w:ascii="Arial" w:hAnsi="Arial" w:cs="Arial"/>
                <w:color w:val="000000"/>
                <w:sz w:val="16"/>
                <w:szCs w:val="16"/>
              </w:rPr>
            </w:pPr>
            <w:r>
              <w:rPr>
                <w:rFonts w:ascii="Arial" w:hAnsi="Arial" w:cs="Arial"/>
                <w:color w:val="000000"/>
                <w:sz w:val="16"/>
                <w:szCs w:val="16"/>
              </w:rPr>
              <w:t>3,900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2087129D" w14:textId="77777777" w:rsidR="007B437D" w:rsidRPr="00762F6A" w:rsidRDefault="007B437D" w:rsidP="00C11FD2">
            <w:pPr>
              <w:spacing w:after="20"/>
              <w:jc w:val="center"/>
              <w:rPr>
                <w:rFonts w:ascii="Arial" w:hAnsi="Arial" w:cs="Arial"/>
                <w:color w:val="000000"/>
                <w:sz w:val="16"/>
                <w:szCs w:val="16"/>
              </w:rPr>
            </w:pPr>
            <w:r>
              <w:rPr>
                <w:rFonts w:ascii="Arial" w:hAnsi="Arial" w:cs="Arial"/>
                <w:color w:val="000000"/>
                <w:sz w:val="16"/>
                <w:szCs w:val="16"/>
              </w:rPr>
              <w:t>4,200</w:t>
            </w:r>
          </w:p>
        </w:tc>
      </w:tr>
      <w:tr w:rsidR="003F0CEE" w:rsidRPr="00762F6A" w14:paraId="208712A1" w14:textId="77777777" w:rsidTr="003F0CEE">
        <w:tc>
          <w:tcPr>
            <w:tcW w:w="1133" w:type="dxa"/>
            <w:tcBorders>
              <w:top w:val="single" w:sz="2" w:space="0" w:color="000000"/>
              <w:left w:val="nil"/>
              <w:bottom w:val="single" w:sz="4" w:space="0" w:color="auto"/>
              <w:right w:val="nil"/>
            </w:tcBorders>
            <w:shd w:val="clear" w:color="auto" w:fill="auto"/>
          </w:tcPr>
          <w:p w14:paraId="2087129F" w14:textId="77777777" w:rsidR="003F0CEE" w:rsidRPr="00762F6A" w:rsidRDefault="003F0CEE" w:rsidP="003F0CEE">
            <w:pPr>
              <w:pStyle w:val="TableTextLeft"/>
              <w:spacing w:before="80" w:after="80"/>
            </w:pPr>
            <w:r w:rsidRPr="00762F6A">
              <w:t>Reason for difference</w:t>
            </w:r>
          </w:p>
        </w:tc>
        <w:tc>
          <w:tcPr>
            <w:tcW w:w="6594" w:type="dxa"/>
            <w:gridSpan w:val="8"/>
            <w:tcBorders>
              <w:top w:val="single" w:sz="2" w:space="0" w:color="000000"/>
              <w:left w:val="nil"/>
              <w:bottom w:val="single" w:sz="4" w:space="0" w:color="auto"/>
              <w:right w:val="nil"/>
            </w:tcBorders>
            <w:shd w:val="clear" w:color="auto" w:fill="auto"/>
          </w:tcPr>
          <w:p w14:paraId="208712A0" w14:textId="77777777" w:rsidR="003F0CEE" w:rsidRPr="00762F6A" w:rsidRDefault="003F0CEE" w:rsidP="003F0CEE">
            <w:pPr>
              <w:pStyle w:val="TableTextLeft"/>
              <w:spacing w:before="80" w:after="80"/>
              <w:jc w:val="both"/>
            </w:pPr>
            <w:r w:rsidRPr="00762F6A">
              <w:t>Removing the input taxed treatment of financial services is not expected to materially impact the demand for these services. This is because of the relatively small increase in the price of financial services that would result from applying the normal GST rules and the lack of substitutable services that are available.</w:t>
            </w:r>
          </w:p>
        </w:tc>
      </w:tr>
      <w:tr w:rsidR="003F0CEE" w:rsidRPr="00762F6A" w14:paraId="208712A3" w14:textId="77777777" w:rsidTr="003F0CEE">
        <w:tc>
          <w:tcPr>
            <w:tcW w:w="7727" w:type="dxa"/>
            <w:gridSpan w:val="9"/>
            <w:tcBorders>
              <w:top w:val="single" w:sz="4" w:space="0" w:color="auto"/>
              <w:left w:val="nil"/>
              <w:bottom w:val="single" w:sz="2" w:space="0" w:color="000000"/>
              <w:right w:val="nil"/>
            </w:tcBorders>
            <w:shd w:val="clear" w:color="auto" w:fill="E6E6E6"/>
          </w:tcPr>
          <w:p w14:paraId="208712A2" w14:textId="77777777" w:rsidR="003F0CEE" w:rsidRPr="00762F6A" w:rsidRDefault="003F0CEE" w:rsidP="003F0CEE">
            <w:pPr>
              <w:pStyle w:val="TableColumnHeadingLeft"/>
              <w:spacing w:before="60" w:after="60"/>
            </w:pPr>
            <w:r w:rsidRPr="00762F6A">
              <w:t>H19: GST — Health — medical and health services</w:t>
            </w:r>
          </w:p>
        </w:tc>
      </w:tr>
      <w:tr w:rsidR="003F0CEE" w:rsidRPr="00762F6A" w14:paraId="208712A7" w14:textId="77777777" w:rsidTr="003F0CEE">
        <w:tc>
          <w:tcPr>
            <w:tcW w:w="1133" w:type="dxa"/>
            <w:vMerge w:val="restart"/>
            <w:tcBorders>
              <w:top w:val="single" w:sz="2" w:space="0" w:color="000000"/>
              <w:left w:val="nil"/>
              <w:bottom w:val="nil"/>
              <w:right w:val="nil"/>
            </w:tcBorders>
          </w:tcPr>
          <w:p w14:paraId="208712A4" w14:textId="77777777" w:rsidR="003F0CEE" w:rsidRPr="00762F6A" w:rsidRDefault="003F0CEE" w:rsidP="003F0CEE">
            <w:pPr>
              <w:pStyle w:val="TableTextLeft"/>
              <w:spacing w:line="260" w:lineRule="exact"/>
              <w:jc w:val="both"/>
            </w:pPr>
            <w:r w:rsidRPr="00762F6A">
              <w:t>Estimates</w:t>
            </w:r>
          </w:p>
        </w:tc>
        <w:tc>
          <w:tcPr>
            <w:tcW w:w="3262" w:type="dxa"/>
            <w:gridSpan w:val="4"/>
            <w:tcBorders>
              <w:top w:val="single" w:sz="2" w:space="0" w:color="000000"/>
              <w:left w:val="nil"/>
              <w:bottom w:val="single" w:sz="2" w:space="0" w:color="000000"/>
              <w:right w:val="single" w:sz="2" w:space="0" w:color="000000"/>
            </w:tcBorders>
          </w:tcPr>
          <w:p w14:paraId="208712A5" w14:textId="77777777" w:rsidR="003F0CEE" w:rsidRPr="00762F6A" w:rsidRDefault="003F0CEE" w:rsidP="003F0CEE">
            <w:pPr>
              <w:pStyle w:val="TableColumnHeadingLeft"/>
              <w:spacing w:line="260" w:lineRule="exact"/>
              <w:jc w:val="both"/>
            </w:pPr>
            <w:r w:rsidRPr="00762F6A">
              <w:t>Revenue forgone estimate ($m)</w:t>
            </w:r>
          </w:p>
        </w:tc>
        <w:tc>
          <w:tcPr>
            <w:tcW w:w="3332" w:type="dxa"/>
            <w:gridSpan w:val="4"/>
            <w:tcBorders>
              <w:top w:val="single" w:sz="2" w:space="0" w:color="000000"/>
              <w:left w:val="single" w:sz="2" w:space="0" w:color="000000"/>
              <w:bottom w:val="single" w:sz="2" w:space="0" w:color="000000"/>
              <w:right w:val="nil"/>
            </w:tcBorders>
          </w:tcPr>
          <w:p w14:paraId="208712A6" w14:textId="77777777" w:rsidR="003F0CEE" w:rsidRPr="00762F6A" w:rsidRDefault="003F0CEE" w:rsidP="003F0CEE">
            <w:pPr>
              <w:pStyle w:val="TableColumnHeadingLeft"/>
              <w:spacing w:line="260" w:lineRule="exact"/>
              <w:jc w:val="both"/>
            </w:pPr>
            <w:r w:rsidRPr="00762F6A">
              <w:t>Revenue gain estimate ($m)</w:t>
            </w:r>
          </w:p>
        </w:tc>
      </w:tr>
      <w:tr w:rsidR="003F0CEE" w:rsidRPr="00762F6A" w14:paraId="208712B1" w14:textId="77777777" w:rsidTr="003F0CEE">
        <w:trPr>
          <w:trHeight w:val="249"/>
        </w:trPr>
        <w:tc>
          <w:tcPr>
            <w:tcW w:w="1133" w:type="dxa"/>
            <w:vMerge/>
            <w:tcBorders>
              <w:top w:val="nil"/>
              <w:left w:val="nil"/>
              <w:bottom w:val="nil"/>
              <w:right w:val="nil"/>
            </w:tcBorders>
          </w:tcPr>
          <w:p w14:paraId="208712A8" w14:textId="77777777" w:rsidR="003F0CEE" w:rsidRPr="00762F6A" w:rsidRDefault="003F0CEE" w:rsidP="003F0CEE">
            <w:pPr>
              <w:pStyle w:val="TableTextLeft"/>
              <w:spacing w:line="260" w:lineRule="exact"/>
              <w:jc w:val="both"/>
              <w:rPr>
                <w:highlight w:val="yellow"/>
              </w:rPr>
            </w:pPr>
          </w:p>
        </w:tc>
        <w:tc>
          <w:tcPr>
            <w:tcW w:w="816" w:type="dxa"/>
            <w:tcBorders>
              <w:top w:val="single" w:sz="2" w:space="0" w:color="000000"/>
              <w:left w:val="nil"/>
              <w:bottom w:val="single" w:sz="2" w:space="0" w:color="000000"/>
              <w:right w:val="single" w:sz="2" w:space="0" w:color="000000"/>
            </w:tcBorders>
            <w:vAlign w:val="bottom"/>
          </w:tcPr>
          <w:p w14:paraId="208712A9"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6" w:type="dxa"/>
            <w:tcBorders>
              <w:top w:val="single" w:sz="2" w:space="0" w:color="000000"/>
              <w:left w:val="single" w:sz="2" w:space="0" w:color="000000"/>
              <w:bottom w:val="single" w:sz="2" w:space="0" w:color="000000"/>
              <w:right w:val="single" w:sz="2" w:space="0" w:color="000000"/>
            </w:tcBorders>
            <w:vAlign w:val="bottom"/>
          </w:tcPr>
          <w:p w14:paraId="208712AA"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AB" w14:textId="77777777" w:rsidR="003F0CEE" w:rsidRPr="00762F6A" w:rsidRDefault="003F0CEE" w:rsidP="003F0CEE">
            <w:pPr>
              <w:pStyle w:val="TableColumnHeadingCentred"/>
              <w:spacing w:line="260" w:lineRule="exact"/>
            </w:pPr>
            <w:r w:rsidRPr="00762F6A">
              <w:t>2018</w:t>
            </w:r>
            <w:r w:rsidRPr="00762F6A">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AC" w14:textId="77777777" w:rsidR="003F0CEE" w:rsidRPr="00762F6A" w:rsidRDefault="003F0CEE" w:rsidP="003F0CEE">
            <w:pPr>
              <w:pStyle w:val="TableColumnHeadingCentred"/>
              <w:spacing w:line="260" w:lineRule="exact"/>
            </w:pPr>
            <w:r w:rsidRPr="00762F6A">
              <w:t>201</w:t>
            </w:r>
            <w:r>
              <w:t>9</w:t>
            </w:r>
            <w:r w:rsidRPr="00762F6A">
              <w:noBreakHyphen/>
            </w:r>
            <w:r>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AD"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AE"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AF" w14:textId="77777777" w:rsidR="003F0CEE" w:rsidRPr="00762F6A" w:rsidRDefault="003F0CEE" w:rsidP="003F0CEE">
            <w:pPr>
              <w:pStyle w:val="TableColumnHeadingCentred"/>
              <w:spacing w:line="260" w:lineRule="exact"/>
            </w:pPr>
            <w:r w:rsidRPr="00762F6A">
              <w:t>2018</w:t>
            </w:r>
            <w:r w:rsidRPr="00762F6A">
              <w:noBreakHyphen/>
              <w:t>19</w:t>
            </w:r>
          </w:p>
        </w:tc>
        <w:tc>
          <w:tcPr>
            <w:tcW w:w="887" w:type="dxa"/>
            <w:tcBorders>
              <w:top w:val="single" w:sz="2" w:space="0" w:color="000000"/>
              <w:left w:val="single" w:sz="2" w:space="0" w:color="000000"/>
              <w:bottom w:val="single" w:sz="2" w:space="0" w:color="000000"/>
              <w:right w:val="nil"/>
            </w:tcBorders>
            <w:vAlign w:val="bottom"/>
          </w:tcPr>
          <w:p w14:paraId="208712B0" w14:textId="77777777" w:rsidR="003F0CEE" w:rsidRPr="00762F6A" w:rsidRDefault="003F0CEE" w:rsidP="003F0CEE">
            <w:pPr>
              <w:pStyle w:val="TableColumnHeadingCentred"/>
              <w:spacing w:line="260" w:lineRule="exact"/>
            </w:pPr>
            <w:r w:rsidRPr="00762F6A">
              <w:t>201</w:t>
            </w:r>
            <w:r>
              <w:t>9</w:t>
            </w:r>
            <w:r w:rsidRPr="00762F6A">
              <w:noBreakHyphen/>
            </w:r>
            <w:r>
              <w:t>20</w:t>
            </w:r>
          </w:p>
        </w:tc>
      </w:tr>
      <w:tr w:rsidR="003F0CEE" w:rsidRPr="00762F6A" w14:paraId="208712BB" w14:textId="77777777" w:rsidTr="003F0CEE">
        <w:tc>
          <w:tcPr>
            <w:tcW w:w="1133" w:type="dxa"/>
            <w:tcBorders>
              <w:top w:val="nil"/>
              <w:left w:val="nil"/>
              <w:bottom w:val="single" w:sz="2" w:space="0" w:color="000000"/>
              <w:right w:val="nil"/>
            </w:tcBorders>
          </w:tcPr>
          <w:p w14:paraId="208712B2" w14:textId="77777777" w:rsidR="003F0CEE" w:rsidRPr="00762F6A" w:rsidRDefault="003F0CEE" w:rsidP="003F0CEE">
            <w:pPr>
              <w:spacing w:before="20" w:after="20"/>
              <w:rPr>
                <w:highlight w:val="yellow"/>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208712B3" w14:textId="77777777" w:rsidR="003F0CEE" w:rsidRPr="00762F6A" w:rsidRDefault="00A75E8B" w:rsidP="003F0CEE">
            <w:pPr>
              <w:spacing w:before="20" w:after="20"/>
              <w:jc w:val="center"/>
              <w:rPr>
                <w:rFonts w:ascii="Arial" w:hAnsi="Arial" w:cs="Arial"/>
                <w:color w:val="000000"/>
                <w:sz w:val="16"/>
                <w:szCs w:val="16"/>
              </w:rPr>
            </w:pPr>
            <w:r>
              <w:rPr>
                <w:rFonts w:ascii="Arial" w:hAnsi="Arial" w:cs="Arial"/>
                <w:color w:val="000000"/>
                <w:sz w:val="16"/>
                <w:szCs w:val="16"/>
              </w:rPr>
              <w:t>4,000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B4" w14:textId="77777777" w:rsidR="003F0CEE" w:rsidRPr="00762F6A" w:rsidRDefault="00A75E8B" w:rsidP="003F0CEE">
            <w:pPr>
              <w:spacing w:before="20" w:after="20"/>
              <w:jc w:val="center"/>
              <w:rPr>
                <w:rFonts w:ascii="Arial" w:hAnsi="Arial" w:cs="Arial"/>
                <w:color w:val="000000"/>
                <w:sz w:val="16"/>
                <w:szCs w:val="16"/>
              </w:rPr>
            </w:pPr>
            <w:r>
              <w:rPr>
                <w:rFonts w:ascii="Arial" w:hAnsi="Arial" w:cs="Arial"/>
                <w:color w:val="000000"/>
                <w:sz w:val="16"/>
                <w:szCs w:val="16"/>
              </w:rPr>
              <w:t>4,300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B5" w14:textId="77777777" w:rsidR="003F0CEE" w:rsidRPr="00762F6A" w:rsidRDefault="00A75E8B" w:rsidP="003F0CEE">
            <w:pPr>
              <w:spacing w:before="20" w:after="20"/>
              <w:jc w:val="center"/>
              <w:rPr>
                <w:rFonts w:ascii="Arial" w:hAnsi="Arial" w:cs="Arial"/>
                <w:color w:val="000000"/>
                <w:sz w:val="16"/>
                <w:szCs w:val="16"/>
              </w:rPr>
            </w:pPr>
            <w:r>
              <w:rPr>
                <w:rFonts w:ascii="Arial" w:hAnsi="Arial" w:cs="Arial"/>
                <w:color w:val="000000"/>
                <w:sz w:val="16"/>
                <w:szCs w:val="16"/>
              </w:rPr>
              <w:t>4,600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B6" w14:textId="77777777" w:rsidR="003F0CEE" w:rsidRPr="00762F6A" w:rsidRDefault="00A75E8B" w:rsidP="003F0CEE">
            <w:pPr>
              <w:spacing w:before="20" w:after="20"/>
              <w:jc w:val="center"/>
              <w:rPr>
                <w:rFonts w:ascii="Arial" w:hAnsi="Arial" w:cs="Arial"/>
                <w:color w:val="000000"/>
                <w:sz w:val="16"/>
                <w:szCs w:val="16"/>
              </w:rPr>
            </w:pPr>
            <w:r>
              <w:rPr>
                <w:rFonts w:ascii="Arial" w:hAnsi="Arial" w:cs="Arial"/>
                <w:color w:val="000000"/>
                <w:sz w:val="16"/>
                <w:szCs w:val="16"/>
              </w:rPr>
              <w:t>4,900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B7" w14:textId="77777777" w:rsidR="003F0CEE" w:rsidRPr="00762F6A" w:rsidRDefault="006A4790" w:rsidP="003F0CEE">
            <w:pPr>
              <w:spacing w:before="20" w:after="20"/>
              <w:jc w:val="center"/>
              <w:rPr>
                <w:rFonts w:ascii="Arial" w:hAnsi="Arial" w:cs="Arial"/>
                <w:color w:val="000000"/>
                <w:sz w:val="16"/>
                <w:szCs w:val="16"/>
              </w:rPr>
            </w:pPr>
            <w:r>
              <w:rPr>
                <w:rFonts w:ascii="Arial" w:hAnsi="Arial" w:cs="Arial"/>
                <w:color w:val="000000"/>
                <w:sz w:val="16"/>
                <w:szCs w:val="16"/>
              </w:rPr>
              <w:t>3,950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B8" w14:textId="77777777" w:rsidR="003F0CEE" w:rsidRPr="00762F6A" w:rsidRDefault="006A4790" w:rsidP="003F0CEE">
            <w:pPr>
              <w:spacing w:before="20" w:after="20"/>
              <w:jc w:val="center"/>
              <w:rPr>
                <w:rFonts w:ascii="Arial" w:hAnsi="Arial" w:cs="Arial"/>
                <w:color w:val="000000"/>
                <w:sz w:val="16"/>
                <w:szCs w:val="16"/>
              </w:rPr>
            </w:pPr>
            <w:r>
              <w:rPr>
                <w:rFonts w:ascii="Arial" w:hAnsi="Arial" w:cs="Arial"/>
                <w:color w:val="000000"/>
                <w:sz w:val="16"/>
                <w:szCs w:val="16"/>
              </w:rPr>
              <w:t>4,250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B9" w14:textId="77777777" w:rsidR="003F0CEE" w:rsidRPr="00762F6A" w:rsidRDefault="006A4790" w:rsidP="003F0CEE">
            <w:pPr>
              <w:spacing w:before="20" w:after="20"/>
              <w:jc w:val="center"/>
              <w:rPr>
                <w:rFonts w:ascii="Arial" w:hAnsi="Arial" w:cs="Arial"/>
                <w:color w:val="000000"/>
                <w:sz w:val="16"/>
                <w:szCs w:val="16"/>
              </w:rPr>
            </w:pPr>
            <w:r>
              <w:rPr>
                <w:rFonts w:ascii="Arial" w:hAnsi="Arial" w:cs="Arial"/>
                <w:color w:val="000000"/>
                <w:sz w:val="16"/>
                <w:szCs w:val="16"/>
              </w:rPr>
              <w:t>4,500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208712BA" w14:textId="77777777" w:rsidR="003F0CEE" w:rsidRPr="00762F6A" w:rsidRDefault="006A4790" w:rsidP="003F0CEE">
            <w:pPr>
              <w:spacing w:before="20" w:after="20"/>
              <w:jc w:val="center"/>
              <w:rPr>
                <w:rFonts w:ascii="Arial" w:hAnsi="Arial" w:cs="Arial"/>
                <w:color w:val="000000"/>
                <w:sz w:val="16"/>
                <w:szCs w:val="16"/>
              </w:rPr>
            </w:pPr>
            <w:r>
              <w:rPr>
                <w:rFonts w:ascii="Arial" w:hAnsi="Arial" w:cs="Arial"/>
                <w:color w:val="000000"/>
                <w:sz w:val="16"/>
                <w:szCs w:val="16"/>
              </w:rPr>
              <w:t>4,800</w:t>
            </w:r>
          </w:p>
        </w:tc>
      </w:tr>
      <w:tr w:rsidR="003F0CEE" w:rsidRPr="00762F6A" w14:paraId="208712BE" w14:textId="77777777" w:rsidTr="003F0CEE">
        <w:tc>
          <w:tcPr>
            <w:tcW w:w="1133" w:type="dxa"/>
            <w:tcBorders>
              <w:top w:val="single" w:sz="2" w:space="0" w:color="000000"/>
              <w:left w:val="nil"/>
              <w:bottom w:val="single" w:sz="2" w:space="0" w:color="000000"/>
              <w:right w:val="nil"/>
            </w:tcBorders>
          </w:tcPr>
          <w:p w14:paraId="208712BC" w14:textId="77777777" w:rsidR="003F0CEE" w:rsidRPr="00762F6A" w:rsidRDefault="003F0CEE" w:rsidP="003F0CEE">
            <w:pPr>
              <w:pStyle w:val="TableTextLeft"/>
              <w:spacing w:before="80" w:after="80"/>
            </w:pPr>
            <w:r w:rsidRPr="00762F6A">
              <w:t>Reason for difference</w:t>
            </w:r>
          </w:p>
        </w:tc>
        <w:tc>
          <w:tcPr>
            <w:tcW w:w="6594" w:type="dxa"/>
            <w:gridSpan w:val="8"/>
            <w:tcBorders>
              <w:top w:val="single" w:sz="2" w:space="0" w:color="000000"/>
              <w:left w:val="nil"/>
              <w:bottom w:val="single" w:sz="2" w:space="0" w:color="000000"/>
              <w:right w:val="nil"/>
            </w:tcBorders>
          </w:tcPr>
          <w:p w14:paraId="208712BD" w14:textId="77777777" w:rsidR="003F0CEE" w:rsidRPr="00762F6A" w:rsidRDefault="003F0CEE" w:rsidP="003F0CEE">
            <w:pPr>
              <w:pStyle w:val="TableTextLeft"/>
              <w:spacing w:before="80" w:after="80"/>
              <w:jc w:val="both"/>
            </w:pPr>
            <w:r w:rsidRPr="00762F6A">
              <w:t>Removing the GST exemption for medical and health services would be expected to decrease demand for those services. However, the impact of this behavioural response is expected to be small as demand for medical and health services is likely to be relatively unresponsive to changes in price.</w:t>
            </w:r>
          </w:p>
        </w:tc>
      </w:tr>
      <w:tr w:rsidR="003F0CEE" w:rsidRPr="00762F6A" w14:paraId="208712C0" w14:textId="77777777" w:rsidTr="003F0CEE">
        <w:tc>
          <w:tcPr>
            <w:tcW w:w="7727" w:type="dxa"/>
            <w:gridSpan w:val="9"/>
            <w:tcBorders>
              <w:top w:val="single" w:sz="2" w:space="0" w:color="000000"/>
              <w:left w:val="nil"/>
              <w:bottom w:val="single" w:sz="2" w:space="0" w:color="000000"/>
              <w:right w:val="nil"/>
            </w:tcBorders>
            <w:shd w:val="clear" w:color="auto" w:fill="E6E6E6"/>
          </w:tcPr>
          <w:p w14:paraId="208712BF" w14:textId="77777777" w:rsidR="003F0CEE" w:rsidRPr="00762F6A" w:rsidRDefault="00037890" w:rsidP="00037890">
            <w:pPr>
              <w:pStyle w:val="TableColumnHeadingLeft"/>
              <w:spacing w:before="60" w:after="60"/>
            </w:pPr>
            <w:r>
              <w:t>A24</w:t>
            </w:r>
            <w:r w:rsidR="003F0CEE" w:rsidRPr="00762F6A">
              <w:t>: Concessional taxation of non</w:t>
            </w:r>
            <w:r w:rsidR="003F0CEE" w:rsidRPr="00762F6A">
              <w:noBreakHyphen/>
              <w:t>superannuation termination benefits</w:t>
            </w:r>
          </w:p>
        </w:tc>
      </w:tr>
      <w:tr w:rsidR="003F0CEE" w:rsidRPr="00762F6A" w14:paraId="208712C4" w14:textId="77777777" w:rsidTr="003F0CEE">
        <w:tc>
          <w:tcPr>
            <w:tcW w:w="1133" w:type="dxa"/>
            <w:vMerge w:val="restart"/>
            <w:tcBorders>
              <w:top w:val="single" w:sz="2" w:space="0" w:color="000000"/>
              <w:left w:val="nil"/>
              <w:bottom w:val="nil"/>
              <w:right w:val="nil"/>
            </w:tcBorders>
          </w:tcPr>
          <w:p w14:paraId="208712C1" w14:textId="77777777" w:rsidR="003F0CEE" w:rsidRPr="00762F6A" w:rsidRDefault="003F0CEE" w:rsidP="003F0CEE">
            <w:pPr>
              <w:pStyle w:val="TableTextLeft"/>
              <w:spacing w:line="260" w:lineRule="exact"/>
              <w:jc w:val="both"/>
            </w:pPr>
            <w:r w:rsidRPr="00762F6A">
              <w:t>Estimates</w:t>
            </w:r>
          </w:p>
        </w:tc>
        <w:tc>
          <w:tcPr>
            <w:tcW w:w="3262" w:type="dxa"/>
            <w:gridSpan w:val="4"/>
            <w:tcBorders>
              <w:top w:val="single" w:sz="2" w:space="0" w:color="000000"/>
              <w:left w:val="nil"/>
              <w:bottom w:val="single" w:sz="2" w:space="0" w:color="000000"/>
              <w:right w:val="single" w:sz="2" w:space="0" w:color="000000"/>
            </w:tcBorders>
          </w:tcPr>
          <w:p w14:paraId="208712C2" w14:textId="77777777" w:rsidR="003F0CEE" w:rsidRPr="00762F6A" w:rsidRDefault="003F0CEE" w:rsidP="003F0CEE">
            <w:pPr>
              <w:pStyle w:val="TableColumnHeadingLeft"/>
              <w:spacing w:line="260" w:lineRule="exact"/>
              <w:jc w:val="both"/>
            </w:pPr>
            <w:r w:rsidRPr="00762F6A">
              <w:t>Revenue forgone estimate ($m)</w:t>
            </w:r>
          </w:p>
        </w:tc>
        <w:tc>
          <w:tcPr>
            <w:tcW w:w="3332" w:type="dxa"/>
            <w:gridSpan w:val="4"/>
            <w:tcBorders>
              <w:top w:val="single" w:sz="2" w:space="0" w:color="000000"/>
              <w:left w:val="single" w:sz="2" w:space="0" w:color="000000"/>
              <w:bottom w:val="single" w:sz="2" w:space="0" w:color="000000"/>
              <w:right w:val="nil"/>
            </w:tcBorders>
          </w:tcPr>
          <w:p w14:paraId="208712C3" w14:textId="77777777" w:rsidR="003F0CEE" w:rsidRPr="00762F6A" w:rsidRDefault="003F0CEE" w:rsidP="003F0CEE">
            <w:pPr>
              <w:pStyle w:val="TableColumnHeadingLeft"/>
              <w:spacing w:line="260" w:lineRule="exact"/>
              <w:jc w:val="both"/>
            </w:pPr>
            <w:r w:rsidRPr="00762F6A">
              <w:t>Revenue gain estimate ($m)</w:t>
            </w:r>
          </w:p>
        </w:tc>
      </w:tr>
      <w:tr w:rsidR="003F0CEE" w:rsidRPr="00762F6A" w14:paraId="208712CE" w14:textId="77777777" w:rsidTr="003F0CEE">
        <w:trPr>
          <w:trHeight w:val="249"/>
        </w:trPr>
        <w:tc>
          <w:tcPr>
            <w:tcW w:w="1133" w:type="dxa"/>
            <w:vMerge/>
            <w:tcBorders>
              <w:top w:val="nil"/>
              <w:left w:val="nil"/>
              <w:bottom w:val="nil"/>
              <w:right w:val="nil"/>
            </w:tcBorders>
          </w:tcPr>
          <w:p w14:paraId="208712C5" w14:textId="77777777" w:rsidR="003F0CEE" w:rsidRPr="00762F6A" w:rsidRDefault="003F0CEE" w:rsidP="003F0CEE">
            <w:pPr>
              <w:pStyle w:val="TableTextLeft"/>
              <w:spacing w:line="260" w:lineRule="exact"/>
              <w:jc w:val="both"/>
              <w:rPr>
                <w:highlight w:val="yellow"/>
              </w:rPr>
            </w:pPr>
          </w:p>
        </w:tc>
        <w:tc>
          <w:tcPr>
            <w:tcW w:w="816" w:type="dxa"/>
            <w:tcBorders>
              <w:top w:val="single" w:sz="2" w:space="0" w:color="000000"/>
              <w:left w:val="nil"/>
              <w:bottom w:val="single" w:sz="2" w:space="0" w:color="000000"/>
              <w:right w:val="single" w:sz="2" w:space="0" w:color="000000"/>
            </w:tcBorders>
            <w:vAlign w:val="bottom"/>
          </w:tcPr>
          <w:p w14:paraId="208712C6"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6" w:type="dxa"/>
            <w:tcBorders>
              <w:top w:val="single" w:sz="2" w:space="0" w:color="000000"/>
              <w:left w:val="single" w:sz="2" w:space="0" w:color="000000"/>
              <w:bottom w:val="single" w:sz="2" w:space="0" w:color="000000"/>
              <w:right w:val="single" w:sz="2" w:space="0" w:color="000000"/>
            </w:tcBorders>
            <w:vAlign w:val="bottom"/>
          </w:tcPr>
          <w:p w14:paraId="208712C7"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C8" w14:textId="77777777" w:rsidR="003F0CEE" w:rsidRPr="00762F6A" w:rsidRDefault="003F0CEE" w:rsidP="003F0CEE">
            <w:pPr>
              <w:pStyle w:val="TableColumnHeadingCentred"/>
              <w:spacing w:line="260" w:lineRule="exact"/>
            </w:pPr>
            <w:r w:rsidRPr="00762F6A">
              <w:t>2018</w:t>
            </w:r>
            <w:r w:rsidRPr="00762F6A">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C9" w14:textId="77777777" w:rsidR="003F0CEE" w:rsidRPr="00762F6A" w:rsidRDefault="003F0CEE" w:rsidP="003F0CEE">
            <w:pPr>
              <w:pStyle w:val="TableColumnHeadingCentred"/>
              <w:spacing w:line="260" w:lineRule="exact"/>
            </w:pPr>
            <w:r w:rsidRPr="00762F6A">
              <w:t>201</w:t>
            </w:r>
            <w:r>
              <w:t>9</w:t>
            </w:r>
            <w:r w:rsidRPr="00762F6A">
              <w:noBreakHyphen/>
            </w:r>
            <w:r>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CA"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CB"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CC" w14:textId="77777777" w:rsidR="003F0CEE" w:rsidRPr="00762F6A" w:rsidRDefault="003F0CEE" w:rsidP="003F0CEE">
            <w:pPr>
              <w:pStyle w:val="TableColumnHeadingCentred"/>
              <w:spacing w:line="260" w:lineRule="exact"/>
            </w:pPr>
            <w:r w:rsidRPr="00762F6A">
              <w:t>2018</w:t>
            </w:r>
            <w:r w:rsidRPr="00762F6A">
              <w:noBreakHyphen/>
              <w:t>19</w:t>
            </w:r>
          </w:p>
        </w:tc>
        <w:tc>
          <w:tcPr>
            <w:tcW w:w="887" w:type="dxa"/>
            <w:tcBorders>
              <w:top w:val="single" w:sz="2" w:space="0" w:color="000000"/>
              <w:left w:val="single" w:sz="2" w:space="0" w:color="000000"/>
              <w:bottom w:val="single" w:sz="2" w:space="0" w:color="000000"/>
              <w:right w:val="nil"/>
            </w:tcBorders>
            <w:vAlign w:val="bottom"/>
          </w:tcPr>
          <w:p w14:paraId="208712CD" w14:textId="77777777" w:rsidR="003F0CEE" w:rsidRPr="00762F6A" w:rsidRDefault="003F0CEE" w:rsidP="003F0CEE">
            <w:pPr>
              <w:pStyle w:val="TableColumnHeadingCentred"/>
              <w:spacing w:line="260" w:lineRule="exact"/>
            </w:pPr>
            <w:r w:rsidRPr="00762F6A">
              <w:t>201</w:t>
            </w:r>
            <w:r>
              <w:t>9</w:t>
            </w:r>
            <w:r w:rsidRPr="00762F6A">
              <w:noBreakHyphen/>
            </w:r>
            <w:r>
              <w:t>20</w:t>
            </w:r>
          </w:p>
        </w:tc>
      </w:tr>
      <w:tr w:rsidR="00A75E8B" w:rsidRPr="00762F6A" w14:paraId="208712D8" w14:textId="77777777" w:rsidTr="003F0CEE">
        <w:tc>
          <w:tcPr>
            <w:tcW w:w="1133" w:type="dxa"/>
            <w:tcBorders>
              <w:top w:val="nil"/>
              <w:left w:val="nil"/>
              <w:bottom w:val="single" w:sz="2" w:space="0" w:color="000000"/>
              <w:right w:val="nil"/>
            </w:tcBorders>
          </w:tcPr>
          <w:p w14:paraId="208712CF" w14:textId="77777777" w:rsidR="00A75E8B" w:rsidRPr="00762F6A" w:rsidRDefault="00A75E8B" w:rsidP="003F0CEE">
            <w:pPr>
              <w:spacing w:before="20" w:after="20"/>
              <w:rPr>
                <w:highlight w:val="yellow"/>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208712D0" w14:textId="77777777" w:rsidR="00A75E8B" w:rsidRPr="00762F6A" w:rsidRDefault="00A75E8B" w:rsidP="003F0CEE">
            <w:pPr>
              <w:spacing w:after="20"/>
              <w:jc w:val="center"/>
              <w:rPr>
                <w:rFonts w:ascii="Arial" w:hAnsi="Arial" w:cs="Arial"/>
                <w:color w:val="000000"/>
                <w:sz w:val="16"/>
                <w:szCs w:val="16"/>
              </w:rPr>
            </w:pPr>
            <w:r>
              <w:rPr>
                <w:rFonts w:ascii="Arial" w:hAnsi="Arial" w:cs="Arial"/>
                <w:sz w:val="16"/>
                <w:szCs w:val="16"/>
              </w:rPr>
              <w:t>2,600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D1" w14:textId="77777777" w:rsidR="00A75E8B" w:rsidRPr="00762F6A" w:rsidRDefault="00A75E8B" w:rsidP="00A75E8B">
            <w:pPr>
              <w:spacing w:after="20"/>
              <w:jc w:val="center"/>
              <w:rPr>
                <w:rFonts w:ascii="Arial" w:hAnsi="Arial" w:cs="Arial"/>
                <w:color w:val="000000"/>
                <w:sz w:val="16"/>
                <w:szCs w:val="16"/>
              </w:rPr>
            </w:pPr>
            <w:r>
              <w:rPr>
                <w:rFonts w:ascii="Arial" w:hAnsi="Arial" w:cs="Arial"/>
                <w:sz w:val="16"/>
                <w:szCs w:val="16"/>
              </w:rPr>
              <w:t>2,500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D2" w14:textId="77777777" w:rsidR="00A75E8B" w:rsidRPr="00762F6A" w:rsidRDefault="00A75E8B" w:rsidP="003F0CEE">
            <w:pPr>
              <w:spacing w:after="20"/>
              <w:jc w:val="center"/>
              <w:rPr>
                <w:rFonts w:ascii="Arial" w:hAnsi="Arial" w:cs="Arial"/>
                <w:color w:val="000000"/>
                <w:sz w:val="16"/>
                <w:szCs w:val="16"/>
              </w:rPr>
            </w:pPr>
            <w:r>
              <w:rPr>
                <w:rFonts w:ascii="Arial" w:hAnsi="Arial" w:cs="Arial"/>
                <w:sz w:val="16"/>
                <w:szCs w:val="16"/>
              </w:rPr>
              <w:t>2,400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D3" w14:textId="77777777" w:rsidR="00A75E8B" w:rsidRPr="00762F6A" w:rsidRDefault="00A75E8B" w:rsidP="00A75E8B">
            <w:pPr>
              <w:spacing w:after="20"/>
              <w:jc w:val="center"/>
              <w:rPr>
                <w:rFonts w:ascii="Arial" w:hAnsi="Arial" w:cs="Arial"/>
                <w:color w:val="000000"/>
                <w:sz w:val="16"/>
                <w:szCs w:val="16"/>
              </w:rPr>
            </w:pPr>
            <w:r>
              <w:rPr>
                <w:rFonts w:ascii="Arial" w:hAnsi="Arial" w:cs="Arial"/>
                <w:sz w:val="16"/>
                <w:szCs w:val="16"/>
              </w:rPr>
              <w:t>2,300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D4" w14:textId="77777777" w:rsidR="00A75E8B" w:rsidRPr="00762F6A" w:rsidRDefault="00A75E8B" w:rsidP="00802D3E">
            <w:pPr>
              <w:spacing w:after="20"/>
              <w:jc w:val="center"/>
              <w:rPr>
                <w:rFonts w:ascii="Arial" w:hAnsi="Arial" w:cs="Arial"/>
                <w:color w:val="000000"/>
                <w:sz w:val="16"/>
                <w:szCs w:val="16"/>
              </w:rPr>
            </w:pPr>
            <w:r>
              <w:rPr>
                <w:rFonts w:ascii="Arial" w:hAnsi="Arial" w:cs="Arial"/>
                <w:sz w:val="16"/>
                <w:szCs w:val="16"/>
              </w:rPr>
              <w:t>2,600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D5" w14:textId="77777777" w:rsidR="00A75E8B" w:rsidRPr="00762F6A" w:rsidRDefault="00A75E8B" w:rsidP="00802D3E">
            <w:pPr>
              <w:spacing w:after="20"/>
              <w:jc w:val="center"/>
              <w:rPr>
                <w:rFonts w:ascii="Arial" w:hAnsi="Arial" w:cs="Arial"/>
                <w:color w:val="000000"/>
                <w:sz w:val="16"/>
                <w:szCs w:val="16"/>
              </w:rPr>
            </w:pPr>
            <w:r>
              <w:rPr>
                <w:rFonts w:ascii="Arial" w:hAnsi="Arial" w:cs="Arial"/>
                <w:sz w:val="16"/>
                <w:szCs w:val="16"/>
              </w:rPr>
              <w:t>2,500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2D6" w14:textId="77777777" w:rsidR="00A75E8B" w:rsidRPr="00762F6A" w:rsidRDefault="00A75E8B" w:rsidP="00802D3E">
            <w:pPr>
              <w:spacing w:after="20"/>
              <w:jc w:val="center"/>
              <w:rPr>
                <w:rFonts w:ascii="Arial" w:hAnsi="Arial" w:cs="Arial"/>
                <w:color w:val="000000"/>
                <w:sz w:val="16"/>
                <w:szCs w:val="16"/>
              </w:rPr>
            </w:pPr>
            <w:r>
              <w:rPr>
                <w:rFonts w:ascii="Arial" w:hAnsi="Arial" w:cs="Arial"/>
                <w:sz w:val="16"/>
                <w:szCs w:val="16"/>
              </w:rPr>
              <w:t>2,400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208712D7" w14:textId="77777777" w:rsidR="00A75E8B" w:rsidRPr="00762F6A" w:rsidRDefault="00A75E8B" w:rsidP="00802D3E">
            <w:pPr>
              <w:spacing w:after="20"/>
              <w:jc w:val="center"/>
              <w:rPr>
                <w:rFonts w:ascii="Arial" w:hAnsi="Arial" w:cs="Arial"/>
                <w:color w:val="000000"/>
                <w:sz w:val="16"/>
                <w:szCs w:val="16"/>
              </w:rPr>
            </w:pPr>
            <w:r>
              <w:rPr>
                <w:rFonts w:ascii="Arial" w:hAnsi="Arial" w:cs="Arial"/>
                <w:sz w:val="16"/>
                <w:szCs w:val="16"/>
              </w:rPr>
              <w:t>2,300</w:t>
            </w:r>
          </w:p>
        </w:tc>
      </w:tr>
      <w:tr w:rsidR="003F0CEE" w:rsidRPr="00762F6A" w14:paraId="208712DB" w14:textId="77777777" w:rsidTr="003F0CEE">
        <w:tc>
          <w:tcPr>
            <w:tcW w:w="1133" w:type="dxa"/>
            <w:tcBorders>
              <w:top w:val="single" w:sz="2" w:space="0" w:color="000000"/>
              <w:left w:val="nil"/>
              <w:bottom w:val="single" w:sz="4" w:space="0" w:color="auto"/>
              <w:right w:val="nil"/>
            </w:tcBorders>
          </w:tcPr>
          <w:p w14:paraId="208712D9" w14:textId="77777777" w:rsidR="003F0CEE" w:rsidRPr="00762F6A" w:rsidRDefault="003F0CEE" w:rsidP="003F0CEE">
            <w:pPr>
              <w:pStyle w:val="TableTextLeft"/>
              <w:spacing w:before="80" w:after="80"/>
            </w:pPr>
            <w:r w:rsidRPr="00762F6A">
              <w:t>Reason for difference</w:t>
            </w:r>
          </w:p>
        </w:tc>
        <w:tc>
          <w:tcPr>
            <w:tcW w:w="6594" w:type="dxa"/>
            <w:gridSpan w:val="8"/>
            <w:tcBorders>
              <w:top w:val="single" w:sz="2" w:space="0" w:color="000000"/>
              <w:left w:val="nil"/>
              <w:bottom w:val="single" w:sz="4" w:space="0" w:color="auto"/>
              <w:right w:val="nil"/>
            </w:tcBorders>
          </w:tcPr>
          <w:p w14:paraId="208712DA" w14:textId="76BEDAA9" w:rsidR="003F0CEE" w:rsidRPr="00762F6A" w:rsidRDefault="003F0CEE" w:rsidP="00273604">
            <w:pPr>
              <w:pStyle w:val="TableTextLeft"/>
              <w:spacing w:before="80" w:after="80"/>
              <w:jc w:val="both"/>
            </w:pPr>
            <w:r w:rsidRPr="00762F6A">
              <w:t>As this tax expenditure relates to termination of employment (including cases such as redundancy), it is expected that employees would have limited capacity to alter their employment status if the tax treatment changed. As a result there is no material difference between the revenue forgone and revenue gain estimates.</w:t>
            </w:r>
          </w:p>
        </w:tc>
      </w:tr>
      <w:tr w:rsidR="003F0CEE" w:rsidRPr="00762F6A" w14:paraId="208712DD" w14:textId="77777777" w:rsidTr="003F0CEE">
        <w:tc>
          <w:tcPr>
            <w:tcW w:w="7727" w:type="dxa"/>
            <w:gridSpan w:val="9"/>
            <w:tcBorders>
              <w:top w:val="single" w:sz="2" w:space="0" w:color="000000"/>
              <w:left w:val="nil"/>
              <w:bottom w:val="single" w:sz="2" w:space="0" w:color="000000"/>
              <w:right w:val="nil"/>
            </w:tcBorders>
            <w:shd w:val="clear" w:color="auto" w:fill="E6E6E6"/>
          </w:tcPr>
          <w:p w14:paraId="208712DC" w14:textId="77777777" w:rsidR="003F0CEE" w:rsidRPr="00762F6A" w:rsidRDefault="003F0CEE" w:rsidP="003F0CEE">
            <w:pPr>
              <w:pStyle w:val="TableColumnHeadingLeft"/>
              <w:spacing w:before="60" w:after="60"/>
            </w:pPr>
            <w:r w:rsidRPr="00762F6A">
              <w:t xml:space="preserve">F23: Customs duty </w:t>
            </w:r>
          </w:p>
        </w:tc>
      </w:tr>
      <w:tr w:rsidR="003F0CEE" w:rsidRPr="00762F6A" w14:paraId="208712E1" w14:textId="77777777" w:rsidTr="003F0CEE">
        <w:tc>
          <w:tcPr>
            <w:tcW w:w="1133" w:type="dxa"/>
            <w:vMerge w:val="restart"/>
            <w:tcBorders>
              <w:top w:val="single" w:sz="2" w:space="0" w:color="000000"/>
              <w:left w:val="nil"/>
              <w:bottom w:val="nil"/>
              <w:right w:val="nil"/>
            </w:tcBorders>
          </w:tcPr>
          <w:p w14:paraId="208712DE" w14:textId="77777777" w:rsidR="003F0CEE" w:rsidRPr="00762F6A" w:rsidRDefault="003F0CEE" w:rsidP="003F0CEE">
            <w:pPr>
              <w:pStyle w:val="TableTextLeft"/>
              <w:spacing w:line="260" w:lineRule="exact"/>
              <w:jc w:val="both"/>
            </w:pPr>
            <w:r w:rsidRPr="00762F6A">
              <w:t>Estimates</w:t>
            </w:r>
          </w:p>
        </w:tc>
        <w:tc>
          <w:tcPr>
            <w:tcW w:w="3262" w:type="dxa"/>
            <w:gridSpan w:val="4"/>
            <w:tcBorders>
              <w:top w:val="single" w:sz="2" w:space="0" w:color="000000"/>
              <w:left w:val="nil"/>
              <w:bottom w:val="single" w:sz="2" w:space="0" w:color="000000"/>
              <w:right w:val="single" w:sz="2" w:space="0" w:color="000000"/>
            </w:tcBorders>
          </w:tcPr>
          <w:p w14:paraId="208712DF" w14:textId="77777777" w:rsidR="003F0CEE" w:rsidRPr="00762F6A" w:rsidRDefault="003F0CEE" w:rsidP="003F0CEE">
            <w:pPr>
              <w:pStyle w:val="TableColumnHeadingLeft"/>
              <w:spacing w:line="260" w:lineRule="exact"/>
              <w:jc w:val="both"/>
            </w:pPr>
            <w:r w:rsidRPr="00762F6A">
              <w:t>Revenue forgone estimate ($m)</w:t>
            </w:r>
          </w:p>
        </w:tc>
        <w:tc>
          <w:tcPr>
            <w:tcW w:w="3332" w:type="dxa"/>
            <w:gridSpan w:val="4"/>
            <w:tcBorders>
              <w:top w:val="single" w:sz="2" w:space="0" w:color="000000"/>
              <w:left w:val="single" w:sz="2" w:space="0" w:color="000000"/>
              <w:bottom w:val="single" w:sz="2" w:space="0" w:color="000000"/>
              <w:right w:val="nil"/>
            </w:tcBorders>
          </w:tcPr>
          <w:p w14:paraId="208712E0" w14:textId="77777777" w:rsidR="003F0CEE" w:rsidRPr="00762F6A" w:rsidRDefault="003F0CEE" w:rsidP="003F0CEE">
            <w:pPr>
              <w:pStyle w:val="TableColumnHeadingLeft"/>
              <w:spacing w:line="260" w:lineRule="exact"/>
              <w:jc w:val="both"/>
            </w:pPr>
            <w:r w:rsidRPr="00762F6A">
              <w:t>Revenue gain estimate ($m)</w:t>
            </w:r>
          </w:p>
        </w:tc>
      </w:tr>
      <w:tr w:rsidR="003F0CEE" w:rsidRPr="00762F6A" w14:paraId="208712EB" w14:textId="77777777" w:rsidTr="003F0CEE">
        <w:trPr>
          <w:trHeight w:val="249"/>
        </w:trPr>
        <w:tc>
          <w:tcPr>
            <w:tcW w:w="1133" w:type="dxa"/>
            <w:vMerge/>
            <w:tcBorders>
              <w:top w:val="nil"/>
              <w:left w:val="nil"/>
              <w:bottom w:val="nil"/>
              <w:right w:val="nil"/>
            </w:tcBorders>
          </w:tcPr>
          <w:p w14:paraId="208712E2" w14:textId="77777777" w:rsidR="003F0CEE" w:rsidRPr="00762F6A" w:rsidRDefault="003F0CEE" w:rsidP="003F0CEE">
            <w:pPr>
              <w:pStyle w:val="TableTextLeft"/>
              <w:spacing w:line="260" w:lineRule="exact"/>
              <w:jc w:val="both"/>
              <w:rPr>
                <w:highlight w:val="yellow"/>
              </w:rPr>
            </w:pPr>
          </w:p>
        </w:tc>
        <w:tc>
          <w:tcPr>
            <w:tcW w:w="816" w:type="dxa"/>
            <w:tcBorders>
              <w:top w:val="single" w:sz="2" w:space="0" w:color="000000"/>
              <w:left w:val="nil"/>
              <w:bottom w:val="single" w:sz="2" w:space="0" w:color="000000"/>
              <w:right w:val="single" w:sz="2" w:space="0" w:color="000000"/>
            </w:tcBorders>
            <w:vAlign w:val="bottom"/>
          </w:tcPr>
          <w:p w14:paraId="208712E3"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6" w:type="dxa"/>
            <w:tcBorders>
              <w:top w:val="single" w:sz="2" w:space="0" w:color="000000"/>
              <w:left w:val="single" w:sz="2" w:space="0" w:color="000000"/>
              <w:bottom w:val="single" w:sz="2" w:space="0" w:color="000000"/>
              <w:right w:val="single" w:sz="2" w:space="0" w:color="000000"/>
            </w:tcBorders>
            <w:vAlign w:val="bottom"/>
          </w:tcPr>
          <w:p w14:paraId="208712E4"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E5" w14:textId="77777777" w:rsidR="003F0CEE" w:rsidRPr="00762F6A" w:rsidRDefault="003F0CEE" w:rsidP="003F0CEE">
            <w:pPr>
              <w:pStyle w:val="TableColumnHeadingCentred"/>
              <w:spacing w:line="260" w:lineRule="exact"/>
            </w:pPr>
            <w:r w:rsidRPr="00762F6A">
              <w:t>2018</w:t>
            </w:r>
            <w:r w:rsidRPr="00762F6A">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E6" w14:textId="77777777" w:rsidR="003F0CEE" w:rsidRPr="00762F6A" w:rsidRDefault="003F0CEE" w:rsidP="003F0CEE">
            <w:pPr>
              <w:pStyle w:val="TableColumnHeadingCentred"/>
              <w:spacing w:line="260" w:lineRule="exact"/>
            </w:pPr>
            <w:r w:rsidRPr="00762F6A">
              <w:t>201</w:t>
            </w:r>
            <w:r>
              <w:t>9</w:t>
            </w:r>
            <w:r w:rsidRPr="00762F6A">
              <w:noBreakHyphen/>
            </w:r>
            <w:r>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E7"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E8"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2E9" w14:textId="77777777" w:rsidR="003F0CEE" w:rsidRPr="00762F6A" w:rsidRDefault="003F0CEE" w:rsidP="003F0CEE">
            <w:pPr>
              <w:pStyle w:val="TableColumnHeadingCentred"/>
              <w:spacing w:line="260" w:lineRule="exact"/>
            </w:pPr>
            <w:r w:rsidRPr="00762F6A">
              <w:t>2018</w:t>
            </w:r>
            <w:r w:rsidRPr="00762F6A">
              <w:noBreakHyphen/>
              <w:t>19</w:t>
            </w:r>
          </w:p>
        </w:tc>
        <w:tc>
          <w:tcPr>
            <w:tcW w:w="887" w:type="dxa"/>
            <w:tcBorders>
              <w:top w:val="single" w:sz="2" w:space="0" w:color="000000"/>
              <w:left w:val="single" w:sz="2" w:space="0" w:color="000000"/>
              <w:bottom w:val="single" w:sz="2" w:space="0" w:color="000000"/>
              <w:right w:val="nil"/>
            </w:tcBorders>
            <w:vAlign w:val="bottom"/>
          </w:tcPr>
          <w:p w14:paraId="208712EA" w14:textId="77777777" w:rsidR="003F0CEE" w:rsidRPr="00762F6A" w:rsidRDefault="003F0CEE" w:rsidP="003F0CEE">
            <w:pPr>
              <w:pStyle w:val="TableColumnHeadingCentred"/>
              <w:spacing w:line="260" w:lineRule="exact"/>
            </w:pPr>
            <w:r w:rsidRPr="00762F6A">
              <w:t>201</w:t>
            </w:r>
            <w:r>
              <w:t>9</w:t>
            </w:r>
            <w:r w:rsidRPr="00762F6A">
              <w:noBreakHyphen/>
            </w:r>
            <w:r>
              <w:t>20</w:t>
            </w:r>
          </w:p>
        </w:tc>
      </w:tr>
      <w:tr w:rsidR="00A75E8B" w:rsidRPr="00762F6A" w14:paraId="208712F5" w14:textId="77777777" w:rsidTr="003F0CEE">
        <w:tc>
          <w:tcPr>
            <w:tcW w:w="1133" w:type="dxa"/>
            <w:tcBorders>
              <w:top w:val="nil"/>
              <w:left w:val="nil"/>
              <w:bottom w:val="single" w:sz="2" w:space="0" w:color="000000"/>
              <w:right w:val="nil"/>
            </w:tcBorders>
          </w:tcPr>
          <w:p w14:paraId="208712EC" w14:textId="77777777" w:rsidR="00A75E8B" w:rsidRPr="00762F6A" w:rsidRDefault="00A75E8B" w:rsidP="003F0CEE">
            <w:pPr>
              <w:spacing w:before="20" w:after="20"/>
              <w:rPr>
                <w:highlight w:val="yellow"/>
              </w:rPr>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208712ED" w14:textId="77777777" w:rsidR="00A75E8B" w:rsidRPr="00762F6A" w:rsidRDefault="00A75E8B" w:rsidP="003F0CEE">
            <w:pPr>
              <w:pStyle w:val="TableTextRight"/>
              <w:spacing w:line="260" w:lineRule="exact"/>
              <w:jc w:val="center"/>
            </w:pPr>
            <w:r>
              <w:t>-1,450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EE" w14:textId="77777777" w:rsidR="00A75E8B" w:rsidRPr="00762F6A" w:rsidRDefault="00A75E8B" w:rsidP="003F0CEE">
            <w:pPr>
              <w:pStyle w:val="TableTextRight"/>
              <w:spacing w:line="260" w:lineRule="exact"/>
              <w:jc w:val="center"/>
            </w:pPr>
            <w:r>
              <w:t>-1,060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EF" w14:textId="77777777" w:rsidR="00A75E8B" w:rsidRPr="00762F6A" w:rsidRDefault="00A75E8B" w:rsidP="003F0CEE">
            <w:pPr>
              <w:pStyle w:val="TableTextRight"/>
              <w:spacing w:line="260" w:lineRule="exact"/>
              <w:jc w:val="center"/>
            </w:pPr>
            <w:r>
              <w:t>-1,170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F0" w14:textId="77777777" w:rsidR="00A75E8B" w:rsidRPr="00762F6A" w:rsidRDefault="00A75E8B" w:rsidP="003F0CEE">
            <w:pPr>
              <w:pStyle w:val="TableTextRight"/>
              <w:spacing w:line="260" w:lineRule="exact"/>
              <w:jc w:val="center"/>
            </w:pPr>
            <w:r>
              <w:t>-1,340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F1" w14:textId="77777777" w:rsidR="00A75E8B" w:rsidRPr="00762F6A" w:rsidRDefault="00A75E8B" w:rsidP="00802D3E">
            <w:pPr>
              <w:pStyle w:val="TableTextRight"/>
              <w:spacing w:line="260" w:lineRule="exact"/>
              <w:jc w:val="center"/>
            </w:pPr>
            <w:r>
              <w:t>-1,450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F2" w14:textId="77777777" w:rsidR="00A75E8B" w:rsidRPr="00762F6A" w:rsidRDefault="00A75E8B" w:rsidP="00802D3E">
            <w:pPr>
              <w:pStyle w:val="TableTextRight"/>
              <w:spacing w:line="260" w:lineRule="exact"/>
              <w:jc w:val="center"/>
            </w:pPr>
            <w:r>
              <w:t>-1,060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712F3" w14:textId="77777777" w:rsidR="00A75E8B" w:rsidRPr="00762F6A" w:rsidRDefault="00A75E8B" w:rsidP="00802D3E">
            <w:pPr>
              <w:pStyle w:val="TableTextRight"/>
              <w:spacing w:line="260" w:lineRule="exact"/>
              <w:jc w:val="center"/>
            </w:pPr>
            <w:r>
              <w:t>-1,170</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208712F4" w14:textId="77777777" w:rsidR="00A75E8B" w:rsidRPr="00762F6A" w:rsidRDefault="00A75E8B" w:rsidP="00802D3E">
            <w:pPr>
              <w:pStyle w:val="TableTextRight"/>
              <w:spacing w:line="260" w:lineRule="exact"/>
              <w:jc w:val="center"/>
            </w:pPr>
            <w:r>
              <w:t>-1,340</w:t>
            </w:r>
          </w:p>
        </w:tc>
      </w:tr>
      <w:tr w:rsidR="003F0CEE" w:rsidRPr="00762F6A" w14:paraId="208712F8" w14:textId="77777777" w:rsidTr="003F0CEE">
        <w:tc>
          <w:tcPr>
            <w:tcW w:w="1133" w:type="dxa"/>
            <w:tcBorders>
              <w:top w:val="single" w:sz="2" w:space="0" w:color="000000"/>
              <w:left w:val="nil"/>
              <w:bottom w:val="single" w:sz="2" w:space="0" w:color="000000"/>
              <w:right w:val="nil"/>
            </w:tcBorders>
            <w:shd w:val="clear" w:color="auto" w:fill="auto"/>
          </w:tcPr>
          <w:p w14:paraId="208712F6" w14:textId="77777777" w:rsidR="003F0CEE" w:rsidRPr="00762F6A" w:rsidRDefault="003F0CEE" w:rsidP="003F0CEE">
            <w:pPr>
              <w:pStyle w:val="TableTextLeft"/>
              <w:spacing w:before="80" w:after="80"/>
            </w:pPr>
            <w:r w:rsidRPr="00762F6A">
              <w:t>Reason for difference</w:t>
            </w:r>
          </w:p>
        </w:tc>
        <w:tc>
          <w:tcPr>
            <w:tcW w:w="6594" w:type="dxa"/>
            <w:gridSpan w:val="8"/>
            <w:tcBorders>
              <w:top w:val="single" w:sz="2" w:space="0" w:color="000000"/>
              <w:left w:val="nil"/>
              <w:bottom w:val="single" w:sz="2" w:space="0" w:color="000000"/>
              <w:right w:val="nil"/>
            </w:tcBorders>
            <w:shd w:val="clear" w:color="auto" w:fill="auto"/>
          </w:tcPr>
          <w:p w14:paraId="208712F7" w14:textId="77777777" w:rsidR="003F0CEE" w:rsidRPr="00762F6A" w:rsidRDefault="003F0CEE" w:rsidP="003F0CEE">
            <w:pPr>
              <w:pStyle w:val="TableTextLeft"/>
              <w:spacing w:before="80" w:after="80"/>
              <w:jc w:val="both"/>
            </w:pPr>
            <w:r w:rsidRPr="00762F6A">
              <w:t xml:space="preserve">Under the customs duty benchmark, goods imported into Australia are free from customs duty except to the extent that the duty is equivalent to taxes imposed on domestically produced goods. Bringing the customs duty tax expenditure in line with the benchmark would remove the revenue currently collected from tariffs on imports (which is reported as </w:t>
            </w:r>
            <w:proofErr w:type="gramStart"/>
            <w:r w:rsidRPr="00762F6A">
              <w:t>a negative</w:t>
            </w:r>
            <w:proofErr w:type="gramEnd"/>
            <w:r w:rsidRPr="00762F6A">
              <w:t xml:space="preserve"> tax expenditure). While the change may increase demand for imported goods, this would have no impact on customs duty revenue once the tax rate has been reduced to zero.</w:t>
            </w:r>
          </w:p>
        </w:tc>
      </w:tr>
      <w:tr w:rsidR="003F0CEE" w:rsidRPr="00762F6A" w14:paraId="208712FA" w14:textId="77777777" w:rsidTr="003F0CEE">
        <w:tc>
          <w:tcPr>
            <w:tcW w:w="7727" w:type="dxa"/>
            <w:gridSpan w:val="9"/>
            <w:tcBorders>
              <w:top w:val="single" w:sz="2" w:space="0" w:color="000000"/>
              <w:left w:val="nil"/>
              <w:bottom w:val="single" w:sz="2" w:space="0" w:color="000000"/>
              <w:right w:val="nil"/>
            </w:tcBorders>
            <w:shd w:val="clear" w:color="auto" w:fill="E6E6E6"/>
          </w:tcPr>
          <w:p w14:paraId="208712F9" w14:textId="77777777" w:rsidR="003F0CEE" w:rsidRPr="00762F6A" w:rsidRDefault="003F0CEE" w:rsidP="00037890">
            <w:pPr>
              <w:pStyle w:val="TableColumnHeadingLeft"/>
              <w:spacing w:before="60" w:after="60"/>
            </w:pPr>
            <w:r w:rsidRPr="00762F6A">
              <w:t>A</w:t>
            </w:r>
            <w:r w:rsidR="00037890">
              <w:t>40</w:t>
            </w:r>
            <w:r w:rsidRPr="00762F6A">
              <w:t>: Exemption of Family Tax Benefit payments</w:t>
            </w:r>
          </w:p>
        </w:tc>
      </w:tr>
      <w:tr w:rsidR="003F0CEE" w:rsidRPr="00762F6A" w14:paraId="208712FE" w14:textId="77777777" w:rsidTr="003F0CEE">
        <w:tc>
          <w:tcPr>
            <w:tcW w:w="1133" w:type="dxa"/>
            <w:vMerge w:val="restart"/>
            <w:tcBorders>
              <w:top w:val="single" w:sz="2" w:space="0" w:color="000000"/>
              <w:left w:val="nil"/>
              <w:bottom w:val="nil"/>
              <w:right w:val="nil"/>
            </w:tcBorders>
          </w:tcPr>
          <w:p w14:paraId="208712FB" w14:textId="77777777" w:rsidR="003F0CEE" w:rsidRPr="00762F6A" w:rsidRDefault="003F0CEE" w:rsidP="003F0CEE">
            <w:pPr>
              <w:pStyle w:val="TableTextLeft"/>
              <w:spacing w:line="260" w:lineRule="exact"/>
              <w:jc w:val="both"/>
            </w:pPr>
            <w:r w:rsidRPr="00762F6A">
              <w:t>Estimates</w:t>
            </w:r>
          </w:p>
        </w:tc>
        <w:tc>
          <w:tcPr>
            <w:tcW w:w="3262" w:type="dxa"/>
            <w:gridSpan w:val="4"/>
            <w:tcBorders>
              <w:top w:val="single" w:sz="2" w:space="0" w:color="000000"/>
              <w:left w:val="nil"/>
              <w:bottom w:val="single" w:sz="2" w:space="0" w:color="000000"/>
              <w:right w:val="single" w:sz="2" w:space="0" w:color="000000"/>
            </w:tcBorders>
          </w:tcPr>
          <w:p w14:paraId="208712FC" w14:textId="77777777" w:rsidR="003F0CEE" w:rsidRPr="00762F6A" w:rsidRDefault="003F0CEE" w:rsidP="003F0CEE">
            <w:pPr>
              <w:pStyle w:val="TableColumnHeadingLeft"/>
              <w:spacing w:line="260" w:lineRule="exact"/>
              <w:jc w:val="both"/>
            </w:pPr>
            <w:r w:rsidRPr="00762F6A">
              <w:t>Revenue forgone estimate ($m)</w:t>
            </w:r>
          </w:p>
        </w:tc>
        <w:tc>
          <w:tcPr>
            <w:tcW w:w="3332" w:type="dxa"/>
            <w:gridSpan w:val="4"/>
            <w:tcBorders>
              <w:top w:val="single" w:sz="2" w:space="0" w:color="000000"/>
              <w:left w:val="single" w:sz="2" w:space="0" w:color="000000"/>
              <w:bottom w:val="single" w:sz="2" w:space="0" w:color="000000"/>
              <w:right w:val="nil"/>
            </w:tcBorders>
          </w:tcPr>
          <w:p w14:paraId="208712FD" w14:textId="77777777" w:rsidR="003F0CEE" w:rsidRPr="00762F6A" w:rsidRDefault="003F0CEE" w:rsidP="003F0CEE">
            <w:pPr>
              <w:pStyle w:val="TableColumnHeadingLeft"/>
              <w:spacing w:line="260" w:lineRule="exact"/>
              <w:jc w:val="both"/>
            </w:pPr>
            <w:r w:rsidRPr="00762F6A">
              <w:t>Revenue gain estimate ($m)</w:t>
            </w:r>
          </w:p>
        </w:tc>
      </w:tr>
      <w:tr w:rsidR="003F0CEE" w:rsidRPr="00762F6A" w14:paraId="20871308" w14:textId="77777777" w:rsidTr="003F0CEE">
        <w:trPr>
          <w:trHeight w:val="249"/>
        </w:trPr>
        <w:tc>
          <w:tcPr>
            <w:tcW w:w="1133" w:type="dxa"/>
            <w:vMerge/>
            <w:tcBorders>
              <w:top w:val="nil"/>
              <w:left w:val="nil"/>
              <w:bottom w:val="nil"/>
              <w:right w:val="nil"/>
            </w:tcBorders>
          </w:tcPr>
          <w:p w14:paraId="208712FF" w14:textId="77777777" w:rsidR="003F0CEE" w:rsidRPr="00762F6A" w:rsidRDefault="003F0CEE" w:rsidP="003F0CEE">
            <w:pPr>
              <w:pStyle w:val="TableTextLeft"/>
              <w:spacing w:line="260" w:lineRule="exact"/>
              <w:jc w:val="both"/>
              <w:rPr>
                <w:highlight w:val="yellow"/>
              </w:rPr>
            </w:pPr>
          </w:p>
        </w:tc>
        <w:tc>
          <w:tcPr>
            <w:tcW w:w="816" w:type="dxa"/>
            <w:tcBorders>
              <w:top w:val="single" w:sz="2" w:space="0" w:color="000000"/>
              <w:left w:val="nil"/>
              <w:bottom w:val="single" w:sz="2" w:space="0" w:color="000000"/>
              <w:right w:val="single" w:sz="2" w:space="0" w:color="000000"/>
            </w:tcBorders>
            <w:vAlign w:val="bottom"/>
          </w:tcPr>
          <w:p w14:paraId="20871300" w14:textId="77777777" w:rsidR="003F0CEE" w:rsidRPr="00762F6A" w:rsidRDefault="003F0CEE" w:rsidP="00C11FD2">
            <w:pPr>
              <w:pStyle w:val="TableColumnHeadingCentred"/>
              <w:spacing w:line="260" w:lineRule="exact"/>
            </w:pPr>
            <w:r w:rsidRPr="00762F6A">
              <w:rPr>
                <w:rFonts w:cs="Arial"/>
                <w:bCs/>
                <w:szCs w:val="16"/>
              </w:rPr>
              <w:t>2016</w:t>
            </w:r>
            <w:r w:rsidRPr="00762F6A">
              <w:rPr>
                <w:rFonts w:cs="Arial"/>
                <w:bCs/>
                <w:szCs w:val="16"/>
              </w:rPr>
              <w:noBreakHyphen/>
              <w:t>17</w:t>
            </w:r>
          </w:p>
        </w:tc>
        <w:tc>
          <w:tcPr>
            <w:tcW w:w="816" w:type="dxa"/>
            <w:tcBorders>
              <w:top w:val="single" w:sz="2" w:space="0" w:color="000000"/>
              <w:left w:val="single" w:sz="2" w:space="0" w:color="000000"/>
              <w:bottom w:val="single" w:sz="2" w:space="0" w:color="000000"/>
              <w:right w:val="single" w:sz="2" w:space="0" w:color="000000"/>
            </w:tcBorders>
            <w:vAlign w:val="bottom"/>
          </w:tcPr>
          <w:p w14:paraId="20871301" w14:textId="77777777" w:rsidR="003F0CEE" w:rsidRPr="00762F6A" w:rsidRDefault="003F0CEE" w:rsidP="00C11FD2">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302" w14:textId="77777777" w:rsidR="003F0CEE" w:rsidRPr="00762F6A" w:rsidRDefault="003F0CEE" w:rsidP="00C11FD2">
            <w:pPr>
              <w:pStyle w:val="TableColumnHeadingCentred"/>
              <w:spacing w:line="260" w:lineRule="exact"/>
            </w:pPr>
            <w:r w:rsidRPr="00762F6A">
              <w:t>2018</w:t>
            </w:r>
            <w:r w:rsidRPr="00762F6A">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303" w14:textId="77777777" w:rsidR="003F0CEE" w:rsidRPr="00762F6A" w:rsidRDefault="003F0CEE" w:rsidP="00C11FD2">
            <w:pPr>
              <w:pStyle w:val="TableColumnHeadingCentred"/>
              <w:spacing w:line="260" w:lineRule="exact"/>
            </w:pPr>
            <w:r w:rsidRPr="00762F6A">
              <w:t>201</w:t>
            </w:r>
            <w:r>
              <w:t>9</w:t>
            </w:r>
            <w:r w:rsidRPr="00762F6A">
              <w:noBreakHyphen/>
            </w:r>
            <w:r>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304" w14:textId="77777777" w:rsidR="003F0CEE" w:rsidRPr="00762F6A" w:rsidRDefault="003F0CEE" w:rsidP="00C11FD2">
            <w:pPr>
              <w:pStyle w:val="TableColumnHeadingCentred"/>
              <w:spacing w:line="260" w:lineRule="exact"/>
            </w:pPr>
            <w:r w:rsidRPr="00762F6A">
              <w:rPr>
                <w:rFonts w:cs="Arial"/>
                <w:bCs/>
                <w:szCs w:val="16"/>
              </w:rPr>
              <w:t>2016</w:t>
            </w:r>
            <w:r w:rsidRPr="00762F6A">
              <w:rPr>
                <w:rFonts w:cs="Arial"/>
                <w:bCs/>
                <w:szCs w:val="16"/>
              </w:rPr>
              <w:noBreakHyphen/>
              <w:t>17</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305" w14:textId="77777777" w:rsidR="003F0CEE" w:rsidRPr="00762F6A" w:rsidRDefault="003F0CEE" w:rsidP="00C11FD2">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306" w14:textId="77777777" w:rsidR="003F0CEE" w:rsidRPr="00762F6A" w:rsidRDefault="003F0CEE" w:rsidP="00C11FD2">
            <w:pPr>
              <w:pStyle w:val="TableColumnHeadingCentred"/>
              <w:spacing w:line="260" w:lineRule="exact"/>
            </w:pPr>
            <w:r w:rsidRPr="00762F6A">
              <w:t>2018</w:t>
            </w:r>
            <w:r w:rsidRPr="00762F6A">
              <w:noBreakHyphen/>
              <w:t>19</w:t>
            </w:r>
          </w:p>
        </w:tc>
        <w:tc>
          <w:tcPr>
            <w:tcW w:w="887" w:type="dxa"/>
            <w:tcBorders>
              <w:top w:val="single" w:sz="2" w:space="0" w:color="000000"/>
              <w:left w:val="single" w:sz="2" w:space="0" w:color="000000"/>
              <w:bottom w:val="single" w:sz="2" w:space="0" w:color="000000"/>
              <w:right w:val="nil"/>
            </w:tcBorders>
            <w:vAlign w:val="bottom"/>
          </w:tcPr>
          <w:p w14:paraId="20871307" w14:textId="77777777" w:rsidR="003F0CEE" w:rsidRPr="00762F6A" w:rsidRDefault="003F0CEE" w:rsidP="00C11FD2">
            <w:pPr>
              <w:pStyle w:val="TableColumnHeadingCentred"/>
              <w:spacing w:line="260" w:lineRule="exact"/>
            </w:pPr>
            <w:r w:rsidRPr="00762F6A">
              <w:t>201</w:t>
            </w:r>
            <w:r>
              <w:t>9</w:t>
            </w:r>
            <w:r w:rsidRPr="00762F6A">
              <w:noBreakHyphen/>
            </w:r>
            <w:r>
              <w:t>20</w:t>
            </w:r>
          </w:p>
        </w:tc>
      </w:tr>
      <w:tr w:rsidR="00A75E8B" w:rsidRPr="00762F6A" w14:paraId="20871312" w14:textId="77777777" w:rsidTr="003F0CEE">
        <w:tc>
          <w:tcPr>
            <w:tcW w:w="1133" w:type="dxa"/>
            <w:tcBorders>
              <w:top w:val="nil"/>
              <w:left w:val="nil"/>
              <w:bottom w:val="single" w:sz="2" w:space="0" w:color="000000"/>
              <w:right w:val="nil"/>
            </w:tcBorders>
            <w:shd w:val="clear" w:color="auto" w:fill="auto"/>
          </w:tcPr>
          <w:p w14:paraId="20871309" w14:textId="77777777" w:rsidR="00A75E8B" w:rsidRPr="00762F6A" w:rsidRDefault="00A75E8B" w:rsidP="003F0CEE">
            <w:pPr>
              <w:spacing w:before="20" w:after="20"/>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2087130A" w14:textId="77777777" w:rsidR="00A75E8B" w:rsidRPr="00762F6A" w:rsidRDefault="00A75E8B" w:rsidP="00C11FD2">
            <w:pPr>
              <w:spacing w:after="20"/>
              <w:jc w:val="center"/>
              <w:rPr>
                <w:rFonts w:ascii="Arial" w:hAnsi="Arial" w:cs="Arial"/>
                <w:color w:val="000000"/>
                <w:sz w:val="16"/>
                <w:szCs w:val="16"/>
              </w:rPr>
            </w:pPr>
            <w:r>
              <w:rPr>
                <w:rFonts w:ascii="Arial" w:hAnsi="Arial" w:cs="Arial"/>
                <w:color w:val="000000"/>
                <w:sz w:val="16"/>
                <w:szCs w:val="16"/>
              </w:rPr>
              <w:t>2,200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0B" w14:textId="77777777" w:rsidR="00A75E8B" w:rsidRPr="00762F6A" w:rsidRDefault="00A75E8B" w:rsidP="00C11FD2">
            <w:pPr>
              <w:spacing w:after="20"/>
              <w:jc w:val="center"/>
              <w:rPr>
                <w:rFonts w:ascii="Arial" w:hAnsi="Arial" w:cs="Arial"/>
                <w:color w:val="000000"/>
                <w:sz w:val="16"/>
                <w:szCs w:val="16"/>
              </w:rPr>
            </w:pPr>
            <w:r>
              <w:rPr>
                <w:rFonts w:ascii="Arial" w:hAnsi="Arial" w:cs="Arial"/>
                <w:color w:val="000000"/>
                <w:sz w:val="16"/>
                <w:szCs w:val="16"/>
              </w:rPr>
              <w:t>2,100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0C" w14:textId="77777777" w:rsidR="00A75E8B" w:rsidRPr="00762F6A" w:rsidRDefault="00A75E8B" w:rsidP="00C11FD2">
            <w:pPr>
              <w:spacing w:after="20"/>
              <w:jc w:val="center"/>
              <w:rPr>
                <w:rFonts w:ascii="Arial" w:hAnsi="Arial" w:cs="Arial"/>
                <w:color w:val="000000"/>
                <w:sz w:val="16"/>
                <w:szCs w:val="16"/>
              </w:rPr>
            </w:pPr>
            <w:r>
              <w:rPr>
                <w:rFonts w:ascii="Arial" w:hAnsi="Arial" w:cs="Arial"/>
                <w:color w:val="000000"/>
                <w:sz w:val="16"/>
                <w:szCs w:val="16"/>
              </w:rPr>
              <w:t>2,110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0D" w14:textId="77777777" w:rsidR="00A75E8B" w:rsidRPr="00762F6A" w:rsidRDefault="00A75E8B" w:rsidP="00C11FD2">
            <w:pPr>
              <w:spacing w:after="20"/>
              <w:jc w:val="center"/>
              <w:rPr>
                <w:rFonts w:ascii="Arial" w:hAnsi="Arial" w:cs="Arial"/>
                <w:color w:val="000000"/>
                <w:sz w:val="16"/>
                <w:szCs w:val="16"/>
              </w:rPr>
            </w:pPr>
            <w:r>
              <w:rPr>
                <w:rFonts w:ascii="Arial" w:hAnsi="Arial" w:cs="Arial"/>
                <w:color w:val="000000"/>
                <w:sz w:val="16"/>
                <w:szCs w:val="16"/>
              </w:rPr>
              <w:t>2,070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0E" w14:textId="77777777" w:rsidR="00A75E8B" w:rsidRPr="00762F6A" w:rsidRDefault="00A75E8B" w:rsidP="00C11FD2">
            <w:pPr>
              <w:spacing w:after="20"/>
              <w:jc w:val="center"/>
              <w:rPr>
                <w:rFonts w:ascii="Arial" w:hAnsi="Arial" w:cs="Arial"/>
                <w:color w:val="000000"/>
                <w:sz w:val="16"/>
                <w:szCs w:val="16"/>
              </w:rPr>
            </w:pPr>
            <w:r>
              <w:rPr>
                <w:rFonts w:ascii="Arial" w:hAnsi="Arial" w:cs="Arial"/>
                <w:color w:val="000000"/>
                <w:sz w:val="16"/>
                <w:szCs w:val="16"/>
              </w:rPr>
              <w:t>2,200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0F" w14:textId="77777777" w:rsidR="00A75E8B" w:rsidRPr="00762F6A" w:rsidRDefault="00A75E8B" w:rsidP="00C11FD2">
            <w:pPr>
              <w:spacing w:after="20"/>
              <w:jc w:val="center"/>
              <w:rPr>
                <w:rFonts w:ascii="Arial" w:hAnsi="Arial" w:cs="Arial"/>
                <w:color w:val="000000"/>
                <w:sz w:val="16"/>
                <w:szCs w:val="16"/>
              </w:rPr>
            </w:pPr>
            <w:r>
              <w:rPr>
                <w:rFonts w:ascii="Arial" w:hAnsi="Arial" w:cs="Arial"/>
                <w:color w:val="000000"/>
                <w:sz w:val="16"/>
                <w:szCs w:val="16"/>
              </w:rPr>
              <w:t>2,100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10" w14:textId="77777777" w:rsidR="00A75E8B" w:rsidRPr="00762F6A" w:rsidRDefault="00A75E8B" w:rsidP="00C11FD2">
            <w:pPr>
              <w:spacing w:after="20"/>
              <w:jc w:val="center"/>
              <w:rPr>
                <w:rFonts w:ascii="Arial" w:hAnsi="Arial" w:cs="Arial"/>
                <w:color w:val="000000"/>
                <w:sz w:val="16"/>
                <w:szCs w:val="16"/>
              </w:rPr>
            </w:pPr>
            <w:r>
              <w:rPr>
                <w:rFonts w:ascii="Arial" w:hAnsi="Arial" w:cs="Arial"/>
                <w:color w:val="000000"/>
                <w:sz w:val="16"/>
                <w:szCs w:val="16"/>
              </w:rPr>
              <w:t>2,110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20871311" w14:textId="77777777" w:rsidR="00A75E8B" w:rsidRPr="00762F6A" w:rsidRDefault="00A75E8B" w:rsidP="00C11FD2">
            <w:pPr>
              <w:spacing w:after="20"/>
              <w:jc w:val="center"/>
              <w:rPr>
                <w:rFonts w:ascii="Arial" w:hAnsi="Arial" w:cs="Arial"/>
                <w:color w:val="000000"/>
                <w:sz w:val="16"/>
                <w:szCs w:val="16"/>
              </w:rPr>
            </w:pPr>
            <w:r>
              <w:rPr>
                <w:rFonts w:ascii="Arial" w:hAnsi="Arial" w:cs="Arial"/>
                <w:color w:val="000000"/>
                <w:sz w:val="16"/>
                <w:szCs w:val="16"/>
              </w:rPr>
              <w:t>2,070</w:t>
            </w:r>
          </w:p>
        </w:tc>
      </w:tr>
      <w:tr w:rsidR="003F0CEE" w:rsidRPr="00762F6A" w14:paraId="20871315" w14:textId="77777777" w:rsidTr="003F0CEE">
        <w:tc>
          <w:tcPr>
            <w:tcW w:w="1133" w:type="dxa"/>
            <w:tcBorders>
              <w:top w:val="single" w:sz="2" w:space="0" w:color="000000"/>
              <w:left w:val="nil"/>
              <w:bottom w:val="single" w:sz="4" w:space="0" w:color="auto"/>
              <w:right w:val="nil"/>
            </w:tcBorders>
          </w:tcPr>
          <w:p w14:paraId="20871313" w14:textId="77777777" w:rsidR="003F0CEE" w:rsidRPr="00762F6A" w:rsidRDefault="003F0CEE" w:rsidP="003F0CEE">
            <w:pPr>
              <w:pStyle w:val="TableTextLeft"/>
              <w:spacing w:before="80" w:after="80"/>
            </w:pPr>
            <w:r w:rsidRPr="00762F6A">
              <w:t>Reason for difference</w:t>
            </w:r>
          </w:p>
        </w:tc>
        <w:tc>
          <w:tcPr>
            <w:tcW w:w="6594" w:type="dxa"/>
            <w:gridSpan w:val="8"/>
            <w:tcBorders>
              <w:top w:val="single" w:sz="2" w:space="0" w:color="000000"/>
              <w:left w:val="nil"/>
              <w:bottom w:val="single" w:sz="4" w:space="0" w:color="auto"/>
              <w:right w:val="nil"/>
            </w:tcBorders>
          </w:tcPr>
          <w:p w14:paraId="20871314" w14:textId="77777777" w:rsidR="003F0CEE" w:rsidRPr="00762F6A" w:rsidRDefault="003F0CEE" w:rsidP="003F0CEE">
            <w:pPr>
              <w:pStyle w:val="TableTextLeft"/>
              <w:spacing w:before="80" w:after="80"/>
              <w:jc w:val="both"/>
            </w:pPr>
            <w:r w:rsidRPr="00762F6A">
              <w:t>Removing the exemption of Family Tax Benefit, Parts A and B could be expected to result in a change in labour force participation; however, the size of the effect is uncertain and has not been quantified. As a result there is no difference between the revenue forgone and revenue gain estimates.</w:t>
            </w:r>
          </w:p>
        </w:tc>
      </w:tr>
    </w:tbl>
    <w:p w14:paraId="20871316" w14:textId="77777777" w:rsidR="003F0CEE" w:rsidRPr="00762F6A" w:rsidRDefault="003F0CEE" w:rsidP="003F0CEE">
      <w:pPr>
        <w:rPr>
          <w:highlight w:val="yellow"/>
        </w:rPr>
      </w:pPr>
    </w:p>
    <w:tbl>
      <w:tblPr>
        <w:tblW w:w="7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816"/>
        <w:gridCol w:w="816"/>
        <w:gridCol w:w="815"/>
        <w:gridCol w:w="815"/>
        <w:gridCol w:w="815"/>
        <w:gridCol w:w="815"/>
        <w:gridCol w:w="815"/>
        <w:gridCol w:w="887"/>
      </w:tblGrid>
      <w:tr w:rsidR="003F0CEE" w:rsidRPr="00762F6A" w14:paraId="20871318" w14:textId="77777777" w:rsidTr="003F0CEE">
        <w:trPr>
          <w:tblHeader/>
        </w:trPr>
        <w:tc>
          <w:tcPr>
            <w:tcW w:w="7727" w:type="dxa"/>
            <w:gridSpan w:val="9"/>
            <w:tcBorders>
              <w:top w:val="single" w:sz="4" w:space="0" w:color="auto"/>
              <w:left w:val="nil"/>
              <w:bottom w:val="single" w:sz="2" w:space="0" w:color="000000"/>
              <w:right w:val="nil"/>
            </w:tcBorders>
            <w:shd w:val="clear" w:color="auto" w:fill="E6E6E6"/>
          </w:tcPr>
          <w:p w14:paraId="20871317" w14:textId="77777777" w:rsidR="003F0CEE" w:rsidRPr="00762F6A" w:rsidRDefault="003F0CEE" w:rsidP="00037890">
            <w:pPr>
              <w:pStyle w:val="TableColumnHeadingLeft"/>
              <w:spacing w:before="60" w:after="60"/>
            </w:pPr>
            <w:r w:rsidRPr="00762F6A">
              <w:rPr>
                <w:b w:val="0"/>
              </w:rPr>
              <w:lastRenderedPageBreak/>
              <w:br w:type="page"/>
            </w:r>
            <w:r w:rsidRPr="00762F6A">
              <w:t>B1</w:t>
            </w:r>
            <w:r w:rsidR="00037890">
              <w:t>2</w:t>
            </w:r>
            <w:r w:rsidRPr="00762F6A">
              <w:t>: Exemption from interest withholding tax on certain securities</w:t>
            </w:r>
          </w:p>
        </w:tc>
      </w:tr>
      <w:tr w:rsidR="003F0CEE" w:rsidRPr="00762F6A" w14:paraId="2087131C" w14:textId="77777777" w:rsidTr="003F0CEE">
        <w:trPr>
          <w:tblHeader/>
        </w:trPr>
        <w:tc>
          <w:tcPr>
            <w:tcW w:w="1133" w:type="dxa"/>
            <w:vMerge w:val="restart"/>
            <w:tcBorders>
              <w:top w:val="single" w:sz="2" w:space="0" w:color="000000"/>
              <w:left w:val="nil"/>
              <w:bottom w:val="nil"/>
              <w:right w:val="nil"/>
            </w:tcBorders>
          </w:tcPr>
          <w:p w14:paraId="20871319" w14:textId="77777777" w:rsidR="003F0CEE" w:rsidRPr="00762F6A" w:rsidRDefault="003F0CEE" w:rsidP="003F0CEE">
            <w:pPr>
              <w:pStyle w:val="TableTextLeft"/>
              <w:spacing w:line="260" w:lineRule="exact"/>
              <w:jc w:val="both"/>
            </w:pPr>
            <w:r w:rsidRPr="00762F6A">
              <w:t>Estimates</w:t>
            </w:r>
          </w:p>
        </w:tc>
        <w:tc>
          <w:tcPr>
            <w:tcW w:w="3262" w:type="dxa"/>
            <w:gridSpan w:val="4"/>
            <w:tcBorders>
              <w:top w:val="single" w:sz="2" w:space="0" w:color="000000"/>
              <w:left w:val="nil"/>
              <w:bottom w:val="single" w:sz="2" w:space="0" w:color="000000"/>
              <w:right w:val="single" w:sz="2" w:space="0" w:color="000000"/>
            </w:tcBorders>
          </w:tcPr>
          <w:p w14:paraId="2087131A" w14:textId="77777777" w:rsidR="003F0CEE" w:rsidRPr="00762F6A" w:rsidRDefault="003F0CEE" w:rsidP="003F0CEE">
            <w:pPr>
              <w:pStyle w:val="TableColumnHeadingLeft"/>
              <w:spacing w:line="260" w:lineRule="exact"/>
              <w:jc w:val="both"/>
            </w:pPr>
            <w:r w:rsidRPr="00762F6A">
              <w:t>Revenue forgone estimate ($m)</w:t>
            </w:r>
          </w:p>
        </w:tc>
        <w:tc>
          <w:tcPr>
            <w:tcW w:w="3332" w:type="dxa"/>
            <w:gridSpan w:val="4"/>
            <w:tcBorders>
              <w:top w:val="single" w:sz="2" w:space="0" w:color="000000"/>
              <w:left w:val="single" w:sz="2" w:space="0" w:color="000000"/>
              <w:bottom w:val="single" w:sz="2" w:space="0" w:color="000000"/>
              <w:right w:val="nil"/>
            </w:tcBorders>
          </w:tcPr>
          <w:p w14:paraId="2087131B" w14:textId="77777777" w:rsidR="003F0CEE" w:rsidRPr="00762F6A" w:rsidRDefault="003F0CEE" w:rsidP="003F0CEE">
            <w:pPr>
              <w:pStyle w:val="TableColumnHeadingLeft"/>
              <w:spacing w:line="260" w:lineRule="exact"/>
              <w:jc w:val="both"/>
            </w:pPr>
            <w:r w:rsidRPr="00762F6A">
              <w:t>Revenue gain estimate ($m)</w:t>
            </w:r>
          </w:p>
        </w:tc>
      </w:tr>
      <w:tr w:rsidR="003F0CEE" w:rsidRPr="00762F6A" w14:paraId="20871326" w14:textId="77777777" w:rsidTr="003F0CEE">
        <w:trPr>
          <w:trHeight w:val="249"/>
          <w:tblHeader/>
        </w:trPr>
        <w:tc>
          <w:tcPr>
            <w:tcW w:w="1133" w:type="dxa"/>
            <w:vMerge/>
            <w:tcBorders>
              <w:top w:val="nil"/>
              <w:left w:val="nil"/>
              <w:bottom w:val="nil"/>
              <w:right w:val="nil"/>
            </w:tcBorders>
          </w:tcPr>
          <w:p w14:paraId="2087131D" w14:textId="77777777" w:rsidR="003F0CEE" w:rsidRPr="00762F6A" w:rsidRDefault="003F0CEE" w:rsidP="003F0CEE">
            <w:pPr>
              <w:pStyle w:val="TableTextLeft"/>
              <w:spacing w:line="260" w:lineRule="exact"/>
              <w:jc w:val="both"/>
              <w:rPr>
                <w:highlight w:val="yellow"/>
              </w:rPr>
            </w:pPr>
          </w:p>
        </w:tc>
        <w:tc>
          <w:tcPr>
            <w:tcW w:w="816" w:type="dxa"/>
            <w:tcBorders>
              <w:top w:val="single" w:sz="2" w:space="0" w:color="000000"/>
              <w:left w:val="nil"/>
              <w:bottom w:val="single" w:sz="2" w:space="0" w:color="000000"/>
              <w:right w:val="single" w:sz="2" w:space="0" w:color="000000"/>
            </w:tcBorders>
            <w:vAlign w:val="bottom"/>
          </w:tcPr>
          <w:p w14:paraId="2087131E"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6" w:type="dxa"/>
            <w:tcBorders>
              <w:top w:val="single" w:sz="2" w:space="0" w:color="000000"/>
              <w:left w:val="single" w:sz="2" w:space="0" w:color="000000"/>
              <w:bottom w:val="single" w:sz="2" w:space="0" w:color="000000"/>
              <w:right w:val="single" w:sz="2" w:space="0" w:color="000000"/>
            </w:tcBorders>
            <w:vAlign w:val="bottom"/>
          </w:tcPr>
          <w:p w14:paraId="2087131F"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320" w14:textId="77777777" w:rsidR="003F0CEE" w:rsidRPr="00762F6A" w:rsidRDefault="003F0CEE" w:rsidP="003F0CEE">
            <w:pPr>
              <w:pStyle w:val="TableColumnHeadingCentred"/>
              <w:spacing w:line="260" w:lineRule="exact"/>
            </w:pPr>
            <w:r w:rsidRPr="00762F6A">
              <w:t>2018</w:t>
            </w:r>
            <w:r w:rsidRPr="00762F6A">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321" w14:textId="77777777" w:rsidR="003F0CEE" w:rsidRPr="00762F6A" w:rsidRDefault="003F0CEE" w:rsidP="003F0CEE">
            <w:pPr>
              <w:pStyle w:val="TableColumnHeadingCentred"/>
              <w:spacing w:line="260" w:lineRule="exact"/>
            </w:pPr>
            <w:r w:rsidRPr="00762F6A">
              <w:t>201</w:t>
            </w:r>
            <w:r>
              <w:t>9</w:t>
            </w:r>
            <w:r w:rsidRPr="00762F6A">
              <w:noBreakHyphen/>
            </w:r>
            <w:r>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322" w14:textId="77777777" w:rsidR="003F0CEE" w:rsidRPr="00762F6A" w:rsidRDefault="003F0CEE" w:rsidP="003F0CEE">
            <w:pPr>
              <w:pStyle w:val="TableColumnHeadingCentred"/>
              <w:spacing w:line="260" w:lineRule="exact"/>
            </w:pPr>
            <w:r w:rsidRPr="00762F6A">
              <w:rPr>
                <w:rFonts w:cs="Arial"/>
                <w:bCs/>
                <w:szCs w:val="16"/>
              </w:rPr>
              <w:t>2016</w:t>
            </w:r>
            <w:r w:rsidRPr="00762F6A">
              <w:rPr>
                <w:rFonts w:cs="Arial"/>
                <w:bCs/>
                <w:szCs w:val="16"/>
              </w:rPr>
              <w:noBreakHyphen/>
              <w:t>17</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323" w14:textId="77777777" w:rsidR="003F0CEE" w:rsidRPr="00762F6A" w:rsidRDefault="003F0CEE" w:rsidP="003F0CEE">
            <w:pPr>
              <w:pStyle w:val="TableColumnHeadingCentred"/>
              <w:spacing w:line="260" w:lineRule="exact"/>
            </w:pPr>
            <w:r w:rsidRPr="00762F6A">
              <w:t>2017</w:t>
            </w:r>
            <w:r w:rsidRPr="00762F6A">
              <w:rPr>
                <w:rFonts w:cs="Arial"/>
                <w:bCs/>
                <w:szCs w:val="16"/>
              </w:rPr>
              <w:noBreakHyphen/>
            </w:r>
            <w:r w:rsidRPr="00762F6A">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20871324" w14:textId="77777777" w:rsidR="003F0CEE" w:rsidRPr="00762F6A" w:rsidRDefault="003F0CEE" w:rsidP="003F0CEE">
            <w:pPr>
              <w:pStyle w:val="TableColumnHeadingCentred"/>
              <w:spacing w:line="260" w:lineRule="exact"/>
            </w:pPr>
            <w:r w:rsidRPr="00762F6A">
              <w:t>2018</w:t>
            </w:r>
            <w:r w:rsidRPr="00762F6A">
              <w:noBreakHyphen/>
              <w:t>19</w:t>
            </w:r>
          </w:p>
        </w:tc>
        <w:tc>
          <w:tcPr>
            <w:tcW w:w="887" w:type="dxa"/>
            <w:tcBorders>
              <w:top w:val="single" w:sz="2" w:space="0" w:color="000000"/>
              <w:left w:val="single" w:sz="2" w:space="0" w:color="000000"/>
              <w:bottom w:val="single" w:sz="2" w:space="0" w:color="000000"/>
              <w:right w:val="nil"/>
            </w:tcBorders>
            <w:vAlign w:val="bottom"/>
          </w:tcPr>
          <w:p w14:paraId="20871325" w14:textId="77777777" w:rsidR="003F0CEE" w:rsidRPr="00762F6A" w:rsidRDefault="003F0CEE" w:rsidP="003F0CEE">
            <w:pPr>
              <w:pStyle w:val="TableColumnHeadingCentred"/>
              <w:spacing w:line="260" w:lineRule="exact"/>
            </w:pPr>
            <w:r w:rsidRPr="00762F6A">
              <w:t>201</w:t>
            </w:r>
            <w:r>
              <w:t>9</w:t>
            </w:r>
            <w:r w:rsidRPr="00762F6A">
              <w:noBreakHyphen/>
            </w:r>
            <w:r>
              <w:t>20</w:t>
            </w:r>
          </w:p>
        </w:tc>
      </w:tr>
      <w:tr w:rsidR="003F0CEE" w:rsidRPr="00762F6A" w14:paraId="20871330" w14:textId="77777777" w:rsidTr="003F0CEE">
        <w:tc>
          <w:tcPr>
            <w:tcW w:w="1133" w:type="dxa"/>
            <w:tcBorders>
              <w:top w:val="nil"/>
              <w:left w:val="nil"/>
              <w:bottom w:val="single" w:sz="2" w:space="0" w:color="000000"/>
              <w:right w:val="nil"/>
            </w:tcBorders>
          </w:tcPr>
          <w:p w14:paraId="20871327" w14:textId="77777777" w:rsidR="003F0CEE" w:rsidRPr="00762F6A" w:rsidRDefault="003F0CEE" w:rsidP="003F0CEE">
            <w:pPr>
              <w:spacing w:before="20" w:after="20"/>
              <w:rPr>
                <w:highlight w:val="yellow"/>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20871328" w14:textId="77777777" w:rsidR="003F0CEE" w:rsidRPr="00762F6A" w:rsidRDefault="00A75E8B" w:rsidP="003F0CEE">
            <w:pPr>
              <w:pStyle w:val="TableTextRight"/>
              <w:spacing w:line="260" w:lineRule="exact"/>
              <w:jc w:val="center"/>
            </w:pPr>
            <w:r>
              <w:t>2,310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29" w14:textId="77777777" w:rsidR="003F0CEE" w:rsidRPr="00762F6A" w:rsidRDefault="00A75E8B" w:rsidP="003F0CEE">
            <w:pPr>
              <w:pStyle w:val="TableTextRight"/>
              <w:spacing w:line="260" w:lineRule="exact"/>
              <w:jc w:val="center"/>
            </w:pPr>
            <w:r>
              <w:t>2,310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2A" w14:textId="77777777" w:rsidR="003F0CEE" w:rsidRPr="00762F6A" w:rsidRDefault="00A75E8B" w:rsidP="003F0CEE">
            <w:pPr>
              <w:pStyle w:val="TableTextRight"/>
              <w:spacing w:line="260" w:lineRule="exact"/>
              <w:jc w:val="center"/>
            </w:pPr>
            <w:r>
              <w:t>2,310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2B" w14:textId="77777777" w:rsidR="003F0CEE" w:rsidRPr="00762F6A" w:rsidRDefault="00A75E8B" w:rsidP="003F0CEE">
            <w:pPr>
              <w:pStyle w:val="TableTextRight"/>
              <w:spacing w:line="260" w:lineRule="exact"/>
              <w:jc w:val="center"/>
            </w:pPr>
            <w:r>
              <w:t>2,310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2C" w14:textId="77777777" w:rsidR="003F0CEE" w:rsidRPr="00762F6A" w:rsidRDefault="008467DA" w:rsidP="003F0CEE">
            <w:pPr>
              <w:pStyle w:val="TableTextRight"/>
              <w:spacing w:line="260" w:lineRule="exact"/>
              <w:jc w:val="center"/>
            </w:pPr>
            <w:r>
              <w:t>1,630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2D" w14:textId="77777777" w:rsidR="003F0CEE" w:rsidRPr="00762F6A" w:rsidRDefault="008467DA" w:rsidP="003F0CEE">
            <w:pPr>
              <w:pStyle w:val="TableTextRight"/>
              <w:spacing w:line="260" w:lineRule="exact"/>
              <w:jc w:val="center"/>
            </w:pPr>
            <w:r>
              <w:t>1,720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7132E" w14:textId="77777777" w:rsidR="003F0CEE" w:rsidRPr="00762F6A" w:rsidRDefault="008467DA" w:rsidP="003F0CEE">
            <w:pPr>
              <w:pStyle w:val="TableTextRight"/>
              <w:spacing w:line="260" w:lineRule="exact"/>
              <w:jc w:val="center"/>
            </w:pPr>
            <w:r>
              <w:t>1,620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2087132F" w14:textId="77777777" w:rsidR="003F0CEE" w:rsidRPr="00762F6A" w:rsidRDefault="008467DA" w:rsidP="003F0CEE">
            <w:pPr>
              <w:pStyle w:val="TableTextRight"/>
              <w:spacing w:line="260" w:lineRule="exact"/>
              <w:jc w:val="center"/>
            </w:pPr>
            <w:r>
              <w:t>1,620</w:t>
            </w:r>
          </w:p>
        </w:tc>
      </w:tr>
      <w:tr w:rsidR="003F0CEE" w:rsidRPr="00762F6A" w14:paraId="20871333" w14:textId="77777777" w:rsidTr="003F0CEE">
        <w:tc>
          <w:tcPr>
            <w:tcW w:w="1133" w:type="dxa"/>
            <w:tcBorders>
              <w:top w:val="single" w:sz="2" w:space="0" w:color="000000"/>
              <w:left w:val="nil"/>
              <w:bottom w:val="single" w:sz="2" w:space="0" w:color="000000"/>
              <w:right w:val="nil"/>
            </w:tcBorders>
          </w:tcPr>
          <w:p w14:paraId="20871331" w14:textId="77777777" w:rsidR="003F0CEE" w:rsidRPr="00762F6A" w:rsidRDefault="003F0CEE" w:rsidP="003F0CEE">
            <w:pPr>
              <w:pStyle w:val="TableTextLeft"/>
              <w:spacing w:before="80" w:after="80"/>
            </w:pPr>
            <w:r w:rsidRPr="00762F6A">
              <w:t>Reason for difference</w:t>
            </w:r>
          </w:p>
        </w:tc>
        <w:tc>
          <w:tcPr>
            <w:tcW w:w="6594" w:type="dxa"/>
            <w:gridSpan w:val="8"/>
            <w:tcBorders>
              <w:top w:val="single" w:sz="2" w:space="0" w:color="000000"/>
              <w:left w:val="nil"/>
              <w:bottom w:val="single" w:sz="2" w:space="0" w:color="000000"/>
              <w:right w:val="nil"/>
            </w:tcBorders>
          </w:tcPr>
          <w:p w14:paraId="20871332" w14:textId="77777777" w:rsidR="003F0CEE" w:rsidRPr="00762F6A" w:rsidRDefault="003F0CEE" w:rsidP="003F0CEE">
            <w:pPr>
              <w:pStyle w:val="TableTextLeft"/>
              <w:spacing w:before="80" w:after="80"/>
              <w:jc w:val="both"/>
            </w:pPr>
            <w:r w:rsidRPr="00762F6A">
              <w:t>Removing the exemption from interest withholding tax on certain securities would be expected to result in some borrowers switching to other forms of exempt borrowings, resulting in no revenue gain. In addition, some interest payments may be increased to cover the tax, leading to increased income tax deductions.</w:t>
            </w:r>
          </w:p>
        </w:tc>
      </w:tr>
    </w:tbl>
    <w:p w14:paraId="20871334" w14:textId="77777777" w:rsidR="003F0CEE" w:rsidRDefault="003F0CEE" w:rsidP="003F0CEE"/>
    <w:p w14:paraId="20871335" w14:textId="77777777" w:rsidR="003F0CEE" w:rsidRDefault="003F0CEE" w:rsidP="00A96CE4">
      <w:pPr>
        <w:spacing w:after="0" w:line="240" w:lineRule="auto"/>
        <w:jc w:val="left"/>
      </w:pPr>
    </w:p>
    <w:p w14:paraId="20871336" w14:textId="77777777" w:rsidR="003F0CEE" w:rsidRDefault="003F0CEE" w:rsidP="00A96CE4">
      <w:pPr>
        <w:spacing w:after="0" w:line="240" w:lineRule="auto"/>
        <w:jc w:val="left"/>
      </w:pPr>
    </w:p>
    <w:p w14:paraId="20871337" w14:textId="77777777" w:rsidR="003F0CEE" w:rsidRDefault="003F0CEE" w:rsidP="00A96CE4">
      <w:pPr>
        <w:spacing w:after="0" w:line="240" w:lineRule="auto"/>
        <w:jc w:val="left"/>
      </w:pPr>
    </w:p>
    <w:p w14:paraId="20871338" w14:textId="77777777" w:rsidR="003F0CEE" w:rsidRDefault="003F0CEE" w:rsidP="00A96CE4">
      <w:pPr>
        <w:spacing w:after="0" w:line="240" w:lineRule="auto"/>
        <w:jc w:val="left"/>
      </w:pPr>
    </w:p>
    <w:p w14:paraId="20871339" w14:textId="77777777" w:rsidR="003F0CEE" w:rsidRDefault="003F0CEE" w:rsidP="00A96CE4">
      <w:pPr>
        <w:spacing w:after="0" w:line="240" w:lineRule="auto"/>
        <w:jc w:val="left"/>
      </w:pPr>
    </w:p>
    <w:p w14:paraId="2087133A" w14:textId="77777777" w:rsidR="003F0CEE" w:rsidRDefault="003F0CEE" w:rsidP="00A96CE4">
      <w:pPr>
        <w:spacing w:after="0" w:line="240" w:lineRule="auto"/>
        <w:jc w:val="left"/>
      </w:pPr>
    </w:p>
    <w:p w14:paraId="2087133B" w14:textId="77777777" w:rsidR="003F0CEE" w:rsidRDefault="003F0CEE" w:rsidP="00A96CE4">
      <w:pPr>
        <w:spacing w:after="0" w:line="240" w:lineRule="auto"/>
        <w:jc w:val="left"/>
      </w:pPr>
    </w:p>
    <w:p w14:paraId="2087133C" w14:textId="77777777" w:rsidR="00AF71B4" w:rsidRDefault="00AF71B4">
      <w:pPr>
        <w:spacing w:after="0" w:line="240" w:lineRule="auto"/>
        <w:jc w:val="left"/>
        <w:rPr>
          <w:rFonts w:ascii="Arial" w:hAnsi="Arial"/>
          <w:b/>
          <w:color w:val="000000"/>
          <w:sz w:val="27"/>
        </w:rPr>
      </w:pPr>
      <w:bookmarkStart w:id="29" w:name="_Toc406673243"/>
      <w:bookmarkStart w:id="30" w:name="_Toc441066992"/>
      <w:r>
        <w:br w:type="page"/>
      </w:r>
    </w:p>
    <w:p w14:paraId="2087133D" w14:textId="77777777" w:rsidR="00CB1A57" w:rsidRDefault="00CB1A57" w:rsidP="00F02074">
      <w:pPr>
        <w:pStyle w:val="Heading1"/>
        <w:rPr>
          <w:szCs w:val="34"/>
        </w:rPr>
        <w:sectPr w:rsidR="00CB1A57" w:rsidSect="00EC79B6">
          <w:headerReference w:type="default" r:id="rId35"/>
          <w:type w:val="oddPage"/>
          <w:pgSz w:w="11907" w:h="16840" w:code="9"/>
          <w:pgMar w:top="2466" w:right="2098" w:bottom="2466" w:left="2098" w:header="1899" w:footer="1899" w:gutter="0"/>
          <w:cols w:space="720"/>
          <w:titlePg/>
          <w:docGrid w:linePitch="360"/>
        </w:sectPr>
      </w:pPr>
      <w:bookmarkStart w:id="31" w:name="_Toc441067000"/>
      <w:bookmarkEnd w:id="29"/>
      <w:bookmarkEnd w:id="30"/>
    </w:p>
    <w:p w14:paraId="70451F6B" w14:textId="0B7CA1DF" w:rsidR="001E4822" w:rsidRPr="00762F6A" w:rsidRDefault="001E4822" w:rsidP="001E4822">
      <w:pPr>
        <w:pStyle w:val="Heading1"/>
        <w:pageBreakBefore w:val="0"/>
      </w:pPr>
      <w:bookmarkStart w:id="32" w:name="_Toc441066987"/>
      <w:bookmarkStart w:id="33" w:name="_Toc472604538"/>
      <w:r w:rsidRPr="00762F6A">
        <w:lastRenderedPageBreak/>
        <w:t>Appendix A: Superannuation Tax Expenditures</w:t>
      </w:r>
      <w:bookmarkEnd w:id="32"/>
      <w:bookmarkEnd w:id="33"/>
    </w:p>
    <w:p w14:paraId="26D35105" w14:textId="77777777" w:rsidR="001E4822" w:rsidRPr="00762F6A" w:rsidRDefault="001E4822" w:rsidP="001E4822">
      <w:r w:rsidRPr="00762F6A">
        <w:t>This Appendix provides additional technical detail on some matters that are frequently raised with regard to the superannuation tax expenditures.</w:t>
      </w:r>
    </w:p>
    <w:p w14:paraId="13D7FE1E" w14:textId="77777777" w:rsidR="001E4822" w:rsidRPr="00E5312D" w:rsidRDefault="001E4822" w:rsidP="00E5312D">
      <w:pPr>
        <w:pStyle w:val="Heading2-notnumbered"/>
      </w:pPr>
      <w:bookmarkStart w:id="34" w:name="_Toc441066988"/>
      <w:bookmarkStart w:id="35" w:name="_Toc472604539"/>
      <w:bookmarkStart w:id="36" w:name="_Toc441066989"/>
      <w:r w:rsidRPr="00E5312D">
        <w:t>A.1</w:t>
      </w:r>
      <w:r w:rsidRPr="00E5312D">
        <w:tab/>
        <w:t>Choice of benchmark</w:t>
      </w:r>
      <w:bookmarkEnd w:id="34"/>
      <w:bookmarkEnd w:id="35"/>
    </w:p>
    <w:p w14:paraId="603C7B72" w14:textId="77777777" w:rsidR="001E4822" w:rsidRPr="00762F6A" w:rsidRDefault="001E4822" w:rsidP="001E4822">
      <w:r w:rsidRPr="00762F6A">
        <w:t>The Tax Expenditure</w:t>
      </w:r>
      <w:r>
        <w:t>s</w:t>
      </w:r>
      <w:r w:rsidRPr="00762F6A">
        <w:t xml:space="preserve"> Statement uses a comprehensive income tax benchmark to estimate the value of tax expenditures on savings, including superannuation. Some argue that an expenditure tax benchmark would be more appropriate.</w:t>
      </w:r>
    </w:p>
    <w:p w14:paraId="0B58A73F" w14:textId="636D4A5E" w:rsidR="001E4822" w:rsidRPr="00762F6A" w:rsidRDefault="001E4822" w:rsidP="001E4822">
      <w:r w:rsidRPr="00762F6A">
        <w:t>There are three conceptual taxing points for superannuation: when contributions are made into a superannuation fund; when investments in superannuation funds earn income; and when superannuation benefits are paid.</w:t>
      </w:r>
    </w:p>
    <w:p w14:paraId="6314E5C4" w14:textId="43C36DB6" w:rsidR="001E4822" w:rsidRPr="00762F6A" w:rsidRDefault="001E4822" w:rsidP="001E4822">
      <w:r w:rsidRPr="00762F6A">
        <w:t>The treatment of superannuation under a comprehensive income tax benchmark is for: superannuation contributions to be funded from after</w:t>
      </w:r>
      <w:r w:rsidRPr="00762F6A">
        <w:noBreakHyphen/>
        <w:t>tax income, earnings to be taxed at marginal rates, and benefits to be untaxed. Under an expenditure tax benchmark, on the other hand, contributions are taxed at marginal tax rates</w:t>
      </w:r>
      <w:r w:rsidR="007138A8">
        <w:t>, while earnings and benefits are exempt from tax</w:t>
      </w:r>
      <w:r w:rsidRPr="00762F6A">
        <w:t xml:space="preserve">. </w:t>
      </w:r>
      <w:r w:rsidR="007138A8">
        <w:t>T</w:t>
      </w:r>
      <w:r w:rsidRPr="00762F6A">
        <w:t>he point of difference between the two benchmarks is the taxation of superannuation earnings. Estimates of superannuation tax expenditures using the two benchmarks will be quite different.</w:t>
      </w:r>
    </w:p>
    <w:p w14:paraId="33BF6DCA" w14:textId="77777777" w:rsidR="001E4822" w:rsidRDefault="001E4822" w:rsidP="001E4822">
      <w:r w:rsidRPr="00762F6A">
        <w:t>The use of a comprehensive income tax benchmark for superannuation is consistent with the</w:t>
      </w:r>
      <w:r>
        <w:t xml:space="preserve"> benchmark applied to savings generally in the Tax Expenditures Statement; that is, for</w:t>
      </w:r>
      <w:r w:rsidRPr="00762F6A">
        <w:t xml:space="preserve"> bank </w:t>
      </w:r>
      <w:r>
        <w:t>interest</w:t>
      </w:r>
      <w:r w:rsidRPr="00762F6A">
        <w:t>, term deposits and debentures, investment returns on shares and managed funds, rental income and net capital gains</w:t>
      </w:r>
      <w:r>
        <w:t>.</w:t>
      </w:r>
    </w:p>
    <w:p w14:paraId="51E3B333" w14:textId="60BF969F" w:rsidR="001E4822" w:rsidRPr="00762F6A" w:rsidRDefault="001E4822" w:rsidP="001E4822">
      <w:r>
        <w:t>There is, however, an issue about whether an expenditure tax benchmark would be more appropriate for savings. The 2013 Tax Expenditures Statement (Appendix A, page</w:t>
      </w:r>
      <w:r w:rsidR="00D513CD">
        <w:t>s</w:t>
      </w:r>
      <w:r>
        <w:t xml:space="preserve"> 193-4) raised this issue and included experimental estimates for a range of superannuation tax expenditures measured against an expenditure tax benchmark. </w:t>
      </w:r>
      <w:r w:rsidRPr="00C05345">
        <w:rPr>
          <w:iCs/>
        </w:rPr>
        <w:t>The Australian Government response to the House of Representatives Standing Committee on Tax and Revenue report on the Tax Expenditure</w:t>
      </w:r>
      <w:r w:rsidR="00D513CD">
        <w:rPr>
          <w:iCs/>
        </w:rPr>
        <w:t>s</w:t>
      </w:r>
      <w:r w:rsidRPr="00C05345">
        <w:rPr>
          <w:iCs/>
        </w:rPr>
        <w:t xml:space="preserve"> Statement stated that Treasury should explore reporting savings tax expenditures against an expenditure tax benchmark in future editions of the TES, in addition to an income tax benchmark. Treasury will undertake this work in 2017.</w:t>
      </w:r>
    </w:p>
    <w:p w14:paraId="275E9D0C" w14:textId="77777777" w:rsidR="001E4822" w:rsidRDefault="001E4822" w:rsidP="001E4822"/>
    <w:p w14:paraId="73BB8FF3" w14:textId="77777777" w:rsidR="001E4822" w:rsidRPr="00762F6A" w:rsidRDefault="001E4822" w:rsidP="00E5312D">
      <w:pPr>
        <w:pStyle w:val="Heading2-notnumbered"/>
      </w:pPr>
      <w:bookmarkStart w:id="37" w:name="_Toc472604540"/>
      <w:r>
        <w:lastRenderedPageBreak/>
        <w:t>A.2</w:t>
      </w:r>
      <w:r>
        <w:tab/>
      </w:r>
      <w:r w:rsidRPr="00762F6A">
        <w:t>Choice of alternative investments</w:t>
      </w:r>
      <w:bookmarkEnd w:id="36"/>
      <w:bookmarkEnd w:id="37"/>
    </w:p>
    <w:p w14:paraId="7D8E5F20" w14:textId="77777777" w:rsidR="001E4822" w:rsidRPr="00762F6A" w:rsidRDefault="001E4822" w:rsidP="001E4822">
      <w:pPr>
        <w:spacing w:after="220"/>
      </w:pPr>
      <w:r w:rsidRPr="00762F6A">
        <w:t>The use of the comprehensive income tax benchmark and the need to measure the income tax that would otherwise have been paid on investment income requires some assumption of where people would otherwise have invested their savings. Questions are sometimes raised as to the treatment of investment income under this counterfactual scenario, particularly with regard to people’s ability to minimise their marginal tax by investing in alternative tax</w:t>
      </w:r>
      <w:r w:rsidRPr="00762F6A">
        <w:noBreakHyphen/>
        <w:t>effective investments.</w:t>
      </w:r>
    </w:p>
    <w:p w14:paraId="59E44695" w14:textId="77777777" w:rsidR="001E4822" w:rsidRPr="00762F6A" w:rsidRDefault="001E4822" w:rsidP="001E4822">
      <w:pPr>
        <w:spacing w:after="220"/>
      </w:pPr>
      <w:r w:rsidRPr="00762F6A">
        <w:t>The revenue forgone estimates are based on the assumption that the assets held outside of the superannuation system would have the same portfolio allocation as those held inside the superannuation system, and earn the same before</w:t>
      </w:r>
      <w:r w:rsidRPr="00762F6A">
        <w:noBreakHyphen/>
        <w:t>tax rates of return. This includes assets with deferred capital gains such as shares and property. Imputation credits as well as the costs of generating earnings such as insurance, rates and maintenance for property are also taken into account in the estimates.</w:t>
      </w:r>
    </w:p>
    <w:p w14:paraId="2574BAFD" w14:textId="77777777" w:rsidR="001E4822" w:rsidRPr="00762F6A" w:rsidRDefault="001E4822" w:rsidP="001E4822">
      <w:r w:rsidRPr="00762F6A">
        <w:t>The revenue gain estimates, which allow for a behavioural response, make further allowances for the fact that people can minimise their marginal tax by making use of trusts or company tax structures or by investing in negatively</w:t>
      </w:r>
      <w:r w:rsidRPr="00762F6A">
        <w:noBreakHyphen/>
        <w:t>geared assets, lower</w:t>
      </w:r>
      <w:r w:rsidRPr="00762F6A">
        <w:noBreakHyphen/>
        <w:t>taxed foreign jurisdictions or owner</w:t>
      </w:r>
      <w:r w:rsidRPr="00762F6A">
        <w:noBreakHyphen/>
        <w:t>occupied housing.</w:t>
      </w:r>
    </w:p>
    <w:p w14:paraId="0A36553A" w14:textId="77777777" w:rsidR="001E4822" w:rsidRPr="00762F6A" w:rsidRDefault="001E4822" w:rsidP="00E5312D">
      <w:pPr>
        <w:pStyle w:val="Heading2-notnumbered"/>
      </w:pPr>
      <w:bookmarkStart w:id="38" w:name="_Toc441066990"/>
      <w:bookmarkStart w:id="39" w:name="_Toc472604541"/>
      <w:r>
        <w:t>A.3</w:t>
      </w:r>
      <w:r>
        <w:tab/>
      </w:r>
      <w:r w:rsidRPr="00762F6A">
        <w:t>Accounting for effects on the Age Pension</w:t>
      </w:r>
      <w:bookmarkEnd w:id="38"/>
      <w:bookmarkEnd w:id="39"/>
    </w:p>
    <w:p w14:paraId="61705953" w14:textId="77777777" w:rsidR="001E4822" w:rsidRPr="00762F6A" w:rsidRDefault="001E4822" w:rsidP="001E4822">
      <w:pPr>
        <w:spacing w:after="220"/>
      </w:pPr>
      <w:r w:rsidRPr="00762F6A">
        <w:t>One effect of superannuation is to reduce outlays on Age Pension. Some commentary argues that these expenditure savings should be recognised in the estimates of superannuation tax expenditures.</w:t>
      </w:r>
    </w:p>
    <w:p w14:paraId="2E1FBB64" w14:textId="72CAF31A" w:rsidR="001E4822" w:rsidRPr="00762F6A" w:rsidRDefault="001E4822" w:rsidP="001E4822">
      <w:pPr>
        <w:spacing w:after="220"/>
      </w:pPr>
      <w:r w:rsidRPr="00762F6A">
        <w:t xml:space="preserve">Tax expenditures seek to measure the deviation in the actual tax treatment of an activity or class of taxpayer from the benchmark tax treatment. They are therefore a more limited construct than a budget costing and, by their </w:t>
      </w:r>
      <w:proofErr w:type="gramStart"/>
      <w:r w:rsidRPr="00762F6A">
        <w:t>nature,</w:t>
      </w:r>
      <w:proofErr w:type="gramEnd"/>
      <w:r w:rsidRPr="00762F6A">
        <w:t xml:space="preserve"> do not seek to measure the full budgetary impact on related current or future government expenditure since these are not taxes.</w:t>
      </w:r>
    </w:p>
    <w:p w14:paraId="1264B6EF" w14:textId="77777777" w:rsidR="001E4822" w:rsidRPr="00762F6A" w:rsidRDefault="001E4822" w:rsidP="001E4822">
      <w:pPr>
        <w:spacing w:after="0"/>
      </w:pPr>
      <w:r w:rsidRPr="00762F6A">
        <w:t xml:space="preserve">Other forms of analysis from time to time cover these broader considerations. For example, a 2013 analysis estimated the fiscal impact of a phased increase in the Superannuation Guarantee rate from 9 per cent to 12 per cent, including the balance between tax losses and Age Pension savings (see Charter Group, </w:t>
      </w:r>
      <w:r w:rsidRPr="00762F6A">
        <w:rPr>
          <w:i/>
        </w:rPr>
        <w:t>A Super Charter: Fewer Changes, Better Outcomes: A report to the Treasurer and Minister Assisting for Financial Services and Superannuation</w:t>
      </w:r>
      <w:r w:rsidRPr="00762F6A">
        <w:t xml:space="preserve">, 2013, page 11). </w:t>
      </w:r>
    </w:p>
    <w:p w14:paraId="3CCAACDE" w14:textId="77777777" w:rsidR="001E4822" w:rsidRPr="00762F6A" w:rsidRDefault="001E4822" w:rsidP="00E5312D">
      <w:pPr>
        <w:pStyle w:val="Heading2-notnumbered"/>
      </w:pPr>
      <w:bookmarkStart w:id="40" w:name="_Toc441066991"/>
      <w:bookmarkStart w:id="41" w:name="_Toc472604542"/>
      <w:r>
        <w:t>A.4</w:t>
      </w:r>
      <w:r>
        <w:tab/>
      </w:r>
      <w:r w:rsidRPr="00762F6A">
        <w:t>Reliability of estimates</w:t>
      </w:r>
      <w:bookmarkEnd w:id="40"/>
      <w:bookmarkEnd w:id="41"/>
    </w:p>
    <w:p w14:paraId="46568369" w14:textId="77777777" w:rsidR="001E4822" w:rsidRPr="00762F6A" w:rsidRDefault="001E4822" w:rsidP="001E4822">
      <w:r w:rsidRPr="00762F6A">
        <w:t>Why do some of the estimates of superannuation tax expenditures exhibit considerable volatility, both over time and with the annual revision of estimates?</w:t>
      </w:r>
    </w:p>
    <w:p w14:paraId="7FFC26E9" w14:textId="77777777" w:rsidR="001E4822" w:rsidRDefault="001E4822" w:rsidP="001E4822">
      <w:r w:rsidRPr="00762F6A">
        <w:lastRenderedPageBreak/>
        <w:t xml:space="preserve">Some drivers of the superannuation tax expenditure estimates, such as Superannuation Guarantee contributions, are reasonably stable and predictable. However, a number of the estimates rely on either forecasts of equity returns or forecasts of individual behaviour based on those equity returns (for example, discretionary superannuation contributions). These elements are difficult to estimate and are typically volatile. For example, estimates of the tax expenditure on superannuation earnings </w:t>
      </w:r>
      <w:r>
        <w:t xml:space="preserve">have historically been </w:t>
      </w:r>
      <w:r w:rsidRPr="00762F6A">
        <w:t>particularly volatile. This uncertainty is why the reliability of the estimate for this tax expenditure is clearly identified as ‘</w:t>
      </w:r>
      <w:r>
        <w:t>l</w:t>
      </w:r>
      <w:r w:rsidRPr="00762F6A">
        <w:t>ow’ in the Tax Expenditures Statement.</w:t>
      </w:r>
    </w:p>
    <w:p w14:paraId="076DBBB3" w14:textId="66B9F5A3" w:rsidR="001E4822" w:rsidRDefault="001E4822" w:rsidP="001E4822">
      <w:r>
        <w:t>In addition, the superannuation reform package included in the 2016-17 Budget and 2016-17 Mid</w:t>
      </w:r>
      <w:r>
        <w:noBreakHyphen/>
        <w:t>year Economic and Fiscal Outlook, has affected a number of sup</w:t>
      </w:r>
      <w:r w:rsidR="000D700A">
        <w:t xml:space="preserve">erannuation tax expenditures. </w:t>
      </w:r>
      <w:r>
        <w:t>Most significantly, this has the effect of reducing the tax expenditures for superannuation earnings and employer contributions and increasing the tax expenditure for personal superannuation contributions compared to what would otherwise have been reported.</w:t>
      </w:r>
    </w:p>
    <w:p w14:paraId="17C669AB" w14:textId="77777777" w:rsidR="001E4822" w:rsidRPr="00762F6A" w:rsidRDefault="001E4822" w:rsidP="001E4822">
      <w:r>
        <w:t xml:space="preserve">The financial implications of the superannuation reform package were included in the Explanatory Memorandum to the </w:t>
      </w:r>
      <w:r>
        <w:rPr>
          <w:i/>
        </w:rPr>
        <w:t>Treasury Laws Amendment (Fair and Sustainable Superannuation) Bill 2016</w:t>
      </w:r>
      <w:r>
        <w:t>.</w:t>
      </w:r>
    </w:p>
    <w:p w14:paraId="62B2B631" w14:textId="77777777" w:rsidR="001E4822" w:rsidRDefault="001E4822">
      <w:pPr>
        <w:spacing w:after="0" w:line="240" w:lineRule="auto"/>
        <w:jc w:val="left"/>
        <w:rPr>
          <w:rFonts w:ascii="Arial" w:hAnsi="Arial"/>
          <w:b/>
          <w:smallCaps/>
          <w:color w:val="auto"/>
          <w:kern w:val="28"/>
          <w:sz w:val="34"/>
          <w:szCs w:val="34"/>
        </w:rPr>
      </w:pPr>
    </w:p>
    <w:p w14:paraId="60222F63" w14:textId="77777777" w:rsidR="001E4822" w:rsidRDefault="001E4822" w:rsidP="00F02074">
      <w:pPr>
        <w:pStyle w:val="Heading1"/>
        <w:rPr>
          <w:szCs w:val="34"/>
        </w:rPr>
        <w:sectPr w:rsidR="001E4822" w:rsidSect="00EC79B6">
          <w:headerReference w:type="default" r:id="rId36"/>
          <w:footerReference w:type="first" r:id="rId37"/>
          <w:type w:val="oddPage"/>
          <w:pgSz w:w="11907" w:h="16840" w:code="9"/>
          <w:pgMar w:top="2466" w:right="2098" w:bottom="2466" w:left="2098" w:header="1899" w:footer="1899" w:gutter="0"/>
          <w:cols w:space="720"/>
          <w:titlePg/>
          <w:docGrid w:linePitch="360"/>
        </w:sectPr>
      </w:pPr>
    </w:p>
    <w:p w14:paraId="2087133E" w14:textId="2B686CC9" w:rsidR="00F02074" w:rsidRPr="00394FDC" w:rsidRDefault="00394FDC" w:rsidP="00F02074">
      <w:pPr>
        <w:pStyle w:val="Heading1"/>
        <w:rPr>
          <w:szCs w:val="34"/>
        </w:rPr>
      </w:pPr>
      <w:bookmarkStart w:id="42" w:name="_Toc472604543"/>
      <w:r w:rsidRPr="00394FDC">
        <w:rPr>
          <w:szCs w:val="34"/>
        </w:rPr>
        <w:lastRenderedPageBreak/>
        <w:t xml:space="preserve">Appendix </w:t>
      </w:r>
      <w:r w:rsidR="001E4822">
        <w:rPr>
          <w:szCs w:val="34"/>
        </w:rPr>
        <w:t>B</w:t>
      </w:r>
      <w:r w:rsidRPr="00394FDC">
        <w:rPr>
          <w:szCs w:val="34"/>
        </w:rPr>
        <w:t xml:space="preserve">: </w:t>
      </w:r>
      <w:r w:rsidR="00F02074" w:rsidRPr="00394FDC">
        <w:rPr>
          <w:szCs w:val="34"/>
        </w:rPr>
        <w:t>Technical Notes</w:t>
      </w:r>
      <w:bookmarkEnd w:id="42"/>
    </w:p>
    <w:p w14:paraId="2087133F" w14:textId="5AC79FF6" w:rsidR="00F02074" w:rsidRPr="00762F6A" w:rsidRDefault="001E4822" w:rsidP="00E5312D">
      <w:pPr>
        <w:pStyle w:val="Heading2-notnumbered"/>
      </w:pPr>
      <w:bookmarkStart w:id="43" w:name="_Toc441066993"/>
      <w:bookmarkStart w:id="44" w:name="_Toc472604544"/>
      <w:r>
        <w:t>B</w:t>
      </w:r>
      <w:r w:rsidR="00394FDC">
        <w:t>.1</w:t>
      </w:r>
      <w:r w:rsidR="00E5312D">
        <w:tab/>
      </w:r>
      <w:r w:rsidR="00F02074" w:rsidRPr="00762F6A">
        <w:t>Reliability</w:t>
      </w:r>
      <w:bookmarkEnd w:id="43"/>
      <w:bookmarkEnd w:id="44"/>
    </w:p>
    <w:p w14:paraId="20871340" w14:textId="77777777" w:rsidR="00F02074" w:rsidRPr="00762F6A" w:rsidRDefault="00F02074" w:rsidP="00F02074">
      <w:pPr>
        <w:spacing w:after="200"/>
        <w:rPr>
          <w:lang w:eastAsia="en-US"/>
        </w:rPr>
      </w:pPr>
      <w:r w:rsidRPr="00762F6A">
        <w:t>The reliability of each tax expenditure estimate (where quantified) has been assessed b</w:t>
      </w:r>
      <w:r w:rsidRPr="00762F6A">
        <w:rPr>
          <w:lang w:eastAsia="en-US"/>
        </w:rPr>
        <w:t>y separately scoring:</w:t>
      </w:r>
    </w:p>
    <w:p w14:paraId="20871341" w14:textId="77777777" w:rsidR="00F02074" w:rsidRPr="00762F6A" w:rsidRDefault="00F02074" w:rsidP="00F02074">
      <w:pPr>
        <w:pStyle w:val="Bullet"/>
        <w:spacing w:after="200"/>
      </w:pPr>
      <w:r w:rsidRPr="00762F6A">
        <w:rPr>
          <w:lang w:eastAsia="en-US"/>
        </w:rPr>
        <w:t xml:space="preserve">the </w:t>
      </w:r>
      <w:r w:rsidRPr="00762F6A">
        <w:t>reliability of the available data;</w:t>
      </w:r>
    </w:p>
    <w:p w14:paraId="20871342" w14:textId="5AE0D712" w:rsidR="00F02074" w:rsidRPr="00762F6A" w:rsidRDefault="00F02074" w:rsidP="00F02074">
      <w:pPr>
        <w:pStyle w:val="Bullet"/>
        <w:spacing w:after="200"/>
      </w:pPr>
      <w:r w:rsidRPr="00762F6A">
        <w:t>the underlying assumptions made where no or insufficient data is available; and</w:t>
      </w:r>
    </w:p>
    <w:p w14:paraId="20871343" w14:textId="77777777" w:rsidR="00F02074" w:rsidRPr="00762F6A" w:rsidRDefault="00F02074" w:rsidP="00F02074">
      <w:pPr>
        <w:pStyle w:val="Bullet"/>
        <w:rPr>
          <w:lang w:eastAsia="en-US"/>
        </w:rPr>
      </w:pPr>
      <w:proofErr w:type="gramStart"/>
      <w:r w:rsidRPr="00762F6A">
        <w:t>other</w:t>
      </w:r>
      <w:proofErr w:type="gramEnd"/>
      <w:r w:rsidRPr="00762F6A">
        <w:t xml:space="preserve"> rele</w:t>
      </w:r>
      <w:r w:rsidRPr="00762F6A">
        <w:rPr>
          <w:lang w:eastAsia="en-US"/>
        </w:rPr>
        <w:t xml:space="preserve">vant factors (for example, the volatility of growth rates over time). </w:t>
      </w:r>
    </w:p>
    <w:p w14:paraId="20871344" w14:textId="77777777" w:rsidR="00F02074" w:rsidRPr="00762F6A" w:rsidRDefault="00F02074" w:rsidP="00F02074">
      <w:pPr>
        <w:spacing w:after="200"/>
        <w:rPr>
          <w:lang w:eastAsia="en-US"/>
        </w:rPr>
      </w:pPr>
      <w:r w:rsidRPr="00762F6A">
        <w:rPr>
          <w:lang w:eastAsia="en-US"/>
        </w:rPr>
        <w:t>Scores range from 0 (very low) to 3 (high). The three scores are then summed to give an overall reliability rating as set out below.</w:t>
      </w:r>
    </w:p>
    <w:p w14:paraId="20871345" w14:textId="77777777" w:rsidR="00F02074" w:rsidRPr="00762F6A" w:rsidRDefault="00F02074" w:rsidP="00F02074">
      <w:pPr>
        <w:spacing w:after="0"/>
        <w:ind w:firstLine="709"/>
        <w:rPr>
          <w:b/>
        </w:rPr>
      </w:pPr>
      <w:r w:rsidRPr="00762F6A">
        <w:rPr>
          <w:b/>
        </w:rPr>
        <w:t>Score</w:t>
      </w:r>
      <w:r w:rsidRPr="00762F6A">
        <w:rPr>
          <w:b/>
        </w:rPr>
        <w:tab/>
        <w:t>Rating</w:t>
      </w:r>
    </w:p>
    <w:p w14:paraId="20871346" w14:textId="77777777" w:rsidR="00F02074" w:rsidRPr="00762F6A" w:rsidRDefault="00F02074" w:rsidP="00F02074">
      <w:pPr>
        <w:spacing w:before="20" w:after="0"/>
        <w:ind w:firstLine="709"/>
      </w:pPr>
      <w:r w:rsidRPr="00762F6A">
        <w:t>0</w:t>
      </w:r>
      <w:r w:rsidRPr="00762F6A">
        <w:tab/>
        <w:t>Very low</w:t>
      </w:r>
    </w:p>
    <w:p w14:paraId="20871347" w14:textId="77777777" w:rsidR="00F02074" w:rsidRPr="00762F6A" w:rsidRDefault="00F02074" w:rsidP="00F02074">
      <w:pPr>
        <w:spacing w:before="20" w:after="0"/>
        <w:ind w:firstLine="709"/>
      </w:pPr>
      <w:r w:rsidRPr="00762F6A">
        <w:t>1</w:t>
      </w:r>
      <w:r w:rsidRPr="00762F6A">
        <w:tab/>
        <w:t>Low</w:t>
      </w:r>
    </w:p>
    <w:p w14:paraId="20871348" w14:textId="77777777" w:rsidR="00F02074" w:rsidRPr="00762F6A" w:rsidRDefault="00F02074" w:rsidP="00F02074">
      <w:pPr>
        <w:spacing w:before="20" w:after="0"/>
        <w:ind w:firstLine="709"/>
      </w:pPr>
      <w:r w:rsidRPr="00762F6A">
        <w:t>2</w:t>
      </w:r>
      <w:r w:rsidRPr="00762F6A">
        <w:tab/>
        <w:t>Low</w:t>
      </w:r>
    </w:p>
    <w:p w14:paraId="20871349" w14:textId="77777777" w:rsidR="00F02074" w:rsidRPr="00762F6A" w:rsidRDefault="00F02074" w:rsidP="00F02074">
      <w:pPr>
        <w:spacing w:before="20" w:after="0"/>
        <w:ind w:firstLine="709"/>
      </w:pPr>
      <w:r w:rsidRPr="00762F6A">
        <w:t>3</w:t>
      </w:r>
      <w:r w:rsidRPr="00762F6A">
        <w:tab/>
        <w:t>Low</w:t>
      </w:r>
    </w:p>
    <w:p w14:paraId="2087134A" w14:textId="77777777" w:rsidR="00F02074" w:rsidRPr="00762F6A" w:rsidRDefault="00F02074" w:rsidP="00F02074">
      <w:pPr>
        <w:spacing w:before="20" w:after="0"/>
        <w:ind w:firstLine="709"/>
      </w:pPr>
      <w:r w:rsidRPr="00762F6A">
        <w:t>4</w:t>
      </w:r>
      <w:r w:rsidRPr="00762F6A">
        <w:tab/>
        <w:t>Medium — low</w:t>
      </w:r>
    </w:p>
    <w:p w14:paraId="2087134B" w14:textId="77777777" w:rsidR="00F02074" w:rsidRPr="00762F6A" w:rsidRDefault="00F02074" w:rsidP="00F02074">
      <w:pPr>
        <w:spacing w:before="20" w:after="0"/>
        <w:ind w:firstLine="709"/>
      </w:pPr>
      <w:r w:rsidRPr="00762F6A">
        <w:t>5</w:t>
      </w:r>
      <w:r w:rsidRPr="00762F6A">
        <w:tab/>
        <w:t>Medium</w:t>
      </w:r>
    </w:p>
    <w:p w14:paraId="2087134C" w14:textId="77777777" w:rsidR="00F02074" w:rsidRPr="00762F6A" w:rsidRDefault="00F02074" w:rsidP="00F02074">
      <w:pPr>
        <w:spacing w:before="20" w:after="0"/>
        <w:ind w:firstLine="709"/>
      </w:pPr>
      <w:r w:rsidRPr="00762F6A">
        <w:t>6</w:t>
      </w:r>
      <w:r w:rsidRPr="00762F6A">
        <w:tab/>
        <w:t>Medium</w:t>
      </w:r>
    </w:p>
    <w:p w14:paraId="2087134D" w14:textId="77777777" w:rsidR="00F02074" w:rsidRPr="00762F6A" w:rsidRDefault="00F02074" w:rsidP="00F02074">
      <w:pPr>
        <w:spacing w:before="20" w:after="0"/>
        <w:ind w:firstLine="709"/>
      </w:pPr>
      <w:r w:rsidRPr="00762F6A">
        <w:t>7</w:t>
      </w:r>
      <w:r w:rsidRPr="00762F6A">
        <w:tab/>
        <w:t>Medium</w:t>
      </w:r>
    </w:p>
    <w:p w14:paraId="2087134E" w14:textId="77777777" w:rsidR="00F02074" w:rsidRPr="00762F6A" w:rsidRDefault="00F02074" w:rsidP="00F02074">
      <w:pPr>
        <w:spacing w:before="20" w:after="0"/>
        <w:ind w:firstLine="709"/>
      </w:pPr>
      <w:r w:rsidRPr="00762F6A">
        <w:t>8</w:t>
      </w:r>
      <w:r w:rsidRPr="00762F6A">
        <w:tab/>
        <w:t>Medium — high</w:t>
      </w:r>
    </w:p>
    <w:p w14:paraId="2087134F" w14:textId="77777777" w:rsidR="00F02074" w:rsidRPr="00762F6A" w:rsidRDefault="00F02074" w:rsidP="00F02074">
      <w:pPr>
        <w:spacing w:before="20"/>
        <w:ind w:firstLine="709"/>
      </w:pPr>
      <w:r w:rsidRPr="00762F6A">
        <w:t>9</w:t>
      </w:r>
      <w:r w:rsidRPr="00762F6A">
        <w:tab/>
        <w:t>High</w:t>
      </w:r>
    </w:p>
    <w:p w14:paraId="20871350" w14:textId="5976F648" w:rsidR="00F02074" w:rsidRPr="00762F6A" w:rsidRDefault="00F02074" w:rsidP="00F02074">
      <w:r w:rsidRPr="00762F6A">
        <w:t>The reliability of quantified tax expenditures in the 201</w:t>
      </w:r>
      <w:r>
        <w:t>6</w:t>
      </w:r>
      <w:r w:rsidRPr="00762F6A">
        <w:t xml:space="preserve"> TES is shown in Table </w:t>
      </w:r>
      <w:r w:rsidR="001E4822">
        <w:t>B</w:t>
      </w:r>
      <w:r w:rsidRPr="00762F6A">
        <w:t xml:space="preserve">1. </w:t>
      </w:r>
    </w:p>
    <w:p w14:paraId="20871351" w14:textId="1129D886" w:rsidR="00F02074" w:rsidRPr="00762F6A" w:rsidRDefault="00F02074" w:rsidP="00F02074">
      <w:pPr>
        <w:pStyle w:val="TableHeading"/>
      </w:pPr>
      <w:r w:rsidRPr="008E06E6">
        <w:t xml:space="preserve">Table </w:t>
      </w:r>
      <w:r w:rsidR="001E4822">
        <w:t>B</w:t>
      </w:r>
      <w:r w:rsidRPr="008E06E6">
        <w:t>1: Reliability of quantified tax expenditures for 201</w:t>
      </w:r>
      <w:r w:rsidR="008E06E6" w:rsidRPr="008E06E6">
        <w:t>6</w:t>
      </w:r>
      <w:r w:rsidRPr="008E06E6">
        <w:noBreakHyphen/>
        <w:t>1</w:t>
      </w:r>
      <w:r w:rsidR="008E06E6" w:rsidRPr="008E06E6">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410"/>
      </w:tblGrid>
      <w:tr w:rsidR="00F02074" w:rsidRPr="00762F6A" w14:paraId="20871354" w14:textId="77777777" w:rsidTr="007128CF">
        <w:trPr>
          <w:trHeight w:val="270"/>
        </w:trPr>
        <w:tc>
          <w:tcPr>
            <w:tcW w:w="2410" w:type="dxa"/>
            <w:shd w:val="clear" w:color="auto" w:fill="F2F2F2" w:themeFill="background1" w:themeFillShade="F2"/>
            <w:hideMark/>
          </w:tcPr>
          <w:p w14:paraId="20871352" w14:textId="77777777" w:rsidR="00F02074" w:rsidRPr="00762F6A" w:rsidRDefault="00F02074" w:rsidP="007128CF">
            <w:pPr>
              <w:pStyle w:val="TableColumnHeadingLeft"/>
              <w:spacing w:before="60" w:after="60"/>
            </w:pPr>
            <w:r w:rsidRPr="00762F6A">
              <w:t>Reliability rating</w:t>
            </w:r>
          </w:p>
        </w:tc>
        <w:tc>
          <w:tcPr>
            <w:tcW w:w="2410" w:type="dxa"/>
            <w:tcBorders>
              <w:bottom w:val="single" w:sz="4" w:space="0" w:color="auto"/>
            </w:tcBorders>
            <w:shd w:val="clear" w:color="auto" w:fill="F2F2F2" w:themeFill="background1" w:themeFillShade="F2"/>
            <w:hideMark/>
          </w:tcPr>
          <w:p w14:paraId="20871353" w14:textId="77777777" w:rsidR="00F02074" w:rsidRPr="00762F6A" w:rsidRDefault="00F02074" w:rsidP="00C11FD2">
            <w:pPr>
              <w:pStyle w:val="TableColumnHeadingLeft"/>
              <w:spacing w:before="60" w:after="60"/>
              <w:jc w:val="right"/>
            </w:pPr>
            <w:r w:rsidRPr="00762F6A">
              <w:t>Number of tax expenditures</w:t>
            </w:r>
          </w:p>
        </w:tc>
      </w:tr>
      <w:tr w:rsidR="00F02074" w:rsidRPr="00762F6A" w14:paraId="20871357" w14:textId="77777777" w:rsidTr="007128CF">
        <w:trPr>
          <w:trHeight w:val="270"/>
        </w:trPr>
        <w:tc>
          <w:tcPr>
            <w:tcW w:w="2410" w:type="dxa"/>
            <w:shd w:val="clear" w:color="auto" w:fill="auto"/>
            <w:hideMark/>
          </w:tcPr>
          <w:p w14:paraId="20871355" w14:textId="77777777" w:rsidR="00F02074" w:rsidRPr="00762F6A" w:rsidRDefault="00F02074" w:rsidP="007128CF">
            <w:pPr>
              <w:pStyle w:val="TableTextLeft"/>
              <w:spacing w:before="60" w:after="60" w:line="260" w:lineRule="exact"/>
            </w:pPr>
            <w:r w:rsidRPr="00762F6A">
              <w:t>High</w:t>
            </w:r>
          </w:p>
        </w:tc>
        <w:tc>
          <w:tcPr>
            <w:tcW w:w="2410" w:type="dxa"/>
            <w:shd w:val="clear" w:color="auto" w:fill="auto"/>
          </w:tcPr>
          <w:p w14:paraId="20871356" w14:textId="77777777" w:rsidR="00F02074" w:rsidRPr="00CE351E" w:rsidRDefault="00F02074" w:rsidP="007128CF">
            <w:pPr>
              <w:pStyle w:val="TableTextRight"/>
              <w:spacing w:before="60" w:after="60"/>
            </w:pPr>
            <w:r w:rsidRPr="00CE351E">
              <w:t>3</w:t>
            </w:r>
          </w:p>
        </w:tc>
      </w:tr>
      <w:tr w:rsidR="00F02074" w:rsidRPr="00762F6A" w14:paraId="2087135A" w14:textId="77777777" w:rsidTr="007128CF">
        <w:trPr>
          <w:trHeight w:val="270"/>
        </w:trPr>
        <w:tc>
          <w:tcPr>
            <w:tcW w:w="2410" w:type="dxa"/>
            <w:shd w:val="clear" w:color="auto" w:fill="auto"/>
            <w:hideMark/>
          </w:tcPr>
          <w:p w14:paraId="20871358" w14:textId="77777777" w:rsidR="00F02074" w:rsidRPr="00762F6A" w:rsidRDefault="00F02074" w:rsidP="007128CF">
            <w:pPr>
              <w:pStyle w:val="TableTextLeft"/>
              <w:spacing w:before="60" w:after="60" w:line="260" w:lineRule="exact"/>
            </w:pPr>
            <w:r w:rsidRPr="00762F6A">
              <w:t>Medium — high</w:t>
            </w:r>
          </w:p>
        </w:tc>
        <w:tc>
          <w:tcPr>
            <w:tcW w:w="2410" w:type="dxa"/>
            <w:shd w:val="clear" w:color="auto" w:fill="auto"/>
          </w:tcPr>
          <w:p w14:paraId="20871359" w14:textId="77777777" w:rsidR="00F02074" w:rsidRPr="00CE351E" w:rsidRDefault="00F02074" w:rsidP="007128CF">
            <w:pPr>
              <w:pStyle w:val="TableTextRight"/>
              <w:spacing w:before="60" w:after="60"/>
            </w:pPr>
            <w:r w:rsidRPr="00CE351E">
              <w:t>13</w:t>
            </w:r>
          </w:p>
        </w:tc>
      </w:tr>
      <w:tr w:rsidR="00F02074" w:rsidRPr="00762F6A" w14:paraId="2087135D" w14:textId="77777777" w:rsidTr="007128CF">
        <w:trPr>
          <w:trHeight w:val="270"/>
        </w:trPr>
        <w:tc>
          <w:tcPr>
            <w:tcW w:w="2410" w:type="dxa"/>
            <w:shd w:val="clear" w:color="auto" w:fill="auto"/>
            <w:hideMark/>
          </w:tcPr>
          <w:p w14:paraId="2087135B" w14:textId="77777777" w:rsidR="00F02074" w:rsidRPr="00762F6A" w:rsidRDefault="00F02074" w:rsidP="007128CF">
            <w:pPr>
              <w:pStyle w:val="TableTextLeft"/>
              <w:spacing w:before="60" w:after="60" w:line="260" w:lineRule="exact"/>
            </w:pPr>
            <w:r w:rsidRPr="00762F6A">
              <w:t>Medium</w:t>
            </w:r>
          </w:p>
        </w:tc>
        <w:tc>
          <w:tcPr>
            <w:tcW w:w="2410" w:type="dxa"/>
            <w:shd w:val="clear" w:color="auto" w:fill="auto"/>
          </w:tcPr>
          <w:p w14:paraId="2087135C" w14:textId="77777777" w:rsidR="00F02074" w:rsidRPr="00CE351E" w:rsidRDefault="008E06E6" w:rsidP="005E7207">
            <w:pPr>
              <w:pStyle w:val="TableTextRight"/>
              <w:spacing w:before="60" w:after="60"/>
            </w:pPr>
            <w:r>
              <w:t>6</w:t>
            </w:r>
            <w:r w:rsidR="005E7207">
              <w:t>1</w:t>
            </w:r>
          </w:p>
        </w:tc>
      </w:tr>
      <w:tr w:rsidR="00F02074" w:rsidRPr="00762F6A" w14:paraId="20871360" w14:textId="77777777" w:rsidTr="007128CF">
        <w:trPr>
          <w:trHeight w:val="270"/>
        </w:trPr>
        <w:tc>
          <w:tcPr>
            <w:tcW w:w="2410" w:type="dxa"/>
            <w:shd w:val="clear" w:color="auto" w:fill="auto"/>
            <w:hideMark/>
          </w:tcPr>
          <w:p w14:paraId="2087135E" w14:textId="77777777" w:rsidR="00F02074" w:rsidRPr="00762F6A" w:rsidRDefault="00F02074" w:rsidP="007128CF">
            <w:pPr>
              <w:pStyle w:val="TableTextLeft"/>
              <w:spacing w:before="60" w:after="60" w:line="260" w:lineRule="exact"/>
            </w:pPr>
            <w:r w:rsidRPr="00762F6A">
              <w:t>Medium — low</w:t>
            </w:r>
          </w:p>
        </w:tc>
        <w:tc>
          <w:tcPr>
            <w:tcW w:w="2410" w:type="dxa"/>
            <w:shd w:val="clear" w:color="auto" w:fill="auto"/>
          </w:tcPr>
          <w:p w14:paraId="2087135F" w14:textId="77777777" w:rsidR="00F02074" w:rsidRPr="00CE351E" w:rsidRDefault="005E7207" w:rsidP="005E7207">
            <w:pPr>
              <w:pStyle w:val="TableTextRight"/>
              <w:spacing w:before="60" w:after="60"/>
            </w:pPr>
            <w:r>
              <w:t>21</w:t>
            </w:r>
          </w:p>
        </w:tc>
      </w:tr>
      <w:tr w:rsidR="00F02074" w:rsidRPr="00762F6A" w14:paraId="20871363" w14:textId="77777777" w:rsidTr="007128CF">
        <w:trPr>
          <w:trHeight w:val="270"/>
        </w:trPr>
        <w:tc>
          <w:tcPr>
            <w:tcW w:w="2410" w:type="dxa"/>
            <w:shd w:val="clear" w:color="auto" w:fill="auto"/>
            <w:hideMark/>
          </w:tcPr>
          <w:p w14:paraId="20871361" w14:textId="77777777" w:rsidR="00F02074" w:rsidRPr="00762F6A" w:rsidRDefault="00F02074" w:rsidP="007128CF">
            <w:pPr>
              <w:pStyle w:val="TableTextLeft"/>
              <w:spacing w:before="60" w:after="60" w:line="260" w:lineRule="exact"/>
            </w:pPr>
            <w:r w:rsidRPr="00762F6A">
              <w:t>Low</w:t>
            </w:r>
          </w:p>
        </w:tc>
        <w:tc>
          <w:tcPr>
            <w:tcW w:w="2410" w:type="dxa"/>
            <w:shd w:val="clear" w:color="auto" w:fill="auto"/>
          </w:tcPr>
          <w:p w14:paraId="20871362" w14:textId="77777777" w:rsidR="00F02074" w:rsidRPr="00CE351E" w:rsidRDefault="008E06E6" w:rsidP="007128CF">
            <w:pPr>
              <w:pStyle w:val="TableTextRight"/>
              <w:spacing w:before="60" w:after="60"/>
            </w:pPr>
            <w:r>
              <w:t>43</w:t>
            </w:r>
          </w:p>
        </w:tc>
      </w:tr>
      <w:tr w:rsidR="00F02074" w:rsidRPr="00762F6A" w14:paraId="20871366" w14:textId="77777777" w:rsidTr="007128CF">
        <w:trPr>
          <w:trHeight w:val="270"/>
        </w:trPr>
        <w:tc>
          <w:tcPr>
            <w:tcW w:w="2410" w:type="dxa"/>
            <w:shd w:val="clear" w:color="auto" w:fill="auto"/>
            <w:hideMark/>
          </w:tcPr>
          <w:p w14:paraId="20871364" w14:textId="77777777" w:rsidR="00F02074" w:rsidRPr="00762F6A" w:rsidRDefault="00F02074" w:rsidP="007128CF">
            <w:pPr>
              <w:pStyle w:val="TableTextLeft"/>
              <w:spacing w:before="60" w:after="60" w:line="260" w:lineRule="exact"/>
            </w:pPr>
            <w:r w:rsidRPr="00762F6A">
              <w:t>Very low</w:t>
            </w:r>
          </w:p>
        </w:tc>
        <w:tc>
          <w:tcPr>
            <w:tcW w:w="2410" w:type="dxa"/>
            <w:shd w:val="clear" w:color="auto" w:fill="auto"/>
          </w:tcPr>
          <w:p w14:paraId="20871365" w14:textId="77777777" w:rsidR="00F02074" w:rsidRPr="00CE351E" w:rsidRDefault="005E7207" w:rsidP="007128CF">
            <w:pPr>
              <w:pStyle w:val="TableTextRight"/>
              <w:spacing w:before="60" w:after="60"/>
            </w:pPr>
            <w:r>
              <w:t>6</w:t>
            </w:r>
          </w:p>
        </w:tc>
      </w:tr>
      <w:tr w:rsidR="00F02074" w:rsidRPr="00762F6A" w14:paraId="20871369" w14:textId="77777777" w:rsidTr="007128CF">
        <w:trPr>
          <w:trHeight w:val="270"/>
        </w:trPr>
        <w:tc>
          <w:tcPr>
            <w:tcW w:w="2410" w:type="dxa"/>
            <w:shd w:val="clear" w:color="auto" w:fill="auto"/>
          </w:tcPr>
          <w:p w14:paraId="20871367" w14:textId="77777777" w:rsidR="00F02074" w:rsidRPr="00762F6A" w:rsidRDefault="00F02074" w:rsidP="007128CF">
            <w:pPr>
              <w:pStyle w:val="TableTextLeft"/>
              <w:spacing w:before="60" w:after="60" w:line="260" w:lineRule="exact"/>
            </w:pPr>
            <w:r w:rsidRPr="00762F6A">
              <w:t>Total</w:t>
            </w:r>
          </w:p>
        </w:tc>
        <w:tc>
          <w:tcPr>
            <w:tcW w:w="2410" w:type="dxa"/>
            <w:shd w:val="clear" w:color="auto" w:fill="auto"/>
          </w:tcPr>
          <w:p w14:paraId="20871368" w14:textId="77777777" w:rsidR="00F02074" w:rsidRPr="00CE351E" w:rsidRDefault="00F02074" w:rsidP="008E06E6">
            <w:pPr>
              <w:pStyle w:val="TableTextRight"/>
              <w:spacing w:before="60" w:after="60"/>
            </w:pPr>
            <w:r w:rsidRPr="00CE351E">
              <w:t>14</w:t>
            </w:r>
            <w:r w:rsidR="00BC42DE">
              <w:t>7</w:t>
            </w:r>
          </w:p>
        </w:tc>
      </w:tr>
    </w:tbl>
    <w:p w14:paraId="2087136A" w14:textId="247B9FCB" w:rsidR="00F02074" w:rsidRPr="00762F6A" w:rsidRDefault="001E4822" w:rsidP="00E5312D">
      <w:pPr>
        <w:pStyle w:val="Heading2-notnumbered"/>
      </w:pPr>
      <w:bookmarkStart w:id="45" w:name="_Toc472604545"/>
      <w:r>
        <w:lastRenderedPageBreak/>
        <w:t>B</w:t>
      </w:r>
      <w:r w:rsidR="00394FDC">
        <w:t>.2</w:t>
      </w:r>
      <w:r w:rsidR="00E5312D">
        <w:tab/>
      </w:r>
      <w:r w:rsidR="00F02074" w:rsidRPr="00762F6A">
        <w:t>Unquantifiable tax expenditures</w:t>
      </w:r>
      <w:bookmarkEnd w:id="45"/>
    </w:p>
    <w:p w14:paraId="2087136B" w14:textId="5AB2716F" w:rsidR="00F02074" w:rsidRPr="00762F6A" w:rsidRDefault="00F02074" w:rsidP="00F02074">
      <w:pPr>
        <w:rPr>
          <w:rFonts w:ascii="Arial" w:hAnsi="Arial" w:cs="Arial"/>
          <w:b/>
        </w:rPr>
      </w:pPr>
      <w:r w:rsidRPr="00762F6A">
        <w:t xml:space="preserve">Where tax expenditures are not quantifiable, an order of magnitude is provided using the categories set out in Table </w:t>
      </w:r>
      <w:r w:rsidR="001E4822">
        <w:t>B</w:t>
      </w:r>
      <w:r w:rsidRPr="00762F6A">
        <w:t>2.</w:t>
      </w:r>
    </w:p>
    <w:p w14:paraId="2087136C" w14:textId="1715094E" w:rsidR="00F02074" w:rsidRPr="00762F6A" w:rsidRDefault="00F02074" w:rsidP="00F02074">
      <w:pPr>
        <w:pStyle w:val="TableHeading"/>
      </w:pPr>
      <w:r w:rsidRPr="00762F6A">
        <w:t xml:space="preserve">Table </w:t>
      </w:r>
      <w:r w:rsidR="001E4822">
        <w:t>B</w:t>
      </w:r>
      <w:r w:rsidRPr="00762F6A">
        <w:t>2: Orders of magnitude</w:t>
      </w:r>
    </w:p>
    <w:tbl>
      <w:tblPr>
        <w:tblW w:w="0" w:type="auto"/>
        <w:tblInd w:w="122" w:type="dxa"/>
        <w:tblBorders>
          <w:top w:val="single" w:sz="4" w:space="0" w:color="000000"/>
          <w:left w:val="single" w:sz="4" w:space="0" w:color="auto"/>
          <w:bottom w:val="single" w:sz="2"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861"/>
      </w:tblGrid>
      <w:tr w:rsidR="00F02074" w:rsidRPr="00762F6A" w14:paraId="2087136E" w14:textId="77777777" w:rsidTr="007128CF">
        <w:tc>
          <w:tcPr>
            <w:tcW w:w="7699" w:type="dxa"/>
            <w:gridSpan w:val="2"/>
            <w:shd w:val="clear" w:color="auto" w:fill="F2F2F2" w:themeFill="background1" w:themeFillShade="F2"/>
            <w:hideMark/>
          </w:tcPr>
          <w:p w14:paraId="2087136D" w14:textId="77777777" w:rsidR="00F02074" w:rsidRPr="00762F6A" w:rsidRDefault="00F02074" w:rsidP="007128CF">
            <w:pPr>
              <w:pStyle w:val="TableColumnHeadingCentred"/>
              <w:spacing w:before="60" w:after="60"/>
            </w:pPr>
            <w:r w:rsidRPr="00762F6A">
              <w:t>Order of magnitude range</w:t>
            </w:r>
          </w:p>
        </w:tc>
      </w:tr>
      <w:tr w:rsidR="00F02074" w:rsidRPr="00762F6A" w14:paraId="20871371" w14:textId="77777777" w:rsidTr="007128CF">
        <w:tc>
          <w:tcPr>
            <w:tcW w:w="3838" w:type="dxa"/>
            <w:shd w:val="clear" w:color="auto" w:fill="F2F2F2" w:themeFill="background1" w:themeFillShade="F2"/>
            <w:hideMark/>
          </w:tcPr>
          <w:p w14:paraId="2087136F" w14:textId="77777777" w:rsidR="00F02074" w:rsidRPr="00762F6A" w:rsidRDefault="00F02074" w:rsidP="007128CF">
            <w:pPr>
              <w:pStyle w:val="TableColumnHeadingCentred"/>
              <w:spacing w:before="60" w:after="60"/>
            </w:pPr>
            <w:r w:rsidRPr="00762F6A">
              <w:t>Category</w:t>
            </w:r>
          </w:p>
        </w:tc>
        <w:tc>
          <w:tcPr>
            <w:tcW w:w="3861" w:type="dxa"/>
            <w:shd w:val="clear" w:color="auto" w:fill="F2F2F2" w:themeFill="background1" w:themeFillShade="F2"/>
            <w:hideMark/>
          </w:tcPr>
          <w:p w14:paraId="20871370" w14:textId="77777777" w:rsidR="00F02074" w:rsidRPr="00762F6A" w:rsidRDefault="00F02074" w:rsidP="007128CF">
            <w:pPr>
              <w:pStyle w:val="TableColumnHeadingCentred"/>
              <w:spacing w:before="60" w:after="60"/>
            </w:pPr>
            <w:r w:rsidRPr="00762F6A">
              <w:t>Expected tax expenditure ($m)</w:t>
            </w:r>
          </w:p>
        </w:tc>
      </w:tr>
      <w:tr w:rsidR="00F02074" w:rsidRPr="00762F6A" w14:paraId="20871374" w14:textId="77777777" w:rsidTr="007128CF">
        <w:tc>
          <w:tcPr>
            <w:tcW w:w="3838" w:type="dxa"/>
            <w:shd w:val="clear" w:color="auto" w:fill="auto"/>
            <w:hideMark/>
          </w:tcPr>
          <w:p w14:paraId="20871372" w14:textId="77777777" w:rsidR="00F02074" w:rsidRPr="00762F6A" w:rsidRDefault="00F02074" w:rsidP="007128CF">
            <w:pPr>
              <w:pStyle w:val="TableTextCentered"/>
              <w:spacing w:before="60" w:after="60"/>
            </w:pPr>
            <w:r w:rsidRPr="00762F6A">
              <w:t>0</w:t>
            </w:r>
          </w:p>
        </w:tc>
        <w:tc>
          <w:tcPr>
            <w:tcW w:w="3861" w:type="dxa"/>
            <w:shd w:val="clear" w:color="auto" w:fill="auto"/>
            <w:hideMark/>
          </w:tcPr>
          <w:p w14:paraId="20871373" w14:textId="77777777" w:rsidR="00F02074" w:rsidRPr="00762F6A" w:rsidRDefault="00F02074" w:rsidP="007128CF">
            <w:pPr>
              <w:pStyle w:val="TableTextCentered"/>
              <w:spacing w:before="60" w:after="60"/>
            </w:pPr>
            <w:r w:rsidRPr="00762F6A">
              <w:t>0 on average over reporting period</w:t>
            </w:r>
          </w:p>
        </w:tc>
      </w:tr>
      <w:tr w:rsidR="00F02074" w:rsidRPr="00762F6A" w14:paraId="20871377" w14:textId="77777777" w:rsidTr="007128CF">
        <w:tc>
          <w:tcPr>
            <w:tcW w:w="3838" w:type="dxa"/>
            <w:shd w:val="clear" w:color="auto" w:fill="auto"/>
            <w:hideMark/>
          </w:tcPr>
          <w:p w14:paraId="20871375" w14:textId="77777777" w:rsidR="00F02074" w:rsidRPr="00762F6A" w:rsidRDefault="00F02074" w:rsidP="007128CF">
            <w:pPr>
              <w:pStyle w:val="TableTextCentered"/>
              <w:spacing w:before="60" w:after="60"/>
            </w:pPr>
            <w:r w:rsidRPr="00762F6A">
              <w:t>1</w:t>
            </w:r>
          </w:p>
        </w:tc>
        <w:tc>
          <w:tcPr>
            <w:tcW w:w="3861" w:type="dxa"/>
            <w:shd w:val="clear" w:color="auto" w:fill="auto"/>
            <w:hideMark/>
          </w:tcPr>
          <w:p w14:paraId="20871376" w14:textId="77777777" w:rsidR="00F02074" w:rsidRPr="00762F6A" w:rsidRDefault="00F02074" w:rsidP="007128CF">
            <w:pPr>
              <w:pStyle w:val="TableTextCentered"/>
              <w:spacing w:before="60" w:after="60"/>
            </w:pPr>
            <w:r>
              <w:t>0–</w:t>
            </w:r>
            <w:r w:rsidRPr="00762F6A">
              <w:t>10</w:t>
            </w:r>
          </w:p>
        </w:tc>
      </w:tr>
      <w:tr w:rsidR="00F02074" w:rsidRPr="00762F6A" w14:paraId="2087137A" w14:textId="77777777" w:rsidTr="007128CF">
        <w:tc>
          <w:tcPr>
            <w:tcW w:w="3838" w:type="dxa"/>
            <w:shd w:val="clear" w:color="auto" w:fill="auto"/>
            <w:hideMark/>
          </w:tcPr>
          <w:p w14:paraId="20871378" w14:textId="77777777" w:rsidR="00F02074" w:rsidRPr="00762F6A" w:rsidRDefault="00F02074" w:rsidP="007128CF">
            <w:pPr>
              <w:pStyle w:val="TableTextCentered"/>
              <w:spacing w:before="60" w:after="60"/>
            </w:pPr>
            <w:r w:rsidRPr="00762F6A">
              <w:t>2</w:t>
            </w:r>
          </w:p>
        </w:tc>
        <w:tc>
          <w:tcPr>
            <w:tcW w:w="3861" w:type="dxa"/>
            <w:shd w:val="clear" w:color="auto" w:fill="auto"/>
            <w:hideMark/>
          </w:tcPr>
          <w:p w14:paraId="20871379" w14:textId="77777777" w:rsidR="00F02074" w:rsidRPr="00762F6A" w:rsidRDefault="00F02074" w:rsidP="007128CF">
            <w:pPr>
              <w:pStyle w:val="TableTextCentered"/>
              <w:spacing w:before="60" w:after="60"/>
            </w:pPr>
            <w:r>
              <w:t>10–</w:t>
            </w:r>
            <w:r w:rsidRPr="00762F6A">
              <w:t>100</w:t>
            </w:r>
          </w:p>
        </w:tc>
      </w:tr>
      <w:tr w:rsidR="00F02074" w:rsidRPr="00762F6A" w14:paraId="2087137D" w14:textId="77777777" w:rsidTr="007128CF">
        <w:tc>
          <w:tcPr>
            <w:tcW w:w="3838" w:type="dxa"/>
            <w:shd w:val="clear" w:color="auto" w:fill="auto"/>
            <w:hideMark/>
          </w:tcPr>
          <w:p w14:paraId="2087137B" w14:textId="77777777" w:rsidR="00F02074" w:rsidRPr="00762F6A" w:rsidRDefault="00F02074" w:rsidP="007128CF">
            <w:pPr>
              <w:pStyle w:val="TableTextCentered"/>
              <w:spacing w:before="60" w:after="60"/>
            </w:pPr>
            <w:r w:rsidRPr="00762F6A">
              <w:t>3</w:t>
            </w:r>
          </w:p>
        </w:tc>
        <w:tc>
          <w:tcPr>
            <w:tcW w:w="3861" w:type="dxa"/>
            <w:shd w:val="clear" w:color="auto" w:fill="auto"/>
            <w:hideMark/>
          </w:tcPr>
          <w:p w14:paraId="2087137C" w14:textId="77777777" w:rsidR="00F02074" w:rsidRPr="00762F6A" w:rsidRDefault="00F02074" w:rsidP="007128CF">
            <w:pPr>
              <w:pStyle w:val="TableTextCentered"/>
              <w:spacing w:before="60" w:after="60"/>
            </w:pPr>
            <w:r>
              <w:t>100–</w:t>
            </w:r>
            <w:r w:rsidRPr="00762F6A">
              <w:t>1,000</w:t>
            </w:r>
          </w:p>
        </w:tc>
      </w:tr>
      <w:tr w:rsidR="00F02074" w:rsidRPr="00762F6A" w14:paraId="20871380" w14:textId="77777777" w:rsidTr="007128CF">
        <w:tc>
          <w:tcPr>
            <w:tcW w:w="3838" w:type="dxa"/>
            <w:shd w:val="clear" w:color="auto" w:fill="auto"/>
            <w:hideMark/>
          </w:tcPr>
          <w:p w14:paraId="2087137E" w14:textId="77777777" w:rsidR="00F02074" w:rsidRPr="00762F6A" w:rsidRDefault="00F02074" w:rsidP="007128CF">
            <w:pPr>
              <w:pStyle w:val="TableTextCentered"/>
              <w:spacing w:before="60" w:after="60"/>
            </w:pPr>
            <w:r w:rsidRPr="00762F6A">
              <w:t>4</w:t>
            </w:r>
          </w:p>
        </w:tc>
        <w:tc>
          <w:tcPr>
            <w:tcW w:w="3861" w:type="dxa"/>
            <w:shd w:val="clear" w:color="auto" w:fill="auto"/>
            <w:hideMark/>
          </w:tcPr>
          <w:p w14:paraId="2087137F" w14:textId="77777777" w:rsidR="00F02074" w:rsidRPr="00762F6A" w:rsidRDefault="00F02074" w:rsidP="007128CF">
            <w:pPr>
              <w:pStyle w:val="TableTextCentered"/>
              <w:spacing w:before="60" w:after="60"/>
            </w:pPr>
            <w:r w:rsidRPr="00762F6A">
              <w:t>1,000 +</w:t>
            </w:r>
          </w:p>
        </w:tc>
      </w:tr>
      <w:tr w:rsidR="00F02074" w:rsidRPr="00762F6A" w14:paraId="20871383" w14:textId="77777777" w:rsidTr="007128CF">
        <w:tc>
          <w:tcPr>
            <w:tcW w:w="3838" w:type="dxa"/>
            <w:shd w:val="clear" w:color="auto" w:fill="auto"/>
            <w:hideMark/>
          </w:tcPr>
          <w:p w14:paraId="20871381" w14:textId="77777777" w:rsidR="00F02074" w:rsidRPr="00762F6A" w:rsidRDefault="00F02074" w:rsidP="007128CF">
            <w:pPr>
              <w:pStyle w:val="TableTextCentered"/>
              <w:spacing w:before="60" w:after="60"/>
            </w:pPr>
            <w:r w:rsidRPr="00762F6A">
              <w:t>NA</w:t>
            </w:r>
          </w:p>
        </w:tc>
        <w:tc>
          <w:tcPr>
            <w:tcW w:w="3861" w:type="dxa"/>
            <w:shd w:val="clear" w:color="auto" w:fill="auto"/>
            <w:hideMark/>
          </w:tcPr>
          <w:p w14:paraId="20871382" w14:textId="77777777" w:rsidR="00F02074" w:rsidRPr="00762F6A" w:rsidRDefault="00F02074" w:rsidP="007128CF">
            <w:pPr>
              <w:pStyle w:val="TableTextCentered"/>
              <w:spacing w:before="60" w:after="60"/>
            </w:pPr>
            <w:r w:rsidRPr="00762F6A">
              <w:t>not available</w:t>
            </w:r>
          </w:p>
        </w:tc>
      </w:tr>
    </w:tbl>
    <w:p w14:paraId="20871384" w14:textId="77777777" w:rsidR="00F02074" w:rsidRPr="00762F6A" w:rsidRDefault="00F02074" w:rsidP="00F02074">
      <w:pPr>
        <w:spacing w:before="240"/>
      </w:pPr>
      <w:r w:rsidRPr="00762F6A">
        <w:t xml:space="preserve">Category classifications are provided as a broad guide only. They are based on assumptions and judgment and should be treated with caution. </w:t>
      </w:r>
    </w:p>
    <w:p w14:paraId="20871385" w14:textId="12D77291" w:rsidR="00F02074" w:rsidRPr="00762F6A" w:rsidRDefault="00F02074" w:rsidP="00F02074">
      <w:r w:rsidRPr="00762F6A">
        <w:t xml:space="preserve">The category classification also indicates whether </w:t>
      </w:r>
      <w:proofErr w:type="gramStart"/>
      <w:r w:rsidRPr="00762F6A">
        <w:t>a tax</w:t>
      </w:r>
      <w:proofErr w:type="gramEnd"/>
      <w:r w:rsidRPr="00762F6A">
        <w:t xml:space="preserve"> expenditure is positive or negative. For example, ‘1+’ indicates </w:t>
      </w:r>
      <w:proofErr w:type="gramStart"/>
      <w:r w:rsidRPr="00762F6A">
        <w:t>a positive</w:t>
      </w:r>
      <w:proofErr w:type="gramEnd"/>
      <w:r w:rsidRPr="00762F6A">
        <w:t xml:space="preserve"> tax expenditure. Where a tax expenditure could be positive or negative, a ‘+/</w:t>
      </w:r>
      <w:r w:rsidRPr="00762F6A">
        <w:noBreakHyphen/>
      </w:r>
      <w:proofErr w:type="gramStart"/>
      <w:r w:rsidRPr="00762F6A">
        <w:t xml:space="preserve">‘ </w:t>
      </w:r>
      <w:r w:rsidR="00273604">
        <w:t>classification</w:t>
      </w:r>
      <w:proofErr w:type="gramEnd"/>
      <w:r w:rsidRPr="00762F6A">
        <w:t xml:space="preserve"> is assigned.</w:t>
      </w:r>
    </w:p>
    <w:p w14:paraId="20871386" w14:textId="77777777" w:rsidR="00F02074" w:rsidRPr="00762F6A" w:rsidRDefault="00F02074" w:rsidP="00F02074">
      <w:r w:rsidRPr="00762F6A">
        <w:t xml:space="preserve">The category assigned to </w:t>
      </w:r>
      <w:proofErr w:type="gramStart"/>
      <w:r w:rsidRPr="00762F6A">
        <w:t>a tax</w:t>
      </w:r>
      <w:proofErr w:type="gramEnd"/>
      <w:r w:rsidRPr="00762F6A">
        <w:t xml:space="preserve"> expenditure refers to the year the tax expenditure is considered to be most significant.</w:t>
      </w:r>
    </w:p>
    <w:p w14:paraId="20871387" w14:textId="6ADDB59A" w:rsidR="00F02074" w:rsidRPr="00762F6A" w:rsidRDefault="001E4822" w:rsidP="00E5312D">
      <w:pPr>
        <w:pStyle w:val="Heading2-notnumbered"/>
      </w:pPr>
      <w:bookmarkStart w:id="46" w:name="_Toc441066994"/>
      <w:bookmarkStart w:id="47" w:name="_Toc472604546"/>
      <w:r>
        <w:t>B</w:t>
      </w:r>
      <w:r w:rsidR="00394FDC">
        <w:t>.3</w:t>
      </w:r>
      <w:r w:rsidR="00E5312D">
        <w:tab/>
      </w:r>
      <w:r w:rsidR="00F02074" w:rsidRPr="00762F6A">
        <w:t>Benchmarks</w:t>
      </w:r>
      <w:bookmarkEnd w:id="46"/>
      <w:bookmarkEnd w:id="47"/>
    </w:p>
    <w:p w14:paraId="20871388" w14:textId="77777777" w:rsidR="00F02074" w:rsidRPr="00762F6A" w:rsidRDefault="00F02074" w:rsidP="00F02074">
      <w:pPr>
        <w:spacing w:after="200"/>
      </w:pPr>
      <w:r>
        <w:t xml:space="preserve">The concept of a benchmark is explained in Chapter 1. Broadly, </w:t>
      </w:r>
      <w:r w:rsidRPr="00762F6A">
        <w:t>benchmark</w:t>
      </w:r>
      <w:r>
        <w:t>s comprise the following elements</w:t>
      </w:r>
      <w:r w:rsidRPr="00762F6A">
        <w:t>:</w:t>
      </w:r>
    </w:p>
    <w:p w14:paraId="20871389" w14:textId="77777777" w:rsidR="00F02074" w:rsidRPr="00762F6A" w:rsidRDefault="00F02074" w:rsidP="00F02074">
      <w:pPr>
        <w:pStyle w:val="Bullet"/>
        <w:spacing w:after="200"/>
      </w:pPr>
      <w:r w:rsidRPr="00762F6A">
        <w:t>the tax base — the activities or transactions subject to the tax;</w:t>
      </w:r>
    </w:p>
    <w:p w14:paraId="2087138A" w14:textId="77777777" w:rsidR="00F02074" w:rsidRPr="00762F6A" w:rsidRDefault="00F02074" w:rsidP="00F02074">
      <w:pPr>
        <w:pStyle w:val="Bullet"/>
        <w:spacing w:after="200"/>
      </w:pPr>
      <w:r w:rsidRPr="00762F6A">
        <w:t>the tax rate — the rate of tax that applies to the base;</w:t>
      </w:r>
    </w:p>
    <w:p w14:paraId="2087138B" w14:textId="77777777" w:rsidR="00F02074" w:rsidRPr="00762F6A" w:rsidRDefault="00F02074" w:rsidP="00F02074">
      <w:pPr>
        <w:pStyle w:val="Bullet"/>
        <w:spacing w:after="200"/>
      </w:pPr>
      <w:r w:rsidRPr="00762F6A">
        <w:t>the tax unit — the entity liable to pay the tax; and</w:t>
      </w:r>
    </w:p>
    <w:p w14:paraId="2087138C" w14:textId="77777777" w:rsidR="00F02074" w:rsidRPr="00762F6A" w:rsidRDefault="00F02074" w:rsidP="00F02074">
      <w:pPr>
        <w:pStyle w:val="Bullet"/>
      </w:pPr>
      <w:proofErr w:type="gramStart"/>
      <w:r w:rsidRPr="00762F6A">
        <w:t>the</w:t>
      </w:r>
      <w:proofErr w:type="gramEnd"/>
      <w:r w:rsidRPr="00762F6A">
        <w:t xml:space="preserve"> tax period — the period in which the activities or transactions are undertaken.</w:t>
      </w:r>
    </w:p>
    <w:p w14:paraId="2087138D" w14:textId="77777777" w:rsidR="00F02074" w:rsidRDefault="00F02074" w:rsidP="00F02074">
      <w:pPr>
        <w:pStyle w:val="Heading3"/>
      </w:pPr>
      <w:r w:rsidRPr="00762F6A">
        <w:t>Income tax benchmark</w:t>
      </w:r>
    </w:p>
    <w:p w14:paraId="2087138E" w14:textId="77777777" w:rsidR="00F02074" w:rsidRDefault="00F02074" w:rsidP="00F02074">
      <w:r w:rsidRPr="00762F6A">
        <w:t xml:space="preserve">The </w:t>
      </w:r>
      <w:r>
        <w:t xml:space="preserve">starting point for defining </w:t>
      </w:r>
      <w:r w:rsidRPr="00762F6A">
        <w:t xml:space="preserve">the income tax benchmark is the </w:t>
      </w:r>
      <w:proofErr w:type="spellStart"/>
      <w:r w:rsidRPr="00762F6A">
        <w:t>Schanz</w:t>
      </w:r>
      <w:proofErr w:type="spellEnd"/>
      <w:r>
        <w:t>-</w:t>
      </w:r>
      <w:r w:rsidRPr="00762F6A">
        <w:t>Haig</w:t>
      </w:r>
      <w:r w:rsidRPr="00762F6A">
        <w:noBreakHyphen/>
        <w:t xml:space="preserve">Simons </w:t>
      </w:r>
      <w:r>
        <w:t xml:space="preserve">(SHS) </w:t>
      </w:r>
      <w:r w:rsidRPr="00762F6A">
        <w:t>definition of income</w:t>
      </w:r>
      <w:r>
        <w:t xml:space="preserve">. Under this definition, </w:t>
      </w:r>
      <w:r w:rsidRPr="00762F6A">
        <w:t xml:space="preserve">income </w:t>
      </w:r>
      <w:r>
        <w:t xml:space="preserve">is equal to </w:t>
      </w:r>
      <w:r w:rsidRPr="00762F6A">
        <w:t xml:space="preserve">the increase in </w:t>
      </w:r>
      <w:r>
        <w:t>an</w:t>
      </w:r>
      <w:r w:rsidRPr="00762F6A">
        <w:t xml:space="preserve"> entity’s economic wealth (stock of assets) between two points in time plus the entity’s consumption in that period. Consumption includes all expenditures except those incurred in earning or producing income.</w:t>
      </w:r>
    </w:p>
    <w:p w14:paraId="2087138F" w14:textId="77777777" w:rsidR="00F02074" w:rsidRDefault="00F02074" w:rsidP="00F02074">
      <w:r>
        <w:lastRenderedPageBreak/>
        <w:t xml:space="preserve">However, the income tax benchmark departs from the SHS </w:t>
      </w:r>
      <w:r w:rsidRPr="00762F6A">
        <w:t>definition of income</w:t>
      </w:r>
      <w:r>
        <w:t xml:space="preserve"> in places – for </w:t>
      </w:r>
      <w:proofErr w:type="gramStart"/>
      <w:r>
        <w:t>example,</w:t>
      </w:r>
      <w:proofErr w:type="gramEnd"/>
      <w:r>
        <w:t xml:space="preserve"> it does not include unrealised capital gains. The benchmark must also deal with features of the tax system not addressed by the SHS definition – for example, the progressive personal tax rate scale, which is included in the benchmark as </w:t>
      </w:r>
      <w:proofErr w:type="gramStart"/>
      <w:r>
        <w:t>it</w:t>
      </w:r>
      <w:proofErr w:type="gramEnd"/>
      <w:r>
        <w:t xml:space="preserve"> is considered to be a structural feature of the tax system.</w:t>
      </w:r>
    </w:p>
    <w:p w14:paraId="20871390" w14:textId="77777777" w:rsidR="00F02074" w:rsidRPr="00762F6A" w:rsidRDefault="00F02074" w:rsidP="00F02074">
      <w:pPr>
        <w:pStyle w:val="Heading4"/>
      </w:pPr>
      <w:r w:rsidRPr="00762F6A">
        <w:t>Tax base</w:t>
      </w:r>
    </w:p>
    <w:p w14:paraId="20871391" w14:textId="77777777" w:rsidR="00F02074" w:rsidRPr="00762F6A" w:rsidRDefault="00F02074" w:rsidP="00F02074">
      <w:pPr>
        <w:spacing w:after="200"/>
      </w:pPr>
      <w:r w:rsidRPr="00762F6A">
        <w:t>Under the income tax benchmark, income includes:</w:t>
      </w:r>
    </w:p>
    <w:p w14:paraId="20871392" w14:textId="77777777" w:rsidR="00F02074" w:rsidRPr="00762F6A" w:rsidRDefault="00F02074" w:rsidP="00F02074">
      <w:pPr>
        <w:pStyle w:val="Bullet"/>
        <w:spacing w:after="200"/>
      </w:pPr>
      <w:r w:rsidRPr="00762F6A">
        <w:t>wages and salaries;</w:t>
      </w:r>
    </w:p>
    <w:p w14:paraId="20871393" w14:textId="77777777" w:rsidR="00F02074" w:rsidRPr="00762F6A" w:rsidRDefault="00F02074" w:rsidP="00F02074">
      <w:pPr>
        <w:pStyle w:val="Bullet"/>
        <w:spacing w:after="200"/>
      </w:pPr>
      <w:r w:rsidRPr="00762F6A">
        <w:t>allowances;</w:t>
      </w:r>
    </w:p>
    <w:p w14:paraId="20871394" w14:textId="77777777" w:rsidR="00F02074" w:rsidRPr="00762F6A" w:rsidRDefault="00F02074" w:rsidP="00F02074">
      <w:pPr>
        <w:pStyle w:val="Bullet"/>
        <w:spacing w:after="200"/>
      </w:pPr>
      <w:r w:rsidRPr="00762F6A">
        <w:t>business receipts;</w:t>
      </w:r>
    </w:p>
    <w:p w14:paraId="20871395" w14:textId="77777777" w:rsidR="00F02074" w:rsidRPr="00762F6A" w:rsidRDefault="00F02074" w:rsidP="00F02074">
      <w:pPr>
        <w:pStyle w:val="Bullet"/>
        <w:spacing w:after="200"/>
      </w:pPr>
      <w:r w:rsidRPr="00762F6A">
        <w:t>realised capital gains</w:t>
      </w:r>
      <w:r>
        <w:t xml:space="preserve"> (except where they</w:t>
      </w:r>
      <w:r w:rsidRPr="00762F6A">
        <w:t xml:space="preserve"> form part of </w:t>
      </w:r>
      <w:r>
        <w:t xml:space="preserve">the </w:t>
      </w:r>
      <w:r w:rsidRPr="00762F6A">
        <w:t>normal trading activities</w:t>
      </w:r>
      <w:r>
        <w:t xml:space="preserve"> of a business)</w:t>
      </w:r>
      <w:r w:rsidRPr="00762F6A">
        <w:t>;</w:t>
      </w:r>
    </w:p>
    <w:p w14:paraId="20871396" w14:textId="77777777" w:rsidR="00F02074" w:rsidRPr="00762F6A" w:rsidRDefault="00F02074" w:rsidP="00F02074">
      <w:pPr>
        <w:pStyle w:val="Bullet"/>
        <w:spacing w:after="200"/>
      </w:pPr>
      <w:r w:rsidRPr="00762F6A">
        <w:t>interest, royalties and dividends;</w:t>
      </w:r>
    </w:p>
    <w:p w14:paraId="20871397" w14:textId="77777777" w:rsidR="00F02074" w:rsidRPr="00762F6A" w:rsidRDefault="00F02074" w:rsidP="00F02074">
      <w:pPr>
        <w:pStyle w:val="Bullet"/>
        <w:spacing w:after="200"/>
      </w:pPr>
      <w:r w:rsidRPr="00762F6A">
        <w:t xml:space="preserve">partnership income; </w:t>
      </w:r>
    </w:p>
    <w:p w14:paraId="20871398" w14:textId="77777777" w:rsidR="00F02074" w:rsidRPr="00762F6A" w:rsidRDefault="00F02074" w:rsidP="00F02074">
      <w:pPr>
        <w:pStyle w:val="Bullet"/>
        <w:spacing w:after="200"/>
      </w:pPr>
      <w:r w:rsidRPr="00762F6A">
        <w:t>government cash transfers; and</w:t>
      </w:r>
    </w:p>
    <w:p w14:paraId="20871399" w14:textId="77777777" w:rsidR="00F02074" w:rsidRPr="00762F6A" w:rsidRDefault="00F02074" w:rsidP="00F02074">
      <w:pPr>
        <w:pStyle w:val="Bullet"/>
      </w:pPr>
      <w:proofErr w:type="gramStart"/>
      <w:r w:rsidRPr="00762F6A">
        <w:t>distributions</w:t>
      </w:r>
      <w:proofErr w:type="gramEnd"/>
      <w:r w:rsidRPr="00762F6A">
        <w:t xml:space="preserve"> from trusts.</w:t>
      </w:r>
    </w:p>
    <w:p w14:paraId="2087139A" w14:textId="77777777" w:rsidR="00F02074" w:rsidRPr="00762F6A" w:rsidRDefault="00F02074" w:rsidP="00F02074">
      <w:r w:rsidRPr="00762F6A">
        <w:t>Expenses incurred in earning assessable income are deductible. Where an expense is incurred for both income producing and private purposes, deductions are limited to the portion of expenses relating to income production.</w:t>
      </w:r>
    </w:p>
    <w:p w14:paraId="2087139B" w14:textId="6E52F12D" w:rsidR="00F02074" w:rsidRPr="00762F6A" w:rsidRDefault="00F02074" w:rsidP="00F02074">
      <w:pPr>
        <w:keepNext/>
        <w:spacing w:after="200"/>
      </w:pPr>
      <w:r>
        <w:t>The income tax benchmark incorporates a range of features of the tax system, including the following</w:t>
      </w:r>
      <w:r w:rsidR="004F37CB">
        <w:t>:</w:t>
      </w:r>
    </w:p>
    <w:p w14:paraId="2087139C" w14:textId="77777777" w:rsidR="00F02074" w:rsidRPr="00762F6A" w:rsidRDefault="00F02074" w:rsidP="00F02074">
      <w:pPr>
        <w:pStyle w:val="Bullet"/>
        <w:spacing w:after="200"/>
      </w:pPr>
      <w:r w:rsidRPr="00762F6A">
        <w:t>Assessment applies to nominal rather than real income. Expenses incurred in earning income are deductible at historical cost.</w:t>
      </w:r>
    </w:p>
    <w:p w14:paraId="2087139D" w14:textId="77777777" w:rsidR="00F02074" w:rsidRPr="00762F6A" w:rsidRDefault="00F02074" w:rsidP="00F02074">
      <w:pPr>
        <w:pStyle w:val="Bullet"/>
        <w:spacing w:after="200"/>
      </w:pPr>
      <w:r>
        <w:t>The taxable income of s</w:t>
      </w:r>
      <w:r w:rsidRPr="00762F6A">
        <w:t xml:space="preserve">ome taxpayers (typically individuals) </w:t>
      </w:r>
      <w:r>
        <w:t>is assessed on a cash basis – that is, as it is actually received by the taxpayer. The taxable income of o</w:t>
      </w:r>
      <w:r w:rsidRPr="00762F6A">
        <w:t xml:space="preserve">ther taxpayers (typically businesses) </w:t>
      </w:r>
      <w:r>
        <w:t>is assessed on an accruals basis – that is, when the right to the income arises (even if it has not yet been received)</w:t>
      </w:r>
      <w:r w:rsidRPr="00762F6A">
        <w:t>.</w:t>
      </w:r>
    </w:p>
    <w:p w14:paraId="2087139E" w14:textId="77777777" w:rsidR="00F02074" w:rsidRPr="00762F6A" w:rsidRDefault="00F02074" w:rsidP="00F02074">
      <w:pPr>
        <w:pStyle w:val="Bullet"/>
        <w:spacing w:after="200"/>
      </w:pPr>
      <w:r w:rsidRPr="00762F6A">
        <w:t>Deductions for expenses related to economic benefits that extend beyond the income year in which the expenditure is incurred are spread over the period of the benefits. This treatment also applies to expenditure in advance (prepayments) for services.</w:t>
      </w:r>
    </w:p>
    <w:p w14:paraId="2087139F" w14:textId="77777777" w:rsidR="00F02074" w:rsidRPr="00762F6A" w:rsidRDefault="00F02074" w:rsidP="00F02074">
      <w:pPr>
        <w:pStyle w:val="Bullet"/>
        <w:spacing w:after="200"/>
      </w:pPr>
      <w:r w:rsidRPr="00762F6A">
        <w:t>Imputed rent from owner</w:t>
      </w:r>
      <w:r w:rsidRPr="00762F6A">
        <w:noBreakHyphen/>
        <w:t>occupied housing is not included in income. Expenditure incurred in earning imputed rent is not deductible.</w:t>
      </w:r>
    </w:p>
    <w:p w14:paraId="208713A0" w14:textId="77777777" w:rsidR="00F02074" w:rsidRPr="00762F6A" w:rsidRDefault="00F02074" w:rsidP="00F02074">
      <w:pPr>
        <w:pStyle w:val="Bullet"/>
        <w:spacing w:after="200"/>
      </w:pPr>
      <w:r w:rsidRPr="00762F6A">
        <w:lastRenderedPageBreak/>
        <w:t>Certain gains, such as gains received by way of compensation for damage or any wrong or injury suffered by a taxpayer (where compensation is not solely responsible for the loss of income), or gains or winnings from gambling (where taxpayers are not considered to be carrying on a business of gambling), are not included in income.</w:t>
      </w:r>
    </w:p>
    <w:p w14:paraId="208713A1" w14:textId="77777777" w:rsidR="00F02074" w:rsidRPr="00762F6A" w:rsidRDefault="00F02074" w:rsidP="00F02074">
      <w:pPr>
        <w:pStyle w:val="Bullet"/>
        <w:spacing w:after="200"/>
      </w:pPr>
      <w:r w:rsidRPr="00762F6A">
        <w:t>Losses are deductible against assessable income for a later income year. Losses generally cannot be transferred to other taxpayers, and some losses may only be claimed against certain types of future income.</w:t>
      </w:r>
    </w:p>
    <w:p w14:paraId="208713A2" w14:textId="77777777" w:rsidR="00F02074" w:rsidRPr="00762F6A" w:rsidRDefault="00F02074" w:rsidP="00F02074">
      <w:pPr>
        <w:pStyle w:val="Dash"/>
        <w:spacing w:after="200"/>
      </w:pPr>
      <w:r w:rsidRPr="00762F6A">
        <w:t>Non</w:t>
      </w:r>
      <w:r w:rsidRPr="00762F6A">
        <w:noBreakHyphen/>
        <w:t xml:space="preserve">commercial loss rules prevent individuals carrying on unprofitable business activities from claiming deductions for losses arising from such activities against their other income. </w:t>
      </w:r>
      <w:r>
        <w:t>The denial of l</w:t>
      </w:r>
      <w:r w:rsidRPr="00762F6A">
        <w:t>osses from non</w:t>
      </w:r>
      <w:r w:rsidRPr="00762F6A">
        <w:noBreakHyphen/>
        <w:t>commercial activities is part of the benchmark.</w:t>
      </w:r>
    </w:p>
    <w:p w14:paraId="208713A3" w14:textId="77777777" w:rsidR="00F02074" w:rsidRPr="00762F6A" w:rsidRDefault="00F02074" w:rsidP="00F02074">
      <w:pPr>
        <w:pStyle w:val="Bullet"/>
        <w:spacing w:after="200"/>
      </w:pPr>
      <w:r w:rsidRPr="00762F6A">
        <w:t>Depreciation deductions are made over the effective life of the asset.</w:t>
      </w:r>
    </w:p>
    <w:p w14:paraId="208713A4" w14:textId="77777777" w:rsidR="00F02074" w:rsidRDefault="00F02074" w:rsidP="00F02074">
      <w:pPr>
        <w:pStyle w:val="Bullet"/>
      </w:pPr>
      <w:r w:rsidRPr="00762F6A">
        <w:t>Business capital expenditures not elsewhere recognised within the taxation laws (black</w:t>
      </w:r>
      <w:r>
        <w:t> </w:t>
      </w:r>
      <w:r w:rsidRPr="00762F6A">
        <w:t>hole expenditures) are deductible over five years.</w:t>
      </w:r>
    </w:p>
    <w:p w14:paraId="208713A5" w14:textId="77777777" w:rsidR="00F02074" w:rsidRPr="00762F6A" w:rsidRDefault="00F02074" w:rsidP="00F02074">
      <w:pPr>
        <w:pStyle w:val="Bullet"/>
        <w:spacing w:after="200"/>
      </w:pPr>
      <w:r w:rsidRPr="00762F6A">
        <w:t>The mutuality principle excludes income from dealings with oneself or members of mutual associations and societies. For instance, goods produced by taxpayers for their own consumption, or services performed by taxpayers for their own benefit are generally not included in the tax base.</w:t>
      </w:r>
    </w:p>
    <w:p w14:paraId="208713A6" w14:textId="77777777" w:rsidR="00F02074" w:rsidRPr="00762F6A" w:rsidRDefault="00F02074" w:rsidP="00F02074">
      <w:pPr>
        <w:pStyle w:val="Bullet"/>
        <w:spacing w:after="200"/>
      </w:pPr>
      <w:r w:rsidRPr="00762F6A">
        <w:t>Arrangements to reduce or eliminate double taxation</w:t>
      </w:r>
      <w:r>
        <w:t xml:space="preserve"> - f</w:t>
      </w:r>
      <w:r w:rsidRPr="00762F6A">
        <w:t>or example, the imputation system, which eliminates the double taxation of company profits distributed to resident shareholders.</w:t>
      </w:r>
    </w:p>
    <w:p w14:paraId="208713A7" w14:textId="3550651B" w:rsidR="00F02074" w:rsidRPr="00762F6A" w:rsidRDefault="00F02074" w:rsidP="00F02074">
      <w:r>
        <w:t>U</w:t>
      </w:r>
      <w:r w:rsidRPr="00762F6A">
        <w:t>nder the income tax benchmark</w:t>
      </w:r>
      <w:r>
        <w:t>,</w:t>
      </w:r>
      <w:r w:rsidRPr="00762F6A">
        <w:t xml:space="preserve"> Australian residents are taxed on their on their Australian source and foreign source income. </w:t>
      </w:r>
      <w:r>
        <w:t>The benchmark also incorporates i</w:t>
      </w:r>
      <w:r w:rsidRPr="00762F6A">
        <w:t>nternational tax arrangements</w:t>
      </w:r>
      <w:r>
        <w:t>,</w:t>
      </w:r>
      <w:r w:rsidRPr="00762F6A">
        <w:t xml:space="preserve"> </w:t>
      </w:r>
      <w:r>
        <w:t>including the following</w:t>
      </w:r>
      <w:r w:rsidRPr="00762F6A">
        <w:t>:</w:t>
      </w:r>
    </w:p>
    <w:p w14:paraId="208713A8" w14:textId="77777777" w:rsidR="00F02074" w:rsidRPr="00762F6A" w:rsidRDefault="00F02074" w:rsidP="00F02074">
      <w:pPr>
        <w:pStyle w:val="Bullet"/>
        <w:spacing w:after="200"/>
      </w:pPr>
      <w:r w:rsidRPr="00762F6A">
        <w:t>Resident taxpayers are allowed to claim foreign income tax offsets up to the amount of Australian tax payable on their foreign income. These arrangements ensure foreign source income is not excessively taxed.</w:t>
      </w:r>
    </w:p>
    <w:p w14:paraId="208713A9" w14:textId="77777777" w:rsidR="00F02074" w:rsidRPr="00762F6A" w:rsidRDefault="00F02074" w:rsidP="00F02074">
      <w:pPr>
        <w:pStyle w:val="Bullet"/>
        <w:spacing w:after="200"/>
      </w:pPr>
      <w:r w:rsidRPr="00762F6A">
        <w:t>The controlled foreign company and trust rules ensure Australian residents cannot escape or defer taxation of certain income (often passive in nature) by interposing a foreign resident legal entity.</w:t>
      </w:r>
    </w:p>
    <w:p w14:paraId="208713AA" w14:textId="77777777" w:rsidR="00F02074" w:rsidRPr="00762F6A" w:rsidRDefault="00F02074" w:rsidP="00F02074">
      <w:pPr>
        <w:pStyle w:val="Bullet"/>
      </w:pPr>
      <w:r w:rsidRPr="00762F6A">
        <w:t>Transfer pricing and thin capitalisation rules and interest, dividend and royalty withholding taxes aim to tax appropriately Australian sourced income and are included in the benchmark.</w:t>
      </w:r>
    </w:p>
    <w:p w14:paraId="208713AB" w14:textId="77777777" w:rsidR="00F02074" w:rsidRPr="00762F6A" w:rsidRDefault="00F02074" w:rsidP="00F02074">
      <w:pPr>
        <w:pStyle w:val="Bullet"/>
        <w:spacing w:after="200"/>
      </w:pPr>
      <w:r w:rsidRPr="00762F6A">
        <w:t xml:space="preserve">Foreign residents are taxed on their Australian source income only. As part of this benchmark, where foreign income (or foreign capital gains) earned by an </w:t>
      </w:r>
      <w:r w:rsidRPr="00762F6A">
        <w:lastRenderedPageBreak/>
        <w:t>Australian entity is subsequently distributed to a foreign resident, the distribution attracts no Australian tax.</w:t>
      </w:r>
    </w:p>
    <w:p w14:paraId="208713AC" w14:textId="55C1BA01" w:rsidR="00F02074" w:rsidRPr="00762F6A" w:rsidRDefault="00F56FBD" w:rsidP="00F02074">
      <w:pPr>
        <w:pStyle w:val="Dash"/>
        <w:spacing w:after="200"/>
      </w:pPr>
      <w:r>
        <w:t>Generally, p</w:t>
      </w:r>
      <w:r w:rsidR="00F02074" w:rsidRPr="00762F6A">
        <w:t xml:space="preserve">ersons in Australia on temporary visas are taxed </w:t>
      </w:r>
      <w:r>
        <w:t xml:space="preserve">as </w:t>
      </w:r>
      <w:r w:rsidR="00F02074" w:rsidRPr="00762F6A">
        <w:t>foreign residents.</w:t>
      </w:r>
    </w:p>
    <w:p w14:paraId="208713AD" w14:textId="7111D31F" w:rsidR="00F02074" w:rsidRDefault="00F02074" w:rsidP="00F02074">
      <w:pPr>
        <w:pStyle w:val="Bullet"/>
        <w:spacing w:after="200"/>
      </w:pPr>
      <w:r>
        <w:t>T</w:t>
      </w:r>
      <w:r w:rsidRPr="00762F6A">
        <w:t xml:space="preserve">he benchmark for Australian residents </w:t>
      </w:r>
      <w:r>
        <w:t xml:space="preserve">includes </w:t>
      </w:r>
      <w:r w:rsidRPr="00762F6A">
        <w:t xml:space="preserve">their worldwide capital gains. </w:t>
      </w:r>
      <w:r>
        <w:t>For</w:t>
      </w:r>
      <w:r w:rsidRPr="00762F6A">
        <w:t xml:space="preserve"> foreign residents, </w:t>
      </w:r>
      <w:r>
        <w:t xml:space="preserve">the benchmark includes the limitation of </w:t>
      </w:r>
      <w:r w:rsidRPr="00762F6A">
        <w:t xml:space="preserve">domestic and treaty capital gains tax rules to the direct or indirect disposal of interests in Australian land (and similar interests such as mining rights) and branch office assets </w:t>
      </w:r>
      <w:r>
        <w:t>(</w:t>
      </w:r>
      <w:r w:rsidRPr="00762F6A">
        <w:t xml:space="preserve">from </w:t>
      </w:r>
      <w:r w:rsidRPr="00884DA6">
        <w:t>12</w:t>
      </w:r>
      <w:r w:rsidR="00C11FD2">
        <w:t> </w:t>
      </w:r>
      <w:r w:rsidRPr="00884DA6">
        <w:t>December 2006</w:t>
      </w:r>
      <w:r>
        <w:t>)</w:t>
      </w:r>
      <w:r w:rsidRPr="00762F6A">
        <w:t>.</w:t>
      </w:r>
    </w:p>
    <w:p w14:paraId="208713AE" w14:textId="77777777" w:rsidR="00F02074" w:rsidRPr="00762F6A" w:rsidRDefault="00F02074" w:rsidP="00F02074">
      <w:pPr>
        <w:pStyle w:val="Bullet"/>
        <w:spacing w:after="200"/>
      </w:pPr>
      <w:r w:rsidRPr="00762F6A">
        <w:t>Taxation treaties primarily operate to allocate taxing rights over income between the source country of income and the taxpayer’s country of residence. However, some articles (by incorporation into Australia’s domestic law) have the effect of imposing taxation or determining source. For distributions of Australian source income to foreign residents, the basic rates of Australian tax (typically imposed as withholding tax) prescribed in these treaties in respect of specified classes of income, such as interest, dividend and royalty income, are included in the benchmark as the applicable tax rates.</w:t>
      </w:r>
    </w:p>
    <w:p w14:paraId="208713AF" w14:textId="77777777" w:rsidR="00F02074" w:rsidRPr="00762F6A" w:rsidRDefault="00F02074" w:rsidP="00F02074">
      <w:pPr>
        <w:pStyle w:val="Dash"/>
        <w:spacing w:after="200"/>
      </w:pPr>
      <w:r w:rsidRPr="00762F6A">
        <w:t>Under this approach, the benchmark rate of interest, dividend and royalty withholding rates will vary depending on whether the country in question has a tax treaty with Australia.</w:t>
      </w:r>
    </w:p>
    <w:p w14:paraId="208713B0" w14:textId="77777777" w:rsidR="00F02074" w:rsidRPr="00762F6A" w:rsidRDefault="00F02074" w:rsidP="00F02074">
      <w:pPr>
        <w:pStyle w:val="Dash"/>
        <w:spacing w:after="200"/>
      </w:pPr>
      <w:r w:rsidRPr="00762F6A">
        <w:t>If a tax treaty exists, the benchmark rates of withholding tax for a class of income will be the ‘basic rate’, where the basic rate is the highest rate specified in the treaty for each withholding tax.</w:t>
      </w:r>
    </w:p>
    <w:p w14:paraId="208713B1" w14:textId="77777777" w:rsidR="00F02074" w:rsidRPr="00762F6A" w:rsidRDefault="00F02074" w:rsidP="00F02074">
      <w:pPr>
        <w:pStyle w:val="Dash"/>
        <w:spacing w:after="200"/>
      </w:pPr>
      <w:r w:rsidRPr="00762F6A">
        <w:t>Exemptions or reductions relative to the basic rates prescribed in a particular tax treaty will give rise to tax expenditures.</w:t>
      </w:r>
    </w:p>
    <w:p w14:paraId="208713B2" w14:textId="77777777" w:rsidR="00F02074" w:rsidRPr="00762F6A" w:rsidRDefault="00F02074" w:rsidP="00F02074">
      <w:pPr>
        <w:pStyle w:val="Dash"/>
      </w:pPr>
      <w:r w:rsidRPr="00762F6A">
        <w:t>If a tax treaty does not apply, any exemptions or reductions from the standard domestic statutory rates will give rise to tax expenditures.</w:t>
      </w:r>
    </w:p>
    <w:p w14:paraId="208713B3" w14:textId="77777777" w:rsidR="00F02074" w:rsidRPr="00762F6A" w:rsidRDefault="00F02074" w:rsidP="00F02074">
      <w:pPr>
        <w:pStyle w:val="Heading4"/>
      </w:pPr>
      <w:r w:rsidRPr="00762F6A">
        <w:t>Tax rates</w:t>
      </w:r>
    </w:p>
    <w:p w14:paraId="208713B4" w14:textId="77777777" w:rsidR="00F02074" w:rsidRDefault="00F02074" w:rsidP="00F02074">
      <w:r>
        <w:t>T</w:t>
      </w:r>
      <w:r w:rsidRPr="00762F6A">
        <w:t xml:space="preserve">he </w:t>
      </w:r>
      <w:r>
        <w:t>income tax benchmark includes:</w:t>
      </w:r>
    </w:p>
    <w:p w14:paraId="208713B5" w14:textId="0BFE69C2" w:rsidR="00F02074" w:rsidRPr="00762F6A" w:rsidRDefault="00F02074" w:rsidP="00F02074">
      <w:pPr>
        <w:pStyle w:val="Bullet"/>
        <w:spacing w:after="200"/>
      </w:pPr>
      <w:r>
        <w:t xml:space="preserve">for resident individuals: </w:t>
      </w:r>
      <w:r w:rsidRPr="00762F6A">
        <w:t>the tax</w:t>
      </w:r>
      <w:r w:rsidRPr="00762F6A">
        <w:noBreakHyphen/>
        <w:t>free threshold</w:t>
      </w:r>
      <w:r>
        <w:t xml:space="preserve">, </w:t>
      </w:r>
      <w:r w:rsidRPr="00762F6A">
        <w:t xml:space="preserve">the progressive personal income tax rate scale, </w:t>
      </w:r>
      <w:r w:rsidR="00273604">
        <w:t>L</w:t>
      </w:r>
      <w:r w:rsidRPr="00762F6A">
        <w:t>ow</w:t>
      </w:r>
      <w:r w:rsidR="00273604">
        <w:t xml:space="preserve"> I</w:t>
      </w:r>
      <w:r w:rsidRPr="00762F6A">
        <w:t xml:space="preserve">ncome </w:t>
      </w:r>
      <w:r w:rsidR="00273604">
        <w:t>T</w:t>
      </w:r>
      <w:r w:rsidRPr="00762F6A">
        <w:t xml:space="preserve">ax </w:t>
      </w:r>
      <w:r w:rsidR="00273604">
        <w:t>O</w:t>
      </w:r>
      <w:r w:rsidRPr="00762F6A">
        <w:t>ffset, the Medicare levy and, from 2014</w:t>
      </w:r>
      <w:r w:rsidRPr="00762F6A">
        <w:noBreakHyphen/>
        <w:t>15 to 2016</w:t>
      </w:r>
      <w:r w:rsidRPr="00762F6A">
        <w:noBreakHyphen/>
        <w:t>17, the Temporary Budget Repair Levy (TBRL)</w:t>
      </w:r>
      <w:r>
        <w:t>;</w:t>
      </w:r>
    </w:p>
    <w:p w14:paraId="208713B6" w14:textId="5A017449" w:rsidR="00F02074" w:rsidRDefault="00F02074" w:rsidP="00F02074">
      <w:pPr>
        <w:pStyle w:val="Bullet"/>
        <w:spacing w:after="200"/>
      </w:pPr>
      <w:r>
        <w:t>for non-resident individuals: t</w:t>
      </w:r>
      <w:r w:rsidRPr="00762F6A">
        <w:t>he foreign resident income tax scale</w:t>
      </w:r>
      <w:r>
        <w:t>, non-eligibility for</w:t>
      </w:r>
      <w:r w:rsidRPr="00762F6A">
        <w:t xml:space="preserve"> the </w:t>
      </w:r>
      <w:r w:rsidR="00273604">
        <w:t>L</w:t>
      </w:r>
      <w:r w:rsidRPr="00762F6A">
        <w:t>ow</w:t>
      </w:r>
      <w:r w:rsidR="00273604">
        <w:t xml:space="preserve"> I</w:t>
      </w:r>
      <w:r w:rsidRPr="00762F6A">
        <w:t xml:space="preserve">ncome </w:t>
      </w:r>
      <w:r w:rsidR="00273604">
        <w:t>T</w:t>
      </w:r>
      <w:r w:rsidRPr="00762F6A">
        <w:t xml:space="preserve">ax </w:t>
      </w:r>
      <w:r w:rsidR="00273604">
        <w:t>O</w:t>
      </w:r>
      <w:r w:rsidRPr="00762F6A">
        <w:t>ffset</w:t>
      </w:r>
      <w:r>
        <w:t xml:space="preserve"> and non-liability for </w:t>
      </w:r>
      <w:r w:rsidRPr="00762F6A">
        <w:t>the Medicare levy (although they are liable for the TBRL)</w:t>
      </w:r>
      <w:r>
        <w:t>; and</w:t>
      </w:r>
    </w:p>
    <w:p w14:paraId="208713B7" w14:textId="77777777" w:rsidR="00F02074" w:rsidRPr="00762F6A" w:rsidRDefault="00F02074" w:rsidP="00F02074">
      <w:pPr>
        <w:pStyle w:val="Bullet"/>
        <w:spacing w:after="200"/>
      </w:pPr>
      <w:proofErr w:type="gramStart"/>
      <w:r>
        <w:t>for</w:t>
      </w:r>
      <w:proofErr w:type="gramEnd"/>
      <w:r>
        <w:t xml:space="preserve"> companies: the company tax rate (currently, 30 per cent).</w:t>
      </w:r>
    </w:p>
    <w:p w14:paraId="208713B8" w14:textId="77777777" w:rsidR="00F02074" w:rsidRPr="00762F6A" w:rsidRDefault="00F02074" w:rsidP="00F02074">
      <w:pPr>
        <w:pStyle w:val="Heading4"/>
      </w:pPr>
      <w:r w:rsidRPr="00762F6A">
        <w:lastRenderedPageBreak/>
        <w:t>Tax unit</w:t>
      </w:r>
    </w:p>
    <w:p w14:paraId="208713B9" w14:textId="77777777" w:rsidR="00F02074" w:rsidRPr="00762F6A" w:rsidRDefault="00F02074" w:rsidP="00F02074">
      <w:r w:rsidRPr="00762F6A">
        <w:t>For the personal income tax system in Australia, the benchmark unit is the individual.</w:t>
      </w:r>
    </w:p>
    <w:p w14:paraId="208713BA" w14:textId="77777777" w:rsidR="00F02074" w:rsidRDefault="00F02074" w:rsidP="00F02074">
      <w:r w:rsidRPr="00762F6A">
        <w:t>For companies, the benchmark tax unit is the company (including the head entity of a consolidated group or a multiple entry consolidated group).</w:t>
      </w:r>
    </w:p>
    <w:p w14:paraId="208713BB" w14:textId="77777777" w:rsidR="00F02074" w:rsidRPr="00762F6A" w:rsidRDefault="00F02074" w:rsidP="00F02074">
      <w:r w:rsidRPr="00762F6A">
        <w:t>Sole traders, partnerships and trusts are not separate tax units. Income earned by these entities is taxable in the hands of the recipient.</w:t>
      </w:r>
    </w:p>
    <w:p w14:paraId="208713BC" w14:textId="77777777" w:rsidR="00F02074" w:rsidRPr="00762F6A" w:rsidRDefault="00F02074" w:rsidP="00F02074">
      <w:pPr>
        <w:pStyle w:val="Heading4"/>
      </w:pPr>
      <w:r w:rsidRPr="00762F6A">
        <w:t>Tax period</w:t>
      </w:r>
    </w:p>
    <w:p w14:paraId="208713BD" w14:textId="2E64A41B" w:rsidR="00F02074" w:rsidRPr="00762F6A" w:rsidRDefault="00F02074" w:rsidP="00F02074">
      <w:r>
        <w:t>Generally, t</w:t>
      </w:r>
      <w:r w:rsidRPr="00762F6A">
        <w:t>he tax period under the income tax ben</w:t>
      </w:r>
      <w:r w:rsidR="00C11FD2">
        <w:t>chmark is the financial year (1 </w:t>
      </w:r>
      <w:r w:rsidRPr="00762F6A">
        <w:t>July</w:t>
      </w:r>
      <w:r w:rsidR="00C11FD2">
        <w:t> </w:t>
      </w:r>
      <w:r w:rsidRPr="00762F6A">
        <w:t xml:space="preserve">to 30 June). </w:t>
      </w:r>
      <w:r>
        <w:t>However, t</w:t>
      </w:r>
      <w:r w:rsidRPr="00762F6A">
        <w:t>he benchmark also includes arrangements for entities whose accounting period differs from the standard financial year (for example, companies with a substituted accounting period).</w:t>
      </w:r>
    </w:p>
    <w:p w14:paraId="208713BE" w14:textId="77777777" w:rsidR="00F02074" w:rsidRPr="00741B48" w:rsidRDefault="00F02074" w:rsidP="00F02074">
      <w:pPr>
        <w:pStyle w:val="Heading3"/>
      </w:pPr>
      <w:bookmarkStart w:id="48" w:name="_Ref441063401"/>
      <w:r w:rsidRPr="000E05A7">
        <w:rPr>
          <w:smallCaps w:val="0"/>
          <w:sz w:val="20"/>
        </w:rPr>
        <w:t>Superannuation</w:t>
      </w:r>
      <w:bookmarkEnd w:id="48"/>
    </w:p>
    <w:p w14:paraId="208713BF" w14:textId="77777777" w:rsidR="00F02074" w:rsidRPr="00762F6A" w:rsidRDefault="00F02074" w:rsidP="00F02074">
      <w:pPr>
        <w:spacing w:after="200"/>
      </w:pPr>
      <w:r>
        <w:t>S</w:t>
      </w:r>
      <w:r w:rsidRPr="00762F6A">
        <w:t>uperannuation may be taxed at three stages:</w:t>
      </w:r>
    </w:p>
    <w:p w14:paraId="208713C0" w14:textId="77777777" w:rsidR="00F02074" w:rsidRPr="00762F6A" w:rsidRDefault="00F02074" w:rsidP="00F02074">
      <w:pPr>
        <w:pStyle w:val="Bullet"/>
        <w:spacing w:after="200"/>
      </w:pPr>
      <w:r w:rsidRPr="00762F6A">
        <w:t>when contributions are made to a superannuation fund;</w:t>
      </w:r>
    </w:p>
    <w:p w14:paraId="208713C1" w14:textId="77777777" w:rsidR="00F02074" w:rsidRPr="00762F6A" w:rsidRDefault="00F02074" w:rsidP="00F02074">
      <w:pPr>
        <w:pStyle w:val="Bullet"/>
        <w:spacing w:after="200"/>
      </w:pPr>
      <w:r w:rsidRPr="00762F6A">
        <w:t>when investments in superannuation funds earn income; and</w:t>
      </w:r>
    </w:p>
    <w:p w14:paraId="208713C2" w14:textId="77777777" w:rsidR="00F02074" w:rsidRPr="00762F6A" w:rsidRDefault="00F02074" w:rsidP="00F02074">
      <w:pPr>
        <w:pStyle w:val="Bullet"/>
      </w:pPr>
      <w:proofErr w:type="gramStart"/>
      <w:r w:rsidRPr="00762F6A">
        <w:t>when</w:t>
      </w:r>
      <w:proofErr w:type="gramEnd"/>
      <w:r w:rsidRPr="00762F6A">
        <w:t xml:space="preserve"> superannuation benefits are paid out.</w:t>
      </w:r>
    </w:p>
    <w:p w14:paraId="208713C3" w14:textId="77777777" w:rsidR="00F02074" w:rsidRDefault="00F02074" w:rsidP="00F02074">
      <w:r w:rsidRPr="00762F6A">
        <w:t xml:space="preserve">The income tax benchmark treatment of superannuation is that contributions are </w:t>
      </w:r>
      <w:r>
        <w:t>made from after-tax income</w:t>
      </w:r>
      <w:r w:rsidRPr="00762F6A">
        <w:t xml:space="preserve">, earnings are taxed </w:t>
      </w:r>
      <w:r>
        <w:t>at marginal rates</w:t>
      </w:r>
      <w:r w:rsidRPr="00762F6A">
        <w:t xml:space="preserve"> and benefits from superannuation are untaxed. Any costs associated with superannuation investments are deductible under the benchmark.</w:t>
      </w:r>
    </w:p>
    <w:p w14:paraId="208713C4" w14:textId="77777777" w:rsidR="00F02074" w:rsidRPr="00762F6A" w:rsidRDefault="00F02074" w:rsidP="00F02074">
      <w:r>
        <w:t xml:space="preserve">As discussed in Chapter One, in 2017, Treasury will explore </w:t>
      </w:r>
      <w:r w:rsidRPr="006D3968">
        <w:t>reporting savings tax expenditures against an expenditure tax benchmark in future editions of the Tax Expenditures Statement, in addition to an income tax benchmark</w:t>
      </w:r>
      <w:r>
        <w:t>.</w:t>
      </w:r>
    </w:p>
    <w:p w14:paraId="208713C5" w14:textId="77777777" w:rsidR="00F02074" w:rsidRPr="000E05A7" w:rsidRDefault="00F02074" w:rsidP="00F02074">
      <w:pPr>
        <w:pStyle w:val="Heading3"/>
        <w:rPr>
          <w:smallCaps w:val="0"/>
          <w:sz w:val="20"/>
        </w:rPr>
      </w:pPr>
      <w:r w:rsidRPr="000E05A7">
        <w:rPr>
          <w:smallCaps w:val="0"/>
          <w:sz w:val="20"/>
        </w:rPr>
        <w:t>Fringe benefits</w:t>
      </w:r>
    </w:p>
    <w:p w14:paraId="208713C6" w14:textId="77777777" w:rsidR="00F02074" w:rsidRDefault="00F02074" w:rsidP="00F02074">
      <w:r>
        <w:t>Under the income tax benchmark:</w:t>
      </w:r>
    </w:p>
    <w:p w14:paraId="208713C7" w14:textId="77777777" w:rsidR="00F02074" w:rsidRDefault="00F02074" w:rsidP="00F02074">
      <w:pPr>
        <w:pStyle w:val="Bullet"/>
        <w:spacing w:after="200"/>
      </w:pPr>
      <w:r>
        <w:t>f</w:t>
      </w:r>
      <w:r w:rsidRPr="00762F6A">
        <w:t>ringe benefits are classified as individual employee income</w:t>
      </w:r>
      <w:r>
        <w:t>;</w:t>
      </w:r>
      <w:r w:rsidRPr="00762F6A">
        <w:t xml:space="preserve"> </w:t>
      </w:r>
    </w:p>
    <w:p w14:paraId="208713C8" w14:textId="519AD6D1" w:rsidR="00F02074" w:rsidRDefault="00F02074" w:rsidP="00F02074">
      <w:pPr>
        <w:pStyle w:val="Bullet"/>
        <w:spacing w:after="200"/>
      </w:pPr>
      <w:proofErr w:type="gramStart"/>
      <w:r>
        <w:t>t</w:t>
      </w:r>
      <w:r w:rsidRPr="00762F6A">
        <w:t>he</w:t>
      </w:r>
      <w:proofErr w:type="gramEnd"/>
      <w:r w:rsidRPr="00762F6A">
        <w:t xml:space="preserve"> tax base</w:t>
      </w:r>
      <w:r>
        <w:t xml:space="preserve"> includes </w:t>
      </w:r>
      <w:r w:rsidRPr="00762F6A">
        <w:t xml:space="preserve">property rights, privileges or services. </w:t>
      </w:r>
      <w:r>
        <w:t>However, p</w:t>
      </w:r>
      <w:r w:rsidRPr="00762F6A">
        <w:t>ayments of salary or wages, eligible termination payments, contributions to complying superannuation funds and certain benefits arising from empl</w:t>
      </w:r>
      <w:r w:rsidR="000D4B5A">
        <w:t>oyee share schemes are excluded;</w:t>
      </w:r>
    </w:p>
    <w:p w14:paraId="208713C9" w14:textId="77777777" w:rsidR="00F02074" w:rsidRDefault="00F02074" w:rsidP="00F02074">
      <w:pPr>
        <w:pStyle w:val="Bullet"/>
        <w:spacing w:after="200"/>
      </w:pPr>
      <w:r>
        <w:t>t</w:t>
      </w:r>
      <w:r w:rsidRPr="00762F6A">
        <w:t xml:space="preserve">he benchmark value of a fringe benefit to an employee is taken to be its market value less any contribution </w:t>
      </w:r>
      <w:r>
        <w:t xml:space="preserve">that </w:t>
      </w:r>
      <w:r w:rsidRPr="00762F6A">
        <w:t>the employee pays from after</w:t>
      </w:r>
      <w:r w:rsidRPr="00762F6A">
        <w:noBreakHyphen/>
        <w:t>tax income</w:t>
      </w:r>
      <w:r>
        <w:t>;</w:t>
      </w:r>
    </w:p>
    <w:p w14:paraId="208713CA" w14:textId="77777777" w:rsidR="00F02074" w:rsidRDefault="00F02074" w:rsidP="00F02074">
      <w:pPr>
        <w:pStyle w:val="Bullet"/>
        <w:spacing w:after="200"/>
      </w:pPr>
      <w:r>
        <w:lastRenderedPageBreak/>
        <w:t>t</w:t>
      </w:r>
      <w:r w:rsidRPr="00762F6A">
        <w:t>he tax rate is the employee’s marginal income tax rate</w:t>
      </w:r>
      <w:r>
        <w:t>;</w:t>
      </w:r>
    </w:p>
    <w:p w14:paraId="208713CB" w14:textId="77777777" w:rsidR="00F02074" w:rsidRPr="00762F6A" w:rsidRDefault="00F02074" w:rsidP="00F02074">
      <w:pPr>
        <w:pStyle w:val="Bullet"/>
        <w:spacing w:after="200"/>
      </w:pPr>
      <w:proofErr w:type="gramStart"/>
      <w:r>
        <w:t>f</w:t>
      </w:r>
      <w:r w:rsidRPr="00762F6A">
        <w:t>ringe</w:t>
      </w:r>
      <w:proofErr w:type="gramEnd"/>
      <w:r w:rsidRPr="00762F6A">
        <w:t xml:space="preserve"> benefits tax is calculated on the grossed</w:t>
      </w:r>
      <w:r>
        <w:t>-</w:t>
      </w:r>
      <w:r w:rsidRPr="00762F6A">
        <w:t>up taxable value (that is, the pre</w:t>
      </w:r>
      <w:r w:rsidRPr="00762F6A">
        <w:noBreakHyphen/>
        <w:t>tax equivalent value) of the fringe benefit. In some cases, discount valuation methods are available to calculate the taxable value of a fringe benefit. Such methods are reported as tax expenditures</w:t>
      </w:r>
      <w:r>
        <w:t>;</w:t>
      </w:r>
    </w:p>
    <w:p w14:paraId="208713CC" w14:textId="77777777" w:rsidR="00F02074" w:rsidRDefault="00F02074" w:rsidP="00F02074">
      <w:pPr>
        <w:pStyle w:val="Bullet"/>
        <w:spacing w:after="200"/>
      </w:pPr>
      <w:r>
        <w:t>t</w:t>
      </w:r>
      <w:r w:rsidRPr="00762F6A">
        <w:t xml:space="preserve">he tax unit </w:t>
      </w:r>
      <w:r>
        <w:t>is the employer</w:t>
      </w:r>
      <w:r w:rsidRPr="00762F6A">
        <w:t xml:space="preserve"> </w:t>
      </w:r>
      <w:r>
        <w:t>(as the relevant legislation makes employers liable for the tax);</w:t>
      </w:r>
    </w:p>
    <w:p w14:paraId="208713CD" w14:textId="77777777" w:rsidR="00F02074" w:rsidRDefault="00F02074" w:rsidP="00F02074">
      <w:pPr>
        <w:pStyle w:val="Bullet"/>
        <w:spacing w:after="200"/>
      </w:pPr>
      <w:r>
        <w:t>g</w:t>
      </w:r>
      <w:r w:rsidRPr="00762F6A">
        <w:t>enerally, employers may claim the cost of providing fringe benefits and the amount of fringe benefits tax paid as income tax deductions</w:t>
      </w:r>
      <w:r>
        <w:t>; and</w:t>
      </w:r>
    </w:p>
    <w:p w14:paraId="208713CE" w14:textId="77777777" w:rsidR="00F02074" w:rsidRPr="00762F6A" w:rsidRDefault="00F02074" w:rsidP="00F02074">
      <w:pPr>
        <w:pStyle w:val="Bullet"/>
        <w:spacing w:after="200"/>
      </w:pPr>
      <w:proofErr w:type="gramStart"/>
      <w:r>
        <w:t>t</w:t>
      </w:r>
      <w:r w:rsidRPr="00762F6A">
        <w:t>he</w:t>
      </w:r>
      <w:proofErr w:type="gramEnd"/>
      <w:r w:rsidRPr="00762F6A">
        <w:t xml:space="preserve"> tax period is the fringe benefits tax year (1 April to 31 March)</w:t>
      </w:r>
      <w:r>
        <w:t>.</w:t>
      </w:r>
    </w:p>
    <w:p w14:paraId="208713CF" w14:textId="77777777" w:rsidR="00F02074" w:rsidRPr="00762F6A" w:rsidRDefault="00F02074" w:rsidP="00F02074">
      <w:pPr>
        <w:pStyle w:val="Heading3"/>
      </w:pPr>
      <w:bookmarkStart w:id="49" w:name="_Toc441066996"/>
      <w:r w:rsidRPr="00762F6A">
        <w:t>Indirect tax</w:t>
      </w:r>
      <w:r>
        <w:t xml:space="preserve"> benchmarks</w:t>
      </w:r>
      <w:bookmarkEnd w:id="49"/>
    </w:p>
    <w:p w14:paraId="208713D0" w14:textId="77777777" w:rsidR="00F02074" w:rsidRPr="002A548F" w:rsidRDefault="00F02074" w:rsidP="00F02074">
      <w:pPr>
        <w:spacing w:after="200"/>
      </w:pPr>
      <w:r>
        <w:t>The main i</w:t>
      </w:r>
      <w:r w:rsidRPr="002A548F">
        <w:t xml:space="preserve">ndirect taxes </w:t>
      </w:r>
      <w:r>
        <w:t>are</w:t>
      </w:r>
      <w:r w:rsidRPr="002A548F">
        <w:t>:</w:t>
      </w:r>
    </w:p>
    <w:p w14:paraId="208713D1" w14:textId="77777777" w:rsidR="00F02074" w:rsidRPr="002A548F" w:rsidRDefault="00F02074" w:rsidP="00F02074">
      <w:pPr>
        <w:pStyle w:val="Bullet"/>
        <w:spacing w:after="200"/>
      </w:pPr>
      <w:r w:rsidRPr="002A548F">
        <w:t>the goods and services tax</w:t>
      </w:r>
      <w:r>
        <w:t>;</w:t>
      </w:r>
    </w:p>
    <w:p w14:paraId="208713D2" w14:textId="77777777" w:rsidR="00F02074" w:rsidRPr="002A548F" w:rsidRDefault="00F02074" w:rsidP="00F02074">
      <w:pPr>
        <w:pStyle w:val="Bullet"/>
        <w:spacing w:after="200"/>
      </w:pPr>
      <w:r w:rsidRPr="002A548F">
        <w:t>taxes on commodities such as fuel, tobacco, alcoholic beverages and motor vehicles;</w:t>
      </w:r>
    </w:p>
    <w:p w14:paraId="208713D3" w14:textId="77777777" w:rsidR="00F02074" w:rsidRDefault="00F02074" w:rsidP="00F02074">
      <w:pPr>
        <w:pStyle w:val="Bullet"/>
        <w:spacing w:after="200"/>
      </w:pPr>
      <w:r w:rsidRPr="002A548F">
        <w:t>crude oil excise and the Petroleum Resource Rent Tax; and</w:t>
      </w:r>
    </w:p>
    <w:p w14:paraId="208713D4" w14:textId="77777777" w:rsidR="00F02074" w:rsidRDefault="00F02074" w:rsidP="00F02074">
      <w:pPr>
        <w:pStyle w:val="Bullet"/>
        <w:spacing w:after="200"/>
      </w:pPr>
      <w:proofErr w:type="gramStart"/>
      <w:r w:rsidRPr="002A548F">
        <w:t>miscellaneous</w:t>
      </w:r>
      <w:proofErr w:type="gramEnd"/>
      <w:r w:rsidRPr="002A548F">
        <w:t xml:space="preserve"> taxes such as agricultural levies and the passenger movement charge</w:t>
      </w:r>
      <w:r>
        <w:t>.</w:t>
      </w:r>
    </w:p>
    <w:p w14:paraId="208713D5" w14:textId="460608B4" w:rsidR="00F02074" w:rsidRDefault="00F02074" w:rsidP="00F02074">
      <w:pPr>
        <w:spacing w:after="200"/>
      </w:pPr>
      <w:r>
        <w:t>Unlike the income tax benchmark, there is no st</w:t>
      </w:r>
      <w:r w:rsidR="00C11FD2">
        <w:t xml:space="preserve">arting point such as the </w:t>
      </w:r>
      <w:proofErr w:type="spellStart"/>
      <w:r w:rsidR="00C11FD2">
        <w:t>Schanz</w:t>
      </w:r>
      <w:proofErr w:type="spellEnd"/>
      <w:r w:rsidR="00C11FD2">
        <w:noBreakHyphen/>
        <w:t>Haig</w:t>
      </w:r>
      <w:r w:rsidR="00C11FD2">
        <w:noBreakHyphen/>
      </w:r>
      <w:r>
        <w:t>Simons definition of income for determining the benchmarks for indirect taxes. Each indirect tax therefore has its own benchmark that reflects the standard features of the tax in question. Identifying the standard features of a tax unavoidably involves judgment.</w:t>
      </w:r>
    </w:p>
    <w:p w14:paraId="208713D6" w14:textId="77777777" w:rsidR="00F02074" w:rsidRDefault="00F02074" w:rsidP="00F02074">
      <w:pPr>
        <w:spacing w:after="200"/>
      </w:pPr>
      <w:r>
        <w:t xml:space="preserve">Generally, for each tax, </w:t>
      </w:r>
      <w:r w:rsidRPr="002A548F">
        <w:t xml:space="preserve">the tax unit </w:t>
      </w:r>
      <w:r>
        <w:t xml:space="preserve">under the benchmark </w:t>
      </w:r>
      <w:r w:rsidRPr="002A548F">
        <w:t>is the entity that has the legal obligation to pay the tax.</w:t>
      </w:r>
    </w:p>
    <w:p w14:paraId="208713D7" w14:textId="77777777" w:rsidR="00F02074" w:rsidRPr="000E05A7" w:rsidRDefault="00F02074" w:rsidP="00F02074">
      <w:pPr>
        <w:pStyle w:val="Heading3"/>
        <w:rPr>
          <w:smallCaps w:val="0"/>
          <w:sz w:val="20"/>
        </w:rPr>
      </w:pPr>
      <w:r w:rsidRPr="000E05A7">
        <w:rPr>
          <w:smallCaps w:val="0"/>
          <w:sz w:val="20"/>
        </w:rPr>
        <w:t>Goods and services tax</w:t>
      </w:r>
    </w:p>
    <w:p w14:paraId="208713D8" w14:textId="77777777" w:rsidR="00F02074" w:rsidRDefault="00F02074" w:rsidP="00F02074">
      <w:r w:rsidRPr="00762F6A">
        <w:t>The goods and services tax (GST) is a broad</w:t>
      </w:r>
      <w:r>
        <w:t>-</w:t>
      </w:r>
      <w:r w:rsidRPr="00762F6A">
        <w:t xml:space="preserve">based consumption tax charged at the rate of 10 per cent. </w:t>
      </w:r>
      <w:r>
        <w:t>While it is payable at each step of the supply chain, firms are normally able to claim an input tax credit (ITC) for the GST they pay on their inputs.</w:t>
      </w:r>
    </w:p>
    <w:p w14:paraId="7A84AFCB" w14:textId="77777777" w:rsidR="00E5312D" w:rsidRDefault="00E5312D">
      <w:pPr>
        <w:spacing w:after="0" w:line="240" w:lineRule="auto"/>
        <w:jc w:val="left"/>
      </w:pPr>
      <w:r>
        <w:br w:type="page"/>
      </w:r>
    </w:p>
    <w:p w14:paraId="208713D9" w14:textId="04DBACE6" w:rsidR="00F02074" w:rsidRDefault="00F02074" w:rsidP="00F02074">
      <w:r>
        <w:lastRenderedPageBreak/>
        <w:t>The supply of certain goods and services is either:</w:t>
      </w:r>
    </w:p>
    <w:p w14:paraId="208713DA" w14:textId="77777777" w:rsidR="00F02074" w:rsidRDefault="00F02074" w:rsidP="00F02074">
      <w:pPr>
        <w:pStyle w:val="Bullet"/>
        <w:spacing w:after="200"/>
      </w:pPr>
      <w:r w:rsidRPr="00762F6A">
        <w:t>GST</w:t>
      </w:r>
      <w:r w:rsidRPr="00762F6A">
        <w:noBreakHyphen/>
        <w:t>free</w:t>
      </w:r>
      <w:r>
        <w:t xml:space="preserve"> – that is, where </w:t>
      </w:r>
      <w:r w:rsidRPr="00762F6A">
        <w:t xml:space="preserve">no GST </w:t>
      </w:r>
      <w:r>
        <w:t xml:space="preserve">is </w:t>
      </w:r>
      <w:r w:rsidRPr="00762F6A">
        <w:t xml:space="preserve">payable on the supply and the supplier is entitled to claim </w:t>
      </w:r>
      <w:r>
        <w:t xml:space="preserve">ITCs; </w:t>
      </w:r>
      <w:r w:rsidRPr="00762F6A">
        <w:t>or</w:t>
      </w:r>
    </w:p>
    <w:p w14:paraId="208713DB" w14:textId="77777777" w:rsidR="00F02074" w:rsidRPr="00762F6A" w:rsidRDefault="00F02074" w:rsidP="00F02074">
      <w:pPr>
        <w:pStyle w:val="Bullet"/>
        <w:spacing w:after="200"/>
      </w:pPr>
      <w:proofErr w:type="gramStart"/>
      <w:r w:rsidRPr="00762F6A">
        <w:t>input</w:t>
      </w:r>
      <w:r>
        <w:t>-</w:t>
      </w:r>
      <w:r w:rsidRPr="00762F6A">
        <w:t>taxed</w:t>
      </w:r>
      <w:proofErr w:type="gramEnd"/>
      <w:r>
        <w:t xml:space="preserve"> – that is, where </w:t>
      </w:r>
      <w:r w:rsidRPr="00762F6A">
        <w:t xml:space="preserve">no GST </w:t>
      </w:r>
      <w:r>
        <w:t xml:space="preserve">is </w:t>
      </w:r>
      <w:r w:rsidRPr="00762F6A">
        <w:t>payable on the supply but the supplier cannot claim ITCs</w:t>
      </w:r>
      <w:r>
        <w:t xml:space="preserve"> (or can only claim reduced credits)</w:t>
      </w:r>
      <w:r w:rsidRPr="00762F6A">
        <w:t>.</w:t>
      </w:r>
    </w:p>
    <w:p w14:paraId="208713DC" w14:textId="77777777" w:rsidR="00F02074" w:rsidRDefault="00F02074" w:rsidP="00F02074">
      <w:pPr>
        <w:spacing w:after="200"/>
      </w:pPr>
      <w:r>
        <w:t>ITCs do not constitute tax expenditures as they are an integral part of the GST system, ensuring that the economic incidence of the tax usually falls on final consumers.</w:t>
      </w:r>
    </w:p>
    <w:p w14:paraId="208713DD" w14:textId="77777777" w:rsidR="00F02074" w:rsidRPr="00762F6A" w:rsidRDefault="00F02074" w:rsidP="00F02074">
      <w:pPr>
        <w:spacing w:after="200"/>
      </w:pPr>
      <w:r>
        <w:t>Broadly, t</w:t>
      </w:r>
      <w:r w:rsidRPr="00762F6A">
        <w:t xml:space="preserve">he </w:t>
      </w:r>
      <w:r w:rsidRPr="005251CE">
        <w:t>tax base</w:t>
      </w:r>
      <w:r w:rsidRPr="00762F6A">
        <w:t xml:space="preserve"> for the GST </w:t>
      </w:r>
      <w:r>
        <w:t xml:space="preserve">benchmark </w:t>
      </w:r>
      <w:r w:rsidRPr="00762F6A">
        <w:t>is the</w:t>
      </w:r>
      <w:r>
        <w:t xml:space="preserve"> supply of all goods and services </w:t>
      </w:r>
      <w:r w:rsidRPr="00036166">
        <w:t>in Australia</w:t>
      </w:r>
      <w:r>
        <w:t xml:space="preserve">. The definition of ‘goods and services’ </w:t>
      </w:r>
      <w:proofErr w:type="gramStart"/>
      <w:r>
        <w:t>is</w:t>
      </w:r>
      <w:proofErr w:type="gramEnd"/>
      <w:r>
        <w:t xml:space="preserve"> broad and </w:t>
      </w:r>
      <w:r w:rsidRPr="000E05A7">
        <w:t>includ</w:t>
      </w:r>
      <w:r>
        <w:t>es, for example,</w:t>
      </w:r>
      <w:r w:rsidRPr="000E05A7">
        <w:t xml:space="preserve"> </w:t>
      </w:r>
      <w:r>
        <w:t xml:space="preserve">commercial property. Other features of </w:t>
      </w:r>
      <w:r w:rsidRPr="00762F6A">
        <w:t xml:space="preserve">the </w:t>
      </w:r>
      <w:r>
        <w:t>benchmark tax base include</w:t>
      </w:r>
      <w:r w:rsidRPr="00762F6A">
        <w:t>:</w:t>
      </w:r>
    </w:p>
    <w:p w14:paraId="208713DE" w14:textId="77777777" w:rsidR="00F02074" w:rsidRDefault="00F02074" w:rsidP="00F02074">
      <w:pPr>
        <w:pStyle w:val="Bullet"/>
        <w:spacing w:after="200"/>
      </w:pPr>
      <w:r>
        <w:t>e</w:t>
      </w:r>
      <w:r w:rsidRPr="00762F6A">
        <w:t xml:space="preserve">xports are </w:t>
      </w:r>
      <w:r>
        <w:t xml:space="preserve">exempt from </w:t>
      </w:r>
      <w:r w:rsidRPr="00762F6A">
        <w:t>GST</w:t>
      </w:r>
      <w:r>
        <w:t>;</w:t>
      </w:r>
    </w:p>
    <w:p w14:paraId="208713DF" w14:textId="77777777" w:rsidR="00F02074" w:rsidRDefault="00F02074" w:rsidP="00F02074">
      <w:pPr>
        <w:pStyle w:val="Bullet"/>
        <w:spacing w:after="200"/>
      </w:pPr>
      <w:r>
        <w:t>n</w:t>
      </w:r>
      <w:r w:rsidRPr="00762F6A">
        <w:t>on</w:t>
      </w:r>
      <w:r w:rsidRPr="00762F6A">
        <w:noBreakHyphen/>
        <w:t>commercial activities of governments are exempt from GST</w:t>
      </w:r>
      <w:r>
        <w:t>;</w:t>
      </w:r>
    </w:p>
    <w:p w14:paraId="208713E0" w14:textId="77777777" w:rsidR="00F02074" w:rsidRPr="00762F6A" w:rsidRDefault="00F02074" w:rsidP="00F02074">
      <w:pPr>
        <w:pStyle w:val="Bullet"/>
        <w:spacing w:after="200"/>
      </w:pPr>
      <w:r>
        <w:t>the supply of private residential accommodation</w:t>
      </w:r>
      <w:r>
        <w:rPr>
          <w:rStyle w:val="FootnoteReference"/>
        </w:rPr>
        <w:footnoteReference w:id="5"/>
      </w:r>
      <w:r>
        <w:t xml:space="preserve"> is input</w:t>
      </w:r>
      <w:r>
        <w:noBreakHyphen/>
        <w:t>taxed (meaning rent is not subject to GST);</w:t>
      </w:r>
    </w:p>
    <w:p w14:paraId="208713E1" w14:textId="77777777" w:rsidR="00F02074" w:rsidRDefault="00F02074" w:rsidP="00F02074">
      <w:pPr>
        <w:pStyle w:val="Bullet"/>
      </w:pPr>
      <w:r>
        <w:t>t</w:t>
      </w:r>
      <w:r w:rsidRPr="00762F6A">
        <w:t xml:space="preserve">he sale of </w:t>
      </w:r>
      <w:r>
        <w:t xml:space="preserve">pre-existing </w:t>
      </w:r>
      <w:r w:rsidRPr="00762F6A">
        <w:t>residential premises is input</w:t>
      </w:r>
      <w:r>
        <w:noBreakHyphen/>
      </w:r>
      <w:r w:rsidRPr="00762F6A">
        <w:t>taxed</w:t>
      </w:r>
      <w:r>
        <w:t>;</w:t>
      </w:r>
    </w:p>
    <w:p w14:paraId="208713E2" w14:textId="77777777" w:rsidR="00F02074" w:rsidRDefault="00F02074" w:rsidP="00710D78">
      <w:pPr>
        <w:pStyle w:val="Dash"/>
      </w:pPr>
      <w:r>
        <w:t>t</w:t>
      </w:r>
      <w:r w:rsidRPr="00762F6A">
        <w:t>he s</w:t>
      </w:r>
      <w:r>
        <w:t xml:space="preserve">ale </w:t>
      </w:r>
      <w:r w:rsidRPr="00762F6A">
        <w:t xml:space="preserve">of </w:t>
      </w:r>
      <w:r w:rsidRPr="0023386B">
        <w:t>new</w:t>
      </w:r>
      <w:r w:rsidRPr="00762F6A">
        <w:t xml:space="preserve"> residential premises and the </w:t>
      </w:r>
      <w:r>
        <w:t xml:space="preserve">supply </w:t>
      </w:r>
      <w:r w:rsidRPr="00762F6A">
        <w:t>of alterations, additions and improvements to residential premises are subject to GST</w:t>
      </w:r>
      <w:r>
        <w:t>;</w:t>
      </w:r>
    </w:p>
    <w:p w14:paraId="208713E3" w14:textId="77777777" w:rsidR="00F02074" w:rsidRDefault="00F02074" w:rsidP="00F02074">
      <w:pPr>
        <w:pStyle w:val="Bullet"/>
        <w:spacing w:after="200"/>
      </w:pPr>
      <w:proofErr w:type="gramStart"/>
      <w:r>
        <w:t>g</w:t>
      </w:r>
      <w:r w:rsidRPr="00762F6A">
        <w:t>oods</w:t>
      </w:r>
      <w:proofErr w:type="gramEnd"/>
      <w:r w:rsidRPr="00762F6A">
        <w:t xml:space="preserve"> and services supplied to oneself are not subject to GST</w:t>
      </w:r>
      <w:r>
        <w:t>.</w:t>
      </w:r>
    </w:p>
    <w:p w14:paraId="208713E4" w14:textId="77777777" w:rsidR="00F02074" w:rsidRPr="00762F6A" w:rsidRDefault="00F02074" w:rsidP="00F02074">
      <w:r>
        <w:t>T</w:t>
      </w:r>
      <w:r w:rsidRPr="00762F6A">
        <w:t xml:space="preserve">he </w:t>
      </w:r>
      <w:r w:rsidRPr="005251CE">
        <w:t>tax unit</w:t>
      </w:r>
      <w:r w:rsidRPr="00762F6A">
        <w:t xml:space="preserve"> </w:t>
      </w:r>
      <w:r>
        <w:t xml:space="preserve">for the </w:t>
      </w:r>
      <w:r w:rsidRPr="00762F6A">
        <w:t xml:space="preserve">GST </w:t>
      </w:r>
      <w:r>
        <w:t xml:space="preserve">benchmark </w:t>
      </w:r>
      <w:r w:rsidRPr="00762F6A">
        <w:t>is the supplier of goods or services</w:t>
      </w:r>
      <w:r>
        <w:t xml:space="preserve"> (consistent with the legal incidence of the tax)</w:t>
      </w:r>
      <w:r w:rsidRPr="00762F6A">
        <w:t xml:space="preserve">. </w:t>
      </w:r>
      <w:r>
        <w:t xml:space="preserve">Exceptions include </w:t>
      </w:r>
      <w:r w:rsidRPr="00762F6A">
        <w:t xml:space="preserve">‘reverse charging’, where the </w:t>
      </w:r>
      <w:r>
        <w:t xml:space="preserve">purchaser </w:t>
      </w:r>
      <w:r w:rsidRPr="00762F6A">
        <w:t>is liable to pay GST.</w:t>
      </w:r>
      <w:r>
        <w:t xml:space="preserve"> R</w:t>
      </w:r>
      <w:r w:rsidRPr="00762F6A">
        <w:t xml:space="preserve">everse charging occurs in </w:t>
      </w:r>
      <w:r>
        <w:t xml:space="preserve">limited </w:t>
      </w:r>
      <w:r w:rsidRPr="00762F6A">
        <w:t xml:space="preserve">situations where </w:t>
      </w:r>
      <w:r>
        <w:t>goods or services are imported (</w:t>
      </w:r>
      <w:r w:rsidRPr="00762F6A">
        <w:t>for example, where an overseas supplier itself imports goods into Australia and installs them</w:t>
      </w:r>
      <w:r>
        <w:t>, this supplier</w:t>
      </w:r>
      <w:r w:rsidRPr="00762F6A">
        <w:t xml:space="preserve"> and </w:t>
      </w:r>
      <w:r>
        <w:t xml:space="preserve">the </w:t>
      </w:r>
      <w:r w:rsidRPr="00762F6A">
        <w:t xml:space="preserve">Australian </w:t>
      </w:r>
      <w:r>
        <w:t>purchaser</w:t>
      </w:r>
      <w:r w:rsidRPr="00762F6A">
        <w:t xml:space="preserve"> may agree that the </w:t>
      </w:r>
      <w:r>
        <w:t xml:space="preserve">purchaser pays the </w:t>
      </w:r>
      <w:r w:rsidRPr="00762F6A">
        <w:t>GST</w:t>
      </w:r>
      <w:r>
        <w:t>)</w:t>
      </w:r>
      <w:r w:rsidRPr="00762F6A">
        <w:t>.</w:t>
      </w:r>
    </w:p>
    <w:p w14:paraId="208713E5" w14:textId="77777777" w:rsidR="00F02074" w:rsidRDefault="00F02074" w:rsidP="00F02074">
      <w:r>
        <w:t xml:space="preserve">The </w:t>
      </w:r>
      <w:r w:rsidRPr="005251CE">
        <w:t>tax rate</w:t>
      </w:r>
      <w:r>
        <w:t xml:space="preserve"> for the GST benchmark is 10 per cent.</w:t>
      </w:r>
    </w:p>
    <w:p w14:paraId="208713E6" w14:textId="77777777" w:rsidR="00F02074" w:rsidRPr="00762F6A" w:rsidRDefault="00F02074" w:rsidP="00F02074">
      <w:r w:rsidRPr="00762F6A">
        <w:t xml:space="preserve">The </w:t>
      </w:r>
      <w:r w:rsidRPr="005251CE">
        <w:t>tax period</w:t>
      </w:r>
      <w:r w:rsidRPr="00762F6A">
        <w:t xml:space="preserve"> </w:t>
      </w:r>
      <w:r>
        <w:t xml:space="preserve">for </w:t>
      </w:r>
      <w:r w:rsidRPr="00762F6A">
        <w:t xml:space="preserve">the </w:t>
      </w:r>
      <w:r>
        <w:t xml:space="preserve">GST </w:t>
      </w:r>
      <w:r w:rsidRPr="00762F6A">
        <w:t>benchmark is the financial year (1 July to 30 June).</w:t>
      </w:r>
    </w:p>
    <w:p w14:paraId="208713E7" w14:textId="77777777" w:rsidR="00F02074" w:rsidRPr="000E05A7" w:rsidRDefault="00F02074" w:rsidP="00F02074">
      <w:pPr>
        <w:pStyle w:val="Heading3"/>
        <w:rPr>
          <w:smallCaps w:val="0"/>
          <w:sz w:val="20"/>
        </w:rPr>
      </w:pPr>
      <w:r w:rsidRPr="000E05A7">
        <w:rPr>
          <w:smallCaps w:val="0"/>
          <w:sz w:val="20"/>
        </w:rPr>
        <w:t>Fuel</w:t>
      </w:r>
    </w:p>
    <w:p w14:paraId="208713E8" w14:textId="77777777" w:rsidR="00F02074" w:rsidRDefault="00F02074" w:rsidP="00F02074">
      <w:pPr>
        <w:spacing w:after="200"/>
      </w:pPr>
      <w:r w:rsidRPr="002A548F">
        <w:t xml:space="preserve">The Australian Government imposes </w:t>
      </w:r>
      <w:r>
        <w:t xml:space="preserve">a </w:t>
      </w:r>
      <w:r w:rsidRPr="002A548F">
        <w:t>volumetric tax on the consumption of fuel</w:t>
      </w:r>
      <w:r>
        <w:t xml:space="preserve"> (that is, </w:t>
      </w:r>
      <w:r w:rsidRPr="002A548F">
        <w:t xml:space="preserve">tax </w:t>
      </w:r>
      <w:r>
        <w:t xml:space="preserve">is </w:t>
      </w:r>
      <w:r w:rsidRPr="002A548F">
        <w:t>charged as a fixed proportion of the quantity sold</w:t>
      </w:r>
      <w:r>
        <w:t>)</w:t>
      </w:r>
      <w:r w:rsidRPr="002A548F">
        <w:t>.</w:t>
      </w:r>
    </w:p>
    <w:p w14:paraId="208713E9" w14:textId="77777777" w:rsidR="00F02074" w:rsidRPr="00762F6A" w:rsidRDefault="00F02074" w:rsidP="00F02074">
      <w:pPr>
        <w:spacing w:after="200"/>
      </w:pPr>
      <w:r w:rsidRPr="00762F6A">
        <w:lastRenderedPageBreak/>
        <w:t>The tax base for the consumption of all fuel (or energy) is split into two activities:</w:t>
      </w:r>
    </w:p>
    <w:p w14:paraId="208713EA" w14:textId="77777777" w:rsidR="00F02074" w:rsidRPr="00762F6A" w:rsidRDefault="00F02074" w:rsidP="00F02074">
      <w:pPr>
        <w:pStyle w:val="Bullet"/>
        <w:spacing w:after="190"/>
      </w:pPr>
      <w:r w:rsidRPr="00762F6A">
        <w:t>fuels consumed in an internal combustion engine (that is, primarily for transport use); and</w:t>
      </w:r>
    </w:p>
    <w:p w14:paraId="208713EB" w14:textId="77777777" w:rsidR="00F02074" w:rsidRPr="00762F6A" w:rsidRDefault="00F02074" w:rsidP="00F02074">
      <w:pPr>
        <w:pStyle w:val="Bullet"/>
      </w:pPr>
      <w:proofErr w:type="gramStart"/>
      <w:r w:rsidRPr="00762F6A">
        <w:t>fuels</w:t>
      </w:r>
      <w:proofErr w:type="gramEnd"/>
      <w:r w:rsidRPr="00762F6A">
        <w:t xml:space="preserve"> consumed for a purpose other than in an internal combustion engine (for example, a product that can be used as a fuel in an internal combustion engine but is used in a solvent application or for heating).</w:t>
      </w:r>
    </w:p>
    <w:p w14:paraId="208713EC" w14:textId="77777777" w:rsidR="00F02074" w:rsidRPr="00762F6A" w:rsidRDefault="00F02074" w:rsidP="00F02074">
      <w:r w:rsidRPr="00762F6A">
        <w:t>The taxation of these activities reflects longstanding and integral features of the tax system whereby excise rates are dependent on whether the fuel is used in an internal combustion engine.</w:t>
      </w:r>
    </w:p>
    <w:p w14:paraId="208713ED" w14:textId="77777777" w:rsidR="00F02074" w:rsidRPr="00762F6A" w:rsidRDefault="00F02074" w:rsidP="00F02074">
      <w:r w:rsidRPr="00762F6A">
        <w:t>The benchmark excise rates for fuels consumed in an internal combustion engine are the full energy content based rates established using an energy band system and in reference to the rate applying high energy content fuels. The bands used are:</w:t>
      </w:r>
    </w:p>
    <w:p w14:paraId="208713EE" w14:textId="77777777" w:rsidR="00F02074" w:rsidRPr="00741B48" w:rsidRDefault="00F02074" w:rsidP="00F02074">
      <w:pPr>
        <w:pStyle w:val="Bullet"/>
      </w:pPr>
      <w:r w:rsidRPr="00762F6A">
        <w:t>hig</w:t>
      </w:r>
      <w:r w:rsidRPr="00741B48">
        <w:t>h energy content fuels, with an energy content of more than 30 </w:t>
      </w:r>
      <w:proofErr w:type="spellStart"/>
      <w:r w:rsidRPr="00741B48">
        <w:t>megajoules</w:t>
      </w:r>
      <w:proofErr w:type="spellEnd"/>
      <w:r w:rsidRPr="00741B48">
        <w:t> per litre (such as petrol, diesel, biodiesel and aviation fuel);</w:t>
      </w:r>
    </w:p>
    <w:p w14:paraId="208713EF" w14:textId="77777777" w:rsidR="00F02074" w:rsidRPr="00741B48" w:rsidRDefault="00F02074" w:rsidP="00F02074">
      <w:pPr>
        <w:pStyle w:val="Bullet"/>
      </w:pPr>
      <w:r w:rsidRPr="00741B48">
        <w:t>medium energy content fuels, with an energy content between 20 and 30 </w:t>
      </w:r>
      <w:proofErr w:type="spellStart"/>
      <w:r w:rsidRPr="00741B48">
        <w:t>megajoules</w:t>
      </w:r>
      <w:proofErr w:type="spellEnd"/>
      <w:r w:rsidRPr="00741B48">
        <w:t xml:space="preserve"> per litre (such as liquefied petroleum gas (LPG) and fuel ethanol), and an excise rate approximately two</w:t>
      </w:r>
      <w:r w:rsidRPr="00741B48">
        <w:noBreakHyphen/>
        <w:t>thirds of that applying to high energy content fuels;</w:t>
      </w:r>
    </w:p>
    <w:p w14:paraId="208713F0" w14:textId="77777777" w:rsidR="00F02074" w:rsidRPr="00741B48" w:rsidRDefault="00F02074" w:rsidP="00F02074">
      <w:pPr>
        <w:pStyle w:val="Bullet"/>
      </w:pPr>
      <w:r w:rsidRPr="00741B48">
        <w:t xml:space="preserve">low energy content fuels, with an energy content of less than 20 </w:t>
      </w:r>
      <w:proofErr w:type="spellStart"/>
      <w:r w:rsidRPr="00741B48">
        <w:t>megajoules</w:t>
      </w:r>
      <w:proofErr w:type="spellEnd"/>
      <w:r w:rsidRPr="00741B48">
        <w:t xml:space="preserve"> per litre (such as methanol), and an excise rate approximately 45 per cent of that applying to high energy content fuels; and</w:t>
      </w:r>
    </w:p>
    <w:p w14:paraId="208713F1" w14:textId="3A1B50AD" w:rsidR="00F02074" w:rsidRPr="00762F6A" w:rsidRDefault="00F02074" w:rsidP="00F02074">
      <w:pPr>
        <w:pStyle w:val="Bullet"/>
      </w:pPr>
      <w:proofErr w:type="gramStart"/>
      <w:r w:rsidRPr="00741B48">
        <w:t>liquefied</w:t>
      </w:r>
      <w:proofErr w:type="gramEnd"/>
      <w:r w:rsidRPr="00741B48">
        <w:t xml:space="preserve"> natura</w:t>
      </w:r>
      <w:r w:rsidRPr="00762F6A">
        <w:t>l gas (LNG) and compressed natural gas (CNG) fuels, which are taxed on a mass basis using a conversion rate of approximately</w:t>
      </w:r>
      <w:r w:rsidR="00C11FD2">
        <w:t xml:space="preserve"> </w:t>
      </w:r>
      <w:r w:rsidRPr="00762F6A">
        <w:t>1.37 litres per</w:t>
      </w:r>
      <w:r w:rsidR="00C11FD2">
        <w:t> </w:t>
      </w:r>
      <w:r w:rsidRPr="00762F6A">
        <w:t>kilogram.</w:t>
      </w:r>
      <w:r w:rsidRPr="00762F6A">
        <w:rPr>
          <w:rStyle w:val="FootnoteReference"/>
        </w:rPr>
        <w:footnoteReference w:id="6"/>
      </w:r>
    </w:p>
    <w:p w14:paraId="208713F2" w14:textId="77777777" w:rsidR="00F02074" w:rsidRPr="00762F6A" w:rsidRDefault="00F02074" w:rsidP="00F02074">
      <w:pPr>
        <w:spacing w:after="360"/>
      </w:pPr>
      <w:r w:rsidRPr="00762F6A">
        <w:t>Fuels consumed other than in an internal combustion engine are exempt from excise under the benchmark.</w:t>
      </w:r>
    </w:p>
    <w:p w14:paraId="208713F3" w14:textId="77777777" w:rsidR="00F02074" w:rsidRPr="000E05A7" w:rsidRDefault="00F02074" w:rsidP="00F02074">
      <w:pPr>
        <w:pStyle w:val="Heading3"/>
        <w:rPr>
          <w:smallCaps w:val="0"/>
          <w:sz w:val="20"/>
        </w:rPr>
      </w:pPr>
      <w:r w:rsidRPr="000E05A7">
        <w:rPr>
          <w:smallCaps w:val="0"/>
          <w:sz w:val="20"/>
        </w:rPr>
        <w:t>Tobacco</w:t>
      </w:r>
    </w:p>
    <w:p w14:paraId="208713F4" w14:textId="77777777" w:rsidR="00F02074" w:rsidRDefault="00F02074" w:rsidP="00F02074">
      <w:pPr>
        <w:spacing w:after="200"/>
      </w:pPr>
      <w:r w:rsidRPr="002A548F">
        <w:t xml:space="preserve">The Australian Government imposes </w:t>
      </w:r>
      <w:r>
        <w:t xml:space="preserve">a </w:t>
      </w:r>
      <w:r w:rsidRPr="002A548F">
        <w:t xml:space="preserve">volumetric tax on the consumption of </w:t>
      </w:r>
      <w:r>
        <w:t xml:space="preserve">tobacco (that is, </w:t>
      </w:r>
      <w:r w:rsidRPr="002A548F">
        <w:t xml:space="preserve">tax </w:t>
      </w:r>
      <w:r>
        <w:t xml:space="preserve">is </w:t>
      </w:r>
      <w:r w:rsidRPr="002A548F">
        <w:t>charged as a fixed proportion of the quantity sold</w:t>
      </w:r>
      <w:r>
        <w:t>)</w:t>
      </w:r>
      <w:r w:rsidRPr="002A548F">
        <w:t>.</w:t>
      </w:r>
    </w:p>
    <w:p w14:paraId="208713F5" w14:textId="77777777" w:rsidR="00F02074" w:rsidRPr="00762F6A" w:rsidRDefault="00F02074" w:rsidP="00F02074">
      <w:pPr>
        <w:spacing w:after="360"/>
      </w:pPr>
      <w:r w:rsidRPr="00762F6A">
        <w:t>The benchmark for the consumption of tobacco and tobacco products is the excise rate that applies to tobacco by weight of tobacco content.</w:t>
      </w:r>
    </w:p>
    <w:p w14:paraId="208713F6" w14:textId="77777777" w:rsidR="00F02074" w:rsidRPr="000E05A7" w:rsidRDefault="00F02074" w:rsidP="00F02074">
      <w:pPr>
        <w:pStyle w:val="Heading3"/>
        <w:rPr>
          <w:smallCaps w:val="0"/>
          <w:sz w:val="20"/>
        </w:rPr>
      </w:pPr>
      <w:r w:rsidRPr="000E05A7">
        <w:rPr>
          <w:smallCaps w:val="0"/>
          <w:sz w:val="20"/>
        </w:rPr>
        <w:lastRenderedPageBreak/>
        <w:t>Alcoholic beverages</w:t>
      </w:r>
    </w:p>
    <w:p w14:paraId="208713F7" w14:textId="77777777" w:rsidR="00F02074" w:rsidRDefault="00F02074" w:rsidP="00F02074">
      <w:pPr>
        <w:keepNext/>
        <w:spacing w:after="200"/>
      </w:pPr>
      <w:r w:rsidRPr="002A548F">
        <w:t>The Australian Government imposes volumetric taxes on the consumption of beer</w:t>
      </w:r>
      <w:r>
        <w:t xml:space="preserve"> and</w:t>
      </w:r>
      <w:r w:rsidRPr="002A548F">
        <w:t xml:space="preserve"> spirits</w:t>
      </w:r>
      <w:r>
        <w:t xml:space="preserve"> (that is, </w:t>
      </w:r>
      <w:r w:rsidRPr="002A548F">
        <w:t xml:space="preserve">tax </w:t>
      </w:r>
      <w:r>
        <w:t xml:space="preserve">is </w:t>
      </w:r>
      <w:r w:rsidRPr="002A548F">
        <w:t>charged as a fixed proportion of the quantity sold</w:t>
      </w:r>
      <w:r>
        <w:t xml:space="preserve">) </w:t>
      </w:r>
      <w:r w:rsidRPr="002A548F">
        <w:t xml:space="preserve">and </w:t>
      </w:r>
      <w:r>
        <w:t xml:space="preserve">an </w:t>
      </w:r>
      <w:r w:rsidRPr="002A548F">
        <w:t>ad valorem tax on the consumption of wine</w:t>
      </w:r>
      <w:r>
        <w:t xml:space="preserve"> (that is, </w:t>
      </w:r>
      <w:r w:rsidRPr="002A548F">
        <w:t>tax</w:t>
      </w:r>
      <w:r>
        <w:t xml:space="preserve"> is </w:t>
      </w:r>
      <w:r w:rsidRPr="002A548F">
        <w:t>charged as a fixed proportion of the value of the commodity sold</w:t>
      </w:r>
      <w:r>
        <w:t>).</w:t>
      </w:r>
    </w:p>
    <w:p w14:paraId="208713F8" w14:textId="77777777" w:rsidR="00F02074" w:rsidRPr="00762F6A" w:rsidRDefault="00F02074" w:rsidP="00F02074">
      <w:pPr>
        <w:keepNext/>
        <w:spacing w:after="200"/>
      </w:pPr>
      <w:r w:rsidRPr="00762F6A">
        <w:t>The tax base for the consumption of alcoholic beverages is separated into three components based on the types of beverage:</w:t>
      </w:r>
    </w:p>
    <w:p w14:paraId="208713F9" w14:textId="77777777" w:rsidR="00F02074" w:rsidRPr="00762F6A" w:rsidRDefault="00F02074" w:rsidP="00F02074">
      <w:pPr>
        <w:pStyle w:val="Bullet"/>
        <w:spacing w:after="200"/>
      </w:pPr>
      <w:r w:rsidRPr="00762F6A">
        <w:t>the consumption of lower alcohol content beverages (beverages not exceeding 10 per cent alcohol content) such as beer and ready to drink beverages;</w:t>
      </w:r>
    </w:p>
    <w:p w14:paraId="208713FA" w14:textId="77777777" w:rsidR="00F02074" w:rsidRPr="00762F6A" w:rsidRDefault="00F02074" w:rsidP="00F02074">
      <w:pPr>
        <w:pStyle w:val="Bullet"/>
        <w:spacing w:after="200"/>
      </w:pPr>
      <w:r w:rsidRPr="00762F6A">
        <w:t>the consumption of higher alcohol content beverages (beverages with greater than 10 per cent alcohol content) such as brandy and other spirits; and</w:t>
      </w:r>
    </w:p>
    <w:p w14:paraId="208713FB" w14:textId="77777777" w:rsidR="00F02074" w:rsidRPr="00762F6A" w:rsidRDefault="00F02074" w:rsidP="00F02074">
      <w:pPr>
        <w:pStyle w:val="Bullet"/>
      </w:pPr>
      <w:proofErr w:type="gramStart"/>
      <w:r w:rsidRPr="00762F6A">
        <w:t>the</w:t>
      </w:r>
      <w:proofErr w:type="gramEnd"/>
      <w:r w:rsidRPr="00762F6A">
        <w:t xml:space="preserve"> consumption of wine and alcoholic cider.</w:t>
      </w:r>
    </w:p>
    <w:p w14:paraId="208713FC" w14:textId="04D6EEE3" w:rsidR="00F02074" w:rsidRPr="00762F6A" w:rsidRDefault="00F02074" w:rsidP="00F02074">
      <w:pPr>
        <w:spacing w:after="200"/>
      </w:pPr>
      <w:r w:rsidRPr="00762F6A">
        <w:t>The taxation of these activities reflects a longstanding feature of the tax system whereby different tax rates apply to beer, spirits and wine</w:t>
      </w:r>
      <w:r w:rsidR="00273604">
        <w:t>.</w:t>
      </w:r>
    </w:p>
    <w:p w14:paraId="208713FD" w14:textId="77777777" w:rsidR="00F02074" w:rsidRPr="005D0104" w:rsidRDefault="00F02074" w:rsidP="00F02074">
      <w:pPr>
        <w:pStyle w:val="Bullet"/>
        <w:spacing w:after="200"/>
      </w:pPr>
      <w:r w:rsidRPr="00762F6A">
        <w:t>The</w:t>
      </w:r>
      <w:r w:rsidRPr="005D0104">
        <w:t xml:space="preserve"> benchmark excise rate for lower alcohol content beverages (for example, beer) is the volumetric excise rate that applies to full strength packaged beer (including the excise</w:t>
      </w:r>
      <w:r w:rsidRPr="005D0104">
        <w:noBreakHyphen/>
        <w:t>free threshold of the first 1.15 per cent of alcohol).</w:t>
      </w:r>
    </w:p>
    <w:p w14:paraId="208713FE" w14:textId="77777777" w:rsidR="00F02074" w:rsidRPr="005D0104" w:rsidRDefault="00F02074" w:rsidP="00F02074">
      <w:pPr>
        <w:pStyle w:val="Bullet"/>
        <w:spacing w:after="200"/>
      </w:pPr>
      <w:r w:rsidRPr="005D0104">
        <w:t>The benchmark excise rate for higher alcohol content beverages (for example, spirits) is the volumetric excise rate on spirits other than brandy.</w:t>
      </w:r>
    </w:p>
    <w:p w14:paraId="208713FF" w14:textId="77777777" w:rsidR="00F02074" w:rsidRPr="00762F6A" w:rsidRDefault="00F02074" w:rsidP="00F02074">
      <w:pPr>
        <w:pStyle w:val="Bullet"/>
      </w:pPr>
      <w:r w:rsidRPr="005D0104">
        <w:t>The benchmark rate for wine and alcoholic cider is the ad valorem wine equalisation tax</w:t>
      </w:r>
      <w:r w:rsidRPr="00762F6A">
        <w:t xml:space="preserve"> rate.</w:t>
      </w:r>
    </w:p>
    <w:p w14:paraId="20871400" w14:textId="77777777" w:rsidR="00F02074" w:rsidRPr="000E05A7" w:rsidRDefault="00F02074" w:rsidP="00F02074">
      <w:pPr>
        <w:pStyle w:val="Heading3"/>
        <w:rPr>
          <w:smallCaps w:val="0"/>
          <w:sz w:val="20"/>
        </w:rPr>
      </w:pPr>
      <w:r w:rsidRPr="000E05A7">
        <w:rPr>
          <w:smallCaps w:val="0"/>
          <w:sz w:val="20"/>
        </w:rPr>
        <w:t>Motor vehicles</w:t>
      </w:r>
    </w:p>
    <w:p w14:paraId="20871401" w14:textId="77777777" w:rsidR="00F02074" w:rsidRPr="00762F6A" w:rsidRDefault="00F02074" w:rsidP="00F02074">
      <w:r w:rsidRPr="00762F6A">
        <w:t xml:space="preserve">Generally, motor vehicle purchases are </w:t>
      </w:r>
      <w:r>
        <w:t>only subject to goods and services tax</w:t>
      </w:r>
      <w:r w:rsidRPr="00762F6A">
        <w:t xml:space="preserve">. Consequently, the luxury car tax is </w:t>
      </w:r>
      <w:proofErr w:type="gramStart"/>
      <w:r w:rsidRPr="00762F6A">
        <w:t>a negative</w:t>
      </w:r>
      <w:proofErr w:type="gramEnd"/>
      <w:r w:rsidRPr="00762F6A">
        <w:t xml:space="preserve"> tax expenditure.</w:t>
      </w:r>
    </w:p>
    <w:p w14:paraId="20871402" w14:textId="77777777" w:rsidR="00F02074" w:rsidRPr="000E05A7" w:rsidRDefault="00F02074" w:rsidP="00F02074">
      <w:pPr>
        <w:pStyle w:val="Heading3"/>
        <w:rPr>
          <w:smallCaps w:val="0"/>
          <w:sz w:val="20"/>
        </w:rPr>
      </w:pPr>
      <w:r w:rsidRPr="000E05A7">
        <w:rPr>
          <w:smallCaps w:val="0"/>
          <w:sz w:val="20"/>
        </w:rPr>
        <w:t>Customs duties</w:t>
      </w:r>
    </w:p>
    <w:p w14:paraId="20871403" w14:textId="13D1C545" w:rsidR="00F02074" w:rsidRPr="00762F6A" w:rsidRDefault="00F02074" w:rsidP="00F02074">
      <w:r>
        <w:t>T</w:t>
      </w:r>
      <w:r w:rsidRPr="00762F6A">
        <w:t>he customs duty benchmark treats goods imported into Australia as being subject to the same taxes on consumption as domestically produced goods</w:t>
      </w:r>
      <w:r>
        <w:t xml:space="preserve">. The main domestic consumption taxes are </w:t>
      </w:r>
      <w:r w:rsidRPr="00762F6A">
        <w:t>goods and services tax</w:t>
      </w:r>
      <w:r>
        <w:t xml:space="preserve"> and </w:t>
      </w:r>
      <w:r w:rsidRPr="00762F6A">
        <w:t>excise</w:t>
      </w:r>
      <w:r w:rsidRPr="00762F6A">
        <w:noBreakHyphen/>
        <w:t xml:space="preserve">equivalent customs duties </w:t>
      </w:r>
      <w:r>
        <w:t>on tobacco, alcohol and fuel</w:t>
      </w:r>
      <w:r w:rsidRPr="00762F6A">
        <w:t>.</w:t>
      </w:r>
      <w:r>
        <w:t xml:space="preserve"> </w:t>
      </w:r>
      <w:r w:rsidRPr="00762F6A">
        <w:t xml:space="preserve">Customs duty </w:t>
      </w:r>
      <w:r>
        <w:t xml:space="preserve">(other than </w:t>
      </w:r>
      <w:r w:rsidR="000D4B5A">
        <w:t xml:space="preserve">on </w:t>
      </w:r>
      <w:r>
        <w:t xml:space="preserve">excise-equivalent goods) therefore constitutes </w:t>
      </w:r>
      <w:proofErr w:type="gramStart"/>
      <w:r w:rsidRPr="00762F6A">
        <w:t>a negative</w:t>
      </w:r>
      <w:proofErr w:type="gramEnd"/>
      <w:r w:rsidRPr="00762F6A">
        <w:t xml:space="preserve"> tax expenditure.</w:t>
      </w:r>
    </w:p>
    <w:p w14:paraId="20871404" w14:textId="77777777" w:rsidR="00F02074" w:rsidRPr="000E05A7" w:rsidRDefault="00F02074" w:rsidP="00F02074">
      <w:pPr>
        <w:pStyle w:val="Heading3"/>
        <w:rPr>
          <w:smallCaps w:val="0"/>
          <w:sz w:val="20"/>
        </w:rPr>
      </w:pPr>
      <w:r w:rsidRPr="000E05A7">
        <w:rPr>
          <w:smallCaps w:val="0"/>
          <w:sz w:val="20"/>
        </w:rPr>
        <w:t>Natural resources</w:t>
      </w:r>
    </w:p>
    <w:p w14:paraId="20871405" w14:textId="1207157C" w:rsidR="00F02074" w:rsidRPr="00762F6A" w:rsidRDefault="00F02074" w:rsidP="00F02074">
      <w:r w:rsidRPr="00762F6A">
        <w:t xml:space="preserve">The natural resources benchmark only applies to the extraction of petroleum products (crude oil, natural gas, LPG, condensate and coal seam gas) with some variation in </w:t>
      </w:r>
      <w:r w:rsidRPr="00762F6A">
        <w:lastRenderedPageBreak/>
        <w:t xml:space="preserve">treatment before and after the expansion of the </w:t>
      </w:r>
      <w:r>
        <w:t>Petroleum Resource Rent Tax (</w:t>
      </w:r>
      <w:r w:rsidRPr="00762F6A">
        <w:t>PRRT</w:t>
      </w:r>
      <w:r>
        <w:t>)</w:t>
      </w:r>
      <w:r w:rsidRPr="00762F6A">
        <w:t xml:space="preserve"> on 1 July 2012. The benchmark does not apply to the extraction of other natural</w:t>
      </w:r>
      <w:r w:rsidR="00C11FD2">
        <w:t> </w:t>
      </w:r>
      <w:r w:rsidRPr="00762F6A">
        <w:t>resources.</w:t>
      </w:r>
    </w:p>
    <w:p w14:paraId="20871406" w14:textId="77777777" w:rsidR="00F02074" w:rsidRPr="00762F6A" w:rsidRDefault="00F02074" w:rsidP="00F02074">
      <w:r w:rsidRPr="00762F6A">
        <w:t>From 1 July 2012, the PRRT applies to all petroleum production offshore and onshore (including coal seam gas). Consequently, the natural resources benchmark applying from 1 July 2012 is based on the new taxation arrangements and applies to all petroleum and coal seam gas.</w:t>
      </w:r>
    </w:p>
    <w:p w14:paraId="20871407" w14:textId="77777777" w:rsidR="00F02074" w:rsidRPr="00762F6A" w:rsidRDefault="00F02074" w:rsidP="00F02074">
      <w:r w:rsidRPr="00762F6A">
        <w:t>The benchmark is a 40 per cent tax rate on the economic rents earned on the extraction of these resources. There is a full tax</w:t>
      </w:r>
      <w:r w:rsidRPr="00762F6A">
        <w:noBreakHyphen/>
        <w:t>loss offset which can be utilised by transferring tax losses among commonly owned projects that are subject to the same tax rate. The tax unit is the project interest.</w:t>
      </w:r>
    </w:p>
    <w:p w14:paraId="20871408" w14:textId="77777777" w:rsidR="00F02074" w:rsidRPr="00762F6A" w:rsidRDefault="00F02074" w:rsidP="00F02074">
      <w:r w:rsidRPr="00762F6A">
        <w:t>The benchmark also includes immediate expensing of project expenditures. To the extent that losses are carried forward because they cannot be utilised immediately, they are uplifted at the long</w:t>
      </w:r>
      <w:r w:rsidRPr="00762F6A">
        <w:noBreakHyphen/>
        <w:t>term government bond rate (a proxy for the risk</w:t>
      </w:r>
      <w:r w:rsidRPr="00762F6A">
        <w:noBreakHyphen/>
        <w:t>free rate). The uplift rate compensates investors for the delay in the recognition of the tax credit and preserves the value of the tax credit over time. A refund of unutilised tax credits is available when the project closes down.</w:t>
      </w:r>
    </w:p>
    <w:p w14:paraId="20871409" w14:textId="77777777" w:rsidR="00F02074" w:rsidRPr="00762F6A" w:rsidRDefault="00F02074" w:rsidP="00F02074">
      <w:r w:rsidRPr="00762F6A">
        <w:t xml:space="preserve">Under the arrangements applying from 1 July 2012, crude oil excise is still payable in respect of certain petroleum production, and is creditable against the project’s PRRT liabilities. Where this occurs, the crude oil excise paid in a period is treated as a prepayment of the PRRT liability for that period. To the extent that the tax prepayment exceeds the PRRT liability in a year, </w:t>
      </w:r>
      <w:proofErr w:type="gramStart"/>
      <w:r w:rsidRPr="00762F6A">
        <w:t>a negative</w:t>
      </w:r>
      <w:proofErr w:type="gramEnd"/>
      <w:r w:rsidRPr="00762F6A">
        <w:t xml:space="preserve"> tax expenditure arises for the year, while credits for overpayments recouped in subsequent years would count as positive tax expenditures in those years.</w:t>
      </w:r>
    </w:p>
    <w:p w14:paraId="2087140A" w14:textId="77777777" w:rsidR="00F02074" w:rsidRPr="007515DC" w:rsidRDefault="00F02074" w:rsidP="00F02074">
      <w:pPr>
        <w:pStyle w:val="Heading3"/>
        <w:rPr>
          <w:smallCaps w:val="0"/>
          <w:sz w:val="20"/>
        </w:rPr>
      </w:pPr>
      <w:r w:rsidRPr="007515DC">
        <w:rPr>
          <w:smallCaps w:val="0"/>
          <w:sz w:val="20"/>
        </w:rPr>
        <w:t>Passenger Movement Charge</w:t>
      </w:r>
    </w:p>
    <w:p w14:paraId="2087140B" w14:textId="77777777" w:rsidR="00F02074" w:rsidRPr="00762F6A" w:rsidRDefault="00F02074" w:rsidP="00F02074">
      <w:r w:rsidRPr="00762F6A">
        <w:t xml:space="preserve">The Passenger Movement Charge is </w:t>
      </w:r>
      <w:r>
        <w:t xml:space="preserve">a flat charge </w:t>
      </w:r>
      <w:r w:rsidRPr="00762F6A">
        <w:t xml:space="preserve">imposed </w:t>
      </w:r>
      <w:r>
        <w:t xml:space="preserve">on persons upon their </w:t>
      </w:r>
      <w:r w:rsidRPr="00762F6A">
        <w:t xml:space="preserve">departure from Australia. </w:t>
      </w:r>
      <w:r>
        <w:t xml:space="preserve">Exemptions from the charge create </w:t>
      </w:r>
      <w:proofErr w:type="gramStart"/>
      <w:r>
        <w:t>a tax</w:t>
      </w:r>
      <w:proofErr w:type="gramEnd"/>
      <w:r>
        <w:t xml:space="preserve"> expenditure.</w:t>
      </w:r>
    </w:p>
    <w:p w14:paraId="2087140C" w14:textId="77777777" w:rsidR="00F02074" w:rsidRPr="007515DC" w:rsidRDefault="00F02074" w:rsidP="00F02074">
      <w:pPr>
        <w:pStyle w:val="Heading3"/>
        <w:rPr>
          <w:smallCaps w:val="0"/>
          <w:sz w:val="20"/>
        </w:rPr>
      </w:pPr>
      <w:r w:rsidRPr="007515DC">
        <w:rPr>
          <w:smallCaps w:val="0"/>
          <w:sz w:val="20"/>
        </w:rPr>
        <w:t>Primary industry levies</w:t>
      </w:r>
    </w:p>
    <w:p w14:paraId="2087140D" w14:textId="77777777" w:rsidR="00F02074" w:rsidRPr="00762F6A" w:rsidRDefault="00F02074" w:rsidP="00F02074">
      <w:r w:rsidRPr="00762F6A">
        <w:t>Primary industry levies provide collective industry funding for activities such as research and development, promotion and marketing, residue testing and plant and animal health programs.</w:t>
      </w:r>
      <w:r>
        <w:t xml:space="preserve"> The levies are levied on the volume or value of the relevant type of produce. Exemptions from levies create tax expenditures (except </w:t>
      </w:r>
      <w:r w:rsidRPr="00762F6A">
        <w:t>exemptions for products which are unfit for human consumption or exemptions for products used by the producer for domestic purposes</w:t>
      </w:r>
      <w:r>
        <w:t>)</w:t>
      </w:r>
      <w:r w:rsidRPr="00762F6A">
        <w:t>.</w:t>
      </w:r>
    </w:p>
    <w:p w14:paraId="2087140E" w14:textId="70141001" w:rsidR="00F02074" w:rsidRPr="00762F6A" w:rsidRDefault="001E4822" w:rsidP="00E5312D">
      <w:pPr>
        <w:pStyle w:val="Heading2-notnumbered"/>
      </w:pPr>
      <w:bookmarkStart w:id="50" w:name="_Toc441066997"/>
      <w:bookmarkStart w:id="51" w:name="_Toc472604547"/>
      <w:r>
        <w:lastRenderedPageBreak/>
        <w:t>B</w:t>
      </w:r>
      <w:r w:rsidR="00394FDC">
        <w:t>.4</w:t>
      </w:r>
      <w:r w:rsidR="00E5312D">
        <w:tab/>
      </w:r>
      <w:r w:rsidR="00F02074" w:rsidRPr="00762F6A">
        <w:t>Modelling tax expenditures</w:t>
      </w:r>
      <w:bookmarkEnd w:id="50"/>
      <w:bookmarkEnd w:id="51"/>
    </w:p>
    <w:p w14:paraId="2087140F" w14:textId="77777777" w:rsidR="00F02074" w:rsidRPr="00762F6A" w:rsidRDefault="00F02074" w:rsidP="00F02074">
      <w:r w:rsidRPr="00762F6A">
        <w:t>This section provides an overview of the various modelling techniques used in the TES to estimate the value of tax expenditures.</w:t>
      </w:r>
    </w:p>
    <w:p w14:paraId="20871410" w14:textId="44973030" w:rsidR="00F02074" w:rsidRPr="00762F6A" w:rsidRDefault="00F02074" w:rsidP="00F02074">
      <w:r w:rsidRPr="00762F6A">
        <w:t>The methods used to calculate the estimates of individual tax expenditures in this statement vary. The appropriate approach is determined by the nature of the tax benchmark, the particular tax concession examined and the availability of data. Data availability is a major factor influencing the reliability of the estimates and</w:t>
      </w:r>
      <w:r w:rsidR="00273604">
        <w:t>,</w:t>
      </w:r>
      <w:r w:rsidRPr="00762F6A">
        <w:t xml:space="preserve"> in many </w:t>
      </w:r>
      <w:proofErr w:type="gramStart"/>
      <w:r w:rsidRPr="00762F6A">
        <w:t>cases</w:t>
      </w:r>
      <w:r w:rsidR="00273604">
        <w:t>,</w:t>
      </w:r>
      <w:proofErr w:type="gramEnd"/>
      <w:r w:rsidRPr="00762F6A">
        <w:t xml:space="preserve"> estimates are not provided owing to data limitations.</w:t>
      </w:r>
    </w:p>
    <w:p w14:paraId="20871411" w14:textId="77777777" w:rsidR="00F02074" w:rsidRDefault="00F02074" w:rsidP="00F02074">
      <w:pPr>
        <w:rPr>
          <w:rFonts w:ascii="Arial" w:hAnsi="Arial"/>
          <w:b/>
          <w:smallCaps/>
          <w:color w:val="000000"/>
          <w:sz w:val="25"/>
        </w:rPr>
      </w:pPr>
      <w:r w:rsidRPr="00762F6A">
        <w:t xml:space="preserve">The approaches used to estimate tax expenditures include aggregate modelling, distributional modelling and </w:t>
      </w:r>
      <w:proofErr w:type="spellStart"/>
      <w:r w:rsidRPr="00762F6A">
        <w:t>microsimulation</w:t>
      </w:r>
      <w:proofErr w:type="spellEnd"/>
      <w:r w:rsidRPr="00762F6A">
        <w:t>. The approach most commonly used is distributional modelling.</w:t>
      </w:r>
    </w:p>
    <w:p w14:paraId="20871412" w14:textId="77777777" w:rsidR="00F02074" w:rsidRPr="00762F6A" w:rsidRDefault="00F02074" w:rsidP="00F02074">
      <w:pPr>
        <w:pStyle w:val="Heading3"/>
        <w:spacing w:after="180"/>
      </w:pPr>
      <w:r w:rsidRPr="00762F6A">
        <w:t>Aggregate modelling</w:t>
      </w:r>
    </w:p>
    <w:p w14:paraId="20871413" w14:textId="77777777" w:rsidR="00F02074" w:rsidRPr="00762F6A" w:rsidRDefault="00F02074" w:rsidP="00F02074">
      <w:pPr>
        <w:spacing w:after="200"/>
      </w:pPr>
      <w:r w:rsidRPr="00762F6A">
        <w:t>This approach involves using information on the aggregate volume of transactions to calculate the value of a particular tax concession. Aggregate modelling is an appropriate approach for measuring tax exemptions or concessions where the impact can be represented as a simple proportion of the total transactions concerned. Data sources suitable for aggregate modelling include national accounts data, trade and production statistics, and aggregates derived from administrative databases (such as taxation records).</w:t>
      </w:r>
    </w:p>
    <w:p w14:paraId="20871414" w14:textId="77777777" w:rsidR="00F02074" w:rsidRPr="00762F6A" w:rsidRDefault="00F02074" w:rsidP="00F02074">
      <w:r w:rsidRPr="00762F6A">
        <w:t>Aggregate modelling is used to estimate tax expenditures for fuel excise. Tax expenditures for exemptions or reduced excise rates can be estimated from statistics on the aggregate volume of fuels produced.</w:t>
      </w:r>
    </w:p>
    <w:p w14:paraId="20871415" w14:textId="77777777" w:rsidR="00F02074" w:rsidRPr="00762F6A" w:rsidRDefault="00F02074" w:rsidP="00F02074">
      <w:pPr>
        <w:pStyle w:val="Heading3"/>
        <w:spacing w:after="180"/>
      </w:pPr>
      <w:r w:rsidRPr="00762F6A">
        <w:t>Distributional modelling</w:t>
      </w:r>
    </w:p>
    <w:p w14:paraId="20871416" w14:textId="77777777" w:rsidR="00F02074" w:rsidRPr="00762F6A" w:rsidRDefault="00F02074" w:rsidP="00F02074">
      <w:pPr>
        <w:spacing w:after="200"/>
      </w:pPr>
      <w:r w:rsidRPr="00762F6A">
        <w:t>This approach involves using discrete aggregate data to calculate the impact of tax concessions on particular segments of the economy. Distributional modelling is an appropriate approach for measuring concessions that vary according to the characteristics of the taxpayer. Data sources suitable for distributional modelling include survey data and data derived from administrative databases.</w:t>
      </w:r>
    </w:p>
    <w:p w14:paraId="20871417" w14:textId="77777777" w:rsidR="00F02074" w:rsidRPr="00762F6A" w:rsidRDefault="00F02074" w:rsidP="00F02074">
      <w:r w:rsidRPr="00762F6A">
        <w:t>Distributional modelling is used to estimate tax expenditures for personal income tax concessions when the cost is related to a taxpayer’s taxable income. For these concessions, data on income distribution and tax concessions by grade of taxable income can be used to estimate the cost of tax expenditures for those concessions.</w:t>
      </w:r>
    </w:p>
    <w:p w14:paraId="20871418" w14:textId="77777777" w:rsidR="00F02074" w:rsidRPr="00762F6A" w:rsidRDefault="00F02074" w:rsidP="00710D78">
      <w:pPr>
        <w:pStyle w:val="Heading3"/>
      </w:pPr>
      <w:proofErr w:type="spellStart"/>
      <w:r w:rsidRPr="00762F6A">
        <w:t>Microsimulation</w:t>
      </w:r>
      <w:proofErr w:type="spellEnd"/>
    </w:p>
    <w:p w14:paraId="20871419" w14:textId="77777777" w:rsidR="00F02074" w:rsidRPr="00762F6A" w:rsidRDefault="00F02074" w:rsidP="00F02074">
      <w:pPr>
        <w:spacing w:after="200"/>
      </w:pPr>
      <w:r w:rsidRPr="00762F6A">
        <w:t xml:space="preserve">This approach involves examining detailed datasets, such as taxpayer records, to determine the value of taxable transactions for each taxpayer. The value of the tax </w:t>
      </w:r>
      <w:r w:rsidRPr="00762F6A">
        <w:lastRenderedPageBreak/>
        <w:t xml:space="preserve">expenditure is the difference between the tax paid on those transactions under the concession and the tax that would have been collected under the benchmark. </w:t>
      </w:r>
      <w:proofErr w:type="spellStart"/>
      <w:r w:rsidRPr="00762F6A">
        <w:t>Microsimulation</w:t>
      </w:r>
      <w:proofErr w:type="spellEnd"/>
      <w:r w:rsidRPr="00762F6A">
        <w:t xml:space="preserve"> modelling requires either a comprehensive database of all taxpayers or a detailed sample that is representative of the population. The data must provide sufficient detail on the value of transactions affecting the calculation of tax liabilities to allow the required calculations.</w:t>
      </w:r>
    </w:p>
    <w:p w14:paraId="2087141A" w14:textId="77777777" w:rsidR="00F02074" w:rsidRPr="00762F6A" w:rsidRDefault="00F02074" w:rsidP="00F02074">
      <w:pPr>
        <w:spacing w:after="200"/>
      </w:pPr>
      <w:proofErr w:type="spellStart"/>
      <w:r w:rsidRPr="00762F6A">
        <w:t>Microsimulation</w:t>
      </w:r>
      <w:proofErr w:type="spellEnd"/>
      <w:r w:rsidRPr="00762F6A">
        <w:t xml:space="preserve"> modelling is used to estimate tax expenditures that closely target particular taxpayer groups (for instance, benefits subject to detailed eligibility tests) and concessions where the payment rate varies considerably according to taxpayer behaviour or circumstance.</w:t>
      </w:r>
    </w:p>
    <w:p w14:paraId="2087141B" w14:textId="77777777" w:rsidR="00F02074" w:rsidRPr="00762F6A" w:rsidRDefault="00F02074" w:rsidP="00F02074">
      <w:pPr>
        <w:spacing w:after="0"/>
      </w:pPr>
      <w:proofErr w:type="spellStart"/>
      <w:r w:rsidRPr="00762F6A">
        <w:t>Microsimulation</w:t>
      </w:r>
      <w:proofErr w:type="spellEnd"/>
      <w:r w:rsidRPr="00762F6A">
        <w:t xml:space="preserve"> modelling can also be used to derive key information, such as average effective tax rates, which can be used in other models that employ aggregate or distributional modelling. This is appropriate for situations where detailed datasets are not available for all items.</w:t>
      </w:r>
    </w:p>
    <w:p w14:paraId="2087141C" w14:textId="77777777" w:rsidR="00F02074" w:rsidRPr="000E05A7" w:rsidRDefault="00F02074" w:rsidP="00710D78">
      <w:pPr>
        <w:pStyle w:val="Heading3"/>
      </w:pPr>
      <w:bookmarkStart w:id="52" w:name="_Toc441066998"/>
      <w:r>
        <w:t xml:space="preserve">Revenue forgone </w:t>
      </w:r>
      <w:r w:rsidRPr="00710D78">
        <w:t>estimates</w:t>
      </w:r>
      <w:r>
        <w:t xml:space="preserve"> – double counting and clawbacks</w:t>
      </w:r>
      <w:bookmarkEnd w:id="52"/>
    </w:p>
    <w:p w14:paraId="2087141D" w14:textId="77777777" w:rsidR="00F02074" w:rsidRPr="000E05A7" w:rsidRDefault="00F02074" w:rsidP="00710D78">
      <w:pPr>
        <w:pStyle w:val="Heading4"/>
      </w:pPr>
      <w:r w:rsidRPr="000E05A7">
        <w:t>Treatment of imputation</w:t>
      </w:r>
    </w:p>
    <w:p w14:paraId="2087141E" w14:textId="77777777" w:rsidR="00F02074" w:rsidRPr="00762F6A" w:rsidRDefault="00F02074" w:rsidP="00F02074">
      <w:r w:rsidRPr="00762F6A">
        <w:t>The value of some concessions reported in this statement is partially offset as a result of the imputation system. For example, concessions that reduce company tax may be clawed back through the subsequent taxation of dividends in the hands of shareholders. The estimates in this statement generally make no allowance for this clawback owing to the practical difficulties of doing so.</w:t>
      </w:r>
    </w:p>
    <w:p w14:paraId="2087141F" w14:textId="77777777" w:rsidR="00F02074" w:rsidRPr="000E05A7" w:rsidRDefault="00F02074" w:rsidP="00710D78">
      <w:pPr>
        <w:pStyle w:val="Heading4"/>
      </w:pPr>
      <w:r w:rsidRPr="000E05A7">
        <w:t>Income tax clawback</w:t>
      </w:r>
    </w:p>
    <w:p w14:paraId="20871420" w14:textId="77777777" w:rsidR="00F02074" w:rsidRPr="00762F6A" w:rsidRDefault="00F02074" w:rsidP="00F02074">
      <w:r w:rsidRPr="00762F6A">
        <w:t xml:space="preserve">In addition, the value of some tax expenditures can include an income tax clawback. An income tax clawback will occur when a taxpayer’s taxable income is affected by the operation of </w:t>
      </w:r>
      <w:proofErr w:type="gramStart"/>
      <w:r w:rsidRPr="00762F6A">
        <w:t>a particular</w:t>
      </w:r>
      <w:proofErr w:type="gramEnd"/>
      <w:r w:rsidRPr="00762F6A">
        <w:t xml:space="preserve"> tax expenditure. </w:t>
      </w:r>
    </w:p>
    <w:p w14:paraId="20871421" w14:textId="77777777" w:rsidR="00F02074" w:rsidRPr="00762F6A" w:rsidRDefault="00F02074" w:rsidP="00F02074">
      <w:r w:rsidRPr="00762F6A">
        <w:t xml:space="preserve">For example, an income tax clawback can occur in respect of taxes that are deductible for income tax purposes and that are not passed on to final consumers through higher prices. That is, while </w:t>
      </w:r>
      <w:proofErr w:type="gramStart"/>
      <w:r w:rsidRPr="00762F6A">
        <w:t>a tax</w:t>
      </w:r>
      <w:proofErr w:type="gramEnd"/>
      <w:r w:rsidRPr="00762F6A">
        <w:t xml:space="preserve"> expenditure may offer a concession to a group of taxpayers or type of activity, if that concession were removed, there would be a resulting increase in deductible expenses and decrease in income tax paid that would partially offset the additional tax liability.</w:t>
      </w:r>
    </w:p>
    <w:p w14:paraId="20871422" w14:textId="77777777" w:rsidR="00F02074" w:rsidRPr="00762F6A" w:rsidRDefault="00F02074" w:rsidP="00F02074">
      <w:pPr>
        <w:spacing w:after="360"/>
      </w:pPr>
      <w:r w:rsidRPr="00762F6A">
        <w:t>Tax expenditure estimates for consumption taxes generally do not include an income tax clawback as consumption taxes are usually assumed to be passed onto final consumers, resulting in no change to the taxable income of the taxpayer. Tax expenditure estimates for other taxes can include an income tax clawback where the tax is assumed to be borne by the taxpayer.</w:t>
      </w:r>
    </w:p>
    <w:p w14:paraId="20871423" w14:textId="77777777" w:rsidR="00F02074" w:rsidRPr="000E05A7" w:rsidRDefault="00F02074" w:rsidP="00710D78">
      <w:pPr>
        <w:pStyle w:val="Heading4"/>
      </w:pPr>
      <w:r w:rsidRPr="000E05A7">
        <w:lastRenderedPageBreak/>
        <w:t>Capital gains tax estimates</w:t>
      </w:r>
    </w:p>
    <w:p w14:paraId="20871424" w14:textId="2FEFF362" w:rsidR="00F02074" w:rsidRPr="00762F6A" w:rsidRDefault="00F02074" w:rsidP="00F02074">
      <w:r w:rsidRPr="00762F6A">
        <w:t xml:space="preserve">Under the </w:t>
      </w:r>
      <w:r w:rsidR="008E30CD">
        <w:t>income tax b</w:t>
      </w:r>
      <w:r w:rsidRPr="00762F6A">
        <w:t>enchmark</w:t>
      </w:r>
      <w:r w:rsidR="008E30CD">
        <w:t xml:space="preserve"> as it applies to CGT</w:t>
      </w:r>
      <w:r w:rsidRPr="00762F6A">
        <w:t>, nominal capital gains are fully taxable upon realisation. The most significant tax expenditure against this benchmark is the 50 per cent discount for capital gains realised by resident individuals and trusts, which affects most capital gains realised by these entities.</w:t>
      </w:r>
    </w:p>
    <w:p w14:paraId="20871425" w14:textId="77777777" w:rsidR="00F02074" w:rsidRPr="00762F6A" w:rsidRDefault="00F02074" w:rsidP="00F02074">
      <w:pPr>
        <w:spacing w:after="220"/>
      </w:pPr>
      <w:r w:rsidRPr="00762F6A">
        <w:t>Individuals and trusts may also be eligible for other CGT concessions. The revenue forgone methodology that is generally used in this statement implies that estimates for these other CGT concessions should be calculated against the benchmark of full taxation of nominal capital gains.</w:t>
      </w:r>
    </w:p>
    <w:p w14:paraId="20871426" w14:textId="77777777" w:rsidR="00F02074" w:rsidRPr="00762F6A" w:rsidRDefault="00F02074" w:rsidP="00F02074">
      <w:r w:rsidRPr="00762F6A">
        <w:t xml:space="preserve">To avoid double counting, the values of tax expenditures for other CGT concessions are reduced by the CGT discount component and the discount component of these other concessions is included in the tax expenditure for the CGT </w:t>
      </w:r>
      <w:r w:rsidRPr="00394FDC">
        <w:t xml:space="preserve">discount </w:t>
      </w:r>
      <w:r w:rsidR="00394FDC">
        <w:t>(E13</w:t>
      </w:r>
      <w:r w:rsidRPr="00394FDC">
        <w:t>).</w:t>
      </w:r>
      <w:r w:rsidRPr="00762F6A">
        <w:t xml:space="preserve"> This modification to the tax expenditure methodology provides more realistic estimates of the value of the benefits taxpayers receive from capital gains concessions in aggregate, though it has the effect of understating the value of individual CGT tax expenditures other than the discount.</w:t>
      </w:r>
    </w:p>
    <w:p w14:paraId="20871427" w14:textId="1DE23B1B" w:rsidR="00F02074" w:rsidRPr="00762F6A" w:rsidRDefault="001E4822" w:rsidP="00E5312D">
      <w:pPr>
        <w:pStyle w:val="Heading2-notnumbered"/>
      </w:pPr>
      <w:bookmarkStart w:id="53" w:name="_Toc441066999"/>
      <w:bookmarkStart w:id="54" w:name="_Toc472604548"/>
      <w:r>
        <w:t>B</w:t>
      </w:r>
      <w:r w:rsidR="00394FDC">
        <w:t>.5</w:t>
      </w:r>
      <w:r w:rsidR="00E5312D">
        <w:tab/>
      </w:r>
      <w:r w:rsidR="00F02074" w:rsidRPr="00762F6A">
        <w:t>Accrual estima</w:t>
      </w:r>
      <w:r w:rsidR="00F02074">
        <w:t>tes</w:t>
      </w:r>
      <w:bookmarkEnd w:id="53"/>
      <w:bookmarkEnd w:id="54"/>
    </w:p>
    <w:p w14:paraId="20871428" w14:textId="77777777" w:rsidR="00F02074" w:rsidRDefault="00F02074" w:rsidP="00F02074">
      <w:r>
        <w:t xml:space="preserve">Like budget revenue estimates, tax expenditures estimates are prepared in accordance with </w:t>
      </w:r>
      <w:r w:rsidRPr="00762F6A">
        <w:t>Australian Accounting Standards and Government Finance Statistics standards for accrual accounting</w:t>
      </w:r>
      <w:r>
        <w:t xml:space="preserve">. </w:t>
      </w:r>
    </w:p>
    <w:p w14:paraId="20871429" w14:textId="77777777" w:rsidR="00F02074" w:rsidRDefault="00F02074" w:rsidP="00F02074">
      <w:r>
        <w:t>Broadly, tax expenditures arising from the following taxes use the Tax Liability Method (TLM) method of accrual accounting:</w:t>
      </w:r>
    </w:p>
    <w:p w14:paraId="2087142A" w14:textId="77777777" w:rsidR="00F02074" w:rsidRPr="00762F6A" w:rsidRDefault="00F02074" w:rsidP="00F02074">
      <w:pPr>
        <w:pStyle w:val="Bullet"/>
        <w:spacing w:after="200"/>
      </w:pPr>
      <w:r w:rsidRPr="00762F6A">
        <w:t>individuals and other withholding taxation</w:t>
      </w:r>
      <w:r>
        <w:t>;</w:t>
      </w:r>
    </w:p>
    <w:p w14:paraId="2087142B" w14:textId="77777777" w:rsidR="00F02074" w:rsidRPr="00762F6A" w:rsidRDefault="00F02074" w:rsidP="00F02074">
      <w:pPr>
        <w:pStyle w:val="Bullet"/>
        <w:spacing w:after="200"/>
      </w:pPr>
      <w:r w:rsidRPr="00762F6A">
        <w:t>company income taxation; and</w:t>
      </w:r>
    </w:p>
    <w:p w14:paraId="2087142C" w14:textId="77777777" w:rsidR="00F02074" w:rsidRPr="00762F6A" w:rsidRDefault="00F02074" w:rsidP="00F02074">
      <w:pPr>
        <w:pStyle w:val="Bullet"/>
      </w:pPr>
      <w:proofErr w:type="gramStart"/>
      <w:r w:rsidRPr="00762F6A">
        <w:t>superannuation</w:t>
      </w:r>
      <w:proofErr w:type="gramEnd"/>
      <w:r w:rsidRPr="00762F6A">
        <w:t xml:space="preserve"> taxation.</w:t>
      </w:r>
      <w:r>
        <w:rPr>
          <w:rStyle w:val="FootnoteReference"/>
        </w:rPr>
        <w:footnoteReference w:id="7"/>
      </w:r>
    </w:p>
    <w:p w14:paraId="2087142D" w14:textId="0FAA5483" w:rsidR="00F02074" w:rsidRDefault="00F02074" w:rsidP="00F02074">
      <w:r>
        <w:t>Under TLM, taxation revenue is accounted for at t</w:t>
      </w:r>
      <w:r w:rsidR="00C11FD2">
        <w:t>he time a taxpayer makes a self</w:t>
      </w:r>
      <w:r w:rsidR="00C11FD2">
        <w:noBreakHyphen/>
      </w:r>
      <w:r>
        <w:t>assessment or when an assessment of a taxation liability is raised by the relevant authority (such as the Australian Taxation Office).</w:t>
      </w:r>
    </w:p>
    <w:p w14:paraId="2087142E" w14:textId="77777777" w:rsidR="00F02074" w:rsidRDefault="00F02074" w:rsidP="00F02074">
      <w:r>
        <w:t xml:space="preserve">Tax expenditures arising from indirect taxes, natural resource taxes and fringe benefits tax use the </w:t>
      </w:r>
      <w:r w:rsidRPr="00762F6A">
        <w:t>Economic Transactions Method</w:t>
      </w:r>
      <w:r>
        <w:t xml:space="preserve">, under which tax revenue is recognised in </w:t>
      </w:r>
      <w:r w:rsidRPr="00762F6A">
        <w:t xml:space="preserve">the reporting period in which the taxpayer earns the income </w:t>
      </w:r>
      <w:r>
        <w:t xml:space="preserve">in question. </w:t>
      </w:r>
    </w:p>
    <w:p w14:paraId="2087142F" w14:textId="77777777" w:rsidR="00CB1A57" w:rsidRDefault="00CB1A57" w:rsidP="00B111E1">
      <w:pPr>
        <w:pStyle w:val="Heading1"/>
        <w:sectPr w:rsidR="00CB1A57" w:rsidSect="00EC79B6">
          <w:headerReference w:type="default" r:id="rId38"/>
          <w:type w:val="oddPage"/>
          <w:pgSz w:w="11907" w:h="16840" w:code="9"/>
          <w:pgMar w:top="2466" w:right="2098" w:bottom="2466" w:left="2098" w:header="1899" w:footer="1899" w:gutter="0"/>
          <w:cols w:space="720"/>
          <w:titlePg/>
          <w:docGrid w:linePitch="360"/>
        </w:sectPr>
      </w:pPr>
    </w:p>
    <w:p w14:paraId="20871430" w14:textId="3AB038E5" w:rsidR="00B111E1" w:rsidRPr="00762F6A" w:rsidRDefault="00457A8F" w:rsidP="00B111E1">
      <w:pPr>
        <w:pStyle w:val="Heading1"/>
      </w:pPr>
      <w:bookmarkStart w:id="55" w:name="_Toc472604549"/>
      <w:r>
        <w:lastRenderedPageBreak/>
        <w:t xml:space="preserve">Appendix </w:t>
      </w:r>
      <w:r w:rsidR="001E4822">
        <w:t>C</w:t>
      </w:r>
      <w:r w:rsidR="00B111E1" w:rsidRPr="00762F6A">
        <w:t>: Changes to tax expenditures in 201</w:t>
      </w:r>
      <w:bookmarkEnd w:id="31"/>
      <w:r w:rsidR="007F1E70">
        <w:t>6</w:t>
      </w:r>
      <w:bookmarkEnd w:id="55"/>
    </w:p>
    <w:p w14:paraId="20871431" w14:textId="03DF8756" w:rsidR="00B111E1" w:rsidRPr="00762F6A" w:rsidRDefault="00B111E1" w:rsidP="00B111E1">
      <w:r w:rsidRPr="00762F6A">
        <w:t xml:space="preserve">This Appendix provides an outline of the changes to the list of tax expenditures since the </w:t>
      </w:r>
      <w:r w:rsidRPr="00762F6A">
        <w:rPr>
          <w:rStyle w:val="Italic"/>
          <w:i w:val="0"/>
        </w:rPr>
        <w:t>201</w:t>
      </w:r>
      <w:r>
        <w:rPr>
          <w:rStyle w:val="Italic"/>
          <w:i w:val="0"/>
        </w:rPr>
        <w:t>5</w:t>
      </w:r>
      <w:r w:rsidRPr="00762F6A">
        <w:rPr>
          <w:rStyle w:val="Italic"/>
          <w:i w:val="0"/>
        </w:rPr>
        <w:t xml:space="preserve"> Tax Expenditures Statement</w:t>
      </w:r>
      <w:r w:rsidRPr="00762F6A">
        <w:t>. Since the 201</w:t>
      </w:r>
      <w:r>
        <w:t>5</w:t>
      </w:r>
      <w:r w:rsidRPr="00762F6A">
        <w:t xml:space="preserve"> TES, </w:t>
      </w:r>
      <w:proofErr w:type="gramStart"/>
      <w:r w:rsidR="008E30CD">
        <w:t xml:space="preserve">one </w:t>
      </w:r>
      <w:r w:rsidRPr="00394FDC">
        <w:t>new tax expenditure</w:t>
      </w:r>
      <w:proofErr w:type="gramEnd"/>
      <w:r w:rsidRPr="00394FDC">
        <w:t xml:space="preserve"> ha</w:t>
      </w:r>
      <w:r w:rsidR="008E30CD">
        <w:t>s</w:t>
      </w:r>
      <w:r w:rsidRPr="00394FDC">
        <w:t xml:space="preserve"> been added, </w:t>
      </w:r>
      <w:r w:rsidR="00BC745F">
        <w:t>several</w:t>
      </w:r>
      <w:r w:rsidRPr="00394FDC">
        <w:t xml:space="preserve"> tax expenditures have been modified and </w:t>
      </w:r>
      <w:r w:rsidR="00D826FF">
        <w:t>two</w:t>
      </w:r>
      <w:r w:rsidRPr="00394FDC">
        <w:t xml:space="preserve"> tax expenditures have been deleted.</w:t>
      </w:r>
      <w:r w:rsidR="005C19AD">
        <w:t xml:space="preserve"> </w:t>
      </w:r>
      <w:r w:rsidR="00D3337F">
        <w:t>Six</w:t>
      </w:r>
      <w:r w:rsidR="005C19AD">
        <w:t xml:space="preserve"> significant reporting modifications have also been made.</w:t>
      </w:r>
    </w:p>
    <w:p w14:paraId="20871432" w14:textId="730CC724" w:rsidR="00B111E1" w:rsidRPr="00762F6A" w:rsidRDefault="001E4822" w:rsidP="00B111E1">
      <w:pPr>
        <w:pStyle w:val="Heading2"/>
        <w:numPr>
          <w:ilvl w:val="0"/>
          <w:numId w:val="0"/>
        </w:numPr>
        <w:ind w:left="567" w:hanging="567"/>
      </w:pPr>
      <w:bookmarkStart w:id="56" w:name="_Toc441067001"/>
      <w:bookmarkStart w:id="57" w:name="_Toc472604550"/>
      <w:r>
        <w:rPr>
          <w:rFonts w:cs="Arial"/>
        </w:rPr>
        <w:t>C</w:t>
      </w:r>
      <w:r w:rsidR="00B111E1" w:rsidRPr="00762F6A">
        <w:rPr>
          <w:rFonts w:cs="Arial"/>
        </w:rPr>
        <w:t>.1</w:t>
      </w:r>
      <w:r w:rsidR="00B111E1" w:rsidRPr="00762F6A">
        <w:rPr>
          <w:rFonts w:cs="Arial"/>
        </w:rPr>
        <w:tab/>
      </w:r>
      <w:r w:rsidR="00B111E1" w:rsidRPr="00762F6A">
        <w:t>New tax expenditures</w:t>
      </w:r>
      <w:bookmarkEnd w:id="56"/>
      <w:bookmarkEnd w:id="57"/>
    </w:p>
    <w:p w14:paraId="20871433" w14:textId="2A6383D4" w:rsidR="00B111E1" w:rsidRPr="00762F6A" w:rsidRDefault="00B111E1" w:rsidP="00B111E1">
      <w:pPr>
        <w:rPr>
          <w:b/>
        </w:rPr>
      </w:pPr>
      <w:r w:rsidRPr="00762F6A">
        <w:t xml:space="preserve">Table </w:t>
      </w:r>
      <w:r w:rsidR="001E4822">
        <w:t>C</w:t>
      </w:r>
      <w:r w:rsidRPr="00762F6A">
        <w:t xml:space="preserve">.1 reports new tax expenditure items arising from measures that have been announced since the </w:t>
      </w:r>
      <w:r w:rsidRPr="00762F6A">
        <w:rPr>
          <w:rStyle w:val="Italic"/>
          <w:i w:val="0"/>
        </w:rPr>
        <w:t>201</w:t>
      </w:r>
      <w:r w:rsidR="00B37A6B">
        <w:rPr>
          <w:rStyle w:val="Italic"/>
          <w:i w:val="0"/>
        </w:rPr>
        <w:t>5</w:t>
      </w:r>
      <w:r w:rsidRPr="00762F6A">
        <w:rPr>
          <w:rStyle w:val="Italic"/>
          <w:i w:val="0"/>
        </w:rPr>
        <w:t xml:space="preserve"> TES</w:t>
      </w:r>
      <w:r w:rsidRPr="00762F6A">
        <w:t xml:space="preserve"> up to the date of the </w:t>
      </w:r>
      <w:r w:rsidRPr="00762F6A">
        <w:rPr>
          <w:i/>
        </w:rPr>
        <w:t>201</w:t>
      </w:r>
      <w:r w:rsidR="00F816D2">
        <w:rPr>
          <w:i/>
        </w:rPr>
        <w:t>6</w:t>
      </w:r>
      <w:r w:rsidRPr="00762F6A">
        <w:rPr>
          <w:i/>
        </w:rPr>
        <w:noBreakHyphen/>
        <w:t>1</w:t>
      </w:r>
      <w:r w:rsidR="00F816D2">
        <w:rPr>
          <w:i/>
        </w:rPr>
        <w:t>7</w:t>
      </w:r>
      <w:r w:rsidRPr="00762F6A">
        <w:rPr>
          <w:i/>
        </w:rPr>
        <w:t xml:space="preserve"> Mid</w:t>
      </w:r>
      <w:r w:rsidRPr="00762F6A">
        <w:rPr>
          <w:i/>
        </w:rPr>
        <w:noBreakHyphen/>
        <w:t>Year Economic and Fiscal Outlook</w:t>
      </w:r>
      <w:r w:rsidRPr="00762F6A">
        <w:t xml:space="preserve">. </w:t>
      </w:r>
    </w:p>
    <w:p w14:paraId="20871434" w14:textId="0C47A53E" w:rsidR="00B111E1" w:rsidRPr="00762F6A" w:rsidRDefault="00B111E1" w:rsidP="00B111E1">
      <w:pPr>
        <w:pStyle w:val="TableHeading"/>
      </w:pPr>
      <w:r w:rsidRPr="00762F6A">
        <w:t xml:space="preserve">Table </w:t>
      </w:r>
      <w:r w:rsidR="001E4822">
        <w:t>C</w:t>
      </w:r>
      <w:r w:rsidRPr="00762F6A">
        <w:t>.1: New tax expenditures</w:t>
      </w:r>
    </w:p>
    <w:tbl>
      <w:tblPr>
        <w:tblW w:w="4861" w:type="pct"/>
        <w:tblInd w:w="115" w:type="dxa"/>
        <w:tblLook w:val="01E0" w:firstRow="1" w:lastRow="1" w:firstColumn="1" w:lastColumn="1" w:noHBand="0" w:noVBand="0"/>
      </w:tblPr>
      <w:tblGrid>
        <w:gridCol w:w="17"/>
        <w:gridCol w:w="971"/>
        <w:gridCol w:w="2691"/>
        <w:gridCol w:w="4028"/>
      </w:tblGrid>
      <w:tr w:rsidR="00B111E1" w:rsidRPr="00762F6A" w14:paraId="20871438" w14:textId="77777777" w:rsidTr="00F6032C">
        <w:trPr>
          <w:gridBefore w:val="1"/>
          <w:wBefore w:w="11" w:type="pct"/>
          <w:trHeight w:val="270"/>
          <w:tblHeader/>
        </w:trPr>
        <w:tc>
          <w:tcPr>
            <w:tcW w:w="630" w:type="pct"/>
            <w:tcBorders>
              <w:top w:val="single" w:sz="2" w:space="0" w:color="auto"/>
              <w:left w:val="nil"/>
              <w:bottom w:val="single" w:sz="2" w:space="0" w:color="auto"/>
              <w:right w:val="nil"/>
            </w:tcBorders>
            <w:shd w:val="clear" w:color="auto" w:fill="auto"/>
            <w:vAlign w:val="center"/>
            <w:hideMark/>
          </w:tcPr>
          <w:p w14:paraId="20871435" w14:textId="77777777" w:rsidR="00B111E1" w:rsidRPr="00762F6A" w:rsidRDefault="00B111E1" w:rsidP="00F6032C">
            <w:pPr>
              <w:pStyle w:val="TableColumnHeadingCentred"/>
            </w:pPr>
            <w:r w:rsidRPr="00762F6A">
              <w:t>TES code</w:t>
            </w:r>
          </w:p>
        </w:tc>
        <w:tc>
          <w:tcPr>
            <w:tcW w:w="1746" w:type="pct"/>
            <w:tcBorders>
              <w:top w:val="single" w:sz="2" w:space="0" w:color="auto"/>
              <w:left w:val="nil"/>
              <w:bottom w:val="single" w:sz="2" w:space="0" w:color="auto"/>
              <w:right w:val="nil"/>
            </w:tcBorders>
            <w:shd w:val="clear" w:color="auto" w:fill="auto"/>
            <w:vAlign w:val="center"/>
            <w:hideMark/>
          </w:tcPr>
          <w:p w14:paraId="20871436" w14:textId="77777777" w:rsidR="00B111E1" w:rsidRPr="00762F6A" w:rsidRDefault="00B111E1" w:rsidP="00F6032C">
            <w:pPr>
              <w:pStyle w:val="TableColumnHeadingLeft"/>
            </w:pPr>
            <w:r w:rsidRPr="00762F6A">
              <w:t>Tax expenditure title</w:t>
            </w:r>
          </w:p>
        </w:tc>
        <w:tc>
          <w:tcPr>
            <w:tcW w:w="2613" w:type="pct"/>
            <w:tcBorders>
              <w:top w:val="single" w:sz="2" w:space="0" w:color="auto"/>
              <w:left w:val="nil"/>
              <w:bottom w:val="single" w:sz="2" w:space="0" w:color="auto"/>
              <w:right w:val="nil"/>
            </w:tcBorders>
            <w:shd w:val="clear" w:color="auto" w:fill="auto"/>
            <w:vAlign w:val="center"/>
            <w:hideMark/>
          </w:tcPr>
          <w:p w14:paraId="20871437" w14:textId="77777777" w:rsidR="00B111E1" w:rsidRPr="00762F6A" w:rsidRDefault="00B111E1" w:rsidP="00F6032C">
            <w:pPr>
              <w:pStyle w:val="TableColumnHeadingLeft"/>
            </w:pPr>
            <w:r w:rsidRPr="00762F6A">
              <w:t>Reason for new tax expenditure</w:t>
            </w:r>
          </w:p>
        </w:tc>
      </w:tr>
      <w:tr w:rsidR="00B111E1" w:rsidRPr="00762F6A" w14:paraId="2087143C" w14:textId="77777777" w:rsidTr="00167713">
        <w:trPr>
          <w:trHeight w:val="270"/>
        </w:trPr>
        <w:tc>
          <w:tcPr>
            <w:tcW w:w="641" w:type="pct"/>
            <w:gridSpan w:val="2"/>
            <w:tcBorders>
              <w:bottom w:val="single" w:sz="4" w:space="0" w:color="auto"/>
            </w:tcBorders>
            <w:shd w:val="clear" w:color="auto" w:fill="auto"/>
          </w:tcPr>
          <w:p w14:paraId="20871439" w14:textId="77777777" w:rsidR="00B111E1" w:rsidRPr="00762F6A" w:rsidRDefault="00B111E1" w:rsidP="006E2BA3">
            <w:pPr>
              <w:spacing w:before="120" w:after="120" w:line="240" w:lineRule="auto"/>
              <w:jc w:val="center"/>
              <w:rPr>
                <w:rFonts w:ascii="Arial" w:hAnsi="Arial" w:cs="Arial"/>
                <w:color w:val="000000"/>
                <w:sz w:val="16"/>
                <w:szCs w:val="16"/>
              </w:rPr>
            </w:pPr>
            <w:r>
              <w:rPr>
                <w:rFonts w:ascii="Arial" w:hAnsi="Arial" w:cs="Arial"/>
                <w:color w:val="000000"/>
                <w:sz w:val="16"/>
                <w:szCs w:val="16"/>
              </w:rPr>
              <w:t>A35</w:t>
            </w:r>
          </w:p>
        </w:tc>
        <w:tc>
          <w:tcPr>
            <w:tcW w:w="1746" w:type="pct"/>
            <w:tcBorders>
              <w:bottom w:val="single" w:sz="4" w:space="0" w:color="auto"/>
            </w:tcBorders>
            <w:shd w:val="clear" w:color="auto" w:fill="auto"/>
          </w:tcPr>
          <w:p w14:paraId="2087143A" w14:textId="77777777" w:rsidR="00B111E1" w:rsidRPr="00762F6A" w:rsidRDefault="00B37A6B" w:rsidP="006E2BA3">
            <w:pPr>
              <w:spacing w:before="120" w:after="120" w:line="240" w:lineRule="auto"/>
              <w:jc w:val="left"/>
              <w:rPr>
                <w:rFonts w:ascii="Arial" w:hAnsi="Arial" w:cs="Arial"/>
                <w:color w:val="000000"/>
                <w:sz w:val="16"/>
                <w:szCs w:val="22"/>
              </w:rPr>
            </w:pPr>
            <w:r>
              <w:rPr>
                <w:rFonts w:ascii="Arial" w:hAnsi="Arial" w:cs="Arial"/>
                <w:color w:val="000000"/>
                <w:sz w:val="16"/>
                <w:szCs w:val="22"/>
              </w:rPr>
              <w:t>Working Holiday Makers</w:t>
            </w:r>
          </w:p>
        </w:tc>
        <w:tc>
          <w:tcPr>
            <w:tcW w:w="2613" w:type="pct"/>
            <w:tcBorders>
              <w:bottom w:val="single" w:sz="4" w:space="0" w:color="auto"/>
            </w:tcBorders>
            <w:shd w:val="clear" w:color="auto" w:fill="auto"/>
          </w:tcPr>
          <w:p w14:paraId="2087143B" w14:textId="77777777" w:rsidR="00B111E1" w:rsidRPr="00762F6A" w:rsidRDefault="00B111E1" w:rsidP="006E2BA3">
            <w:pPr>
              <w:spacing w:before="120" w:after="120" w:line="240" w:lineRule="auto"/>
              <w:jc w:val="left"/>
              <w:rPr>
                <w:rFonts w:ascii="Arial" w:hAnsi="Arial" w:cs="Arial"/>
                <w:color w:val="000000"/>
                <w:sz w:val="16"/>
                <w:szCs w:val="16"/>
              </w:rPr>
            </w:pPr>
            <w:r w:rsidRPr="00762F6A">
              <w:rPr>
                <w:rFonts w:ascii="Arial" w:hAnsi="Arial" w:cs="Arial"/>
                <w:color w:val="000000"/>
                <w:sz w:val="16"/>
                <w:szCs w:val="16"/>
              </w:rPr>
              <w:t>New policy measure reported in the 201</w:t>
            </w:r>
            <w:r w:rsidR="00B37A6B">
              <w:rPr>
                <w:rFonts w:ascii="Arial" w:hAnsi="Arial" w:cs="Arial"/>
                <w:color w:val="000000"/>
                <w:sz w:val="16"/>
                <w:szCs w:val="16"/>
              </w:rPr>
              <w:t>6</w:t>
            </w:r>
            <w:r w:rsidRPr="00762F6A">
              <w:rPr>
                <w:rFonts w:ascii="Arial" w:hAnsi="Arial" w:cs="Arial"/>
                <w:color w:val="000000"/>
                <w:sz w:val="16"/>
                <w:szCs w:val="16"/>
              </w:rPr>
              <w:noBreakHyphen/>
              <w:t>1</w:t>
            </w:r>
            <w:r w:rsidR="00B37A6B">
              <w:rPr>
                <w:rFonts w:ascii="Arial" w:hAnsi="Arial" w:cs="Arial"/>
                <w:color w:val="000000"/>
                <w:sz w:val="16"/>
                <w:szCs w:val="16"/>
              </w:rPr>
              <w:t>7</w:t>
            </w:r>
            <w:r w:rsidRPr="00762F6A">
              <w:rPr>
                <w:rFonts w:ascii="Arial" w:hAnsi="Arial" w:cs="Arial"/>
                <w:color w:val="000000"/>
                <w:sz w:val="16"/>
                <w:szCs w:val="16"/>
              </w:rPr>
              <w:t xml:space="preserve"> </w:t>
            </w:r>
            <w:r w:rsidR="00B37A6B">
              <w:rPr>
                <w:rFonts w:ascii="Arial" w:hAnsi="Arial" w:cs="Arial"/>
                <w:color w:val="000000"/>
                <w:sz w:val="16"/>
                <w:szCs w:val="16"/>
              </w:rPr>
              <w:t>MYEFO</w:t>
            </w:r>
          </w:p>
        </w:tc>
      </w:tr>
    </w:tbl>
    <w:p w14:paraId="20871441" w14:textId="586E1494" w:rsidR="00B111E1" w:rsidRPr="00762F6A" w:rsidRDefault="001E4822" w:rsidP="00B111E1">
      <w:pPr>
        <w:pStyle w:val="Heading2"/>
        <w:numPr>
          <w:ilvl w:val="0"/>
          <w:numId w:val="0"/>
        </w:numPr>
        <w:ind w:left="567" w:hanging="567"/>
      </w:pPr>
      <w:bookmarkStart w:id="58" w:name="_Toc406673252"/>
      <w:bookmarkStart w:id="59" w:name="_Toc441067002"/>
      <w:bookmarkStart w:id="60" w:name="_Toc472604551"/>
      <w:r>
        <w:rPr>
          <w:rFonts w:cs="Arial"/>
        </w:rPr>
        <w:t>C</w:t>
      </w:r>
      <w:r w:rsidR="00B111E1" w:rsidRPr="00762F6A">
        <w:rPr>
          <w:rFonts w:cs="Arial"/>
        </w:rPr>
        <w:t>.2</w:t>
      </w:r>
      <w:r w:rsidR="00B111E1" w:rsidRPr="00762F6A">
        <w:rPr>
          <w:rFonts w:cs="Arial"/>
        </w:rPr>
        <w:tab/>
      </w:r>
      <w:r w:rsidR="00B111E1" w:rsidRPr="00762F6A">
        <w:t>Modified tax expenditures</w:t>
      </w:r>
      <w:bookmarkEnd w:id="58"/>
      <w:bookmarkEnd w:id="59"/>
      <w:bookmarkEnd w:id="60"/>
    </w:p>
    <w:p w14:paraId="20871443" w14:textId="2FD56ABF" w:rsidR="00B111E1" w:rsidRPr="00762F6A" w:rsidRDefault="00B111E1" w:rsidP="00B111E1">
      <w:r w:rsidRPr="00762F6A">
        <w:t xml:space="preserve">Table </w:t>
      </w:r>
      <w:r w:rsidR="001E4822">
        <w:t>C</w:t>
      </w:r>
      <w:r w:rsidRPr="00762F6A">
        <w:t>.2 reports tax expenditures that have been modified since the 201</w:t>
      </w:r>
      <w:r w:rsidR="00F816D2">
        <w:t>5</w:t>
      </w:r>
      <w:r w:rsidRPr="00762F6A">
        <w:t xml:space="preserve"> TES. </w:t>
      </w:r>
      <w:r w:rsidR="006D1A9B">
        <w:t>T</w:t>
      </w:r>
      <w:r w:rsidRPr="00762F6A">
        <w:t xml:space="preserve">ax expenditures </w:t>
      </w:r>
      <w:r w:rsidR="006D1A9B">
        <w:t>can be modified by</w:t>
      </w:r>
      <w:r w:rsidRPr="00762F6A">
        <w:t>, for example</w:t>
      </w:r>
      <w:r w:rsidR="00BC745F">
        <w:t>,</w:t>
      </w:r>
      <w:r w:rsidRPr="00762F6A">
        <w:t xml:space="preserve"> a change to </w:t>
      </w:r>
      <w:r w:rsidR="006D1A9B">
        <w:t>a</w:t>
      </w:r>
      <w:r w:rsidRPr="00762F6A">
        <w:t xml:space="preserve"> benchmark</w:t>
      </w:r>
      <w:r w:rsidR="006D1A9B">
        <w:t xml:space="preserve"> or</w:t>
      </w:r>
      <w:r w:rsidRPr="00762F6A">
        <w:t xml:space="preserve"> a </w:t>
      </w:r>
      <w:r w:rsidR="00BC745F">
        <w:t xml:space="preserve">revenue </w:t>
      </w:r>
      <w:r w:rsidRPr="00762F6A">
        <w:t xml:space="preserve">measure announced since the </w:t>
      </w:r>
      <w:r w:rsidRPr="00762F6A">
        <w:rPr>
          <w:rStyle w:val="Italic"/>
          <w:i w:val="0"/>
        </w:rPr>
        <w:t>201</w:t>
      </w:r>
      <w:r w:rsidR="00196585">
        <w:rPr>
          <w:rStyle w:val="Italic"/>
          <w:i w:val="0"/>
        </w:rPr>
        <w:t>5</w:t>
      </w:r>
      <w:r w:rsidR="006D1A9B">
        <w:rPr>
          <w:rStyle w:val="Italic"/>
          <w:i w:val="0"/>
        </w:rPr>
        <w:t xml:space="preserve"> TES</w:t>
      </w:r>
      <w:r w:rsidRPr="00762F6A">
        <w:t>.</w:t>
      </w:r>
    </w:p>
    <w:p w14:paraId="20871444" w14:textId="142D1284" w:rsidR="00B111E1" w:rsidRPr="00762F6A" w:rsidRDefault="00B111E1" w:rsidP="00B111E1">
      <w:pPr>
        <w:pStyle w:val="TableHeading"/>
      </w:pPr>
      <w:r w:rsidRPr="00762F6A">
        <w:t xml:space="preserve">Table </w:t>
      </w:r>
      <w:r w:rsidR="001E4822">
        <w:t>C</w:t>
      </w:r>
      <w:r w:rsidRPr="00762F6A">
        <w:t>.2: Modified tax expenditures</w:t>
      </w:r>
    </w:p>
    <w:tbl>
      <w:tblPr>
        <w:tblW w:w="4861" w:type="pct"/>
        <w:tblInd w:w="115" w:type="dxa"/>
        <w:tblLook w:val="01E0" w:firstRow="1" w:lastRow="1" w:firstColumn="1" w:lastColumn="1" w:noHBand="0" w:noVBand="0"/>
      </w:tblPr>
      <w:tblGrid>
        <w:gridCol w:w="17"/>
        <w:gridCol w:w="971"/>
        <w:gridCol w:w="2691"/>
        <w:gridCol w:w="4028"/>
      </w:tblGrid>
      <w:tr w:rsidR="00B111E1" w:rsidRPr="00762F6A" w14:paraId="20871448" w14:textId="77777777" w:rsidTr="009B57DC">
        <w:trPr>
          <w:gridBefore w:val="1"/>
          <w:wBefore w:w="11" w:type="pct"/>
          <w:cantSplit/>
          <w:trHeight w:val="270"/>
        </w:trPr>
        <w:tc>
          <w:tcPr>
            <w:tcW w:w="630" w:type="pct"/>
            <w:tcBorders>
              <w:top w:val="single" w:sz="2" w:space="0" w:color="auto"/>
              <w:left w:val="nil"/>
              <w:bottom w:val="single" w:sz="2" w:space="0" w:color="auto"/>
              <w:right w:val="nil"/>
            </w:tcBorders>
            <w:vAlign w:val="center"/>
            <w:hideMark/>
          </w:tcPr>
          <w:p w14:paraId="20871445" w14:textId="77777777" w:rsidR="00B111E1" w:rsidRPr="00762F6A" w:rsidRDefault="00B111E1" w:rsidP="00F6032C">
            <w:pPr>
              <w:pStyle w:val="TableColumnHeadingCentred"/>
            </w:pPr>
            <w:r w:rsidRPr="00762F6A">
              <w:t>TES code</w:t>
            </w:r>
          </w:p>
        </w:tc>
        <w:tc>
          <w:tcPr>
            <w:tcW w:w="1746" w:type="pct"/>
            <w:tcBorders>
              <w:top w:val="single" w:sz="2" w:space="0" w:color="auto"/>
              <w:left w:val="nil"/>
              <w:bottom w:val="single" w:sz="2" w:space="0" w:color="auto"/>
              <w:right w:val="nil"/>
            </w:tcBorders>
            <w:vAlign w:val="center"/>
            <w:hideMark/>
          </w:tcPr>
          <w:p w14:paraId="20871446" w14:textId="310248AD" w:rsidR="00B111E1" w:rsidRPr="00762F6A" w:rsidRDefault="00B111E1" w:rsidP="00F6032C">
            <w:pPr>
              <w:pStyle w:val="TableColumnHeadingLeft"/>
            </w:pPr>
            <w:r w:rsidRPr="00762F6A">
              <w:t xml:space="preserve">Tax </w:t>
            </w:r>
            <w:r w:rsidR="00F5217D">
              <w:t>expenditure</w:t>
            </w:r>
            <w:r w:rsidR="00D513CD">
              <w:t xml:space="preserve"> title</w:t>
            </w:r>
          </w:p>
        </w:tc>
        <w:tc>
          <w:tcPr>
            <w:tcW w:w="2613" w:type="pct"/>
            <w:tcBorders>
              <w:top w:val="single" w:sz="2" w:space="0" w:color="auto"/>
              <w:left w:val="nil"/>
              <w:bottom w:val="single" w:sz="2" w:space="0" w:color="auto"/>
              <w:right w:val="nil"/>
            </w:tcBorders>
            <w:vAlign w:val="center"/>
            <w:hideMark/>
          </w:tcPr>
          <w:p w14:paraId="20871447" w14:textId="72FFD98A" w:rsidR="00B111E1" w:rsidRPr="00762F6A" w:rsidRDefault="00B111E1" w:rsidP="00F5217D">
            <w:pPr>
              <w:pStyle w:val="TableColumnHeadingLeft"/>
            </w:pPr>
            <w:r w:rsidRPr="00762F6A">
              <w:t>Modification</w:t>
            </w:r>
          </w:p>
        </w:tc>
      </w:tr>
      <w:tr w:rsidR="00B111E1" w:rsidRPr="00762F6A" w14:paraId="2087144C" w14:textId="77777777" w:rsidTr="00683990">
        <w:trPr>
          <w:cantSplit/>
          <w:trHeight w:val="270"/>
        </w:trPr>
        <w:tc>
          <w:tcPr>
            <w:tcW w:w="641" w:type="pct"/>
            <w:gridSpan w:val="2"/>
          </w:tcPr>
          <w:p w14:paraId="20871449" w14:textId="77777777" w:rsidR="00B111E1" w:rsidRPr="00762F6A" w:rsidRDefault="00B111E1" w:rsidP="00196585">
            <w:pPr>
              <w:spacing w:before="20" w:after="20" w:line="240" w:lineRule="auto"/>
              <w:jc w:val="center"/>
              <w:rPr>
                <w:rFonts w:ascii="Arial" w:hAnsi="Arial" w:cs="Arial"/>
                <w:color w:val="000000"/>
                <w:sz w:val="16"/>
                <w:szCs w:val="16"/>
              </w:rPr>
            </w:pPr>
            <w:r w:rsidRPr="00762F6A">
              <w:rPr>
                <w:rFonts w:ascii="Arial" w:hAnsi="Arial" w:cs="Arial"/>
                <w:color w:val="000000"/>
                <w:sz w:val="16"/>
                <w:szCs w:val="16"/>
              </w:rPr>
              <w:t>A</w:t>
            </w:r>
            <w:r w:rsidR="00196585">
              <w:rPr>
                <w:rFonts w:ascii="Arial" w:hAnsi="Arial" w:cs="Arial"/>
                <w:color w:val="000000"/>
                <w:sz w:val="16"/>
                <w:szCs w:val="16"/>
              </w:rPr>
              <w:t>19</w:t>
            </w:r>
          </w:p>
        </w:tc>
        <w:tc>
          <w:tcPr>
            <w:tcW w:w="1746" w:type="pct"/>
          </w:tcPr>
          <w:p w14:paraId="2087144A" w14:textId="77777777" w:rsidR="00B111E1" w:rsidRPr="00762F6A" w:rsidRDefault="00196585" w:rsidP="00F6032C">
            <w:pPr>
              <w:spacing w:before="20" w:after="20" w:line="240" w:lineRule="auto"/>
              <w:jc w:val="left"/>
              <w:rPr>
                <w:rFonts w:ascii="Arial" w:hAnsi="Arial" w:cs="Arial"/>
                <w:sz w:val="16"/>
              </w:rPr>
            </w:pPr>
            <w:r w:rsidRPr="00196585">
              <w:rPr>
                <w:rFonts w:ascii="Arial" w:hAnsi="Arial" w:cs="Arial"/>
                <w:sz w:val="16"/>
              </w:rPr>
              <w:t>Medicare levy exemption for residents with taxable income below the low-income thresholds</w:t>
            </w:r>
          </w:p>
        </w:tc>
        <w:tc>
          <w:tcPr>
            <w:tcW w:w="2613" w:type="pct"/>
          </w:tcPr>
          <w:p w14:paraId="2087144B" w14:textId="77777777" w:rsidR="00B111E1" w:rsidRPr="00762F6A" w:rsidRDefault="00196585" w:rsidP="00F6032C">
            <w:pPr>
              <w:spacing w:before="20" w:after="20" w:line="240" w:lineRule="auto"/>
              <w:jc w:val="left"/>
              <w:rPr>
                <w:rFonts w:ascii="Arial" w:hAnsi="Arial" w:cs="Arial"/>
                <w:color w:val="000000"/>
                <w:sz w:val="16"/>
                <w:szCs w:val="16"/>
              </w:rPr>
            </w:pPr>
            <w:r w:rsidRPr="00196585">
              <w:rPr>
                <w:rFonts w:ascii="Arial" w:hAnsi="Arial" w:cs="Arial"/>
                <w:color w:val="000000"/>
                <w:sz w:val="16"/>
                <w:szCs w:val="16"/>
              </w:rPr>
              <w:t>The Medicare levy low-income thresholds for singles, families and seniors and pensioners have been increased from the 2015-16 income year.</w:t>
            </w:r>
          </w:p>
        </w:tc>
      </w:tr>
      <w:tr w:rsidR="006E2BA3" w:rsidRPr="00762F6A" w14:paraId="5C49BA86" w14:textId="77777777" w:rsidTr="006E2BA3">
        <w:trPr>
          <w:cantSplit/>
          <w:trHeight w:val="270"/>
        </w:trPr>
        <w:tc>
          <w:tcPr>
            <w:tcW w:w="641" w:type="pct"/>
            <w:gridSpan w:val="2"/>
            <w:shd w:val="clear" w:color="auto" w:fill="auto"/>
          </w:tcPr>
          <w:p w14:paraId="01F17AFA" w14:textId="77777777" w:rsidR="006E2BA3" w:rsidRPr="00762F6A" w:rsidRDefault="006E2BA3" w:rsidP="0087773C">
            <w:pPr>
              <w:spacing w:before="20" w:after="20" w:line="240" w:lineRule="auto"/>
              <w:jc w:val="center"/>
              <w:rPr>
                <w:rFonts w:ascii="Arial" w:hAnsi="Arial" w:cs="Arial"/>
                <w:color w:val="000000"/>
                <w:sz w:val="16"/>
                <w:szCs w:val="16"/>
              </w:rPr>
            </w:pPr>
            <w:r w:rsidRPr="00762F6A">
              <w:rPr>
                <w:rFonts w:ascii="Arial" w:hAnsi="Arial" w:cs="Arial"/>
                <w:color w:val="000000"/>
                <w:sz w:val="16"/>
                <w:szCs w:val="16"/>
              </w:rPr>
              <w:t>A</w:t>
            </w:r>
            <w:r>
              <w:rPr>
                <w:rFonts w:ascii="Arial" w:hAnsi="Arial" w:cs="Arial"/>
                <w:color w:val="000000"/>
                <w:sz w:val="16"/>
                <w:szCs w:val="16"/>
              </w:rPr>
              <w:t>27</w:t>
            </w:r>
          </w:p>
        </w:tc>
        <w:tc>
          <w:tcPr>
            <w:tcW w:w="1746" w:type="pct"/>
            <w:shd w:val="clear" w:color="auto" w:fill="auto"/>
          </w:tcPr>
          <w:p w14:paraId="28076871" w14:textId="77777777" w:rsidR="006E2BA3" w:rsidRPr="00762F6A" w:rsidRDefault="006E2BA3" w:rsidP="0087773C">
            <w:pPr>
              <w:spacing w:before="20" w:after="20" w:line="240" w:lineRule="auto"/>
              <w:jc w:val="left"/>
              <w:rPr>
                <w:rFonts w:ascii="Arial" w:hAnsi="Arial" w:cs="Arial"/>
                <w:sz w:val="16"/>
              </w:rPr>
            </w:pPr>
            <w:r w:rsidRPr="00196585">
              <w:rPr>
                <w:rFonts w:ascii="Arial" w:hAnsi="Arial" w:cs="Arial"/>
                <w:sz w:val="16"/>
              </w:rPr>
              <w:t>Exemption of Child Care Assistance payments</w:t>
            </w:r>
          </w:p>
        </w:tc>
        <w:tc>
          <w:tcPr>
            <w:tcW w:w="2613" w:type="pct"/>
            <w:shd w:val="clear" w:color="auto" w:fill="auto"/>
          </w:tcPr>
          <w:p w14:paraId="3F3E838E" w14:textId="77777777" w:rsidR="006E2BA3" w:rsidRPr="00762F6A" w:rsidRDefault="006E2BA3" w:rsidP="0087773C">
            <w:pPr>
              <w:spacing w:before="20" w:after="20" w:line="240" w:lineRule="auto"/>
              <w:jc w:val="left"/>
              <w:rPr>
                <w:rFonts w:ascii="Arial" w:hAnsi="Arial" w:cs="Arial"/>
                <w:color w:val="000000"/>
                <w:sz w:val="16"/>
                <w:szCs w:val="16"/>
              </w:rPr>
            </w:pPr>
            <w:r>
              <w:rPr>
                <w:rFonts w:ascii="Arial" w:hAnsi="Arial" w:cs="Arial"/>
                <w:color w:val="000000"/>
                <w:sz w:val="16"/>
                <w:szCs w:val="16"/>
              </w:rPr>
              <w:t xml:space="preserve">The </w:t>
            </w:r>
            <w:r w:rsidRPr="00196585">
              <w:rPr>
                <w:rFonts w:ascii="Arial" w:hAnsi="Arial" w:cs="Arial"/>
                <w:color w:val="000000"/>
                <w:sz w:val="16"/>
                <w:szCs w:val="16"/>
              </w:rPr>
              <w:t xml:space="preserve">implementation of the Child Care Subsidy </w:t>
            </w:r>
            <w:r>
              <w:rPr>
                <w:rFonts w:ascii="Arial" w:hAnsi="Arial" w:cs="Arial"/>
                <w:color w:val="000000"/>
                <w:sz w:val="16"/>
                <w:szCs w:val="16"/>
              </w:rPr>
              <w:t xml:space="preserve">will be deferred </w:t>
            </w:r>
            <w:r w:rsidRPr="00196585">
              <w:rPr>
                <w:rFonts w:ascii="Arial" w:hAnsi="Arial" w:cs="Arial"/>
                <w:color w:val="000000"/>
                <w:sz w:val="16"/>
                <w:szCs w:val="16"/>
              </w:rPr>
              <w:t>by one year to 1 July 2018.</w:t>
            </w:r>
          </w:p>
        </w:tc>
      </w:tr>
      <w:tr w:rsidR="00683990" w:rsidRPr="00762F6A" w14:paraId="2087147F" w14:textId="77777777" w:rsidTr="007128CF">
        <w:trPr>
          <w:cantSplit/>
          <w:trHeight w:val="270"/>
        </w:trPr>
        <w:tc>
          <w:tcPr>
            <w:tcW w:w="641" w:type="pct"/>
            <w:gridSpan w:val="2"/>
            <w:shd w:val="clear" w:color="auto" w:fill="auto"/>
          </w:tcPr>
          <w:p w14:paraId="2087147C" w14:textId="77777777" w:rsidR="00683990" w:rsidRPr="00762F6A" w:rsidRDefault="00683990" w:rsidP="007128CF">
            <w:pPr>
              <w:spacing w:before="20" w:after="20" w:line="240" w:lineRule="auto"/>
              <w:jc w:val="center"/>
              <w:rPr>
                <w:rFonts w:ascii="Arial" w:hAnsi="Arial" w:cs="Arial"/>
                <w:color w:val="000000"/>
                <w:sz w:val="16"/>
                <w:szCs w:val="16"/>
              </w:rPr>
            </w:pPr>
            <w:r>
              <w:rPr>
                <w:rFonts w:ascii="Arial" w:hAnsi="Arial" w:cs="Arial"/>
                <w:color w:val="000000"/>
                <w:sz w:val="16"/>
                <w:szCs w:val="16"/>
              </w:rPr>
              <w:t>B58</w:t>
            </w:r>
          </w:p>
        </w:tc>
        <w:tc>
          <w:tcPr>
            <w:tcW w:w="1746" w:type="pct"/>
            <w:shd w:val="clear" w:color="auto" w:fill="auto"/>
          </w:tcPr>
          <w:p w14:paraId="2087147D" w14:textId="77777777" w:rsidR="00683990" w:rsidRPr="00762F6A"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Tax incentives for early stage investors</w:t>
            </w:r>
          </w:p>
        </w:tc>
        <w:tc>
          <w:tcPr>
            <w:tcW w:w="2613" w:type="pct"/>
            <w:shd w:val="clear" w:color="auto" w:fill="auto"/>
          </w:tcPr>
          <w:p w14:paraId="2087147E" w14:textId="77E9F3C3" w:rsidR="00683990" w:rsidRPr="00762F6A" w:rsidRDefault="00683990" w:rsidP="00C11FD2">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The capital gains tax exemption is capped at ten years and investments must be held for at least 12</w:t>
            </w:r>
            <w:r w:rsidR="00C11FD2">
              <w:rPr>
                <w:rFonts w:ascii="Arial" w:hAnsi="Arial" w:cs="Arial"/>
                <w:color w:val="000000"/>
                <w:sz w:val="16"/>
                <w:szCs w:val="16"/>
              </w:rPr>
              <w:t> </w:t>
            </w:r>
            <w:r w:rsidRPr="006E6401">
              <w:rPr>
                <w:rFonts w:ascii="Arial" w:hAnsi="Arial" w:cs="Arial"/>
                <w:color w:val="000000"/>
                <w:sz w:val="16"/>
                <w:szCs w:val="16"/>
              </w:rPr>
              <w:t>months.</w:t>
            </w:r>
          </w:p>
        </w:tc>
      </w:tr>
      <w:tr w:rsidR="00683990" w:rsidRPr="006E6401" w14:paraId="2087148B" w14:textId="77777777" w:rsidTr="007128CF">
        <w:trPr>
          <w:cantSplit/>
          <w:trHeight w:val="270"/>
        </w:trPr>
        <w:tc>
          <w:tcPr>
            <w:tcW w:w="641" w:type="pct"/>
            <w:gridSpan w:val="2"/>
          </w:tcPr>
          <w:p w14:paraId="20871488" w14:textId="77777777" w:rsidR="00683990" w:rsidRDefault="00683990" w:rsidP="007128CF">
            <w:pPr>
              <w:spacing w:before="20" w:after="20" w:line="240" w:lineRule="auto"/>
              <w:jc w:val="center"/>
              <w:rPr>
                <w:rFonts w:ascii="Arial" w:hAnsi="Arial" w:cs="Arial"/>
                <w:color w:val="000000"/>
                <w:sz w:val="16"/>
                <w:szCs w:val="16"/>
              </w:rPr>
            </w:pPr>
            <w:r>
              <w:rPr>
                <w:rFonts w:ascii="Arial" w:hAnsi="Arial" w:cs="Arial"/>
                <w:color w:val="000000"/>
                <w:sz w:val="16"/>
                <w:szCs w:val="16"/>
              </w:rPr>
              <w:t>C2</w:t>
            </w:r>
          </w:p>
        </w:tc>
        <w:tc>
          <w:tcPr>
            <w:tcW w:w="1746" w:type="pct"/>
          </w:tcPr>
          <w:p w14:paraId="20871489"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Concessional taxation of employer superannuation contributions</w:t>
            </w:r>
          </w:p>
        </w:tc>
        <w:tc>
          <w:tcPr>
            <w:tcW w:w="2613" w:type="pct"/>
          </w:tcPr>
          <w:p w14:paraId="2087148A" w14:textId="79192823" w:rsidR="00683990" w:rsidRPr="006E6401" w:rsidRDefault="00A41A37" w:rsidP="007128CF">
            <w:pPr>
              <w:spacing w:before="20" w:after="20" w:line="240" w:lineRule="auto"/>
              <w:jc w:val="left"/>
              <w:rPr>
                <w:rFonts w:ascii="Arial" w:hAnsi="Arial" w:cs="Arial"/>
                <w:color w:val="000000"/>
                <w:sz w:val="16"/>
                <w:szCs w:val="16"/>
              </w:rPr>
            </w:pPr>
            <w:r>
              <w:rPr>
                <w:rFonts w:ascii="Arial" w:hAnsi="Arial" w:cs="Arial"/>
                <w:color w:val="000000"/>
                <w:sz w:val="16"/>
                <w:szCs w:val="16"/>
              </w:rPr>
              <w:t>See p64.</w:t>
            </w:r>
          </w:p>
        </w:tc>
      </w:tr>
      <w:tr w:rsidR="00683990" w:rsidRPr="006E6401" w14:paraId="2087148F" w14:textId="77777777" w:rsidTr="00683990">
        <w:trPr>
          <w:cantSplit/>
          <w:trHeight w:val="270"/>
        </w:trPr>
        <w:tc>
          <w:tcPr>
            <w:tcW w:w="641" w:type="pct"/>
            <w:gridSpan w:val="2"/>
          </w:tcPr>
          <w:p w14:paraId="2087148C" w14:textId="77777777" w:rsidR="00683990" w:rsidRDefault="00683990" w:rsidP="007128CF">
            <w:pPr>
              <w:spacing w:before="20" w:after="20" w:line="240" w:lineRule="auto"/>
              <w:jc w:val="center"/>
              <w:rPr>
                <w:rFonts w:ascii="Arial" w:hAnsi="Arial" w:cs="Arial"/>
                <w:color w:val="000000"/>
                <w:sz w:val="16"/>
                <w:szCs w:val="16"/>
              </w:rPr>
            </w:pPr>
            <w:r>
              <w:rPr>
                <w:rFonts w:ascii="Arial" w:hAnsi="Arial" w:cs="Arial"/>
                <w:color w:val="000000"/>
                <w:sz w:val="16"/>
                <w:szCs w:val="16"/>
              </w:rPr>
              <w:t>C3</w:t>
            </w:r>
          </w:p>
        </w:tc>
        <w:tc>
          <w:tcPr>
            <w:tcW w:w="1746" w:type="pct"/>
          </w:tcPr>
          <w:p w14:paraId="2087148D"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Concessional taxation of personal superannuation contributions</w:t>
            </w:r>
          </w:p>
        </w:tc>
        <w:tc>
          <w:tcPr>
            <w:tcW w:w="2613" w:type="pct"/>
          </w:tcPr>
          <w:p w14:paraId="2087148E" w14:textId="5525CF3C" w:rsidR="00683990" w:rsidRPr="006E6401" w:rsidRDefault="00A41A37" w:rsidP="007128CF">
            <w:pPr>
              <w:spacing w:before="20" w:after="20" w:line="240" w:lineRule="auto"/>
              <w:jc w:val="left"/>
              <w:rPr>
                <w:rFonts w:ascii="Arial" w:hAnsi="Arial" w:cs="Arial"/>
                <w:color w:val="000000"/>
                <w:sz w:val="16"/>
                <w:szCs w:val="16"/>
              </w:rPr>
            </w:pPr>
            <w:r>
              <w:rPr>
                <w:rFonts w:ascii="Arial" w:hAnsi="Arial" w:cs="Arial"/>
                <w:color w:val="000000"/>
                <w:sz w:val="16"/>
                <w:szCs w:val="16"/>
              </w:rPr>
              <w:t>See pp64-65.</w:t>
            </w:r>
          </w:p>
        </w:tc>
      </w:tr>
      <w:tr w:rsidR="00683990" w:rsidRPr="006E6401" w14:paraId="20871493" w14:textId="77777777" w:rsidTr="006D1A9B">
        <w:trPr>
          <w:cantSplit/>
          <w:trHeight w:val="270"/>
        </w:trPr>
        <w:tc>
          <w:tcPr>
            <w:tcW w:w="641" w:type="pct"/>
            <w:gridSpan w:val="2"/>
          </w:tcPr>
          <w:p w14:paraId="20871490" w14:textId="77777777" w:rsidR="00683990" w:rsidRDefault="00683990" w:rsidP="007128CF">
            <w:pPr>
              <w:spacing w:before="20" w:after="20" w:line="240" w:lineRule="auto"/>
              <w:jc w:val="center"/>
              <w:rPr>
                <w:rFonts w:ascii="Arial" w:hAnsi="Arial" w:cs="Arial"/>
                <w:color w:val="000000"/>
                <w:sz w:val="16"/>
                <w:szCs w:val="16"/>
              </w:rPr>
            </w:pPr>
            <w:r>
              <w:rPr>
                <w:rFonts w:ascii="Arial" w:hAnsi="Arial" w:cs="Arial"/>
                <w:color w:val="000000"/>
                <w:sz w:val="16"/>
                <w:szCs w:val="16"/>
              </w:rPr>
              <w:t>C4</w:t>
            </w:r>
          </w:p>
        </w:tc>
        <w:tc>
          <w:tcPr>
            <w:tcW w:w="1746" w:type="pct"/>
          </w:tcPr>
          <w:p w14:paraId="20871491"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Concessional taxation of superannuation entity earnings</w:t>
            </w:r>
          </w:p>
        </w:tc>
        <w:tc>
          <w:tcPr>
            <w:tcW w:w="2613" w:type="pct"/>
          </w:tcPr>
          <w:p w14:paraId="20871492" w14:textId="268C08B1" w:rsidR="00683990" w:rsidRPr="006E6401" w:rsidRDefault="00A41A37" w:rsidP="00724EBD">
            <w:pPr>
              <w:spacing w:before="20" w:after="20" w:line="240" w:lineRule="auto"/>
              <w:jc w:val="left"/>
              <w:rPr>
                <w:rFonts w:ascii="Arial" w:hAnsi="Arial" w:cs="Arial"/>
                <w:color w:val="000000"/>
                <w:sz w:val="16"/>
                <w:szCs w:val="16"/>
              </w:rPr>
            </w:pPr>
            <w:r>
              <w:rPr>
                <w:rFonts w:ascii="Arial" w:hAnsi="Arial" w:cs="Arial"/>
                <w:color w:val="000000"/>
                <w:sz w:val="16"/>
                <w:szCs w:val="16"/>
              </w:rPr>
              <w:t>See p65.</w:t>
            </w:r>
          </w:p>
        </w:tc>
      </w:tr>
      <w:tr w:rsidR="006D1A9B" w:rsidRPr="006E6401" w14:paraId="1097C72B" w14:textId="77777777" w:rsidTr="006D1A9B">
        <w:trPr>
          <w:cantSplit/>
          <w:trHeight w:val="270"/>
        </w:trPr>
        <w:tc>
          <w:tcPr>
            <w:tcW w:w="641" w:type="pct"/>
            <w:gridSpan w:val="2"/>
          </w:tcPr>
          <w:p w14:paraId="39C4BF3E" w14:textId="77777777" w:rsidR="006D1A9B" w:rsidRDefault="006D1A9B" w:rsidP="0087773C">
            <w:pPr>
              <w:spacing w:before="20" w:after="20" w:line="240" w:lineRule="auto"/>
              <w:jc w:val="center"/>
              <w:rPr>
                <w:rFonts w:ascii="Arial" w:hAnsi="Arial" w:cs="Arial"/>
                <w:color w:val="000000"/>
                <w:sz w:val="16"/>
                <w:szCs w:val="16"/>
              </w:rPr>
            </w:pPr>
            <w:r>
              <w:rPr>
                <w:rFonts w:ascii="Arial" w:hAnsi="Arial" w:cs="Arial"/>
                <w:color w:val="000000"/>
                <w:sz w:val="16"/>
                <w:szCs w:val="16"/>
              </w:rPr>
              <w:t>C7</w:t>
            </w:r>
          </w:p>
        </w:tc>
        <w:tc>
          <w:tcPr>
            <w:tcW w:w="1746" w:type="pct"/>
          </w:tcPr>
          <w:p w14:paraId="4BE992D3" w14:textId="77777777" w:rsidR="006D1A9B" w:rsidRPr="006E6401" w:rsidRDefault="006D1A9B" w:rsidP="0087773C">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Superannuation measures for low</w:t>
            </w:r>
            <w:r>
              <w:rPr>
                <w:rFonts w:ascii="Arial" w:hAnsi="Arial" w:cs="Arial"/>
                <w:color w:val="000000"/>
                <w:sz w:val="16"/>
                <w:szCs w:val="16"/>
              </w:rPr>
              <w:noBreakHyphen/>
            </w:r>
            <w:r w:rsidRPr="006E6401">
              <w:rPr>
                <w:rFonts w:ascii="Arial" w:hAnsi="Arial" w:cs="Arial"/>
                <w:color w:val="000000"/>
                <w:sz w:val="16"/>
                <w:szCs w:val="16"/>
              </w:rPr>
              <w:t>income earners</w:t>
            </w:r>
          </w:p>
        </w:tc>
        <w:tc>
          <w:tcPr>
            <w:tcW w:w="2613" w:type="pct"/>
          </w:tcPr>
          <w:p w14:paraId="5AB298AB" w14:textId="77777777" w:rsidR="006D1A9B" w:rsidRPr="006E6401" w:rsidRDefault="006D1A9B" w:rsidP="0087773C">
            <w:pPr>
              <w:spacing w:before="20" w:after="20" w:line="240" w:lineRule="auto"/>
              <w:jc w:val="left"/>
              <w:rPr>
                <w:rFonts w:ascii="Arial" w:hAnsi="Arial" w:cs="Arial"/>
                <w:color w:val="000000"/>
                <w:sz w:val="16"/>
                <w:szCs w:val="16"/>
              </w:rPr>
            </w:pPr>
            <w:r>
              <w:rPr>
                <w:rFonts w:ascii="Arial" w:hAnsi="Arial" w:cs="Arial"/>
                <w:color w:val="000000"/>
                <w:sz w:val="16"/>
                <w:szCs w:val="16"/>
              </w:rPr>
              <w:t>See p66.</w:t>
            </w:r>
          </w:p>
        </w:tc>
      </w:tr>
      <w:tr w:rsidR="006D1A9B" w:rsidRPr="006E6401" w14:paraId="5254A7F5" w14:textId="77777777" w:rsidTr="00D513CD">
        <w:trPr>
          <w:cantSplit/>
          <w:trHeight w:val="270"/>
        </w:trPr>
        <w:tc>
          <w:tcPr>
            <w:tcW w:w="641" w:type="pct"/>
            <w:gridSpan w:val="2"/>
          </w:tcPr>
          <w:p w14:paraId="29C07771" w14:textId="77777777" w:rsidR="006D1A9B" w:rsidRDefault="006D1A9B" w:rsidP="0087773C">
            <w:pPr>
              <w:spacing w:before="20" w:after="20" w:line="240" w:lineRule="auto"/>
              <w:jc w:val="center"/>
              <w:rPr>
                <w:rFonts w:ascii="Arial" w:hAnsi="Arial" w:cs="Arial"/>
                <w:color w:val="000000"/>
                <w:sz w:val="16"/>
                <w:szCs w:val="16"/>
              </w:rPr>
            </w:pPr>
            <w:r>
              <w:rPr>
                <w:rFonts w:ascii="Arial" w:hAnsi="Arial" w:cs="Arial"/>
                <w:color w:val="000000"/>
                <w:sz w:val="16"/>
                <w:szCs w:val="16"/>
              </w:rPr>
              <w:t>C8</w:t>
            </w:r>
          </w:p>
        </w:tc>
        <w:tc>
          <w:tcPr>
            <w:tcW w:w="1746" w:type="pct"/>
          </w:tcPr>
          <w:p w14:paraId="57B2F414" w14:textId="77777777" w:rsidR="006D1A9B" w:rsidRPr="006E6401" w:rsidRDefault="006D1A9B" w:rsidP="0087773C">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Tax on excess non-concessional superannuation contributions</w:t>
            </w:r>
          </w:p>
        </w:tc>
        <w:tc>
          <w:tcPr>
            <w:tcW w:w="2613" w:type="pct"/>
          </w:tcPr>
          <w:p w14:paraId="074A8ECB" w14:textId="77777777" w:rsidR="006D1A9B" w:rsidRPr="006E6401" w:rsidRDefault="006D1A9B" w:rsidP="0087773C">
            <w:pPr>
              <w:spacing w:before="20" w:after="20" w:line="240" w:lineRule="auto"/>
              <w:jc w:val="left"/>
              <w:rPr>
                <w:rFonts w:ascii="Arial" w:hAnsi="Arial" w:cs="Arial"/>
                <w:color w:val="000000"/>
                <w:sz w:val="16"/>
                <w:szCs w:val="16"/>
              </w:rPr>
            </w:pPr>
            <w:r>
              <w:rPr>
                <w:rFonts w:ascii="Arial" w:hAnsi="Arial" w:cs="Arial"/>
                <w:color w:val="000000"/>
                <w:sz w:val="16"/>
                <w:szCs w:val="16"/>
              </w:rPr>
              <w:t>See p67.</w:t>
            </w:r>
          </w:p>
        </w:tc>
      </w:tr>
      <w:tr w:rsidR="006D1A9B" w:rsidRPr="006E6401" w14:paraId="72D148EB" w14:textId="77777777" w:rsidTr="00D513CD">
        <w:trPr>
          <w:cantSplit/>
          <w:trHeight w:val="270"/>
        </w:trPr>
        <w:tc>
          <w:tcPr>
            <w:tcW w:w="641" w:type="pct"/>
            <w:gridSpan w:val="2"/>
            <w:tcBorders>
              <w:bottom w:val="single" w:sz="4" w:space="0" w:color="auto"/>
            </w:tcBorders>
          </w:tcPr>
          <w:p w14:paraId="14BC5446" w14:textId="77777777" w:rsidR="006D1A9B" w:rsidRDefault="006D1A9B" w:rsidP="0087773C">
            <w:pPr>
              <w:spacing w:before="20" w:after="20" w:line="240" w:lineRule="auto"/>
              <w:jc w:val="center"/>
              <w:rPr>
                <w:rFonts w:ascii="Arial" w:hAnsi="Arial" w:cs="Arial"/>
                <w:color w:val="000000"/>
                <w:sz w:val="16"/>
                <w:szCs w:val="16"/>
              </w:rPr>
            </w:pPr>
            <w:r>
              <w:rPr>
                <w:rFonts w:ascii="Arial" w:hAnsi="Arial" w:cs="Arial"/>
                <w:color w:val="000000"/>
                <w:sz w:val="16"/>
                <w:szCs w:val="16"/>
              </w:rPr>
              <w:t>C9</w:t>
            </w:r>
          </w:p>
        </w:tc>
        <w:tc>
          <w:tcPr>
            <w:tcW w:w="1746" w:type="pct"/>
            <w:tcBorders>
              <w:bottom w:val="single" w:sz="4" w:space="0" w:color="auto"/>
            </w:tcBorders>
          </w:tcPr>
          <w:p w14:paraId="17F9B4FC" w14:textId="77777777" w:rsidR="006D1A9B" w:rsidRPr="006E6401" w:rsidRDefault="006D1A9B" w:rsidP="0087773C">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Tax on funded superannuation income streams</w:t>
            </w:r>
          </w:p>
        </w:tc>
        <w:tc>
          <w:tcPr>
            <w:tcW w:w="2613" w:type="pct"/>
            <w:tcBorders>
              <w:bottom w:val="single" w:sz="4" w:space="0" w:color="auto"/>
            </w:tcBorders>
          </w:tcPr>
          <w:p w14:paraId="61A0D9D2" w14:textId="77777777" w:rsidR="006D1A9B" w:rsidRPr="006E6401" w:rsidRDefault="006D1A9B" w:rsidP="0087773C">
            <w:pPr>
              <w:spacing w:before="20" w:after="20" w:line="240" w:lineRule="auto"/>
              <w:jc w:val="left"/>
              <w:rPr>
                <w:rFonts w:ascii="Arial" w:hAnsi="Arial" w:cs="Arial"/>
                <w:color w:val="000000"/>
                <w:sz w:val="16"/>
                <w:szCs w:val="16"/>
              </w:rPr>
            </w:pPr>
            <w:r>
              <w:rPr>
                <w:rFonts w:ascii="Arial" w:hAnsi="Arial" w:cs="Arial"/>
                <w:color w:val="000000"/>
                <w:sz w:val="16"/>
                <w:szCs w:val="16"/>
              </w:rPr>
              <w:t>See p67.</w:t>
            </w:r>
          </w:p>
        </w:tc>
      </w:tr>
    </w:tbl>
    <w:p w14:paraId="20871495" w14:textId="553A6C32" w:rsidR="00683990" w:rsidRPr="00762F6A" w:rsidRDefault="00683990" w:rsidP="00683990">
      <w:pPr>
        <w:pStyle w:val="TableHeading"/>
      </w:pPr>
      <w:r w:rsidRPr="00762F6A">
        <w:lastRenderedPageBreak/>
        <w:t xml:space="preserve">Table </w:t>
      </w:r>
      <w:r w:rsidR="001E4822">
        <w:t>C</w:t>
      </w:r>
      <w:r w:rsidRPr="00762F6A">
        <w:t>.2: Modified tax expenditures</w:t>
      </w:r>
      <w:r>
        <w:t xml:space="preserve"> (continued)</w:t>
      </w:r>
    </w:p>
    <w:tbl>
      <w:tblPr>
        <w:tblW w:w="4861" w:type="pct"/>
        <w:tblInd w:w="115" w:type="dxa"/>
        <w:tblLook w:val="01E0" w:firstRow="1" w:lastRow="1" w:firstColumn="1" w:lastColumn="1" w:noHBand="0" w:noVBand="0"/>
      </w:tblPr>
      <w:tblGrid>
        <w:gridCol w:w="988"/>
        <w:gridCol w:w="2691"/>
        <w:gridCol w:w="4028"/>
      </w:tblGrid>
      <w:tr w:rsidR="00683990" w:rsidRPr="006E6401" w14:paraId="20871499" w14:textId="77777777" w:rsidTr="00683990">
        <w:trPr>
          <w:cantSplit/>
          <w:trHeight w:val="270"/>
        </w:trPr>
        <w:tc>
          <w:tcPr>
            <w:tcW w:w="641" w:type="pct"/>
            <w:tcBorders>
              <w:top w:val="single" w:sz="4" w:space="0" w:color="auto"/>
              <w:bottom w:val="single" w:sz="4" w:space="0" w:color="auto"/>
            </w:tcBorders>
            <w:vAlign w:val="center"/>
          </w:tcPr>
          <w:p w14:paraId="20871496" w14:textId="77777777" w:rsidR="00683990" w:rsidRPr="00762F6A" w:rsidRDefault="00683990" w:rsidP="007128CF">
            <w:pPr>
              <w:pStyle w:val="TableColumnHeadingCentred"/>
            </w:pPr>
            <w:r w:rsidRPr="00762F6A">
              <w:t>TES code</w:t>
            </w:r>
          </w:p>
        </w:tc>
        <w:tc>
          <w:tcPr>
            <w:tcW w:w="1746" w:type="pct"/>
            <w:tcBorders>
              <w:top w:val="single" w:sz="4" w:space="0" w:color="auto"/>
              <w:bottom w:val="single" w:sz="4" w:space="0" w:color="auto"/>
            </w:tcBorders>
            <w:vAlign w:val="center"/>
          </w:tcPr>
          <w:p w14:paraId="20871497" w14:textId="77777777" w:rsidR="00683990" w:rsidRPr="00762F6A" w:rsidRDefault="00683990" w:rsidP="007128CF">
            <w:pPr>
              <w:pStyle w:val="TableColumnHeadingLeft"/>
            </w:pPr>
            <w:r w:rsidRPr="00762F6A">
              <w:t>Tax expenditure title</w:t>
            </w:r>
          </w:p>
        </w:tc>
        <w:tc>
          <w:tcPr>
            <w:tcW w:w="2613" w:type="pct"/>
            <w:tcBorders>
              <w:top w:val="single" w:sz="4" w:space="0" w:color="auto"/>
              <w:bottom w:val="single" w:sz="4" w:space="0" w:color="auto"/>
            </w:tcBorders>
            <w:vAlign w:val="center"/>
          </w:tcPr>
          <w:p w14:paraId="20871498" w14:textId="77777777" w:rsidR="00683990" w:rsidRPr="00762F6A" w:rsidRDefault="00683990" w:rsidP="007128CF">
            <w:pPr>
              <w:pStyle w:val="TableColumnHeadingLeft"/>
            </w:pPr>
            <w:r w:rsidRPr="00762F6A">
              <w:t>Modification to the tax expenditure</w:t>
            </w:r>
          </w:p>
        </w:tc>
      </w:tr>
      <w:tr w:rsidR="00683990" w:rsidRPr="006E6401" w14:paraId="208714B1" w14:textId="77777777" w:rsidTr="007128CF">
        <w:trPr>
          <w:cantSplit/>
          <w:trHeight w:val="270"/>
        </w:trPr>
        <w:tc>
          <w:tcPr>
            <w:tcW w:w="641" w:type="pct"/>
          </w:tcPr>
          <w:p w14:paraId="208714AE" w14:textId="77777777" w:rsidR="00683990" w:rsidRDefault="00683990" w:rsidP="007128CF">
            <w:pPr>
              <w:spacing w:before="20" w:after="20" w:line="240" w:lineRule="auto"/>
              <w:jc w:val="center"/>
              <w:rPr>
                <w:rFonts w:ascii="Arial" w:hAnsi="Arial" w:cs="Arial"/>
                <w:color w:val="000000"/>
                <w:sz w:val="16"/>
                <w:szCs w:val="16"/>
              </w:rPr>
            </w:pPr>
            <w:r>
              <w:rPr>
                <w:rFonts w:ascii="Arial" w:hAnsi="Arial" w:cs="Arial"/>
                <w:color w:val="000000"/>
                <w:sz w:val="16"/>
                <w:szCs w:val="16"/>
              </w:rPr>
              <w:t>F16</w:t>
            </w:r>
          </w:p>
        </w:tc>
        <w:tc>
          <w:tcPr>
            <w:tcW w:w="1746" w:type="pct"/>
          </w:tcPr>
          <w:p w14:paraId="208714AF"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Excise concession for breweries</w:t>
            </w:r>
          </w:p>
        </w:tc>
        <w:tc>
          <w:tcPr>
            <w:tcW w:w="2613" w:type="pct"/>
          </w:tcPr>
          <w:p w14:paraId="208714B0" w14:textId="4C44D82E" w:rsidR="00683990" w:rsidRPr="006E6401" w:rsidRDefault="00683990" w:rsidP="00326D96">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 xml:space="preserve">Domestic distilleries and producers of low strength fermented beverages can </w:t>
            </w:r>
            <w:r w:rsidR="00326D96">
              <w:rPr>
                <w:rFonts w:ascii="Arial" w:hAnsi="Arial" w:cs="Arial"/>
                <w:color w:val="000000"/>
                <w:sz w:val="16"/>
                <w:szCs w:val="16"/>
              </w:rPr>
              <w:t xml:space="preserve">claim </w:t>
            </w:r>
            <w:r w:rsidR="006D1A9B">
              <w:rPr>
                <w:rFonts w:ascii="Arial" w:hAnsi="Arial" w:cs="Arial"/>
                <w:color w:val="000000"/>
                <w:sz w:val="16"/>
                <w:szCs w:val="16"/>
              </w:rPr>
              <w:t>the concession</w:t>
            </w:r>
            <w:r w:rsidRPr="006E6401">
              <w:rPr>
                <w:rFonts w:ascii="Arial" w:hAnsi="Arial" w:cs="Arial"/>
                <w:color w:val="000000"/>
                <w:sz w:val="16"/>
                <w:szCs w:val="16"/>
              </w:rPr>
              <w:t xml:space="preserve"> after 1 July</w:t>
            </w:r>
            <w:r w:rsidR="006D1A9B">
              <w:rPr>
                <w:rFonts w:ascii="Arial" w:hAnsi="Arial" w:cs="Arial"/>
                <w:color w:val="000000"/>
                <w:sz w:val="16"/>
                <w:szCs w:val="16"/>
              </w:rPr>
              <w:t xml:space="preserve"> 2017</w:t>
            </w:r>
            <w:r w:rsidRPr="006E6401">
              <w:rPr>
                <w:rFonts w:ascii="Arial" w:hAnsi="Arial" w:cs="Arial"/>
                <w:color w:val="000000"/>
                <w:sz w:val="16"/>
                <w:szCs w:val="16"/>
              </w:rPr>
              <w:t>.</w:t>
            </w:r>
          </w:p>
        </w:tc>
      </w:tr>
      <w:tr w:rsidR="00683990" w:rsidRPr="006E6401" w14:paraId="208714BD" w14:textId="77777777" w:rsidTr="007128CF">
        <w:trPr>
          <w:cantSplit/>
          <w:trHeight w:val="270"/>
        </w:trPr>
        <w:tc>
          <w:tcPr>
            <w:tcW w:w="641" w:type="pct"/>
          </w:tcPr>
          <w:p w14:paraId="208714BA" w14:textId="77777777" w:rsidR="00683990" w:rsidRDefault="00683990" w:rsidP="007128CF">
            <w:pPr>
              <w:spacing w:before="20" w:after="20" w:line="240" w:lineRule="auto"/>
              <w:jc w:val="center"/>
              <w:rPr>
                <w:rFonts w:ascii="Arial" w:hAnsi="Arial" w:cs="Arial"/>
                <w:color w:val="000000"/>
                <w:sz w:val="16"/>
                <w:szCs w:val="16"/>
              </w:rPr>
            </w:pPr>
            <w:r>
              <w:rPr>
                <w:rFonts w:ascii="Arial" w:hAnsi="Arial" w:cs="Arial"/>
                <w:color w:val="000000"/>
                <w:sz w:val="16"/>
                <w:szCs w:val="16"/>
              </w:rPr>
              <w:t>F20</w:t>
            </w:r>
          </w:p>
        </w:tc>
        <w:tc>
          <w:tcPr>
            <w:tcW w:w="1746" w:type="pct"/>
          </w:tcPr>
          <w:p w14:paraId="208714BB"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Wine equalisation tax producer rebate</w:t>
            </w:r>
          </w:p>
        </w:tc>
        <w:tc>
          <w:tcPr>
            <w:tcW w:w="2613" w:type="pct"/>
          </w:tcPr>
          <w:p w14:paraId="208714BC"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The WET rebate cap will reduce to $350,000 and new eligibility criteria will apply from 1 July 2018.</w:t>
            </w:r>
          </w:p>
        </w:tc>
      </w:tr>
      <w:tr w:rsidR="00683990" w:rsidRPr="006E6401" w14:paraId="208714C1" w14:textId="77777777" w:rsidTr="007128CF">
        <w:trPr>
          <w:cantSplit/>
          <w:trHeight w:val="270"/>
        </w:trPr>
        <w:tc>
          <w:tcPr>
            <w:tcW w:w="641" w:type="pct"/>
          </w:tcPr>
          <w:p w14:paraId="208714BE" w14:textId="77777777" w:rsidR="00683990" w:rsidRDefault="00683990" w:rsidP="007128CF">
            <w:pPr>
              <w:spacing w:before="20" w:after="20" w:line="240" w:lineRule="auto"/>
              <w:jc w:val="center"/>
              <w:rPr>
                <w:rFonts w:ascii="Arial" w:hAnsi="Arial" w:cs="Arial"/>
                <w:color w:val="000000"/>
                <w:sz w:val="16"/>
                <w:szCs w:val="16"/>
              </w:rPr>
            </w:pPr>
            <w:r>
              <w:rPr>
                <w:rFonts w:ascii="Arial" w:hAnsi="Arial" w:cs="Arial"/>
                <w:color w:val="000000"/>
                <w:sz w:val="16"/>
                <w:szCs w:val="16"/>
              </w:rPr>
              <w:t>F21</w:t>
            </w:r>
          </w:p>
        </w:tc>
        <w:tc>
          <w:tcPr>
            <w:tcW w:w="1746" w:type="pct"/>
          </w:tcPr>
          <w:p w14:paraId="208714BF"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Certain exemptions for diplomatic missions and foreign diplomats</w:t>
            </w:r>
          </w:p>
        </w:tc>
        <w:tc>
          <w:tcPr>
            <w:tcW w:w="2613" w:type="pct"/>
          </w:tcPr>
          <w:p w14:paraId="208714C0"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The Indirect Tax Concession Scheme has been extended to Cyprus, Estonia, Finland and the Organisation for the Prohibition of Chemical Weapons.</w:t>
            </w:r>
          </w:p>
        </w:tc>
      </w:tr>
      <w:tr w:rsidR="00683990" w:rsidRPr="006E6401" w14:paraId="208714C5" w14:textId="77777777" w:rsidTr="00F5217D">
        <w:trPr>
          <w:cantSplit/>
          <w:trHeight w:val="270"/>
        </w:trPr>
        <w:tc>
          <w:tcPr>
            <w:tcW w:w="641" w:type="pct"/>
          </w:tcPr>
          <w:p w14:paraId="208714C2" w14:textId="77777777" w:rsidR="00683990" w:rsidRDefault="00683990" w:rsidP="007128CF">
            <w:pPr>
              <w:spacing w:before="20" w:after="20" w:line="240" w:lineRule="auto"/>
              <w:jc w:val="center"/>
              <w:rPr>
                <w:rFonts w:ascii="Arial" w:hAnsi="Arial" w:cs="Arial"/>
                <w:color w:val="000000"/>
                <w:sz w:val="16"/>
                <w:szCs w:val="16"/>
              </w:rPr>
            </w:pPr>
            <w:r>
              <w:rPr>
                <w:rFonts w:ascii="Arial" w:hAnsi="Arial" w:cs="Arial"/>
                <w:color w:val="000000"/>
                <w:sz w:val="16"/>
                <w:szCs w:val="16"/>
              </w:rPr>
              <w:t>H7</w:t>
            </w:r>
          </w:p>
        </w:tc>
        <w:tc>
          <w:tcPr>
            <w:tcW w:w="1746" w:type="pct"/>
          </w:tcPr>
          <w:p w14:paraId="208714C3"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Diplomats, diplomatic missions and approved international organisations</w:t>
            </w:r>
          </w:p>
        </w:tc>
        <w:tc>
          <w:tcPr>
            <w:tcW w:w="2613" w:type="pct"/>
          </w:tcPr>
          <w:p w14:paraId="208714C4"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The Indirect Tax Concession Scheme has been extended to Cyprus, Estonia, Finland and the Organisation for the Prohibition of Chemical Weapons.</w:t>
            </w:r>
          </w:p>
        </w:tc>
      </w:tr>
      <w:tr w:rsidR="00683990" w:rsidRPr="006E6401" w14:paraId="208714C9" w14:textId="77777777" w:rsidTr="00F5217D">
        <w:trPr>
          <w:cantSplit/>
          <w:trHeight w:val="270"/>
        </w:trPr>
        <w:tc>
          <w:tcPr>
            <w:tcW w:w="641" w:type="pct"/>
            <w:tcBorders>
              <w:bottom w:val="single" w:sz="4" w:space="0" w:color="auto"/>
            </w:tcBorders>
          </w:tcPr>
          <w:p w14:paraId="208714C6" w14:textId="77777777" w:rsidR="00683990" w:rsidRDefault="00683990" w:rsidP="007128CF">
            <w:pPr>
              <w:spacing w:before="20" w:after="20" w:line="240" w:lineRule="auto"/>
              <w:jc w:val="center"/>
              <w:rPr>
                <w:rFonts w:ascii="Arial" w:hAnsi="Arial" w:cs="Arial"/>
                <w:color w:val="000000"/>
                <w:sz w:val="16"/>
                <w:szCs w:val="16"/>
              </w:rPr>
            </w:pPr>
            <w:r>
              <w:rPr>
                <w:rFonts w:ascii="Arial" w:hAnsi="Arial" w:cs="Arial"/>
                <w:color w:val="000000"/>
                <w:sz w:val="16"/>
                <w:szCs w:val="16"/>
              </w:rPr>
              <w:t>H12</w:t>
            </w:r>
          </w:p>
        </w:tc>
        <w:tc>
          <w:tcPr>
            <w:tcW w:w="1746" w:type="pct"/>
            <w:tcBorders>
              <w:bottom w:val="single" w:sz="4" w:space="0" w:color="auto"/>
            </w:tcBorders>
          </w:tcPr>
          <w:p w14:paraId="208714C7"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Importation threshold</w:t>
            </w:r>
          </w:p>
        </w:tc>
        <w:tc>
          <w:tcPr>
            <w:tcW w:w="2613" w:type="pct"/>
            <w:tcBorders>
              <w:bottom w:val="single" w:sz="4" w:space="0" w:color="auto"/>
            </w:tcBorders>
          </w:tcPr>
          <w:p w14:paraId="208714C8" w14:textId="77777777" w:rsidR="00683990" w:rsidRPr="006E6401" w:rsidRDefault="00683990" w:rsidP="007128CF">
            <w:pPr>
              <w:spacing w:before="20" w:after="20" w:line="240" w:lineRule="auto"/>
              <w:jc w:val="left"/>
              <w:rPr>
                <w:rFonts w:ascii="Arial" w:hAnsi="Arial" w:cs="Arial"/>
                <w:color w:val="000000"/>
                <w:sz w:val="16"/>
                <w:szCs w:val="16"/>
              </w:rPr>
            </w:pPr>
            <w:r w:rsidRPr="006E6401">
              <w:rPr>
                <w:rFonts w:ascii="Arial" w:hAnsi="Arial" w:cs="Arial"/>
                <w:color w:val="000000"/>
                <w:sz w:val="16"/>
                <w:szCs w:val="16"/>
              </w:rPr>
              <w:t>From 1 July 2017 overseas vendors that have an Australian turnover of $75,000 or more will be required to collect and remit GST for low value goods ($1,000 or less) supplied to consumers in Australia.</w:t>
            </w:r>
          </w:p>
        </w:tc>
      </w:tr>
    </w:tbl>
    <w:p w14:paraId="3B763AB2" w14:textId="77777777" w:rsidR="00F5217D" w:rsidRDefault="00F5217D" w:rsidP="00B111E1"/>
    <w:p w14:paraId="208714CE" w14:textId="5D9FAD8E" w:rsidR="00683990" w:rsidRPr="00762F6A" w:rsidRDefault="00F5217D" w:rsidP="00B111E1">
      <w:r>
        <w:t xml:space="preserve">In addition, </w:t>
      </w:r>
      <w:r w:rsidRPr="00F5217D">
        <w:t>small business tax expenditures were affected by the increase in the small business entity annual turnover threshold from $2 million to $10 million from 1 July 2016.</w:t>
      </w:r>
    </w:p>
    <w:p w14:paraId="208714D0" w14:textId="1A1859A3" w:rsidR="00B111E1" w:rsidRPr="00762F6A" w:rsidRDefault="001E4822" w:rsidP="00B111E1">
      <w:pPr>
        <w:pStyle w:val="Heading2"/>
        <w:numPr>
          <w:ilvl w:val="0"/>
          <w:numId w:val="0"/>
        </w:numPr>
        <w:ind w:left="567" w:hanging="567"/>
      </w:pPr>
      <w:bookmarkStart w:id="61" w:name="_Toc406673253"/>
      <w:bookmarkStart w:id="62" w:name="_Toc441067003"/>
      <w:bookmarkStart w:id="63" w:name="_Toc472604552"/>
      <w:r>
        <w:rPr>
          <w:rFonts w:cs="Arial"/>
        </w:rPr>
        <w:t>C</w:t>
      </w:r>
      <w:r w:rsidR="00B111E1" w:rsidRPr="00762F6A">
        <w:rPr>
          <w:rFonts w:cs="Arial"/>
        </w:rPr>
        <w:t>.3</w:t>
      </w:r>
      <w:r w:rsidR="00B111E1" w:rsidRPr="00762F6A">
        <w:rPr>
          <w:rFonts w:cs="Arial"/>
        </w:rPr>
        <w:tab/>
      </w:r>
      <w:r w:rsidR="00B111E1" w:rsidRPr="00762F6A">
        <w:t>Deleted tax expenditures</w:t>
      </w:r>
      <w:bookmarkEnd w:id="61"/>
      <w:bookmarkEnd w:id="62"/>
      <w:bookmarkEnd w:id="63"/>
    </w:p>
    <w:p w14:paraId="208714D1" w14:textId="4798A8C3" w:rsidR="00B111E1" w:rsidRPr="00762F6A" w:rsidRDefault="00B111E1" w:rsidP="00B111E1">
      <w:r w:rsidRPr="00762F6A">
        <w:t xml:space="preserve">Table </w:t>
      </w:r>
      <w:r w:rsidR="001E4822">
        <w:t>C</w:t>
      </w:r>
      <w:r w:rsidRPr="00762F6A">
        <w:t xml:space="preserve">.3 reports tax expenditures that have been deleted since the </w:t>
      </w:r>
      <w:r w:rsidRPr="00762F6A">
        <w:rPr>
          <w:rStyle w:val="Italic"/>
          <w:i w:val="0"/>
        </w:rPr>
        <w:t>201</w:t>
      </w:r>
      <w:r w:rsidR="00390AA1">
        <w:rPr>
          <w:rStyle w:val="Italic"/>
          <w:i w:val="0"/>
        </w:rPr>
        <w:t>5</w:t>
      </w:r>
      <w:r w:rsidRPr="00762F6A">
        <w:rPr>
          <w:rStyle w:val="Italic"/>
          <w:i w:val="0"/>
        </w:rPr>
        <w:t xml:space="preserve"> TES</w:t>
      </w:r>
      <w:r w:rsidRPr="00762F6A">
        <w:t>. Tax expenditures were deleted where legislation to abolish them commenced before the 201</w:t>
      </w:r>
      <w:r w:rsidR="00390AA1">
        <w:t>6</w:t>
      </w:r>
      <w:r w:rsidRPr="00762F6A">
        <w:noBreakHyphen/>
        <w:t>1</w:t>
      </w:r>
      <w:r w:rsidR="00390AA1">
        <w:t>7</w:t>
      </w:r>
      <w:r w:rsidRPr="00762F6A">
        <w:t xml:space="preserve"> MYEFO unless, for example, </w:t>
      </w:r>
      <w:r w:rsidR="00F5217D">
        <w:t>the</w:t>
      </w:r>
      <w:r w:rsidRPr="00762F6A">
        <w:t xml:space="preserve"> tax expenditure continued to generate significant revenue forgone estimates in future years. </w:t>
      </w:r>
    </w:p>
    <w:p w14:paraId="208714D2" w14:textId="12363B0C" w:rsidR="00B111E1" w:rsidRPr="00762F6A" w:rsidRDefault="00B111E1" w:rsidP="00B111E1">
      <w:pPr>
        <w:pStyle w:val="TableHeading"/>
      </w:pPr>
      <w:r w:rsidRPr="00762F6A">
        <w:t xml:space="preserve">Table </w:t>
      </w:r>
      <w:r w:rsidR="001E4822">
        <w:t>C</w:t>
      </w:r>
      <w:r w:rsidRPr="00762F6A">
        <w:t>.3: Deleted tax expenditures</w:t>
      </w:r>
    </w:p>
    <w:tbl>
      <w:tblPr>
        <w:tblW w:w="7689" w:type="dxa"/>
        <w:tblInd w:w="132" w:type="dxa"/>
        <w:tblLayout w:type="fixed"/>
        <w:tblLook w:val="01E0" w:firstRow="1" w:lastRow="1" w:firstColumn="1" w:lastColumn="1" w:noHBand="0" w:noVBand="0"/>
      </w:tblPr>
      <w:tblGrid>
        <w:gridCol w:w="970"/>
        <w:gridCol w:w="3305"/>
        <w:gridCol w:w="3414"/>
      </w:tblGrid>
      <w:tr w:rsidR="00B111E1" w:rsidRPr="00762F6A" w14:paraId="208714D6" w14:textId="77777777" w:rsidTr="00F6032C">
        <w:trPr>
          <w:trHeight w:val="270"/>
          <w:tblHeader/>
        </w:trPr>
        <w:tc>
          <w:tcPr>
            <w:tcW w:w="970" w:type="dxa"/>
            <w:tcBorders>
              <w:top w:val="single" w:sz="2" w:space="0" w:color="auto"/>
              <w:left w:val="nil"/>
              <w:bottom w:val="single" w:sz="2" w:space="0" w:color="auto"/>
              <w:right w:val="nil"/>
            </w:tcBorders>
            <w:vAlign w:val="center"/>
            <w:hideMark/>
          </w:tcPr>
          <w:p w14:paraId="208714D3" w14:textId="77777777" w:rsidR="00B111E1" w:rsidRPr="00762F6A" w:rsidRDefault="00B111E1" w:rsidP="009B57DC">
            <w:pPr>
              <w:pStyle w:val="TableColumnHeadingCentred"/>
            </w:pPr>
            <w:r w:rsidRPr="00762F6A">
              <w:t>201</w:t>
            </w:r>
            <w:r w:rsidR="009B57DC">
              <w:t>5</w:t>
            </w:r>
            <w:r w:rsidRPr="00762F6A">
              <w:t xml:space="preserve"> TES code</w:t>
            </w:r>
          </w:p>
        </w:tc>
        <w:tc>
          <w:tcPr>
            <w:tcW w:w="3305" w:type="dxa"/>
            <w:tcBorders>
              <w:top w:val="single" w:sz="2" w:space="0" w:color="auto"/>
              <w:left w:val="nil"/>
              <w:bottom w:val="single" w:sz="2" w:space="0" w:color="auto"/>
              <w:right w:val="nil"/>
            </w:tcBorders>
            <w:vAlign w:val="center"/>
            <w:hideMark/>
          </w:tcPr>
          <w:p w14:paraId="208714D4" w14:textId="77777777" w:rsidR="00B111E1" w:rsidRPr="00762F6A" w:rsidRDefault="00B111E1" w:rsidP="00F6032C">
            <w:pPr>
              <w:pStyle w:val="TableColumnHeadingLeft"/>
            </w:pPr>
            <w:r w:rsidRPr="00762F6A">
              <w:t>Tax expenditure title</w:t>
            </w:r>
          </w:p>
        </w:tc>
        <w:tc>
          <w:tcPr>
            <w:tcW w:w="3414" w:type="dxa"/>
            <w:tcBorders>
              <w:top w:val="single" w:sz="2" w:space="0" w:color="auto"/>
              <w:left w:val="nil"/>
              <w:bottom w:val="single" w:sz="2" w:space="0" w:color="auto"/>
              <w:right w:val="nil"/>
            </w:tcBorders>
            <w:vAlign w:val="center"/>
            <w:hideMark/>
          </w:tcPr>
          <w:p w14:paraId="208714D5" w14:textId="77777777" w:rsidR="00B111E1" w:rsidRPr="00762F6A" w:rsidRDefault="00B111E1" w:rsidP="00F6032C">
            <w:pPr>
              <w:pStyle w:val="TableColumnHeadingLeft"/>
            </w:pPr>
            <w:r w:rsidRPr="00762F6A">
              <w:t>Reason for deletion</w:t>
            </w:r>
          </w:p>
        </w:tc>
      </w:tr>
      <w:tr w:rsidR="00B111E1" w:rsidRPr="00762F6A" w14:paraId="208714DA" w14:textId="77777777" w:rsidTr="008E30CD">
        <w:trPr>
          <w:cantSplit/>
          <w:trHeight w:val="270"/>
          <w:tblHeader/>
        </w:trPr>
        <w:tc>
          <w:tcPr>
            <w:tcW w:w="970" w:type="dxa"/>
            <w:tcBorders>
              <w:left w:val="nil"/>
              <w:right w:val="nil"/>
            </w:tcBorders>
            <w:shd w:val="clear" w:color="auto" w:fill="auto"/>
          </w:tcPr>
          <w:p w14:paraId="208714D7" w14:textId="77777777" w:rsidR="00B111E1" w:rsidRPr="00762F6A" w:rsidRDefault="00F816D2" w:rsidP="00F816D2">
            <w:pPr>
              <w:spacing w:before="20" w:after="20" w:line="240" w:lineRule="auto"/>
              <w:jc w:val="center"/>
              <w:rPr>
                <w:rFonts w:ascii="Arial" w:hAnsi="Arial" w:cs="Arial"/>
                <w:color w:val="000000"/>
                <w:sz w:val="16"/>
                <w:szCs w:val="16"/>
              </w:rPr>
            </w:pPr>
            <w:r>
              <w:rPr>
                <w:rFonts w:ascii="Arial" w:hAnsi="Arial" w:cs="Arial"/>
                <w:color w:val="000000"/>
                <w:sz w:val="16"/>
                <w:szCs w:val="16"/>
              </w:rPr>
              <w:t>B2</w:t>
            </w:r>
          </w:p>
        </w:tc>
        <w:tc>
          <w:tcPr>
            <w:tcW w:w="3305" w:type="dxa"/>
            <w:tcBorders>
              <w:left w:val="nil"/>
              <w:right w:val="nil"/>
            </w:tcBorders>
            <w:shd w:val="clear" w:color="auto" w:fill="auto"/>
          </w:tcPr>
          <w:p w14:paraId="208714D8" w14:textId="77777777" w:rsidR="00B111E1" w:rsidRPr="00762F6A" w:rsidRDefault="00F816D2" w:rsidP="00F816D2">
            <w:pPr>
              <w:spacing w:before="20" w:after="20" w:line="240" w:lineRule="auto"/>
              <w:jc w:val="left"/>
              <w:rPr>
                <w:rFonts w:ascii="Arial" w:hAnsi="Arial" w:cs="Arial"/>
                <w:color w:val="000000"/>
                <w:sz w:val="16"/>
                <w:szCs w:val="16"/>
              </w:rPr>
            </w:pPr>
            <w:r>
              <w:rPr>
                <w:rFonts w:ascii="Arial" w:hAnsi="Arial" w:cs="Arial"/>
                <w:color w:val="000000"/>
                <w:sz w:val="16"/>
                <w:szCs w:val="16"/>
              </w:rPr>
              <w:t>National Guarantee Fund payment exemption</w:t>
            </w:r>
          </w:p>
        </w:tc>
        <w:tc>
          <w:tcPr>
            <w:tcW w:w="3414" w:type="dxa"/>
            <w:tcBorders>
              <w:left w:val="nil"/>
              <w:right w:val="nil"/>
            </w:tcBorders>
            <w:shd w:val="clear" w:color="auto" w:fill="auto"/>
          </w:tcPr>
          <w:p w14:paraId="208714D9" w14:textId="7F9F89FB" w:rsidR="00B111E1" w:rsidRPr="00762F6A" w:rsidRDefault="00BA3958" w:rsidP="007E4F57">
            <w:pPr>
              <w:pStyle w:val="TableColumnHeadingLeft"/>
              <w:rPr>
                <w:rFonts w:cs="Arial"/>
                <w:b w:val="0"/>
                <w:szCs w:val="16"/>
              </w:rPr>
            </w:pPr>
            <w:r>
              <w:rPr>
                <w:rFonts w:cs="Arial"/>
                <w:b w:val="0"/>
                <w:szCs w:val="16"/>
              </w:rPr>
              <w:t xml:space="preserve">This exemption was repealed </w:t>
            </w:r>
            <w:r w:rsidR="007E4F57">
              <w:rPr>
                <w:rFonts w:cs="Arial"/>
                <w:b w:val="0"/>
                <w:szCs w:val="16"/>
              </w:rPr>
              <w:t>by</w:t>
            </w:r>
            <w:r>
              <w:rPr>
                <w:rFonts w:cs="Arial"/>
                <w:b w:val="0"/>
                <w:szCs w:val="16"/>
              </w:rPr>
              <w:t xml:space="preserve"> the </w:t>
            </w:r>
            <w:r w:rsidRPr="00EA5FF5">
              <w:rPr>
                <w:rFonts w:cs="Arial"/>
                <w:b w:val="0"/>
                <w:i/>
                <w:szCs w:val="16"/>
              </w:rPr>
              <w:t>Omnibus Repeal Day (Autumn 2015) Act</w:t>
            </w:r>
            <w:r w:rsidR="00EA5FF5" w:rsidRPr="00EA5FF5">
              <w:rPr>
                <w:rFonts w:cs="Arial"/>
                <w:b w:val="0"/>
                <w:i/>
                <w:szCs w:val="16"/>
              </w:rPr>
              <w:t> </w:t>
            </w:r>
            <w:r w:rsidRPr="00EA5FF5">
              <w:rPr>
                <w:rFonts w:cs="Arial"/>
                <w:b w:val="0"/>
                <w:i/>
                <w:szCs w:val="16"/>
              </w:rPr>
              <w:t>2016.</w:t>
            </w:r>
          </w:p>
        </w:tc>
      </w:tr>
      <w:tr w:rsidR="00BA3958" w:rsidRPr="00762F6A" w14:paraId="208714DE" w14:textId="77777777" w:rsidTr="008E30CD">
        <w:trPr>
          <w:cantSplit/>
          <w:trHeight w:val="270"/>
          <w:tblHeader/>
        </w:trPr>
        <w:tc>
          <w:tcPr>
            <w:tcW w:w="970" w:type="dxa"/>
            <w:tcBorders>
              <w:left w:val="nil"/>
              <w:bottom w:val="single" w:sz="4" w:space="0" w:color="auto"/>
              <w:right w:val="nil"/>
            </w:tcBorders>
            <w:shd w:val="clear" w:color="auto" w:fill="auto"/>
          </w:tcPr>
          <w:p w14:paraId="208714DB" w14:textId="77777777" w:rsidR="00BA3958" w:rsidRPr="00762F6A" w:rsidRDefault="00BA3958" w:rsidP="00F6032C">
            <w:pPr>
              <w:spacing w:before="20" w:after="20" w:line="240" w:lineRule="auto"/>
              <w:jc w:val="center"/>
              <w:rPr>
                <w:rFonts w:ascii="Arial" w:hAnsi="Arial" w:cs="Arial"/>
                <w:color w:val="000000"/>
                <w:sz w:val="16"/>
                <w:szCs w:val="16"/>
              </w:rPr>
            </w:pPr>
            <w:r>
              <w:rPr>
                <w:rFonts w:ascii="Arial" w:hAnsi="Arial" w:cs="Arial"/>
                <w:color w:val="000000"/>
                <w:sz w:val="16"/>
                <w:szCs w:val="16"/>
              </w:rPr>
              <w:t>B17</w:t>
            </w:r>
          </w:p>
        </w:tc>
        <w:tc>
          <w:tcPr>
            <w:tcW w:w="3305" w:type="dxa"/>
            <w:tcBorders>
              <w:left w:val="nil"/>
              <w:bottom w:val="single" w:sz="4" w:space="0" w:color="auto"/>
              <w:right w:val="nil"/>
            </w:tcBorders>
            <w:shd w:val="clear" w:color="auto" w:fill="auto"/>
          </w:tcPr>
          <w:p w14:paraId="208714DC" w14:textId="77777777" w:rsidR="00BA3958" w:rsidRPr="00762F6A" w:rsidRDefault="00BA3958" w:rsidP="00F6032C">
            <w:pPr>
              <w:spacing w:before="20" w:after="20" w:line="240" w:lineRule="auto"/>
              <w:jc w:val="left"/>
              <w:rPr>
                <w:rFonts w:ascii="Arial" w:hAnsi="Arial" w:cs="Arial"/>
                <w:color w:val="000000"/>
                <w:sz w:val="16"/>
                <w:szCs w:val="16"/>
              </w:rPr>
            </w:pPr>
            <w:r>
              <w:rPr>
                <w:rFonts w:ascii="Arial" w:hAnsi="Arial" w:cs="Arial"/>
                <w:color w:val="000000"/>
                <w:sz w:val="16"/>
                <w:szCs w:val="16"/>
              </w:rPr>
              <w:t>Regional headquarters set-up cost deduction</w:t>
            </w:r>
          </w:p>
        </w:tc>
        <w:tc>
          <w:tcPr>
            <w:tcW w:w="3414" w:type="dxa"/>
            <w:tcBorders>
              <w:left w:val="nil"/>
              <w:bottom w:val="single" w:sz="4" w:space="0" w:color="auto"/>
              <w:right w:val="nil"/>
            </w:tcBorders>
            <w:shd w:val="clear" w:color="auto" w:fill="auto"/>
          </w:tcPr>
          <w:p w14:paraId="208714DD" w14:textId="0CC73973" w:rsidR="00BA3958" w:rsidRPr="00762F6A" w:rsidRDefault="00BA3958" w:rsidP="007E4F57">
            <w:pPr>
              <w:pStyle w:val="TableColumnHeadingLeft"/>
              <w:rPr>
                <w:rFonts w:cs="Arial"/>
                <w:b w:val="0"/>
                <w:szCs w:val="16"/>
              </w:rPr>
            </w:pPr>
            <w:r>
              <w:rPr>
                <w:rFonts w:cs="Arial"/>
                <w:b w:val="0"/>
                <w:szCs w:val="16"/>
              </w:rPr>
              <w:t xml:space="preserve">This exemption was repealed </w:t>
            </w:r>
            <w:r w:rsidR="007E4F57">
              <w:rPr>
                <w:rFonts w:cs="Arial"/>
                <w:b w:val="0"/>
                <w:szCs w:val="16"/>
              </w:rPr>
              <w:t>by</w:t>
            </w:r>
            <w:r>
              <w:rPr>
                <w:rFonts w:cs="Arial"/>
                <w:b w:val="0"/>
                <w:szCs w:val="16"/>
              </w:rPr>
              <w:t xml:space="preserve"> the </w:t>
            </w:r>
            <w:r w:rsidRPr="00EA5FF5">
              <w:rPr>
                <w:rFonts w:cs="Arial"/>
                <w:b w:val="0"/>
                <w:i/>
                <w:szCs w:val="16"/>
              </w:rPr>
              <w:t>Omnibus Repeal Day (Autumn 2015) Act</w:t>
            </w:r>
            <w:r w:rsidR="00EA5FF5" w:rsidRPr="00EA5FF5">
              <w:rPr>
                <w:rFonts w:cs="Arial"/>
                <w:b w:val="0"/>
                <w:i/>
                <w:szCs w:val="16"/>
              </w:rPr>
              <w:t> </w:t>
            </w:r>
            <w:r w:rsidRPr="00EA5FF5">
              <w:rPr>
                <w:rFonts w:cs="Arial"/>
                <w:b w:val="0"/>
                <w:i/>
                <w:szCs w:val="16"/>
              </w:rPr>
              <w:t>2016.</w:t>
            </w:r>
          </w:p>
        </w:tc>
      </w:tr>
    </w:tbl>
    <w:p w14:paraId="208714E3" w14:textId="77777777" w:rsidR="003F0CEE" w:rsidRDefault="003F0CEE" w:rsidP="00244B81">
      <w:pPr>
        <w:pStyle w:val="TableHeadingcontinued"/>
      </w:pPr>
    </w:p>
    <w:p w14:paraId="0EC23CB9" w14:textId="77777777" w:rsidR="00F5217D" w:rsidRDefault="00F5217D" w:rsidP="00F5217D">
      <w:pPr>
        <w:pStyle w:val="TableGraphic"/>
      </w:pPr>
    </w:p>
    <w:p w14:paraId="4CA0360F" w14:textId="77777777" w:rsidR="00F5217D" w:rsidRPr="00F5217D" w:rsidRDefault="00F5217D" w:rsidP="00F5217D"/>
    <w:p w14:paraId="208714E4" w14:textId="77777777" w:rsidR="00F9108A" w:rsidRDefault="00F9108A" w:rsidP="00F9108A">
      <w:pPr>
        <w:pStyle w:val="TableGraphic"/>
      </w:pPr>
    </w:p>
    <w:p w14:paraId="208714E6" w14:textId="3F0CA076" w:rsidR="00CB1A57" w:rsidRDefault="008E30CD" w:rsidP="008E30CD">
      <w:pPr>
        <w:pStyle w:val="Heading2"/>
        <w:numPr>
          <w:ilvl w:val="0"/>
          <w:numId w:val="0"/>
        </w:numPr>
        <w:ind w:left="567" w:hanging="567"/>
        <w:rPr>
          <w:rFonts w:cs="Arial"/>
        </w:rPr>
      </w:pPr>
      <w:bookmarkStart w:id="64" w:name="_Toc472604553"/>
      <w:bookmarkStart w:id="65" w:name="_Toc441067004"/>
      <w:r>
        <w:rPr>
          <w:rFonts w:cs="Arial"/>
        </w:rPr>
        <w:lastRenderedPageBreak/>
        <w:t>C</w:t>
      </w:r>
      <w:r w:rsidRPr="00762F6A">
        <w:rPr>
          <w:rFonts w:cs="Arial"/>
        </w:rPr>
        <w:t>.</w:t>
      </w:r>
      <w:r>
        <w:rPr>
          <w:rFonts w:cs="Arial"/>
        </w:rPr>
        <w:t>4</w:t>
      </w:r>
      <w:r w:rsidRPr="00762F6A">
        <w:rPr>
          <w:rFonts w:cs="Arial"/>
        </w:rPr>
        <w:tab/>
      </w:r>
      <w:r>
        <w:rPr>
          <w:rFonts w:cs="Arial"/>
        </w:rPr>
        <w:t>Reporting modifications</w:t>
      </w:r>
      <w:bookmarkEnd w:id="64"/>
    </w:p>
    <w:p w14:paraId="7E208E8C" w14:textId="139E96F8" w:rsidR="008E30CD" w:rsidRDefault="008E30CD" w:rsidP="008E30CD">
      <w:r>
        <w:t xml:space="preserve">Table C.4 </w:t>
      </w:r>
      <w:r w:rsidR="00167713">
        <w:t>lists</w:t>
      </w:r>
      <w:r>
        <w:t xml:space="preserve"> </w:t>
      </w:r>
      <w:r w:rsidR="00167713">
        <w:t>signif</w:t>
      </w:r>
      <w:bookmarkStart w:id="66" w:name="_GoBack"/>
      <w:bookmarkEnd w:id="66"/>
      <w:r w:rsidR="00167713">
        <w:t xml:space="preserve">icant </w:t>
      </w:r>
      <w:r>
        <w:t>reporting modifications made to tax expenditures since the 2015 TES.</w:t>
      </w:r>
    </w:p>
    <w:p w14:paraId="2A2AA116" w14:textId="54862679" w:rsidR="008E30CD" w:rsidRPr="00762F6A" w:rsidRDefault="008E30CD" w:rsidP="008E30CD">
      <w:pPr>
        <w:pStyle w:val="TableHeading"/>
      </w:pPr>
      <w:r w:rsidRPr="00762F6A">
        <w:t xml:space="preserve">Table </w:t>
      </w:r>
      <w:r>
        <w:t>C</w:t>
      </w:r>
      <w:r w:rsidRPr="00762F6A">
        <w:t>.</w:t>
      </w:r>
      <w:r>
        <w:t>4</w:t>
      </w:r>
      <w:r w:rsidRPr="00762F6A">
        <w:t xml:space="preserve">: </w:t>
      </w:r>
      <w:r>
        <w:t>Reporting modifications</w:t>
      </w:r>
    </w:p>
    <w:tbl>
      <w:tblPr>
        <w:tblW w:w="7714" w:type="dxa"/>
        <w:tblInd w:w="108" w:type="dxa"/>
        <w:tblLayout w:type="fixed"/>
        <w:tblLook w:val="01E0" w:firstRow="1" w:lastRow="1" w:firstColumn="1" w:lastColumn="1" w:noHBand="0" w:noVBand="0"/>
      </w:tblPr>
      <w:tblGrid>
        <w:gridCol w:w="995"/>
        <w:gridCol w:w="3258"/>
        <w:gridCol w:w="3461"/>
      </w:tblGrid>
      <w:tr w:rsidR="008E30CD" w:rsidRPr="00762F6A" w14:paraId="41A4A119" w14:textId="77777777" w:rsidTr="00B940BA">
        <w:trPr>
          <w:trHeight w:val="270"/>
          <w:tblHeader/>
        </w:trPr>
        <w:tc>
          <w:tcPr>
            <w:tcW w:w="995" w:type="dxa"/>
            <w:tcBorders>
              <w:top w:val="single" w:sz="2" w:space="0" w:color="auto"/>
              <w:left w:val="nil"/>
              <w:bottom w:val="single" w:sz="2" w:space="0" w:color="auto"/>
              <w:right w:val="nil"/>
            </w:tcBorders>
            <w:vAlign w:val="center"/>
            <w:hideMark/>
          </w:tcPr>
          <w:p w14:paraId="407290D9" w14:textId="77777777" w:rsidR="008E30CD" w:rsidRPr="00762F6A" w:rsidRDefault="008E30CD" w:rsidP="0087773C">
            <w:pPr>
              <w:pStyle w:val="TableColumnHeadingCentred"/>
            </w:pPr>
            <w:r w:rsidRPr="00762F6A">
              <w:t>201</w:t>
            </w:r>
            <w:r>
              <w:t>5</w:t>
            </w:r>
            <w:r w:rsidRPr="00762F6A">
              <w:t xml:space="preserve"> TES code</w:t>
            </w:r>
          </w:p>
        </w:tc>
        <w:tc>
          <w:tcPr>
            <w:tcW w:w="3258" w:type="dxa"/>
            <w:tcBorders>
              <w:top w:val="single" w:sz="2" w:space="0" w:color="auto"/>
              <w:left w:val="nil"/>
              <w:bottom w:val="single" w:sz="2" w:space="0" w:color="auto"/>
              <w:right w:val="nil"/>
            </w:tcBorders>
            <w:vAlign w:val="center"/>
            <w:hideMark/>
          </w:tcPr>
          <w:p w14:paraId="062BB618" w14:textId="77777777" w:rsidR="008E30CD" w:rsidRPr="00762F6A" w:rsidRDefault="008E30CD" w:rsidP="0087773C">
            <w:pPr>
              <w:pStyle w:val="TableColumnHeadingLeft"/>
            </w:pPr>
            <w:r w:rsidRPr="00762F6A">
              <w:t>Tax expenditure title</w:t>
            </w:r>
          </w:p>
        </w:tc>
        <w:tc>
          <w:tcPr>
            <w:tcW w:w="3461" w:type="dxa"/>
            <w:tcBorders>
              <w:top w:val="single" w:sz="2" w:space="0" w:color="auto"/>
              <w:left w:val="nil"/>
              <w:bottom w:val="single" w:sz="2" w:space="0" w:color="auto"/>
              <w:right w:val="nil"/>
            </w:tcBorders>
            <w:vAlign w:val="center"/>
            <w:hideMark/>
          </w:tcPr>
          <w:p w14:paraId="55F5615A" w14:textId="17482E99" w:rsidR="008E30CD" w:rsidRPr="00762F6A" w:rsidRDefault="00167713" w:rsidP="00167713">
            <w:pPr>
              <w:pStyle w:val="TableColumnHeadingLeft"/>
            </w:pPr>
            <w:r>
              <w:t>Modification</w:t>
            </w:r>
          </w:p>
        </w:tc>
      </w:tr>
      <w:tr w:rsidR="00241DAA" w:rsidRPr="00762F6A" w14:paraId="680F3E8F" w14:textId="77777777" w:rsidTr="00B940BA">
        <w:trPr>
          <w:cantSplit/>
          <w:trHeight w:val="270"/>
        </w:trPr>
        <w:tc>
          <w:tcPr>
            <w:tcW w:w="995" w:type="dxa"/>
          </w:tcPr>
          <w:p w14:paraId="754361B5" w14:textId="24DFF449" w:rsidR="00241DAA" w:rsidRPr="00762F6A" w:rsidRDefault="00D513CD" w:rsidP="0087773C">
            <w:pPr>
              <w:spacing w:before="20" w:after="20" w:line="240" w:lineRule="auto"/>
              <w:jc w:val="center"/>
              <w:rPr>
                <w:rFonts w:ascii="Arial" w:hAnsi="Arial" w:cs="Arial"/>
                <w:color w:val="000000"/>
                <w:sz w:val="16"/>
                <w:szCs w:val="16"/>
              </w:rPr>
            </w:pPr>
            <w:r>
              <w:rPr>
                <w:rFonts w:ascii="Arial" w:hAnsi="Arial" w:cs="Arial"/>
                <w:color w:val="000000"/>
                <w:sz w:val="16"/>
                <w:szCs w:val="16"/>
              </w:rPr>
              <w:t>C4</w:t>
            </w:r>
          </w:p>
        </w:tc>
        <w:tc>
          <w:tcPr>
            <w:tcW w:w="3258" w:type="dxa"/>
          </w:tcPr>
          <w:p w14:paraId="3508413C" w14:textId="3EAB4898" w:rsidR="00241DAA" w:rsidRPr="00762F6A" w:rsidRDefault="00241DAA" w:rsidP="0087773C">
            <w:pPr>
              <w:spacing w:before="20" w:after="20" w:line="240" w:lineRule="auto"/>
              <w:jc w:val="left"/>
              <w:rPr>
                <w:rFonts w:ascii="Arial" w:hAnsi="Arial" w:cs="Arial"/>
                <w:sz w:val="16"/>
              </w:rPr>
            </w:pPr>
            <w:r w:rsidRPr="00196585">
              <w:rPr>
                <w:rFonts w:ascii="Arial" w:hAnsi="Arial" w:cs="Arial"/>
                <w:sz w:val="16"/>
              </w:rPr>
              <w:t>Concessional taxation of lump sum payments for unused recreation and long service leave</w:t>
            </w:r>
            <w:r w:rsidR="00D513CD">
              <w:rPr>
                <w:rFonts w:ascii="Arial" w:hAnsi="Arial" w:cs="Arial"/>
                <w:sz w:val="16"/>
              </w:rPr>
              <w:t xml:space="preserve"> (now A23)</w:t>
            </w:r>
          </w:p>
        </w:tc>
        <w:tc>
          <w:tcPr>
            <w:tcW w:w="3461" w:type="dxa"/>
            <w:vMerge w:val="restart"/>
          </w:tcPr>
          <w:p w14:paraId="15DE4E1C" w14:textId="77777777" w:rsidR="00241DAA" w:rsidRDefault="00241DAA" w:rsidP="00241DAA">
            <w:pPr>
              <w:spacing w:before="20" w:after="20" w:line="240" w:lineRule="auto"/>
              <w:jc w:val="left"/>
              <w:rPr>
                <w:rFonts w:ascii="Arial" w:hAnsi="Arial" w:cs="Arial"/>
                <w:color w:val="000000"/>
                <w:sz w:val="16"/>
                <w:szCs w:val="16"/>
              </w:rPr>
            </w:pPr>
          </w:p>
          <w:p w14:paraId="0C67471D" w14:textId="77777777" w:rsidR="00241DAA" w:rsidRDefault="00241DAA" w:rsidP="00241DAA">
            <w:pPr>
              <w:spacing w:before="20" w:after="20" w:line="240" w:lineRule="auto"/>
              <w:jc w:val="left"/>
              <w:rPr>
                <w:rFonts w:ascii="Arial" w:hAnsi="Arial" w:cs="Arial"/>
                <w:color w:val="000000"/>
                <w:sz w:val="16"/>
                <w:szCs w:val="16"/>
              </w:rPr>
            </w:pPr>
          </w:p>
          <w:p w14:paraId="711FED30" w14:textId="77777777" w:rsidR="00241DAA" w:rsidRDefault="00241DAA" w:rsidP="00241DAA">
            <w:pPr>
              <w:spacing w:before="20" w:after="20" w:line="240" w:lineRule="auto"/>
              <w:jc w:val="left"/>
              <w:rPr>
                <w:rFonts w:ascii="Arial" w:hAnsi="Arial" w:cs="Arial"/>
                <w:color w:val="000000"/>
                <w:sz w:val="16"/>
                <w:szCs w:val="16"/>
              </w:rPr>
            </w:pPr>
          </w:p>
          <w:p w14:paraId="18BB649B" w14:textId="7585E80E" w:rsidR="00241DAA" w:rsidRPr="00762F6A" w:rsidRDefault="00241DAA" w:rsidP="00241DAA">
            <w:pPr>
              <w:spacing w:before="20" w:after="20" w:line="240" w:lineRule="auto"/>
              <w:jc w:val="left"/>
              <w:rPr>
                <w:rFonts w:ascii="Arial" w:hAnsi="Arial" w:cs="Arial"/>
                <w:color w:val="000000"/>
                <w:sz w:val="16"/>
                <w:szCs w:val="16"/>
              </w:rPr>
            </w:pPr>
            <w:r w:rsidRPr="00196585">
              <w:rPr>
                <w:rFonts w:ascii="Arial" w:hAnsi="Arial" w:cs="Arial"/>
                <w:color w:val="000000"/>
                <w:sz w:val="16"/>
                <w:szCs w:val="16"/>
              </w:rPr>
              <w:t xml:space="preserve">Moved from the retirement savings </w:t>
            </w:r>
            <w:r>
              <w:rPr>
                <w:rFonts w:ascii="Arial" w:hAnsi="Arial" w:cs="Arial"/>
                <w:color w:val="000000"/>
                <w:sz w:val="16"/>
                <w:szCs w:val="16"/>
              </w:rPr>
              <w:t>section</w:t>
            </w:r>
            <w:r w:rsidRPr="00196585">
              <w:rPr>
                <w:rFonts w:ascii="Arial" w:hAnsi="Arial" w:cs="Arial"/>
                <w:color w:val="000000"/>
                <w:sz w:val="16"/>
                <w:szCs w:val="16"/>
              </w:rPr>
              <w:t xml:space="preserve"> </w:t>
            </w:r>
            <w:r>
              <w:rPr>
                <w:rFonts w:ascii="Arial" w:hAnsi="Arial" w:cs="Arial"/>
                <w:color w:val="000000"/>
                <w:sz w:val="16"/>
                <w:szCs w:val="16"/>
              </w:rPr>
              <w:t>to the personal income section</w:t>
            </w:r>
            <w:r w:rsidRPr="00196585">
              <w:rPr>
                <w:rFonts w:ascii="Arial" w:hAnsi="Arial" w:cs="Arial"/>
                <w:color w:val="000000"/>
                <w:sz w:val="16"/>
                <w:szCs w:val="16"/>
              </w:rPr>
              <w:t>.</w:t>
            </w:r>
          </w:p>
        </w:tc>
      </w:tr>
      <w:tr w:rsidR="00241DAA" w:rsidRPr="00762F6A" w14:paraId="5D93E01F" w14:textId="77777777" w:rsidTr="00B940BA">
        <w:trPr>
          <w:cantSplit/>
          <w:trHeight w:val="270"/>
          <w:tblHeader/>
        </w:trPr>
        <w:tc>
          <w:tcPr>
            <w:tcW w:w="995" w:type="dxa"/>
            <w:tcBorders>
              <w:left w:val="nil"/>
              <w:right w:val="nil"/>
            </w:tcBorders>
            <w:shd w:val="clear" w:color="auto" w:fill="auto"/>
          </w:tcPr>
          <w:p w14:paraId="708644F7" w14:textId="45545D34" w:rsidR="00241DAA" w:rsidRPr="00762F6A" w:rsidRDefault="00D513CD" w:rsidP="0087773C">
            <w:pPr>
              <w:spacing w:before="20" w:after="20" w:line="240" w:lineRule="auto"/>
              <w:jc w:val="center"/>
              <w:rPr>
                <w:rFonts w:ascii="Arial" w:hAnsi="Arial" w:cs="Arial"/>
                <w:color w:val="000000"/>
                <w:sz w:val="16"/>
                <w:szCs w:val="16"/>
              </w:rPr>
            </w:pPr>
            <w:r>
              <w:rPr>
                <w:rFonts w:ascii="Arial" w:hAnsi="Arial" w:cs="Arial"/>
                <w:color w:val="000000"/>
                <w:sz w:val="16"/>
                <w:szCs w:val="16"/>
              </w:rPr>
              <w:t>C5</w:t>
            </w:r>
          </w:p>
        </w:tc>
        <w:tc>
          <w:tcPr>
            <w:tcW w:w="3258" w:type="dxa"/>
            <w:tcBorders>
              <w:left w:val="nil"/>
            </w:tcBorders>
            <w:shd w:val="clear" w:color="auto" w:fill="auto"/>
          </w:tcPr>
          <w:p w14:paraId="6A10A247" w14:textId="508869D5" w:rsidR="00241DAA" w:rsidRPr="00241DAA" w:rsidRDefault="00241DAA" w:rsidP="0087773C">
            <w:pPr>
              <w:spacing w:before="20" w:after="20" w:line="240" w:lineRule="auto"/>
              <w:jc w:val="left"/>
              <w:rPr>
                <w:rFonts w:ascii="Arial" w:hAnsi="Arial" w:cs="Arial"/>
                <w:color w:val="000000"/>
                <w:sz w:val="16"/>
                <w:szCs w:val="16"/>
              </w:rPr>
            </w:pPr>
            <w:r w:rsidRPr="00241DAA">
              <w:rPr>
                <w:rFonts w:ascii="Arial" w:hAnsi="Arial" w:cs="Arial"/>
                <w:color w:val="000000"/>
                <w:sz w:val="16"/>
                <w:szCs w:val="16"/>
              </w:rPr>
              <w:t>Concessional taxation of non</w:t>
            </w:r>
            <w:r w:rsidRPr="00241DAA">
              <w:rPr>
                <w:rFonts w:ascii="Arial" w:hAnsi="Arial" w:cs="Arial"/>
                <w:color w:val="000000"/>
                <w:sz w:val="16"/>
                <w:szCs w:val="16"/>
              </w:rPr>
              <w:noBreakHyphen/>
              <w:t>superannuation termination benefits</w:t>
            </w:r>
            <w:r w:rsidR="00D513CD">
              <w:rPr>
                <w:rFonts w:ascii="Arial" w:hAnsi="Arial" w:cs="Arial"/>
                <w:color w:val="000000"/>
                <w:sz w:val="16"/>
                <w:szCs w:val="16"/>
              </w:rPr>
              <w:t xml:space="preserve"> (now A24)</w:t>
            </w:r>
          </w:p>
        </w:tc>
        <w:tc>
          <w:tcPr>
            <w:tcW w:w="3461" w:type="dxa"/>
            <w:vMerge/>
            <w:shd w:val="clear" w:color="auto" w:fill="auto"/>
          </w:tcPr>
          <w:p w14:paraId="1B2E62E0" w14:textId="2D24530E" w:rsidR="00241DAA" w:rsidRPr="00241DAA" w:rsidRDefault="00241DAA" w:rsidP="0087773C">
            <w:pPr>
              <w:pStyle w:val="TableColumnHeadingLeft"/>
              <w:rPr>
                <w:rFonts w:cs="Arial"/>
                <w:b w:val="0"/>
                <w:szCs w:val="16"/>
              </w:rPr>
            </w:pPr>
          </w:p>
        </w:tc>
      </w:tr>
      <w:tr w:rsidR="00241DAA" w:rsidRPr="00762F6A" w14:paraId="37DFCE3C" w14:textId="77777777" w:rsidTr="00B940BA">
        <w:trPr>
          <w:cantSplit/>
          <w:trHeight w:val="270"/>
          <w:tblHeader/>
        </w:trPr>
        <w:tc>
          <w:tcPr>
            <w:tcW w:w="995" w:type="dxa"/>
            <w:tcBorders>
              <w:left w:val="nil"/>
              <w:right w:val="nil"/>
            </w:tcBorders>
            <w:shd w:val="clear" w:color="auto" w:fill="auto"/>
          </w:tcPr>
          <w:p w14:paraId="0D0A00AC" w14:textId="08322DB6" w:rsidR="00241DAA" w:rsidRPr="00762F6A" w:rsidRDefault="00D513CD" w:rsidP="0087773C">
            <w:pPr>
              <w:spacing w:before="20" w:after="20" w:line="240" w:lineRule="auto"/>
              <w:jc w:val="center"/>
              <w:rPr>
                <w:rFonts w:ascii="Arial" w:hAnsi="Arial" w:cs="Arial"/>
                <w:color w:val="000000"/>
                <w:sz w:val="16"/>
                <w:szCs w:val="16"/>
              </w:rPr>
            </w:pPr>
            <w:r>
              <w:rPr>
                <w:rFonts w:ascii="Arial" w:hAnsi="Arial" w:cs="Arial"/>
                <w:color w:val="000000"/>
                <w:sz w:val="16"/>
                <w:szCs w:val="16"/>
              </w:rPr>
              <w:t>C8</w:t>
            </w:r>
          </w:p>
        </w:tc>
        <w:tc>
          <w:tcPr>
            <w:tcW w:w="3258" w:type="dxa"/>
            <w:tcBorders>
              <w:left w:val="nil"/>
            </w:tcBorders>
            <w:shd w:val="clear" w:color="auto" w:fill="auto"/>
          </w:tcPr>
          <w:p w14:paraId="53C8802E" w14:textId="2BF6E838" w:rsidR="00241DAA" w:rsidRPr="00241DAA" w:rsidRDefault="00241DAA" w:rsidP="00B940BA">
            <w:pPr>
              <w:spacing w:before="20" w:after="20" w:line="240" w:lineRule="auto"/>
              <w:jc w:val="left"/>
              <w:rPr>
                <w:rFonts w:ascii="Arial" w:hAnsi="Arial" w:cs="Arial"/>
                <w:color w:val="000000"/>
                <w:sz w:val="16"/>
                <w:szCs w:val="16"/>
              </w:rPr>
            </w:pPr>
            <w:r w:rsidRPr="00241DAA">
              <w:rPr>
                <w:rFonts w:ascii="Arial" w:hAnsi="Arial" w:cs="Arial"/>
                <w:color w:val="000000"/>
                <w:sz w:val="16"/>
                <w:szCs w:val="16"/>
              </w:rPr>
              <w:t>Concessional taxation of unused long service leave accumulated prior to 16</w:t>
            </w:r>
            <w:r w:rsidR="00B940BA">
              <w:rPr>
                <w:rFonts w:ascii="Arial" w:hAnsi="Arial" w:cs="Arial"/>
                <w:color w:val="000000"/>
                <w:sz w:val="16"/>
                <w:szCs w:val="16"/>
              </w:rPr>
              <w:t> </w:t>
            </w:r>
            <w:r w:rsidRPr="00241DAA">
              <w:rPr>
                <w:rFonts w:ascii="Arial" w:hAnsi="Arial" w:cs="Arial"/>
                <w:color w:val="000000"/>
                <w:sz w:val="16"/>
                <w:szCs w:val="16"/>
              </w:rPr>
              <w:t>August 1978</w:t>
            </w:r>
            <w:r w:rsidR="00D513CD">
              <w:rPr>
                <w:rFonts w:ascii="Arial" w:hAnsi="Arial" w:cs="Arial"/>
                <w:color w:val="000000"/>
                <w:sz w:val="16"/>
                <w:szCs w:val="16"/>
              </w:rPr>
              <w:t xml:space="preserve"> (now </w:t>
            </w:r>
            <w:r w:rsidR="00D513CD" w:rsidRPr="00762F6A">
              <w:rPr>
                <w:rFonts w:ascii="Arial" w:hAnsi="Arial" w:cs="Arial"/>
                <w:color w:val="000000"/>
                <w:sz w:val="16"/>
                <w:szCs w:val="16"/>
              </w:rPr>
              <w:t>A</w:t>
            </w:r>
            <w:r w:rsidR="00D513CD">
              <w:rPr>
                <w:rFonts w:ascii="Arial" w:hAnsi="Arial" w:cs="Arial"/>
                <w:color w:val="000000"/>
                <w:sz w:val="16"/>
                <w:szCs w:val="16"/>
              </w:rPr>
              <w:t>25)</w:t>
            </w:r>
          </w:p>
        </w:tc>
        <w:tc>
          <w:tcPr>
            <w:tcW w:w="3461" w:type="dxa"/>
            <w:vMerge/>
            <w:shd w:val="clear" w:color="auto" w:fill="auto"/>
          </w:tcPr>
          <w:p w14:paraId="2DA541F3" w14:textId="77777777" w:rsidR="00241DAA" w:rsidRPr="00241DAA" w:rsidRDefault="00241DAA" w:rsidP="0087773C">
            <w:pPr>
              <w:pStyle w:val="TableColumnHeadingLeft"/>
              <w:rPr>
                <w:rFonts w:cs="Arial"/>
                <w:b w:val="0"/>
                <w:szCs w:val="16"/>
              </w:rPr>
            </w:pPr>
          </w:p>
        </w:tc>
      </w:tr>
      <w:tr w:rsidR="00241DAA" w:rsidRPr="00762F6A" w14:paraId="611D4AF9" w14:textId="77777777" w:rsidTr="00B940BA">
        <w:trPr>
          <w:cantSplit/>
          <w:trHeight w:val="72"/>
        </w:trPr>
        <w:tc>
          <w:tcPr>
            <w:tcW w:w="995" w:type="dxa"/>
            <w:shd w:val="clear" w:color="auto" w:fill="auto"/>
          </w:tcPr>
          <w:p w14:paraId="3537CB4A" w14:textId="34213340" w:rsidR="00241DAA" w:rsidRPr="00762F6A" w:rsidRDefault="00D513CD" w:rsidP="0087773C">
            <w:pPr>
              <w:spacing w:before="20" w:after="20" w:line="240" w:lineRule="auto"/>
              <w:jc w:val="center"/>
              <w:rPr>
                <w:rFonts w:ascii="Arial" w:hAnsi="Arial" w:cs="Arial"/>
                <w:color w:val="000000"/>
                <w:sz w:val="16"/>
                <w:szCs w:val="16"/>
              </w:rPr>
            </w:pPr>
            <w:r>
              <w:rPr>
                <w:rFonts w:ascii="Arial" w:hAnsi="Arial" w:cs="Arial"/>
                <w:color w:val="000000"/>
                <w:sz w:val="16"/>
                <w:szCs w:val="16"/>
              </w:rPr>
              <w:t>C14</w:t>
            </w:r>
          </w:p>
        </w:tc>
        <w:tc>
          <w:tcPr>
            <w:tcW w:w="3258" w:type="dxa"/>
            <w:shd w:val="clear" w:color="auto" w:fill="auto"/>
          </w:tcPr>
          <w:p w14:paraId="387EB75E" w14:textId="78B7EEDF" w:rsidR="00241DAA" w:rsidRPr="00762F6A" w:rsidRDefault="00241DAA" w:rsidP="0087773C">
            <w:pPr>
              <w:spacing w:before="20" w:after="20" w:line="240" w:lineRule="auto"/>
              <w:jc w:val="left"/>
              <w:rPr>
                <w:rFonts w:ascii="Arial" w:hAnsi="Arial" w:cs="Arial"/>
                <w:sz w:val="16"/>
              </w:rPr>
            </w:pPr>
            <w:r w:rsidRPr="00196585">
              <w:rPr>
                <w:rFonts w:ascii="Arial" w:hAnsi="Arial" w:cs="Arial"/>
                <w:sz w:val="16"/>
              </w:rPr>
              <w:t>Exemption of foreign termination payments</w:t>
            </w:r>
            <w:r w:rsidR="00D513CD">
              <w:rPr>
                <w:rFonts w:ascii="Arial" w:hAnsi="Arial" w:cs="Arial"/>
                <w:sz w:val="16"/>
              </w:rPr>
              <w:t xml:space="preserve"> (now A36)</w:t>
            </w:r>
          </w:p>
        </w:tc>
        <w:tc>
          <w:tcPr>
            <w:tcW w:w="3461" w:type="dxa"/>
            <w:vMerge/>
            <w:shd w:val="clear" w:color="auto" w:fill="auto"/>
          </w:tcPr>
          <w:p w14:paraId="704D50AF" w14:textId="6592FE33" w:rsidR="00241DAA" w:rsidRPr="00762F6A" w:rsidRDefault="00241DAA" w:rsidP="0087773C">
            <w:pPr>
              <w:spacing w:before="20" w:after="20" w:line="240" w:lineRule="auto"/>
              <w:jc w:val="left"/>
              <w:rPr>
                <w:rFonts w:ascii="Arial" w:hAnsi="Arial" w:cs="Arial"/>
                <w:color w:val="000000"/>
                <w:sz w:val="16"/>
                <w:szCs w:val="16"/>
              </w:rPr>
            </w:pPr>
          </w:p>
        </w:tc>
      </w:tr>
      <w:tr w:rsidR="00241DAA" w:rsidRPr="00762F6A" w14:paraId="61C4733D" w14:textId="77777777" w:rsidTr="00B940BA">
        <w:trPr>
          <w:trHeight w:val="270"/>
        </w:trPr>
        <w:tc>
          <w:tcPr>
            <w:tcW w:w="995" w:type="dxa"/>
          </w:tcPr>
          <w:p w14:paraId="5CAB895B" w14:textId="64E462FA" w:rsidR="00241DAA" w:rsidRPr="00762F6A" w:rsidRDefault="00241DAA" w:rsidP="00D513CD">
            <w:pPr>
              <w:spacing w:before="20" w:after="20" w:line="240" w:lineRule="auto"/>
              <w:jc w:val="center"/>
              <w:rPr>
                <w:rFonts w:ascii="Arial" w:hAnsi="Arial" w:cs="Arial"/>
                <w:color w:val="000000"/>
                <w:sz w:val="16"/>
                <w:szCs w:val="16"/>
              </w:rPr>
            </w:pPr>
            <w:r w:rsidRPr="00762F6A">
              <w:rPr>
                <w:rFonts w:ascii="Arial" w:hAnsi="Arial" w:cs="Arial"/>
                <w:color w:val="000000"/>
                <w:sz w:val="16"/>
                <w:szCs w:val="16"/>
              </w:rPr>
              <w:t>B</w:t>
            </w:r>
            <w:r w:rsidR="00D513CD">
              <w:rPr>
                <w:rFonts w:ascii="Arial" w:hAnsi="Arial" w:cs="Arial"/>
                <w:color w:val="000000"/>
                <w:sz w:val="16"/>
                <w:szCs w:val="16"/>
              </w:rPr>
              <w:t>46</w:t>
            </w:r>
          </w:p>
        </w:tc>
        <w:tc>
          <w:tcPr>
            <w:tcW w:w="3258" w:type="dxa"/>
          </w:tcPr>
          <w:p w14:paraId="3BC13D41" w14:textId="77777777" w:rsidR="00241DAA" w:rsidRPr="00762F6A" w:rsidRDefault="00241DAA" w:rsidP="0087773C">
            <w:pPr>
              <w:spacing w:before="20" w:after="20" w:line="240" w:lineRule="auto"/>
              <w:jc w:val="left"/>
              <w:rPr>
                <w:rFonts w:ascii="Arial" w:hAnsi="Arial" w:cs="Arial"/>
                <w:color w:val="000000"/>
                <w:sz w:val="16"/>
                <w:szCs w:val="22"/>
              </w:rPr>
            </w:pPr>
            <w:r>
              <w:rPr>
                <w:rFonts w:ascii="Arial" w:hAnsi="Arial" w:cs="Arial"/>
                <w:color w:val="000000"/>
                <w:sz w:val="16"/>
                <w:szCs w:val="22"/>
              </w:rPr>
              <w:t xml:space="preserve">Unincorporated small business tax discount </w:t>
            </w:r>
          </w:p>
        </w:tc>
        <w:tc>
          <w:tcPr>
            <w:tcW w:w="3461" w:type="dxa"/>
          </w:tcPr>
          <w:p w14:paraId="7F57AE3E" w14:textId="28B609FB" w:rsidR="00241DAA" w:rsidRPr="00762F6A" w:rsidRDefault="00241DAA" w:rsidP="0087773C">
            <w:pPr>
              <w:spacing w:before="20" w:after="20" w:line="240" w:lineRule="auto"/>
              <w:jc w:val="left"/>
              <w:rPr>
                <w:rFonts w:ascii="Arial" w:hAnsi="Arial" w:cs="Arial"/>
                <w:color w:val="000000"/>
                <w:sz w:val="16"/>
                <w:szCs w:val="16"/>
              </w:rPr>
            </w:pPr>
            <w:r>
              <w:rPr>
                <w:rFonts w:ascii="Arial" w:hAnsi="Arial" w:cs="Arial"/>
                <w:color w:val="000000"/>
                <w:sz w:val="16"/>
                <w:szCs w:val="16"/>
              </w:rPr>
              <w:t xml:space="preserve">This tax expenditure was included in </w:t>
            </w:r>
            <w:r>
              <w:rPr>
                <w:rFonts w:ascii="Arial" w:hAnsi="Arial" w:cs="Arial"/>
                <w:i/>
                <w:color w:val="000000"/>
                <w:sz w:val="16"/>
                <w:szCs w:val="16"/>
              </w:rPr>
              <w:t xml:space="preserve">B46 Concessional taxation for small </w:t>
            </w:r>
            <w:r w:rsidRPr="00B37A6B">
              <w:rPr>
                <w:rFonts w:ascii="Arial" w:hAnsi="Arial" w:cs="Arial"/>
                <w:i/>
                <w:color w:val="000000"/>
                <w:sz w:val="16"/>
                <w:szCs w:val="16"/>
              </w:rPr>
              <w:t>business</w:t>
            </w:r>
            <w:r>
              <w:rPr>
                <w:rFonts w:ascii="Arial" w:hAnsi="Arial" w:cs="Arial"/>
                <w:color w:val="000000"/>
                <w:sz w:val="16"/>
                <w:szCs w:val="16"/>
              </w:rPr>
              <w:t xml:space="preserve"> in the 2015 TES. It is now reported separately</w:t>
            </w:r>
            <w:r w:rsidR="00D513CD">
              <w:rPr>
                <w:rFonts w:ascii="Arial" w:hAnsi="Arial" w:cs="Arial"/>
                <w:color w:val="000000"/>
                <w:sz w:val="16"/>
                <w:szCs w:val="16"/>
              </w:rPr>
              <w:t xml:space="preserve"> at B61</w:t>
            </w:r>
            <w:r>
              <w:rPr>
                <w:rFonts w:ascii="Arial" w:hAnsi="Arial" w:cs="Arial"/>
                <w:color w:val="000000"/>
                <w:sz w:val="16"/>
                <w:szCs w:val="16"/>
              </w:rPr>
              <w:t>.</w:t>
            </w:r>
          </w:p>
        </w:tc>
      </w:tr>
      <w:tr w:rsidR="008E30CD" w:rsidRPr="00762F6A" w14:paraId="1B731FE4" w14:textId="77777777" w:rsidTr="00B940BA">
        <w:trPr>
          <w:cantSplit/>
          <w:trHeight w:val="270"/>
          <w:tblHeader/>
        </w:trPr>
        <w:tc>
          <w:tcPr>
            <w:tcW w:w="995" w:type="dxa"/>
            <w:tcBorders>
              <w:left w:val="nil"/>
              <w:bottom w:val="single" w:sz="4" w:space="0" w:color="auto"/>
              <w:right w:val="nil"/>
            </w:tcBorders>
            <w:shd w:val="clear" w:color="auto" w:fill="auto"/>
          </w:tcPr>
          <w:p w14:paraId="4C1E489F" w14:textId="77777777" w:rsidR="008E30CD" w:rsidRPr="00762F6A" w:rsidRDefault="008E30CD" w:rsidP="0087773C">
            <w:pPr>
              <w:spacing w:before="20" w:after="20" w:line="240" w:lineRule="auto"/>
              <w:jc w:val="center"/>
              <w:rPr>
                <w:rFonts w:ascii="Arial" w:hAnsi="Arial" w:cs="Arial"/>
                <w:color w:val="000000"/>
                <w:sz w:val="16"/>
                <w:szCs w:val="16"/>
              </w:rPr>
            </w:pPr>
            <w:r>
              <w:rPr>
                <w:rFonts w:ascii="Arial" w:hAnsi="Arial" w:cs="Arial"/>
                <w:color w:val="000000"/>
                <w:sz w:val="16"/>
                <w:szCs w:val="16"/>
              </w:rPr>
              <w:t>E31</w:t>
            </w:r>
          </w:p>
        </w:tc>
        <w:tc>
          <w:tcPr>
            <w:tcW w:w="3258" w:type="dxa"/>
            <w:tcBorders>
              <w:left w:val="nil"/>
              <w:bottom w:val="single" w:sz="4" w:space="0" w:color="auto"/>
              <w:right w:val="nil"/>
            </w:tcBorders>
            <w:shd w:val="clear" w:color="auto" w:fill="auto"/>
          </w:tcPr>
          <w:p w14:paraId="40D4C724" w14:textId="77777777" w:rsidR="008E30CD" w:rsidRPr="00762F6A" w:rsidRDefault="008E30CD" w:rsidP="0087773C">
            <w:pPr>
              <w:spacing w:before="20" w:after="20" w:line="240" w:lineRule="auto"/>
              <w:jc w:val="left"/>
              <w:rPr>
                <w:rFonts w:ascii="Arial" w:hAnsi="Arial" w:cs="Arial"/>
                <w:color w:val="000000"/>
                <w:sz w:val="16"/>
                <w:szCs w:val="16"/>
              </w:rPr>
            </w:pPr>
            <w:r w:rsidRPr="00762F6A">
              <w:rPr>
                <w:rFonts w:ascii="Arial" w:hAnsi="Arial" w:cs="Arial"/>
                <w:color w:val="000000"/>
                <w:sz w:val="16"/>
                <w:szCs w:val="16"/>
              </w:rPr>
              <w:t xml:space="preserve">Exemption for </w:t>
            </w:r>
            <w:r>
              <w:rPr>
                <w:rFonts w:ascii="Arial" w:hAnsi="Arial" w:cs="Arial"/>
                <w:color w:val="000000"/>
                <w:sz w:val="16"/>
                <w:szCs w:val="16"/>
              </w:rPr>
              <w:t>certain investments in venture capital</w:t>
            </w:r>
          </w:p>
        </w:tc>
        <w:tc>
          <w:tcPr>
            <w:tcW w:w="3461" w:type="dxa"/>
            <w:tcBorders>
              <w:left w:val="nil"/>
              <w:bottom w:val="single" w:sz="4" w:space="0" w:color="auto"/>
              <w:right w:val="nil"/>
            </w:tcBorders>
            <w:shd w:val="clear" w:color="auto" w:fill="auto"/>
          </w:tcPr>
          <w:p w14:paraId="3DE87F94" w14:textId="6BDD6FD4" w:rsidR="008E30CD" w:rsidRPr="00F816D2" w:rsidRDefault="008E30CD" w:rsidP="0087773C">
            <w:pPr>
              <w:pStyle w:val="TableColumnHeadingLeft"/>
              <w:rPr>
                <w:rFonts w:cs="Arial"/>
                <w:b w:val="0"/>
                <w:szCs w:val="16"/>
              </w:rPr>
            </w:pPr>
            <w:r>
              <w:rPr>
                <w:rFonts w:cs="Arial"/>
                <w:b w:val="0"/>
                <w:szCs w:val="16"/>
              </w:rPr>
              <w:t xml:space="preserve">This tax expenditure is now incorporated into </w:t>
            </w:r>
            <w:r>
              <w:rPr>
                <w:rFonts w:cs="Arial"/>
                <w:b w:val="0"/>
                <w:i/>
                <w:szCs w:val="16"/>
              </w:rPr>
              <w:t>B56 Tax exemption for Venture Capital Limited Partnerships and Early Stage Venture Capital Limited Partnerships.</w:t>
            </w:r>
          </w:p>
        </w:tc>
      </w:tr>
    </w:tbl>
    <w:p w14:paraId="4E9552B8" w14:textId="77777777" w:rsidR="008E30CD" w:rsidRDefault="008E30CD" w:rsidP="008E30CD"/>
    <w:p w14:paraId="51933E8D" w14:textId="77777777" w:rsidR="008E30CD" w:rsidRDefault="008E30CD" w:rsidP="008E30CD"/>
    <w:p w14:paraId="18D37BAB" w14:textId="77777777" w:rsidR="008E30CD" w:rsidRDefault="008E30CD" w:rsidP="008E30CD"/>
    <w:p w14:paraId="043C1DCD" w14:textId="77777777" w:rsidR="008E30CD" w:rsidRDefault="008E30CD" w:rsidP="008E30CD"/>
    <w:p w14:paraId="114FEA50" w14:textId="77777777" w:rsidR="008E30CD" w:rsidRDefault="008E30CD" w:rsidP="008E30CD"/>
    <w:p w14:paraId="41DCB250" w14:textId="77777777" w:rsidR="008E30CD" w:rsidRDefault="008E30CD" w:rsidP="008E30CD"/>
    <w:p w14:paraId="4AB18A31" w14:textId="77777777" w:rsidR="008E30CD" w:rsidRDefault="008E30CD" w:rsidP="008E30CD"/>
    <w:p w14:paraId="180F5F8E" w14:textId="77777777" w:rsidR="008E30CD" w:rsidRDefault="008E30CD" w:rsidP="008E30CD"/>
    <w:p w14:paraId="70288D8C" w14:textId="77777777" w:rsidR="008E30CD" w:rsidRDefault="008E30CD" w:rsidP="008E30CD"/>
    <w:p w14:paraId="696B1A0F" w14:textId="77777777" w:rsidR="008E30CD" w:rsidRPr="008E30CD" w:rsidRDefault="008E30CD" w:rsidP="008E30CD">
      <w:pPr>
        <w:sectPr w:rsidR="008E30CD" w:rsidRPr="008E30CD" w:rsidSect="00F9108A">
          <w:headerReference w:type="default" r:id="rId39"/>
          <w:pgSz w:w="11907" w:h="16840" w:code="9"/>
          <w:pgMar w:top="2466" w:right="2098" w:bottom="2466" w:left="2098" w:header="1899" w:footer="1899" w:gutter="0"/>
          <w:cols w:space="720"/>
          <w:titlePg/>
          <w:docGrid w:linePitch="360"/>
        </w:sectPr>
      </w:pPr>
    </w:p>
    <w:p w14:paraId="208714E7" w14:textId="520CB85B" w:rsidR="00F9108A" w:rsidRPr="00791D0B" w:rsidRDefault="00F9108A" w:rsidP="00791D0B">
      <w:pPr>
        <w:pStyle w:val="Heading1"/>
      </w:pPr>
      <w:bookmarkStart w:id="67" w:name="_Toc472604554"/>
      <w:r w:rsidRPr="00791D0B">
        <w:lastRenderedPageBreak/>
        <w:t>Index</w:t>
      </w:r>
      <w:bookmarkEnd w:id="65"/>
      <w:bookmarkEnd w:id="67"/>
    </w:p>
    <w:p w14:paraId="4F15DC75" w14:textId="77777777" w:rsidR="002D73A4" w:rsidRDefault="00F9108A" w:rsidP="00F9108A">
      <w:pPr>
        <w:rPr>
          <w:noProof/>
          <w:highlight w:val="yellow"/>
        </w:rPr>
        <w:sectPr w:rsidR="002D73A4" w:rsidSect="00EC79B6">
          <w:headerReference w:type="default" r:id="rId40"/>
          <w:type w:val="oddPage"/>
          <w:pgSz w:w="11907" w:h="16840" w:code="9"/>
          <w:pgMar w:top="2466" w:right="2098" w:bottom="2466" w:left="2098" w:header="1899" w:footer="1899" w:gutter="0"/>
          <w:cols w:space="720"/>
          <w:titlePg/>
          <w:docGrid w:linePitch="272"/>
        </w:sectPr>
      </w:pPr>
      <w:r w:rsidRPr="00762F6A">
        <w:rPr>
          <w:highlight w:val="yellow"/>
        </w:rPr>
        <w:fldChar w:fldCharType="begin"/>
      </w:r>
      <w:r w:rsidRPr="00762F6A">
        <w:rPr>
          <w:highlight w:val="yellow"/>
        </w:rPr>
        <w:instrText xml:space="preserve"> INDEX \h "A" \c "2" \z "3081" </w:instrText>
      </w:r>
      <w:r w:rsidRPr="00762F6A">
        <w:rPr>
          <w:highlight w:val="yellow"/>
        </w:rPr>
        <w:fldChar w:fldCharType="separate"/>
      </w:r>
    </w:p>
    <w:p w14:paraId="14B75683"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lastRenderedPageBreak/>
        <w:t>A</w:t>
      </w:r>
    </w:p>
    <w:p w14:paraId="587EA98B" w14:textId="77777777" w:rsidR="002D73A4" w:rsidRDefault="002D73A4">
      <w:pPr>
        <w:pStyle w:val="Index1"/>
        <w:rPr>
          <w:noProof/>
        </w:rPr>
      </w:pPr>
      <w:r>
        <w:rPr>
          <w:noProof/>
        </w:rPr>
        <w:t>Accelerated depreciation</w:t>
      </w:r>
    </w:p>
    <w:p w14:paraId="0E3B1E0E" w14:textId="77777777" w:rsidR="002D73A4" w:rsidRDefault="002D73A4">
      <w:pPr>
        <w:pStyle w:val="Index2"/>
        <w:rPr>
          <w:noProof/>
        </w:rPr>
      </w:pPr>
      <w:r w:rsidRPr="00264EE1">
        <w:rPr>
          <w:rFonts w:cs="Book Antiqua"/>
          <w:noProof/>
        </w:rPr>
        <w:t>Capital works expenditure</w:t>
      </w:r>
      <w:r>
        <w:rPr>
          <w:noProof/>
        </w:rPr>
        <w:t>, 59</w:t>
      </w:r>
    </w:p>
    <w:p w14:paraId="0CFCA96D" w14:textId="77777777" w:rsidR="002D73A4" w:rsidRDefault="002D73A4">
      <w:pPr>
        <w:pStyle w:val="Index2"/>
        <w:rPr>
          <w:noProof/>
        </w:rPr>
      </w:pPr>
      <w:r>
        <w:rPr>
          <w:noProof/>
        </w:rPr>
        <w:t>Fencing, 55</w:t>
      </w:r>
    </w:p>
    <w:p w14:paraId="53FC5FC3" w14:textId="77777777" w:rsidR="002D73A4" w:rsidRDefault="002D73A4">
      <w:pPr>
        <w:pStyle w:val="Index2"/>
        <w:rPr>
          <w:noProof/>
        </w:rPr>
      </w:pPr>
      <w:r>
        <w:rPr>
          <w:noProof/>
        </w:rPr>
        <w:t>Fodder storage assets, 55</w:t>
      </w:r>
    </w:p>
    <w:p w14:paraId="13F29947" w14:textId="77777777" w:rsidR="002D73A4" w:rsidRDefault="002D73A4">
      <w:pPr>
        <w:pStyle w:val="Index2"/>
        <w:rPr>
          <w:noProof/>
        </w:rPr>
      </w:pPr>
      <w:r>
        <w:rPr>
          <w:noProof/>
        </w:rPr>
        <w:t>Horse breeding stock, 56</w:t>
      </w:r>
    </w:p>
    <w:p w14:paraId="5CEEFFAC" w14:textId="77777777" w:rsidR="002D73A4" w:rsidRDefault="002D73A4">
      <w:pPr>
        <w:pStyle w:val="Index2"/>
        <w:rPr>
          <w:noProof/>
        </w:rPr>
      </w:pPr>
      <w:r>
        <w:rPr>
          <w:noProof/>
        </w:rPr>
        <w:t>Horticultural plants, 56</w:t>
      </w:r>
    </w:p>
    <w:p w14:paraId="57D3633E" w14:textId="77777777" w:rsidR="002D73A4" w:rsidRDefault="002D73A4">
      <w:pPr>
        <w:pStyle w:val="Index2"/>
        <w:rPr>
          <w:noProof/>
        </w:rPr>
      </w:pPr>
      <w:r>
        <w:rPr>
          <w:noProof/>
        </w:rPr>
        <w:t>Low value asset pooling, 60</w:t>
      </w:r>
    </w:p>
    <w:p w14:paraId="639321BB" w14:textId="77777777" w:rsidR="002D73A4" w:rsidRDefault="002D73A4">
      <w:pPr>
        <w:pStyle w:val="Index2"/>
        <w:rPr>
          <w:noProof/>
        </w:rPr>
      </w:pPr>
      <w:r>
        <w:rPr>
          <w:noProof/>
        </w:rPr>
        <w:t>Software, 59</w:t>
      </w:r>
    </w:p>
    <w:p w14:paraId="1E81E577" w14:textId="77777777" w:rsidR="002D73A4" w:rsidRDefault="002D73A4">
      <w:pPr>
        <w:pStyle w:val="Index2"/>
        <w:rPr>
          <w:noProof/>
        </w:rPr>
      </w:pPr>
      <w:r>
        <w:rPr>
          <w:noProof/>
        </w:rPr>
        <w:t>Statutory effective life caps, 58</w:t>
      </w:r>
    </w:p>
    <w:p w14:paraId="784CDA99" w14:textId="77777777" w:rsidR="002D73A4" w:rsidRDefault="002D73A4">
      <w:pPr>
        <w:pStyle w:val="Index2"/>
        <w:rPr>
          <w:noProof/>
        </w:rPr>
      </w:pPr>
      <w:r>
        <w:rPr>
          <w:noProof/>
        </w:rPr>
        <w:t>Telephone lines and electricity connections, 57</w:t>
      </w:r>
    </w:p>
    <w:p w14:paraId="376B0DA7" w14:textId="77777777" w:rsidR="002D73A4" w:rsidRDefault="002D73A4">
      <w:pPr>
        <w:pStyle w:val="Index2"/>
        <w:rPr>
          <w:noProof/>
        </w:rPr>
      </w:pPr>
      <w:r>
        <w:rPr>
          <w:noProof/>
        </w:rPr>
        <w:t>Water facilities, 56</w:t>
      </w:r>
    </w:p>
    <w:p w14:paraId="20F79311" w14:textId="77777777" w:rsidR="002D73A4" w:rsidRDefault="002D73A4">
      <w:pPr>
        <w:pStyle w:val="Index1"/>
        <w:rPr>
          <w:noProof/>
        </w:rPr>
      </w:pPr>
      <w:r>
        <w:rPr>
          <w:noProof/>
        </w:rPr>
        <w:t>Active small business assets, 66, 69, 95, 97</w:t>
      </w:r>
    </w:p>
    <w:p w14:paraId="54D1AD05" w14:textId="77777777" w:rsidR="002D73A4" w:rsidRDefault="002D73A4">
      <w:pPr>
        <w:pStyle w:val="Index1"/>
        <w:rPr>
          <w:noProof/>
        </w:rPr>
      </w:pPr>
      <w:r>
        <w:rPr>
          <w:noProof/>
        </w:rPr>
        <w:t>Advanced shearing, 44</w:t>
      </w:r>
    </w:p>
    <w:p w14:paraId="0AE77B5A" w14:textId="77777777" w:rsidR="002D73A4" w:rsidRDefault="002D73A4">
      <w:pPr>
        <w:pStyle w:val="Index1"/>
        <w:rPr>
          <w:noProof/>
        </w:rPr>
      </w:pPr>
      <w:r>
        <w:rPr>
          <w:noProof/>
        </w:rPr>
        <w:t>Alcohol</w:t>
      </w:r>
    </w:p>
    <w:p w14:paraId="6D73D9B3" w14:textId="77777777" w:rsidR="002D73A4" w:rsidRDefault="002D73A4">
      <w:pPr>
        <w:pStyle w:val="Index2"/>
        <w:rPr>
          <w:noProof/>
        </w:rPr>
      </w:pPr>
      <w:r>
        <w:rPr>
          <w:noProof/>
        </w:rPr>
        <w:t>Brandy, 102</w:t>
      </w:r>
    </w:p>
    <w:p w14:paraId="1073961A" w14:textId="77777777" w:rsidR="002D73A4" w:rsidRDefault="002D73A4">
      <w:pPr>
        <w:pStyle w:val="Index2"/>
        <w:rPr>
          <w:noProof/>
        </w:rPr>
      </w:pPr>
      <w:r>
        <w:rPr>
          <w:noProof/>
        </w:rPr>
        <w:t>Brew</w:t>
      </w:r>
      <w:r>
        <w:rPr>
          <w:noProof/>
        </w:rPr>
        <w:noBreakHyphen/>
        <w:t>on</w:t>
      </w:r>
      <w:r>
        <w:rPr>
          <w:noProof/>
        </w:rPr>
        <w:noBreakHyphen/>
        <w:t>premise beer, 102</w:t>
      </w:r>
    </w:p>
    <w:p w14:paraId="3D52107A" w14:textId="77777777" w:rsidR="002D73A4" w:rsidRDefault="002D73A4">
      <w:pPr>
        <w:pStyle w:val="Index2"/>
        <w:rPr>
          <w:noProof/>
        </w:rPr>
      </w:pPr>
      <w:r>
        <w:rPr>
          <w:noProof/>
        </w:rPr>
        <w:t>Draught beer, 103</w:t>
      </w:r>
    </w:p>
    <w:p w14:paraId="104EF888" w14:textId="77777777" w:rsidR="002D73A4" w:rsidRDefault="002D73A4">
      <w:pPr>
        <w:pStyle w:val="Index2"/>
        <w:rPr>
          <w:noProof/>
        </w:rPr>
      </w:pPr>
      <w:r>
        <w:rPr>
          <w:noProof/>
        </w:rPr>
        <w:t>Excisable beverages, 104</w:t>
      </w:r>
    </w:p>
    <w:p w14:paraId="40A13593" w14:textId="77777777" w:rsidR="002D73A4" w:rsidRDefault="002D73A4">
      <w:pPr>
        <w:pStyle w:val="Index2"/>
        <w:rPr>
          <w:noProof/>
        </w:rPr>
      </w:pPr>
      <w:r>
        <w:rPr>
          <w:noProof/>
        </w:rPr>
        <w:t>Low-strength beer, 103</w:t>
      </w:r>
    </w:p>
    <w:p w14:paraId="03911CC7" w14:textId="77777777" w:rsidR="002D73A4" w:rsidRDefault="002D73A4">
      <w:pPr>
        <w:pStyle w:val="Index2"/>
        <w:rPr>
          <w:noProof/>
        </w:rPr>
      </w:pPr>
      <w:r>
        <w:rPr>
          <w:noProof/>
        </w:rPr>
        <w:t>Privately produced beer, 104</w:t>
      </w:r>
    </w:p>
    <w:p w14:paraId="71099FA2" w14:textId="77777777" w:rsidR="002D73A4" w:rsidRDefault="002D73A4">
      <w:pPr>
        <w:pStyle w:val="Index2"/>
        <w:rPr>
          <w:noProof/>
        </w:rPr>
      </w:pPr>
      <w:r>
        <w:rPr>
          <w:noProof/>
        </w:rPr>
        <w:t>Wine, 104, 105</w:t>
      </w:r>
    </w:p>
    <w:p w14:paraId="193E038A" w14:textId="77777777" w:rsidR="002D73A4" w:rsidRDefault="002D73A4">
      <w:pPr>
        <w:pStyle w:val="Index1"/>
        <w:rPr>
          <w:noProof/>
        </w:rPr>
      </w:pPr>
      <w:r>
        <w:rPr>
          <w:noProof/>
        </w:rPr>
        <w:t>Allowances, 22, 25</w:t>
      </w:r>
    </w:p>
    <w:p w14:paraId="7B1A7801" w14:textId="77777777" w:rsidR="002D73A4" w:rsidRDefault="002D73A4">
      <w:pPr>
        <w:pStyle w:val="Index1"/>
        <w:rPr>
          <w:noProof/>
        </w:rPr>
      </w:pPr>
      <w:r>
        <w:rPr>
          <w:noProof/>
        </w:rPr>
        <w:t>Artists, 27, 28</w:t>
      </w:r>
    </w:p>
    <w:p w14:paraId="417ACB61" w14:textId="77777777" w:rsidR="002D73A4" w:rsidRDefault="002D73A4">
      <w:pPr>
        <w:pStyle w:val="Index1"/>
        <w:rPr>
          <w:noProof/>
        </w:rPr>
      </w:pPr>
      <w:r>
        <w:rPr>
          <w:noProof/>
        </w:rPr>
        <w:t>Asian Development Bank, 25</w:t>
      </w:r>
    </w:p>
    <w:p w14:paraId="1ED91C3C" w14:textId="77777777" w:rsidR="002D73A4" w:rsidRDefault="002D73A4">
      <w:pPr>
        <w:pStyle w:val="Index1"/>
        <w:rPr>
          <w:noProof/>
        </w:rPr>
      </w:pPr>
      <w:r>
        <w:rPr>
          <w:noProof/>
        </w:rPr>
        <w:t>At call loans, 63</w:t>
      </w:r>
    </w:p>
    <w:p w14:paraId="0A1CF507" w14:textId="77777777" w:rsidR="002D73A4" w:rsidRDefault="002D73A4">
      <w:pPr>
        <w:pStyle w:val="Index1"/>
        <w:rPr>
          <w:noProof/>
        </w:rPr>
      </w:pPr>
      <w:r>
        <w:rPr>
          <w:noProof/>
        </w:rPr>
        <w:t>Australian and State Government loans, 49</w:t>
      </w:r>
    </w:p>
    <w:p w14:paraId="13F0CF1C" w14:textId="77777777" w:rsidR="002D73A4" w:rsidRDefault="002D73A4">
      <w:pPr>
        <w:pStyle w:val="Index1"/>
        <w:rPr>
          <w:noProof/>
        </w:rPr>
      </w:pPr>
      <w:r>
        <w:rPr>
          <w:noProof/>
        </w:rPr>
        <w:t>Australian branch of a foreign bank, 37</w:t>
      </w:r>
    </w:p>
    <w:p w14:paraId="1846162D" w14:textId="77777777" w:rsidR="002D73A4" w:rsidRDefault="002D73A4">
      <w:pPr>
        <w:pStyle w:val="Index1"/>
        <w:rPr>
          <w:noProof/>
        </w:rPr>
      </w:pPr>
      <w:r>
        <w:rPr>
          <w:noProof/>
        </w:rPr>
        <w:lastRenderedPageBreak/>
        <w:t>Australian Defence Force personnel, 14, 15, 16, 71</w:t>
      </w:r>
    </w:p>
    <w:p w14:paraId="53CD8E3E" w14:textId="77777777" w:rsidR="002D73A4" w:rsidRDefault="002D73A4">
      <w:pPr>
        <w:pStyle w:val="Index1"/>
        <w:rPr>
          <w:noProof/>
        </w:rPr>
      </w:pPr>
      <w:r>
        <w:rPr>
          <w:noProof/>
        </w:rPr>
        <w:t>Australian Defence Force Reserve personnel, 15</w:t>
      </w:r>
    </w:p>
    <w:p w14:paraId="0FD6CED2" w14:textId="77777777" w:rsidR="002D73A4" w:rsidRDefault="002D73A4">
      <w:pPr>
        <w:pStyle w:val="Index1"/>
        <w:rPr>
          <w:noProof/>
        </w:rPr>
      </w:pPr>
      <w:r>
        <w:rPr>
          <w:noProof/>
        </w:rPr>
        <w:t>Australian Federal Police personnel, 16</w:t>
      </w:r>
    </w:p>
    <w:p w14:paraId="3EC91027" w14:textId="77777777" w:rsidR="002D73A4" w:rsidRDefault="002D73A4">
      <w:pPr>
        <w:pStyle w:val="Index1"/>
        <w:rPr>
          <w:noProof/>
        </w:rPr>
      </w:pPr>
      <w:r>
        <w:rPr>
          <w:noProof/>
        </w:rPr>
        <w:t>Australian military seagoing vessels, 106</w:t>
      </w:r>
    </w:p>
    <w:p w14:paraId="427D750B" w14:textId="77777777" w:rsidR="002D73A4" w:rsidRDefault="002D73A4">
      <w:pPr>
        <w:pStyle w:val="Index1"/>
        <w:rPr>
          <w:noProof/>
        </w:rPr>
      </w:pPr>
      <w:r>
        <w:rPr>
          <w:noProof/>
        </w:rPr>
        <w:t>Australian Traineeship System, 77</w:t>
      </w:r>
    </w:p>
    <w:p w14:paraId="62000EC5" w14:textId="77777777" w:rsidR="002D73A4" w:rsidRDefault="002D73A4">
      <w:pPr>
        <w:pStyle w:val="Index1"/>
        <w:rPr>
          <w:noProof/>
        </w:rPr>
      </w:pPr>
      <w:r>
        <w:rPr>
          <w:noProof/>
        </w:rPr>
        <w:t>Authors, 27</w:t>
      </w:r>
    </w:p>
    <w:p w14:paraId="37438B5C"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B</w:t>
      </w:r>
    </w:p>
    <w:p w14:paraId="35462290" w14:textId="77777777" w:rsidR="002D73A4" w:rsidRDefault="002D73A4">
      <w:pPr>
        <w:pStyle w:val="Index1"/>
        <w:rPr>
          <w:noProof/>
        </w:rPr>
      </w:pPr>
      <w:r>
        <w:rPr>
          <w:noProof/>
        </w:rPr>
        <w:t>Balancing adjustments, 60</w:t>
      </w:r>
    </w:p>
    <w:p w14:paraId="5EA8B57E" w14:textId="77777777" w:rsidR="002D73A4" w:rsidRDefault="002D73A4">
      <w:pPr>
        <w:pStyle w:val="Index1"/>
        <w:rPr>
          <w:noProof/>
        </w:rPr>
      </w:pPr>
      <w:r>
        <w:rPr>
          <w:noProof/>
        </w:rPr>
        <w:t>Benefits, 25</w:t>
      </w:r>
    </w:p>
    <w:p w14:paraId="0947920C" w14:textId="77777777" w:rsidR="002D73A4" w:rsidRDefault="002D73A4">
      <w:pPr>
        <w:pStyle w:val="Index1"/>
        <w:rPr>
          <w:noProof/>
        </w:rPr>
      </w:pPr>
      <w:r>
        <w:rPr>
          <w:noProof/>
        </w:rPr>
        <w:t>Board meals, 78</w:t>
      </w:r>
    </w:p>
    <w:p w14:paraId="19BA7FB9" w14:textId="77777777" w:rsidR="002D73A4" w:rsidRDefault="002D73A4">
      <w:pPr>
        <w:pStyle w:val="Index1"/>
        <w:rPr>
          <w:noProof/>
        </w:rPr>
      </w:pPr>
      <w:r>
        <w:rPr>
          <w:noProof/>
        </w:rPr>
        <w:t>Boat expenditure, 48</w:t>
      </w:r>
    </w:p>
    <w:p w14:paraId="22C299E0" w14:textId="77777777" w:rsidR="002D73A4" w:rsidRDefault="002D73A4">
      <w:pPr>
        <w:pStyle w:val="Index1"/>
        <w:rPr>
          <w:noProof/>
        </w:rPr>
      </w:pPr>
      <w:r>
        <w:rPr>
          <w:noProof/>
        </w:rPr>
        <w:t>Borrowing expenses, 49</w:t>
      </w:r>
    </w:p>
    <w:p w14:paraId="1E95ECA9" w14:textId="77777777" w:rsidR="002D73A4" w:rsidRDefault="002D73A4">
      <w:pPr>
        <w:pStyle w:val="Index1"/>
        <w:rPr>
          <w:noProof/>
        </w:rPr>
      </w:pPr>
      <w:r>
        <w:rPr>
          <w:noProof/>
        </w:rPr>
        <w:t>Broadcasting apparatus licence fee, 98</w:t>
      </w:r>
    </w:p>
    <w:p w14:paraId="78A4D167" w14:textId="77777777" w:rsidR="002D73A4" w:rsidRDefault="002D73A4">
      <w:pPr>
        <w:pStyle w:val="Index1"/>
        <w:rPr>
          <w:noProof/>
        </w:rPr>
      </w:pPr>
      <w:r>
        <w:rPr>
          <w:noProof/>
        </w:rPr>
        <w:t>Buildings and structures, 58</w:t>
      </w:r>
    </w:p>
    <w:p w14:paraId="66025D98" w14:textId="77777777" w:rsidR="002D73A4" w:rsidRDefault="002D73A4">
      <w:pPr>
        <w:pStyle w:val="Index1"/>
        <w:rPr>
          <w:noProof/>
        </w:rPr>
      </w:pPr>
      <w:r>
        <w:rPr>
          <w:noProof/>
        </w:rPr>
        <w:t>Business associations, 29</w:t>
      </w:r>
    </w:p>
    <w:p w14:paraId="03CD6FC2"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C</w:t>
      </w:r>
    </w:p>
    <w:p w14:paraId="7B45094A" w14:textId="77777777" w:rsidR="002D73A4" w:rsidRDefault="002D73A4">
      <w:pPr>
        <w:pStyle w:val="Index1"/>
        <w:rPr>
          <w:noProof/>
        </w:rPr>
      </w:pPr>
      <w:r>
        <w:rPr>
          <w:noProof/>
        </w:rPr>
        <w:t>Capital gains tax</w:t>
      </w:r>
    </w:p>
    <w:p w14:paraId="22825558" w14:textId="77777777" w:rsidR="002D73A4" w:rsidRDefault="002D73A4">
      <w:pPr>
        <w:pStyle w:val="Index2"/>
        <w:rPr>
          <w:noProof/>
        </w:rPr>
      </w:pPr>
      <w:r>
        <w:rPr>
          <w:noProof/>
        </w:rPr>
        <w:t>Discount, 88, 91</w:t>
      </w:r>
    </w:p>
    <w:p w14:paraId="7D10D560" w14:textId="77777777" w:rsidR="002D73A4" w:rsidRDefault="002D73A4">
      <w:pPr>
        <w:pStyle w:val="Index2"/>
        <w:rPr>
          <w:noProof/>
        </w:rPr>
      </w:pPr>
      <w:r w:rsidRPr="00264EE1">
        <w:rPr>
          <w:rFonts w:cs="Book Antiqua"/>
          <w:noProof/>
        </w:rPr>
        <w:t>Market value substitution rule</w:t>
      </w:r>
      <w:r>
        <w:rPr>
          <w:noProof/>
        </w:rPr>
        <w:t>, 93</w:t>
      </w:r>
    </w:p>
    <w:p w14:paraId="09D6BDDD" w14:textId="77777777" w:rsidR="002D73A4" w:rsidRDefault="002D73A4">
      <w:pPr>
        <w:pStyle w:val="Index2"/>
        <w:rPr>
          <w:noProof/>
        </w:rPr>
      </w:pPr>
      <w:r>
        <w:rPr>
          <w:noProof/>
        </w:rPr>
        <w:t>Roll</w:t>
      </w:r>
      <w:r w:rsidRPr="00264EE1">
        <w:rPr>
          <w:rFonts w:cs="Book Antiqua"/>
          <w:noProof/>
        </w:rPr>
        <w:noBreakHyphen/>
        <w:t>over</w:t>
      </w:r>
      <w:r>
        <w:rPr>
          <w:noProof/>
        </w:rPr>
        <w:t>, 87, 94, 96, 97</w:t>
      </w:r>
    </w:p>
    <w:p w14:paraId="0E3E6FAD" w14:textId="77777777" w:rsidR="002D73A4" w:rsidRDefault="002D73A4">
      <w:pPr>
        <w:pStyle w:val="Index1"/>
        <w:rPr>
          <w:noProof/>
        </w:rPr>
      </w:pPr>
      <w:r>
        <w:rPr>
          <w:noProof/>
        </w:rPr>
        <w:t>Capital losses, 93</w:t>
      </w:r>
    </w:p>
    <w:p w14:paraId="0C4EEFA8" w14:textId="77777777" w:rsidR="002D73A4" w:rsidRDefault="002D73A4">
      <w:pPr>
        <w:pStyle w:val="Index1"/>
        <w:rPr>
          <w:noProof/>
        </w:rPr>
      </w:pPr>
      <w:r>
        <w:rPr>
          <w:noProof/>
        </w:rPr>
        <w:t>Car expense deductions, 31</w:t>
      </w:r>
    </w:p>
    <w:p w14:paraId="4B4CAF29" w14:textId="77777777" w:rsidR="002D73A4" w:rsidRDefault="002D73A4">
      <w:pPr>
        <w:pStyle w:val="Index1"/>
        <w:rPr>
          <w:noProof/>
        </w:rPr>
      </w:pPr>
      <w:r>
        <w:rPr>
          <w:noProof/>
        </w:rPr>
        <w:t>Care and specialist disability providers, 116</w:t>
      </w:r>
    </w:p>
    <w:p w14:paraId="57E89B66" w14:textId="77777777" w:rsidR="002D73A4" w:rsidRDefault="002D73A4">
      <w:pPr>
        <w:pStyle w:val="Index1"/>
        <w:rPr>
          <w:noProof/>
        </w:rPr>
      </w:pPr>
      <w:r>
        <w:rPr>
          <w:noProof/>
        </w:rPr>
        <w:t>Carried interests, 48</w:t>
      </w:r>
    </w:p>
    <w:p w14:paraId="119E7A4A" w14:textId="77777777" w:rsidR="002D73A4" w:rsidRDefault="002D73A4">
      <w:pPr>
        <w:pStyle w:val="Index1"/>
        <w:rPr>
          <w:noProof/>
        </w:rPr>
      </w:pPr>
      <w:r>
        <w:rPr>
          <w:noProof/>
        </w:rPr>
        <w:t>Charitable institutions, 52, 72, 74, 110</w:t>
      </w:r>
    </w:p>
    <w:p w14:paraId="07C62162" w14:textId="77777777" w:rsidR="002D73A4" w:rsidRDefault="002D73A4">
      <w:pPr>
        <w:pStyle w:val="Index1"/>
        <w:rPr>
          <w:noProof/>
        </w:rPr>
      </w:pPr>
      <w:r>
        <w:rPr>
          <w:noProof/>
        </w:rPr>
        <w:t>Charities, 50</w:t>
      </w:r>
    </w:p>
    <w:p w14:paraId="56FB5E6E" w14:textId="77777777" w:rsidR="002D73A4" w:rsidRDefault="002D73A4">
      <w:pPr>
        <w:pStyle w:val="Index1"/>
        <w:rPr>
          <w:noProof/>
        </w:rPr>
      </w:pPr>
      <w:r>
        <w:rPr>
          <w:noProof/>
        </w:rPr>
        <w:t>Child Care</w:t>
      </w:r>
    </w:p>
    <w:p w14:paraId="046273C9" w14:textId="77777777" w:rsidR="002D73A4" w:rsidRDefault="002D73A4">
      <w:pPr>
        <w:pStyle w:val="Index2"/>
        <w:rPr>
          <w:noProof/>
        </w:rPr>
      </w:pPr>
      <w:r>
        <w:rPr>
          <w:noProof/>
        </w:rPr>
        <w:lastRenderedPageBreak/>
        <w:t>Benefit, 21</w:t>
      </w:r>
    </w:p>
    <w:p w14:paraId="5000A6FB" w14:textId="77777777" w:rsidR="002D73A4" w:rsidRDefault="002D73A4">
      <w:pPr>
        <w:pStyle w:val="Index2"/>
        <w:rPr>
          <w:noProof/>
        </w:rPr>
      </w:pPr>
      <w:r>
        <w:rPr>
          <w:noProof/>
        </w:rPr>
        <w:t>Facilities, 79</w:t>
      </w:r>
    </w:p>
    <w:p w14:paraId="4412D788" w14:textId="77777777" w:rsidR="002D73A4" w:rsidRDefault="002D73A4">
      <w:pPr>
        <w:pStyle w:val="Index2"/>
        <w:rPr>
          <w:noProof/>
        </w:rPr>
      </w:pPr>
      <w:r>
        <w:rPr>
          <w:noProof/>
        </w:rPr>
        <w:t>GST-free, 110</w:t>
      </w:r>
    </w:p>
    <w:p w14:paraId="21E348E9" w14:textId="77777777" w:rsidR="002D73A4" w:rsidRDefault="002D73A4">
      <w:pPr>
        <w:pStyle w:val="Index2"/>
        <w:rPr>
          <w:noProof/>
        </w:rPr>
      </w:pPr>
      <w:r>
        <w:rPr>
          <w:noProof/>
        </w:rPr>
        <w:t>Rebate, 21</w:t>
      </w:r>
    </w:p>
    <w:p w14:paraId="2770D795" w14:textId="77777777" w:rsidR="002D73A4" w:rsidRDefault="002D73A4">
      <w:pPr>
        <w:pStyle w:val="Index2"/>
        <w:rPr>
          <w:noProof/>
        </w:rPr>
      </w:pPr>
      <w:r>
        <w:rPr>
          <w:noProof/>
        </w:rPr>
        <w:t>Subsidy, 21</w:t>
      </w:r>
    </w:p>
    <w:p w14:paraId="2F0B26CD" w14:textId="77777777" w:rsidR="002D73A4" w:rsidRDefault="002D73A4">
      <w:pPr>
        <w:pStyle w:val="Index1"/>
        <w:rPr>
          <w:noProof/>
        </w:rPr>
      </w:pPr>
      <w:r>
        <w:rPr>
          <w:noProof/>
        </w:rPr>
        <w:t>Cigarettes and cigars, 102</w:t>
      </w:r>
    </w:p>
    <w:p w14:paraId="59DC5EBD" w14:textId="77777777" w:rsidR="002D73A4" w:rsidRDefault="002D73A4">
      <w:pPr>
        <w:pStyle w:val="Index1"/>
        <w:rPr>
          <w:noProof/>
        </w:rPr>
      </w:pPr>
      <w:r>
        <w:rPr>
          <w:noProof/>
        </w:rPr>
        <w:t>Commuter travel, 79</w:t>
      </w:r>
    </w:p>
    <w:p w14:paraId="762B5172" w14:textId="77777777" w:rsidR="002D73A4" w:rsidRDefault="002D73A4">
      <w:pPr>
        <w:pStyle w:val="Index1"/>
        <w:rPr>
          <w:noProof/>
        </w:rPr>
      </w:pPr>
      <w:r w:rsidRPr="00264EE1">
        <w:rPr>
          <w:noProof/>
          <w:lang w:val="en-US"/>
        </w:rPr>
        <w:t>Compensation-related benefits</w:t>
      </w:r>
      <w:r>
        <w:rPr>
          <w:noProof/>
        </w:rPr>
        <w:t>, 70</w:t>
      </w:r>
    </w:p>
    <w:p w14:paraId="76E08BFB" w14:textId="77777777" w:rsidR="002D73A4" w:rsidRDefault="002D73A4">
      <w:pPr>
        <w:pStyle w:val="Index1"/>
        <w:rPr>
          <w:noProof/>
        </w:rPr>
      </w:pPr>
      <w:r>
        <w:rPr>
          <w:noProof/>
        </w:rPr>
        <w:t>Composers, 27</w:t>
      </w:r>
    </w:p>
    <w:p w14:paraId="1F6708E8" w14:textId="77777777" w:rsidR="002D73A4" w:rsidRDefault="002D73A4">
      <w:pPr>
        <w:pStyle w:val="Index1"/>
        <w:rPr>
          <w:noProof/>
        </w:rPr>
      </w:pPr>
      <w:r>
        <w:rPr>
          <w:noProof/>
        </w:rPr>
        <w:t>Compulsorily acquired assets, 94</w:t>
      </w:r>
    </w:p>
    <w:p w14:paraId="4ECD7556" w14:textId="77777777" w:rsidR="002D73A4" w:rsidRDefault="002D73A4">
      <w:pPr>
        <w:pStyle w:val="Index1"/>
        <w:rPr>
          <w:noProof/>
        </w:rPr>
      </w:pPr>
      <w:r>
        <w:rPr>
          <w:noProof/>
        </w:rPr>
        <w:t>Conservation covenants, 88</w:t>
      </w:r>
    </w:p>
    <w:p w14:paraId="3B1B41E7" w14:textId="77777777" w:rsidR="002D73A4" w:rsidRDefault="002D73A4">
      <w:pPr>
        <w:pStyle w:val="Index1"/>
        <w:rPr>
          <w:noProof/>
        </w:rPr>
      </w:pPr>
      <w:r>
        <w:rPr>
          <w:noProof/>
        </w:rPr>
        <w:t>Controlled foreign companies, 36, 90</w:t>
      </w:r>
    </w:p>
    <w:p w14:paraId="1FBC16B5" w14:textId="77777777" w:rsidR="002D73A4" w:rsidRDefault="002D73A4">
      <w:pPr>
        <w:pStyle w:val="Index1"/>
        <w:rPr>
          <w:noProof/>
        </w:rPr>
      </w:pPr>
      <w:r>
        <w:rPr>
          <w:noProof/>
        </w:rPr>
        <w:t>Co-operative companies, 49</w:t>
      </w:r>
    </w:p>
    <w:p w14:paraId="0DBFE4CA" w14:textId="77777777" w:rsidR="002D73A4" w:rsidRDefault="002D73A4">
      <w:pPr>
        <w:pStyle w:val="Index1"/>
        <w:rPr>
          <w:noProof/>
        </w:rPr>
      </w:pPr>
      <w:r>
        <w:rPr>
          <w:noProof/>
        </w:rPr>
        <w:t>Credit unions, 53</w:t>
      </w:r>
    </w:p>
    <w:p w14:paraId="15B8D45B" w14:textId="77777777" w:rsidR="002D73A4" w:rsidRDefault="002D73A4">
      <w:pPr>
        <w:pStyle w:val="Index1"/>
        <w:rPr>
          <w:noProof/>
        </w:rPr>
      </w:pPr>
      <w:r>
        <w:rPr>
          <w:noProof/>
        </w:rPr>
        <w:t>Cross-border transport supplies, 119</w:t>
      </w:r>
    </w:p>
    <w:p w14:paraId="6EB758A9" w14:textId="77777777" w:rsidR="002D73A4" w:rsidRDefault="002D73A4">
      <w:pPr>
        <w:pStyle w:val="Index1"/>
        <w:rPr>
          <w:noProof/>
        </w:rPr>
      </w:pPr>
      <w:r>
        <w:rPr>
          <w:noProof/>
        </w:rPr>
        <w:t>Crude Oil, 107</w:t>
      </w:r>
    </w:p>
    <w:p w14:paraId="0AD12EAE" w14:textId="77777777" w:rsidR="002D73A4" w:rsidRDefault="002D73A4">
      <w:pPr>
        <w:pStyle w:val="Index1"/>
        <w:rPr>
          <w:noProof/>
        </w:rPr>
      </w:pPr>
      <w:r>
        <w:rPr>
          <w:noProof/>
        </w:rPr>
        <w:t>Cultural Bequests and Cultural Gifts programs, 89</w:t>
      </w:r>
    </w:p>
    <w:p w14:paraId="15F87040" w14:textId="77777777" w:rsidR="002D73A4" w:rsidRDefault="002D73A4">
      <w:pPr>
        <w:pStyle w:val="Index1"/>
        <w:rPr>
          <w:noProof/>
        </w:rPr>
      </w:pPr>
      <w:r w:rsidRPr="00264EE1">
        <w:rPr>
          <w:noProof/>
          <w:lang w:val="en-US"/>
        </w:rPr>
        <w:t>Customs duty</w:t>
      </w:r>
      <w:r>
        <w:rPr>
          <w:noProof/>
        </w:rPr>
        <w:t>, 106</w:t>
      </w:r>
    </w:p>
    <w:p w14:paraId="76F71313"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D</w:t>
      </w:r>
    </w:p>
    <w:p w14:paraId="7FA3B935" w14:textId="77777777" w:rsidR="002D73A4" w:rsidRDefault="002D73A4">
      <w:pPr>
        <w:pStyle w:val="Index1"/>
        <w:rPr>
          <w:noProof/>
        </w:rPr>
      </w:pPr>
      <w:r>
        <w:rPr>
          <w:noProof/>
        </w:rPr>
        <w:t>Debentures, 37</w:t>
      </w:r>
    </w:p>
    <w:p w14:paraId="47052974" w14:textId="77777777" w:rsidR="002D73A4" w:rsidRDefault="002D73A4">
      <w:pPr>
        <w:pStyle w:val="Index1"/>
        <w:rPr>
          <w:noProof/>
        </w:rPr>
      </w:pPr>
      <w:r>
        <w:rPr>
          <w:noProof/>
        </w:rPr>
        <w:t>Debt, 48</w:t>
      </w:r>
    </w:p>
    <w:p w14:paraId="2C142314" w14:textId="77777777" w:rsidR="002D73A4" w:rsidRDefault="002D73A4">
      <w:pPr>
        <w:pStyle w:val="Index1"/>
        <w:rPr>
          <w:noProof/>
        </w:rPr>
      </w:pPr>
      <w:r>
        <w:rPr>
          <w:noProof/>
        </w:rPr>
        <w:t>Debt interests, 37, 63</w:t>
      </w:r>
    </w:p>
    <w:p w14:paraId="1B928B3D" w14:textId="77777777" w:rsidR="002D73A4" w:rsidRDefault="002D73A4">
      <w:pPr>
        <w:pStyle w:val="Index1"/>
        <w:rPr>
          <w:noProof/>
        </w:rPr>
      </w:pPr>
      <w:r>
        <w:rPr>
          <w:noProof/>
        </w:rPr>
        <w:t>Debt-equity rules, 54</w:t>
      </w:r>
    </w:p>
    <w:p w14:paraId="5FF455E3" w14:textId="77777777" w:rsidR="002D73A4" w:rsidRDefault="002D73A4">
      <w:pPr>
        <w:pStyle w:val="Index1"/>
        <w:rPr>
          <w:noProof/>
        </w:rPr>
      </w:pPr>
      <w:r>
        <w:rPr>
          <w:noProof/>
        </w:rPr>
        <w:t>Decorations awarded for valour or brave conduct, 87</w:t>
      </w:r>
    </w:p>
    <w:p w14:paraId="3B8FBE2E" w14:textId="77777777" w:rsidR="002D73A4" w:rsidRDefault="002D73A4">
      <w:pPr>
        <w:pStyle w:val="Index1"/>
        <w:rPr>
          <w:noProof/>
        </w:rPr>
      </w:pPr>
      <w:r>
        <w:rPr>
          <w:noProof/>
        </w:rPr>
        <w:t>Deductible gift recipients, 30, 31, 52, 82, 110</w:t>
      </w:r>
    </w:p>
    <w:p w14:paraId="147FC6F3" w14:textId="77777777" w:rsidR="002D73A4" w:rsidRDefault="002D73A4">
      <w:pPr>
        <w:pStyle w:val="Index1"/>
        <w:rPr>
          <w:noProof/>
        </w:rPr>
      </w:pPr>
      <w:r>
        <w:rPr>
          <w:noProof/>
        </w:rPr>
        <w:t>Defence Service Homes, 72</w:t>
      </w:r>
    </w:p>
    <w:p w14:paraId="050022C3" w14:textId="77777777" w:rsidR="002D73A4" w:rsidRDefault="002D73A4">
      <w:pPr>
        <w:pStyle w:val="Index1"/>
        <w:rPr>
          <w:noProof/>
        </w:rPr>
      </w:pPr>
      <w:r>
        <w:rPr>
          <w:noProof/>
        </w:rPr>
        <w:t>Demutualisation, 92</w:t>
      </w:r>
    </w:p>
    <w:p w14:paraId="71423514" w14:textId="77777777" w:rsidR="002D73A4" w:rsidRDefault="002D73A4">
      <w:pPr>
        <w:pStyle w:val="Index1"/>
        <w:rPr>
          <w:noProof/>
        </w:rPr>
      </w:pPr>
      <w:r>
        <w:rPr>
          <w:noProof/>
        </w:rPr>
        <w:t>Depreciating assets to zero value, 60</w:t>
      </w:r>
    </w:p>
    <w:p w14:paraId="13FB40D8" w14:textId="77777777" w:rsidR="002D73A4" w:rsidRDefault="002D73A4">
      <w:pPr>
        <w:pStyle w:val="Index1"/>
        <w:rPr>
          <w:noProof/>
        </w:rPr>
      </w:pPr>
      <w:r>
        <w:rPr>
          <w:noProof/>
        </w:rPr>
        <w:t>Destroyed assets, 94</w:t>
      </w:r>
    </w:p>
    <w:p w14:paraId="28F36C9F" w14:textId="77777777" w:rsidR="002D73A4" w:rsidRDefault="002D73A4">
      <w:pPr>
        <w:pStyle w:val="Index1"/>
        <w:rPr>
          <w:noProof/>
        </w:rPr>
      </w:pPr>
      <w:r w:rsidRPr="00264EE1">
        <w:rPr>
          <w:rFonts w:cs="Book Antiqua"/>
          <w:noProof/>
        </w:rPr>
        <w:lastRenderedPageBreak/>
        <w:t>Diplomatic missions</w:t>
      </w:r>
      <w:r>
        <w:rPr>
          <w:noProof/>
        </w:rPr>
        <w:t>, 105, 111</w:t>
      </w:r>
    </w:p>
    <w:p w14:paraId="1D9AD48C" w14:textId="77777777" w:rsidR="002D73A4" w:rsidRDefault="002D73A4">
      <w:pPr>
        <w:pStyle w:val="Index1"/>
        <w:rPr>
          <w:noProof/>
        </w:rPr>
      </w:pPr>
      <w:r>
        <w:rPr>
          <w:noProof/>
        </w:rPr>
        <w:t>Duty free, 100, 114</w:t>
      </w:r>
    </w:p>
    <w:p w14:paraId="57D8CEF5"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E</w:t>
      </w:r>
    </w:p>
    <w:p w14:paraId="33886D83" w14:textId="77777777" w:rsidR="002D73A4" w:rsidRDefault="002D73A4">
      <w:pPr>
        <w:pStyle w:val="Index1"/>
        <w:rPr>
          <w:noProof/>
        </w:rPr>
      </w:pPr>
      <w:r>
        <w:rPr>
          <w:noProof/>
        </w:rPr>
        <w:t>Early stage venture capital limited partnership, 53</w:t>
      </w:r>
    </w:p>
    <w:p w14:paraId="13DE12A2" w14:textId="77777777" w:rsidR="002D73A4" w:rsidRDefault="002D73A4">
      <w:pPr>
        <w:pStyle w:val="Index1"/>
        <w:rPr>
          <w:noProof/>
        </w:rPr>
      </w:pPr>
      <w:r>
        <w:rPr>
          <w:noProof/>
        </w:rPr>
        <w:t>Early-stage investments, 54</w:t>
      </w:r>
    </w:p>
    <w:p w14:paraId="497D94BD" w14:textId="77777777" w:rsidR="002D73A4" w:rsidRDefault="002D73A4">
      <w:pPr>
        <w:pStyle w:val="Index1"/>
        <w:rPr>
          <w:noProof/>
        </w:rPr>
      </w:pPr>
      <w:r>
        <w:rPr>
          <w:noProof/>
        </w:rPr>
        <w:t>Education costs, 72</w:t>
      </w:r>
    </w:p>
    <w:p w14:paraId="71BFDFDD" w14:textId="77777777" w:rsidR="002D73A4" w:rsidRDefault="002D73A4">
      <w:pPr>
        <w:pStyle w:val="Index1"/>
        <w:rPr>
          <w:noProof/>
        </w:rPr>
      </w:pPr>
      <w:r>
        <w:rPr>
          <w:noProof/>
        </w:rPr>
        <w:t>Education supplies, 115</w:t>
      </w:r>
    </w:p>
    <w:p w14:paraId="68FC0CE1" w14:textId="77777777" w:rsidR="002D73A4" w:rsidRDefault="002D73A4">
      <w:pPr>
        <w:pStyle w:val="Index1"/>
        <w:rPr>
          <w:noProof/>
        </w:rPr>
      </w:pPr>
      <w:r>
        <w:rPr>
          <w:noProof/>
        </w:rPr>
        <w:t>Educational allowance income, 17</w:t>
      </w:r>
    </w:p>
    <w:p w14:paraId="28870DA6" w14:textId="77777777" w:rsidR="002D73A4" w:rsidRDefault="002D73A4">
      <w:pPr>
        <w:pStyle w:val="Index1"/>
        <w:rPr>
          <w:noProof/>
        </w:rPr>
      </w:pPr>
      <w:r>
        <w:rPr>
          <w:noProof/>
        </w:rPr>
        <w:t>Election candidates, 12</w:t>
      </w:r>
    </w:p>
    <w:p w14:paraId="60236116" w14:textId="77777777" w:rsidR="002D73A4" w:rsidRDefault="002D73A4">
      <w:pPr>
        <w:pStyle w:val="Index1"/>
        <w:rPr>
          <w:noProof/>
        </w:rPr>
      </w:pPr>
      <w:r>
        <w:rPr>
          <w:noProof/>
        </w:rPr>
        <w:t>Emergency assistance, 74</w:t>
      </w:r>
    </w:p>
    <w:p w14:paraId="48506348" w14:textId="77777777" w:rsidR="002D73A4" w:rsidRDefault="002D73A4">
      <w:pPr>
        <w:pStyle w:val="Index1"/>
        <w:rPr>
          <w:noProof/>
        </w:rPr>
      </w:pPr>
      <w:r>
        <w:rPr>
          <w:noProof/>
        </w:rPr>
        <w:t>Employee share scheme, 28</w:t>
      </w:r>
    </w:p>
    <w:p w14:paraId="4EFD9646" w14:textId="77777777" w:rsidR="002D73A4" w:rsidRDefault="002D73A4">
      <w:pPr>
        <w:pStyle w:val="Index1"/>
        <w:rPr>
          <w:noProof/>
        </w:rPr>
      </w:pPr>
      <w:r>
        <w:rPr>
          <w:noProof/>
        </w:rPr>
        <w:t>Employer associations, 50</w:t>
      </w:r>
    </w:p>
    <w:p w14:paraId="717AE274" w14:textId="77777777" w:rsidR="002D73A4" w:rsidRDefault="002D73A4">
      <w:pPr>
        <w:pStyle w:val="Index1"/>
        <w:rPr>
          <w:noProof/>
        </w:rPr>
      </w:pPr>
      <w:r>
        <w:rPr>
          <w:noProof/>
        </w:rPr>
        <w:t>Employment termination payments, 20</w:t>
      </w:r>
    </w:p>
    <w:p w14:paraId="124E72FB" w14:textId="77777777" w:rsidR="002D73A4" w:rsidRDefault="002D73A4">
      <w:pPr>
        <w:pStyle w:val="Index1"/>
        <w:rPr>
          <w:noProof/>
        </w:rPr>
      </w:pPr>
      <w:r>
        <w:rPr>
          <w:noProof/>
        </w:rPr>
        <w:t>Expenditure uplift, 107</w:t>
      </w:r>
    </w:p>
    <w:p w14:paraId="669DBDCE" w14:textId="77777777" w:rsidR="002D73A4" w:rsidRDefault="002D73A4">
      <w:pPr>
        <w:pStyle w:val="Index1"/>
        <w:rPr>
          <w:noProof/>
        </w:rPr>
      </w:pPr>
      <w:r>
        <w:rPr>
          <w:noProof/>
        </w:rPr>
        <w:t>Exploration, 58</w:t>
      </w:r>
    </w:p>
    <w:p w14:paraId="4C8771A2"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F</w:t>
      </w:r>
    </w:p>
    <w:p w14:paraId="031F3FFA" w14:textId="77777777" w:rsidR="002D73A4" w:rsidRDefault="002D73A4">
      <w:pPr>
        <w:pStyle w:val="Index1"/>
        <w:rPr>
          <w:noProof/>
        </w:rPr>
      </w:pPr>
      <w:r>
        <w:rPr>
          <w:noProof/>
        </w:rPr>
        <w:t>Family Tax Benefit, 25</w:t>
      </w:r>
    </w:p>
    <w:p w14:paraId="60E6116A" w14:textId="77777777" w:rsidR="002D73A4" w:rsidRDefault="002D73A4">
      <w:pPr>
        <w:pStyle w:val="Index1"/>
        <w:rPr>
          <w:noProof/>
        </w:rPr>
      </w:pPr>
      <w:r>
        <w:rPr>
          <w:noProof/>
        </w:rPr>
        <w:t>Family trust rules, 49</w:t>
      </w:r>
    </w:p>
    <w:p w14:paraId="7537072B" w14:textId="77777777" w:rsidR="002D73A4" w:rsidRDefault="002D73A4">
      <w:pPr>
        <w:pStyle w:val="Index1"/>
        <w:rPr>
          <w:noProof/>
        </w:rPr>
      </w:pPr>
      <w:r>
        <w:rPr>
          <w:noProof/>
        </w:rPr>
        <w:t>Farm Management Deposits, 45</w:t>
      </w:r>
    </w:p>
    <w:p w14:paraId="5B1AF089" w14:textId="77777777" w:rsidR="002D73A4" w:rsidRDefault="002D73A4">
      <w:pPr>
        <w:pStyle w:val="Index1"/>
        <w:rPr>
          <w:noProof/>
        </w:rPr>
      </w:pPr>
      <w:r>
        <w:rPr>
          <w:noProof/>
        </w:rPr>
        <w:t>Film concessions, 42</w:t>
      </w:r>
    </w:p>
    <w:p w14:paraId="338A919C" w14:textId="77777777" w:rsidR="002D73A4" w:rsidRDefault="002D73A4">
      <w:pPr>
        <w:pStyle w:val="Index1"/>
        <w:rPr>
          <w:noProof/>
        </w:rPr>
      </w:pPr>
      <w:r>
        <w:rPr>
          <w:noProof/>
        </w:rPr>
        <w:t>Finance Leases, 55</w:t>
      </w:r>
    </w:p>
    <w:p w14:paraId="6600DF57" w14:textId="77777777" w:rsidR="002D73A4" w:rsidRDefault="002D73A4">
      <w:pPr>
        <w:pStyle w:val="Index1"/>
        <w:rPr>
          <w:noProof/>
        </w:rPr>
      </w:pPr>
      <w:r>
        <w:rPr>
          <w:noProof/>
        </w:rPr>
        <w:t>Financial acquisitions threshold, 109</w:t>
      </w:r>
    </w:p>
    <w:p w14:paraId="4A850C5C" w14:textId="77777777" w:rsidR="002D73A4" w:rsidRDefault="002D73A4">
      <w:pPr>
        <w:pStyle w:val="Index1"/>
        <w:rPr>
          <w:noProof/>
        </w:rPr>
      </w:pPr>
      <w:r>
        <w:rPr>
          <w:noProof/>
        </w:rPr>
        <w:t>Financial instruments</w:t>
      </w:r>
    </w:p>
    <w:p w14:paraId="6D37F3A5" w14:textId="77777777" w:rsidR="002D73A4" w:rsidRDefault="002D73A4">
      <w:pPr>
        <w:pStyle w:val="Index2"/>
        <w:rPr>
          <w:noProof/>
        </w:rPr>
      </w:pPr>
      <w:r>
        <w:rPr>
          <w:noProof/>
        </w:rPr>
        <w:t>Convertible interests, 94</w:t>
      </w:r>
    </w:p>
    <w:p w14:paraId="168AF30F" w14:textId="77777777" w:rsidR="002D73A4" w:rsidRDefault="002D73A4">
      <w:pPr>
        <w:pStyle w:val="Index2"/>
        <w:rPr>
          <w:noProof/>
        </w:rPr>
      </w:pPr>
      <w:r>
        <w:rPr>
          <w:noProof/>
        </w:rPr>
        <w:t>Exchangeable interests, 94</w:t>
      </w:r>
    </w:p>
    <w:p w14:paraId="6B9B5280" w14:textId="77777777" w:rsidR="002D73A4" w:rsidRDefault="002D73A4">
      <w:pPr>
        <w:pStyle w:val="Index1"/>
        <w:rPr>
          <w:noProof/>
        </w:rPr>
      </w:pPr>
      <w:r>
        <w:rPr>
          <w:noProof/>
        </w:rPr>
        <w:t>Financial supplies, 109, 110</w:t>
      </w:r>
    </w:p>
    <w:p w14:paraId="40B8E05A" w14:textId="77777777" w:rsidR="002D73A4" w:rsidRDefault="002D73A4">
      <w:pPr>
        <w:pStyle w:val="Index1"/>
        <w:rPr>
          <w:noProof/>
        </w:rPr>
      </w:pPr>
      <w:r>
        <w:rPr>
          <w:noProof/>
        </w:rPr>
        <w:t>First Home Owners Grant Scheme, 26</w:t>
      </w:r>
    </w:p>
    <w:p w14:paraId="0F83AD19" w14:textId="77777777" w:rsidR="002D73A4" w:rsidRDefault="002D73A4">
      <w:pPr>
        <w:pStyle w:val="Index1"/>
        <w:rPr>
          <w:noProof/>
        </w:rPr>
      </w:pPr>
      <w:r>
        <w:rPr>
          <w:noProof/>
        </w:rPr>
        <w:t>Foreign branch income, 36</w:t>
      </w:r>
    </w:p>
    <w:p w14:paraId="499447BC" w14:textId="77777777" w:rsidR="002D73A4" w:rsidRDefault="002D73A4">
      <w:pPr>
        <w:pStyle w:val="Index1"/>
        <w:rPr>
          <w:noProof/>
        </w:rPr>
      </w:pPr>
      <w:r>
        <w:rPr>
          <w:noProof/>
        </w:rPr>
        <w:t>Foreign currency gains and losses, 40</w:t>
      </w:r>
    </w:p>
    <w:p w14:paraId="5890E537" w14:textId="77777777" w:rsidR="002D73A4" w:rsidRDefault="002D73A4">
      <w:pPr>
        <w:pStyle w:val="Index1"/>
        <w:rPr>
          <w:noProof/>
        </w:rPr>
      </w:pPr>
      <w:r>
        <w:rPr>
          <w:noProof/>
        </w:rPr>
        <w:t>Foreign forces, 13</w:t>
      </w:r>
    </w:p>
    <w:p w14:paraId="49B65ABA" w14:textId="77777777" w:rsidR="002D73A4" w:rsidRDefault="002D73A4">
      <w:pPr>
        <w:pStyle w:val="Index1"/>
        <w:rPr>
          <w:noProof/>
        </w:rPr>
      </w:pPr>
      <w:r>
        <w:rPr>
          <w:noProof/>
        </w:rPr>
        <w:lastRenderedPageBreak/>
        <w:t>Foreign superannuation funds, 50</w:t>
      </w:r>
    </w:p>
    <w:p w14:paraId="73C3730D" w14:textId="77777777" w:rsidR="002D73A4" w:rsidRDefault="002D73A4">
      <w:pPr>
        <w:pStyle w:val="Index1"/>
        <w:rPr>
          <w:noProof/>
        </w:rPr>
      </w:pPr>
      <w:r>
        <w:rPr>
          <w:noProof/>
        </w:rPr>
        <w:t>Foreign termination payments, 24</w:t>
      </w:r>
    </w:p>
    <w:p w14:paraId="2C219FA0" w14:textId="77777777" w:rsidR="002D73A4" w:rsidRDefault="002D73A4">
      <w:pPr>
        <w:pStyle w:val="Index1"/>
        <w:rPr>
          <w:noProof/>
        </w:rPr>
      </w:pPr>
      <w:r>
        <w:rPr>
          <w:noProof/>
        </w:rPr>
        <w:t>Forestry managed investment schemes, 44</w:t>
      </w:r>
    </w:p>
    <w:p w14:paraId="20F5982A" w14:textId="77777777" w:rsidR="002D73A4" w:rsidRDefault="002D73A4">
      <w:pPr>
        <w:pStyle w:val="Index1"/>
        <w:rPr>
          <w:noProof/>
        </w:rPr>
      </w:pPr>
      <w:r w:rsidRPr="00264EE1">
        <w:rPr>
          <w:noProof/>
          <w:lang w:val="en-US"/>
        </w:rPr>
        <w:t>Fringe benefits tax</w:t>
      </w:r>
    </w:p>
    <w:p w14:paraId="08DB5156" w14:textId="77777777" w:rsidR="002D73A4" w:rsidRDefault="002D73A4">
      <w:pPr>
        <w:pStyle w:val="Index2"/>
        <w:rPr>
          <w:noProof/>
        </w:rPr>
      </w:pPr>
      <w:r>
        <w:rPr>
          <w:noProof/>
        </w:rPr>
        <w:t>Allowances, accommodation and food benefits, 74, 75, 86</w:t>
      </w:r>
    </w:p>
    <w:p w14:paraId="60CC0E0E" w14:textId="77777777" w:rsidR="002D73A4" w:rsidRDefault="002D73A4">
      <w:pPr>
        <w:pStyle w:val="Index2"/>
        <w:rPr>
          <w:noProof/>
        </w:rPr>
      </w:pPr>
      <w:r>
        <w:rPr>
          <w:noProof/>
        </w:rPr>
        <w:t>Board fringe benefits, 83</w:t>
      </w:r>
    </w:p>
    <w:p w14:paraId="0F4429AC" w14:textId="77777777" w:rsidR="002D73A4" w:rsidRDefault="002D73A4">
      <w:pPr>
        <w:pStyle w:val="Index2"/>
        <w:rPr>
          <w:noProof/>
        </w:rPr>
      </w:pPr>
      <w:r w:rsidRPr="00264EE1">
        <w:rPr>
          <w:noProof/>
          <w:lang w:val="en-US"/>
        </w:rPr>
        <w:t>Car benefits</w:t>
      </w:r>
      <w:r>
        <w:rPr>
          <w:noProof/>
        </w:rPr>
        <w:t>, 70, 76</w:t>
      </w:r>
    </w:p>
    <w:p w14:paraId="44FF6541" w14:textId="77777777" w:rsidR="002D73A4" w:rsidRDefault="002D73A4">
      <w:pPr>
        <w:pStyle w:val="Index2"/>
        <w:rPr>
          <w:noProof/>
        </w:rPr>
      </w:pPr>
      <w:r>
        <w:rPr>
          <w:noProof/>
        </w:rPr>
        <w:t>Car parking benefits, 80, 84</w:t>
      </w:r>
    </w:p>
    <w:p w14:paraId="14DC4A2E" w14:textId="77777777" w:rsidR="002D73A4" w:rsidRDefault="002D73A4">
      <w:pPr>
        <w:pStyle w:val="Index2"/>
        <w:rPr>
          <w:noProof/>
        </w:rPr>
      </w:pPr>
      <w:r>
        <w:rPr>
          <w:noProof/>
        </w:rPr>
        <w:t>Child Care, 83</w:t>
      </w:r>
    </w:p>
    <w:p w14:paraId="621678D6" w14:textId="77777777" w:rsidR="002D73A4" w:rsidRDefault="002D73A4">
      <w:pPr>
        <w:pStyle w:val="Index2"/>
        <w:rPr>
          <w:noProof/>
        </w:rPr>
      </w:pPr>
      <w:r>
        <w:rPr>
          <w:noProof/>
        </w:rPr>
        <w:t>Commuter travel, 79</w:t>
      </w:r>
    </w:p>
    <w:p w14:paraId="13269771" w14:textId="77777777" w:rsidR="002D73A4" w:rsidRDefault="002D73A4">
      <w:pPr>
        <w:pStyle w:val="Index2"/>
        <w:rPr>
          <w:noProof/>
        </w:rPr>
      </w:pPr>
      <w:r>
        <w:rPr>
          <w:noProof/>
        </w:rPr>
        <w:t>Employee living away from home, 80</w:t>
      </w:r>
    </w:p>
    <w:p w14:paraId="4A8C7A87" w14:textId="77777777" w:rsidR="002D73A4" w:rsidRDefault="002D73A4">
      <w:pPr>
        <w:pStyle w:val="Index2"/>
        <w:rPr>
          <w:noProof/>
        </w:rPr>
      </w:pPr>
      <w:r>
        <w:rPr>
          <w:noProof/>
        </w:rPr>
        <w:t>Holidays, 84</w:t>
      </w:r>
    </w:p>
    <w:p w14:paraId="0A457AE4" w14:textId="77777777" w:rsidR="002D73A4" w:rsidRDefault="002D73A4">
      <w:pPr>
        <w:pStyle w:val="Index2"/>
        <w:rPr>
          <w:noProof/>
        </w:rPr>
      </w:pPr>
      <w:r>
        <w:rPr>
          <w:noProof/>
        </w:rPr>
        <w:t>In-house benefits, 80</w:t>
      </w:r>
    </w:p>
    <w:p w14:paraId="26883B3F" w14:textId="77777777" w:rsidR="002D73A4" w:rsidRDefault="002D73A4">
      <w:pPr>
        <w:pStyle w:val="Index2"/>
        <w:rPr>
          <w:noProof/>
        </w:rPr>
      </w:pPr>
      <w:r>
        <w:rPr>
          <w:noProof/>
        </w:rPr>
        <w:t>In-house property fringe benefits, 79</w:t>
      </w:r>
    </w:p>
    <w:p w14:paraId="53559F20" w14:textId="77777777" w:rsidR="002D73A4" w:rsidRDefault="002D73A4">
      <w:pPr>
        <w:pStyle w:val="Index2"/>
        <w:rPr>
          <w:noProof/>
        </w:rPr>
      </w:pPr>
      <w:r>
        <w:rPr>
          <w:noProof/>
        </w:rPr>
        <w:t>In-house residual fringe benefits, 79</w:t>
      </w:r>
    </w:p>
    <w:p w14:paraId="16C67428" w14:textId="77777777" w:rsidR="002D73A4" w:rsidRDefault="002D73A4">
      <w:pPr>
        <w:pStyle w:val="Index2"/>
        <w:rPr>
          <w:noProof/>
        </w:rPr>
      </w:pPr>
      <w:r>
        <w:rPr>
          <w:noProof/>
        </w:rPr>
        <w:t>Loan benefits, 81</w:t>
      </w:r>
    </w:p>
    <w:p w14:paraId="5662DABA" w14:textId="77777777" w:rsidR="002D73A4" w:rsidRDefault="002D73A4">
      <w:pPr>
        <w:pStyle w:val="Index2"/>
        <w:rPr>
          <w:noProof/>
        </w:rPr>
      </w:pPr>
      <w:r>
        <w:rPr>
          <w:noProof/>
        </w:rPr>
        <w:t>Minor benefits, 81</w:t>
      </w:r>
    </w:p>
    <w:p w14:paraId="296DF441" w14:textId="77777777" w:rsidR="002D73A4" w:rsidRDefault="002D73A4">
      <w:pPr>
        <w:pStyle w:val="Index2"/>
        <w:rPr>
          <w:noProof/>
        </w:rPr>
      </w:pPr>
      <w:r w:rsidRPr="00264EE1">
        <w:rPr>
          <w:noProof/>
          <w:lang w:val="en-US"/>
        </w:rPr>
        <w:t>Transport</w:t>
      </w:r>
      <w:r>
        <w:rPr>
          <w:noProof/>
        </w:rPr>
        <w:t>, 85</w:t>
      </w:r>
    </w:p>
    <w:p w14:paraId="7A401D8D" w14:textId="77777777" w:rsidR="002D73A4" w:rsidRDefault="002D73A4">
      <w:pPr>
        <w:pStyle w:val="Index1"/>
        <w:rPr>
          <w:noProof/>
        </w:rPr>
      </w:pPr>
      <w:r>
        <w:rPr>
          <w:noProof/>
        </w:rPr>
        <w:t>Fuels</w:t>
      </w:r>
    </w:p>
    <w:p w14:paraId="08BAB66B" w14:textId="77777777" w:rsidR="002D73A4" w:rsidRDefault="002D73A4">
      <w:pPr>
        <w:pStyle w:val="Index2"/>
        <w:rPr>
          <w:noProof/>
        </w:rPr>
      </w:pPr>
      <w:r>
        <w:rPr>
          <w:noProof/>
        </w:rPr>
        <w:t>Alternative transport fuels, 100</w:t>
      </w:r>
    </w:p>
    <w:p w14:paraId="7DF4D4A6" w14:textId="77777777" w:rsidR="002D73A4" w:rsidRDefault="002D73A4">
      <w:pPr>
        <w:pStyle w:val="Index2"/>
        <w:rPr>
          <w:noProof/>
        </w:rPr>
      </w:pPr>
      <w:r>
        <w:rPr>
          <w:noProof/>
        </w:rPr>
        <w:t>Aviation gasoline, 100</w:t>
      </w:r>
    </w:p>
    <w:p w14:paraId="348EE3D5" w14:textId="77777777" w:rsidR="002D73A4" w:rsidRDefault="002D73A4">
      <w:pPr>
        <w:pStyle w:val="Index2"/>
        <w:rPr>
          <w:noProof/>
        </w:rPr>
      </w:pPr>
      <w:r>
        <w:rPr>
          <w:noProof/>
        </w:rPr>
        <w:t>Aviation turbine fuel, 100</w:t>
      </w:r>
    </w:p>
    <w:p w14:paraId="68C7420F" w14:textId="77777777" w:rsidR="002D73A4" w:rsidRDefault="002D73A4">
      <w:pPr>
        <w:pStyle w:val="Index2"/>
        <w:rPr>
          <w:noProof/>
        </w:rPr>
      </w:pPr>
      <w:r>
        <w:rPr>
          <w:noProof/>
        </w:rPr>
        <w:t>Fuel oil, 101</w:t>
      </w:r>
    </w:p>
    <w:p w14:paraId="3F3E37EE" w14:textId="77777777" w:rsidR="002D73A4" w:rsidRDefault="002D73A4">
      <w:pPr>
        <w:pStyle w:val="Index2"/>
        <w:rPr>
          <w:noProof/>
        </w:rPr>
      </w:pPr>
      <w:r>
        <w:rPr>
          <w:noProof/>
        </w:rPr>
        <w:t>Heating oil, 101</w:t>
      </w:r>
    </w:p>
    <w:p w14:paraId="50F47050" w14:textId="77777777" w:rsidR="002D73A4" w:rsidRDefault="002D73A4">
      <w:pPr>
        <w:pStyle w:val="Index2"/>
        <w:rPr>
          <w:noProof/>
        </w:rPr>
      </w:pPr>
      <w:r>
        <w:rPr>
          <w:noProof/>
        </w:rPr>
        <w:t>Kerosene, 101</w:t>
      </w:r>
    </w:p>
    <w:p w14:paraId="4C859882" w14:textId="77777777" w:rsidR="002D73A4" w:rsidRDefault="002D73A4">
      <w:pPr>
        <w:pStyle w:val="Index2"/>
        <w:rPr>
          <w:noProof/>
        </w:rPr>
      </w:pPr>
      <w:r>
        <w:rPr>
          <w:noProof/>
        </w:rPr>
        <w:t>Solvents, 101</w:t>
      </w:r>
    </w:p>
    <w:p w14:paraId="3C389F33"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G</w:t>
      </w:r>
    </w:p>
    <w:p w14:paraId="6340378D" w14:textId="77777777" w:rsidR="002D73A4" w:rsidRDefault="002D73A4">
      <w:pPr>
        <w:pStyle w:val="Index1"/>
        <w:rPr>
          <w:noProof/>
        </w:rPr>
      </w:pPr>
      <w:r>
        <w:rPr>
          <w:noProof/>
        </w:rPr>
        <w:t>Gas transfer price regulations, 108</w:t>
      </w:r>
    </w:p>
    <w:p w14:paraId="319FF5C3" w14:textId="77777777" w:rsidR="002D73A4" w:rsidRDefault="002D73A4">
      <w:pPr>
        <w:pStyle w:val="Index1"/>
        <w:rPr>
          <w:noProof/>
        </w:rPr>
      </w:pPr>
      <w:r>
        <w:rPr>
          <w:noProof/>
        </w:rPr>
        <w:t>Goods and Services Tax</w:t>
      </w:r>
    </w:p>
    <w:p w14:paraId="60A41600" w14:textId="77777777" w:rsidR="002D73A4" w:rsidRDefault="002D73A4">
      <w:pPr>
        <w:pStyle w:val="Index2"/>
        <w:rPr>
          <w:noProof/>
        </w:rPr>
      </w:pPr>
      <w:r>
        <w:rPr>
          <w:noProof/>
        </w:rPr>
        <w:t>Boats, 112</w:t>
      </w:r>
    </w:p>
    <w:p w14:paraId="11ECE7E0" w14:textId="77777777" w:rsidR="002D73A4" w:rsidRDefault="002D73A4">
      <w:pPr>
        <w:pStyle w:val="Index2"/>
        <w:rPr>
          <w:noProof/>
        </w:rPr>
      </w:pPr>
      <w:r>
        <w:rPr>
          <w:noProof/>
        </w:rPr>
        <w:lastRenderedPageBreak/>
        <w:t>Child Care, 110</w:t>
      </w:r>
    </w:p>
    <w:p w14:paraId="4888491A" w14:textId="77777777" w:rsidR="002D73A4" w:rsidRDefault="002D73A4">
      <w:pPr>
        <w:pStyle w:val="Index2"/>
        <w:rPr>
          <w:noProof/>
        </w:rPr>
      </w:pPr>
      <w:r>
        <w:rPr>
          <w:noProof/>
        </w:rPr>
        <w:t>Education, 115</w:t>
      </w:r>
    </w:p>
    <w:p w14:paraId="2F694449" w14:textId="77777777" w:rsidR="002D73A4" w:rsidRDefault="002D73A4">
      <w:pPr>
        <w:pStyle w:val="Index2"/>
        <w:rPr>
          <w:noProof/>
        </w:rPr>
      </w:pPr>
      <w:r>
        <w:rPr>
          <w:noProof/>
        </w:rPr>
        <w:t>Farm land, 117</w:t>
      </w:r>
    </w:p>
    <w:p w14:paraId="746D7630" w14:textId="77777777" w:rsidR="002D73A4" w:rsidRDefault="002D73A4">
      <w:pPr>
        <w:pStyle w:val="Index2"/>
        <w:rPr>
          <w:noProof/>
        </w:rPr>
      </w:pPr>
      <w:r>
        <w:rPr>
          <w:noProof/>
        </w:rPr>
        <w:t>Food, 119</w:t>
      </w:r>
    </w:p>
    <w:p w14:paraId="265C0F31" w14:textId="77777777" w:rsidR="002D73A4" w:rsidRDefault="002D73A4">
      <w:pPr>
        <w:pStyle w:val="Index2"/>
        <w:rPr>
          <w:noProof/>
        </w:rPr>
      </w:pPr>
      <w:r>
        <w:rPr>
          <w:noProof/>
        </w:rPr>
        <w:t>Health, 116, 117</w:t>
      </w:r>
    </w:p>
    <w:p w14:paraId="34BF991A" w14:textId="77777777" w:rsidR="002D73A4" w:rsidRDefault="002D73A4">
      <w:pPr>
        <w:pStyle w:val="Index2"/>
        <w:rPr>
          <w:noProof/>
        </w:rPr>
      </w:pPr>
      <w:r>
        <w:rPr>
          <w:noProof/>
        </w:rPr>
        <w:t>Medicines, 115</w:t>
      </w:r>
    </w:p>
    <w:p w14:paraId="35614D2B" w14:textId="77777777" w:rsidR="002D73A4" w:rsidRDefault="002D73A4">
      <w:pPr>
        <w:pStyle w:val="Index2"/>
        <w:rPr>
          <w:noProof/>
        </w:rPr>
      </w:pPr>
      <w:r>
        <w:rPr>
          <w:noProof/>
        </w:rPr>
        <w:t>Registration threshold, 110, 118</w:t>
      </w:r>
    </w:p>
    <w:p w14:paraId="70DA327A" w14:textId="77777777" w:rsidR="002D73A4" w:rsidRDefault="002D73A4">
      <w:pPr>
        <w:pStyle w:val="Index2"/>
        <w:rPr>
          <w:noProof/>
        </w:rPr>
      </w:pPr>
      <w:r>
        <w:rPr>
          <w:noProof/>
        </w:rPr>
        <w:t>Simplified accounting methods, 118</w:t>
      </w:r>
    </w:p>
    <w:p w14:paraId="7DCF5393" w14:textId="77777777" w:rsidR="002D73A4" w:rsidRDefault="002D73A4">
      <w:pPr>
        <w:pStyle w:val="Index2"/>
        <w:rPr>
          <w:noProof/>
        </w:rPr>
      </w:pPr>
      <w:r>
        <w:rPr>
          <w:noProof/>
        </w:rPr>
        <w:t>Telecommunications global roaming, 112</w:t>
      </w:r>
    </w:p>
    <w:p w14:paraId="15C625C4" w14:textId="77777777" w:rsidR="002D73A4" w:rsidRDefault="002D73A4">
      <w:pPr>
        <w:pStyle w:val="Index2"/>
        <w:rPr>
          <w:noProof/>
        </w:rPr>
      </w:pPr>
      <w:r>
        <w:rPr>
          <w:noProof/>
        </w:rPr>
        <w:t>Travel, 114</w:t>
      </w:r>
    </w:p>
    <w:p w14:paraId="6DA39150"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H</w:t>
      </w:r>
    </w:p>
    <w:p w14:paraId="370AA459" w14:textId="77777777" w:rsidR="002D73A4" w:rsidRDefault="002D73A4">
      <w:pPr>
        <w:pStyle w:val="Index1"/>
        <w:rPr>
          <w:noProof/>
        </w:rPr>
      </w:pPr>
      <w:r>
        <w:rPr>
          <w:noProof/>
        </w:rPr>
        <w:t>Higher Education Contribution Scheme Higher Education Loan Program, 17</w:t>
      </w:r>
    </w:p>
    <w:p w14:paraId="2E4FAE98" w14:textId="77777777" w:rsidR="002D73A4" w:rsidRDefault="002D73A4">
      <w:pPr>
        <w:pStyle w:val="Index1"/>
        <w:rPr>
          <w:noProof/>
        </w:rPr>
      </w:pPr>
      <w:r>
        <w:rPr>
          <w:noProof/>
        </w:rPr>
        <w:t>Holiday transport, 84</w:t>
      </w:r>
    </w:p>
    <w:p w14:paraId="41E9C2E7" w14:textId="77777777" w:rsidR="002D73A4" w:rsidRDefault="002D73A4">
      <w:pPr>
        <w:pStyle w:val="Index1"/>
        <w:rPr>
          <w:noProof/>
        </w:rPr>
      </w:pPr>
      <w:r>
        <w:rPr>
          <w:noProof/>
        </w:rPr>
        <w:t>Hospitals, 50, 73, 74</w:t>
      </w:r>
    </w:p>
    <w:p w14:paraId="3FE6EEE9" w14:textId="77777777" w:rsidR="002D73A4" w:rsidRDefault="002D73A4">
      <w:pPr>
        <w:pStyle w:val="Index1"/>
        <w:rPr>
          <w:noProof/>
        </w:rPr>
      </w:pPr>
      <w:r>
        <w:rPr>
          <w:noProof/>
        </w:rPr>
        <w:t>Housing benefits, 75</w:t>
      </w:r>
    </w:p>
    <w:p w14:paraId="19683611"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I</w:t>
      </w:r>
    </w:p>
    <w:p w14:paraId="4DEEE059" w14:textId="77777777" w:rsidR="002D73A4" w:rsidRDefault="002D73A4">
      <w:pPr>
        <w:pStyle w:val="Index1"/>
        <w:rPr>
          <w:noProof/>
        </w:rPr>
      </w:pPr>
      <w:r>
        <w:rPr>
          <w:noProof/>
        </w:rPr>
        <w:t>Illegal activities, 29</w:t>
      </w:r>
    </w:p>
    <w:p w14:paraId="60219CAF" w14:textId="77777777" w:rsidR="002D73A4" w:rsidRDefault="002D73A4">
      <w:pPr>
        <w:pStyle w:val="Index1"/>
        <w:rPr>
          <w:noProof/>
        </w:rPr>
      </w:pPr>
      <w:r>
        <w:rPr>
          <w:noProof/>
        </w:rPr>
        <w:t>Imported services, 113</w:t>
      </w:r>
    </w:p>
    <w:p w14:paraId="0484C410" w14:textId="77777777" w:rsidR="002D73A4" w:rsidRDefault="002D73A4">
      <w:pPr>
        <w:pStyle w:val="Index1"/>
        <w:rPr>
          <w:noProof/>
        </w:rPr>
      </w:pPr>
      <w:r>
        <w:rPr>
          <w:noProof/>
        </w:rPr>
        <w:t>Indexed cost base, 93</w:t>
      </w:r>
    </w:p>
    <w:p w14:paraId="74624F29" w14:textId="77777777" w:rsidR="002D73A4" w:rsidRDefault="002D73A4">
      <w:pPr>
        <w:pStyle w:val="Index1"/>
        <w:rPr>
          <w:noProof/>
        </w:rPr>
      </w:pPr>
      <w:r>
        <w:rPr>
          <w:noProof/>
        </w:rPr>
        <w:t>Infrastructure projects, 41</w:t>
      </w:r>
    </w:p>
    <w:p w14:paraId="7A83BE51" w14:textId="77777777" w:rsidR="002D73A4" w:rsidRDefault="002D73A4">
      <w:pPr>
        <w:pStyle w:val="Index1"/>
        <w:rPr>
          <w:noProof/>
        </w:rPr>
      </w:pPr>
      <w:r>
        <w:rPr>
          <w:noProof/>
        </w:rPr>
        <w:t>International organisations, 13, 33, 71, 111</w:t>
      </w:r>
    </w:p>
    <w:p w14:paraId="2B293552" w14:textId="77777777" w:rsidR="002D73A4" w:rsidRDefault="002D73A4">
      <w:pPr>
        <w:pStyle w:val="Index1"/>
        <w:rPr>
          <w:noProof/>
        </w:rPr>
      </w:pPr>
      <w:r>
        <w:rPr>
          <w:noProof/>
        </w:rPr>
        <w:t>International tax treaties, 34</w:t>
      </w:r>
    </w:p>
    <w:p w14:paraId="66EF430F" w14:textId="77777777" w:rsidR="002D73A4" w:rsidRDefault="002D73A4">
      <w:pPr>
        <w:pStyle w:val="Index1"/>
        <w:rPr>
          <w:noProof/>
        </w:rPr>
      </w:pPr>
      <w:r>
        <w:rPr>
          <w:noProof/>
        </w:rPr>
        <w:t>Inventors, 27</w:t>
      </w:r>
    </w:p>
    <w:p w14:paraId="03EC801A" w14:textId="77777777" w:rsidR="002D73A4" w:rsidRDefault="002D73A4">
      <w:pPr>
        <w:pStyle w:val="Index1"/>
        <w:rPr>
          <w:noProof/>
        </w:rPr>
      </w:pPr>
      <w:r>
        <w:rPr>
          <w:noProof/>
        </w:rPr>
        <w:t>Investment Manager Regime, 34</w:t>
      </w:r>
    </w:p>
    <w:p w14:paraId="22FB1D45"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L</w:t>
      </w:r>
    </w:p>
    <w:p w14:paraId="169E9FE8" w14:textId="77777777" w:rsidR="002D73A4" w:rsidRDefault="002D73A4">
      <w:pPr>
        <w:pStyle w:val="Index1"/>
        <w:rPr>
          <w:noProof/>
        </w:rPr>
      </w:pPr>
      <w:r>
        <w:rPr>
          <w:noProof/>
        </w:rPr>
        <w:t>Landcare, 57</w:t>
      </w:r>
    </w:p>
    <w:p w14:paraId="5E6957D4" w14:textId="77777777" w:rsidR="002D73A4" w:rsidRDefault="002D73A4">
      <w:pPr>
        <w:pStyle w:val="Index1"/>
        <w:rPr>
          <w:noProof/>
        </w:rPr>
      </w:pPr>
      <w:r>
        <w:rPr>
          <w:noProof/>
        </w:rPr>
        <w:t>Life insurance investment, 40</w:t>
      </w:r>
    </w:p>
    <w:p w14:paraId="0A5B43F9" w14:textId="77777777" w:rsidR="002D73A4" w:rsidRDefault="002D73A4">
      <w:pPr>
        <w:pStyle w:val="Index1"/>
        <w:rPr>
          <w:noProof/>
        </w:rPr>
      </w:pPr>
      <w:r>
        <w:rPr>
          <w:noProof/>
        </w:rPr>
        <w:t>Listed investment company, 91</w:t>
      </w:r>
    </w:p>
    <w:p w14:paraId="6A4B66C5" w14:textId="77777777" w:rsidR="002D73A4" w:rsidRDefault="002D73A4">
      <w:pPr>
        <w:pStyle w:val="Index1"/>
        <w:rPr>
          <w:noProof/>
        </w:rPr>
      </w:pPr>
      <w:r>
        <w:rPr>
          <w:noProof/>
        </w:rPr>
        <w:t>Live-in employees, 73</w:t>
      </w:r>
    </w:p>
    <w:p w14:paraId="69B2800F" w14:textId="77777777" w:rsidR="002D73A4" w:rsidRDefault="002D73A4">
      <w:pPr>
        <w:pStyle w:val="Index1"/>
        <w:rPr>
          <w:noProof/>
        </w:rPr>
      </w:pPr>
      <w:r>
        <w:rPr>
          <w:noProof/>
        </w:rPr>
        <w:t>Local government, 33</w:t>
      </w:r>
    </w:p>
    <w:p w14:paraId="7FE7C03F" w14:textId="77777777" w:rsidR="002D73A4" w:rsidRDefault="002D73A4">
      <w:pPr>
        <w:pStyle w:val="Index1"/>
        <w:rPr>
          <w:noProof/>
        </w:rPr>
      </w:pPr>
      <w:r>
        <w:rPr>
          <w:noProof/>
        </w:rPr>
        <w:lastRenderedPageBreak/>
        <w:t>Long service awards, 81</w:t>
      </w:r>
    </w:p>
    <w:p w14:paraId="78C73A4D" w14:textId="77777777" w:rsidR="002D73A4" w:rsidRDefault="002D73A4">
      <w:pPr>
        <w:pStyle w:val="Index1"/>
        <w:rPr>
          <w:noProof/>
        </w:rPr>
      </w:pPr>
      <w:r>
        <w:rPr>
          <w:noProof/>
        </w:rPr>
        <w:t>Lost assets, 94</w:t>
      </w:r>
    </w:p>
    <w:p w14:paraId="0E14A120" w14:textId="77777777" w:rsidR="002D73A4" w:rsidRDefault="002D73A4">
      <w:pPr>
        <w:pStyle w:val="Index1"/>
        <w:rPr>
          <w:noProof/>
        </w:rPr>
      </w:pPr>
      <w:r>
        <w:rPr>
          <w:noProof/>
        </w:rPr>
        <w:t>Low</w:t>
      </w:r>
      <w:r>
        <w:rPr>
          <w:noProof/>
        </w:rPr>
        <w:noBreakHyphen/>
        <w:t>value depreciating assets, 32</w:t>
      </w:r>
    </w:p>
    <w:p w14:paraId="4875F38F" w14:textId="77777777" w:rsidR="002D73A4" w:rsidRDefault="002D73A4">
      <w:pPr>
        <w:pStyle w:val="Index1"/>
        <w:rPr>
          <w:noProof/>
        </w:rPr>
      </w:pPr>
      <w:r>
        <w:rPr>
          <w:noProof/>
        </w:rPr>
        <w:t>Luxury Cars, 99</w:t>
      </w:r>
    </w:p>
    <w:p w14:paraId="700D91DC"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M</w:t>
      </w:r>
    </w:p>
    <w:p w14:paraId="53A187C0" w14:textId="77777777" w:rsidR="002D73A4" w:rsidRDefault="002D73A4">
      <w:pPr>
        <w:pStyle w:val="Index1"/>
        <w:rPr>
          <w:noProof/>
        </w:rPr>
      </w:pPr>
      <w:r>
        <w:rPr>
          <w:noProof/>
        </w:rPr>
        <w:t>Main residence, 88, 89</w:t>
      </w:r>
    </w:p>
    <w:p w14:paraId="76E1C111" w14:textId="77777777" w:rsidR="002D73A4" w:rsidRDefault="002D73A4">
      <w:pPr>
        <w:pStyle w:val="Index1"/>
        <w:rPr>
          <w:noProof/>
        </w:rPr>
      </w:pPr>
      <w:r>
        <w:rPr>
          <w:noProof/>
        </w:rPr>
        <w:t>Managed investment trusts</w:t>
      </w:r>
    </w:p>
    <w:p w14:paraId="4DB88DBB" w14:textId="77777777" w:rsidR="002D73A4" w:rsidRDefault="002D73A4">
      <w:pPr>
        <w:pStyle w:val="Index2"/>
        <w:rPr>
          <w:noProof/>
        </w:rPr>
      </w:pPr>
      <w:r>
        <w:rPr>
          <w:noProof/>
        </w:rPr>
        <w:t>Capital account treatment, 51</w:t>
      </w:r>
    </w:p>
    <w:p w14:paraId="3C220FA2" w14:textId="77777777" w:rsidR="002D73A4" w:rsidRDefault="002D73A4">
      <w:pPr>
        <w:pStyle w:val="Index2"/>
        <w:rPr>
          <w:noProof/>
        </w:rPr>
      </w:pPr>
      <w:r>
        <w:rPr>
          <w:noProof/>
        </w:rPr>
        <w:t>Distributions to foreign residents, 38, 63</w:t>
      </w:r>
    </w:p>
    <w:p w14:paraId="01BE8562" w14:textId="77777777" w:rsidR="002D73A4" w:rsidRDefault="002D73A4">
      <w:pPr>
        <w:pStyle w:val="Index1"/>
        <w:rPr>
          <w:noProof/>
        </w:rPr>
      </w:pPr>
      <w:r>
        <w:rPr>
          <w:noProof/>
        </w:rPr>
        <w:t>Marriage breakdown, 96</w:t>
      </w:r>
    </w:p>
    <w:p w14:paraId="050FB7AE" w14:textId="77777777" w:rsidR="002D73A4" w:rsidRDefault="002D73A4">
      <w:pPr>
        <w:pStyle w:val="Index1"/>
        <w:rPr>
          <w:noProof/>
        </w:rPr>
      </w:pPr>
      <w:r>
        <w:rPr>
          <w:noProof/>
        </w:rPr>
        <w:t>Medical aid or appliance, 115</w:t>
      </w:r>
    </w:p>
    <w:p w14:paraId="47062EBB" w14:textId="77777777" w:rsidR="002D73A4" w:rsidRDefault="002D73A4">
      <w:pPr>
        <w:pStyle w:val="Index1"/>
        <w:rPr>
          <w:noProof/>
        </w:rPr>
      </w:pPr>
      <w:r w:rsidRPr="00264EE1">
        <w:rPr>
          <w:rFonts w:cs="Book Antiqua"/>
          <w:noProof/>
        </w:rPr>
        <w:t>Medical defence organisation</w:t>
      </w:r>
      <w:r>
        <w:rPr>
          <w:noProof/>
        </w:rPr>
        <w:t>, 87</w:t>
      </w:r>
    </w:p>
    <w:p w14:paraId="533BA654" w14:textId="77777777" w:rsidR="002D73A4" w:rsidRDefault="002D73A4">
      <w:pPr>
        <w:pStyle w:val="Index1"/>
        <w:rPr>
          <w:noProof/>
        </w:rPr>
      </w:pPr>
      <w:r>
        <w:rPr>
          <w:noProof/>
        </w:rPr>
        <w:t>Medical expenses, 19</w:t>
      </w:r>
    </w:p>
    <w:p w14:paraId="3268B404" w14:textId="77777777" w:rsidR="002D73A4" w:rsidRDefault="002D73A4">
      <w:pPr>
        <w:pStyle w:val="Index1"/>
        <w:rPr>
          <w:noProof/>
        </w:rPr>
      </w:pPr>
      <w:r>
        <w:rPr>
          <w:noProof/>
        </w:rPr>
        <w:t>Medical services, 116</w:t>
      </w:r>
    </w:p>
    <w:p w14:paraId="75CECC93" w14:textId="77777777" w:rsidR="002D73A4" w:rsidRDefault="002D73A4">
      <w:pPr>
        <w:pStyle w:val="Index1"/>
        <w:rPr>
          <w:noProof/>
        </w:rPr>
      </w:pPr>
      <w:r>
        <w:rPr>
          <w:noProof/>
        </w:rPr>
        <w:t>Medicare Levy</w:t>
      </w:r>
    </w:p>
    <w:p w14:paraId="198B1C6A" w14:textId="77777777" w:rsidR="002D73A4" w:rsidRDefault="002D73A4">
      <w:pPr>
        <w:pStyle w:val="Index2"/>
        <w:rPr>
          <w:noProof/>
        </w:rPr>
      </w:pPr>
      <w:r>
        <w:rPr>
          <w:noProof/>
        </w:rPr>
        <w:t>Exemption, 16, 18</w:t>
      </w:r>
    </w:p>
    <w:p w14:paraId="08CDCF79" w14:textId="77777777" w:rsidR="002D73A4" w:rsidRDefault="002D73A4">
      <w:pPr>
        <w:pStyle w:val="Index2"/>
        <w:rPr>
          <w:noProof/>
        </w:rPr>
      </w:pPr>
      <w:r>
        <w:rPr>
          <w:noProof/>
        </w:rPr>
        <w:t>Surcharge, 19</w:t>
      </w:r>
    </w:p>
    <w:p w14:paraId="5A9D1AF0" w14:textId="77777777" w:rsidR="002D73A4" w:rsidRDefault="002D73A4">
      <w:pPr>
        <w:pStyle w:val="Index2"/>
        <w:rPr>
          <w:noProof/>
        </w:rPr>
      </w:pPr>
      <w:r>
        <w:rPr>
          <w:noProof/>
        </w:rPr>
        <w:t>Threshold, 18</w:t>
      </w:r>
    </w:p>
    <w:p w14:paraId="581F5C0D" w14:textId="77777777" w:rsidR="002D73A4" w:rsidRDefault="002D73A4">
      <w:pPr>
        <w:pStyle w:val="Index1"/>
        <w:rPr>
          <w:noProof/>
        </w:rPr>
      </w:pPr>
      <w:r>
        <w:rPr>
          <w:noProof/>
        </w:rPr>
        <w:t>Medicines, 115</w:t>
      </w:r>
    </w:p>
    <w:p w14:paraId="461B4A05" w14:textId="77777777" w:rsidR="002D73A4" w:rsidRDefault="002D73A4">
      <w:pPr>
        <w:pStyle w:val="Index1"/>
        <w:rPr>
          <w:noProof/>
        </w:rPr>
      </w:pPr>
      <w:r>
        <w:rPr>
          <w:noProof/>
        </w:rPr>
        <w:t>Military compensation payments, 71</w:t>
      </w:r>
    </w:p>
    <w:p w14:paraId="1FF37FDB" w14:textId="77777777" w:rsidR="002D73A4" w:rsidRDefault="002D73A4">
      <w:pPr>
        <w:pStyle w:val="Index1"/>
        <w:rPr>
          <w:noProof/>
        </w:rPr>
      </w:pPr>
      <w:r>
        <w:rPr>
          <w:noProof/>
        </w:rPr>
        <w:t>Mining and quarrying, 58</w:t>
      </w:r>
    </w:p>
    <w:p w14:paraId="5B7CA676" w14:textId="77777777" w:rsidR="002D73A4" w:rsidRDefault="002D73A4">
      <w:pPr>
        <w:pStyle w:val="Index1"/>
        <w:rPr>
          <w:noProof/>
        </w:rPr>
      </w:pPr>
      <w:r>
        <w:rPr>
          <w:noProof/>
        </w:rPr>
        <w:t>Mining payments, 40</w:t>
      </w:r>
    </w:p>
    <w:p w14:paraId="580AD5A8" w14:textId="77777777" w:rsidR="002D73A4" w:rsidRDefault="002D73A4">
      <w:pPr>
        <w:pStyle w:val="Index1"/>
        <w:rPr>
          <w:noProof/>
        </w:rPr>
      </w:pPr>
      <w:r w:rsidRPr="00264EE1">
        <w:rPr>
          <w:noProof/>
          <w:lang w:val="en-US"/>
        </w:rPr>
        <w:t>Minor private use of company motor vehicle</w:t>
      </w:r>
      <w:r>
        <w:rPr>
          <w:noProof/>
        </w:rPr>
        <w:t>, 82</w:t>
      </w:r>
    </w:p>
    <w:p w14:paraId="32B3713D"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N</w:t>
      </w:r>
    </w:p>
    <w:p w14:paraId="290BF785" w14:textId="77777777" w:rsidR="002D73A4" w:rsidRDefault="002D73A4">
      <w:pPr>
        <w:pStyle w:val="Index1"/>
        <w:rPr>
          <w:noProof/>
        </w:rPr>
      </w:pPr>
      <w:r>
        <w:rPr>
          <w:noProof/>
        </w:rPr>
        <w:t>National Disability Insurance Scheme, 21, 116</w:t>
      </w:r>
    </w:p>
    <w:p w14:paraId="4B23724C" w14:textId="77777777" w:rsidR="002D73A4" w:rsidRDefault="002D73A4">
      <w:pPr>
        <w:pStyle w:val="Index1"/>
        <w:rPr>
          <w:noProof/>
        </w:rPr>
      </w:pPr>
      <w:r>
        <w:rPr>
          <w:noProof/>
        </w:rPr>
        <w:t>Natural disasters, 21, 42</w:t>
      </w:r>
    </w:p>
    <w:p w14:paraId="29E4A44E" w14:textId="77777777" w:rsidR="002D73A4" w:rsidRDefault="002D73A4">
      <w:pPr>
        <w:pStyle w:val="Index1"/>
        <w:rPr>
          <w:noProof/>
        </w:rPr>
      </w:pPr>
      <w:r>
        <w:rPr>
          <w:noProof/>
        </w:rPr>
        <w:t>Non</w:t>
      </w:r>
      <w:r>
        <w:rPr>
          <w:noProof/>
        </w:rPr>
        <w:noBreakHyphen/>
        <w:t>commercial losses, 27, 28</w:t>
      </w:r>
    </w:p>
    <w:p w14:paraId="437FFDE2" w14:textId="77777777" w:rsidR="002D73A4" w:rsidRDefault="002D73A4">
      <w:pPr>
        <w:pStyle w:val="Index1"/>
        <w:rPr>
          <w:noProof/>
        </w:rPr>
      </w:pPr>
      <w:r>
        <w:rPr>
          <w:noProof/>
        </w:rPr>
        <w:t>Non</w:t>
      </w:r>
      <w:r>
        <w:rPr>
          <w:noProof/>
        </w:rPr>
        <w:noBreakHyphen/>
        <w:t>portfolio dividends, 37</w:t>
      </w:r>
    </w:p>
    <w:p w14:paraId="203B8DC3" w14:textId="77777777" w:rsidR="002D73A4" w:rsidRDefault="002D73A4">
      <w:pPr>
        <w:pStyle w:val="Index1"/>
        <w:rPr>
          <w:noProof/>
        </w:rPr>
      </w:pPr>
      <w:r>
        <w:rPr>
          <w:noProof/>
        </w:rPr>
        <w:t>Non</w:t>
      </w:r>
      <w:r>
        <w:rPr>
          <w:noProof/>
        </w:rPr>
        <w:noBreakHyphen/>
        <w:t>profit, non-government bodies, 86</w:t>
      </w:r>
    </w:p>
    <w:p w14:paraId="27BA3055" w14:textId="77777777" w:rsidR="002D73A4" w:rsidRDefault="002D73A4">
      <w:pPr>
        <w:pStyle w:val="Index1"/>
        <w:rPr>
          <w:noProof/>
        </w:rPr>
      </w:pPr>
      <w:r>
        <w:rPr>
          <w:noProof/>
        </w:rPr>
        <w:lastRenderedPageBreak/>
        <w:t>Non</w:t>
      </w:r>
      <w:r>
        <w:rPr>
          <w:noProof/>
        </w:rPr>
        <w:noBreakHyphen/>
        <w:t>superannuation termination payments, 20</w:t>
      </w:r>
    </w:p>
    <w:p w14:paraId="2CDCF317" w14:textId="77777777" w:rsidR="002D73A4" w:rsidRDefault="002D73A4">
      <w:pPr>
        <w:pStyle w:val="Index1"/>
        <w:rPr>
          <w:noProof/>
        </w:rPr>
      </w:pPr>
      <w:r>
        <w:rPr>
          <w:noProof/>
        </w:rPr>
        <w:t>Norfolk Island residents, 14</w:t>
      </w:r>
    </w:p>
    <w:p w14:paraId="33667466" w14:textId="77777777" w:rsidR="002D73A4" w:rsidRDefault="002D73A4">
      <w:pPr>
        <w:pStyle w:val="Index1"/>
        <w:rPr>
          <w:noProof/>
        </w:rPr>
      </w:pPr>
      <w:r>
        <w:rPr>
          <w:noProof/>
        </w:rPr>
        <w:t>North West Shelf starting base, 108</w:t>
      </w:r>
    </w:p>
    <w:p w14:paraId="7C8C4BFC" w14:textId="77777777" w:rsidR="002D73A4" w:rsidRDefault="002D73A4">
      <w:pPr>
        <w:pStyle w:val="Index1"/>
        <w:rPr>
          <w:noProof/>
        </w:rPr>
      </w:pPr>
      <w:r>
        <w:rPr>
          <w:noProof/>
        </w:rPr>
        <w:t>Not</w:t>
      </w:r>
      <w:r>
        <w:rPr>
          <w:noProof/>
        </w:rPr>
        <w:noBreakHyphen/>
        <w:t>for</w:t>
      </w:r>
      <w:r>
        <w:rPr>
          <w:noProof/>
        </w:rPr>
        <w:noBreakHyphen/>
        <w:t>profit associations, 50</w:t>
      </w:r>
    </w:p>
    <w:p w14:paraId="2D4C0812" w14:textId="77777777" w:rsidR="002D73A4" w:rsidRDefault="002D73A4">
      <w:pPr>
        <w:pStyle w:val="Index1"/>
        <w:rPr>
          <w:noProof/>
        </w:rPr>
      </w:pPr>
      <w:r>
        <w:rPr>
          <w:noProof/>
        </w:rPr>
        <w:t>Not</w:t>
      </w:r>
      <w:r>
        <w:rPr>
          <w:noProof/>
        </w:rPr>
        <w:noBreakHyphen/>
        <w:t>for</w:t>
      </w:r>
      <w:r>
        <w:rPr>
          <w:noProof/>
        </w:rPr>
        <w:noBreakHyphen/>
        <w:t>profit company, 51</w:t>
      </w:r>
    </w:p>
    <w:p w14:paraId="58DE683D"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O</w:t>
      </w:r>
    </w:p>
    <w:p w14:paraId="6751D3DC" w14:textId="77777777" w:rsidR="002D73A4" w:rsidRDefault="002D73A4">
      <w:pPr>
        <w:pStyle w:val="Index1"/>
        <w:rPr>
          <w:noProof/>
        </w:rPr>
      </w:pPr>
      <w:r w:rsidRPr="00264EE1">
        <w:rPr>
          <w:noProof/>
          <w:lang w:val="en-US"/>
        </w:rPr>
        <w:t>Occupational health and counselling services</w:t>
      </w:r>
      <w:r>
        <w:rPr>
          <w:noProof/>
        </w:rPr>
        <w:t>, 70</w:t>
      </w:r>
    </w:p>
    <w:p w14:paraId="493987BF" w14:textId="77777777" w:rsidR="002D73A4" w:rsidRDefault="002D73A4">
      <w:pPr>
        <w:pStyle w:val="Index1"/>
        <w:rPr>
          <w:noProof/>
        </w:rPr>
      </w:pPr>
      <w:r>
        <w:rPr>
          <w:noProof/>
        </w:rPr>
        <w:t>Occupational health or safety awards, 70</w:t>
      </w:r>
    </w:p>
    <w:p w14:paraId="3F1988A6" w14:textId="77777777" w:rsidR="002D73A4" w:rsidRDefault="002D73A4">
      <w:pPr>
        <w:pStyle w:val="Index1"/>
        <w:rPr>
          <w:noProof/>
        </w:rPr>
      </w:pPr>
      <w:r>
        <w:rPr>
          <w:noProof/>
        </w:rPr>
        <w:t>Off-market share buy-back, 41</w:t>
      </w:r>
    </w:p>
    <w:p w14:paraId="519C0F1C" w14:textId="77777777" w:rsidR="002D73A4" w:rsidRDefault="002D73A4">
      <w:pPr>
        <w:pStyle w:val="Index1"/>
        <w:rPr>
          <w:noProof/>
        </w:rPr>
      </w:pPr>
      <w:r>
        <w:rPr>
          <w:noProof/>
        </w:rPr>
        <w:t>Offshore banking units, 35</w:t>
      </w:r>
    </w:p>
    <w:p w14:paraId="6AFC97F6" w14:textId="77777777" w:rsidR="002D73A4" w:rsidRDefault="002D73A4">
      <w:pPr>
        <w:pStyle w:val="Index1"/>
        <w:rPr>
          <w:noProof/>
        </w:rPr>
      </w:pPr>
      <w:r>
        <w:rPr>
          <w:noProof/>
        </w:rPr>
        <w:t>Overseas charitable institutions, 34</w:t>
      </w:r>
    </w:p>
    <w:p w14:paraId="775E9CB1" w14:textId="77777777" w:rsidR="002D73A4" w:rsidRDefault="002D73A4">
      <w:pPr>
        <w:pStyle w:val="Index1"/>
        <w:rPr>
          <w:noProof/>
        </w:rPr>
      </w:pPr>
      <w:r>
        <w:rPr>
          <w:noProof/>
        </w:rPr>
        <w:t>Overseas medical treatment, 73</w:t>
      </w:r>
    </w:p>
    <w:p w14:paraId="03AE3AE6"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P</w:t>
      </w:r>
    </w:p>
    <w:p w14:paraId="4E164220" w14:textId="77777777" w:rsidR="002D73A4" w:rsidRDefault="002D73A4">
      <w:pPr>
        <w:pStyle w:val="Index1"/>
        <w:rPr>
          <w:noProof/>
        </w:rPr>
      </w:pPr>
      <w:r>
        <w:rPr>
          <w:noProof/>
        </w:rPr>
        <w:t>Part</w:t>
      </w:r>
      <w:r>
        <w:rPr>
          <w:noProof/>
        </w:rPr>
        <w:noBreakHyphen/>
        <w:t>year tax free threshold, 30</w:t>
      </w:r>
    </w:p>
    <w:p w14:paraId="46F3A4C9" w14:textId="77777777" w:rsidR="002D73A4" w:rsidRDefault="002D73A4">
      <w:pPr>
        <w:pStyle w:val="Index1"/>
        <w:rPr>
          <w:noProof/>
        </w:rPr>
      </w:pPr>
      <w:r>
        <w:rPr>
          <w:noProof/>
        </w:rPr>
        <w:t>Passenger Movement Charge, 98</w:t>
      </w:r>
    </w:p>
    <w:p w14:paraId="0C0580B9" w14:textId="77777777" w:rsidR="002D73A4" w:rsidRDefault="002D73A4">
      <w:pPr>
        <w:pStyle w:val="Index1"/>
        <w:rPr>
          <w:noProof/>
        </w:rPr>
      </w:pPr>
      <w:r>
        <w:rPr>
          <w:noProof/>
        </w:rPr>
        <w:t>Pensions, 25, 29</w:t>
      </w:r>
    </w:p>
    <w:p w14:paraId="4A27FA8B" w14:textId="77777777" w:rsidR="002D73A4" w:rsidRDefault="002D73A4">
      <w:pPr>
        <w:pStyle w:val="Index1"/>
        <w:rPr>
          <w:noProof/>
        </w:rPr>
      </w:pPr>
      <w:r>
        <w:rPr>
          <w:noProof/>
        </w:rPr>
        <w:t>Performing artists, 27</w:t>
      </w:r>
    </w:p>
    <w:p w14:paraId="7AC38F51" w14:textId="77777777" w:rsidR="002D73A4" w:rsidRDefault="002D73A4">
      <w:pPr>
        <w:pStyle w:val="Index1"/>
        <w:rPr>
          <w:noProof/>
        </w:rPr>
      </w:pPr>
      <w:r>
        <w:rPr>
          <w:noProof/>
        </w:rPr>
        <w:t>Perpetual subordinated debt, 49</w:t>
      </w:r>
    </w:p>
    <w:p w14:paraId="3B5E1B0D" w14:textId="77777777" w:rsidR="002D73A4" w:rsidRDefault="002D73A4">
      <w:pPr>
        <w:pStyle w:val="Index1"/>
        <w:rPr>
          <w:noProof/>
        </w:rPr>
      </w:pPr>
      <w:r>
        <w:rPr>
          <w:noProof/>
        </w:rPr>
        <w:t>Personal injury compensation cases, 32</w:t>
      </w:r>
    </w:p>
    <w:p w14:paraId="24408888" w14:textId="77777777" w:rsidR="002D73A4" w:rsidRDefault="002D73A4">
      <w:pPr>
        <w:pStyle w:val="Index1"/>
        <w:rPr>
          <w:noProof/>
        </w:rPr>
      </w:pPr>
      <w:r>
        <w:rPr>
          <w:noProof/>
        </w:rPr>
        <w:t>Personal injury victims, 32</w:t>
      </w:r>
    </w:p>
    <w:p w14:paraId="5AC295D5" w14:textId="77777777" w:rsidR="002D73A4" w:rsidRDefault="002D73A4">
      <w:pPr>
        <w:pStyle w:val="Index1"/>
        <w:rPr>
          <w:noProof/>
        </w:rPr>
      </w:pPr>
      <w:r>
        <w:rPr>
          <w:noProof/>
        </w:rPr>
        <w:t>Political donations, 33</w:t>
      </w:r>
    </w:p>
    <w:p w14:paraId="75FAF0B4" w14:textId="77777777" w:rsidR="002D73A4" w:rsidRDefault="002D73A4">
      <w:pPr>
        <w:pStyle w:val="Index1"/>
        <w:rPr>
          <w:noProof/>
        </w:rPr>
      </w:pPr>
      <w:r>
        <w:rPr>
          <w:noProof/>
        </w:rPr>
        <w:t>Prepayments, 44</w:t>
      </w:r>
    </w:p>
    <w:p w14:paraId="36F131E9" w14:textId="77777777" w:rsidR="002D73A4" w:rsidRDefault="002D73A4">
      <w:pPr>
        <w:pStyle w:val="Index1"/>
        <w:rPr>
          <w:noProof/>
        </w:rPr>
      </w:pPr>
      <w:r>
        <w:rPr>
          <w:noProof/>
        </w:rPr>
        <w:t>Primary industry levies, 98</w:t>
      </w:r>
    </w:p>
    <w:p w14:paraId="5E148F89" w14:textId="77777777" w:rsidR="002D73A4" w:rsidRDefault="002D73A4">
      <w:pPr>
        <w:pStyle w:val="Index1"/>
        <w:rPr>
          <w:noProof/>
        </w:rPr>
      </w:pPr>
      <w:r>
        <w:rPr>
          <w:noProof/>
        </w:rPr>
        <w:t>Primary producers, 28, 44, 45, 46, 56, 57, 99</w:t>
      </w:r>
    </w:p>
    <w:p w14:paraId="55D35715" w14:textId="77777777" w:rsidR="002D73A4" w:rsidRDefault="002D73A4">
      <w:pPr>
        <w:pStyle w:val="Index1"/>
        <w:rPr>
          <w:noProof/>
        </w:rPr>
      </w:pPr>
      <w:r>
        <w:rPr>
          <w:noProof/>
        </w:rPr>
        <w:t>Prime Minister's Prizes, 27</w:t>
      </w:r>
    </w:p>
    <w:p w14:paraId="27C09214" w14:textId="77777777" w:rsidR="002D73A4" w:rsidRDefault="002D73A4">
      <w:pPr>
        <w:pStyle w:val="Index1"/>
        <w:rPr>
          <w:noProof/>
        </w:rPr>
      </w:pPr>
      <w:r>
        <w:rPr>
          <w:noProof/>
        </w:rPr>
        <w:t>Private Ancillary Funds, 31</w:t>
      </w:r>
    </w:p>
    <w:p w14:paraId="21B0CDC1" w14:textId="77777777" w:rsidR="002D73A4" w:rsidRDefault="002D73A4">
      <w:pPr>
        <w:pStyle w:val="Index1"/>
        <w:rPr>
          <w:noProof/>
        </w:rPr>
      </w:pPr>
      <w:r>
        <w:rPr>
          <w:noProof/>
        </w:rPr>
        <w:t>Private health insurance, 18, 117</w:t>
      </w:r>
    </w:p>
    <w:p w14:paraId="16D21957" w14:textId="77777777" w:rsidR="002D73A4" w:rsidRDefault="002D73A4">
      <w:pPr>
        <w:pStyle w:val="Index1"/>
        <w:rPr>
          <w:noProof/>
        </w:rPr>
      </w:pPr>
      <w:r>
        <w:rPr>
          <w:noProof/>
        </w:rPr>
        <w:t>Private health insurers, 39</w:t>
      </w:r>
    </w:p>
    <w:p w14:paraId="1522E93D" w14:textId="77777777" w:rsidR="002D73A4" w:rsidRDefault="002D73A4">
      <w:pPr>
        <w:pStyle w:val="Index1"/>
        <w:rPr>
          <w:noProof/>
        </w:rPr>
      </w:pPr>
      <w:r>
        <w:rPr>
          <w:noProof/>
        </w:rPr>
        <w:t>Private use of business property, 83</w:t>
      </w:r>
    </w:p>
    <w:p w14:paraId="775A7956" w14:textId="77777777" w:rsidR="002D73A4" w:rsidRDefault="002D73A4">
      <w:pPr>
        <w:pStyle w:val="Index1"/>
        <w:rPr>
          <w:noProof/>
        </w:rPr>
      </w:pPr>
      <w:r>
        <w:rPr>
          <w:noProof/>
        </w:rPr>
        <w:lastRenderedPageBreak/>
        <w:t>Production associates, 27</w:t>
      </w:r>
    </w:p>
    <w:p w14:paraId="64EDD093" w14:textId="77777777" w:rsidR="002D73A4" w:rsidRDefault="002D73A4">
      <w:pPr>
        <w:pStyle w:val="Index1"/>
        <w:rPr>
          <w:noProof/>
        </w:rPr>
      </w:pPr>
      <w:r>
        <w:rPr>
          <w:noProof/>
        </w:rPr>
        <w:t>Professional associations, 29</w:t>
      </w:r>
    </w:p>
    <w:p w14:paraId="12678CAB" w14:textId="77777777" w:rsidR="002D73A4" w:rsidRDefault="002D73A4">
      <w:pPr>
        <w:pStyle w:val="Index1"/>
        <w:rPr>
          <w:noProof/>
        </w:rPr>
      </w:pPr>
      <w:r>
        <w:rPr>
          <w:noProof/>
        </w:rPr>
        <w:t>Prospecting, 58</w:t>
      </w:r>
    </w:p>
    <w:p w14:paraId="298C39DD" w14:textId="77777777" w:rsidR="002D73A4" w:rsidRDefault="002D73A4">
      <w:pPr>
        <w:pStyle w:val="Index1"/>
        <w:rPr>
          <w:noProof/>
        </w:rPr>
      </w:pPr>
      <w:r>
        <w:rPr>
          <w:noProof/>
        </w:rPr>
        <w:t>Public authorities, 50</w:t>
      </w:r>
    </w:p>
    <w:p w14:paraId="0394A08A" w14:textId="77777777" w:rsidR="002D73A4" w:rsidRDefault="002D73A4">
      <w:pPr>
        <w:pStyle w:val="Index1"/>
        <w:rPr>
          <w:noProof/>
        </w:rPr>
      </w:pPr>
      <w:r>
        <w:rPr>
          <w:noProof/>
        </w:rPr>
        <w:t>Public benevolent institutions, 74</w:t>
      </w:r>
    </w:p>
    <w:p w14:paraId="77DF8C05" w14:textId="77777777" w:rsidR="002D73A4" w:rsidRDefault="002D73A4">
      <w:pPr>
        <w:pStyle w:val="Index1"/>
        <w:rPr>
          <w:noProof/>
        </w:rPr>
      </w:pPr>
      <w:r>
        <w:rPr>
          <w:noProof/>
        </w:rPr>
        <w:t>Public transport, 82</w:t>
      </w:r>
    </w:p>
    <w:p w14:paraId="560B9D5E"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R</w:t>
      </w:r>
    </w:p>
    <w:p w14:paraId="16A0FB3D" w14:textId="77777777" w:rsidR="002D73A4" w:rsidRDefault="002D73A4">
      <w:pPr>
        <w:pStyle w:val="Index1"/>
        <w:rPr>
          <w:noProof/>
        </w:rPr>
      </w:pPr>
      <w:r>
        <w:rPr>
          <w:noProof/>
        </w:rPr>
        <w:t>Record keeping exemption, 85</w:t>
      </w:r>
    </w:p>
    <w:p w14:paraId="38D30FB4" w14:textId="77777777" w:rsidR="002D73A4" w:rsidRDefault="002D73A4">
      <w:pPr>
        <w:pStyle w:val="Index1"/>
        <w:rPr>
          <w:noProof/>
        </w:rPr>
      </w:pPr>
      <w:r w:rsidRPr="00264EE1">
        <w:rPr>
          <w:rFonts w:eastAsia="MS Gothic"/>
          <w:noProof/>
          <w:lang w:eastAsia="ja-JP"/>
        </w:rPr>
        <w:t>Recreational or child care facilities</w:t>
      </w:r>
      <w:r>
        <w:rPr>
          <w:noProof/>
        </w:rPr>
        <w:t>, 83</w:t>
      </w:r>
    </w:p>
    <w:p w14:paraId="140E3D3E" w14:textId="77777777" w:rsidR="002D73A4" w:rsidRDefault="002D73A4">
      <w:pPr>
        <w:pStyle w:val="Index1"/>
        <w:rPr>
          <w:noProof/>
        </w:rPr>
      </w:pPr>
      <w:r>
        <w:rPr>
          <w:noProof/>
        </w:rPr>
        <w:t>Rehabilitation and compensation payments, 26</w:t>
      </w:r>
    </w:p>
    <w:p w14:paraId="015026A1" w14:textId="77777777" w:rsidR="002D73A4" w:rsidRDefault="002D73A4">
      <w:pPr>
        <w:pStyle w:val="Index1"/>
        <w:rPr>
          <w:noProof/>
        </w:rPr>
      </w:pPr>
      <w:r>
        <w:rPr>
          <w:noProof/>
        </w:rPr>
        <w:t>Religious institutions or practitioners, 75, 76</w:t>
      </w:r>
    </w:p>
    <w:p w14:paraId="7AE69D51" w14:textId="77777777" w:rsidR="002D73A4" w:rsidRDefault="002D73A4">
      <w:pPr>
        <w:pStyle w:val="Index1"/>
        <w:rPr>
          <w:noProof/>
        </w:rPr>
      </w:pPr>
      <w:r>
        <w:rPr>
          <w:noProof/>
        </w:rPr>
        <w:t>Religious services, 117</w:t>
      </w:r>
    </w:p>
    <w:p w14:paraId="7C2E1A6B" w14:textId="77777777" w:rsidR="002D73A4" w:rsidRDefault="002D73A4">
      <w:pPr>
        <w:pStyle w:val="Index1"/>
        <w:rPr>
          <w:noProof/>
        </w:rPr>
      </w:pPr>
      <w:r>
        <w:rPr>
          <w:noProof/>
        </w:rPr>
        <w:t>Relocation and recruitment expenses, 77</w:t>
      </w:r>
    </w:p>
    <w:p w14:paraId="0FB87921" w14:textId="77777777" w:rsidR="002D73A4" w:rsidRDefault="002D73A4">
      <w:pPr>
        <w:pStyle w:val="Index1"/>
        <w:rPr>
          <w:noProof/>
        </w:rPr>
      </w:pPr>
      <w:r>
        <w:rPr>
          <w:noProof/>
        </w:rPr>
        <w:t>Remote areas, 26</w:t>
      </w:r>
    </w:p>
    <w:p w14:paraId="330B9D03" w14:textId="77777777" w:rsidR="002D73A4" w:rsidRDefault="002D73A4">
      <w:pPr>
        <w:pStyle w:val="Index1"/>
        <w:rPr>
          <w:noProof/>
        </w:rPr>
      </w:pPr>
      <w:r>
        <w:rPr>
          <w:noProof/>
        </w:rPr>
        <w:t>Repatriation pensions, 26</w:t>
      </w:r>
    </w:p>
    <w:p w14:paraId="5F935481" w14:textId="77777777" w:rsidR="002D73A4" w:rsidRDefault="002D73A4">
      <w:pPr>
        <w:pStyle w:val="Index1"/>
        <w:rPr>
          <w:noProof/>
        </w:rPr>
      </w:pPr>
      <w:r>
        <w:rPr>
          <w:noProof/>
        </w:rPr>
        <w:t>Research and development</w:t>
      </w:r>
    </w:p>
    <w:p w14:paraId="321DBF97" w14:textId="77777777" w:rsidR="002D73A4" w:rsidRDefault="002D73A4">
      <w:pPr>
        <w:pStyle w:val="Index2"/>
        <w:rPr>
          <w:noProof/>
        </w:rPr>
      </w:pPr>
      <w:r>
        <w:rPr>
          <w:noProof/>
        </w:rPr>
        <w:t>Non-refundable tax offset, 61</w:t>
      </w:r>
    </w:p>
    <w:p w14:paraId="3A4BDED2" w14:textId="77777777" w:rsidR="002D73A4" w:rsidRDefault="002D73A4">
      <w:pPr>
        <w:pStyle w:val="Index2"/>
        <w:rPr>
          <w:noProof/>
        </w:rPr>
      </w:pPr>
      <w:r>
        <w:rPr>
          <w:noProof/>
        </w:rPr>
        <w:t>Refundable tax offset, 61</w:t>
      </w:r>
    </w:p>
    <w:p w14:paraId="0BAFE566" w14:textId="77777777" w:rsidR="002D73A4" w:rsidRDefault="002D73A4">
      <w:pPr>
        <w:pStyle w:val="Index1"/>
        <w:rPr>
          <w:noProof/>
        </w:rPr>
      </w:pPr>
      <w:r>
        <w:rPr>
          <w:noProof/>
        </w:rPr>
        <w:t>Restructuring of a corporate or trust group, 91</w:t>
      </w:r>
    </w:p>
    <w:p w14:paraId="76003BFD" w14:textId="77777777" w:rsidR="002D73A4" w:rsidRDefault="002D73A4">
      <w:pPr>
        <w:pStyle w:val="Index1"/>
        <w:rPr>
          <w:noProof/>
        </w:rPr>
      </w:pPr>
      <w:r>
        <w:rPr>
          <w:noProof/>
        </w:rPr>
        <w:t>Retirement, 66</w:t>
      </w:r>
    </w:p>
    <w:p w14:paraId="020A531F"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S</w:t>
      </w:r>
    </w:p>
    <w:p w14:paraId="612389A0" w14:textId="77777777" w:rsidR="002D73A4" w:rsidRDefault="002D73A4">
      <w:pPr>
        <w:pStyle w:val="Index1"/>
        <w:rPr>
          <w:noProof/>
        </w:rPr>
      </w:pPr>
      <w:r>
        <w:rPr>
          <w:noProof/>
        </w:rPr>
        <w:t>Schoolkids Bonus, 22</w:t>
      </w:r>
    </w:p>
    <w:p w14:paraId="2B63B644" w14:textId="77777777" w:rsidR="002D73A4" w:rsidRDefault="002D73A4">
      <w:pPr>
        <w:pStyle w:val="Index1"/>
        <w:rPr>
          <w:noProof/>
        </w:rPr>
      </w:pPr>
      <w:r>
        <w:rPr>
          <w:noProof/>
        </w:rPr>
        <w:t>Seasonal Labour Mobility Program, 23</w:t>
      </w:r>
    </w:p>
    <w:p w14:paraId="2B5411D7" w14:textId="77777777" w:rsidR="002D73A4" w:rsidRDefault="002D73A4">
      <w:pPr>
        <w:pStyle w:val="Index1"/>
        <w:rPr>
          <w:noProof/>
        </w:rPr>
      </w:pPr>
      <w:r>
        <w:rPr>
          <w:noProof/>
        </w:rPr>
        <w:t>Security agencies, 39</w:t>
      </w:r>
    </w:p>
    <w:p w14:paraId="533D355A" w14:textId="77777777" w:rsidR="002D73A4" w:rsidRDefault="002D73A4">
      <w:pPr>
        <w:pStyle w:val="Index1"/>
        <w:rPr>
          <w:noProof/>
        </w:rPr>
      </w:pPr>
      <w:r>
        <w:rPr>
          <w:noProof/>
        </w:rPr>
        <w:t>Self-education expenses, 17</w:t>
      </w:r>
    </w:p>
    <w:p w14:paraId="6E34AC23" w14:textId="77777777" w:rsidR="002D73A4" w:rsidRDefault="002D73A4">
      <w:pPr>
        <w:pStyle w:val="Index1"/>
        <w:rPr>
          <w:noProof/>
        </w:rPr>
      </w:pPr>
      <w:r>
        <w:rPr>
          <w:noProof/>
        </w:rPr>
        <w:t>Senior Australians' and Pensioners' Tax Offset, 23</w:t>
      </w:r>
    </w:p>
    <w:p w14:paraId="75BCB0E0" w14:textId="77777777" w:rsidR="002D73A4" w:rsidRDefault="002D73A4">
      <w:pPr>
        <w:pStyle w:val="Index1"/>
        <w:rPr>
          <w:noProof/>
        </w:rPr>
      </w:pPr>
      <w:r>
        <w:rPr>
          <w:noProof/>
        </w:rPr>
        <w:t>Serious hardship, 23</w:t>
      </w:r>
    </w:p>
    <w:p w14:paraId="62DA6C72" w14:textId="77777777" w:rsidR="002D73A4" w:rsidRDefault="002D73A4">
      <w:pPr>
        <w:pStyle w:val="Index1"/>
        <w:rPr>
          <w:noProof/>
        </w:rPr>
      </w:pPr>
      <w:r>
        <w:rPr>
          <w:noProof/>
        </w:rPr>
        <w:t>Shipping</w:t>
      </w:r>
    </w:p>
    <w:p w14:paraId="707F40FB" w14:textId="77777777" w:rsidR="002D73A4" w:rsidRDefault="002D73A4">
      <w:pPr>
        <w:pStyle w:val="Index2"/>
        <w:rPr>
          <w:noProof/>
        </w:rPr>
      </w:pPr>
      <w:r>
        <w:rPr>
          <w:noProof/>
        </w:rPr>
        <w:lastRenderedPageBreak/>
        <w:t>Investment incentives, 47</w:t>
      </w:r>
    </w:p>
    <w:p w14:paraId="5CECC8C7" w14:textId="77777777" w:rsidR="002D73A4" w:rsidRDefault="002D73A4">
      <w:pPr>
        <w:pStyle w:val="Index2"/>
        <w:rPr>
          <w:noProof/>
        </w:rPr>
      </w:pPr>
      <w:r>
        <w:rPr>
          <w:noProof/>
        </w:rPr>
        <w:t>Seafarers, 47</w:t>
      </w:r>
    </w:p>
    <w:p w14:paraId="02DF7435" w14:textId="77777777" w:rsidR="002D73A4" w:rsidRDefault="002D73A4">
      <w:pPr>
        <w:pStyle w:val="Index1"/>
        <w:rPr>
          <w:noProof/>
        </w:rPr>
      </w:pPr>
      <w:r>
        <w:rPr>
          <w:noProof/>
        </w:rPr>
        <w:t>Simplified trading stock rules, 62</w:t>
      </w:r>
    </w:p>
    <w:p w14:paraId="5179B6AC" w14:textId="77777777" w:rsidR="002D73A4" w:rsidRDefault="002D73A4">
      <w:pPr>
        <w:pStyle w:val="Index1"/>
        <w:rPr>
          <w:noProof/>
        </w:rPr>
      </w:pPr>
      <w:r>
        <w:rPr>
          <w:noProof/>
        </w:rPr>
        <w:t>Small business, 43, 51, 52, 53, 55, 62, 66, 69, 95</w:t>
      </w:r>
    </w:p>
    <w:p w14:paraId="4561BEC6" w14:textId="77777777" w:rsidR="002D73A4" w:rsidRDefault="002D73A4">
      <w:pPr>
        <w:pStyle w:val="Index1"/>
        <w:rPr>
          <w:noProof/>
        </w:rPr>
      </w:pPr>
      <w:r>
        <w:rPr>
          <w:noProof/>
        </w:rPr>
        <w:t>Social security benefits, 22</w:t>
      </w:r>
    </w:p>
    <w:p w14:paraId="51E09E0D" w14:textId="77777777" w:rsidR="002D73A4" w:rsidRDefault="002D73A4">
      <w:pPr>
        <w:pStyle w:val="Index1"/>
        <w:rPr>
          <w:noProof/>
        </w:rPr>
      </w:pPr>
      <w:r>
        <w:rPr>
          <w:noProof/>
        </w:rPr>
        <w:t>Solvency clauses, 54</w:t>
      </w:r>
    </w:p>
    <w:p w14:paraId="311C36AF" w14:textId="77777777" w:rsidR="002D73A4" w:rsidRDefault="002D73A4">
      <w:pPr>
        <w:pStyle w:val="Index1"/>
        <w:rPr>
          <w:noProof/>
        </w:rPr>
      </w:pPr>
      <w:r>
        <w:rPr>
          <w:noProof/>
        </w:rPr>
        <w:t>Special Disability Trust, 87</w:t>
      </w:r>
    </w:p>
    <w:p w14:paraId="226AA8E0" w14:textId="77777777" w:rsidR="002D73A4" w:rsidRDefault="002D73A4">
      <w:pPr>
        <w:pStyle w:val="Index1"/>
        <w:rPr>
          <w:noProof/>
        </w:rPr>
      </w:pPr>
      <w:r>
        <w:rPr>
          <w:noProof/>
        </w:rPr>
        <w:t>Sportspersons, 27</w:t>
      </w:r>
    </w:p>
    <w:p w14:paraId="70DD4FEC" w14:textId="77777777" w:rsidR="002D73A4" w:rsidRDefault="002D73A4">
      <w:pPr>
        <w:pStyle w:val="Index1"/>
        <w:rPr>
          <w:noProof/>
        </w:rPr>
      </w:pPr>
      <w:r>
        <w:rPr>
          <w:noProof/>
        </w:rPr>
        <w:t>Statutory licence, 96</w:t>
      </w:r>
    </w:p>
    <w:p w14:paraId="754FF390" w14:textId="77777777" w:rsidR="002D73A4" w:rsidRDefault="002D73A4">
      <w:pPr>
        <w:pStyle w:val="Index1"/>
        <w:rPr>
          <w:noProof/>
        </w:rPr>
      </w:pPr>
      <w:r>
        <w:rPr>
          <w:noProof/>
        </w:rPr>
        <w:t>Subordinated notes, 54</w:t>
      </w:r>
    </w:p>
    <w:p w14:paraId="173FCBA2" w14:textId="77777777" w:rsidR="002D73A4" w:rsidRDefault="002D73A4">
      <w:pPr>
        <w:pStyle w:val="Index1"/>
        <w:rPr>
          <w:noProof/>
        </w:rPr>
      </w:pPr>
      <w:r>
        <w:rPr>
          <w:noProof/>
        </w:rPr>
        <w:t>Superannuation</w:t>
      </w:r>
    </w:p>
    <w:p w14:paraId="0573C41F" w14:textId="77777777" w:rsidR="002D73A4" w:rsidRDefault="002D73A4">
      <w:pPr>
        <w:pStyle w:val="Index2"/>
        <w:rPr>
          <w:noProof/>
        </w:rPr>
      </w:pPr>
      <w:r>
        <w:rPr>
          <w:noProof/>
        </w:rPr>
        <w:t>Co-contribution, 66</w:t>
      </w:r>
    </w:p>
    <w:p w14:paraId="45378A91" w14:textId="77777777" w:rsidR="002D73A4" w:rsidRDefault="002D73A4">
      <w:pPr>
        <w:pStyle w:val="Index2"/>
        <w:rPr>
          <w:noProof/>
        </w:rPr>
      </w:pPr>
      <w:r>
        <w:rPr>
          <w:noProof/>
        </w:rPr>
        <w:t>Employer contributions, 64</w:t>
      </w:r>
    </w:p>
    <w:p w14:paraId="7ECBA414" w14:textId="77777777" w:rsidR="002D73A4" w:rsidRDefault="002D73A4">
      <w:pPr>
        <w:pStyle w:val="Index2"/>
        <w:rPr>
          <w:noProof/>
        </w:rPr>
      </w:pPr>
      <w:r>
        <w:rPr>
          <w:noProof/>
        </w:rPr>
        <w:t>Entity earnings, 65</w:t>
      </w:r>
    </w:p>
    <w:p w14:paraId="65629770" w14:textId="77777777" w:rsidR="002D73A4" w:rsidRDefault="002D73A4">
      <w:pPr>
        <w:pStyle w:val="Index2"/>
        <w:rPr>
          <w:noProof/>
        </w:rPr>
      </w:pPr>
      <w:r>
        <w:rPr>
          <w:noProof/>
        </w:rPr>
        <w:t>Fund capital gains, 64</w:t>
      </w:r>
    </w:p>
    <w:p w14:paraId="12588D6A" w14:textId="77777777" w:rsidR="002D73A4" w:rsidRDefault="002D73A4">
      <w:pPr>
        <w:pStyle w:val="Index2"/>
        <w:rPr>
          <w:noProof/>
        </w:rPr>
      </w:pPr>
      <w:r>
        <w:rPr>
          <w:noProof/>
        </w:rPr>
        <w:t>Lump sums, 68</w:t>
      </w:r>
    </w:p>
    <w:p w14:paraId="6A35DA4C" w14:textId="77777777" w:rsidR="002D73A4" w:rsidRDefault="002D73A4">
      <w:pPr>
        <w:pStyle w:val="Index2"/>
        <w:rPr>
          <w:noProof/>
        </w:rPr>
      </w:pPr>
      <w:r>
        <w:rPr>
          <w:noProof/>
        </w:rPr>
        <w:t>Non-concessional contributions, 67</w:t>
      </w:r>
    </w:p>
    <w:p w14:paraId="2F0477B1" w14:textId="77777777" w:rsidR="002D73A4" w:rsidRDefault="002D73A4">
      <w:pPr>
        <w:pStyle w:val="Index2"/>
        <w:rPr>
          <w:noProof/>
        </w:rPr>
      </w:pPr>
      <w:r>
        <w:rPr>
          <w:noProof/>
        </w:rPr>
        <w:t>Spouse contribution offset, 67</w:t>
      </w:r>
    </w:p>
    <w:p w14:paraId="59709239" w14:textId="77777777" w:rsidR="002D73A4" w:rsidRDefault="002D73A4">
      <w:pPr>
        <w:pStyle w:val="Index2"/>
        <w:rPr>
          <w:noProof/>
        </w:rPr>
      </w:pPr>
      <w:r>
        <w:rPr>
          <w:noProof/>
        </w:rPr>
        <w:t>Unfunded superannuation, 65</w:t>
      </w:r>
    </w:p>
    <w:p w14:paraId="4EA67524" w14:textId="77777777" w:rsidR="002D73A4" w:rsidRDefault="002D73A4">
      <w:pPr>
        <w:pStyle w:val="Index1"/>
        <w:rPr>
          <w:noProof/>
        </w:rPr>
      </w:pPr>
      <w:r>
        <w:rPr>
          <w:noProof/>
        </w:rPr>
        <w:t>Supplies of farm land, 117</w:t>
      </w:r>
    </w:p>
    <w:p w14:paraId="62E8B726" w14:textId="77777777" w:rsidR="002D73A4" w:rsidRDefault="002D73A4">
      <w:pPr>
        <w:pStyle w:val="Index1"/>
        <w:rPr>
          <w:noProof/>
        </w:rPr>
      </w:pPr>
      <w:r>
        <w:rPr>
          <w:noProof/>
        </w:rPr>
        <w:t>Supply of a precious metal, 119</w:t>
      </w:r>
    </w:p>
    <w:p w14:paraId="14C71B2D" w14:textId="77777777" w:rsidR="002D73A4" w:rsidRDefault="002D73A4">
      <w:pPr>
        <w:pStyle w:val="Index1"/>
        <w:rPr>
          <w:noProof/>
        </w:rPr>
      </w:pPr>
      <w:r>
        <w:rPr>
          <w:noProof/>
        </w:rPr>
        <w:t>Sustainable Rural Water Use and Infrastructure Program, 46</w:t>
      </w:r>
    </w:p>
    <w:p w14:paraId="356A562E"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T</w:t>
      </w:r>
    </w:p>
    <w:p w14:paraId="4B78EB77" w14:textId="77777777" w:rsidR="002D73A4" w:rsidRDefault="002D73A4">
      <w:pPr>
        <w:pStyle w:val="Index1"/>
        <w:rPr>
          <w:noProof/>
        </w:rPr>
      </w:pPr>
      <w:r>
        <w:rPr>
          <w:noProof/>
        </w:rPr>
        <w:t>Takeover or merger, 97</w:t>
      </w:r>
    </w:p>
    <w:p w14:paraId="78EE1C61" w14:textId="77777777" w:rsidR="002D73A4" w:rsidRDefault="002D73A4">
      <w:pPr>
        <w:pStyle w:val="Index1"/>
        <w:rPr>
          <w:noProof/>
        </w:rPr>
      </w:pPr>
      <w:r w:rsidRPr="00264EE1">
        <w:rPr>
          <w:rFonts w:eastAsia="MS Gothic"/>
          <w:noProof/>
          <w:lang w:eastAsia="ja-JP"/>
        </w:rPr>
        <w:t>Taxi travel</w:t>
      </w:r>
      <w:r>
        <w:rPr>
          <w:noProof/>
        </w:rPr>
        <w:t>, 84</w:t>
      </w:r>
    </w:p>
    <w:p w14:paraId="61C3A182" w14:textId="77777777" w:rsidR="002D73A4" w:rsidRDefault="002D73A4">
      <w:pPr>
        <w:pStyle w:val="Index1"/>
        <w:rPr>
          <w:noProof/>
        </w:rPr>
      </w:pPr>
      <w:r>
        <w:rPr>
          <w:noProof/>
        </w:rPr>
        <w:t>Temporary residents, 24</w:t>
      </w:r>
    </w:p>
    <w:p w14:paraId="2917E433" w14:textId="77777777" w:rsidR="002D73A4" w:rsidRDefault="002D73A4">
      <w:pPr>
        <w:pStyle w:val="Index1"/>
        <w:rPr>
          <w:noProof/>
        </w:rPr>
      </w:pPr>
      <w:r>
        <w:rPr>
          <w:noProof/>
        </w:rPr>
        <w:t>Testamentary gifts, 92</w:t>
      </w:r>
    </w:p>
    <w:p w14:paraId="149A488E" w14:textId="77777777" w:rsidR="002D73A4" w:rsidRDefault="002D73A4">
      <w:pPr>
        <w:pStyle w:val="Index1"/>
        <w:rPr>
          <w:noProof/>
        </w:rPr>
      </w:pPr>
      <w:r>
        <w:rPr>
          <w:noProof/>
        </w:rPr>
        <w:t>Thin capitalisation threshold, 38</w:t>
      </w:r>
    </w:p>
    <w:p w14:paraId="7DDE22C2" w14:textId="77777777" w:rsidR="002D73A4" w:rsidRDefault="002D73A4">
      <w:pPr>
        <w:pStyle w:val="Index1"/>
        <w:rPr>
          <w:noProof/>
        </w:rPr>
      </w:pPr>
      <w:r>
        <w:rPr>
          <w:noProof/>
        </w:rPr>
        <w:t>Tourism businesses, 112</w:t>
      </w:r>
    </w:p>
    <w:p w14:paraId="4DE86F00" w14:textId="77777777" w:rsidR="002D73A4" w:rsidRDefault="002D73A4">
      <w:pPr>
        <w:pStyle w:val="Index1"/>
        <w:rPr>
          <w:noProof/>
        </w:rPr>
      </w:pPr>
      <w:r>
        <w:rPr>
          <w:noProof/>
        </w:rPr>
        <w:lastRenderedPageBreak/>
        <w:t>Trade unions, 50</w:t>
      </w:r>
    </w:p>
    <w:p w14:paraId="68F73CDF" w14:textId="77777777" w:rsidR="002D73A4" w:rsidRDefault="002D73A4">
      <w:pPr>
        <w:pStyle w:val="Index1"/>
        <w:rPr>
          <w:noProof/>
        </w:rPr>
      </w:pPr>
      <w:r>
        <w:rPr>
          <w:noProof/>
        </w:rPr>
        <w:t>Trade unions and registered associations, 29</w:t>
      </w:r>
    </w:p>
    <w:p w14:paraId="6FE72A19" w14:textId="77777777" w:rsidR="002D73A4" w:rsidRDefault="002D73A4">
      <w:pPr>
        <w:pStyle w:val="Index1"/>
        <w:rPr>
          <w:noProof/>
        </w:rPr>
      </w:pPr>
      <w:r w:rsidRPr="00264EE1">
        <w:rPr>
          <w:noProof/>
          <w:lang w:val="en-US"/>
        </w:rPr>
        <w:t>Training courses</w:t>
      </w:r>
      <w:r>
        <w:rPr>
          <w:noProof/>
        </w:rPr>
        <w:t>, 70</w:t>
      </w:r>
    </w:p>
    <w:p w14:paraId="1247014A" w14:textId="77777777" w:rsidR="002D73A4" w:rsidRDefault="002D73A4">
      <w:pPr>
        <w:pStyle w:val="Index1"/>
        <w:rPr>
          <w:noProof/>
        </w:rPr>
      </w:pPr>
      <w:r>
        <w:rPr>
          <w:noProof/>
        </w:rPr>
        <w:t>Transferor trust rules, 36</w:t>
      </w:r>
    </w:p>
    <w:p w14:paraId="49091F44"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U</w:t>
      </w:r>
    </w:p>
    <w:p w14:paraId="7E01540F" w14:textId="77777777" w:rsidR="002D73A4" w:rsidRDefault="002D73A4">
      <w:pPr>
        <w:pStyle w:val="Index1"/>
        <w:rPr>
          <w:noProof/>
        </w:rPr>
      </w:pPr>
      <w:r>
        <w:rPr>
          <w:noProof/>
        </w:rPr>
        <w:t>Unearned income, 30</w:t>
      </w:r>
    </w:p>
    <w:p w14:paraId="1402B3EB" w14:textId="77777777" w:rsidR="002D73A4" w:rsidRDefault="002D73A4">
      <w:pPr>
        <w:pStyle w:val="Index1"/>
        <w:rPr>
          <w:noProof/>
        </w:rPr>
      </w:pPr>
      <w:r>
        <w:rPr>
          <w:noProof/>
        </w:rPr>
        <w:t>United Nations service, 16</w:t>
      </w:r>
    </w:p>
    <w:p w14:paraId="46BD0A93" w14:textId="77777777" w:rsidR="002D73A4" w:rsidRDefault="002D73A4">
      <w:pPr>
        <w:pStyle w:val="Index1"/>
        <w:rPr>
          <w:noProof/>
        </w:rPr>
      </w:pPr>
      <w:r>
        <w:rPr>
          <w:noProof/>
        </w:rPr>
        <w:t>Unused long service or annual leave, 20</w:t>
      </w:r>
    </w:p>
    <w:p w14:paraId="5D4B78D3" w14:textId="77777777" w:rsidR="002D73A4" w:rsidRDefault="002D73A4">
      <w:pPr>
        <w:pStyle w:val="Index1"/>
        <w:rPr>
          <w:noProof/>
        </w:rPr>
      </w:pPr>
      <w:r>
        <w:rPr>
          <w:noProof/>
        </w:rPr>
        <w:t>Upper Tier 2, 48</w:t>
      </w:r>
    </w:p>
    <w:p w14:paraId="3367252C"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V</w:t>
      </w:r>
    </w:p>
    <w:p w14:paraId="1709DFC1" w14:textId="77777777" w:rsidR="002D73A4" w:rsidRDefault="002D73A4">
      <w:pPr>
        <w:pStyle w:val="Index1"/>
        <w:rPr>
          <w:noProof/>
        </w:rPr>
      </w:pPr>
      <w:r>
        <w:rPr>
          <w:noProof/>
        </w:rPr>
        <w:t>Venture capital, 48</w:t>
      </w:r>
    </w:p>
    <w:p w14:paraId="70D9AFA0" w14:textId="77777777" w:rsidR="002D73A4" w:rsidRDefault="002D73A4">
      <w:pPr>
        <w:pStyle w:val="Index1"/>
        <w:rPr>
          <w:noProof/>
        </w:rPr>
      </w:pPr>
      <w:r>
        <w:rPr>
          <w:noProof/>
        </w:rPr>
        <w:lastRenderedPageBreak/>
        <w:t>Venture capital limited partnership, 53</w:t>
      </w:r>
    </w:p>
    <w:p w14:paraId="6A337606" w14:textId="77777777" w:rsidR="002D73A4" w:rsidRDefault="002D73A4">
      <w:pPr>
        <w:pStyle w:val="Index1"/>
        <w:rPr>
          <w:noProof/>
        </w:rPr>
      </w:pPr>
      <w:r>
        <w:rPr>
          <w:noProof/>
        </w:rPr>
        <w:t>Visitors to Australia, 13</w:t>
      </w:r>
    </w:p>
    <w:p w14:paraId="5343A968"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W</w:t>
      </w:r>
    </w:p>
    <w:p w14:paraId="65C6E3D4" w14:textId="77777777" w:rsidR="002D73A4" w:rsidRDefault="002D73A4">
      <w:pPr>
        <w:pStyle w:val="Index1"/>
        <w:rPr>
          <w:noProof/>
        </w:rPr>
      </w:pPr>
      <w:r>
        <w:rPr>
          <w:noProof/>
        </w:rPr>
        <w:t>Water facilities, 57</w:t>
      </w:r>
    </w:p>
    <w:p w14:paraId="1A1F2F2F" w14:textId="77777777" w:rsidR="002D73A4" w:rsidRDefault="002D73A4">
      <w:pPr>
        <w:pStyle w:val="Index1"/>
        <w:rPr>
          <w:noProof/>
        </w:rPr>
      </w:pPr>
      <w:r>
        <w:rPr>
          <w:noProof/>
        </w:rPr>
        <w:t>Water, sewerage and drainage supplies, 111</w:t>
      </w:r>
    </w:p>
    <w:p w14:paraId="3961D885" w14:textId="77777777" w:rsidR="002D73A4" w:rsidRDefault="002D73A4">
      <w:pPr>
        <w:pStyle w:val="Index1"/>
        <w:rPr>
          <w:noProof/>
        </w:rPr>
      </w:pPr>
      <w:r>
        <w:rPr>
          <w:noProof/>
        </w:rPr>
        <w:t>Worker entitlement funds, 76, 90</w:t>
      </w:r>
    </w:p>
    <w:p w14:paraId="79BC33DD" w14:textId="77777777" w:rsidR="002D73A4" w:rsidRDefault="002D73A4">
      <w:pPr>
        <w:pStyle w:val="Index1"/>
        <w:rPr>
          <w:noProof/>
        </w:rPr>
      </w:pPr>
      <w:r>
        <w:rPr>
          <w:noProof/>
        </w:rPr>
        <w:t>Working holiday makers, 24</w:t>
      </w:r>
    </w:p>
    <w:p w14:paraId="441EA56A" w14:textId="77777777" w:rsidR="002D73A4" w:rsidRDefault="002D73A4">
      <w:pPr>
        <w:pStyle w:val="Index1"/>
        <w:rPr>
          <w:noProof/>
        </w:rPr>
      </w:pPr>
      <w:r>
        <w:rPr>
          <w:noProof/>
        </w:rPr>
        <w:t>Work-related items, 85</w:t>
      </w:r>
    </w:p>
    <w:p w14:paraId="66BC9E36" w14:textId="77777777" w:rsidR="002D73A4" w:rsidRDefault="002D73A4">
      <w:pPr>
        <w:pStyle w:val="Index1"/>
        <w:rPr>
          <w:noProof/>
        </w:rPr>
      </w:pPr>
      <w:r>
        <w:rPr>
          <w:noProof/>
        </w:rPr>
        <w:t>World War II payments, 26</w:t>
      </w:r>
    </w:p>
    <w:p w14:paraId="6D0E5B20" w14:textId="77777777" w:rsidR="002D73A4" w:rsidRDefault="002D73A4">
      <w:pPr>
        <w:pStyle w:val="IndexHeading"/>
        <w:keepNext/>
        <w:tabs>
          <w:tab w:val="right" w:leader="dot" w:pos="3485"/>
        </w:tabs>
        <w:rPr>
          <w:rFonts w:asciiTheme="minorHAnsi" w:eastAsiaTheme="minorEastAsia" w:hAnsiTheme="minorHAnsi" w:cstheme="minorBidi"/>
          <w:b w:val="0"/>
          <w:bCs w:val="0"/>
          <w:noProof/>
        </w:rPr>
      </w:pPr>
      <w:r>
        <w:rPr>
          <w:noProof/>
        </w:rPr>
        <w:t>Z</w:t>
      </w:r>
    </w:p>
    <w:p w14:paraId="5ACACED6" w14:textId="77777777" w:rsidR="002D73A4" w:rsidRDefault="002D73A4">
      <w:pPr>
        <w:pStyle w:val="Index1"/>
        <w:rPr>
          <w:noProof/>
        </w:rPr>
      </w:pPr>
      <w:r>
        <w:rPr>
          <w:noProof/>
        </w:rPr>
        <w:t>Zone tax offsets, 26</w:t>
      </w:r>
    </w:p>
    <w:p w14:paraId="0C7712B8" w14:textId="77777777" w:rsidR="002D73A4" w:rsidRDefault="002D73A4" w:rsidP="00F9108A">
      <w:pPr>
        <w:rPr>
          <w:noProof/>
          <w:highlight w:val="yellow"/>
        </w:rPr>
        <w:sectPr w:rsidR="002D73A4" w:rsidSect="002D73A4">
          <w:type w:val="continuous"/>
          <w:pgSz w:w="11907" w:h="16840" w:code="9"/>
          <w:pgMar w:top="2466" w:right="2098" w:bottom="2466" w:left="2098" w:header="1899" w:footer="1899" w:gutter="0"/>
          <w:cols w:num="2" w:space="720"/>
          <w:titlePg/>
          <w:docGrid w:linePitch="272"/>
        </w:sectPr>
      </w:pPr>
    </w:p>
    <w:p w14:paraId="20871621" w14:textId="77777777" w:rsidR="009E6D06" w:rsidRDefault="00F9108A" w:rsidP="00F9108A">
      <w:r w:rsidRPr="00762F6A">
        <w:rPr>
          <w:highlight w:val="yellow"/>
        </w:rPr>
        <w:lastRenderedPageBreak/>
        <w:fldChar w:fldCharType="end"/>
      </w:r>
    </w:p>
    <w:sectPr w:rsidR="009E6D06" w:rsidSect="002D73A4">
      <w:type w:val="continuous"/>
      <w:pgSz w:w="11907" w:h="16840" w:code="9"/>
      <w:pgMar w:top="2466" w:right="2098" w:bottom="2466" w:left="2098" w:header="1899" w:footer="189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7162E" w14:textId="77777777" w:rsidR="009057E9" w:rsidRDefault="009057E9">
      <w:r>
        <w:separator/>
      </w:r>
    </w:p>
  </w:endnote>
  <w:endnote w:type="continuationSeparator" w:id="0">
    <w:p w14:paraId="2087162F" w14:textId="77777777" w:rsidR="009057E9" w:rsidRDefault="0090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0" w14:textId="77777777" w:rsidR="009057E9" w:rsidRDefault="009057E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2" w14:textId="77777777" w:rsidR="009057E9" w:rsidRDefault="0037345C">
    <w:pPr>
      <w:tabs>
        <w:tab w:val="center" w:pos="4820"/>
      </w:tabs>
      <w:spacing w:before="120" w:after="0"/>
    </w:pPr>
    <w:fldSimple w:instr=" FILENAME \p \* MERGEFORMAT ">
      <w:r w:rsidR="00B940BA" w:rsidRPr="00B940BA">
        <w:rPr>
          <w:noProof/>
          <w:vanish/>
          <w:sz w:val="12"/>
        </w:rPr>
        <w:t>Q:\Tax Expenditures Statement\2016 TES\Document\Final\Sent to Publications</w:t>
      </w:r>
      <w:r w:rsidR="00B940BA">
        <w:rPr>
          <w:noProof/>
        </w:rPr>
        <w:t xml:space="preserve"> 19.1\170120 2016 TES sent to publications.docx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4" w14:textId="77777777" w:rsidR="009057E9" w:rsidRPr="00960C56" w:rsidRDefault="009057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7" w14:textId="77777777" w:rsidR="009057E9" w:rsidRPr="000416A8" w:rsidRDefault="009057E9" w:rsidP="000416A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8" w14:textId="77777777" w:rsidR="009057E9" w:rsidRDefault="009057E9" w:rsidP="00CC0AD4">
    <w:pPr>
      <w:pStyle w:val="Footer"/>
    </w:pPr>
    <w:r>
      <w:rPr>
        <w:rStyle w:val="PageNumber"/>
      </w:rPr>
      <w:fldChar w:fldCharType="begin"/>
    </w:r>
    <w:r>
      <w:rPr>
        <w:rStyle w:val="PageNumber"/>
      </w:rPr>
      <w:instrText xml:space="preserve"> PAGE </w:instrText>
    </w:r>
    <w:r>
      <w:rPr>
        <w:rStyle w:val="PageNumber"/>
      </w:rPr>
      <w:fldChar w:fldCharType="separate"/>
    </w:r>
    <w:r w:rsidR="00B940BA">
      <w:rPr>
        <w:rStyle w:val="PageNumber"/>
        <w:noProof/>
      </w:rPr>
      <w:t>147</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9" w14:textId="5402A0CF" w:rsidR="009057E9" w:rsidRPr="00D513CD" w:rsidRDefault="009057E9" w:rsidP="00D513C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B" w14:textId="77777777" w:rsidR="009057E9" w:rsidRDefault="009057E9" w:rsidP="00CC0AD4">
    <w:pPr>
      <w:pStyle w:val="Footer"/>
    </w:pPr>
    <w:r>
      <w:rPr>
        <w:rStyle w:val="PageNumber"/>
      </w:rPr>
      <w:fldChar w:fldCharType="begin"/>
    </w:r>
    <w:r>
      <w:rPr>
        <w:rStyle w:val="PageNumber"/>
      </w:rPr>
      <w:instrText xml:space="preserve"> PAGE </w:instrText>
    </w:r>
    <w:r>
      <w:rPr>
        <w:rStyle w:val="PageNumber"/>
      </w:rPr>
      <w:fldChar w:fldCharType="separate"/>
    </w:r>
    <w:r w:rsidR="00B940BA">
      <w:rPr>
        <w:rStyle w:val="PageNumber"/>
        <w:noProof/>
      </w:rPr>
      <w:t>154</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0A689" w14:textId="07A2BD12" w:rsidR="00D513CD" w:rsidRPr="00D513CD" w:rsidRDefault="00D513CD" w:rsidP="00D513CD">
    <w:pPr>
      <w:pStyle w:val="Footer"/>
    </w:pPr>
    <w:r>
      <w:rPr>
        <w:rStyle w:val="PageNumber"/>
      </w:rPr>
      <w:fldChar w:fldCharType="begin"/>
    </w:r>
    <w:r>
      <w:rPr>
        <w:rStyle w:val="PageNumber"/>
      </w:rPr>
      <w:instrText xml:space="preserve"> PAGE </w:instrText>
    </w:r>
    <w:r>
      <w:rPr>
        <w:rStyle w:val="PageNumber"/>
      </w:rPr>
      <w:fldChar w:fldCharType="separate"/>
    </w:r>
    <w:r w:rsidR="00B940BA">
      <w:rPr>
        <w:rStyle w:val="PageNumber"/>
        <w:noProof/>
      </w:rPr>
      <w:t>149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7162C" w14:textId="77777777" w:rsidR="009057E9" w:rsidRDefault="009057E9">
      <w:r>
        <w:separator/>
      </w:r>
    </w:p>
  </w:footnote>
  <w:footnote w:type="continuationSeparator" w:id="0">
    <w:p w14:paraId="2087162D" w14:textId="77777777" w:rsidR="009057E9" w:rsidRDefault="009057E9">
      <w:r>
        <w:continuationSeparator/>
      </w:r>
    </w:p>
  </w:footnote>
  <w:footnote w:id="1">
    <w:p w14:paraId="20871643" w14:textId="77777777" w:rsidR="009057E9" w:rsidRPr="00AF189A" w:rsidRDefault="009057E9" w:rsidP="009B57DC">
      <w:pPr>
        <w:pStyle w:val="FootnoteText"/>
        <w:rPr>
          <w:szCs w:val="18"/>
        </w:rPr>
      </w:pPr>
      <w:r w:rsidRPr="003B6944">
        <w:rPr>
          <w:rStyle w:val="FootnoteReference"/>
          <w:sz w:val="18"/>
          <w:szCs w:val="18"/>
          <w:vertAlign w:val="baseline"/>
        </w:rPr>
        <w:footnoteRef/>
      </w:r>
      <w:r w:rsidRPr="00AF189A">
        <w:rPr>
          <w:szCs w:val="18"/>
        </w:rPr>
        <w:t xml:space="preserve"> </w:t>
      </w:r>
      <w:r w:rsidRPr="00AF189A">
        <w:rPr>
          <w:szCs w:val="18"/>
        </w:rPr>
        <w:tab/>
        <w:t>ANAO Audit Report No. 32, 2007</w:t>
      </w:r>
      <w:r>
        <w:rPr>
          <w:szCs w:val="18"/>
        </w:rPr>
        <w:noBreakHyphen/>
      </w:r>
      <w:r w:rsidRPr="00AF189A">
        <w:rPr>
          <w:szCs w:val="18"/>
        </w:rPr>
        <w:t xml:space="preserve">08, </w:t>
      </w:r>
      <w:r w:rsidRPr="00AF189A">
        <w:rPr>
          <w:i/>
          <w:szCs w:val="18"/>
        </w:rPr>
        <w:t>Preparation of the Tax Expenditures Statement</w:t>
      </w:r>
      <w:r w:rsidRPr="00AF189A">
        <w:rPr>
          <w:szCs w:val="18"/>
        </w:rPr>
        <w:t>, Recommendation 5.</w:t>
      </w:r>
    </w:p>
  </w:footnote>
  <w:footnote w:id="2">
    <w:p w14:paraId="20871644" w14:textId="6AD2AA08" w:rsidR="009057E9" w:rsidRPr="009057E9" w:rsidRDefault="009057E9" w:rsidP="009B57DC">
      <w:pPr>
        <w:pStyle w:val="FootnoteText"/>
        <w:jc w:val="left"/>
      </w:pPr>
      <w:r w:rsidRPr="00C11FD2">
        <w:rPr>
          <w:rStyle w:val="FootnoteReference"/>
          <w:sz w:val="18"/>
          <w:szCs w:val="18"/>
          <w:vertAlign w:val="baseline"/>
        </w:rPr>
        <w:footnoteRef/>
      </w:r>
      <w:r>
        <w:t xml:space="preserve"> </w:t>
      </w:r>
      <w:r>
        <w:tab/>
        <w:t xml:space="preserve">For more information on these uncertainties, see </w:t>
      </w:r>
      <w:r w:rsidRPr="00344D60">
        <w:rPr>
          <w:i/>
        </w:rPr>
        <w:t>201</w:t>
      </w:r>
      <w:r>
        <w:rPr>
          <w:i/>
        </w:rPr>
        <w:t>6</w:t>
      </w:r>
      <w:r>
        <w:rPr>
          <w:i/>
        </w:rPr>
        <w:noBreakHyphen/>
      </w:r>
      <w:r w:rsidRPr="00344D60">
        <w:rPr>
          <w:i/>
        </w:rPr>
        <w:t>1</w:t>
      </w:r>
      <w:r>
        <w:rPr>
          <w:i/>
        </w:rPr>
        <w:t>7</w:t>
      </w:r>
      <w:r w:rsidRPr="00344D60">
        <w:rPr>
          <w:i/>
        </w:rPr>
        <w:t xml:space="preserve"> Mid</w:t>
      </w:r>
      <w:r>
        <w:rPr>
          <w:i/>
        </w:rPr>
        <w:noBreakHyphen/>
      </w:r>
      <w:r w:rsidRPr="00344D60">
        <w:rPr>
          <w:i/>
        </w:rPr>
        <w:t>Year Economic and Fiscal Outlook</w:t>
      </w:r>
      <w:r>
        <w:t xml:space="preserve">, Part 3, Fiscal Strategy and Outlook, Attachment A, Forecast Uncertainties, </w:t>
      </w:r>
      <w:r w:rsidRPr="009057E9">
        <w:t xml:space="preserve">Sensitivities and Scenarios at: </w:t>
      </w:r>
      <w:hyperlink r:id="rId1" w:history="1">
        <w:r w:rsidRPr="009057E9">
          <w:t>http://budget.gov.au/2016-17/content/myefo/html/</w:t>
        </w:r>
        <w:r w:rsidRPr="009057E9">
          <w:br/>
          <w:t>index.htm</w:t>
        </w:r>
      </w:hyperlink>
      <w:r w:rsidRPr="009057E9">
        <w:t xml:space="preserve">. </w:t>
      </w:r>
    </w:p>
  </w:footnote>
  <w:footnote w:id="3">
    <w:p w14:paraId="20871645" w14:textId="77777777" w:rsidR="009057E9" w:rsidRPr="00AF189A" w:rsidRDefault="009057E9" w:rsidP="003F0CEE">
      <w:pPr>
        <w:pStyle w:val="FootnoteText"/>
        <w:rPr>
          <w:szCs w:val="18"/>
        </w:rPr>
      </w:pPr>
      <w:r w:rsidRPr="003B6944">
        <w:rPr>
          <w:rStyle w:val="FootnoteReference"/>
          <w:sz w:val="18"/>
          <w:szCs w:val="18"/>
          <w:vertAlign w:val="baseline"/>
        </w:rPr>
        <w:footnoteRef/>
      </w:r>
      <w:r w:rsidRPr="00AF189A">
        <w:rPr>
          <w:szCs w:val="18"/>
        </w:rPr>
        <w:t xml:space="preserve"> </w:t>
      </w:r>
      <w:r w:rsidRPr="00AF189A">
        <w:rPr>
          <w:szCs w:val="18"/>
        </w:rPr>
        <w:tab/>
        <w:t>ANAO Audit Report No. 32, 2007</w:t>
      </w:r>
      <w:r>
        <w:rPr>
          <w:szCs w:val="18"/>
        </w:rPr>
        <w:noBreakHyphen/>
      </w:r>
      <w:r w:rsidRPr="00AF189A">
        <w:rPr>
          <w:szCs w:val="18"/>
        </w:rPr>
        <w:t xml:space="preserve">08, </w:t>
      </w:r>
      <w:r w:rsidRPr="00AF189A">
        <w:rPr>
          <w:i/>
          <w:szCs w:val="18"/>
        </w:rPr>
        <w:t>Preparation of the Tax Expenditures Statement</w:t>
      </w:r>
      <w:r w:rsidRPr="00AF189A">
        <w:rPr>
          <w:szCs w:val="18"/>
        </w:rPr>
        <w:t xml:space="preserve">, Recommendation 5. </w:t>
      </w:r>
    </w:p>
  </w:footnote>
  <w:footnote w:id="4">
    <w:p w14:paraId="20871646" w14:textId="77777777" w:rsidR="009057E9" w:rsidRPr="00AF189A" w:rsidRDefault="009057E9" w:rsidP="003F0CEE">
      <w:pPr>
        <w:pStyle w:val="FootnoteText"/>
        <w:rPr>
          <w:szCs w:val="18"/>
        </w:rPr>
      </w:pPr>
      <w:r w:rsidRPr="003B6944">
        <w:rPr>
          <w:szCs w:val="18"/>
        </w:rPr>
        <w:footnoteRef/>
      </w:r>
      <w:r w:rsidRPr="00AF189A">
        <w:rPr>
          <w:szCs w:val="18"/>
        </w:rPr>
        <w:tab/>
      </w:r>
      <w:proofErr w:type="gramStart"/>
      <w:r w:rsidRPr="00AF189A">
        <w:rPr>
          <w:szCs w:val="18"/>
        </w:rPr>
        <w:t>Ranked according to their revenue forgone estimates.</w:t>
      </w:r>
      <w:proofErr w:type="gramEnd"/>
    </w:p>
  </w:footnote>
  <w:footnote w:id="5">
    <w:p w14:paraId="20871647" w14:textId="7088BD06" w:rsidR="009057E9" w:rsidRDefault="009057E9" w:rsidP="00F02074">
      <w:pPr>
        <w:pStyle w:val="FootnoteText"/>
      </w:pPr>
      <w:r w:rsidRPr="00C11FD2">
        <w:rPr>
          <w:rStyle w:val="FootnoteReference"/>
          <w:sz w:val="18"/>
          <w:szCs w:val="18"/>
          <w:vertAlign w:val="baseline"/>
        </w:rPr>
        <w:footnoteRef/>
      </w:r>
      <w:r w:rsidRPr="00C11FD2">
        <w:rPr>
          <w:szCs w:val="18"/>
        </w:rPr>
        <w:t xml:space="preserve"> </w:t>
      </w:r>
      <w:r>
        <w:tab/>
      </w:r>
      <w:proofErr w:type="gramStart"/>
      <w:r>
        <w:t>Including owner-occupied housing and long-term commercial residential accommodation.</w:t>
      </w:r>
      <w:proofErr w:type="gramEnd"/>
    </w:p>
  </w:footnote>
  <w:footnote w:id="6">
    <w:p w14:paraId="20871648" w14:textId="77777777" w:rsidR="009057E9" w:rsidRPr="00AF189A" w:rsidRDefault="009057E9" w:rsidP="00F02074">
      <w:pPr>
        <w:pStyle w:val="FootnoteText"/>
        <w:rPr>
          <w:szCs w:val="18"/>
        </w:rPr>
      </w:pPr>
      <w:r w:rsidRPr="003B6944">
        <w:rPr>
          <w:szCs w:val="18"/>
        </w:rPr>
        <w:footnoteRef/>
      </w:r>
      <w:r w:rsidRPr="00AF189A">
        <w:rPr>
          <w:szCs w:val="18"/>
        </w:rPr>
        <w:t xml:space="preserve"> </w:t>
      </w:r>
      <w:r>
        <w:rPr>
          <w:szCs w:val="18"/>
        </w:rPr>
        <w:tab/>
      </w:r>
      <w:r w:rsidRPr="00AF189A">
        <w:rPr>
          <w:szCs w:val="18"/>
        </w:rPr>
        <w:t>For example, 38.143 cents per litre multiplied by 1.37 litres per kilogram be</w:t>
      </w:r>
      <w:r>
        <w:rPr>
          <w:szCs w:val="18"/>
        </w:rPr>
        <w:t>comes 52.26 cents per kilogram.</w:t>
      </w:r>
    </w:p>
  </w:footnote>
  <w:footnote w:id="7">
    <w:p w14:paraId="20871649" w14:textId="3FE7809F" w:rsidR="009057E9" w:rsidRDefault="009057E9" w:rsidP="00F02074">
      <w:pPr>
        <w:pStyle w:val="FootnoteText"/>
      </w:pPr>
      <w:r w:rsidRPr="00C11FD2">
        <w:rPr>
          <w:rStyle w:val="FootnoteReference"/>
          <w:sz w:val="18"/>
          <w:vertAlign w:val="baseline"/>
        </w:rPr>
        <w:footnoteRef/>
      </w:r>
      <w:r w:rsidRPr="00C11FD2">
        <w:t xml:space="preserve"> </w:t>
      </w:r>
      <w:r>
        <w:tab/>
        <w:t>These three forms of taxation also incorporate capital gains taxation.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1" w14:textId="77777777" w:rsidR="009057E9" w:rsidRDefault="009057E9">
    <w:pPr>
      <w:tabs>
        <w:tab w:val="center" w:pos="4820"/>
      </w:tabs>
      <w:jc w:val="center"/>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A0ECB" w14:textId="7E6400F0" w:rsidR="009057E9" w:rsidRPr="00EF63B2" w:rsidRDefault="009057E9" w:rsidP="00EF63B2">
    <w:pPr>
      <w:pStyle w:val="HeaderOdd"/>
    </w:pPr>
    <w:r>
      <w:t>Appendix B: Technical Notes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40" w14:textId="150207AC" w:rsidR="009057E9" w:rsidRPr="00EF63B2" w:rsidRDefault="009057E9" w:rsidP="00EF63B2">
    <w:pPr>
      <w:pStyle w:val="HeaderOdd"/>
    </w:pPr>
    <w:r>
      <w:t>Appendix C: Changes to tax expenditures in 2016</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41" w14:textId="77777777" w:rsidR="009057E9" w:rsidRPr="00E32776" w:rsidRDefault="0037345C" w:rsidP="00AF78AB">
    <w:pPr>
      <w:pStyle w:val="HeaderOdd"/>
    </w:pPr>
    <w:fldSimple w:instr=" STYLEREF  &quot;Heading 1&quot;  \* MERGEFORMAT ">
      <w:r w:rsidR="00B940BA">
        <w:rPr>
          <w:noProof/>
        </w:rPr>
        <w:t>Index</w:t>
      </w:r>
    </w:fldSimple>
  </w:p>
  <w:p w14:paraId="20871642" w14:textId="77777777" w:rsidR="009057E9" w:rsidRPr="00AF78AB" w:rsidRDefault="009057E9" w:rsidP="00AF78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3" w14:textId="77777777" w:rsidR="009057E9" w:rsidRDefault="009057E9">
    <w:pPr>
      <w:tabs>
        <w:tab w:val="center" w:pos="4820"/>
      </w:tabs>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5" w14:textId="77777777" w:rsidR="009057E9" w:rsidRPr="000416A8" w:rsidRDefault="009057E9" w:rsidP="000416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6" w14:textId="77777777" w:rsidR="009057E9" w:rsidRDefault="009057E9">
    <w:pPr>
      <w:pStyle w:val="HeaderOdd"/>
    </w:pPr>
    <w:r>
      <w:t>Chapter 1: Introduction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A" w14:textId="77777777" w:rsidR="009057E9" w:rsidRDefault="009057E9">
    <w:pPr>
      <w:pStyle w:val="Header"/>
    </w:pPr>
    <w:r>
      <w:t>Tax Expenditures Statement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C" w14:textId="77777777" w:rsidR="009057E9" w:rsidRPr="00EF63B2" w:rsidRDefault="009057E9" w:rsidP="00EF63B2">
    <w:pPr>
      <w:pStyle w:val="HeaderOdd"/>
    </w:pPr>
    <w:r>
      <w:t>Chapter 1: Introduction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D" w14:textId="77777777" w:rsidR="009057E9" w:rsidRPr="00EF63B2" w:rsidRDefault="009057E9" w:rsidP="00EF63B2">
    <w:pPr>
      <w:pStyle w:val="HeaderOdd"/>
    </w:pPr>
    <w:r>
      <w:t>Chapter 2: Tax expenditures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E" w14:textId="76B97CBB" w:rsidR="009057E9" w:rsidRPr="00EF63B2" w:rsidRDefault="009057E9" w:rsidP="00EF63B2">
    <w:pPr>
      <w:pStyle w:val="HeaderOdd"/>
    </w:pPr>
    <w:r>
      <w:t>Chapter 3: Revenue gain estimates</w:t>
    </w:r>
    <w:r w:rsidR="0015127E">
      <w:t xml:space="preserve"> of tax expenditures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F" w14:textId="44166D35" w:rsidR="009057E9" w:rsidRPr="00EF63B2" w:rsidRDefault="009057E9" w:rsidP="00EF63B2">
    <w:pPr>
      <w:pStyle w:val="HeaderOdd"/>
    </w:pPr>
    <w:r>
      <w:t>Appendix A: Superannuation tax expenditures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52F594"/>
    <w:lvl w:ilvl="0">
      <w:start w:val="1"/>
      <w:numFmt w:val="decimal"/>
      <w:lvlText w:val="%1."/>
      <w:lvlJc w:val="left"/>
      <w:pPr>
        <w:tabs>
          <w:tab w:val="num" w:pos="1492"/>
        </w:tabs>
        <w:ind w:left="1492" w:hanging="360"/>
      </w:pPr>
    </w:lvl>
  </w:abstractNum>
  <w:abstractNum w:abstractNumId="1">
    <w:nsid w:val="FFFFFF7D"/>
    <w:multiLevelType w:val="singleLevel"/>
    <w:tmpl w:val="F29E27FE"/>
    <w:lvl w:ilvl="0">
      <w:start w:val="1"/>
      <w:numFmt w:val="decimal"/>
      <w:lvlText w:val="%1."/>
      <w:lvlJc w:val="left"/>
      <w:pPr>
        <w:tabs>
          <w:tab w:val="num" w:pos="1209"/>
        </w:tabs>
        <w:ind w:left="1209" w:hanging="360"/>
      </w:pPr>
    </w:lvl>
  </w:abstractNum>
  <w:abstractNum w:abstractNumId="2">
    <w:nsid w:val="FFFFFF7E"/>
    <w:multiLevelType w:val="singleLevel"/>
    <w:tmpl w:val="9282F34A"/>
    <w:lvl w:ilvl="0">
      <w:start w:val="1"/>
      <w:numFmt w:val="decimal"/>
      <w:lvlText w:val="%1."/>
      <w:lvlJc w:val="left"/>
      <w:pPr>
        <w:tabs>
          <w:tab w:val="num" w:pos="926"/>
        </w:tabs>
        <w:ind w:left="926" w:hanging="360"/>
      </w:pPr>
    </w:lvl>
  </w:abstractNum>
  <w:abstractNum w:abstractNumId="3">
    <w:nsid w:val="FFFFFF7F"/>
    <w:multiLevelType w:val="singleLevel"/>
    <w:tmpl w:val="6D9C7B60"/>
    <w:lvl w:ilvl="0">
      <w:start w:val="1"/>
      <w:numFmt w:val="decimal"/>
      <w:lvlText w:val="%1."/>
      <w:lvlJc w:val="left"/>
      <w:pPr>
        <w:tabs>
          <w:tab w:val="num" w:pos="643"/>
        </w:tabs>
        <w:ind w:left="643" w:hanging="360"/>
      </w:pPr>
    </w:lvl>
  </w:abstractNum>
  <w:abstractNum w:abstractNumId="4">
    <w:nsid w:val="FFFFFF80"/>
    <w:multiLevelType w:val="singleLevel"/>
    <w:tmpl w:val="B51A3F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0072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29E60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4230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D45594"/>
    <w:lvl w:ilvl="0">
      <w:start w:val="1"/>
      <w:numFmt w:val="decimal"/>
      <w:lvlText w:val="%1."/>
      <w:lvlJc w:val="left"/>
      <w:pPr>
        <w:tabs>
          <w:tab w:val="num" w:pos="360"/>
        </w:tabs>
        <w:ind w:left="360" w:hanging="360"/>
      </w:pPr>
    </w:lvl>
  </w:abstractNum>
  <w:abstractNum w:abstractNumId="9">
    <w:nsid w:val="FFFFFF89"/>
    <w:multiLevelType w:val="singleLevel"/>
    <w:tmpl w:val="BCD25944"/>
    <w:lvl w:ilvl="0">
      <w:start w:val="1"/>
      <w:numFmt w:val="bullet"/>
      <w:lvlText w:val=""/>
      <w:lvlJc w:val="left"/>
      <w:pPr>
        <w:tabs>
          <w:tab w:val="num" w:pos="360"/>
        </w:tabs>
        <w:ind w:left="360" w:hanging="360"/>
      </w:pPr>
      <w:rPr>
        <w:rFonts w:ascii="Symbol" w:hAnsi="Symbol" w:hint="default"/>
      </w:rPr>
    </w:lvl>
  </w:abstractNum>
  <w:abstractNum w:abstractNumId="10">
    <w:nsid w:val="030329CA"/>
    <w:multiLevelType w:val="multilevel"/>
    <w:tmpl w:val="E9AE6F4C"/>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4900F4D"/>
    <w:multiLevelType w:val="multilevel"/>
    <w:tmpl w:val="4B1E3B94"/>
    <w:lvl w:ilvl="0">
      <w:start w:val="1"/>
      <w:numFmt w:val="bullet"/>
      <w:lvlRestart w:val="0"/>
      <w:pStyle w:val="BoxTextBullet"/>
      <w:lvlText w:val=""/>
      <w:lvlJc w:val="left"/>
      <w:pPr>
        <w:tabs>
          <w:tab w:val="num" w:pos="283"/>
        </w:tabs>
        <w:ind w:left="284" w:hanging="284"/>
      </w:pPr>
      <w:rPr>
        <w:rFonts w:ascii="Symbol" w:hAnsi="Symbol" w:hint="default"/>
        <w:sz w:val="16"/>
      </w:rPr>
    </w:lvl>
    <w:lvl w:ilvl="1">
      <w:start w:val="1"/>
      <w:numFmt w:val="bullet"/>
      <w:pStyle w:val="Dash"/>
      <w:lvlText w:val="–"/>
      <w:lvlJc w:val="left"/>
      <w:pPr>
        <w:tabs>
          <w:tab w:val="num" w:pos="567"/>
        </w:tabs>
        <w:ind w:left="567" w:hanging="284"/>
      </w:pPr>
      <w:rPr>
        <w:rFonts w:ascii="Arial" w:hAnsi="Arial" w:hint="default"/>
      </w:rPr>
    </w:lvl>
    <w:lvl w:ilvl="2">
      <w:start w:val="1"/>
      <w:numFmt w:val="bullet"/>
      <w:pStyle w:val="DoubleDot"/>
      <w:lvlText w:val=":"/>
      <w:lvlJc w:val="left"/>
      <w:pPr>
        <w:tabs>
          <w:tab w:val="num" w:pos="850"/>
        </w:tabs>
        <w:ind w:left="850" w:hanging="283"/>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71F44F2"/>
    <w:multiLevelType w:val="singleLevel"/>
    <w:tmpl w:val="4AA4D0FC"/>
    <w:name w:val="AlphaChartTableFootnoteSmallList"/>
    <w:lvl w:ilvl="0">
      <w:start w:val="1"/>
      <w:numFmt w:val="lowerLetter"/>
      <w:lvlRestart w:val="0"/>
      <w:lvlText w:val="(%1)"/>
      <w:lvlJc w:val="left"/>
      <w:pPr>
        <w:tabs>
          <w:tab w:val="num" w:pos="283"/>
        </w:tabs>
        <w:ind w:left="283" w:hanging="283"/>
      </w:pPr>
      <w:rPr>
        <w:rFonts w:ascii="Arial" w:hAnsi="Arial"/>
        <w:sz w:val="15"/>
      </w:rPr>
    </w:lvl>
  </w:abstractNum>
  <w:abstractNum w:abstractNumId="13">
    <w:nsid w:val="25D91EB9"/>
    <w:multiLevelType w:val="multilevel"/>
    <w:tmpl w:val="7C147FA8"/>
    <w:lvl w:ilvl="0">
      <w:start w:val="1"/>
      <w:numFmt w:val="decimal"/>
      <w:lvlRestart w:val="0"/>
      <w:pStyle w:val="Heading1"/>
      <w:suff w:val="nothing"/>
      <w:lvlText w:val=""/>
      <w:lvlJc w:val="left"/>
      <w:pPr>
        <w:ind w:left="0" w:firstLine="0"/>
      </w:pPr>
      <w:rPr>
        <w:b w:val="0"/>
        <w:i w:val="0"/>
        <w:color w:val="000000"/>
      </w:rPr>
    </w:lvl>
    <w:lvl w:ilvl="1">
      <w:start w:val="1"/>
      <w:numFmt w:val="decimal"/>
      <w:pStyle w:val="Heading2"/>
      <w:lvlText w:val="%1.%2"/>
      <w:lvlJc w:val="left"/>
      <w:pPr>
        <w:tabs>
          <w:tab w:val="num" w:pos="850"/>
        </w:tabs>
        <w:ind w:left="850" w:hanging="850"/>
      </w:pPr>
      <w:rPr>
        <w:rFonts w:ascii="Arial" w:hAnsi="Arial" w:cs="Arial"/>
        <w:b/>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E2B6B04"/>
    <w:multiLevelType w:val="multilevel"/>
    <w:tmpl w:val="02DADD2A"/>
    <w:name w:val="AppendixNumberList"/>
    <w:lvl w:ilvl="0">
      <w:start w:val="1"/>
      <w:numFmt w:val="upperLetter"/>
      <w:lvlRestart w:val="0"/>
      <w:pStyle w:val="Appendix1"/>
      <w:suff w:val="nothing"/>
      <w:lvlText w:val=""/>
      <w:lvlJc w:val="left"/>
      <w:pPr>
        <w:ind w:left="0" w:firstLine="0"/>
      </w:pPr>
      <w:rPr>
        <w:b w:val="0"/>
        <w:i w:val="0"/>
        <w:color w:val="000000"/>
      </w:rPr>
    </w:lvl>
    <w:lvl w:ilvl="1">
      <w:start w:val="1"/>
      <w:numFmt w:val="decimal"/>
      <w:pStyle w:val="Appendix2"/>
      <w:lvlText w:val="%1.%2"/>
      <w:lvlJc w:val="left"/>
      <w:pPr>
        <w:tabs>
          <w:tab w:val="num" w:pos="850"/>
        </w:tabs>
        <w:ind w:left="850" w:hanging="850"/>
      </w:pPr>
      <w:rPr>
        <w:rFonts w:ascii="Arial" w:hAnsi="Arial" w:cs="Arial"/>
        <w:b/>
        <w:i w:val="0"/>
        <w:color w:val="000000"/>
      </w:rPr>
    </w:lvl>
    <w:lvl w:ilvl="2">
      <w:start w:val="1"/>
      <w:numFmt w:val="decimal"/>
      <w:pStyle w:val="Appendix3"/>
      <w:lvlText w:val="%3"/>
      <w:lvlJc w:val="left"/>
      <w:pPr>
        <w:tabs>
          <w:tab w:val="num" w:pos="850"/>
        </w:tabs>
        <w:ind w:left="850" w:hanging="850"/>
      </w:pPr>
      <w:rPr>
        <w:rFonts w:ascii="Arial" w:hAnsi="Arial" w:cs="Arial"/>
        <w:b/>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A5F1653"/>
    <w:multiLevelType w:val="multilevel"/>
    <w:tmpl w:val="00E81E04"/>
    <w:lvl w:ilvl="0">
      <w:start w:val="1"/>
      <w:numFmt w:val="bullet"/>
      <w:lvlRestart w:val="0"/>
      <w:pStyle w:val="Bullet"/>
      <w:lvlText w:val=""/>
      <w:lvlJc w:val="left"/>
      <w:pPr>
        <w:tabs>
          <w:tab w:val="num" w:pos="283"/>
        </w:tabs>
        <w:ind w:left="284" w:hanging="284"/>
      </w:pPr>
      <w:rPr>
        <w:rFonts w:ascii="Symbol" w:hAnsi="Symbol" w:hint="default"/>
        <w:sz w:val="16"/>
      </w:rPr>
    </w:lvl>
    <w:lvl w:ilvl="1">
      <w:start w:val="1"/>
      <w:numFmt w:val="bullet"/>
      <w:lvlText w:val="–"/>
      <w:lvlJc w:val="left"/>
      <w:pPr>
        <w:tabs>
          <w:tab w:val="num" w:pos="567"/>
        </w:tabs>
        <w:ind w:left="567" w:hanging="284"/>
      </w:pPr>
      <w:rPr>
        <w:rFonts w:ascii="Arial" w:hAnsi="Arial" w:hint="default"/>
      </w:rPr>
    </w:lvl>
    <w:lvl w:ilvl="2">
      <w:start w:val="1"/>
      <w:numFmt w:val="bullet"/>
      <w:lvlText w:val=":"/>
      <w:lvlJc w:val="left"/>
      <w:pPr>
        <w:tabs>
          <w:tab w:val="num" w:pos="850"/>
        </w:tabs>
        <w:ind w:left="850" w:hanging="283"/>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F3C2FFA"/>
    <w:multiLevelType w:val="hybridMultilevel"/>
    <w:tmpl w:val="9B580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58463CDB"/>
    <w:multiLevelType w:val="singleLevel"/>
    <w:tmpl w:val="3EE6707C"/>
    <w:name w:val="AlphaChartTableFootnoteList"/>
    <w:lvl w:ilvl="0">
      <w:start w:val="1"/>
      <w:numFmt w:val="lowerLetter"/>
      <w:lvlRestart w:val="0"/>
      <w:pStyle w:val="ChartandTableFootnoteAlpha"/>
      <w:lvlText w:val="(%1)"/>
      <w:lvlJc w:val="left"/>
      <w:pPr>
        <w:tabs>
          <w:tab w:val="num" w:pos="283"/>
        </w:tabs>
        <w:ind w:left="283" w:hanging="283"/>
      </w:pPr>
      <w:rPr>
        <w:rFonts w:ascii="Arial" w:hAnsi="Arial"/>
      </w:rPr>
    </w:lvl>
  </w:abstractNum>
  <w:num w:numId="1">
    <w:abstractNumId w:val="15"/>
  </w:num>
  <w:num w:numId="2">
    <w:abstractNumId w:val="14"/>
  </w:num>
  <w:num w:numId="3">
    <w:abstractNumId w:val="11"/>
  </w:num>
  <w:num w:numId="4">
    <w:abstractNumId w:val="13"/>
  </w:num>
  <w:num w:numId="5">
    <w:abstractNumId w:val="17"/>
  </w:num>
  <w:num w:numId="6">
    <w:abstractNumId w:val="13"/>
    <w:lvlOverride w:ilvl="0">
      <w:lvl w:ilvl="0">
        <w:start w:val="1"/>
        <w:numFmt w:val="decimal"/>
        <w:lvlRestart w:val="0"/>
        <w:pStyle w:val="Heading1"/>
        <w:suff w:val="nothing"/>
        <w:lvlText w:val=""/>
        <w:lvlJc w:val="left"/>
        <w:pPr>
          <w:ind w:left="0" w:firstLine="0"/>
        </w:pPr>
        <w:rPr>
          <w:rFonts w:hint="default"/>
          <w:b w:val="0"/>
          <w:i w:val="0"/>
          <w:color w:val="000000"/>
        </w:rPr>
      </w:lvl>
    </w:lvlOverride>
    <w:lvlOverride w:ilvl="1">
      <w:lvl w:ilvl="1">
        <w:start w:val="1"/>
        <w:numFmt w:val="decimal"/>
        <w:pStyle w:val="Heading2"/>
        <w:lvlText w:val="3.%2"/>
        <w:lvlJc w:val="left"/>
        <w:pPr>
          <w:tabs>
            <w:tab w:val="num" w:pos="850"/>
          </w:tabs>
          <w:ind w:left="850" w:hanging="850"/>
        </w:pPr>
        <w:rPr>
          <w:rFonts w:ascii="Arial" w:hAnsi="Arial" w:cs="Arial" w:hint="default"/>
          <w:b/>
          <w:i w:val="0"/>
          <w:color w:val="000000"/>
        </w:rPr>
      </w:lvl>
    </w:lvlOverride>
    <w:lvlOverride w:ilvl="2">
      <w:lvl w:ilvl="2">
        <w:start w:val="1"/>
        <w:numFmt w:val="decimal"/>
        <w:lvlText w:val="%3"/>
        <w:lvlJc w:val="left"/>
        <w:pPr>
          <w:tabs>
            <w:tab w:val="num" w:pos="1701"/>
          </w:tabs>
          <w:ind w:left="1701" w:hanging="567"/>
        </w:pPr>
        <w:rPr>
          <w:rFonts w:hint="default"/>
          <w:b w:val="0"/>
          <w:i w:val="0"/>
          <w:color w:val="000000"/>
        </w:rPr>
      </w:lvl>
    </w:lvlOverride>
    <w:lvlOverride w:ilvl="3">
      <w:lvl w:ilvl="3">
        <w:start w:val="1"/>
        <w:numFmt w:val="decimal"/>
        <w:lvlText w:val="%4"/>
        <w:lvlJc w:val="left"/>
        <w:pPr>
          <w:tabs>
            <w:tab w:val="num" w:pos="2268"/>
          </w:tabs>
          <w:ind w:left="2268" w:hanging="567"/>
        </w:pPr>
        <w:rPr>
          <w:rFonts w:hint="default"/>
          <w:b w:val="0"/>
          <w:i w:val="0"/>
          <w:color w:val="000000"/>
        </w:rPr>
      </w:lvl>
    </w:lvlOverride>
    <w:lvlOverride w:ilvl="4">
      <w:lvl w:ilvl="4">
        <w:start w:val="1"/>
        <w:numFmt w:val="decimal"/>
        <w:lvlText w:val="%5"/>
        <w:lvlJc w:val="left"/>
        <w:pPr>
          <w:tabs>
            <w:tab w:val="num" w:pos="2835"/>
          </w:tabs>
          <w:ind w:left="2835" w:hanging="567"/>
        </w:pPr>
        <w:rPr>
          <w:rFonts w:hint="default"/>
          <w:b w:val="0"/>
          <w:i w:val="0"/>
          <w:color w:val="000000"/>
        </w:rPr>
      </w:lvl>
    </w:lvlOverride>
    <w:lvlOverride w:ilvl="5">
      <w:lvl w:ilvl="5">
        <w:start w:val="1"/>
        <w:numFmt w:val="decimal"/>
        <w:lvlText w:val="%6"/>
        <w:lvlJc w:val="left"/>
        <w:pPr>
          <w:tabs>
            <w:tab w:val="num" w:pos="3402"/>
          </w:tabs>
          <w:ind w:left="3402" w:hanging="567"/>
        </w:pPr>
        <w:rPr>
          <w:rFonts w:hint="default"/>
          <w:b w:val="0"/>
          <w:i w:val="0"/>
          <w:color w:val="000000"/>
        </w:rPr>
      </w:lvl>
    </w:lvlOverride>
    <w:lvlOverride w:ilvl="6">
      <w:lvl w:ilvl="6">
        <w:start w:val="1"/>
        <w:numFmt w:val="decimal"/>
        <w:lvlText w:val="%7"/>
        <w:lvlJc w:val="left"/>
        <w:pPr>
          <w:tabs>
            <w:tab w:val="num" w:pos="3969"/>
          </w:tabs>
          <w:ind w:left="3969" w:hanging="567"/>
        </w:pPr>
        <w:rPr>
          <w:rFonts w:hint="default"/>
          <w:b w:val="0"/>
          <w:i w:val="0"/>
          <w:color w:val="000000"/>
        </w:rPr>
      </w:lvl>
    </w:lvlOverride>
    <w:lvlOverride w:ilvl="7">
      <w:lvl w:ilvl="7">
        <w:start w:val="1"/>
        <w:numFmt w:val="decimal"/>
        <w:lvlText w:val="%8"/>
        <w:lvlJc w:val="left"/>
        <w:pPr>
          <w:tabs>
            <w:tab w:val="num" w:pos="4536"/>
          </w:tabs>
          <w:ind w:left="4536" w:hanging="567"/>
        </w:pPr>
        <w:rPr>
          <w:rFonts w:hint="default"/>
          <w:b w:val="0"/>
          <w:i w:val="0"/>
          <w:color w:val="000000"/>
        </w:rPr>
      </w:lvl>
    </w:lvlOverride>
    <w:lvlOverride w:ilvl="8">
      <w:lvl w:ilvl="8">
        <w:start w:val="1"/>
        <w:numFmt w:val="decimal"/>
        <w:lvlText w:val="%9"/>
        <w:lvlJc w:val="left"/>
        <w:pPr>
          <w:tabs>
            <w:tab w:val="num" w:pos="5103"/>
          </w:tabs>
          <w:ind w:left="5103" w:hanging="567"/>
        </w:pPr>
        <w:rPr>
          <w:rFonts w:hint="default"/>
          <w:b w:val="0"/>
          <w:i w:val="0"/>
          <w:color w:val="000000"/>
        </w:rPr>
      </w:lvl>
    </w:lvlOverride>
  </w:num>
  <w:num w:numId="7">
    <w:abstractNumId w:val="15"/>
  </w:num>
  <w:num w:numId="8">
    <w:abstractNumId w:val="16"/>
  </w:num>
  <w:num w:numId="9">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43"/>
    <w:rsid w:val="0000078C"/>
    <w:rsid w:val="000035D9"/>
    <w:rsid w:val="00007389"/>
    <w:rsid w:val="000137ED"/>
    <w:rsid w:val="00014BBF"/>
    <w:rsid w:val="00014DE1"/>
    <w:rsid w:val="00015034"/>
    <w:rsid w:val="00015618"/>
    <w:rsid w:val="00015657"/>
    <w:rsid w:val="00015DC1"/>
    <w:rsid w:val="00016687"/>
    <w:rsid w:val="0001729F"/>
    <w:rsid w:val="00017CF4"/>
    <w:rsid w:val="0002006F"/>
    <w:rsid w:val="00020884"/>
    <w:rsid w:val="00026A97"/>
    <w:rsid w:val="0003093C"/>
    <w:rsid w:val="00031D6D"/>
    <w:rsid w:val="00031DAB"/>
    <w:rsid w:val="000321E5"/>
    <w:rsid w:val="00032F8B"/>
    <w:rsid w:val="000338B4"/>
    <w:rsid w:val="0003621E"/>
    <w:rsid w:val="00036AAA"/>
    <w:rsid w:val="00037890"/>
    <w:rsid w:val="000416A8"/>
    <w:rsid w:val="00041D0D"/>
    <w:rsid w:val="00043443"/>
    <w:rsid w:val="000460D5"/>
    <w:rsid w:val="00046316"/>
    <w:rsid w:val="00046781"/>
    <w:rsid w:val="00046DF9"/>
    <w:rsid w:val="00046F85"/>
    <w:rsid w:val="0004718F"/>
    <w:rsid w:val="00047456"/>
    <w:rsid w:val="00053562"/>
    <w:rsid w:val="00054FF3"/>
    <w:rsid w:val="0005626B"/>
    <w:rsid w:val="00060B5E"/>
    <w:rsid w:val="00062148"/>
    <w:rsid w:val="00062DCA"/>
    <w:rsid w:val="00063E9C"/>
    <w:rsid w:val="00065139"/>
    <w:rsid w:val="00065576"/>
    <w:rsid w:val="00065726"/>
    <w:rsid w:val="00065AE9"/>
    <w:rsid w:val="00067E34"/>
    <w:rsid w:val="0007077F"/>
    <w:rsid w:val="0007151E"/>
    <w:rsid w:val="00072C18"/>
    <w:rsid w:val="00072DC6"/>
    <w:rsid w:val="00073702"/>
    <w:rsid w:val="000739A9"/>
    <w:rsid w:val="00074ABC"/>
    <w:rsid w:val="00074B10"/>
    <w:rsid w:val="00074CDE"/>
    <w:rsid w:val="00075BD3"/>
    <w:rsid w:val="000762A5"/>
    <w:rsid w:val="00077591"/>
    <w:rsid w:val="00080CAE"/>
    <w:rsid w:val="00085B22"/>
    <w:rsid w:val="000875A7"/>
    <w:rsid w:val="00087873"/>
    <w:rsid w:val="00090553"/>
    <w:rsid w:val="0009125B"/>
    <w:rsid w:val="0009218E"/>
    <w:rsid w:val="00093AB8"/>
    <w:rsid w:val="000968DD"/>
    <w:rsid w:val="00096D54"/>
    <w:rsid w:val="000971CB"/>
    <w:rsid w:val="0009761B"/>
    <w:rsid w:val="000A02C9"/>
    <w:rsid w:val="000A18F5"/>
    <w:rsid w:val="000A1EF0"/>
    <w:rsid w:val="000A3EA5"/>
    <w:rsid w:val="000A4238"/>
    <w:rsid w:val="000A4B43"/>
    <w:rsid w:val="000A4E14"/>
    <w:rsid w:val="000A54F9"/>
    <w:rsid w:val="000A63B0"/>
    <w:rsid w:val="000A6C4C"/>
    <w:rsid w:val="000A71CC"/>
    <w:rsid w:val="000A77B8"/>
    <w:rsid w:val="000A7A51"/>
    <w:rsid w:val="000A7EBB"/>
    <w:rsid w:val="000B0254"/>
    <w:rsid w:val="000B02D4"/>
    <w:rsid w:val="000B1076"/>
    <w:rsid w:val="000B15B8"/>
    <w:rsid w:val="000B181C"/>
    <w:rsid w:val="000B1D9D"/>
    <w:rsid w:val="000B29FE"/>
    <w:rsid w:val="000B2ED0"/>
    <w:rsid w:val="000B3427"/>
    <w:rsid w:val="000B345D"/>
    <w:rsid w:val="000B378B"/>
    <w:rsid w:val="000B4953"/>
    <w:rsid w:val="000C12B1"/>
    <w:rsid w:val="000C170E"/>
    <w:rsid w:val="000C2828"/>
    <w:rsid w:val="000C2BA8"/>
    <w:rsid w:val="000C2FBB"/>
    <w:rsid w:val="000C3B78"/>
    <w:rsid w:val="000C555A"/>
    <w:rsid w:val="000C58B9"/>
    <w:rsid w:val="000C647A"/>
    <w:rsid w:val="000C7A42"/>
    <w:rsid w:val="000D0AF0"/>
    <w:rsid w:val="000D10E0"/>
    <w:rsid w:val="000D12A2"/>
    <w:rsid w:val="000D2332"/>
    <w:rsid w:val="000D242C"/>
    <w:rsid w:val="000D267E"/>
    <w:rsid w:val="000D34EC"/>
    <w:rsid w:val="000D4396"/>
    <w:rsid w:val="000D44C8"/>
    <w:rsid w:val="000D4B5A"/>
    <w:rsid w:val="000D65D7"/>
    <w:rsid w:val="000D700A"/>
    <w:rsid w:val="000E02D4"/>
    <w:rsid w:val="000E0692"/>
    <w:rsid w:val="000E2EE6"/>
    <w:rsid w:val="000E49CB"/>
    <w:rsid w:val="000E4A67"/>
    <w:rsid w:val="000E4DE9"/>
    <w:rsid w:val="000E6223"/>
    <w:rsid w:val="000E6B73"/>
    <w:rsid w:val="000E72A9"/>
    <w:rsid w:val="000E7C01"/>
    <w:rsid w:val="000F01AC"/>
    <w:rsid w:val="000F0318"/>
    <w:rsid w:val="000F0843"/>
    <w:rsid w:val="000F1355"/>
    <w:rsid w:val="000F1A94"/>
    <w:rsid w:val="000F1DEB"/>
    <w:rsid w:val="000F3B36"/>
    <w:rsid w:val="000F3C0C"/>
    <w:rsid w:val="000F5146"/>
    <w:rsid w:val="000F5878"/>
    <w:rsid w:val="000F5A7B"/>
    <w:rsid w:val="000F5AAF"/>
    <w:rsid w:val="000F63F2"/>
    <w:rsid w:val="000F6942"/>
    <w:rsid w:val="000F7A96"/>
    <w:rsid w:val="00103C59"/>
    <w:rsid w:val="00104D6A"/>
    <w:rsid w:val="00105216"/>
    <w:rsid w:val="00106337"/>
    <w:rsid w:val="00110378"/>
    <w:rsid w:val="0011105D"/>
    <w:rsid w:val="001117E1"/>
    <w:rsid w:val="0011267E"/>
    <w:rsid w:val="00113606"/>
    <w:rsid w:val="0011373F"/>
    <w:rsid w:val="00115EA2"/>
    <w:rsid w:val="00116620"/>
    <w:rsid w:val="00117D3E"/>
    <w:rsid w:val="00120B08"/>
    <w:rsid w:val="0012132D"/>
    <w:rsid w:val="001246ED"/>
    <w:rsid w:val="00124DBE"/>
    <w:rsid w:val="00125858"/>
    <w:rsid w:val="00126AFB"/>
    <w:rsid w:val="001272C7"/>
    <w:rsid w:val="00127FD7"/>
    <w:rsid w:val="001311F8"/>
    <w:rsid w:val="00131A34"/>
    <w:rsid w:val="00131DA6"/>
    <w:rsid w:val="00132802"/>
    <w:rsid w:val="00136360"/>
    <w:rsid w:val="00141868"/>
    <w:rsid w:val="00142753"/>
    <w:rsid w:val="00142BF9"/>
    <w:rsid w:val="001435AF"/>
    <w:rsid w:val="00144FB7"/>
    <w:rsid w:val="00145977"/>
    <w:rsid w:val="00150017"/>
    <w:rsid w:val="00150FBA"/>
    <w:rsid w:val="0015127E"/>
    <w:rsid w:val="00152185"/>
    <w:rsid w:val="0015227A"/>
    <w:rsid w:val="00152B67"/>
    <w:rsid w:val="00153D2B"/>
    <w:rsid w:val="00154682"/>
    <w:rsid w:val="00155E3B"/>
    <w:rsid w:val="0015645B"/>
    <w:rsid w:val="0015704E"/>
    <w:rsid w:val="001609E5"/>
    <w:rsid w:val="00160B74"/>
    <w:rsid w:val="00160E28"/>
    <w:rsid w:val="001611ED"/>
    <w:rsid w:val="001663FA"/>
    <w:rsid w:val="00167713"/>
    <w:rsid w:val="00173E54"/>
    <w:rsid w:val="00174024"/>
    <w:rsid w:val="00176206"/>
    <w:rsid w:val="001808AD"/>
    <w:rsid w:val="001816EF"/>
    <w:rsid w:val="00182559"/>
    <w:rsid w:val="0018411C"/>
    <w:rsid w:val="00184FC5"/>
    <w:rsid w:val="00187A48"/>
    <w:rsid w:val="00191A2D"/>
    <w:rsid w:val="00194B0F"/>
    <w:rsid w:val="00194BF5"/>
    <w:rsid w:val="001958B1"/>
    <w:rsid w:val="00195D73"/>
    <w:rsid w:val="00195F71"/>
    <w:rsid w:val="00196585"/>
    <w:rsid w:val="001965EB"/>
    <w:rsid w:val="0019678E"/>
    <w:rsid w:val="001969D7"/>
    <w:rsid w:val="001A0DA3"/>
    <w:rsid w:val="001A196A"/>
    <w:rsid w:val="001A1EE0"/>
    <w:rsid w:val="001A20B2"/>
    <w:rsid w:val="001A20F5"/>
    <w:rsid w:val="001A31DD"/>
    <w:rsid w:val="001A3C0C"/>
    <w:rsid w:val="001A41C6"/>
    <w:rsid w:val="001A4772"/>
    <w:rsid w:val="001A53E1"/>
    <w:rsid w:val="001B027B"/>
    <w:rsid w:val="001B1A18"/>
    <w:rsid w:val="001B1CE1"/>
    <w:rsid w:val="001B3D2C"/>
    <w:rsid w:val="001B5FFB"/>
    <w:rsid w:val="001B74C3"/>
    <w:rsid w:val="001B767B"/>
    <w:rsid w:val="001B7990"/>
    <w:rsid w:val="001B7F40"/>
    <w:rsid w:val="001C0260"/>
    <w:rsid w:val="001C1F21"/>
    <w:rsid w:val="001C3B06"/>
    <w:rsid w:val="001C3F5E"/>
    <w:rsid w:val="001C476C"/>
    <w:rsid w:val="001C5141"/>
    <w:rsid w:val="001C7B10"/>
    <w:rsid w:val="001D069C"/>
    <w:rsid w:val="001D09A5"/>
    <w:rsid w:val="001D13F2"/>
    <w:rsid w:val="001D18ED"/>
    <w:rsid w:val="001D4744"/>
    <w:rsid w:val="001D6516"/>
    <w:rsid w:val="001D6A6D"/>
    <w:rsid w:val="001D6CD1"/>
    <w:rsid w:val="001D78EB"/>
    <w:rsid w:val="001E032A"/>
    <w:rsid w:val="001E0793"/>
    <w:rsid w:val="001E27EC"/>
    <w:rsid w:val="001E3888"/>
    <w:rsid w:val="001E4822"/>
    <w:rsid w:val="001E6D5A"/>
    <w:rsid w:val="001F075A"/>
    <w:rsid w:val="001F1481"/>
    <w:rsid w:val="001F30BB"/>
    <w:rsid w:val="001F310C"/>
    <w:rsid w:val="001F3951"/>
    <w:rsid w:val="001F46A8"/>
    <w:rsid w:val="001F50B5"/>
    <w:rsid w:val="001F6F0B"/>
    <w:rsid w:val="001F74A0"/>
    <w:rsid w:val="001F7681"/>
    <w:rsid w:val="001F7D9D"/>
    <w:rsid w:val="00200093"/>
    <w:rsid w:val="002014C4"/>
    <w:rsid w:val="00204FB8"/>
    <w:rsid w:val="00206BB0"/>
    <w:rsid w:val="00207579"/>
    <w:rsid w:val="0021119A"/>
    <w:rsid w:val="002113A9"/>
    <w:rsid w:val="0021277D"/>
    <w:rsid w:val="00212D14"/>
    <w:rsid w:val="00214588"/>
    <w:rsid w:val="002145D7"/>
    <w:rsid w:val="00215384"/>
    <w:rsid w:val="0021601A"/>
    <w:rsid w:val="00217048"/>
    <w:rsid w:val="00217921"/>
    <w:rsid w:val="00221DFF"/>
    <w:rsid w:val="002240BA"/>
    <w:rsid w:val="00224433"/>
    <w:rsid w:val="00225FD8"/>
    <w:rsid w:val="00226C31"/>
    <w:rsid w:val="002276B7"/>
    <w:rsid w:val="00227A4F"/>
    <w:rsid w:val="00231210"/>
    <w:rsid w:val="002313DD"/>
    <w:rsid w:val="002314F5"/>
    <w:rsid w:val="00231C12"/>
    <w:rsid w:val="00231FD3"/>
    <w:rsid w:val="002339C5"/>
    <w:rsid w:val="00235768"/>
    <w:rsid w:val="00236299"/>
    <w:rsid w:val="002365FC"/>
    <w:rsid w:val="00237A65"/>
    <w:rsid w:val="00237F03"/>
    <w:rsid w:val="00240495"/>
    <w:rsid w:val="00241DAA"/>
    <w:rsid w:val="00242454"/>
    <w:rsid w:val="0024374F"/>
    <w:rsid w:val="00244B81"/>
    <w:rsid w:val="00244BC2"/>
    <w:rsid w:val="00245565"/>
    <w:rsid w:val="002457AC"/>
    <w:rsid w:val="0024681D"/>
    <w:rsid w:val="00246F52"/>
    <w:rsid w:val="002475B8"/>
    <w:rsid w:val="00250345"/>
    <w:rsid w:val="00250830"/>
    <w:rsid w:val="002514DA"/>
    <w:rsid w:val="0025188B"/>
    <w:rsid w:val="0025207D"/>
    <w:rsid w:val="00252DC0"/>
    <w:rsid w:val="002536EF"/>
    <w:rsid w:val="00253D5A"/>
    <w:rsid w:val="002545F9"/>
    <w:rsid w:val="002562D4"/>
    <w:rsid w:val="00260466"/>
    <w:rsid w:val="00261818"/>
    <w:rsid w:val="00262DFD"/>
    <w:rsid w:val="00262EF4"/>
    <w:rsid w:val="00263382"/>
    <w:rsid w:val="00263652"/>
    <w:rsid w:val="00263BE2"/>
    <w:rsid w:val="002663DB"/>
    <w:rsid w:val="0026646F"/>
    <w:rsid w:val="00267FD1"/>
    <w:rsid w:val="00273604"/>
    <w:rsid w:val="00273F25"/>
    <w:rsid w:val="00274B07"/>
    <w:rsid w:val="00275646"/>
    <w:rsid w:val="002768B0"/>
    <w:rsid w:val="002804FF"/>
    <w:rsid w:val="00280898"/>
    <w:rsid w:val="00282557"/>
    <w:rsid w:val="00282E5A"/>
    <w:rsid w:val="002830D3"/>
    <w:rsid w:val="00283731"/>
    <w:rsid w:val="00284BF3"/>
    <w:rsid w:val="002874E8"/>
    <w:rsid w:val="002875CA"/>
    <w:rsid w:val="002909C1"/>
    <w:rsid w:val="00290D65"/>
    <w:rsid w:val="002916B5"/>
    <w:rsid w:val="00291830"/>
    <w:rsid w:val="00292089"/>
    <w:rsid w:val="00292683"/>
    <w:rsid w:val="002937C4"/>
    <w:rsid w:val="002940A9"/>
    <w:rsid w:val="00294B4B"/>
    <w:rsid w:val="00297F53"/>
    <w:rsid w:val="002A0C03"/>
    <w:rsid w:val="002A2835"/>
    <w:rsid w:val="002A2928"/>
    <w:rsid w:val="002A3AC5"/>
    <w:rsid w:val="002A3EFA"/>
    <w:rsid w:val="002A405C"/>
    <w:rsid w:val="002A4098"/>
    <w:rsid w:val="002A76AC"/>
    <w:rsid w:val="002B0EE4"/>
    <w:rsid w:val="002B1D48"/>
    <w:rsid w:val="002B2413"/>
    <w:rsid w:val="002B31E9"/>
    <w:rsid w:val="002B3672"/>
    <w:rsid w:val="002B496D"/>
    <w:rsid w:val="002B4BDC"/>
    <w:rsid w:val="002B5ED1"/>
    <w:rsid w:val="002C00CD"/>
    <w:rsid w:val="002C2333"/>
    <w:rsid w:val="002C282A"/>
    <w:rsid w:val="002C35A9"/>
    <w:rsid w:val="002C423C"/>
    <w:rsid w:val="002C4B58"/>
    <w:rsid w:val="002C63CE"/>
    <w:rsid w:val="002C64D3"/>
    <w:rsid w:val="002C69E0"/>
    <w:rsid w:val="002C7B2F"/>
    <w:rsid w:val="002D386D"/>
    <w:rsid w:val="002D55C5"/>
    <w:rsid w:val="002D65A7"/>
    <w:rsid w:val="002D7121"/>
    <w:rsid w:val="002D73A4"/>
    <w:rsid w:val="002D7431"/>
    <w:rsid w:val="002E0AB6"/>
    <w:rsid w:val="002E240D"/>
    <w:rsid w:val="002E30EE"/>
    <w:rsid w:val="002E4582"/>
    <w:rsid w:val="002E51D9"/>
    <w:rsid w:val="002E6827"/>
    <w:rsid w:val="002F1BA0"/>
    <w:rsid w:val="002F2D1B"/>
    <w:rsid w:val="002F53B2"/>
    <w:rsid w:val="002F58D9"/>
    <w:rsid w:val="002F5F2A"/>
    <w:rsid w:val="002F7253"/>
    <w:rsid w:val="0030005E"/>
    <w:rsid w:val="00300652"/>
    <w:rsid w:val="00300891"/>
    <w:rsid w:val="00303231"/>
    <w:rsid w:val="00303579"/>
    <w:rsid w:val="003059E5"/>
    <w:rsid w:val="003079A2"/>
    <w:rsid w:val="0031171C"/>
    <w:rsid w:val="003126B6"/>
    <w:rsid w:val="00315533"/>
    <w:rsid w:val="00316507"/>
    <w:rsid w:val="0031749B"/>
    <w:rsid w:val="00320DF8"/>
    <w:rsid w:val="0032178D"/>
    <w:rsid w:val="00322518"/>
    <w:rsid w:val="00323E91"/>
    <w:rsid w:val="00323F65"/>
    <w:rsid w:val="003245B9"/>
    <w:rsid w:val="003266BB"/>
    <w:rsid w:val="003268E1"/>
    <w:rsid w:val="00326D96"/>
    <w:rsid w:val="00327D24"/>
    <w:rsid w:val="003300BB"/>
    <w:rsid w:val="0033026A"/>
    <w:rsid w:val="003315C3"/>
    <w:rsid w:val="00332570"/>
    <w:rsid w:val="00334058"/>
    <w:rsid w:val="00343B19"/>
    <w:rsid w:val="003446F0"/>
    <w:rsid w:val="00345114"/>
    <w:rsid w:val="00346D30"/>
    <w:rsid w:val="00350CB2"/>
    <w:rsid w:val="0035164A"/>
    <w:rsid w:val="0035172F"/>
    <w:rsid w:val="00351F8E"/>
    <w:rsid w:val="00353320"/>
    <w:rsid w:val="00355005"/>
    <w:rsid w:val="0035576F"/>
    <w:rsid w:val="00356227"/>
    <w:rsid w:val="0036184F"/>
    <w:rsid w:val="00362FD9"/>
    <w:rsid w:val="003643AA"/>
    <w:rsid w:val="003660FA"/>
    <w:rsid w:val="003662D1"/>
    <w:rsid w:val="0036790D"/>
    <w:rsid w:val="00367C20"/>
    <w:rsid w:val="00370316"/>
    <w:rsid w:val="0037159F"/>
    <w:rsid w:val="0037345C"/>
    <w:rsid w:val="003735E6"/>
    <w:rsid w:val="00374AAE"/>
    <w:rsid w:val="00375297"/>
    <w:rsid w:val="003762F3"/>
    <w:rsid w:val="00376511"/>
    <w:rsid w:val="00377817"/>
    <w:rsid w:val="00377E1C"/>
    <w:rsid w:val="00382E62"/>
    <w:rsid w:val="00385A5E"/>
    <w:rsid w:val="00385AE2"/>
    <w:rsid w:val="0038663E"/>
    <w:rsid w:val="00387339"/>
    <w:rsid w:val="00390839"/>
    <w:rsid w:val="00390AA1"/>
    <w:rsid w:val="00392333"/>
    <w:rsid w:val="00392C4D"/>
    <w:rsid w:val="00392C75"/>
    <w:rsid w:val="003941E0"/>
    <w:rsid w:val="003946ED"/>
    <w:rsid w:val="00394F0A"/>
    <w:rsid w:val="00394FDC"/>
    <w:rsid w:val="003954E3"/>
    <w:rsid w:val="0039612D"/>
    <w:rsid w:val="0039615B"/>
    <w:rsid w:val="003A04C7"/>
    <w:rsid w:val="003A0509"/>
    <w:rsid w:val="003A076B"/>
    <w:rsid w:val="003A2923"/>
    <w:rsid w:val="003A3EA2"/>
    <w:rsid w:val="003A419F"/>
    <w:rsid w:val="003A4548"/>
    <w:rsid w:val="003A466A"/>
    <w:rsid w:val="003A4FC9"/>
    <w:rsid w:val="003A7165"/>
    <w:rsid w:val="003A794E"/>
    <w:rsid w:val="003B0496"/>
    <w:rsid w:val="003B0E0E"/>
    <w:rsid w:val="003B2B3F"/>
    <w:rsid w:val="003B35D4"/>
    <w:rsid w:val="003B6944"/>
    <w:rsid w:val="003C0EA9"/>
    <w:rsid w:val="003C210B"/>
    <w:rsid w:val="003C2B8E"/>
    <w:rsid w:val="003C315C"/>
    <w:rsid w:val="003C4273"/>
    <w:rsid w:val="003C4633"/>
    <w:rsid w:val="003C5C8C"/>
    <w:rsid w:val="003C5D02"/>
    <w:rsid w:val="003C691C"/>
    <w:rsid w:val="003C6B54"/>
    <w:rsid w:val="003C6E5B"/>
    <w:rsid w:val="003D3E70"/>
    <w:rsid w:val="003D4551"/>
    <w:rsid w:val="003D4627"/>
    <w:rsid w:val="003D641F"/>
    <w:rsid w:val="003E18BA"/>
    <w:rsid w:val="003E333C"/>
    <w:rsid w:val="003E52CC"/>
    <w:rsid w:val="003E6223"/>
    <w:rsid w:val="003E782D"/>
    <w:rsid w:val="003E7865"/>
    <w:rsid w:val="003F0CEE"/>
    <w:rsid w:val="003F1AB4"/>
    <w:rsid w:val="003F25E1"/>
    <w:rsid w:val="003F482D"/>
    <w:rsid w:val="003F4FA9"/>
    <w:rsid w:val="003F5964"/>
    <w:rsid w:val="003F5B87"/>
    <w:rsid w:val="003F6DA2"/>
    <w:rsid w:val="004031DB"/>
    <w:rsid w:val="004032EC"/>
    <w:rsid w:val="00403FB3"/>
    <w:rsid w:val="0040461A"/>
    <w:rsid w:val="00406EAE"/>
    <w:rsid w:val="00407C2E"/>
    <w:rsid w:val="004104D8"/>
    <w:rsid w:val="00410B35"/>
    <w:rsid w:val="00411999"/>
    <w:rsid w:val="004119D3"/>
    <w:rsid w:val="004137ED"/>
    <w:rsid w:val="00413A52"/>
    <w:rsid w:val="0041507F"/>
    <w:rsid w:val="004163E3"/>
    <w:rsid w:val="00417017"/>
    <w:rsid w:val="00420BE0"/>
    <w:rsid w:val="004224A7"/>
    <w:rsid w:val="00422724"/>
    <w:rsid w:val="00422DC4"/>
    <w:rsid w:val="00424E56"/>
    <w:rsid w:val="00425099"/>
    <w:rsid w:val="00425167"/>
    <w:rsid w:val="004251A4"/>
    <w:rsid w:val="00425636"/>
    <w:rsid w:val="00425856"/>
    <w:rsid w:val="004263C9"/>
    <w:rsid w:val="00427EFE"/>
    <w:rsid w:val="004326BD"/>
    <w:rsid w:val="0043508E"/>
    <w:rsid w:val="00435297"/>
    <w:rsid w:val="004357DD"/>
    <w:rsid w:val="00437AF9"/>
    <w:rsid w:val="00437D7B"/>
    <w:rsid w:val="00440E87"/>
    <w:rsid w:val="00440FA4"/>
    <w:rsid w:val="00441DD6"/>
    <w:rsid w:val="004432BB"/>
    <w:rsid w:val="00444493"/>
    <w:rsid w:val="00445A7F"/>
    <w:rsid w:val="0044617E"/>
    <w:rsid w:val="00446932"/>
    <w:rsid w:val="00450B6E"/>
    <w:rsid w:val="00450C32"/>
    <w:rsid w:val="004512B8"/>
    <w:rsid w:val="0045134C"/>
    <w:rsid w:val="004518F9"/>
    <w:rsid w:val="004537FB"/>
    <w:rsid w:val="00453F73"/>
    <w:rsid w:val="0045679A"/>
    <w:rsid w:val="00456926"/>
    <w:rsid w:val="00456C1A"/>
    <w:rsid w:val="00457A8F"/>
    <w:rsid w:val="0046064D"/>
    <w:rsid w:val="004614A2"/>
    <w:rsid w:val="00462DE8"/>
    <w:rsid w:val="00463DC6"/>
    <w:rsid w:val="00466892"/>
    <w:rsid w:val="004702BD"/>
    <w:rsid w:val="00470CD9"/>
    <w:rsid w:val="00473FCA"/>
    <w:rsid w:val="004743B2"/>
    <w:rsid w:val="00474B86"/>
    <w:rsid w:val="00476D4C"/>
    <w:rsid w:val="004773DD"/>
    <w:rsid w:val="004776F6"/>
    <w:rsid w:val="00477722"/>
    <w:rsid w:val="00477B63"/>
    <w:rsid w:val="00482063"/>
    <w:rsid w:val="00482342"/>
    <w:rsid w:val="00485523"/>
    <w:rsid w:val="004858B1"/>
    <w:rsid w:val="00486FFC"/>
    <w:rsid w:val="00490482"/>
    <w:rsid w:val="004910EC"/>
    <w:rsid w:val="00491632"/>
    <w:rsid w:val="004916EB"/>
    <w:rsid w:val="00492A06"/>
    <w:rsid w:val="0049321C"/>
    <w:rsid w:val="004935E4"/>
    <w:rsid w:val="00494239"/>
    <w:rsid w:val="00494C5D"/>
    <w:rsid w:val="0049534B"/>
    <w:rsid w:val="004954B7"/>
    <w:rsid w:val="00495E69"/>
    <w:rsid w:val="004969D5"/>
    <w:rsid w:val="004A069D"/>
    <w:rsid w:val="004A1812"/>
    <w:rsid w:val="004A2251"/>
    <w:rsid w:val="004A300A"/>
    <w:rsid w:val="004A378C"/>
    <w:rsid w:val="004A4CCF"/>
    <w:rsid w:val="004A63AD"/>
    <w:rsid w:val="004A6F16"/>
    <w:rsid w:val="004A7ABF"/>
    <w:rsid w:val="004B0720"/>
    <w:rsid w:val="004B23DD"/>
    <w:rsid w:val="004B281A"/>
    <w:rsid w:val="004B2990"/>
    <w:rsid w:val="004B3FF0"/>
    <w:rsid w:val="004B672E"/>
    <w:rsid w:val="004B69D2"/>
    <w:rsid w:val="004B70E0"/>
    <w:rsid w:val="004C1FEE"/>
    <w:rsid w:val="004C3090"/>
    <w:rsid w:val="004C4DA8"/>
    <w:rsid w:val="004C5E96"/>
    <w:rsid w:val="004C6742"/>
    <w:rsid w:val="004D1336"/>
    <w:rsid w:val="004D1A83"/>
    <w:rsid w:val="004D5979"/>
    <w:rsid w:val="004E010A"/>
    <w:rsid w:val="004E06FA"/>
    <w:rsid w:val="004E1F51"/>
    <w:rsid w:val="004E2544"/>
    <w:rsid w:val="004E3719"/>
    <w:rsid w:val="004E3B47"/>
    <w:rsid w:val="004E51B6"/>
    <w:rsid w:val="004E527C"/>
    <w:rsid w:val="004E53CB"/>
    <w:rsid w:val="004F2053"/>
    <w:rsid w:val="004F37CB"/>
    <w:rsid w:val="004F3ECB"/>
    <w:rsid w:val="004F60E1"/>
    <w:rsid w:val="004F6D82"/>
    <w:rsid w:val="004F7D2C"/>
    <w:rsid w:val="0050006F"/>
    <w:rsid w:val="00503BD3"/>
    <w:rsid w:val="00504C59"/>
    <w:rsid w:val="00506822"/>
    <w:rsid w:val="00506C63"/>
    <w:rsid w:val="005070B3"/>
    <w:rsid w:val="00507DF5"/>
    <w:rsid w:val="00511287"/>
    <w:rsid w:val="005136DF"/>
    <w:rsid w:val="0051476F"/>
    <w:rsid w:val="00516AEB"/>
    <w:rsid w:val="00517249"/>
    <w:rsid w:val="005207C5"/>
    <w:rsid w:val="005208F8"/>
    <w:rsid w:val="005222EB"/>
    <w:rsid w:val="00522A43"/>
    <w:rsid w:val="00523064"/>
    <w:rsid w:val="005249E5"/>
    <w:rsid w:val="005251CE"/>
    <w:rsid w:val="00525F43"/>
    <w:rsid w:val="00530779"/>
    <w:rsid w:val="0053104F"/>
    <w:rsid w:val="005352EB"/>
    <w:rsid w:val="00537561"/>
    <w:rsid w:val="0054033F"/>
    <w:rsid w:val="00545924"/>
    <w:rsid w:val="005463AB"/>
    <w:rsid w:val="00551A24"/>
    <w:rsid w:val="00553359"/>
    <w:rsid w:val="00556555"/>
    <w:rsid w:val="00557421"/>
    <w:rsid w:val="00557665"/>
    <w:rsid w:val="005577C2"/>
    <w:rsid w:val="005612FA"/>
    <w:rsid w:val="005615F9"/>
    <w:rsid w:val="005620DE"/>
    <w:rsid w:val="00562633"/>
    <w:rsid w:val="00565610"/>
    <w:rsid w:val="005658FA"/>
    <w:rsid w:val="00565F0F"/>
    <w:rsid w:val="00570DA6"/>
    <w:rsid w:val="005718FA"/>
    <w:rsid w:val="00574914"/>
    <w:rsid w:val="00574A6A"/>
    <w:rsid w:val="00574BBC"/>
    <w:rsid w:val="00575F13"/>
    <w:rsid w:val="00576689"/>
    <w:rsid w:val="00576F85"/>
    <w:rsid w:val="00577295"/>
    <w:rsid w:val="005773B2"/>
    <w:rsid w:val="00577E12"/>
    <w:rsid w:val="0058277E"/>
    <w:rsid w:val="00585CDE"/>
    <w:rsid w:val="0058754A"/>
    <w:rsid w:val="00591546"/>
    <w:rsid w:val="00594B7D"/>
    <w:rsid w:val="0059578C"/>
    <w:rsid w:val="00597A2C"/>
    <w:rsid w:val="005A47D7"/>
    <w:rsid w:val="005A4FD0"/>
    <w:rsid w:val="005A5C41"/>
    <w:rsid w:val="005A69C0"/>
    <w:rsid w:val="005B0957"/>
    <w:rsid w:val="005B0D1E"/>
    <w:rsid w:val="005B44DD"/>
    <w:rsid w:val="005B4EF6"/>
    <w:rsid w:val="005B4FA7"/>
    <w:rsid w:val="005B5904"/>
    <w:rsid w:val="005B6F0D"/>
    <w:rsid w:val="005B72BF"/>
    <w:rsid w:val="005C0669"/>
    <w:rsid w:val="005C19AD"/>
    <w:rsid w:val="005C4B89"/>
    <w:rsid w:val="005C52ED"/>
    <w:rsid w:val="005C54DF"/>
    <w:rsid w:val="005C563F"/>
    <w:rsid w:val="005C6486"/>
    <w:rsid w:val="005C7915"/>
    <w:rsid w:val="005D0104"/>
    <w:rsid w:val="005D10AF"/>
    <w:rsid w:val="005D3051"/>
    <w:rsid w:val="005D580F"/>
    <w:rsid w:val="005D63DC"/>
    <w:rsid w:val="005D7DB8"/>
    <w:rsid w:val="005E0D03"/>
    <w:rsid w:val="005E276F"/>
    <w:rsid w:val="005E3624"/>
    <w:rsid w:val="005E5E29"/>
    <w:rsid w:val="005E7207"/>
    <w:rsid w:val="005F06B4"/>
    <w:rsid w:val="005F07F0"/>
    <w:rsid w:val="005F0FC9"/>
    <w:rsid w:val="005F235F"/>
    <w:rsid w:val="005F2E04"/>
    <w:rsid w:val="005F4E13"/>
    <w:rsid w:val="005F59C8"/>
    <w:rsid w:val="005F7AD0"/>
    <w:rsid w:val="00601102"/>
    <w:rsid w:val="006016BE"/>
    <w:rsid w:val="00601CBD"/>
    <w:rsid w:val="0060263E"/>
    <w:rsid w:val="006039C4"/>
    <w:rsid w:val="00604C05"/>
    <w:rsid w:val="00605A78"/>
    <w:rsid w:val="006069D8"/>
    <w:rsid w:val="00607793"/>
    <w:rsid w:val="00607FB4"/>
    <w:rsid w:val="00610CA9"/>
    <w:rsid w:val="00612363"/>
    <w:rsid w:val="00612B36"/>
    <w:rsid w:val="00613907"/>
    <w:rsid w:val="0061464C"/>
    <w:rsid w:val="006147D5"/>
    <w:rsid w:val="0061668A"/>
    <w:rsid w:val="00616D25"/>
    <w:rsid w:val="00616E3A"/>
    <w:rsid w:val="00622FA0"/>
    <w:rsid w:val="00623CED"/>
    <w:rsid w:val="00624181"/>
    <w:rsid w:val="006241DA"/>
    <w:rsid w:val="0062455B"/>
    <w:rsid w:val="00625CF1"/>
    <w:rsid w:val="006264D4"/>
    <w:rsid w:val="00626E9B"/>
    <w:rsid w:val="00627A3B"/>
    <w:rsid w:val="00627ADF"/>
    <w:rsid w:val="00632552"/>
    <w:rsid w:val="00632EEF"/>
    <w:rsid w:val="0063440E"/>
    <w:rsid w:val="00634E84"/>
    <w:rsid w:val="006354C5"/>
    <w:rsid w:val="00635700"/>
    <w:rsid w:val="006359F8"/>
    <w:rsid w:val="00636A75"/>
    <w:rsid w:val="006408C1"/>
    <w:rsid w:val="006409F7"/>
    <w:rsid w:val="00640C63"/>
    <w:rsid w:val="006414F7"/>
    <w:rsid w:val="00642B76"/>
    <w:rsid w:val="00645603"/>
    <w:rsid w:val="006462C0"/>
    <w:rsid w:val="00647DEB"/>
    <w:rsid w:val="00650E6B"/>
    <w:rsid w:val="006522AC"/>
    <w:rsid w:val="0065513F"/>
    <w:rsid w:val="006560E1"/>
    <w:rsid w:val="006605D4"/>
    <w:rsid w:val="0066278D"/>
    <w:rsid w:val="00662F9C"/>
    <w:rsid w:val="00663962"/>
    <w:rsid w:val="00664615"/>
    <w:rsid w:val="00665194"/>
    <w:rsid w:val="00665408"/>
    <w:rsid w:val="006655D0"/>
    <w:rsid w:val="006677EA"/>
    <w:rsid w:val="006706B9"/>
    <w:rsid w:val="006707AD"/>
    <w:rsid w:val="006709F4"/>
    <w:rsid w:val="00671286"/>
    <w:rsid w:val="00673432"/>
    <w:rsid w:val="00673AD6"/>
    <w:rsid w:val="0067433F"/>
    <w:rsid w:val="006769A7"/>
    <w:rsid w:val="00682966"/>
    <w:rsid w:val="00683990"/>
    <w:rsid w:val="00683BCE"/>
    <w:rsid w:val="00684851"/>
    <w:rsid w:val="00691ED7"/>
    <w:rsid w:val="00692B3B"/>
    <w:rsid w:val="00692E08"/>
    <w:rsid w:val="00696E39"/>
    <w:rsid w:val="006A123E"/>
    <w:rsid w:val="006A13D4"/>
    <w:rsid w:val="006A3081"/>
    <w:rsid w:val="006A3BE8"/>
    <w:rsid w:val="006A4265"/>
    <w:rsid w:val="006A4790"/>
    <w:rsid w:val="006A7046"/>
    <w:rsid w:val="006A78B2"/>
    <w:rsid w:val="006A792E"/>
    <w:rsid w:val="006A7A88"/>
    <w:rsid w:val="006B02D7"/>
    <w:rsid w:val="006B0376"/>
    <w:rsid w:val="006B058F"/>
    <w:rsid w:val="006B0661"/>
    <w:rsid w:val="006B08F3"/>
    <w:rsid w:val="006B197C"/>
    <w:rsid w:val="006B1ABF"/>
    <w:rsid w:val="006B2AA6"/>
    <w:rsid w:val="006B465E"/>
    <w:rsid w:val="006B5025"/>
    <w:rsid w:val="006B6343"/>
    <w:rsid w:val="006B73A9"/>
    <w:rsid w:val="006B7C31"/>
    <w:rsid w:val="006C0B7C"/>
    <w:rsid w:val="006C1BCC"/>
    <w:rsid w:val="006C1FC8"/>
    <w:rsid w:val="006C2DC6"/>
    <w:rsid w:val="006C356C"/>
    <w:rsid w:val="006C3838"/>
    <w:rsid w:val="006C4584"/>
    <w:rsid w:val="006C4F0D"/>
    <w:rsid w:val="006C525F"/>
    <w:rsid w:val="006C5658"/>
    <w:rsid w:val="006C5A80"/>
    <w:rsid w:val="006C6288"/>
    <w:rsid w:val="006C65D3"/>
    <w:rsid w:val="006C6C4C"/>
    <w:rsid w:val="006D031B"/>
    <w:rsid w:val="006D1A9B"/>
    <w:rsid w:val="006D1D27"/>
    <w:rsid w:val="006D3564"/>
    <w:rsid w:val="006D358F"/>
    <w:rsid w:val="006D3D24"/>
    <w:rsid w:val="006D4A17"/>
    <w:rsid w:val="006E01DB"/>
    <w:rsid w:val="006E2BA3"/>
    <w:rsid w:val="006E5226"/>
    <w:rsid w:val="006E528D"/>
    <w:rsid w:val="006E6401"/>
    <w:rsid w:val="006E6BF3"/>
    <w:rsid w:val="006E6C10"/>
    <w:rsid w:val="006E72C5"/>
    <w:rsid w:val="006F17FE"/>
    <w:rsid w:val="006F1CC9"/>
    <w:rsid w:val="006F1E9B"/>
    <w:rsid w:val="006F4D13"/>
    <w:rsid w:val="006F6B0F"/>
    <w:rsid w:val="006F6EEA"/>
    <w:rsid w:val="00700EC2"/>
    <w:rsid w:val="0070174E"/>
    <w:rsid w:val="00701CB7"/>
    <w:rsid w:val="007026F3"/>
    <w:rsid w:val="007063C3"/>
    <w:rsid w:val="00707EFE"/>
    <w:rsid w:val="00710D78"/>
    <w:rsid w:val="007128CF"/>
    <w:rsid w:val="007138A8"/>
    <w:rsid w:val="00713FCE"/>
    <w:rsid w:val="00715648"/>
    <w:rsid w:val="00715AEB"/>
    <w:rsid w:val="00716761"/>
    <w:rsid w:val="00720060"/>
    <w:rsid w:val="00721933"/>
    <w:rsid w:val="007232A5"/>
    <w:rsid w:val="00724EBD"/>
    <w:rsid w:val="00725833"/>
    <w:rsid w:val="00726AC8"/>
    <w:rsid w:val="00727FF4"/>
    <w:rsid w:val="00730506"/>
    <w:rsid w:val="00730F44"/>
    <w:rsid w:val="00732407"/>
    <w:rsid w:val="007327F4"/>
    <w:rsid w:val="00733979"/>
    <w:rsid w:val="0073451E"/>
    <w:rsid w:val="00734B2C"/>
    <w:rsid w:val="00736FD8"/>
    <w:rsid w:val="00740349"/>
    <w:rsid w:val="00740D68"/>
    <w:rsid w:val="00741B48"/>
    <w:rsid w:val="00741FD3"/>
    <w:rsid w:val="007421A4"/>
    <w:rsid w:val="007422FF"/>
    <w:rsid w:val="00742A11"/>
    <w:rsid w:val="00742F6E"/>
    <w:rsid w:val="00744DC5"/>
    <w:rsid w:val="00752A26"/>
    <w:rsid w:val="00755F16"/>
    <w:rsid w:val="0075791F"/>
    <w:rsid w:val="00757E59"/>
    <w:rsid w:val="00760166"/>
    <w:rsid w:val="007626B2"/>
    <w:rsid w:val="00762F6A"/>
    <w:rsid w:val="0076354A"/>
    <w:rsid w:val="00763B18"/>
    <w:rsid w:val="007652DD"/>
    <w:rsid w:val="007654A2"/>
    <w:rsid w:val="0076772C"/>
    <w:rsid w:val="00771CD5"/>
    <w:rsid w:val="00772F13"/>
    <w:rsid w:val="00773D3F"/>
    <w:rsid w:val="007743B6"/>
    <w:rsid w:val="00777537"/>
    <w:rsid w:val="007806ED"/>
    <w:rsid w:val="00780ECA"/>
    <w:rsid w:val="00780F01"/>
    <w:rsid w:val="007821AC"/>
    <w:rsid w:val="007825F2"/>
    <w:rsid w:val="007862C6"/>
    <w:rsid w:val="00786926"/>
    <w:rsid w:val="00791B73"/>
    <w:rsid w:val="00791D0B"/>
    <w:rsid w:val="00791F8D"/>
    <w:rsid w:val="007929E9"/>
    <w:rsid w:val="0079562F"/>
    <w:rsid w:val="0079741D"/>
    <w:rsid w:val="007A0488"/>
    <w:rsid w:val="007A1108"/>
    <w:rsid w:val="007A3653"/>
    <w:rsid w:val="007A3CEF"/>
    <w:rsid w:val="007A4B14"/>
    <w:rsid w:val="007A6C12"/>
    <w:rsid w:val="007A7D47"/>
    <w:rsid w:val="007B19E1"/>
    <w:rsid w:val="007B1A7E"/>
    <w:rsid w:val="007B2540"/>
    <w:rsid w:val="007B3D71"/>
    <w:rsid w:val="007B437D"/>
    <w:rsid w:val="007B4B40"/>
    <w:rsid w:val="007B4BDB"/>
    <w:rsid w:val="007B73F1"/>
    <w:rsid w:val="007C04A0"/>
    <w:rsid w:val="007C138C"/>
    <w:rsid w:val="007C2204"/>
    <w:rsid w:val="007C3D62"/>
    <w:rsid w:val="007C420B"/>
    <w:rsid w:val="007C4B1F"/>
    <w:rsid w:val="007C509E"/>
    <w:rsid w:val="007C5B3F"/>
    <w:rsid w:val="007C62CA"/>
    <w:rsid w:val="007C7E38"/>
    <w:rsid w:val="007D15D9"/>
    <w:rsid w:val="007D2F9C"/>
    <w:rsid w:val="007D5C43"/>
    <w:rsid w:val="007D6925"/>
    <w:rsid w:val="007D6AC6"/>
    <w:rsid w:val="007D6DC1"/>
    <w:rsid w:val="007D7583"/>
    <w:rsid w:val="007D776C"/>
    <w:rsid w:val="007D7EBE"/>
    <w:rsid w:val="007E0D95"/>
    <w:rsid w:val="007E2AE1"/>
    <w:rsid w:val="007E3AD1"/>
    <w:rsid w:val="007E4F57"/>
    <w:rsid w:val="007E5C73"/>
    <w:rsid w:val="007E5E42"/>
    <w:rsid w:val="007E6162"/>
    <w:rsid w:val="007E678E"/>
    <w:rsid w:val="007E7F72"/>
    <w:rsid w:val="007F164E"/>
    <w:rsid w:val="007F1AB4"/>
    <w:rsid w:val="007F1E70"/>
    <w:rsid w:val="007F4912"/>
    <w:rsid w:val="007F5C6B"/>
    <w:rsid w:val="007F6104"/>
    <w:rsid w:val="008014DC"/>
    <w:rsid w:val="00801B8B"/>
    <w:rsid w:val="00802CBD"/>
    <w:rsid w:val="00802D3E"/>
    <w:rsid w:val="00803B1F"/>
    <w:rsid w:val="00804558"/>
    <w:rsid w:val="00804DDD"/>
    <w:rsid w:val="00804EF5"/>
    <w:rsid w:val="0081354A"/>
    <w:rsid w:val="0081437D"/>
    <w:rsid w:val="00815A74"/>
    <w:rsid w:val="008172FE"/>
    <w:rsid w:val="008203FF"/>
    <w:rsid w:val="008215AA"/>
    <w:rsid w:val="00821CC8"/>
    <w:rsid w:val="00826F5A"/>
    <w:rsid w:val="008271BC"/>
    <w:rsid w:val="008306AC"/>
    <w:rsid w:val="00831F32"/>
    <w:rsid w:val="00833D56"/>
    <w:rsid w:val="008340CD"/>
    <w:rsid w:val="00835A32"/>
    <w:rsid w:val="0083604B"/>
    <w:rsid w:val="00836C2D"/>
    <w:rsid w:val="008379C7"/>
    <w:rsid w:val="00840339"/>
    <w:rsid w:val="00840D08"/>
    <w:rsid w:val="008418CD"/>
    <w:rsid w:val="00842FDC"/>
    <w:rsid w:val="00844188"/>
    <w:rsid w:val="00844231"/>
    <w:rsid w:val="00845801"/>
    <w:rsid w:val="008458CD"/>
    <w:rsid w:val="0084643D"/>
    <w:rsid w:val="008467DA"/>
    <w:rsid w:val="0085114B"/>
    <w:rsid w:val="008535B8"/>
    <w:rsid w:val="00855D2C"/>
    <w:rsid w:val="00856851"/>
    <w:rsid w:val="0085700E"/>
    <w:rsid w:val="00857038"/>
    <w:rsid w:val="00860ADB"/>
    <w:rsid w:val="00860C76"/>
    <w:rsid w:val="00861472"/>
    <w:rsid w:val="00861F58"/>
    <w:rsid w:val="00862C0E"/>
    <w:rsid w:val="00863EFE"/>
    <w:rsid w:val="0086551A"/>
    <w:rsid w:val="008665A9"/>
    <w:rsid w:val="00866884"/>
    <w:rsid w:val="008714B2"/>
    <w:rsid w:val="008717FB"/>
    <w:rsid w:val="008727D1"/>
    <w:rsid w:val="00873131"/>
    <w:rsid w:val="008738C3"/>
    <w:rsid w:val="0087773C"/>
    <w:rsid w:val="0088054C"/>
    <w:rsid w:val="0088205E"/>
    <w:rsid w:val="00882BC8"/>
    <w:rsid w:val="008842E3"/>
    <w:rsid w:val="008848D4"/>
    <w:rsid w:val="0088578C"/>
    <w:rsid w:val="00885CA3"/>
    <w:rsid w:val="00886DC3"/>
    <w:rsid w:val="008874F8"/>
    <w:rsid w:val="008911E1"/>
    <w:rsid w:val="0089216C"/>
    <w:rsid w:val="00893667"/>
    <w:rsid w:val="00893902"/>
    <w:rsid w:val="008948FA"/>
    <w:rsid w:val="008953A4"/>
    <w:rsid w:val="0089684C"/>
    <w:rsid w:val="00897366"/>
    <w:rsid w:val="00897B10"/>
    <w:rsid w:val="008A2B6A"/>
    <w:rsid w:val="008A3DAE"/>
    <w:rsid w:val="008A554C"/>
    <w:rsid w:val="008A6214"/>
    <w:rsid w:val="008B16DA"/>
    <w:rsid w:val="008B385B"/>
    <w:rsid w:val="008B3D0F"/>
    <w:rsid w:val="008B45F0"/>
    <w:rsid w:val="008B51EE"/>
    <w:rsid w:val="008B56FE"/>
    <w:rsid w:val="008B61C1"/>
    <w:rsid w:val="008B7BC9"/>
    <w:rsid w:val="008C09FD"/>
    <w:rsid w:val="008C252B"/>
    <w:rsid w:val="008C5FD9"/>
    <w:rsid w:val="008C6ED8"/>
    <w:rsid w:val="008C761E"/>
    <w:rsid w:val="008D02B5"/>
    <w:rsid w:val="008D09E5"/>
    <w:rsid w:val="008D1401"/>
    <w:rsid w:val="008D1881"/>
    <w:rsid w:val="008D2408"/>
    <w:rsid w:val="008D65DC"/>
    <w:rsid w:val="008D670F"/>
    <w:rsid w:val="008D75AC"/>
    <w:rsid w:val="008D77BE"/>
    <w:rsid w:val="008E01C3"/>
    <w:rsid w:val="008E06E6"/>
    <w:rsid w:val="008E0E68"/>
    <w:rsid w:val="008E287D"/>
    <w:rsid w:val="008E30CD"/>
    <w:rsid w:val="008E7754"/>
    <w:rsid w:val="008F0C73"/>
    <w:rsid w:val="008F0EC4"/>
    <w:rsid w:val="008F1B22"/>
    <w:rsid w:val="008F3DF1"/>
    <w:rsid w:val="008F3E79"/>
    <w:rsid w:val="008F656E"/>
    <w:rsid w:val="00900826"/>
    <w:rsid w:val="00900D43"/>
    <w:rsid w:val="00902F1B"/>
    <w:rsid w:val="009032E0"/>
    <w:rsid w:val="0090457B"/>
    <w:rsid w:val="009057E9"/>
    <w:rsid w:val="00905FFE"/>
    <w:rsid w:val="00906F64"/>
    <w:rsid w:val="00911421"/>
    <w:rsid w:val="00911949"/>
    <w:rsid w:val="00911F74"/>
    <w:rsid w:val="00914132"/>
    <w:rsid w:val="009147AB"/>
    <w:rsid w:val="009169F6"/>
    <w:rsid w:val="00916F04"/>
    <w:rsid w:val="009173E3"/>
    <w:rsid w:val="009214A7"/>
    <w:rsid w:val="00921C3A"/>
    <w:rsid w:val="00922DC6"/>
    <w:rsid w:val="00923948"/>
    <w:rsid w:val="00923EB7"/>
    <w:rsid w:val="00925328"/>
    <w:rsid w:val="00925517"/>
    <w:rsid w:val="00926190"/>
    <w:rsid w:val="0092772C"/>
    <w:rsid w:val="00930559"/>
    <w:rsid w:val="00930617"/>
    <w:rsid w:val="0093101D"/>
    <w:rsid w:val="0093272F"/>
    <w:rsid w:val="009341E7"/>
    <w:rsid w:val="009354CD"/>
    <w:rsid w:val="009359F6"/>
    <w:rsid w:val="00936231"/>
    <w:rsid w:val="00936EEE"/>
    <w:rsid w:val="00937836"/>
    <w:rsid w:val="009403B4"/>
    <w:rsid w:val="009435B2"/>
    <w:rsid w:val="00945351"/>
    <w:rsid w:val="00946BFC"/>
    <w:rsid w:val="00947433"/>
    <w:rsid w:val="009506A6"/>
    <w:rsid w:val="0095200F"/>
    <w:rsid w:val="009532BE"/>
    <w:rsid w:val="00954D83"/>
    <w:rsid w:val="00955860"/>
    <w:rsid w:val="00955F7E"/>
    <w:rsid w:val="00960D8B"/>
    <w:rsid w:val="0096352B"/>
    <w:rsid w:val="00963FAB"/>
    <w:rsid w:val="00964DB9"/>
    <w:rsid w:val="0096575A"/>
    <w:rsid w:val="0096599A"/>
    <w:rsid w:val="009673AD"/>
    <w:rsid w:val="009674AB"/>
    <w:rsid w:val="00967D7B"/>
    <w:rsid w:val="00970CFE"/>
    <w:rsid w:val="00970EAF"/>
    <w:rsid w:val="00970FDC"/>
    <w:rsid w:val="00971CAF"/>
    <w:rsid w:val="00972EE0"/>
    <w:rsid w:val="0097542B"/>
    <w:rsid w:val="00977B4D"/>
    <w:rsid w:val="0098031E"/>
    <w:rsid w:val="00982EC1"/>
    <w:rsid w:val="0098392C"/>
    <w:rsid w:val="00983AED"/>
    <w:rsid w:val="00984EED"/>
    <w:rsid w:val="00984FAD"/>
    <w:rsid w:val="00987700"/>
    <w:rsid w:val="00987F9B"/>
    <w:rsid w:val="00992731"/>
    <w:rsid w:val="0099538D"/>
    <w:rsid w:val="00997933"/>
    <w:rsid w:val="00997FBF"/>
    <w:rsid w:val="009A0217"/>
    <w:rsid w:val="009A2253"/>
    <w:rsid w:val="009A31A0"/>
    <w:rsid w:val="009A3286"/>
    <w:rsid w:val="009A4695"/>
    <w:rsid w:val="009A52FC"/>
    <w:rsid w:val="009A6A99"/>
    <w:rsid w:val="009A71F2"/>
    <w:rsid w:val="009A7A60"/>
    <w:rsid w:val="009A7E78"/>
    <w:rsid w:val="009B0619"/>
    <w:rsid w:val="009B1511"/>
    <w:rsid w:val="009B1817"/>
    <w:rsid w:val="009B3300"/>
    <w:rsid w:val="009B4145"/>
    <w:rsid w:val="009B52DB"/>
    <w:rsid w:val="009B5675"/>
    <w:rsid w:val="009B57DC"/>
    <w:rsid w:val="009B64E3"/>
    <w:rsid w:val="009B6799"/>
    <w:rsid w:val="009B7114"/>
    <w:rsid w:val="009B74ED"/>
    <w:rsid w:val="009C047F"/>
    <w:rsid w:val="009C7AFF"/>
    <w:rsid w:val="009D2BDF"/>
    <w:rsid w:val="009D4FFB"/>
    <w:rsid w:val="009D58D2"/>
    <w:rsid w:val="009D7C8C"/>
    <w:rsid w:val="009D7EC1"/>
    <w:rsid w:val="009E166C"/>
    <w:rsid w:val="009E1BAE"/>
    <w:rsid w:val="009E4987"/>
    <w:rsid w:val="009E4B12"/>
    <w:rsid w:val="009E57F9"/>
    <w:rsid w:val="009E6D06"/>
    <w:rsid w:val="009E742D"/>
    <w:rsid w:val="009E74DC"/>
    <w:rsid w:val="009F285D"/>
    <w:rsid w:val="009F2E26"/>
    <w:rsid w:val="009F3797"/>
    <w:rsid w:val="009F481A"/>
    <w:rsid w:val="00A013C0"/>
    <w:rsid w:val="00A0168A"/>
    <w:rsid w:val="00A01E38"/>
    <w:rsid w:val="00A04635"/>
    <w:rsid w:val="00A05164"/>
    <w:rsid w:val="00A06405"/>
    <w:rsid w:val="00A06C3F"/>
    <w:rsid w:val="00A109BC"/>
    <w:rsid w:val="00A114C2"/>
    <w:rsid w:val="00A13012"/>
    <w:rsid w:val="00A150FE"/>
    <w:rsid w:val="00A1526E"/>
    <w:rsid w:val="00A16F56"/>
    <w:rsid w:val="00A175E3"/>
    <w:rsid w:val="00A178FD"/>
    <w:rsid w:val="00A21AF0"/>
    <w:rsid w:val="00A22244"/>
    <w:rsid w:val="00A22CF2"/>
    <w:rsid w:val="00A22E1B"/>
    <w:rsid w:val="00A2363F"/>
    <w:rsid w:val="00A23BA5"/>
    <w:rsid w:val="00A23EF7"/>
    <w:rsid w:val="00A23F78"/>
    <w:rsid w:val="00A24D25"/>
    <w:rsid w:val="00A25100"/>
    <w:rsid w:val="00A26A81"/>
    <w:rsid w:val="00A30392"/>
    <w:rsid w:val="00A3079D"/>
    <w:rsid w:val="00A32319"/>
    <w:rsid w:val="00A329A2"/>
    <w:rsid w:val="00A32EB7"/>
    <w:rsid w:val="00A333D7"/>
    <w:rsid w:val="00A33FEA"/>
    <w:rsid w:val="00A346C8"/>
    <w:rsid w:val="00A406A7"/>
    <w:rsid w:val="00A41A37"/>
    <w:rsid w:val="00A42E41"/>
    <w:rsid w:val="00A43FAA"/>
    <w:rsid w:val="00A442BF"/>
    <w:rsid w:val="00A50163"/>
    <w:rsid w:val="00A50743"/>
    <w:rsid w:val="00A50C76"/>
    <w:rsid w:val="00A51F10"/>
    <w:rsid w:val="00A52B06"/>
    <w:rsid w:val="00A5559A"/>
    <w:rsid w:val="00A55CDF"/>
    <w:rsid w:val="00A5740D"/>
    <w:rsid w:val="00A57526"/>
    <w:rsid w:val="00A64BBB"/>
    <w:rsid w:val="00A64D5C"/>
    <w:rsid w:val="00A64F4D"/>
    <w:rsid w:val="00A65307"/>
    <w:rsid w:val="00A657A8"/>
    <w:rsid w:val="00A6598E"/>
    <w:rsid w:val="00A661B3"/>
    <w:rsid w:val="00A66263"/>
    <w:rsid w:val="00A679E3"/>
    <w:rsid w:val="00A70230"/>
    <w:rsid w:val="00A70A5D"/>
    <w:rsid w:val="00A7178D"/>
    <w:rsid w:val="00A71B52"/>
    <w:rsid w:val="00A75841"/>
    <w:rsid w:val="00A75E8B"/>
    <w:rsid w:val="00A76E8B"/>
    <w:rsid w:val="00A77E1A"/>
    <w:rsid w:val="00A81A14"/>
    <w:rsid w:val="00A82D32"/>
    <w:rsid w:val="00A82E04"/>
    <w:rsid w:val="00A8359A"/>
    <w:rsid w:val="00A84775"/>
    <w:rsid w:val="00A84A9A"/>
    <w:rsid w:val="00A87F0D"/>
    <w:rsid w:val="00A90F1B"/>
    <w:rsid w:val="00A91307"/>
    <w:rsid w:val="00A9300E"/>
    <w:rsid w:val="00A956C4"/>
    <w:rsid w:val="00A96CE4"/>
    <w:rsid w:val="00AA1BC2"/>
    <w:rsid w:val="00AA2266"/>
    <w:rsid w:val="00AA2DEF"/>
    <w:rsid w:val="00AA3C4B"/>
    <w:rsid w:val="00AA3CE3"/>
    <w:rsid w:val="00AA4F2C"/>
    <w:rsid w:val="00AA58D4"/>
    <w:rsid w:val="00AA62F2"/>
    <w:rsid w:val="00AB172E"/>
    <w:rsid w:val="00AB2C56"/>
    <w:rsid w:val="00AB64E3"/>
    <w:rsid w:val="00AB6CAF"/>
    <w:rsid w:val="00AB6F05"/>
    <w:rsid w:val="00AB7318"/>
    <w:rsid w:val="00AC159C"/>
    <w:rsid w:val="00AC2B2A"/>
    <w:rsid w:val="00AC3C16"/>
    <w:rsid w:val="00AC415C"/>
    <w:rsid w:val="00AC4692"/>
    <w:rsid w:val="00AC5420"/>
    <w:rsid w:val="00AC76AF"/>
    <w:rsid w:val="00AD0389"/>
    <w:rsid w:val="00AD05FE"/>
    <w:rsid w:val="00AD1B06"/>
    <w:rsid w:val="00AD2BA4"/>
    <w:rsid w:val="00AD2F1B"/>
    <w:rsid w:val="00AD6CC7"/>
    <w:rsid w:val="00AE04E8"/>
    <w:rsid w:val="00AE122F"/>
    <w:rsid w:val="00AE1BD2"/>
    <w:rsid w:val="00AE22E0"/>
    <w:rsid w:val="00AE27C4"/>
    <w:rsid w:val="00AE55E2"/>
    <w:rsid w:val="00AE6377"/>
    <w:rsid w:val="00AE6796"/>
    <w:rsid w:val="00AE76BD"/>
    <w:rsid w:val="00AE79D5"/>
    <w:rsid w:val="00AE7ED0"/>
    <w:rsid w:val="00AE7ED2"/>
    <w:rsid w:val="00AF189A"/>
    <w:rsid w:val="00AF252B"/>
    <w:rsid w:val="00AF4E15"/>
    <w:rsid w:val="00AF58C7"/>
    <w:rsid w:val="00AF59DE"/>
    <w:rsid w:val="00AF5C85"/>
    <w:rsid w:val="00AF71B4"/>
    <w:rsid w:val="00AF757C"/>
    <w:rsid w:val="00AF78AB"/>
    <w:rsid w:val="00AF7A17"/>
    <w:rsid w:val="00AF7F7D"/>
    <w:rsid w:val="00B02505"/>
    <w:rsid w:val="00B029D6"/>
    <w:rsid w:val="00B02B78"/>
    <w:rsid w:val="00B04C10"/>
    <w:rsid w:val="00B05511"/>
    <w:rsid w:val="00B07868"/>
    <w:rsid w:val="00B1100A"/>
    <w:rsid w:val="00B111E1"/>
    <w:rsid w:val="00B13980"/>
    <w:rsid w:val="00B13A75"/>
    <w:rsid w:val="00B156D1"/>
    <w:rsid w:val="00B15FD3"/>
    <w:rsid w:val="00B16118"/>
    <w:rsid w:val="00B16DBF"/>
    <w:rsid w:val="00B178B8"/>
    <w:rsid w:val="00B179BE"/>
    <w:rsid w:val="00B17FED"/>
    <w:rsid w:val="00B210CF"/>
    <w:rsid w:val="00B21468"/>
    <w:rsid w:val="00B2265F"/>
    <w:rsid w:val="00B22776"/>
    <w:rsid w:val="00B2314C"/>
    <w:rsid w:val="00B27CE9"/>
    <w:rsid w:val="00B30F0E"/>
    <w:rsid w:val="00B318F1"/>
    <w:rsid w:val="00B32ADC"/>
    <w:rsid w:val="00B33E8E"/>
    <w:rsid w:val="00B3520D"/>
    <w:rsid w:val="00B35F6A"/>
    <w:rsid w:val="00B37A6B"/>
    <w:rsid w:val="00B37F05"/>
    <w:rsid w:val="00B403FF"/>
    <w:rsid w:val="00B404B8"/>
    <w:rsid w:val="00B42493"/>
    <w:rsid w:val="00B43E02"/>
    <w:rsid w:val="00B4507A"/>
    <w:rsid w:val="00B47AC8"/>
    <w:rsid w:val="00B50496"/>
    <w:rsid w:val="00B541C0"/>
    <w:rsid w:val="00B548D6"/>
    <w:rsid w:val="00B551B5"/>
    <w:rsid w:val="00B55E32"/>
    <w:rsid w:val="00B56968"/>
    <w:rsid w:val="00B57799"/>
    <w:rsid w:val="00B60B92"/>
    <w:rsid w:val="00B624E7"/>
    <w:rsid w:val="00B637DE"/>
    <w:rsid w:val="00B63890"/>
    <w:rsid w:val="00B66638"/>
    <w:rsid w:val="00B6728B"/>
    <w:rsid w:val="00B67DD3"/>
    <w:rsid w:val="00B70A9A"/>
    <w:rsid w:val="00B70EB8"/>
    <w:rsid w:val="00B744A6"/>
    <w:rsid w:val="00B770F1"/>
    <w:rsid w:val="00B77B75"/>
    <w:rsid w:val="00B77C90"/>
    <w:rsid w:val="00B80394"/>
    <w:rsid w:val="00B80CBD"/>
    <w:rsid w:val="00B81EBB"/>
    <w:rsid w:val="00B83AFD"/>
    <w:rsid w:val="00B84D80"/>
    <w:rsid w:val="00B8535A"/>
    <w:rsid w:val="00B86BFA"/>
    <w:rsid w:val="00B91725"/>
    <w:rsid w:val="00B9277B"/>
    <w:rsid w:val="00B93C55"/>
    <w:rsid w:val="00B940BA"/>
    <w:rsid w:val="00B94685"/>
    <w:rsid w:val="00B95FBE"/>
    <w:rsid w:val="00B9780D"/>
    <w:rsid w:val="00BA2AB9"/>
    <w:rsid w:val="00BA3037"/>
    <w:rsid w:val="00BA3958"/>
    <w:rsid w:val="00BA411E"/>
    <w:rsid w:val="00BA4702"/>
    <w:rsid w:val="00BA530B"/>
    <w:rsid w:val="00BA650F"/>
    <w:rsid w:val="00BB19A7"/>
    <w:rsid w:val="00BB27DA"/>
    <w:rsid w:val="00BB57F1"/>
    <w:rsid w:val="00BB58EA"/>
    <w:rsid w:val="00BB61E5"/>
    <w:rsid w:val="00BB76B1"/>
    <w:rsid w:val="00BC034A"/>
    <w:rsid w:val="00BC046D"/>
    <w:rsid w:val="00BC09C3"/>
    <w:rsid w:val="00BC3867"/>
    <w:rsid w:val="00BC42DE"/>
    <w:rsid w:val="00BC609F"/>
    <w:rsid w:val="00BC6772"/>
    <w:rsid w:val="00BC67AA"/>
    <w:rsid w:val="00BC745F"/>
    <w:rsid w:val="00BD0792"/>
    <w:rsid w:val="00BD1628"/>
    <w:rsid w:val="00BD2257"/>
    <w:rsid w:val="00BD35C8"/>
    <w:rsid w:val="00BD5F82"/>
    <w:rsid w:val="00BD6295"/>
    <w:rsid w:val="00BD6361"/>
    <w:rsid w:val="00BD75E1"/>
    <w:rsid w:val="00BE0FA8"/>
    <w:rsid w:val="00BE1F25"/>
    <w:rsid w:val="00BE20EE"/>
    <w:rsid w:val="00BE2E37"/>
    <w:rsid w:val="00BE6A98"/>
    <w:rsid w:val="00BE6C31"/>
    <w:rsid w:val="00BF0B8D"/>
    <w:rsid w:val="00BF0CEE"/>
    <w:rsid w:val="00BF2247"/>
    <w:rsid w:val="00BF3E70"/>
    <w:rsid w:val="00BF4D6B"/>
    <w:rsid w:val="00BF50A6"/>
    <w:rsid w:val="00BF7D9E"/>
    <w:rsid w:val="00C007E4"/>
    <w:rsid w:val="00C041B3"/>
    <w:rsid w:val="00C04EB1"/>
    <w:rsid w:val="00C064D3"/>
    <w:rsid w:val="00C06737"/>
    <w:rsid w:val="00C06B2C"/>
    <w:rsid w:val="00C073FD"/>
    <w:rsid w:val="00C074C9"/>
    <w:rsid w:val="00C10BB0"/>
    <w:rsid w:val="00C11FD2"/>
    <w:rsid w:val="00C12E95"/>
    <w:rsid w:val="00C13805"/>
    <w:rsid w:val="00C13E18"/>
    <w:rsid w:val="00C140D2"/>
    <w:rsid w:val="00C144D2"/>
    <w:rsid w:val="00C1481E"/>
    <w:rsid w:val="00C14820"/>
    <w:rsid w:val="00C1553F"/>
    <w:rsid w:val="00C158DB"/>
    <w:rsid w:val="00C160CC"/>
    <w:rsid w:val="00C16D51"/>
    <w:rsid w:val="00C200B4"/>
    <w:rsid w:val="00C22610"/>
    <w:rsid w:val="00C2473D"/>
    <w:rsid w:val="00C2530A"/>
    <w:rsid w:val="00C2541A"/>
    <w:rsid w:val="00C257AC"/>
    <w:rsid w:val="00C25D1C"/>
    <w:rsid w:val="00C2781D"/>
    <w:rsid w:val="00C30BAA"/>
    <w:rsid w:val="00C30BF1"/>
    <w:rsid w:val="00C3132B"/>
    <w:rsid w:val="00C32316"/>
    <w:rsid w:val="00C33019"/>
    <w:rsid w:val="00C3481C"/>
    <w:rsid w:val="00C368B3"/>
    <w:rsid w:val="00C369E5"/>
    <w:rsid w:val="00C36DA5"/>
    <w:rsid w:val="00C400B5"/>
    <w:rsid w:val="00C40464"/>
    <w:rsid w:val="00C408D0"/>
    <w:rsid w:val="00C4159B"/>
    <w:rsid w:val="00C430BB"/>
    <w:rsid w:val="00C44D61"/>
    <w:rsid w:val="00C44EEA"/>
    <w:rsid w:val="00C459AC"/>
    <w:rsid w:val="00C45B3D"/>
    <w:rsid w:val="00C464B7"/>
    <w:rsid w:val="00C467C8"/>
    <w:rsid w:val="00C475DE"/>
    <w:rsid w:val="00C50624"/>
    <w:rsid w:val="00C51026"/>
    <w:rsid w:val="00C52F2C"/>
    <w:rsid w:val="00C539E5"/>
    <w:rsid w:val="00C54173"/>
    <w:rsid w:val="00C566FB"/>
    <w:rsid w:val="00C57C4A"/>
    <w:rsid w:val="00C60595"/>
    <w:rsid w:val="00C61315"/>
    <w:rsid w:val="00C6134B"/>
    <w:rsid w:val="00C61BD2"/>
    <w:rsid w:val="00C621E2"/>
    <w:rsid w:val="00C62E4D"/>
    <w:rsid w:val="00C638C7"/>
    <w:rsid w:val="00C64A79"/>
    <w:rsid w:val="00C6599D"/>
    <w:rsid w:val="00C660A6"/>
    <w:rsid w:val="00C6714C"/>
    <w:rsid w:val="00C71203"/>
    <w:rsid w:val="00C72B11"/>
    <w:rsid w:val="00C75427"/>
    <w:rsid w:val="00C8040C"/>
    <w:rsid w:val="00C80F02"/>
    <w:rsid w:val="00C8163A"/>
    <w:rsid w:val="00C81A47"/>
    <w:rsid w:val="00C81F38"/>
    <w:rsid w:val="00C853A0"/>
    <w:rsid w:val="00C855B1"/>
    <w:rsid w:val="00C8687F"/>
    <w:rsid w:val="00C87167"/>
    <w:rsid w:val="00C91B16"/>
    <w:rsid w:val="00C92878"/>
    <w:rsid w:val="00C932EA"/>
    <w:rsid w:val="00C9343C"/>
    <w:rsid w:val="00C9530F"/>
    <w:rsid w:val="00C9571F"/>
    <w:rsid w:val="00C96EA4"/>
    <w:rsid w:val="00CA10C2"/>
    <w:rsid w:val="00CA1B50"/>
    <w:rsid w:val="00CA3A57"/>
    <w:rsid w:val="00CA3C5C"/>
    <w:rsid w:val="00CA64CF"/>
    <w:rsid w:val="00CA69FD"/>
    <w:rsid w:val="00CA6C02"/>
    <w:rsid w:val="00CA7473"/>
    <w:rsid w:val="00CA7686"/>
    <w:rsid w:val="00CA7B42"/>
    <w:rsid w:val="00CA7CCD"/>
    <w:rsid w:val="00CB0F4E"/>
    <w:rsid w:val="00CB1072"/>
    <w:rsid w:val="00CB1278"/>
    <w:rsid w:val="00CB1A57"/>
    <w:rsid w:val="00CB1B76"/>
    <w:rsid w:val="00CB3CA4"/>
    <w:rsid w:val="00CB3DD2"/>
    <w:rsid w:val="00CB4156"/>
    <w:rsid w:val="00CB5154"/>
    <w:rsid w:val="00CB624E"/>
    <w:rsid w:val="00CC0AD4"/>
    <w:rsid w:val="00CC2901"/>
    <w:rsid w:val="00CC2AB8"/>
    <w:rsid w:val="00CC2E23"/>
    <w:rsid w:val="00CC4094"/>
    <w:rsid w:val="00CC7967"/>
    <w:rsid w:val="00CD0FE6"/>
    <w:rsid w:val="00CD2E5A"/>
    <w:rsid w:val="00CD3313"/>
    <w:rsid w:val="00CD3E30"/>
    <w:rsid w:val="00CD3FE0"/>
    <w:rsid w:val="00CD46E9"/>
    <w:rsid w:val="00CD5C22"/>
    <w:rsid w:val="00CD72AC"/>
    <w:rsid w:val="00CD76C1"/>
    <w:rsid w:val="00CD7CDB"/>
    <w:rsid w:val="00CE0568"/>
    <w:rsid w:val="00CE0860"/>
    <w:rsid w:val="00CE705D"/>
    <w:rsid w:val="00CE7B61"/>
    <w:rsid w:val="00CE7D08"/>
    <w:rsid w:val="00CF0BF3"/>
    <w:rsid w:val="00CF31E1"/>
    <w:rsid w:val="00CF520E"/>
    <w:rsid w:val="00CF5458"/>
    <w:rsid w:val="00CF69E5"/>
    <w:rsid w:val="00CF733B"/>
    <w:rsid w:val="00CF7660"/>
    <w:rsid w:val="00CF7AE6"/>
    <w:rsid w:val="00D03CB9"/>
    <w:rsid w:val="00D0442D"/>
    <w:rsid w:val="00D04B96"/>
    <w:rsid w:val="00D04F5C"/>
    <w:rsid w:val="00D0771C"/>
    <w:rsid w:val="00D102A6"/>
    <w:rsid w:val="00D11A67"/>
    <w:rsid w:val="00D13273"/>
    <w:rsid w:val="00D13D07"/>
    <w:rsid w:val="00D14542"/>
    <w:rsid w:val="00D156A8"/>
    <w:rsid w:val="00D156DB"/>
    <w:rsid w:val="00D160C6"/>
    <w:rsid w:val="00D17AA2"/>
    <w:rsid w:val="00D17AC5"/>
    <w:rsid w:val="00D2244B"/>
    <w:rsid w:val="00D258A5"/>
    <w:rsid w:val="00D27E8F"/>
    <w:rsid w:val="00D31423"/>
    <w:rsid w:val="00D318A6"/>
    <w:rsid w:val="00D32EBE"/>
    <w:rsid w:val="00D3337F"/>
    <w:rsid w:val="00D34A37"/>
    <w:rsid w:val="00D36159"/>
    <w:rsid w:val="00D37750"/>
    <w:rsid w:val="00D41E50"/>
    <w:rsid w:val="00D448D7"/>
    <w:rsid w:val="00D44CC2"/>
    <w:rsid w:val="00D45AE7"/>
    <w:rsid w:val="00D50322"/>
    <w:rsid w:val="00D513CD"/>
    <w:rsid w:val="00D52269"/>
    <w:rsid w:val="00D5232A"/>
    <w:rsid w:val="00D53479"/>
    <w:rsid w:val="00D5348F"/>
    <w:rsid w:val="00D54039"/>
    <w:rsid w:val="00D54917"/>
    <w:rsid w:val="00D54CDC"/>
    <w:rsid w:val="00D552F1"/>
    <w:rsid w:val="00D55B7E"/>
    <w:rsid w:val="00D57A42"/>
    <w:rsid w:val="00D6026A"/>
    <w:rsid w:val="00D60385"/>
    <w:rsid w:val="00D60F6B"/>
    <w:rsid w:val="00D61959"/>
    <w:rsid w:val="00D62E65"/>
    <w:rsid w:val="00D63B28"/>
    <w:rsid w:val="00D656C0"/>
    <w:rsid w:val="00D6605C"/>
    <w:rsid w:val="00D70F55"/>
    <w:rsid w:val="00D71E2C"/>
    <w:rsid w:val="00D72D11"/>
    <w:rsid w:val="00D73537"/>
    <w:rsid w:val="00D73940"/>
    <w:rsid w:val="00D7437A"/>
    <w:rsid w:val="00D74517"/>
    <w:rsid w:val="00D75587"/>
    <w:rsid w:val="00D76111"/>
    <w:rsid w:val="00D76577"/>
    <w:rsid w:val="00D77047"/>
    <w:rsid w:val="00D7718F"/>
    <w:rsid w:val="00D81621"/>
    <w:rsid w:val="00D81AFF"/>
    <w:rsid w:val="00D82668"/>
    <w:rsid w:val="00D826FF"/>
    <w:rsid w:val="00D827BF"/>
    <w:rsid w:val="00D829FA"/>
    <w:rsid w:val="00D82E4A"/>
    <w:rsid w:val="00D830DE"/>
    <w:rsid w:val="00D83438"/>
    <w:rsid w:val="00D839D1"/>
    <w:rsid w:val="00D839FC"/>
    <w:rsid w:val="00D841DC"/>
    <w:rsid w:val="00D85364"/>
    <w:rsid w:val="00D85743"/>
    <w:rsid w:val="00D90C2D"/>
    <w:rsid w:val="00D90F54"/>
    <w:rsid w:val="00D91517"/>
    <w:rsid w:val="00D9191A"/>
    <w:rsid w:val="00D91B84"/>
    <w:rsid w:val="00D91C40"/>
    <w:rsid w:val="00D92304"/>
    <w:rsid w:val="00D92753"/>
    <w:rsid w:val="00D92935"/>
    <w:rsid w:val="00D92C60"/>
    <w:rsid w:val="00D93EED"/>
    <w:rsid w:val="00D940F1"/>
    <w:rsid w:val="00D956AE"/>
    <w:rsid w:val="00D962A0"/>
    <w:rsid w:val="00D97673"/>
    <w:rsid w:val="00D979BA"/>
    <w:rsid w:val="00DA05AB"/>
    <w:rsid w:val="00DA05B9"/>
    <w:rsid w:val="00DA19A9"/>
    <w:rsid w:val="00DA22A2"/>
    <w:rsid w:val="00DA22DA"/>
    <w:rsid w:val="00DA473A"/>
    <w:rsid w:val="00DA4CD2"/>
    <w:rsid w:val="00DA4F9C"/>
    <w:rsid w:val="00DB02C9"/>
    <w:rsid w:val="00DB2E72"/>
    <w:rsid w:val="00DB35B6"/>
    <w:rsid w:val="00DB3AB4"/>
    <w:rsid w:val="00DB4242"/>
    <w:rsid w:val="00DB45D8"/>
    <w:rsid w:val="00DB52CC"/>
    <w:rsid w:val="00DB5E05"/>
    <w:rsid w:val="00DB7698"/>
    <w:rsid w:val="00DB7B52"/>
    <w:rsid w:val="00DC1174"/>
    <w:rsid w:val="00DC2158"/>
    <w:rsid w:val="00DC25F7"/>
    <w:rsid w:val="00DC2C1E"/>
    <w:rsid w:val="00DC35F5"/>
    <w:rsid w:val="00DC4546"/>
    <w:rsid w:val="00DC4A1C"/>
    <w:rsid w:val="00DC6AE1"/>
    <w:rsid w:val="00DD00E8"/>
    <w:rsid w:val="00DD0F49"/>
    <w:rsid w:val="00DD1326"/>
    <w:rsid w:val="00DD1680"/>
    <w:rsid w:val="00DD1B92"/>
    <w:rsid w:val="00DD1D71"/>
    <w:rsid w:val="00DD2052"/>
    <w:rsid w:val="00DD22D2"/>
    <w:rsid w:val="00DD26C2"/>
    <w:rsid w:val="00DD4404"/>
    <w:rsid w:val="00DD444C"/>
    <w:rsid w:val="00DD6A85"/>
    <w:rsid w:val="00DD6F67"/>
    <w:rsid w:val="00DD771F"/>
    <w:rsid w:val="00DD7995"/>
    <w:rsid w:val="00DE0DC6"/>
    <w:rsid w:val="00DE0F9D"/>
    <w:rsid w:val="00DE140F"/>
    <w:rsid w:val="00DE3213"/>
    <w:rsid w:val="00DE4390"/>
    <w:rsid w:val="00DE6948"/>
    <w:rsid w:val="00DF051C"/>
    <w:rsid w:val="00DF0B29"/>
    <w:rsid w:val="00DF3DD3"/>
    <w:rsid w:val="00DF5019"/>
    <w:rsid w:val="00DF516D"/>
    <w:rsid w:val="00E0074D"/>
    <w:rsid w:val="00E0105B"/>
    <w:rsid w:val="00E03AAA"/>
    <w:rsid w:val="00E04CA3"/>
    <w:rsid w:val="00E05104"/>
    <w:rsid w:val="00E05239"/>
    <w:rsid w:val="00E0600F"/>
    <w:rsid w:val="00E062F1"/>
    <w:rsid w:val="00E06A87"/>
    <w:rsid w:val="00E06C27"/>
    <w:rsid w:val="00E070FA"/>
    <w:rsid w:val="00E10FBD"/>
    <w:rsid w:val="00E11013"/>
    <w:rsid w:val="00E119BC"/>
    <w:rsid w:val="00E12159"/>
    <w:rsid w:val="00E12500"/>
    <w:rsid w:val="00E15AF0"/>
    <w:rsid w:val="00E16322"/>
    <w:rsid w:val="00E20384"/>
    <w:rsid w:val="00E20C4F"/>
    <w:rsid w:val="00E21758"/>
    <w:rsid w:val="00E21822"/>
    <w:rsid w:val="00E27C32"/>
    <w:rsid w:val="00E312BF"/>
    <w:rsid w:val="00E32776"/>
    <w:rsid w:val="00E336E3"/>
    <w:rsid w:val="00E3600E"/>
    <w:rsid w:val="00E36697"/>
    <w:rsid w:val="00E37EE4"/>
    <w:rsid w:val="00E40B8E"/>
    <w:rsid w:val="00E413E9"/>
    <w:rsid w:val="00E430A9"/>
    <w:rsid w:val="00E47FF4"/>
    <w:rsid w:val="00E508ED"/>
    <w:rsid w:val="00E50E5C"/>
    <w:rsid w:val="00E5312D"/>
    <w:rsid w:val="00E536C2"/>
    <w:rsid w:val="00E56119"/>
    <w:rsid w:val="00E56297"/>
    <w:rsid w:val="00E56484"/>
    <w:rsid w:val="00E57A32"/>
    <w:rsid w:val="00E57A52"/>
    <w:rsid w:val="00E60871"/>
    <w:rsid w:val="00E620FC"/>
    <w:rsid w:val="00E6267E"/>
    <w:rsid w:val="00E64F00"/>
    <w:rsid w:val="00E65ED6"/>
    <w:rsid w:val="00E71157"/>
    <w:rsid w:val="00E71F9F"/>
    <w:rsid w:val="00E72253"/>
    <w:rsid w:val="00E7256A"/>
    <w:rsid w:val="00E725F1"/>
    <w:rsid w:val="00E73994"/>
    <w:rsid w:val="00E766F6"/>
    <w:rsid w:val="00E80EAC"/>
    <w:rsid w:val="00E81952"/>
    <w:rsid w:val="00E860A7"/>
    <w:rsid w:val="00E864A2"/>
    <w:rsid w:val="00E86E93"/>
    <w:rsid w:val="00E942D6"/>
    <w:rsid w:val="00E95920"/>
    <w:rsid w:val="00E95A97"/>
    <w:rsid w:val="00E962EC"/>
    <w:rsid w:val="00E967AE"/>
    <w:rsid w:val="00E96959"/>
    <w:rsid w:val="00E97803"/>
    <w:rsid w:val="00E97C04"/>
    <w:rsid w:val="00EA0A95"/>
    <w:rsid w:val="00EA1D11"/>
    <w:rsid w:val="00EA3F24"/>
    <w:rsid w:val="00EA5400"/>
    <w:rsid w:val="00EA5790"/>
    <w:rsid w:val="00EA5FF5"/>
    <w:rsid w:val="00EB0758"/>
    <w:rsid w:val="00EB0A33"/>
    <w:rsid w:val="00EB1470"/>
    <w:rsid w:val="00EB1A12"/>
    <w:rsid w:val="00EB21D7"/>
    <w:rsid w:val="00EB222B"/>
    <w:rsid w:val="00EB391F"/>
    <w:rsid w:val="00EB4756"/>
    <w:rsid w:val="00EB4A2B"/>
    <w:rsid w:val="00EC0E31"/>
    <w:rsid w:val="00EC2657"/>
    <w:rsid w:val="00EC4CC2"/>
    <w:rsid w:val="00EC4CE8"/>
    <w:rsid w:val="00EC4D54"/>
    <w:rsid w:val="00EC5489"/>
    <w:rsid w:val="00EC791A"/>
    <w:rsid w:val="00EC79B6"/>
    <w:rsid w:val="00ED1D17"/>
    <w:rsid w:val="00ED416B"/>
    <w:rsid w:val="00ED4296"/>
    <w:rsid w:val="00ED432A"/>
    <w:rsid w:val="00ED47C0"/>
    <w:rsid w:val="00ED4DBB"/>
    <w:rsid w:val="00ED5D7F"/>
    <w:rsid w:val="00ED6336"/>
    <w:rsid w:val="00ED68AD"/>
    <w:rsid w:val="00EE129B"/>
    <w:rsid w:val="00EE43D4"/>
    <w:rsid w:val="00EE4A69"/>
    <w:rsid w:val="00EE4D16"/>
    <w:rsid w:val="00EE6AC8"/>
    <w:rsid w:val="00EE7DE5"/>
    <w:rsid w:val="00EF09E8"/>
    <w:rsid w:val="00EF19C1"/>
    <w:rsid w:val="00EF1C48"/>
    <w:rsid w:val="00EF48DC"/>
    <w:rsid w:val="00EF5BCE"/>
    <w:rsid w:val="00EF638D"/>
    <w:rsid w:val="00EF63B2"/>
    <w:rsid w:val="00EF6C7B"/>
    <w:rsid w:val="00F00220"/>
    <w:rsid w:val="00F00CFC"/>
    <w:rsid w:val="00F017ED"/>
    <w:rsid w:val="00F02074"/>
    <w:rsid w:val="00F05132"/>
    <w:rsid w:val="00F064DC"/>
    <w:rsid w:val="00F06F92"/>
    <w:rsid w:val="00F07C59"/>
    <w:rsid w:val="00F10932"/>
    <w:rsid w:val="00F10A8D"/>
    <w:rsid w:val="00F111AD"/>
    <w:rsid w:val="00F13A89"/>
    <w:rsid w:val="00F14CF9"/>
    <w:rsid w:val="00F21146"/>
    <w:rsid w:val="00F22636"/>
    <w:rsid w:val="00F26341"/>
    <w:rsid w:val="00F26435"/>
    <w:rsid w:val="00F2714B"/>
    <w:rsid w:val="00F30FE2"/>
    <w:rsid w:val="00F3288A"/>
    <w:rsid w:val="00F32A53"/>
    <w:rsid w:val="00F33063"/>
    <w:rsid w:val="00F331C2"/>
    <w:rsid w:val="00F33B2A"/>
    <w:rsid w:val="00F33BC5"/>
    <w:rsid w:val="00F33C08"/>
    <w:rsid w:val="00F345F8"/>
    <w:rsid w:val="00F34B8C"/>
    <w:rsid w:val="00F4210C"/>
    <w:rsid w:val="00F4427D"/>
    <w:rsid w:val="00F47C0A"/>
    <w:rsid w:val="00F501FD"/>
    <w:rsid w:val="00F50204"/>
    <w:rsid w:val="00F50F1E"/>
    <w:rsid w:val="00F5214E"/>
    <w:rsid w:val="00F5217D"/>
    <w:rsid w:val="00F54BEB"/>
    <w:rsid w:val="00F56FBD"/>
    <w:rsid w:val="00F6032C"/>
    <w:rsid w:val="00F64F73"/>
    <w:rsid w:val="00F65FFB"/>
    <w:rsid w:val="00F66B7C"/>
    <w:rsid w:val="00F676CF"/>
    <w:rsid w:val="00F700D5"/>
    <w:rsid w:val="00F706C9"/>
    <w:rsid w:val="00F71693"/>
    <w:rsid w:val="00F77C7C"/>
    <w:rsid w:val="00F81518"/>
    <w:rsid w:val="00F816D2"/>
    <w:rsid w:val="00F82502"/>
    <w:rsid w:val="00F83ADF"/>
    <w:rsid w:val="00F844FD"/>
    <w:rsid w:val="00F9108A"/>
    <w:rsid w:val="00F91128"/>
    <w:rsid w:val="00F94297"/>
    <w:rsid w:val="00F9478D"/>
    <w:rsid w:val="00F953A7"/>
    <w:rsid w:val="00F95D03"/>
    <w:rsid w:val="00FA0422"/>
    <w:rsid w:val="00FA1C30"/>
    <w:rsid w:val="00FA1F7F"/>
    <w:rsid w:val="00FA4F66"/>
    <w:rsid w:val="00FB1E24"/>
    <w:rsid w:val="00FB2F75"/>
    <w:rsid w:val="00FB389C"/>
    <w:rsid w:val="00FB4B6E"/>
    <w:rsid w:val="00FB5964"/>
    <w:rsid w:val="00FB649E"/>
    <w:rsid w:val="00FB76A9"/>
    <w:rsid w:val="00FC0B9D"/>
    <w:rsid w:val="00FC2472"/>
    <w:rsid w:val="00FC36BE"/>
    <w:rsid w:val="00FC3B11"/>
    <w:rsid w:val="00FC405C"/>
    <w:rsid w:val="00FC47C6"/>
    <w:rsid w:val="00FC5EEE"/>
    <w:rsid w:val="00FC632C"/>
    <w:rsid w:val="00FD033B"/>
    <w:rsid w:val="00FD0FE1"/>
    <w:rsid w:val="00FD131E"/>
    <w:rsid w:val="00FD2852"/>
    <w:rsid w:val="00FD6547"/>
    <w:rsid w:val="00FD6E57"/>
    <w:rsid w:val="00FE072D"/>
    <w:rsid w:val="00FE09D6"/>
    <w:rsid w:val="00FE210D"/>
    <w:rsid w:val="00FE2AB4"/>
    <w:rsid w:val="00FE48D1"/>
    <w:rsid w:val="00FE5893"/>
    <w:rsid w:val="00FE5AF3"/>
    <w:rsid w:val="00FE5BCB"/>
    <w:rsid w:val="00FF1A1C"/>
    <w:rsid w:val="00FF265D"/>
    <w:rsid w:val="00FF31E5"/>
    <w:rsid w:val="00FF65FD"/>
    <w:rsid w:val="00FF68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086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uiPriority="99"/>
    <w:lsdException w:name="index 2" w:uiPriority="99"/>
    <w:lsdException w:name="toc 1" w:uiPriority="39" w:qFormat="1"/>
    <w:lsdException w:name="toc 2" w:uiPriority="39" w:qFormat="1"/>
    <w:lsdException w:name="toc 3" w:uiPriority="39" w:qFormat="1"/>
    <w:lsdException w:name="Normal Indent" w:semiHidden="1"/>
    <w:lsdException w:name="index heading" w:uiPriority="99"/>
    <w:lsdException w:name="caption" w:semiHidden="1" w:unhideWhenUsed="1" w:qFormat="1"/>
    <w:lsdException w:name="envelope address" w:semiHidden="1"/>
    <w:lsdException w:name="envelope return" w:semiHidden="1"/>
    <w:lsdException w:name="line number"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Default Paragraph Font" w:uiPriority="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Hyperlink" w:uiPriority="99"/>
    <w:lsdException w:name="FollowedHyperlink" w:uiPriority="99"/>
    <w:lsdException w:name="Strong" w:qFormat="1"/>
    <w:lsdException w:name="Emphasis" w:qFormat="1"/>
    <w:lsdException w:name="Document Map"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92C"/>
    <w:pPr>
      <w:spacing w:after="240" w:line="260" w:lineRule="exact"/>
      <w:jc w:val="both"/>
    </w:pPr>
    <w:rPr>
      <w:rFonts w:ascii="Book Antiqua" w:hAnsi="Book Antiqua"/>
      <w:color w:val="000000" w:themeColor="text1"/>
    </w:rPr>
  </w:style>
  <w:style w:type="paragraph" w:styleId="Heading1">
    <w:name w:val="heading 1"/>
    <w:basedOn w:val="HeadingBase"/>
    <w:next w:val="Normal"/>
    <w:link w:val="Heading1Char"/>
    <w:qFormat/>
    <w:rsid w:val="00E32776"/>
    <w:pPr>
      <w:pageBreakBefore/>
      <w:numPr>
        <w:numId w:val="4"/>
      </w:numPr>
      <w:spacing w:after="600"/>
      <w:jc w:val="center"/>
      <w:outlineLvl w:val="0"/>
    </w:pPr>
    <w:rPr>
      <w:b/>
      <w:smallCaps/>
      <w:kern w:val="28"/>
      <w:sz w:val="34"/>
    </w:rPr>
  </w:style>
  <w:style w:type="paragraph" w:styleId="Heading2">
    <w:name w:val="heading 2"/>
    <w:basedOn w:val="HeadingBase"/>
    <w:next w:val="Normal"/>
    <w:link w:val="Heading2Char"/>
    <w:qFormat/>
    <w:rsid w:val="00CA7CCD"/>
    <w:pPr>
      <w:numPr>
        <w:ilvl w:val="1"/>
        <w:numId w:val="4"/>
      </w:numPr>
      <w:spacing w:before="300" w:after="240"/>
      <w:ind w:left="851" w:hanging="851"/>
      <w:outlineLvl w:val="1"/>
    </w:pPr>
    <w:rPr>
      <w:b/>
      <w:color w:val="000000"/>
      <w:sz w:val="30"/>
    </w:rPr>
  </w:style>
  <w:style w:type="paragraph" w:styleId="Heading3">
    <w:name w:val="heading 3"/>
    <w:basedOn w:val="HeadingBase"/>
    <w:next w:val="Normal"/>
    <w:link w:val="Heading3Char"/>
    <w:qFormat/>
    <w:rsid w:val="00B13980"/>
    <w:pPr>
      <w:spacing w:before="240" w:after="240"/>
      <w:outlineLvl w:val="2"/>
    </w:pPr>
    <w:rPr>
      <w:b/>
      <w:smallCaps/>
      <w:color w:val="000000"/>
      <w:sz w:val="25"/>
    </w:rPr>
  </w:style>
  <w:style w:type="paragraph" w:styleId="Heading4">
    <w:name w:val="heading 4"/>
    <w:basedOn w:val="HeadingBase"/>
    <w:next w:val="Normal"/>
    <w:link w:val="Heading4Char"/>
    <w:qFormat/>
    <w:rsid w:val="002113A9"/>
    <w:pPr>
      <w:spacing w:before="120" w:after="120"/>
      <w:outlineLvl w:val="3"/>
    </w:pPr>
    <w:rPr>
      <w:b/>
      <w:color w:val="000000"/>
      <w:sz w:val="20"/>
    </w:rPr>
  </w:style>
  <w:style w:type="paragraph" w:styleId="Heading5">
    <w:name w:val="heading 5"/>
    <w:basedOn w:val="HeadingBase"/>
    <w:next w:val="Normal"/>
    <w:link w:val="Heading5Char"/>
    <w:qFormat/>
    <w:rsid w:val="00FB5964"/>
    <w:pPr>
      <w:spacing w:before="240" w:after="120"/>
      <w:outlineLvl w:val="4"/>
    </w:pPr>
    <w:rPr>
      <w:i/>
      <w:color w:val="000000"/>
      <w:sz w:val="20"/>
    </w:rPr>
  </w:style>
  <w:style w:type="paragraph" w:styleId="Heading6">
    <w:name w:val="heading 6"/>
    <w:basedOn w:val="HeadingBase"/>
    <w:next w:val="Normal"/>
    <w:link w:val="Heading6Char"/>
    <w:qFormat/>
    <w:rsid w:val="00FB5964"/>
    <w:pPr>
      <w:spacing w:after="120"/>
      <w:outlineLvl w:val="5"/>
    </w:pPr>
    <w:rPr>
      <w:color w:val="000000"/>
      <w:sz w:val="20"/>
    </w:rPr>
  </w:style>
  <w:style w:type="paragraph" w:styleId="Heading7">
    <w:name w:val="heading 7"/>
    <w:basedOn w:val="HeadingBase"/>
    <w:next w:val="Normal"/>
    <w:link w:val="Heading7Char"/>
    <w:qFormat/>
    <w:rsid w:val="00FB5964"/>
    <w:pPr>
      <w:spacing w:after="100"/>
      <w:outlineLvl w:val="6"/>
    </w:pPr>
    <w:rPr>
      <w:color w:val="000000"/>
      <w:sz w:val="18"/>
    </w:rPr>
  </w:style>
  <w:style w:type="paragraph" w:styleId="Heading8">
    <w:name w:val="heading 8"/>
    <w:basedOn w:val="Normal"/>
    <w:next w:val="Normal"/>
    <w:link w:val="Heading8Char"/>
    <w:qFormat/>
    <w:rsid w:val="00FB5964"/>
    <w:pPr>
      <w:spacing w:before="240" w:after="60"/>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FB5964"/>
    <w:pPr>
      <w:keepNext/>
    </w:pPr>
    <w:rPr>
      <w:rFonts w:ascii="Arial" w:hAnsi="Arial"/>
      <w:sz w:val="24"/>
    </w:rPr>
  </w:style>
  <w:style w:type="paragraph" w:customStyle="1" w:styleId="BoxHeading">
    <w:name w:val="Box Heading"/>
    <w:basedOn w:val="HeadingBase"/>
    <w:next w:val="Normal"/>
    <w:rsid w:val="00FB5964"/>
    <w:pPr>
      <w:spacing w:before="240" w:after="240"/>
      <w:jc w:val="center"/>
    </w:pPr>
    <w:rPr>
      <w:rFonts w:ascii="Helvetica" w:hAnsi="Helvetica"/>
      <w:b/>
      <w:sz w:val="20"/>
    </w:rPr>
  </w:style>
  <w:style w:type="paragraph" w:customStyle="1" w:styleId="HeaderBase">
    <w:name w:val="Header Base"/>
    <w:rsid w:val="00FB5964"/>
    <w:rPr>
      <w:rFonts w:ascii="Book Antiqua" w:hAnsi="Book Antiqua"/>
      <w:i/>
    </w:rPr>
  </w:style>
  <w:style w:type="paragraph" w:customStyle="1" w:styleId="FooterBase">
    <w:name w:val="Footer Base"/>
    <w:rsid w:val="00FB5964"/>
    <w:rPr>
      <w:rFonts w:ascii="Arial" w:hAnsi="Arial"/>
    </w:rPr>
  </w:style>
  <w:style w:type="paragraph" w:customStyle="1" w:styleId="BoxText">
    <w:name w:val="Box Text"/>
    <w:basedOn w:val="Normal"/>
    <w:rsid w:val="009057E9"/>
    <w:pPr>
      <w:keepNext/>
    </w:pPr>
    <w:rPr>
      <w:rFonts w:ascii="Arial" w:hAnsi="Arial"/>
      <w:lang w:eastAsia="en-US"/>
    </w:rPr>
  </w:style>
  <w:style w:type="paragraph" w:customStyle="1" w:styleId="Classification">
    <w:name w:val="Classification"/>
    <w:basedOn w:val="HeadingBase"/>
    <w:rsid w:val="00FB5964"/>
    <w:pPr>
      <w:jc w:val="center"/>
    </w:pPr>
    <w:rPr>
      <w:b/>
      <w:smallCaps/>
      <w:color w:val="000000"/>
    </w:rPr>
  </w:style>
  <w:style w:type="paragraph" w:customStyle="1" w:styleId="ContentsHeading">
    <w:name w:val="Contents Heading"/>
    <w:basedOn w:val="HeadingBase"/>
    <w:next w:val="Normal"/>
    <w:rsid w:val="00FB5964"/>
    <w:pPr>
      <w:spacing w:after="360"/>
      <w:jc w:val="center"/>
    </w:pPr>
    <w:rPr>
      <w:b/>
      <w:smallCaps/>
      <w:sz w:val="34"/>
      <w:lang w:val="en-US"/>
    </w:rPr>
  </w:style>
  <w:style w:type="paragraph" w:customStyle="1" w:styleId="ContentsSecondHeading">
    <w:name w:val="Contents Second Heading"/>
    <w:basedOn w:val="HeadingBase"/>
    <w:next w:val="Normal"/>
    <w:rsid w:val="00FB5964"/>
    <w:pPr>
      <w:spacing w:after="360"/>
      <w:jc w:val="center"/>
    </w:pPr>
    <w:rPr>
      <w:color w:val="000000"/>
      <w:sz w:val="30"/>
    </w:rPr>
  </w:style>
  <w:style w:type="paragraph" w:styleId="Footer">
    <w:name w:val="footer"/>
    <w:basedOn w:val="FooterBase"/>
    <w:link w:val="FooterChar"/>
    <w:rsid w:val="00FB5964"/>
    <w:pPr>
      <w:jc w:val="center"/>
    </w:pPr>
    <w:rPr>
      <w:color w:val="000000"/>
    </w:rPr>
  </w:style>
  <w:style w:type="character" w:styleId="FootnoteReference">
    <w:name w:val="footnote reference"/>
    <w:basedOn w:val="DefaultParagraphFont"/>
    <w:semiHidden/>
    <w:rsid w:val="00FB5964"/>
    <w:rPr>
      <w:rFonts w:ascii="Book Antiqua" w:hAnsi="Book Antiqua"/>
      <w:noProof w:val="0"/>
      <w:sz w:val="20"/>
      <w:vertAlign w:val="superscript"/>
      <w:lang w:val="en-AU"/>
    </w:rPr>
  </w:style>
  <w:style w:type="paragraph" w:styleId="FootnoteText">
    <w:name w:val="footnote text"/>
    <w:basedOn w:val="Normal"/>
    <w:link w:val="FootnoteTextChar"/>
    <w:semiHidden/>
    <w:rsid w:val="00FB5964"/>
    <w:pPr>
      <w:tabs>
        <w:tab w:val="left" w:pos="283"/>
      </w:tabs>
      <w:spacing w:after="0" w:line="240" w:lineRule="auto"/>
      <w:ind w:left="284" w:hanging="284"/>
    </w:pPr>
    <w:rPr>
      <w:color w:val="000000"/>
      <w:sz w:val="18"/>
    </w:rPr>
  </w:style>
  <w:style w:type="paragraph" w:styleId="Header">
    <w:name w:val="header"/>
    <w:basedOn w:val="HeaderBase"/>
    <w:link w:val="HeaderChar"/>
    <w:rsid w:val="00FB5964"/>
  </w:style>
  <w:style w:type="paragraph" w:styleId="Index1">
    <w:name w:val="index 1"/>
    <w:basedOn w:val="Normal"/>
    <w:next w:val="Normal"/>
    <w:uiPriority w:val="99"/>
    <w:rsid w:val="0086551A"/>
    <w:pPr>
      <w:tabs>
        <w:tab w:val="right" w:leader="dot" w:pos="3485"/>
      </w:tabs>
      <w:spacing w:after="120"/>
      <w:ind w:left="198" w:hanging="198"/>
      <w:jc w:val="left"/>
    </w:pPr>
    <w:rPr>
      <w:color w:val="000000"/>
      <w:sz w:val="18"/>
    </w:rPr>
  </w:style>
  <w:style w:type="paragraph" w:styleId="Index2">
    <w:name w:val="index 2"/>
    <w:basedOn w:val="Normal"/>
    <w:next w:val="Normal"/>
    <w:uiPriority w:val="99"/>
    <w:semiHidden/>
    <w:rsid w:val="00491632"/>
    <w:pPr>
      <w:tabs>
        <w:tab w:val="right" w:leader="dot" w:pos="3485"/>
      </w:tabs>
      <w:spacing w:after="120"/>
      <w:ind w:left="396" w:hanging="198"/>
    </w:pPr>
    <w:rPr>
      <w:color w:val="000000"/>
      <w:sz w:val="18"/>
    </w:rPr>
  </w:style>
  <w:style w:type="paragraph" w:styleId="Index3">
    <w:name w:val="index 3"/>
    <w:basedOn w:val="Normal"/>
    <w:next w:val="Normal"/>
    <w:autoRedefine/>
    <w:semiHidden/>
    <w:rsid w:val="00FB5964"/>
    <w:pPr>
      <w:ind w:left="601" w:hanging="198"/>
    </w:pPr>
    <w:rPr>
      <w:color w:val="000000"/>
      <w:sz w:val="18"/>
    </w:rPr>
  </w:style>
  <w:style w:type="paragraph" w:styleId="IndexHeading">
    <w:name w:val="index heading"/>
    <w:basedOn w:val="Normal"/>
    <w:next w:val="Index1"/>
    <w:uiPriority w:val="99"/>
    <w:semiHidden/>
    <w:unhideWhenUsed/>
    <w:rsid w:val="00FB5964"/>
    <w:pPr>
      <w:spacing w:before="240" w:after="120"/>
      <w:jc w:val="left"/>
    </w:pPr>
    <w:rPr>
      <w:rFonts w:ascii="Times New Roman" w:hAnsi="Times New Roman"/>
      <w:b/>
      <w:bCs/>
      <w:sz w:val="26"/>
      <w:szCs w:val="26"/>
    </w:rPr>
  </w:style>
  <w:style w:type="character" w:styleId="PageNumber">
    <w:name w:val="page number"/>
    <w:rsid w:val="00FB5964"/>
  </w:style>
  <w:style w:type="paragraph" w:customStyle="1" w:styleId="TableHeading">
    <w:name w:val="Table Heading"/>
    <w:basedOn w:val="HeadingBase"/>
    <w:next w:val="TableGraphic"/>
    <w:rsid w:val="00FB5964"/>
    <w:pPr>
      <w:spacing w:before="120" w:after="20"/>
    </w:pPr>
    <w:rPr>
      <w:b/>
      <w:color w:val="000000"/>
      <w:sz w:val="20"/>
    </w:rPr>
  </w:style>
  <w:style w:type="paragraph" w:customStyle="1" w:styleId="TableGraphic">
    <w:name w:val="Table Graphic"/>
    <w:basedOn w:val="TableHeading"/>
    <w:next w:val="Normal"/>
    <w:rsid w:val="00FB5964"/>
    <w:pPr>
      <w:keepNext w:val="0"/>
      <w:spacing w:before="0"/>
      <w:ind w:right="-113"/>
    </w:pPr>
    <w:rPr>
      <w:b w:val="0"/>
    </w:rPr>
  </w:style>
  <w:style w:type="paragraph" w:customStyle="1" w:styleId="TableHeadingcontinued">
    <w:name w:val="Table Heading continued"/>
    <w:basedOn w:val="HeadingBase"/>
    <w:next w:val="TableGraphic"/>
    <w:rsid w:val="00FB5964"/>
    <w:pPr>
      <w:spacing w:before="120" w:after="20"/>
    </w:pPr>
    <w:rPr>
      <w:b/>
      <w:color w:val="000000"/>
      <w:sz w:val="20"/>
    </w:rPr>
  </w:style>
  <w:style w:type="paragraph" w:styleId="TOC1">
    <w:name w:val="toc 1"/>
    <w:basedOn w:val="HeadingBase"/>
    <w:next w:val="Normal"/>
    <w:uiPriority w:val="39"/>
    <w:qFormat/>
    <w:rsid w:val="009F2E26"/>
    <w:pPr>
      <w:tabs>
        <w:tab w:val="right" w:leader="dot" w:pos="7699"/>
      </w:tabs>
      <w:spacing w:before="180"/>
      <w:ind w:left="1418" w:right="851" w:hanging="1418"/>
    </w:pPr>
    <w:rPr>
      <w:b/>
      <w:smallCaps/>
      <w:color w:val="000000"/>
      <w:sz w:val="22"/>
    </w:rPr>
  </w:style>
  <w:style w:type="paragraph" w:styleId="TOC2">
    <w:name w:val="toc 2"/>
    <w:basedOn w:val="HeadingBase"/>
    <w:next w:val="Normal"/>
    <w:uiPriority w:val="39"/>
    <w:qFormat/>
    <w:rsid w:val="009F2E26"/>
    <w:pPr>
      <w:tabs>
        <w:tab w:val="left" w:pos="851"/>
        <w:tab w:val="right" w:leader="dot" w:pos="7701"/>
      </w:tabs>
      <w:spacing w:before="80"/>
      <w:ind w:left="851" w:right="851" w:hanging="567"/>
    </w:pPr>
    <w:rPr>
      <w:noProof/>
      <w:color w:val="000000" w:themeColor="text1"/>
      <w:sz w:val="20"/>
    </w:rPr>
  </w:style>
  <w:style w:type="paragraph" w:styleId="TOC3">
    <w:name w:val="toc 3"/>
    <w:basedOn w:val="HeadingBase"/>
    <w:next w:val="Normal"/>
    <w:uiPriority w:val="39"/>
    <w:qFormat/>
    <w:rsid w:val="00FB5964"/>
    <w:pPr>
      <w:keepNext w:val="0"/>
      <w:tabs>
        <w:tab w:val="right" w:leader="dot" w:pos="7700"/>
      </w:tabs>
      <w:spacing w:before="240"/>
      <w:ind w:left="1134" w:right="851" w:hanging="1134"/>
    </w:pPr>
    <w:rPr>
      <w:noProof/>
      <w:sz w:val="20"/>
    </w:rPr>
  </w:style>
  <w:style w:type="paragraph" w:customStyle="1" w:styleId="HeaderOdd">
    <w:name w:val="Header Odd"/>
    <w:basedOn w:val="HeaderBase"/>
    <w:rsid w:val="00FB5964"/>
    <w:pPr>
      <w:jc w:val="right"/>
    </w:pPr>
  </w:style>
  <w:style w:type="paragraph" w:customStyle="1" w:styleId="HeaderEven">
    <w:name w:val="Header Even"/>
    <w:basedOn w:val="HeaderBase"/>
    <w:rsid w:val="00FB5964"/>
  </w:style>
  <w:style w:type="paragraph" w:customStyle="1" w:styleId="FileProperties">
    <w:name w:val="File Properties"/>
    <w:basedOn w:val="Normal"/>
    <w:rsid w:val="00FB5964"/>
    <w:rPr>
      <w:i/>
      <w:color w:val="000000"/>
    </w:rPr>
  </w:style>
  <w:style w:type="character" w:customStyle="1" w:styleId="FramedHeader">
    <w:name w:val="Framed Header"/>
    <w:basedOn w:val="DefaultParagraphFont"/>
    <w:rsid w:val="00FB5964"/>
    <w:rPr>
      <w:rFonts w:ascii="Book Antiqua" w:hAnsi="Book Antiqua"/>
      <w:i/>
      <w:dstrike w:val="0"/>
      <w:sz w:val="20"/>
      <w:szCs w:val="20"/>
      <w:vertAlign w:val="baseline"/>
    </w:rPr>
  </w:style>
  <w:style w:type="paragraph" w:styleId="TOC4">
    <w:name w:val="toc 4"/>
    <w:basedOn w:val="Normal"/>
    <w:next w:val="Normal"/>
    <w:autoRedefine/>
    <w:semiHidden/>
    <w:rsid w:val="00FB5964"/>
    <w:pPr>
      <w:tabs>
        <w:tab w:val="right" w:leader="dot" w:pos="7699"/>
      </w:tabs>
      <w:spacing w:before="40" w:after="0" w:line="240" w:lineRule="auto"/>
      <w:jc w:val="left"/>
    </w:pPr>
    <w:rPr>
      <w:rFonts w:ascii="Arial" w:hAnsi="Arial"/>
    </w:rPr>
  </w:style>
  <w:style w:type="paragraph" w:customStyle="1" w:styleId="Bullet">
    <w:name w:val="Bullet"/>
    <w:basedOn w:val="Normal"/>
    <w:link w:val="BulletChar"/>
    <w:rsid w:val="00FB5964"/>
    <w:pPr>
      <w:numPr>
        <w:numId w:val="1"/>
      </w:numPr>
    </w:pPr>
  </w:style>
  <w:style w:type="paragraph" w:customStyle="1" w:styleId="DoubleDot">
    <w:name w:val="Double Dot"/>
    <w:basedOn w:val="Bullet"/>
    <w:rsid w:val="00FB5964"/>
    <w:pPr>
      <w:numPr>
        <w:ilvl w:val="2"/>
        <w:numId w:val="3"/>
      </w:numPr>
    </w:pPr>
  </w:style>
  <w:style w:type="paragraph" w:customStyle="1" w:styleId="Dash">
    <w:name w:val="Dash"/>
    <w:basedOn w:val="Bullet"/>
    <w:link w:val="DashChar"/>
    <w:rsid w:val="00FB5964"/>
    <w:pPr>
      <w:numPr>
        <w:ilvl w:val="1"/>
        <w:numId w:val="3"/>
      </w:numPr>
    </w:pPr>
  </w:style>
  <w:style w:type="paragraph" w:customStyle="1" w:styleId="SingleParagraph">
    <w:name w:val="SingleParagraph"/>
    <w:basedOn w:val="Normal"/>
    <w:next w:val="Normal"/>
    <w:rsid w:val="00FB5964"/>
    <w:pPr>
      <w:keepNext/>
      <w:spacing w:after="0" w:line="240" w:lineRule="auto"/>
    </w:pPr>
    <w:rPr>
      <w:color w:val="000000"/>
    </w:rPr>
  </w:style>
  <w:style w:type="paragraph" w:customStyle="1" w:styleId="MeasureTableTextLeftAligned">
    <w:name w:val="Measure Table Text Left Aligned"/>
    <w:basedOn w:val="HeadingBase"/>
    <w:rsid w:val="00FB5964"/>
    <w:pPr>
      <w:spacing w:before="20" w:after="20"/>
    </w:pPr>
    <w:rPr>
      <w:color w:val="000000"/>
      <w:sz w:val="16"/>
    </w:rPr>
  </w:style>
  <w:style w:type="paragraph" w:customStyle="1" w:styleId="ChartandTableFootnoteAlpha">
    <w:name w:val="Chart and Table Footnote Alpha"/>
    <w:basedOn w:val="Normal"/>
    <w:next w:val="Normal"/>
    <w:rsid w:val="00FB5964"/>
    <w:pPr>
      <w:numPr>
        <w:numId w:val="5"/>
      </w:numPr>
      <w:spacing w:after="0" w:line="240" w:lineRule="auto"/>
    </w:pPr>
    <w:rPr>
      <w:rFonts w:ascii="Arial" w:hAnsi="Arial"/>
      <w:color w:val="000000"/>
      <w:sz w:val="16"/>
    </w:rPr>
  </w:style>
  <w:style w:type="paragraph" w:customStyle="1" w:styleId="MeasureTableHeading">
    <w:name w:val="Measure Table Heading"/>
    <w:basedOn w:val="HeadingBase"/>
    <w:rsid w:val="00FB5964"/>
    <w:rPr>
      <w:sz w:val="16"/>
    </w:rPr>
  </w:style>
  <w:style w:type="paragraph" w:customStyle="1" w:styleId="MeasureTableTextRightAligned">
    <w:name w:val="Measure Table Text Right Aligned"/>
    <w:basedOn w:val="HeadingBase"/>
    <w:rsid w:val="00FB5964"/>
    <w:pPr>
      <w:spacing w:before="60" w:after="60"/>
      <w:jc w:val="right"/>
    </w:pPr>
    <w:rPr>
      <w:sz w:val="16"/>
    </w:rPr>
  </w:style>
  <w:style w:type="paragraph" w:styleId="TOC5">
    <w:name w:val="toc 5"/>
    <w:basedOn w:val="Normal"/>
    <w:next w:val="Normal"/>
    <w:autoRedefine/>
    <w:semiHidden/>
    <w:rsid w:val="00FB5964"/>
    <w:pPr>
      <w:tabs>
        <w:tab w:val="right" w:leader="dot" w:pos="7700"/>
      </w:tabs>
      <w:spacing w:before="60" w:after="0" w:line="240" w:lineRule="auto"/>
      <w:ind w:left="567" w:right="851"/>
      <w:jc w:val="left"/>
    </w:pPr>
  </w:style>
  <w:style w:type="paragraph" w:styleId="TOC6">
    <w:name w:val="toc 6"/>
    <w:basedOn w:val="Normal"/>
    <w:next w:val="Normal"/>
    <w:autoRedefine/>
    <w:semiHidden/>
    <w:rsid w:val="00FB5964"/>
    <w:pPr>
      <w:ind w:left="1000"/>
    </w:pPr>
  </w:style>
  <w:style w:type="paragraph" w:styleId="TOC7">
    <w:name w:val="toc 7"/>
    <w:basedOn w:val="Normal"/>
    <w:next w:val="Normal"/>
    <w:autoRedefine/>
    <w:semiHidden/>
    <w:rsid w:val="00FB5964"/>
    <w:pPr>
      <w:ind w:left="1200"/>
    </w:pPr>
  </w:style>
  <w:style w:type="paragraph" w:styleId="TOC8">
    <w:name w:val="toc 8"/>
    <w:basedOn w:val="Normal"/>
    <w:next w:val="Normal"/>
    <w:autoRedefine/>
    <w:semiHidden/>
    <w:rsid w:val="00FB5964"/>
    <w:pPr>
      <w:ind w:left="1400"/>
    </w:pPr>
  </w:style>
  <w:style w:type="paragraph" w:styleId="TOC9">
    <w:name w:val="toc 9"/>
    <w:basedOn w:val="Normal"/>
    <w:next w:val="Normal"/>
    <w:autoRedefine/>
    <w:semiHidden/>
    <w:rsid w:val="00FB5964"/>
    <w:pPr>
      <w:ind w:left="1600"/>
    </w:pPr>
  </w:style>
  <w:style w:type="paragraph" w:styleId="Closing">
    <w:name w:val="Closing"/>
    <w:basedOn w:val="Normal"/>
    <w:link w:val="ClosingChar"/>
    <w:rsid w:val="00FB5964"/>
    <w:pPr>
      <w:ind w:left="4252"/>
    </w:pPr>
  </w:style>
  <w:style w:type="paragraph" w:customStyle="1" w:styleId="NoteTableHeading">
    <w:name w:val="Note Table Heading"/>
    <w:basedOn w:val="HeadingBase"/>
    <w:next w:val="TableGraphic"/>
    <w:rsid w:val="00FB5964"/>
    <w:pPr>
      <w:spacing w:before="480"/>
    </w:pPr>
    <w:rPr>
      <w:b/>
      <w:color w:val="000000"/>
      <w:sz w:val="20"/>
    </w:rPr>
  </w:style>
  <w:style w:type="character" w:customStyle="1" w:styleId="Italic">
    <w:name w:val="Italic"/>
    <w:basedOn w:val="DefaultParagraphFont"/>
    <w:rsid w:val="00FB5964"/>
    <w:rPr>
      <w:i/>
    </w:rPr>
  </w:style>
  <w:style w:type="paragraph" w:customStyle="1" w:styleId="Source">
    <w:name w:val="Source"/>
    <w:basedOn w:val="HeadingBase"/>
    <w:next w:val="Normal"/>
    <w:rsid w:val="00FB5964"/>
    <w:pPr>
      <w:jc w:val="both"/>
    </w:pPr>
    <w:rPr>
      <w:sz w:val="16"/>
    </w:rPr>
  </w:style>
  <w:style w:type="paragraph" w:customStyle="1" w:styleId="Exactly">
    <w:name w:val="Exactly"/>
    <w:basedOn w:val="Normal"/>
    <w:next w:val="Normal"/>
    <w:rsid w:val="00FB5964"/>
    <w:pPr>
      <w:spacing w:line="240" w:lineRule="auto"/>
    </w:pPr>
  </w:style>
  <w:style w:type="paragraph" w:customStyle="1" w:styleId="TPHeading1">
    <w:name w:val="TP Heading 1"/>
    <w:basedOn w:val="HeadingBase"/>
    <w:rsid w:val="00FB5964"/>
    <w:pPr>
      <w:spacing w:after="360"/>
      <w:jc w:val="center"/>
    </w:pPr>
    <w:rPr>
      <w:smallCaps/>
      <w:sz w:val="44"/>
    </w:rPr>
  </w:style>
  <w:style w:type="character" w:customStyle="1" w:styleId="BoxTextItalic">
    <w:name w:val="Box Text Italic"/>
    <w:basedOn w:val="DefaultParagraphFont"/>
    <w:rsid w:val="00FB5964"/>
    <w:rPr>
      <w:rFonts w:ascii="Arial" w:hAnsi="Arial"/>
      <w:i/>
      <w:sz w:val="20"/>
    </w:rPr>
  </w:style>
  <w:style w:type="character" w:customStyle="1" w:styleId="Bold">
    <w:name w:val="Bold"/>
    <w:basedOn w:val="DefaultParagraphFont"/>
    <w:rsid w:val="00FB5964"/>
    <w:rPr>
      <w:b/>
    </w:rPr>
  </w:style>
  <w:style w:type="paragraph" w:customStyle="1" w:styleId="AppendixText">
    <w:name w:val="AppendixText"/>
    <w:basedOn w:val="Normal"/>
    <w:rsid w:val="00FB5964"/>
    <w:pPr>
      <w:ind w:left="851"/>
    </w:pPr>
    <w:rPr>
      <w:color w:val="000000"/>
    </w:rPr>
  </w:style>
  <w:style w:type="paragraph" w:customStyle="1" w:styleId="Appendix3">
    <w:name w:val="Appendix 3"/>
    <w:basedOn w:val="HeadingBase"/>
    <w:next w:val="AppendixText"/>
    <w:rsid w:val="00FB5964"/>
    <w:pPr>
      <w:numPr>
        <w:ilvl w:val="2"/>
        <w:numId w:val="2"/>
      </w:numPr>
      <w:spacing w:before="240" w:after="240"/>
    </w:pPr>
    <w:rPr>
      <w:b/>
      <w:smallCaps/>
      <w:sz w:val="26"/>
      <w:szCs w:val="26"/>
    </w:rPr>
  </w:style>
  <w:style w:type="paragraph" w:customStyle="1" w:styleId="Appendix2">
    <w:name w:val="Appendix 2"/>
    <w:basedOn w:val="HeadingBase"/>
    <w:next w:val="AppendixText"/>
    <w:rsid w:val="00FB5964"/>
    <w:pPr>
      <w:numPr>
        <w:ilvl w:val="1"/>
        <w:numId w:val="2"/>
      </w:numPr>
      <w:spacing w:before="240" w:after="360"/>
      <w:outlineLvl w:val="2"/>
    </w:pPr>
    <w:rPr>
      <w:b/>
      <w:smallCaps/>
      <w:color w:val="000000"/>
      <w:sz w:val="30"/>
      <w:szCs w:val="30"/>
    </w:rPr>
  </w:style>
  <w:style w:type="paragraph" w:customStyle="1" w:styleId="Appendix1">
    <w:name w:val="Appendix 1"/>
    <w:basedOn w:val="HeadingBase"/>
    <w:next w:val="Appendix2"/>
    <w:rsid w:val="005F235F"/>
    <w:pPr>
      <w:pageBreakBefore/>
      <w:numPr>
        <w:numId w:val="2"/>
      </w:numPr>
      <w:spacing w:after="600"/>
      <w:jc w:val="center"/>
      <w:outlineLvl w:val="0"/>
    </w:pPr>
    <w:rPr>
      <w:b/>
      <w:smallCaps/>
      <w:color w:val="000000"/>
      <w:sz w:val="34"/>
      <w:szCs w:val="34"/>
    </w:rPr>
  </w:style>
  <w:style w:type="character" w:customStyle="1" w:styleId="BoldandItalic">
    <w:name w:val="Bold and Italic"/>
    <w:basedOn w:val="DefaultParagraphFont"/>
    <w:rsid w:val="00FB5964"/>
    <w:rPr>
      <w:b/>
      <w:i/>
    </w:rPr>
  </w:style>
  <w:style w:type="paragraph" w:customStyle="1" w:styleId="BoxTextBullet">
    <w:name w:val="Box Text Bullet"/>
    <w:basedOn w:val="Bullet"/>
    <w:rsid w:val="00FB5964"/>
    <w:pPr>
      <w:numPr>
        <w:numId w:val="3"/>
      </w:numPr>
    </w:pPr>
    <w:rPr>
      <w:rFonts w:ascii="Arial" w:hAnsi="Arial"/>
    </w:rPr>
  </w:style>
  <w:style w:type="paragraph" w:customStyle="1" w:styleId="MeasureTableTextItalic">
    <w:name w:val="Measure Table Text Italic"/>
    <w:basedOn w:val="Normal"/>
    <w:rsid w:val="00FB5964"/>
    <w:pPr>
      <w:keepNext/>
      <w:spacing w:before="20" w:after="20" w:line="240" w:lineRule="auto"/>
      <w:jc w:val="left"/>
    </w:pPr>
    <w:rPr>
      <w:rFonts w:ascii="Arial" w:hAnsi="Arial"/>
      <w:i/>
      <w:color w:val="000000"/>
      <w:sz w:val="16"/>
    </w:rPr>
  </w:style>
  <w:style w:type="paragraph" w:customStyle="1" w:styleId="TESHeading5">
    <w:name w:val="TES Heading 5"/>
    <w:basedOn w:val="HeadingBase"/>
    <w:next w:val="MeasureTableHeading"/>
    <w:rsid w:val="00FB5964"/>
    <w:pPr>
      <w:tabs>
        <w:tab w:val="left" w:pos="567"/>
      </w:tabs>
      <w:spacing w:before="240" w:after="120"/>
      <w:ind w:left="567" w:hanging="567"/>
    </w:pPr>
    <w:rPr>
      <w:b/>
      <w:sz w:val="20"/>
    </w:rPr>
  </w:style>
  <w:style w:type="paragraph" w:customStyle="1" w:styleId="TESHeading3">
    <w:name w:val="TES Heading 3"/>
    <w:basedOn w:val="Normal"/>
    <w:next w:val="Normal"/>
    <w:rsid w:val="00FB5964"/>
    <w:pPr>
      <w:keepNext/>
      <w:spacing w:before="240" w:line="240" w:lineRule="auto"/>
      <w:jc w:val="left"/>
      <w:outlineLvl w:val="2"/>
    </w:pPr>
    <w:rPr>
      <w:rFonts w:ascii="Arial" w:hAnsi="Arial"/>
      <w:b/>
      <w:smallCaps/>
      <w:sz w:val="26"/>
      <w:szCs w:val="26"/>
    </w:rPr>
  </w:style>
  <w:style w:type="paragraph" w:customStyle="1" w:styleId="TableTextBase">
    <w:name w:val="Table Text Base"/>
    <w:rsid w:val="00FB5964"/>
    <w:pPr>
      <w:spacing w:before="20" w:after="20"/>
    </w:pPr>
    <w:rPr>
      <w:rFonts w:ascii="Arial" w:hAnsi="Arial"/>
      <w:color w:val="000000"/>
      <w:sz w:val="16"/>
    </w:rPr>
  </w:style>
  <w:style w:type="paragraph" w:customStyle="1" w:styleId="TableColumnHeadingCentred">
    <w:name w:val="Table Column Heading Centred"/>
    <w:basedOn w:val="TableTextBase"/>
    <w:rsid w:val="00FB5964"/>
    <w:pPr>
      <w:jc w:val="center"/>
    </w:pPr>
    <w:rPr>
      <w:b/>
    </w:rPr>
  </w:style>
  <w:style w:type="paragraph" w:customStyle="1" w:styleId="TableColumnHeadingLeft">
    <w:name w:val="Table Column Heading Left"/>
    <w:basedOn w:val="TableTextBase"/>
    <w:rsid w:val="00FB5964"/>
    <w:rPr>
      <w:b/>
    </w:rPr>
  </w:style>
  <w:style w:type="paragraph" w:customStyle="1" w:styleId="TableColumnHeadingRight">
    <w:name w:val="Table Column Heading Right"/>
    <w:basedOn w:val="TableTextBase"/>
    <w:rsid w:val="00FB5964"/>
    <w:pPr>
      <w:jc w:val="right"/>
    </w:pPr>
    <w:rPr>
      <w:b/>
    </w:rPr>
  </w:style>
  <w:style w:type="paragraph" w:customStyle="1" w:styleId="TableTextCentered">
    <w:name w:val="Table Text Centered"/>
    <w:basedOn w:val="TableTextBase"/>
    <w:rsid w:val="00FB5964"/>
    <w:pPr>
      <w:jc w:val="center"/>
    </w:pPr>
  </w:style>
  <w:style w:type="paragraph" w:customStyle="1" w:styleId="TableTextIndented">
    <w:name w:val="Table Text Indented"/>
    <w:basedOn w:val="TableTextBase"/>
    <w:rsid w:val="00FB5964"/>
    <w:pPr>
      <w:ind w:left="284"/>
    </w:pPr>
  </w:style>
  <w:style w:type="paragraph" w:customStyle="1" w:styleId="TableTextLeft">
    <w:name w:val="Table Text Left"/>
    <w:basedOn w:val="TableTextBase"/>
    <w:rsid w:val="00FB5964"/>
  </w:style>
  <w:style w:type="paragraph" w:customStyle="1" w:styleId="TableTextRight">
    <w:name w:val="Table Text Right"/>
    <w:basedOn w:val="TableTextBase"/>
    <w:rsid w:val="00FB5964"/>
    <w:pPr>
      <w:jc w:val="right"/>
    </w:pPr>
  </w:style>
  <w:style w:type="paragraph" w:styleId="BalloonText">
    <w:name w:val="Balloon Text"/>
    <w:basedOn w:val="Normal"/>
    <w:link w:val="BalloonTextChar"/>
    <w:rsid w:val="00C855B1"/>
    <w:rPr>
      <w:rFonts w:ascii="Tahoma" w:hAnsi="Tahoma" w:cs="Tahoma"/>
      <w:sz w:val="16"/>
      <w:szCs w:val="16"/>
    </w:rPr>
  </w:style>
  <w:style w:type="character" w:styleId="CommentReference">
    <w:name w:val="annotation reference"/>
    <w:rsid w:val="00C32316"/>
    <w:rPr>
      <w:sz w:val="16"/>
      <w:szCs w:val="16"/>
    </w:rPr>
  </w:style>
  <w:style w:type="paragraph" w:styleId="CommentText">
    <w:name w:val="annotation text"/>
    <w:basedOn w:val="Normal"/>
    <w:link w:val="CommentTextChar"/>
    <w:rsid w:val="00C32316"/>
  </w:style>
  <w:style w:type="paragraph" w:styleId="CommentSubject">
    <w:name w:val="annotation subject"/>
    <w:basedOn w:val="CommentText"/>
    <w:next w:val="CommentText"/>
    <w:semiHidden/>
    <w:rsid w:val="00C32316"/>
    <w:rPr>
      <w:b/>
      <w:bCs/>
    </w:rPr>
  </w:style>
  <w:style w:type="table" w:styleId="TableGrid">
    <w:name w:val="Table Grid"/>
    <w:basedOn w:val="TableNormal"/>
    <w:rsid w:val="00AB172E"/>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4512B8"/>
    <w:rPr>
      <w:vertAlign w:val="superscript"/>
    </w:rPr>
  </w:style>
  <w:style w:type="paragraph" w:styleId="Revision">
    <w:name w:val="Revision"/>
    <w:hidden/>
    <w:uiPriority w:val="99"/>
    <w:semiHidden/>
    <w:rsid w:val="00C81F38"/>
    <w:rPr>
      <w:rFonts w:ascii="Book Antiqua" w:hAnsi="Book Antiqua"/>
    </w:rPr>
  </w:style>
  <w:style w:type="character" w:customStyle="1" w:styleId="Heading1Char">
    <w:name w:val="Heading 1 Char"/>
    <w:link w:val="Heading1"/>
    <w:rsid w:val="00E32776"/>
    <w:rPr>
      <w:rFonts w:ascii="Arial" w:hAnsi="Arial"/>
      <w:b/>
      <w:smallCaps/>
      <w:kern w:val="28"/>
      <w:sz w:val="34"/>
    </w:rPr>
  </w:style>
  <w:style w:type="character" w:customStyle="1" w:styleId="Heading2Char">
    <w:name w:val="Heading 2 Char"/>
    <w:link w:val="Heading2"/>
    <w:rsid w:val="00CA7CCD"/>
    <w:rPr>
      <w:rFonts w:ascii="Arial" w:hAnsi="Arial"/>
      <w:b/>
      <w:color w:val="000000"/>
      <w:sz w:val="30"/>
    </w:rPr>
  </w:style>
  <w:style w:type="character" w:customStyle="1" w:styleId="Heading3Char">
    <w:name w:val="Heading 3 Char"/>
    <w:link w:val="Heading3"/>
    <w:rsid w:val="00B13980"/>
    <w:rPr>
      <w:rFonts w:ascii="Arial" w:hAnsi="Arial"/>
      <w:b/>
      <w:smallCaps/>
      <w:color w:val="000000"/>
      <w:sz w:val="25"/>
    </w:rPr>
  </w:style>
  <w:style w:type="character" w:customStyle="1" w:styleId="Heading4Char">
    <w:name w:val="Heading 4 Char"/>
    <w:link w:val="Heading4"/>
    <w:rsid w:val="002113A9"/>
    <w:rPr>
      <w:rFonts w:ascii="Arial" w:hAnsi="Arial"/>
      <w:b/>
      <w:color w:val="000000"/>
    </w:rPr>
  </w:style>
  <w:style w:type="character" w:customStyle="1" w:styleId="FooterChar">
    <w:name w:val="Footer Char"/>
    <w:link w:val="Footer"/>
    <w:rsid w:val="009C047F"/>
    <w:rPr>
      <w:rFonts w:ascii="Arial" w:hAnsi="Arial"/>
      <w:color w:val="000000"/>
    </w:rPr>
  </w:style>
  <w:style w:type="character" w:customStyle="1" w:styleId="FootnoteTextChar">
    <w:name w:val="Footnote Text Char"/>
    <w:link w:val="FootnoteText"/>
    <w:semiHidden/>
    <w:rsid w:val="009C047F"/>
    <w:rPr>
      <w:rFonts w:ascii="Book Antiqua" w:hAnsi="Book Antiqua"/>
      <w:color w:val="000000"/>
      <w:sz w:val="18"/>
    </w:rPr>
  </w:style>
  <w:style w:type="character" w:customStyle="1" w:styleId="HeaderChar">
    <w:name w:val="Header Char"/>
    <w:link w:val="Header"/>
    <w:rsid w:val="009C047F"/>
    <w:rPr>
      <w:rFonts w:ascii="Book Antiqua" w:hAnsi="Book Antiqua"/>
      <w:i/>
    </w:rPr>
  </w:style>
  <w:style w:type="character" w:customStyle="1" w:styleId="NormalItalic">
    <w:name w:val="Normal Italic"/>
    <w:semiHidden/>
    <w:rsid w:val="009C047F"/>
    <w:rPr>
      <w:i/>
      <w:iCs/>
    </w:rPr>
  </w:style>
  <w:style w:type="character" w:customStyle="1" w:styleId="DashChar">
    <w:name w:val="Dash Char"/>
    <w:link w:val="Dash"/>
    <w:rsid w:val="00CA7686"/>
    <w:rPr>
      <w:rFonts w:ascii="Book Antiqua" w:hAnsi="Book Antiqua"/>
      <w:color w:val="000000" w:themeColor="text1"/>
    </w:rPr>
  </w:style>
  <w:style w:type="paragraph" w:customStyle="1" w:styleId="TableTextBullet">
    <w:name w:val="Table Text Bullet"/>
    <w:basedOn w:val="Normal"/>
    <w:rsid w:val="00E06C27"/>
    <w:pPr>
      <w:tabs>
        <w:tab w:val="num" w:pos="283"/>
      </w:tabs>
      <w:spacing w:before="20" w:after="20" w:line="200" w:lineRule="exact"/>
      <w:ind w:left="284" w:hanging="284"/>
      <w:jc w:val="left"/>
    </w:pPr>
    <w:rPr>
      <w:rFonts w:ascii="Arial" w:hAnsi="Arial"/>
      <w:color w:val="000000"/>
      <w:sz w:val="16"/>
      <w:szCs w:val="16"/>
    </w:rPr>
  </w:style>
  <w:style w:type="paragraph" w:styleId="ListParagraph">
    <w:name w:val="List Paragraph"/>
    <w:basedOn w:val="Normal"/>
    <w:link w:val="ListParagraphChar"/>
    <w:uiPriority w:val="34"/>
    <w:qFormat/>
    <w:rsid w:val="00B1100A"/>
    <w:pPr>
      <w:spacing w:line="240" w:lineRule="auto"/>
      <w:ind w:left="720"/>
      <w:contextualSpacing/>
      <w:jc w:val="left"/>
    </w:pPr>
    <w:rPr>
      <w:rFonts w:ascii="Times New Roman" w:hAnsi="Times New Roman"/>
      <w:sz w:val="24"/>
    </w:rPr>
  </w:style>
  <w:style w:type="character" w:customStyle="1" w:styleId="ListParagraphChar">
    <w:name w:val="List Paragraph Char"/>
    <w:link w:val="ListParagraph"/>
    <w:uiPriority w:val="34"/>
    <w:rsid w:val="00B1100A"/>
    <w:rPr>
      <w:sz w:val="24"/>
    </w:rPr>
  </w:style>
  <w:style w:type="paragraph" w:styleId="NormalWeb">
    <w:name w:val="Normal (Web)"/>
    <w:basedOn w:val="Normal"/>
    <w:uiPriority w:val="99"/>
    <w:rsid w:val="00B13980"/>
    <w:rPr>
      <w:sz w:val="18"/>
      <w:szCs w:val="24"/>
    </w:rPr>
  </w:style>
  <w:style w:type="character" w:styleId="Emphasis">
    <w:name w:val="Emphasis"/>
    <w:semiHidden/>
    <w:qFormat/>
    <w:rsid w:val="000A18F5"/>
    <w:rPr>
      <w:i/>
      <w:iCs/>
    </w:rPr>
  </w:style>
  <w:style w:type="paragraph" w:customStyle="1" w:styleId="StyleBoldLeft127cmPatternClearBackground1">
    <w:name w:val="Style Bold Left:  1.27 cm Pattern: Clear (Background 1)"/>
    <w:basedOn w:val="Normal"/>
    <w:rsid w:val="00FE5BCB"/>
    <w:pPr>
      <w:shd w:val="clear" w:color="auto" w:fill="E6E6E6"/>
      <w:ind w:left="720"/>
    </w:pPr>
    <w:rPr>
      <w:b/>
      <w:bCs/>
    </w:rPr>
  </w:style>
  <w:style w:type="character" w:customStyle="1" w:styleId="BulletChar">
    <w:name w:val="Bullet Char"/>
    <w:link w:val="Bullet"/>
    <w:rsid w:val="007F4912"/>
    <w:rPr>
      <w:rFonts w:ascii="Book Antiqua" w:hAnsi="Book Antiqua"/>
      <w:color w:val="000000" w:themeColor="text1"/>
    </w:rPr>
  </w:style>
  <w:style w:type="table" w:styleId="TableClassic4">
    <w:name w:val="Table Classic 4"/>
    <w:basedOn w:val="TableNormal"/>
    <w:rsid w:val="000F1A94"/>
    <w:pPr>
      <w:spacing w:after="240" w:line="26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0F1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5">
    <w:name w:val="Colorful Grid Accent 5"/>
    <w:basedOn w:val="TableNormal"/>
    <w:uiPriority w:val="73"/>
    <w:rsid w:val="000F1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Colorful2">
    <w:name w:val="Table Colorful 2"/>
    <w:basedOn w:val="TableNormal"/>
    <w:rsid w:val="000F1A94"/>
    <w:pPr>
      <w:spacing w:after="240" w:line="26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rsid w:val="000B02D4"/>
    <w:rPr>
      <w:rFonts w:ascii="Book Antiqua" w:hAnsi="Book Antiqua"/>
    </w:rPr>
  </w:style>
  <w:style w:type="character" w:styleId="Hyperlink">
    <w:name w:val="Hyperlink"/>
    <w:uiPriority w:val="99"/>
    <w:rsid w:val="004A63AD"/>
    <w:rPr>
      <w:noProof/>
      <w:color w:val="0000FF"/>
      <w:u w:val="single"/>
    </w:rPr>
  </w:style>
  <w:style w:type="character" w:customStyle="1" w:styleId="BalloonTextChar">
    <w:name w:val="Balloon Text Char"/>
    <w:basedOn w:val="DefaultParagraphFont"/>
    <w:link w:val="BalloonText"/>
    <w:rsid w:val="000B02D4"/>
    <w:rPr>
      <w:rFonts w:ascii="Tahoma" w:hAnsi="Tahoma" w:cs="Tahoma"/>
      <w:sz w:val="16"/>
      <w:szCs w:val="16"/>
    </w:rPr>
  </w:style>
  <w:style w:type="paragraph" w:styleId="TOCHeading">
    <w:name w:val="TOC Heading"/>
    <w:basedOn w:val="Heading1"/>
    <w:next w:val="Normal"/>
    <w:uiPriority w:val="39"/>
    <w:unhideWhenUsed/>
    <w:qFormat/>
    <w:rsid w:val="00BB27DA"/>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character" w:customStyle="1" w:styleId="Heading5Char">
    <w:name w:val="Heading 5 Char"/>
    <w:basedOn w:val="DefaultParagraphFont"/>
    <w:link w:val="Heading5"/>
    <w:rsid w:val="00AF757C"/>
    <w:rPr>
      <w:rFonts w:ascii="Arial" w:hAnsi="Arial"/>
      <w:i/>
      <w:color w:val="000000"/>
    </w:rPr>
  </w:style>
  <w:style w:type="character" w:customStyle="1" w:styleId="Heading6Char">
    <w:name w:val="Heading 6 Char"/>
    <w:basedOn w:val="DefaultParagraphFont"/>
    <w:link w:val="Heading6"/>
    <w:rsid w:val="00AF757C"/>
    <w:rPr>
      <w:rFonts w:ascii="Arial" w:hAnsi="Arial"/>
      <w:color w:val="000000"/>
    </w:rPr>
  </w:style>
  <w:style w:type="character" w:customStyle="1" w:styleId="Heading7Char">
    <w:name w:val="Heading 7 Char"/>
    <w:basedOn w:val="DefaultParagraphFont"/>
    <w:link w:val="Heading7"/>
    <w:rsid w:val="00AF757C"/>
    <w:rPr>
      <w:rFonts w:ascii="Arial" w:hAnsi="Arial"/>
      <w:color w:val="000000"/>
      <w:sz w:val="18"/>
    </w:rPr>
  </w:style>
  <w:style w:type="character" w:customStyle="1" w:styleId="Heading8Char">
    <w:name w:val="Heading 8 Char"/>
    <w:basedOn w:val="DefaultParagraphFont"/>
    <w:link w:val="Heading8"/>
    <w:rsid w:val="00AF757C"/>
    <w:rPr>
      <w:rFonts w:ascii="Arial" w:hAnsi="Arial"/>
      <w:i/>
    </w:rPr>
  </w:style>
  <w:style w:type="character" w:styleId="FollowedHyperlink">
    <w:name w:val="FollowedHyperlink"/>
    <w:basedOn w:val="DefaultParagraphFont"/>
    <w:uiPriority w:val="99"/>
    <w:unhideWhenUsed/>
    <w:rsid w:val="00AF757C"/>
    <w:rPr>
      <w:color w:val="800080" w:themeColor="followedHyperlink"/>
      <w:u w:val="single"/>
    </w:rPr>
  </w:style>
  <w:style w:type="character" w:customStyle="1" w:styleId="ClosingChar">
    <w:name w:val="Closing Char"/>
    <w:basedOn w:val="DefaultParagraphFont"/>
    <w:link w:val="Closing"/>
    <w:rsid w:val="00AF757C"/>
    <w:rPr>
      <w:rFonts w:ascii="Book Antiqua" w:hAnsi="Book Antiqua"/>
    </w:rPr>
  </w:style>
  <w:style w:type="paragraph" w:styleId="Index4">
    <w:name w:val="index 4"/>
    <w:basedOn w:val="Normal"/>
    <w:next w:val="Normal"/>
    <w:autoRedefine/>
    <w:unhideWhenUsed/>
    <w:rsid w:val="00087873"/>
    <w:pPr>
      <w:spacing w:after="0"/>
      <w:ind w:left="800" w:hanging="200"/>
      <w:jc w:val="left"/>
    </w:pPr>
    <w:rPr>
      <w:rFonts w:asciiTheme="minorHAnsi" w:hAnsiTheme="minorHAnsi"/>
      <w:sz w:val="18"/>
      <w:szCs w:val="18"/>
    </w:rPr>
  </w:style>
  <w:style w:type="paragraph" w:styleId="Index5">
    <w:name w:val="index 5"/>
    <w:basedOn w:val="Normal"/>
    <w:next w:val="Normal"/>
    <w:autoRedefine/>
    <w:unhideWhenUsed/>
    <w:rsid w:val="00087873"/>
    <w:pPr>
      <w:spacing w:after="0"/>
      <w:ind w:left="1000" w:hanging="200"/>
      <w:jc w:val="left"/>
    </w:pPr>
    <w:rPr>
      <w:rFonts w:asciiTheme="minorHAnsi" w:hAnsiTheme="minorHAnsi"/>
      <w:sz w:val="18"/>
      <w:szCs w:val="18"/>
    </w:rPr>
  </w:style>
  <w:style w:type="paragraph" w:styleId="Index6">
    <w:name w:val="index 6"/>
    <w:basedOn w:val="Normal"/>
    <w:next w:val="Normal"/>
    <w:autoRedefine/>
    <w:unhideWhenUsed/>
    <w:rsid w:val="00087873"/>
    <w:pPr>
      <w:spacing w:after="0"/>
      <w:ind w:left="1200" w:hanging="200"/>
      <w:jc w:val="left"/>
    </w:pPr>
    <w:rPr>
      <w:rFonts w:asciiTheme="minorHAnsi" w:hAnsiTheme="minorHAnsi"/>
      <w:sz w:val="18"/>
      <w:szCs w:val="18"/>
    </w:rPr>
  </w:style>
  <w:style w:type="paragraph" w:styleId="Index7">
    <w:name w:val="index 7"/>
    <w:basedOn w:val="Normal"/>
    <w:next w:val="Normal"/>
    <w:autoRedefine/>
    <w:unhideWhenUsed/>
    <w:rsid w:val="00087873"/>
    <w:pPr>
      <w:spacing w:after="0"/>
      <w:ind w:left="1400" w:hanging="200"/>
      <w:jc w:val="left"/>
    </w:pPr>
    <w:rPr>
      <w:rFonts w:asciiTheme="minorHAnsi" w:hAnsiTheme="minorHAnsi"/>
      <w:sz w:val="18"/>
      <w:szCs w:val="18"/>
    </w:rPr>
  </w:style>
  <w:style w:type="paragraph" w:styleId="Index8">
    <w:name w:val="index 8"/>
    <w:basedOn w:val="Normal"/>
    <w:next w:val="Normal"/>
    <w:autoRedefine/>
    <w:unhideWhenUsed/>
    <w:rsid w:val="00087873"/>
    <w:pPr>
      <w:spacing w:after="0"/>
      <w:ind w:left="1600" w:hanging="200"/>
      <w:jc w:val="left"/>
    </w:pPr>
    <w:rPr>
      <w:rFonts w:asciiTheme="minorHAnsi" w:hAnsiTheme="minorHAnsi"/>
      <w:sz w:val="18"/>
      <w:szCs w:val="18"/>
    </w:rPr>
  </w:style>
  <w:style w:type="paragraph" w:styleId="Index9">
    <w:name w:val="index 9"/>
    <w:basedOn w:val="Normal"/>
    <w:next w:val="Normal"/>
    <w:autoRedefine/>
    <w:unhideWhenUsed/>
    <w:rsid w:val="00087873"/>
    <w:pPr>
      <w:spacing w:after="0"/>
      <w:ind w:left="1800" w:hanging="200"/>
      <w:jc w:val="left"/>
    </w:pPr>
    <w:rPr>
      <w:rFonts w:asciiTheme="minorHAnsi" w:hAnsiTheme="minorHAnsi"/>
      <w:sz w:val="18"/>
      <w:szCs w:val="18"/>
    </w:rPr>
  </w:style>
  <w:style w:type="paragraph" w:customStyle="1" w:styleId="StyleTESHeading5Left0cmFirstline0cm">
    <w:name w:val="Style TES Heading 5 + Left:  0 cm First line:  0 cm"/>
    <w:basedOn w:val="TESHeading5"/>
    <w:rsid w:val="007F4912"/>
    <w:pPr>
      <w:spacing w:before="440"/>
      <w:ind w:left="0" w:firstLine="0"/>
    </w:pPr>
    <w:rPr>
      <w:bCs/>
    </w:rPr>
  </w:style>
  <w:style w:type="paragraph" w:customStyle="1" w:styleId="LEGREFTEXT">
    <w:name w:val="LEG REF TEXT"/>
    <w:basedOn w:val="Normal"/>
    <w:qFormat/>
    <w:rsid w:val="00DE0DC6"/>
    <w:pPr>
      <w:widowControl w:val="0"/>
      <w:autoSpaceDE w:val="0"/>
      <w:autoSpaceDN w:val="0"/>
      <w:adjustRightInd w:val="0"/>
      <w:spacing w:after="0" w:line="240" w:lineRule="auto"/>
      <w:jc w:val="left"/>
    </w:pPr>
    <w:rPr>
      <w:rFonts w:ascii="Arial" w:hAnsi="Arial" w:cs="Arial"/>
      <w:sz w:val="16"/>
      <w:szCs w:val="16"/>
    </w:rPr>
  </w:style>
  <w:style w:type="paragraph" w:customStyle="1" w:styleId="Heading2-notnumbered">
    <w:name w:val="Heading 2 - not numbered"/>
    <w:basedOn w:val="Heading2"/>
    <w:qFormat/>
    <w:rsid w:val="00E5312D"/>
    <w:pPr>
      <w:numPr>
        <w:ilvl w:val="0"/>
        <w:numId w:val="0"/>
      </w:numPr>
      <w:tabs>
        <w:tab w:val="left" w:pos="567"/>
      </w:tabs>
    </w:pPr>
    <w:rPr>
      <w:sz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uiPriority="99"/>
    <w:lsdException w:name="index 2" w:uiPriority="99"/>
    <w:lsdException w:name="toc 1" w:uiPriority="39" w:qFormat="1"/>
    <w:lsdException w:name="toc 2" w:uiPriority="39" w:qFormat="1"/>
    <w:lsdException w:name="toc 3" w:uiPriority="39" w:qFormat="1"/>
    <w:lsdException w:name="Normal Indent" w:semiHidden="1"/>
    <w:lsdException w:name="index heading" w:uiPriority="99"/>
    <w:lsdException w:name="caption" w:semiHidden="1" w:unhideWhenUsed="1" w:qFormat="1"/>
    <w:lsdException w:name="envelope address" w:semiHidden="1"/>
    <w:lsdException w:name="envelope return" w:semiHidden="1"/>
    <w:lsdException w:name="line number"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Default Paragraph Font" w:uiPriority="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Hyperlink" w:uiPriority="99"/>
    <w:lsdException w:name="FollowedHyperlink" w:uiPriority="99"/>
    <w:lsdException w:name="Strong" w:qFormat="1"/>
    <w:lsdException w:name="Emphasis" w:qFormat="1"/>
    <w:lsdException w:name="Document Map"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92C"/>
    <w:pPr>
      <w:spacing w:after="240" w:line="260" w:lineRule="exact"/>
      <w:jc w:val="both"/>
    </w:pPr>
    <w:rPr>
      <w:rFonts w:ascii="Book Antiqua" w:hAnsi="Book Antiqua"/>
      <w:color w:val="000000" w:themeColor="text1"/>
    </w:rPr>
  </w:style>
  <w:style w:type="paragraph" w:styleId="Heading1">
    <w:name w:val="heading 1"/>
    <w:basedOn w:val="HeadingBase"/>
    <w:next w:val="Normal"/>
    <w:link w:val="Heading1Char"/>
    <w:qFormat/>
    <w:rsid w:val="00E32776"/>
    <w:pPr>
      <w:pageBreakBefore/>
      <w:numPr>
        <w:numId w:val="4"/>
      </w:numPr>
      <w:spacing w:after="600"/>
      <w:jc w:val="center"/>
      <w:outlineLvl w:val="0"/>
    </w:pPr>
    <w:rPr>
      <w:b/>
      <w:smallCaps/>
      <w:kern w:val="28"/>
      <w:sz w:val="34"/>
    </w:rPr>
  </w:style>
  <w:style w:type="paragraph" w:styleId="Heading2">
    <w:name w:val="heading 2"/>
    <w:basedOn w:val="HeadingBase"/>
    <w:next w:val="Normal"/>
    <w:link w:val="Heading2Char"/>
    <w:qFormat/>
    <w:rsid w:val="00CA7CCD"/>
    <w:pPr>
      <w:numPr>
        <w:ilvl w:val="1"/>
        <w:numId w:val="4"/>
      </w:numPr>
      <w:spacing w:before="300" w:after="240"/>
      <w:ind w:left="851" w:hanging="851"/>
      <w:outlineLvl w:val="1"/>
    </w:pPr>
    <w:rPr>
      <w:b/>
      <w:color w:val="000000"/>
      <w:sz w:val="30"/>
    </w:rPr>
  </w:style>
  <w:style w:type="paragraph" w:styleId="Heading3">
    <w:name w:val="heading 3"/>
    <w:basedOn w:val="HeadingBase"/>
    <w:next w:val="Normal"/>
    <w:link w:val="Heading3Char"/>
    <w:qFormat/>
    <w:rsid w:val="00B13980"/>
    <w:pPr>
      <w:spacing w:before="240" w:after="240"/>
      <w:outlineLvl w:val="2"/>
    </w:pPr>
    <w:rPr>
      <w:b/>
      <w:smallCaps/>
      <w:color w:val="000000"/>
      <w:sz w:val="25"/>
    </w:rPr>
  </w:style>
  <w:style w:type="paragraph" w:styleId="Heading4">
    <w:name w:val="heading 4"/>
    <w:basedOn w:val="HeadingBase"/>
    <w:next w:val="Normal"/>
    <w:link w:val="Heading4Char"/>
    <w:qFormat/>
    <w:rsid w:val="002113A9"/>
    <w:pPr>
      <w:spacing w:before="120" w:after="120"/>
      <w:outlineLvl w:val="3"/>
    </w:pPr>
    <w:rPr>
      <w:b/>
      <w:color w:val="000000"/>
      <w:sz w:val="20"/>
    </w:rPr>
  </w:style>
  <w:style w:type="paragraph" w:styleId="Heading5">
    <w:name w:val="heading 5"/>
    <w:basedOn w:val="HeadingBase"/>
    <w:next w:val="Normal"/>
    <w:link w:val="Heading5Char"/>
    <w:qFormat/>
    <w:rsid w:val="00FB5964"/>
    <w:pPr>
      <w:spacing w:before="240" w:after="120"/>
      <w:outlineLvl w:val="4"/>
    </w:pPr>
    <w:rPr>
      <w:i/>
      <w:color w:val="000000"/>
      <w:sz w:val="20"/>
    </w:rPr>
  </w:style>
  <w:style w:type="paragraph" w:styleId="Heading6">
    <w:name w:val="heading 6"/>
    <w:basedOn w:val="HeadingBase"/>
    <w:next w:val="Normal"/>
    <w:link w:val="Heading6Char"/>
    <w:qFormat/>
    <w:rsid w:val="00FB5964"/>
    <w:pPr>
      <w:spacing w:after="120"/>
      <w:outlineLvl w:val="5"/>
    </w:pPr>
    <w:rPr>
      <w:color w:val="000000"/>
      <w:sz w:val="20"/>
    </w:rPr>
  </w:style>
  <w:style w:type="paragraph" w:styleId="Heading7">
    <w:name w:val="heading 7"/>
    <w:basedOn w:val="HeadingBase"/>
    <w:next w:val="Normal"/>
    <w:link w:val="Heading7Char"/>
    <w:qFormat/>
    <w:rsid w:val="00FB5964"/>
    <w:pPr>
      <w:spacing w:after="100"/>
      <w:outlineLvl w:val="6"/>
    </w:pPr>
    <w:rPr>
      <w:color w:val="000000"/>
      <w:sz w:val="18"/>
    </w:rPr>
  </w:style>
  <w:style w:type="paragraph" w:styleId="Heading8">
    <w:name w:val="heading 8"/>
    <w:basedOn w:val="Normal"/>
    <w:next w:val="Normal"/>
    <w:link w:val="Heading8Char"/>
    <w:qFormat/>
    <w:rsid w:val="00FB5964"/>
    <w:pPr>
      <w:spacing w:before="240" w:after="60"/>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FB5964"/>
    <w:pPr>
      <w:keepNext/>
    </w:pPr>
    <w:rPr>
      <w:rFonts w:ascii="Arial" w:hAnsi="Arial"/>
      <w:sz w:val="24"/>
    </w:rPr>
  </w:style>
  <w:style w:type="paragraph" w:customStyle="1" w:styleId="BoxHeading">
    <w:name w:val="Box Heading"/>
    <w:basedOn w:val="HeadingBase"/>
    <w:next w:val="Normal"/>
    <w:rsid w:val="00FB5964"/>
    <w:pPr>
      <w:spacing w:before="240" w:after="240"/>
      <w:jc w:val="center"/>
    </w:pPr>
    <w:rPr>
      <w:rFonts w:ascii="Helvetica" w:hAnsi="Helvetica"/>
      <w:b/>
      <w:sz w:val="20"/>
    </w:rPr>
  </w:style>
  <w:style w:type="paragraph" w:customStyle="1" w:styleId="HeaderBase">
    <w:name w:val="Header Base"/>
    <w:rsid w:val="00FB5964"/>
    <w:rPr>
      <w:rFonts w:ascii="Book Antiqua" w:hAnsi="Book Antiqua"/>
      <w:i/>
    </w:rPr>
  </w:style>
  <w:style w:type="paragraph" w:customStyle="1" w:styleId="FooterBase">
    <w:name w:val="Footer Base"/>
    <w:rsid w:val="00FB5964"/>
    <w:rPr>
      <w:rFonts w:ascii="Arial" w:hAnsi="Arial"/>
    </w:rPr>
  </w:style>
  <w:style w:type="paragraph" w:customStyle="1" w:styleId="BoxText">
    <w:name w:val="Box Text"/>
    <w:basedOn w:val="Normal"/>
    <w:rsid w:val="009057E9"/>
    <w:pPr>
      <w:keepNext/>
    </w:pPr>
    <w:rPr>
      <w:rFonts w:ascii="Arial" w:hAnsi="Arial"/>
      <w:lang w:eastAsia="en-US"/>
    </w:rPr>
  </w:style>
  <w:style w:type="paragraph" w:customStyle="1" w:styleId="Classification">
    <w:name w:val="Classification"/>
    <w:basedOn w:val="HeadingBase"/>
    <w:rsid w:val="00FB5964"/>
    <w:pPr>
      <w:jc w:val="center"/>
    </w:pPr>
    <w:rPr>
      <w:b/>
      <w:smallCaps/>
      <w:color w:val="000000"/>
    </w:rPr>
  </w:style>
  <w:style w:type="paragraph" w:customStyle="1" w:styleId="ContentsHeading">
    <w:name w:val="Contents Heading"/>
    <w:basedOn w:val="HeadingBase"/>
    <w:next w:val="Normal"/>
    <w:rsid w:val="00FB5964"/>
    <w:pPr>
      <w:spacing w:after="360"/>
      <w:jc w:val="center"/>
    </w:pPr>
    <w:rPr>
      <w:b/>
      <w:smallCaps/>
      <w:sz w:val="34"/>
      <w:lang w:val="en-US"/>
    </w:rPr>
  </w:style>
  <w:style w:type="paragraph" w:customStyle="1" w:styleId="ContentsSecondHeading">
    <w:name w:val="Contents Second Heading"/>
    <w:basedOn w:val="HeadingBase"/>
    <w:next w:val="Normal"/>
    <w:rsid w:val="00FB5964"/>
    <w:pPr>
      <w:spacing w:after="360"/>
      <w:jc w:val="center"/>
    </w:pPr>
    <w:rPr>
      <w:color w:val="000000"/>
      <w:sz w:val="30"/>
    </w:rPr>
  </w:style>
  <w:style w:type="paragraph" w:styleId="Footer">
    <w:name w:val="footer"/>
    <w:basedOn w:val="FooterBase"/>
    <w:link w:val="FooterChar"/>
    <w:rsid w:val="00FB5964"/>
    <w:pPr>
      <w:jc w:val="center"/>
    </w:pPr>
    <w:rPr>
      <w:color w:val="000000"/>
    </w:rPr>
  </w:style>
  <w:style w:type="character" w:styleId="FootnoteReference">
    <w:name w:val="footnote reference"/>
    <w:basedOn w:val="DefaultParagraphFont"/>
    <w:semiHidden/>
    <w:rsid w:val="00FB5964"/>
    <w:rPr>
      <w:rFonts w:ascii="Book Antiqua" w:hAnsi="Book Antiqua"/>
      <w:noProof w:val="0"/>
      <w:sz w:val="20"/>
      <w:vertAlign w:val="superscript"/>
      <w:lang w:val="en-AU"/>
    </w:rPr>
  </w:style>
  <w:style w:type="paragraph" w:styleId="FootnoteText">
    <w:name w:val="footnote text"/>
    <w:basedOn w:val="Normal"/>
    <w:link w:val="FootnoteTextChar"/>
    <w:semiHidden/>
    <w:rsid w:val="00FB5964"/>
    <w:pPr>
      <w:tabs>
        <w:tab w:val="left" w:pos="283"/>
      </w:tabs>
      <w:spacing w:after="0" w:line="240" w:lineRule="auto"/>
      <w:ind w:left="284" w:hanging="284"/>
    </w:pPr>
    <w:rPr>
      <w:color w:val="000000"/>
      <w:sz w:val="18"/>
    </w:rPr>
  </w:style>
  <w:style w:type="paragraph" w:styleId="Header">
    <w:name w:val="header"/>
    <w:basedOn w:val="HeaderBase"/>
    <w:link w:val="HeaderChar"/>
    <w:rsid w:val="00FB5964"/>
  </w:style>
  <w:style w:type="paragraph" w:styleId="Index1">
    <w:name w:val="index 1"/>
    <w:basedOn w:val="Normal"/>
    <w:next w:val="Normal"/>
    <w:uiPriority w:val="99"/>
    <w:rsid w:val="0086551A"/>
    <w:pPr>
      <w:tabs>
        <w:tab w:val="right" w:leader="dot" w:pos="3485"/>
      </w:tabs>
      <w:spacing w:after="120"/>
      <w:ind w:left="198" w:hanging="198"/>
      <w:jc w:val="left"/>
    </w:pPr>
    <w:rPr>
      <w:color w:val="000000"/>
      <w:sz w:val="18"/>
    </w:rPr>
  </w:style>
  <w:style w:type="paragraph" w:styleId="Index2">
    <w:name w:val="index 2"/>
    <w:basedOn w:val="Normal"/>
    <w:next w:val="Normal"/>
    <w:uiPriority w:val="99"/>
    <w:semiHidden/>
    <w:rsid w:val="00491632"/>
    <w:pPr>
      <w:tabs>
        <w:tab w:val="right" w:leader="dot" w:pos="3485"/>
      </w:tabs>
      <w:spacing w:after="120"/>
      <w:ind w:left="396" w:hanging="198"/>
    </w:pPr>
    <w:rPr>
      <w:color w:val="000000"/>
      <w:sz w:val="18"/>
    </w:rPr>
  </w:style>
  <w:style w:type="paragraph" w:styleId="Index3">
    <w:name w:val="index 3"/>
    <w:basedOn w:val="Normal"/>
    <w:next w:val="Normal"/>
    <w:autoRedefine/>
    <w:semiHidden/>
    <w:rsid w:val="00FB5964"/>
    <w:pPr>
      <w:ind w:left="601" w:hanging="198"/>
    </w:pPr>
    <w:rPr>
      <w:color w:val="000000"/>
      <w:sz w:val="18"/>
    </w:rPr>
  </w:style>
  <w:style w:type="paragraph" w:styleId="IndexHeading">
    <w:name w:val="index heading"/>
    <w:basedOn w:val="Normal"/>
    <w:next w:val="Index1"/>
    <w:uiPriority w:val="99"/>
    <w:semiHidden/>
    <w:unhideWhenUsed/>
    <w:rsid w:val="00FB5964"/>
    <w:pPr>
      <w:spacing w:before="240" w:after="120"/>
      <w:jc w:val="left"/>
    </w:pPr>
    <w:rPr>
      <w:rFonts w:ascii="Times New Roman" w:hAnsi="Times New Roman"/>
      <w:b/>
      <w:bCs/>
      <w:sz w:val="26"/>
      <w:szCs w:val="26"/>
    </w:rPr>
  </w:style>
  <w:style w:type="character" w:styleId="PageNumber">
    <w:name w:val="page number"/>
    <w:rsid w:val="00FB5964"/>
  </w:style>
  <w:style w:type="paragraph" w:customStyle="1" w:styleId="TableHeading">
    <w:name w:val="Table Heading"/>
    <w:basedOn w:val="HeadingBase"/>
    <w:next w:val="TableGraphic"/>
    <w:rsid w:val="00FB5964"/>
    <w:pPr>
      <w:spacing w:before="120" w:after="20"/>
    </w:pPr>
    <w:rPr>
      <w:b/>
      <w:color w:val="000000"/>
      <w:sz w:val="20"/>
    </w:rPr>
  </w:style>
  <w:style w:type="paragraph" w:customStyle="1" w:styleId="TableGraphic">
    <w:name w:val="Table Graphic"/>
    <w:basedOn w:val="TableHeading"/>
    <w:next w:val="Normal"/>
    <w:rsid w:val="00FB5964"/>
    <w:pPr>
      <w:keepNext w:val="0"/>
      <w:spacing w:before="0"/>
      <w:ind w:right="-113"/>
    </w:pPr>
    <w:rPr>
      <w:b w:val="0"/>
    </w:rPr>
  </w:style>
  <w:style w:type="paragraph" w:customStyle="1" w:styleId="TableHeadingcontinued">
    <w:name w:val="Table Heading continued"/>
    <w:basedOn w:val="HeadingBase"/>
    <w:next w:val="TableGraphic"/>
    <w:rsid w:val="00FB5964"/>
    <w:pPr>
      <w:spacing w:before="120" w:after="20"/>
    </w:pPr>
    <w:rPr>
      <w:b/>
      <w:color w:val="000000"/>
      <w:sz w:val="20"/>
    </w:rPr>
  </w:style>
  <w:style w:type="paragraph" w:styleId="TOC1">
    <w:name w:val="toc 1"/>
    <w:basedOn w:val="HeadingBase"/>
    <w:next w:val="Normal"/>
    <w:uiPriority w:val="39"/>
    <w:qFormat/>
    <w:rsid w:val="009F2E26"/>
    <w:pPr>
      <w:tabs>
        <w:tab w:val="right" w:leader="dot" w:pos="7699"/>
      </w:tabs>
      <w:spacing w:before="180"/>
      <w:ind w:left="1418" w:right="851" w:hanging="1418"/>
    </w:pPr>
    <w:rPr>
      <w:b/>
      <w:smallCaps/>
      <w:color w:val="000000"/>
      <w:sz w:val="22"/>
    </w:rPr>
  </w:style>
  <w:style w:type="paragraph" w:styleId="TOC2">
    <w:name w:val="toc 2"/>
    <w:basedOn w:val="HeadingBase"/>
    <w:next w:val="Normal"/>
    <w:uiPriority w:val="39"/>
    <w:qFormat/>
    <w:rsid w:val="009F2E26"/>
    <w:pPr>
      <w:tabs>
        <w:tab w:val="left" w:pos="851"/>
        <w:tab w:val="right" w:leader="dot" w:pos="7701"/>
      </w:tabs>
      <w:spacing w:before="80"/>
      <w:ind w:left="851" w:right="851" w:hanging="567"/>
    </w:pPr>
    <w:rPr>
      <w:noProof/>
      <w:color w:val="000000" w:themeColor="text1"/>
      <w:sz w:val="20"/>
    </w:rPr>
  </w:style>
  <w:style w:type="paragraph" w:styleId="TOC3">
    <w:name w:val="toc 3"/>
    <w:basedOn w:val="HeadingBase"/>
    <w:next w:val="Normal"/>
    <w:uiPriority w:val="39"/>
    <w:qFormat/>
    <w:rsid w:val="00FB5964"/>
    <w:pPr>
      <w:keepNext w:val="0"/>
      <w:tabs>
        <w:tab w:val="right" w:leader="dot" w:pos="7700"/>
      </w:tabs>
      <w:spacing w:before="240"/>
      <w:ind w:left="1134" w:right="851" w:hanging="1134"/>
    </w:pPr>
    <w:rPr>
      <w:noProof/>
      <w:sz w:val="20"/>
    </w:rPr>
  </w:style>
  <w:style w:type="paragraph" w:customStyle="1" w:styleId="HeaderOdd">
    <w:name w:val="Header Odd"/>
    <w:basedOn w:val="HeaderBase"/>
    <w:rsid w:val="00FB5964"/>
    <w:pPr>
      <w:jc w:val="right"/>
    </w:pPr>
  </w:style>
  <w:style w:type="paragraph" w:customStyle="1" w:styleId="HeaderEven">
    <w:name w:val="Header Even"/>
    <w:basedOn w:val="HeaderBase"/>
    <w:rsid w:val="00FB5964"/>
  </w:style>
  <w:style w:type="paragraph" w:customStyle="1" w:styleId="FileProperties">
    <w:name w:val="File Properties"/>
    <w:basedOn w:val="Normal"/>
    <w:rsid w:val="00FB5964"/>
    <w:rPr>
      <w:i/>
      <w:color w:val="000000"/>
    </w:rPr>
  </w:style>
  <w:style w:type="character" w:customStyle="1" w:styleId="FramedHeader">
    <w:name w:val="Framed Header"/>
    <w:basedOn w:val="DefaultParagraphFont"/>
    <w:rsid w:val="00FB5964"/>
    <w:rPr>
      <w:rFonts w:ascii="Book Antiqua" w:hAnsi="Book Antiqua"/>
      <w:i/>
      <w:dstrike w:val="0"/>
      <w:sz w:val="20"/>
      <w:szCs w:val="20"/>
      <w:vertAlign w:val="baseline"/>
    </w:rPr>
  </w:style>
  <w:style w:type="paragraph" w:styleId="TOC4">
    <w:name w:val="toc 4"/>
    <w:basedOn w:val="Normal"/>
    <w:next w:val="Normal"/>
    <w:autoRedefine/>
    <w:semiHidden/>
    <w:rsid w:val="00FB5964"/>
    <w:pPr>
      <w:tabs>
        <w:tab w:val="right" w:leader="dot" w:pos="7699"/>
      </w:tabs>
      <w:spacing w:before="40" w:after="0" w:line="240" w:lineRule="auto"/>
      <w:jc w:val="left"/>
    </w:pPr>
    <w:rPr>
      <w:rFonts w:ascii="Arial" w:hAnsi="Arial"/>
    </w:rPr>
  </w:style>
  <w:style w:type="paragraph" w:customStyle="1" w:styleId="Bullet">
    <w:name w:val="Bullet"/>
    <w:basedOn w:val="Normal"/>
    <w:link w:val="BulletChar"/>
    <w:rsid w:val="00FB5964"/>
    <w:pPr>
      <w:numPr>
        <w:numId w:val="1"/>
      </w:numPr>
    </w:pPr>
  </w:style>
  <w:style w:type="paragraph" w:customStyle="1" w:styleId="DoubleDot">
    <w:name w:val="Double Dot"/>
    <w:basedOn w:val="Bullet"/>
    <w:rsid w:val="00FB5964"/>
    <w:pPr>
      <w:numPr>
        <w:ilvl w:val="2"/>
        <w:numId w:val="3"/>
      </w:numPr>
    </w:pPr>
  </w:style>
  <w:style w:type="paragraph" w:customStyle="1" w:styleId="Dash">
    <w:name w:val="Dash"/>
    <w:basedOn w:val="Bullet"/>
    <w:link w:val="DashChar"/>
    <w:rsid w:val="00FB5964"/>
    <w:pPr>
      <w:numPr>
        <w:ilvl w:val="1"/>
        <w:numId w:val="3"/>
      </w:numPr>
    </w:pPr>
  </w:style>
  <w:style w:type="paragraph" w:customStyle="1" w:styleId="SingleParagraph">
    <w:name w:val="SingleParagraph"/>
    <w:basedOn w:val="Normal"/>
    <w:next w:val="Normal"/>
    <w:rsid w:val="00FB5964"/>
    <w:pPr>
      <w:keepNext/>
      <w:spacing w:after="0" w:line="240" w:lineRule="auto"/>
    </w:pPr>
    <w:rPr>
      <w:color w:val="000000"/>
    </w:rPr>
  </w:style>
  <w:style w:type="paragraph" w:customStyle="1" w:styleId="MeasureTableTextLeftAligned">
    <w:name w:val="Measure Table Text Left Aligned"/>
    <w:basedOn w:val="HeadingBase"/>
    <w:rsid w:val="00FB5964"/>
    <w:pPr>
      <w:spacing w:before="20" w:after="20"/>
    </w:pPr>
    <w:rPr>
      <w:color w:val="000000"/>
      <w:sz w:val="16"/>
    </w:rPr>
  </w:style>
  <w:style w:type="paragraph" w:customStyle="1" w:styleId="ChartandTableFootnoteAlpha">
    <w:name w:val="Chart and Table Footnote Alpha"/>
    <w:basedOn w:val="Normal"/>
    <w:next w:val="Normal"/>
    <w:rsid w:val="00FB5964"/>
    <w:pPr>
      <w:numPr>
        <w:numId w:val="5"/>
      </w:numPr>
      <w:spacing w:after="0" w:line="240" w:lineRule="auto"/>
    </w:pPr>
    <w:rPr>
      <w:rFonts w:ascii="Arial" w:hAnsi="Arial"/>
      <w:color w:val="000000"/>
      <w:sz w:val="16"/>
    </w:rPr>
  </w:style>
  <w:style w:type="paragraph" w:customStyle="1" w:styleId="MeasureTableHeading">
    <w:name w:val="Measure Table Heading"/>
    <w:basedOn w:val="HeadingBase"/>
    <w:rsid w:val="00FB5964"/>
    <w:rPr>
      <w:sz w:val="16"/>
    </w:rPr>
  </w:style>
  <w:style w:type="paragraph" w:customStyle="1" w:styleId="MeasureTableTextRightAligned">
    <w:name w:val="Measure Table Text Right Aligned"/>
    <w:basedOn w:val="HeadingBase"/>
    <w:rsid w:val="00FB5964"/>
    <w:pPr>
      <w:spacing w:before="60" w:after="60"/>
      <w:jc w:val="right"/>
    </w:pPr>
    <w:rPr>
      <w:sz w:val="16"/>
    </w:rPr>
  </w:style>
  <w:style w:type="paragraph" w:styleId="TOC5">
    <w:name w:val="toc 5"/>
    <w:basedOn w:val="Normal"/>
    <w:next w:val="Normal"/>
    <w:autoRedefine/>
    <w:semiHidden/>
    <w:rsid w:val="00FB5964"/>
    <w:pPr>
      <w:tabs>
        <w:tab w:val="right" w:leader="dot" w:pos="7700"/>
      </w:tabs>
      <w:spacing w:before="60" w:after="0" w:line="240" w:lineRule="auto"/>
      <w:ind w:left="567" w:right="851"/>
      <w:jc w:val="left"/>
    </w:pPr>
  </w:style>
  <w:style w:type="paragraph" w:styleId="TOC6">
    <w:name w:val="toc 6"/>
    <w:basedOn w:val="Normal"/>
    <w:next w:val="Normal"/>
    <w:autoRedefine/>
    <w:semiHidden/>
    <w:rsid w:val="00FB5964"/>
    <w:pPr>
      <w:ind w:left="1000"/>
    </w:pPr>
  </w:style>
  <w:style w:type="paragraph" w:styleId="TOC7">
    <w:name w:val="toc 7"/>
    <w:basedOn w:val="Normal"/>
    <w:next w:val="Normal"/>
    <w:autoRedefine/>
    <w:semiHidden/>
    <w:rsid w:val="00FB5964"/>
    <w:pPr>
      <w:ind w:left="1200"/>
    </w:pPr>
  </w:style>
  <w:style w:type="paragraph" w:styleId="TOC8">
    <w:name w:val="toc 8"/>
    <w:basedOn w:val="Normal"/>
    <w:next w:val="Normal"/>
    <w:autoRedefine/>
    <w:semiHidden/>
    <w:rsid w:val="00FB5964"/>
    <w:pPr>
      <w:ind w:left="1400"/>
    </w:pPr>
  </w:style>
  <w:style w:type="paragraph" w:styleId="TOC9">
    <w:name w:val="toc 9"/>
    <w:basedOn w:val="Normal"/>
    <w:next w:val="Normal"/>
    <w:autoRedefine/>
    <w:semiHidden/>
    <w:rsid w:val="00FB5964"/>
    <w:pPr>
      <w:ind w:left="1600"/>
    </w:pPr>
  </w:style>
  <w:style w:type="paragraph" w:styleId="Closing">
    <w:name w:val="Closing"/>
    <w:basedOn w:val="Normal"/>
    <w:link w:val="ClosingChar"/>
    <w:rsid w:val="00FB5964"/>
    <w:pPr>
      <w:ind w:left="4252"/>
    </w:pPr>
  </w:style>
  <w:style w:type="paragraph" w:customStyle="1" w:styleId="NoteTableHeading">
    <w:name w:val="Note Table Heading"/>
    <w:basedOn w:val="HeadingBase"/>
    <w:next w:val="TableGraphic"/>
    <w:rsid w:val="00FB5964"/>
    <w:pPr>
      <w:spacing w:before="480"/>
    </w:pPr>
    <w:rPr>
      <w:b/>
      <w:color w:val="000000"/>
      <w:sz w:val="20"/>
    </w:rPr>
  </w:style>
  <w:style w:type="character" w:customStyle="1" w:styleId="Italic">
    <w:name w:val="Italic"/>
    <w:basedOn w:val="DefaultParagraphFont"/>
    <w:rsid w:val="00FB5964"/>
    <w:rPr>
      <w:i/>
    </w:rPr>
  </w:style>
  <w:style w:type="paragraph" w:customStyle="1" w:styleId="Source">
    <w:name w:val="Source"/>
    <w:basedOn w:val="HeadingBase"/>
    <w:next w:val="Normal"/>
    <w:rsid w:val="00FB5964"/>
    <w:pPr>
      <w:jc w:val="both"/>
    </w:pPr>
    <w:rPr>
      <w:sz w:val="16"/>
    </w:rPr>
  </w:style>
  <w:style w:type="paragraph" w:customStyle="1" w:styleId="Exactly">
    <w:name w:val="Exactly"/>
    <w:basedOn w:val="Normal"/>
    <w:next w:val="Normal"/>
    <w:rsid w:val="00FB5964"/>
    <w:pPr>
      <w:spacing w:line="240" w:lineRule="auto"/>
    </w:pPr>
  </w:style>
  <w:style w:type="paragraph" w:customStyle="1" w:styleId="TPHeading1">
    <w:name w:val="TP Heading 1"/>
    <w:basedOn w:val="HeadingBase"/>
    <w:rsid w:val="00FB5964"/>
    <w:pPr>
      <w:spacing w:after="360"/>
      <w:jc w:val="center"/>
    </w:pPr>
    <w:rPr>
      <w:smallCaps/>
      <w:sz w:val="44"/>
    </w:rPr>
  </w:style>
  <w:style w:type="character" w:customStyle="1" w:styleId="BoxTextItalic">
    <w:name w:val="Box Text Italic"/>
    <w:basedOn w:val="DefaultParagraphFont"/>
    <w:rsid w:val="00FB5964"/>
    <w:rPr>
      <w:rFonts w:ascii="Arial" w:hAnsi="Arial"/>
      <w:i/>
      <w:sz w:val="20"/>
    </w:rPr>
  </w:style>
  <w:style w:type="character" w:customStyle="1" w:styleId="Bold">
    <w:name w:val="Bold"/>
    <w:basedOn w:val="DefaultParagraphFont"/>
    <w:rsid w:val="00FB5964"/>
    <w:rPr>
      <w:b/>
    </w:rPr>
  </w:style>
  <w:style w:type="paragraph" w:customStyle="1" w:styleId="AppendixText">
    <w:name w:val="AppendixText"/>
    <w:basedOn w:val="Normal"/>
    <w:rsid w:val="00FB5964"/>
    <w:pPr>
      <w:ind w:left="851"/>
    </w:pPr>
    <w:rPr>
      <w:color w:val="000000"/>
    </w:rPr>
  </w:style>
  <w:style w:type="paragraph" w:customStyle="1" w:styleId="Appendix3">
    <w:name w:val="Appendix 3"/>
    <w:basedOn w:val="HeadingBase"/>
    <w:next w:val="AppendixText"/>
    <w:rsid w:val="00FB5964"/>
    <w:pPr>
      <w:numPr>
        <w:ilvl w:val="2"/>
        <w:numId w:val="2"/>
      </w:numPr>
      <w:spacing w:before="240" w:after="240"/>
    </w:pPr>
    <w:rPr>
      <w:b/>
      <w:smallCaps/>
      <w:sz w:val="26"/>
      <w:szCs w:val="26"/>
    </w:rPr>
  </w:style>
  <w:style w:type="paragraph" w:customStyle="1" w:styleId="Appendix2">
    <w:name w:val="Appendix 2"/>
    <w:basedOn w:val="HeadingBase"/>
    <w:next w:val="AppendixText"/>
    <w:rsid w:val="00FB5964"/>
    <w:pPr>
      <w:numPr>
        <w:ilvl w:val="1"/>
        <w:numId w:val="2"/>
      </w:numPr>
      <w:spacing w:before="240" w:after="360"/>
      <w:outlineLvl w:val="2"/>
    </w:pPr>
    <w:rPr>
      <w:b/>
      <w:smallCaps/>
      <w:color w:val="000000"/>
      <w:sz w:val="30"/>
      <w:szCs w:val="30"/>
    </w:rPr>
  </w:style>
  <w:style w:type="paragraph" w:customStyle="1" w:styleId="Appendix1">
    <w:name w:val="Appendix 1"/>
    <w:basedOn w:val="HeadingBase"/>
    <w:next w:val="Appendix2"/>
    <w:rsid w:val="005F235F"/>
    <w:pPr>
      <w:pageBreakBefore/>
      <w:numPr>
        <w:numId w:val="2"/>
      </w:numPr>
      <w:spacing w:after="600"/>
      <w:jc w:val="center"/>
      <w:outlineLvl w:val="0"/>
    </w:pPr>
    <w:rPr>
      <w:b/>
      <w:smallCaps/>
      <w:color w:val="000000"/>
      <w:sz w:val="34"/>
      <w:szCs w:val="34"/>
    </w:rPr>
  </w:style>
  <w:style w:type="character" w:customStyle="1" w:styleId="BoldandItalic">
    <w:name w:val="Bold and Italic"/>
    <w:basedOn w:val="DefaultParagraphFont"/>
    <w:rsid w:val="00FB5964"/>
    <w:rPr>
      <w:b/>
      <w:i/>
    </w:rPr>
  </w:style>
  <w:style w:type="paragraph" w:customStyle="1" w:styleId="BoxTextBullet">
    <w:name w:val="Box Text Bullet"/>
    <w:basedOn w:val="Bullet"/>
    <w:rsid w:val="00FB5964"/>
    <w:pPr>
      <w:numPr>
        <w:numId w:val="3"/>
      </w:numPr>
    </w:pPr>
    <w:rPr>
      <w:rFonts w:ascii="Arial" w:hAnsi="Arial"/>
    </w:rPr>
  </w:style>
  <w:style w:type="paragraph" w:customStyle="1" w:styleId="MeasureTableTextItalic">
    <w:name w:val="Measure Table Text Italic"/>
    <w:basedOn w:val="Normal"/>
    <w:rsid w:val="00FB5964"/>
    <w:pPr>
      <w:keepNext/>
      <w:spacing w:before="20" w:after="20" w:line="240" w:lineRule="auto"/>
      <w:jc w:val="left"/>
    </w:pPr>
    <w:rPr>
      <w:rFonts w:ascii="Arial" w:hAnsi="Arial"/>
      <w:i/>
      <w:color w:val="000000"/>
      <w:sz w:val="16"/>
    </w:rPr>
  </w:style>
  <w:style w:type="paragraph" w:customStyle="1" w:styleId="TESHeading5">
    <w:name w:val="TES Heading 5"/>
    <w:basedOn w:val="HeadingBase"/>
    <w:next w:val="MeasureTableHeading"/>
    <w:rsid w:val="00FB5964"/>
    <w:pPr>
      <w:tabs>
        <w:tab w:val="left" w:pos="567"/>
      </w:tabs>
      <w:spacing w:before="240" w:after="120"/>
      <w:ind w:left="567" w:hanging="567"/>
    </w:pPr>
    <w:rPr>
      <w:b/>
      <w:sz w:val="20"/>
    </w:rPr>
  </w:style>
  <w:style w:type="paragraph" w:customStyle="1" w:styleId="TESHeading3">
    <w:name w:val="TES Heading 3"/>
    <w:basedOn w:val="Normal"/>
    <w:next w:val="Normal"/>
    <w:rsid w:val="00FB5964"/>
    <w:pPr>
      <w:keepNext/>
      <w:spacing w:before="240" w:line="240" w:lineRule="auto"/>
      <w:jc w:val="left"/>
      <w:outlineLvl w:val="2"/>
    </w:pPr>
    <w:rPr>
      <w:rFonts w:ascii="Arial" w:hAnsi="Arial"/>
      <w:b/>
      <w:smallCaps/>
      <w:sz w:val="26"/>
      <w:szCs w:val="26"/>
    </w:rPr>
  </w:style>
  <w:style w:type="paragraph" w:customStyle="1" w:styleId="TableTextBase">
    <w:name w:val="Table Text Base"/>
    <w:rsid w:val="00FB5964"/>
    <w:pPr>
      <w:spacing w:before="20" w:after="20"/>
    </w:pPr>
    <w:rPr>
      <w:rFonts w:ascii="Arial" w:hAnsi="Arial"/>
      <w:color w:val="000000"/>
      <w:sz w:val="16"/>
    </w:rPr>
  </w:style>
  <w:style w:type="paragraph" w:customStyle="1" w:styleId="TableColumnHeadingCentred">
    <w:name w:val="Table Column Heading Centred"/>
    <w:basedOn w:val="TableTextBase"/>
    <w:rsid w:val="00FB5964"/>
    <w:pPr>
      <w:jc w:val="center"/>
    </w:pPr>
    <w:rPr>
      <w:b/>
    </w:rPr>
  </w:style>
  <w:style w:type="paragraph" w:customStyle="1" w:styleId="TableColumnHeadingLeft">
    <w:name w:val="Table Column Heading Left"/>
    <w:basedOn w:val="TableTextBase"/>
    <w:rsid w:val="00FB5964"/>
    <w:rPr>
      <w:b/>
    </w:rPr>
  </w:style>
  <w:style w:type="paragraph" w:customStyle="1" w:styleId="TableColumnHeadingRight">
    <w:name w:val="Table Column Heading Right"/>
    <w:basedOn w:val="TableTextBase"/>
    <w:rsid w:val="00FB5964"/>
    <w:pPr>
      <w:jc w:val="right"/>
    </w:pPr>
    <w:rPr>
      <w:b/>
    </w:rPr>
  </w:style>
  <w:style w:type="paragraph" w:customStyle="1" w:styleId="TableTextCentered">
    <w:name w:val="Table Text Centered"/>
    <w:basedOn w:val="TableTextBase"/>
    <w:rsid w:val="00FB5964"/>
    <w:pPr>
      <w:jc w:val="center"/>
    </w:pPr>
  </w:style>
  <w:style w:type="paragraph" w:customStyle="1" w:styleId="TableTextIndented">
    <w:name w:val="Table Text Indented"/>
    <w:basedOn w:val="TableTextBase"/>
    <w:rsid w:val="00FB5964"/>
    <w:pPr>
      <w:ind w:left="284"/>
    </w:pPr>
  </w:style>
  <w:style w:type="paragraph" w:customStyle="1" w:styleId="TableTextLeft">
    <w:name w:val="Table Text Left"/>
    <w:basedOn w:val="TableTextBase"/>
    <w:rsid w:val="00FB5964"/>
  </w:style>
  <w:style w:type="paragraph" w:customStyle="1" w:styleId="TableTextRight">
    <w:name w:val="Table Text Right"/>
    <w:basedOn w:val="TableTextBase"/>
    <w:rsid w:val="00FB5964"/>
    <w:pPr>
      <w:jc w:val="right"/>
    </w:pPr>
  </w:style>
  <w:style w:type="paragraph" w:styleId="BalloonText">
    <w:name w:val="Balloon Text"/>
    <w:basedOn w:val="Normal"/>
    <w:link w:val="BalloonTextChar"/>
    <w:rsid w:val="00C855B1"/>
    <w:rPr>
      <w:rFonts w:ascii="Tahoma" w:hAnsi="Tahoma" w:cs="Tahoma"/>
      <w:sz w:val="16"/>
      <w:szCs w:val="16"/>
    </w:rPr>
  </w:style>
  <w:style w:type="character" w:styleId="CommentReference">
    <w:name w:val="annotation reference"/>
    <w:rsid w:val="00C32316"/>
    <w:rPr>
      <w:sz w:val="16"/>
      <w:szCs w:val="16"/>
    </w:rPr>
  </w:style>
  <w:style w:type="paragraph" w:styleId="CommentText">
    <w:name w:val="annotation text"/>
    <w:basedOn w:val="Normal"/>
    <w:link w:val="CommentTextChar"/>
    <w:rsid w:val="00C32316"/>
  </w:style>
  <w:style w:type="paragraph" w:styleId="CommentSubject">
    <w:name w:val="annotation subject"/>
    <w:basedOn w:val="CommentText"/>
    <w:next w:val="CommentText"/>
    <w:semiHidden/>
    <w:rsid w:val="00C32316"/>
    <w:rPr>
      <w:b/>
      <w:bCs/>
    </w:rPr>
  </w:style>
  <w:style w:type="table" w:styleId="TableGrid">
    <w:name w:val="Table Grid"/>
    <w:basedOn w:val="TableNormal"/>
    <w:rsid w:val="00AB172E"/>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4512B8"/>
    <w:rPr>
      <w:vertAlign w:val="superscript"/>
    </w:rPr>
  </w:style>
  <w:style w:type="paragraph" w:styleId="Revision">
    <w:name w:val="Revision"/>
    <w:hidden/>
    <w:uiPriority w:val="99"/>
    <w:semiHidden/>
    <w:rsid w:val="00C81F38"/>
    <w:rPr>
      <w:rFonts w:ascii="Book Antiqua" w:hAnsi="Book Antiqua"/>
    </w:rPr>
  </w:style>
  <w:style w:type="character" w:customStyle="1" w:styleId="Heading1Char">
    <w:name w:val="Heading 1 Char"/>
    <w:link w:val="Heading1"/>
    <w:rsid w:val="00E32776"/>
    <w:rPr>
      <w:rFonts w:ascii="Arial" w:hAnsi="Arial"/>
      <w:b/>
      <w:smallCaps/>
      <w:kern w:val="28"/>
      <w:sz w:val="34"/>
    </w:rPr>
  </w:style>
  <w:style w:type="character" w:customStyle="1" w:styleId="Heading2Char">
    <w:name w:val="Heading 2 Char"/>
    <w:link w:val="Heading2"/>
    <w:rsid w:val="00CA7CCD"/>
    <w:rPr>
      <w:rFonts w:ascii="Arial" w:hAnsi="Arial"/>
      <w:b/>
      <w:color w:val="000000"/>
      <w:sz w:val="30"/>
    </w:rPr>
  </w:style>
  <w:style w:type="character" w:customStyle="1" w:styleId="Heading3Char">
    <w:name w:val="Heading 3 Char"/>
    <w:link w:val="Heading3"/>
    <w:rsid w:val="00B13980"/>
    <w:rPr>
      <w:rFonts w:ascii="Arial" w:hAnsi="Arial"/>
      <w:b/>
      <w:smallCaps/>
      <w:color w:val="000000"/>
      <w:sz w:val="25"/>
    </w:rPr>
  </w:style>
  <w:style w:type="character" w:customStyle="1" w:styleId="Heading4Char">
    <w:name w:val="Heading 4 Char"/>
    <w:link w:val="Heading4"/>
    <w:rsid w:val="002113A9"/>
    <w:rPr>
      <w:rFonts w:ascii="Arial" w:hAnsi="Arial"/>
      <w:b/>
      <w:color w:val="000000"/>
    </w:rPr>
  </w:style>
  <w:style w:type="character" w:customStyle="1" w:styleId="FooterChar">
    <w:name w:val="Footer Char"/>
    <w:link w:val="Footer"/>
    <w:rsid w:val="009C047F"/>
    <w:rPr>
      <w:rFonts w:ascii="Arial" w:hAnsi="Arial"/>
      <w:color w:val="000000"/>
    </w:rPr>
  </w:style>
  <w:style w:type="character" w:customStyle="1" w:styleId="FootnoteTextChar">
    <w:name w:val="Footnote Text Char"/>
    <w:link w:val="FootnoteText"/>
    <w:semiHidden/>
    <w:rsid w:val="009C047F"/>
    <w:rPr>
      <w:rFonts w:ascii="Book Antiqua" w:hAnsi="Book Antiqua"/>
      <w:color w:val="000000"/>
      <w:sz w:val="18"/>
    </w:rPr>
  </w:style>
  <w:style w:type="character" w:customStyle="1" w:styleId="HeaderChar">
    <w:name w:val="Header Char"/>
    <w:link w:val="Header"/>
    <w:rsid w:val="009C047F"/>
    <w:rPr>
      <w:rFonts w:ascii="Book Antiqua" w:hAnsi="Book Antiqua"/>
      <w:i/>
    </w:rPr>
  </w:style>
  <w:style w:type="character" w:customStyle="1" w:styleId="NormalItalic">
    <w:name w:val="Normal Italic"/>
    <w:semiHidden/>
    <w:rsid w:val="009C047F"/>
    <w:rPr>
      <w:i/>
      <w:iCs/>
    </w:rPr>
  </w:style>
  <w:style w:type="character" w:customStyle="1" w:styleId="DashChar">
    <w:name w:val="Dash Char"/>
    <w:link w:val="Dash"/>
    <w:rsid w:val="00CA7686"/>
    <w:rPr>
      <w:rFonts w:ascii="Book Antiqua" w:hAnsi="Book Antiqua"/>
      <w:color w:val="000000" w:themeColor="text1"/>
    </w:rPr>
  </w:style>
  <w:style w:type="paragraph" w:customStyle="1" w:styleId="TableTextBullet">
    <w:name w:val="Table Text Bullet"/>
    <w:basedOn w:val="Normal"/>
    <w:rsid w:val="00E06C27"/>
    <w:pPr>
      <w:tabs>
        <w:tab w:val="num" w:pos="283"/>
      </w:tabs>
      <w:spacing w:before="20" w:after="20" w:line="200" w:lineRule="exact"/>
      <w:ind w:left="284" w:hanging="284"/>
      <w:jc w:val="left"/>
    </w:pPr>
    <w:rPr>
      <w:rFonts w:ascii="Arial" w:hAnsi="Arial"/>
      <w:color w:val="000000"/>
      <w:sz w:val="16"/>
      <w:szCs w:val="16"/>
    </w:rPr>
  </w:style>
  <w:style w:type="paragraph" w:styleId="ListParagraph">
    <w:name w:val="List Paragraph"/>
    <w:basedOn w:val="Normal"/>
    <w:link w:val="ListParagraphChar"/>
    <w:uiPriority w:val="34"/>
    <w:qFormat/>
    <w:rsid w:val="00B1100A"/>
    <w:pPr>
      <w:spacing w:line="240" w:lineRule="auto"/>
      <w:ind w:left="720"/>
      <w:contextualSpacing/>
      <w:jc w:val="left"/>
    </w:pPr>
    <w:rPr>
      <w:rFonts w:ascii="Times New Roman" w:hAnsi="Times New Roman"/>
      <w:sz w:val="24"/>
    </w:rPr>
  </w:style>
  <w:style w:type="character" w:customStyle="1" w:styleId="ListParagraphChar">
    <w:name w:val="List Paragraph Char"/>
    <w:link w:val="ListParagraph"/>
    <w:uiPriority w:val="34"/>
    <w:rsid w:val="00B1100A"/>
    <w:rPr>
      <w:sz w:val="24"/>
    </w:rPr>
  </w:style>
  <w:style w:type="paragraph" w:styleId="NormalWeb">
    <w:name w:val="Normal (Web)"/>
    <w:basedOn w:val="Normal"/>
    <w:uiPriority w:val="99"/>
    <w:rsid w:val="00B13980"/>
    <w:rPr>
      <w:sz w:val="18"/>
      <w:szCs w:val="24"/>
    </w:rPr>
  </w:style>
  <w:style w:type="character" w:styleId="Emphasis">
    <w:name w:val="Emphasis"/>
    <w:semiHidden/>
    <w:qFormat/>
    <w:rsid w:val="000A18F5"/>
    <w:rPr>
      <w:i/>
      <w:iCs/>
    </w:rPr>
  </w:style>
  <w:style w:type="paragraph" w:customStyle="1" w:styleId="StyleBoldLeft127cmPatternClearBackground1">
    <w:name w:val="Style Bold Left:  1.27 cm Pattern: Clear (Background 1)"/>
    <w:basedOn w:val="Normal"/>
    <w:rsid w:val="00FE5BCB"/>
    <w:pPr>
      <w:shd w:val="clear" w:color="auto" w:fill="E6E6E6"/>
      <w:ind w:left="720"/>
    </w:pPr>
    <w:rPr>
      <w:b/>
      <w:bCs/>
    </w:rPr>
  </w:style>
  <w:style w:type="character" w:customStyle="1" w:styleId="BulletChar">
    <w:name w:val="Bullet Char"/>
    <w:link w:val="Bullet"/>
    <w:rsid w:val="007F4912"/>
    <w:rPr>
      <w:rFonts w:ascii="Book Antiqua" w:hAnsi="Book Antiqua"/>
      <w:color w:val="000000" w:themeColor="text1"/>
    </w:rPr>
  </w:style>
  <w:style w:type="table" w:styleId="TableClassic4">
    <w:name w:val="Table Classic 4"/>
    <w:basedOn w:val="TableNormal"/>
    <w:rsid w:val="000F1A94"/>
    <w:pPr>
      <w:spacing w:after="240" w:line="26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0F1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5">
    <w:name w:val="Colorful Grid Accent 5"/>
    <w:basedOn w:val="TableNormal"/>
    <w:uiPriority w:val="73"/>
    <w:rsid w:val="000F1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Colorful2">
    <w:name w:val="Table Colorful 2"/>
    <w:basedOn w:val="TableNormal"/>
    <w:rsid w:val="000F1A94"/>
    <w:pPr>
      <w:spacing w:after="240" w:line="26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rsid w:val="000B02D4"/>
    <w:rPr>
      <w:rFonts w:ascii="Book Antiqua" w:hAnsi="Book Antiqua"/>
    </w:rPr>
  </w:style>
  <w:style w:type="character" w:styleId="Hyperlink">
    <w:name w:val="Hyperlink"/>
    <w:uiPriority w:val="99"/>
    <w:rsid w:val="004A63AD"/>
    <w:rPr>
      <w:noProof/>
      <w:color w:val="0000FF"/>
      <w:u w:val="single"/>
    </w:rPr>
  </w:style>
  <w:style w:type="character" w:customStyle="1" w:styleId="BalloonTextChar">
    <w:name w:val="Balloon Text Char"/>
    <w:basedOn w:val="DefaultParagraphFont"/>
    <w:link w:val="BalloonText"/>
    <w:rsid w:val="000B02D4"/>
    <w:rPr>
      <w:rFonts w:ascii="Tahoma" w:hAnsi="Tahoma" w:cs="Tahoma"/>
      <w:sz w:val="16"/>
      <w:szCs w:val="16"/>
    </w:rPr>
  </w:style>
  <w:style w:type="paragraph" w:styleId="TOCHeading">
    <w:name w:val="TOC Heading"/>
    <w:basedOn w:val="Heading1"/>
    <w:next w:val="Normal"/>
    <w:uiPriority w:val="39"/>
    <w:unhideWhenUsed/>
    <w:qFormat/>
    <w:rsid w:val="00BB27DA"/>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character" w:customStyle="1" w:styleId="Heading5Char">
    <w:name w:val="Heading 5 Char"/>
    <w:basedOn w:val="DefaultParagraphFont"/>
    <w:link w:val="Heading5"/>
    <w:rsid w:val="00AF757C"/>
    <w:rPr>
      <w:rFonts w:ascii="Arial" w:hAnsi="Arial"/>
      <w:i/>
      <w:color w:val="000000"/>
    </w:rPr>
  </w:style>
  <w:style w:type="character" w:customStyle="1" w:styleId="Heading6Char">
    <w:name w:val="Heading 6 Char"/>
    <w:basedOn w:val="DefaultParagraphFont"/>
    <w:link w:val="Heading6"/>
    <w:rsid w:val="00AF757C"/>
    <w:rPr>
      <w:rFonts w:ascii="Arial" w:hAnsi="Arial"/>
      <w:color w:val="000000"/>
    </w:rPr>
  </w:style>
  <w:style w:type="character" w:customStyle="1" w:styleId="Heading7Char">
    <w:name w:val="Heading 7 Char"/>
    <w:basedOn w:val="DefaultParagraphFont"/>
    <w:link w:val="Heading7"/>
    <w:rsid w:val="00AF757C"/>
    <w:rPr>
      <w:rFonts w:ascii="Arial" w:hAnsi="Arial"/>
      <w:color w:val="000000"/>
      <w:sz w:val="18"/>
    </w:rPr>
  </w:style>
  <w:style w:type="character" w:customStyle="1" w:styleId="Heading8Char">
    <w:name w:val="Heading 8 Char"/>
    <w:basedOn w:val="DefaultParagraphFont"/>
    <w:link w:val="Heading8"/>
    <w:rsid w:val="00AF757C"/>
    <w:rPr>
      <w:rFonts w:ascii="Arial" w:hAnsi="Arial"/>
      <w:i/>
    </w:rPr>
  </w:style>
  <w:style w:type="character" w:styleId="FollowedHyperlink">
    <w:name w:val="FollowedHyperlink"/>
    <w:basedOn w:val="DefaultParagraphFont"/>
    <w:uiPriority w:val="99"/>
    <w:unhideWhenUsed/>
    <w:rsid w:val="00AF757C"/>
    <w:rPr>
      <w:color w:val="800080" w:themeColor="followedHyperlink"/>
      <w:u w:val="single"/>
    </w:rPr>
  </w:style>
  <w:style w:type="character" w:customStyle="1" w:styleId="ClosingChar">
    <w:name w:val="Closing Char"/>
    <w:basedOn w:val="DefaultParagraphFont"/>
    <w:link w:val="Closing"/>
    <w:rsid w:val="00AF757C"/>
    <w:rPr>
      <w:rFonts w:ascii="Book Antiqua" w:hAnsi="Book Antiqua"/>
    </w:rPr>
  </w:style>
  <w:style w:type="paragraph" w:styleId="Index4">
    <w:name w:val="index 4"/>
    <w:basedOn w:val="Normal"/>
    <w:next w:val="Normal"/>
    <w:autoRedefine/>
    <w:unhideWhenUsed/>
    <w:rsid w:val="00087873"/>
    <w:pPr>
      <w:spacing w:after="0"/>
      <w:ind w:left="800" w:hanging="200"/>
      <w:jc w:val="left"/>
    </w:pPr>
    <w:rPr>
      <w:rFonts w:asciiTheme="minorHAnsi" w:hAnsiTheme="minorHAnsi"/>
      <w:sz w:val="18"/>
      <w:szCs w:val="18"/>
    </w:rPr>
  </w:style>
  <w:style w:type="paragraph" w:styleId="Index5">
    <w:name w:val="index 5"/>
    <w:basedOn w:val="Normal"/>
    <w:next w:val="Normal"/>
    <w:autoRedefine/>
    <w:unhideWhenUsed/>
    <w:rsid w:val="00087873"/>
    <w:pPr>
      <w:spacing w:after="0"/>
      <w:ind w:left="1000" w:hanging="200"/>
      <w:jc w:val="left"/>
    </w:pPr>
    <w:rPr>
      <w:rFonts w:asciiTheme="minorHAnsi" w:hAnsiTheme="minorHAnsi"/>
      <w:sz w:val="18"/>
      <w:szCs w:val="18"/>
    </w:rPr>
  </w:style>
  <w:style w:type="paragraph" w:styleId="Index6">
    <w:name w:val="index 6"/>
    <w:basedOn w:val="Normal"/>
    <w:next w:val="Normal"/>
    <w:autoRedefine/>
    <w:unhideWhenUsed/>
    <w:rsid w:val="00087873"/>
    <w:pPr>
      <w:spacing w:after="0"/>
      <w:ind w:left="1200" w:hanging="200"/>
      <w:jc w:val="left"/>
    </w:pPr>
    <w:rPr>
      <w:rFonts w:asciiTheme="minorHAnsi" w:hAnsiTheme="minorHAnsi"/>
      <w:sz w:val="18"/>
      <w:szCs w:val="18"/>
    </w:rPr>
  </w:style>
  <w:style w:type="paragraph" w:styleId="Index7">
    <w:name w:val="index 7"/>
    <w:basedOn w:val="Normal"/>
    <w:next w:val="Normal"/>
    <w:autoRedefine/>
    <w:unhideWhenUsed/>
    <w:rsid w:val="00087873"/>
    <w:pPr>
      <w:spacing w:after="0"/>
      <w:ind w:left="1400" w:hanging="200"/>
      <w:jc w:val="left"/>
    </w:pPr>
    <w:rPr>
      <w:rFonts w:asciiTheme="minorHAnsi" w:hAnsiTheme="minorHAnsi"/>
      <w:sz w:val="18"/>
      <w:szCs w:val="18"/>
    </w:rPr>
  </w:style>
  <w:style w:type="paragraph" w:styleId="Index8">
    <w:name w:val="index 8"/>
    <w:basedOn w:val="Normal"/>
    <w:next w:val="Normal"/>
    <w:autoRedefine/>
    <w:unhideWhenUsed/>
    <w:rsid w:val="00087873"/>
    <w:pPr>
      <w:spacing w:after="0"/>
      <w:ind w:left="1600" w:hanging="200"/>
      <w:jc w:val="left"/>
    </w:pPr>
    <w:rPr>
      <w:rFonts w:asciiTheme="minorHAnsi" w:hAnsiTheme="minorHAnsi"/>
      <w:sz w:val="18"/>
      <w:szCs w:val="18"/>
    </w:rPr>
  </w:style>
  <w:style w:type="paragraph" w:styleId="Index9">
    <w:name w:val="index 9"/>
    <w:basedOn w:val="Normal"/>
    <w:next w:val="Normal"/>
    <w:autoRedefine/>
    <w:unhideWhenUsed/>
    <w:rsid w:val="00087873"/>
    <w:pPr>
      <w:spacing w:after="0"/>
      <w:ind w:left="1800" w:hanging="200"/>
      <w:jc w:val="left"/>
    </w:pPr>
    <w:rPr>
      <w:rFonts w:asciiTheme="minorHAnsi" w:hAnsiTheme="minorHAnsi"/>
      <w:sz w:val="18"/>
      <w:szCs w:val="18"/>
    </w:rPr>
  </w:style>
  <w:style w:type="paragraph" w:customStyle="1" w:styleId="StyleTESHeading5Left0cmFirstline0cm">
    <w:name w:val="Style TES Heading 5 + Left:  0 cm First line:  0 cm"/>
    <w:basedOn w:val="TESHeading5"/>
    <w:rsid w:val="007F4912"/>
    <w:pPr>
      <w:spacing w:before="440"/>
      <w:ind w:left="0" w:firstLine="0"/>
    </w:pPr>
    <w:rPr>
      <w:bCs/>
    </w:rPr>
  </w:style>
  <w:style w:type="paragraph" w:customStyle="1" w:styleId="LEGREFTEXT">
    <w:name w:val="LEG REF TEXT"/>
    <w:basedOn w:val="Normal"/>
    <w:qFormat/>
    <w:rsid w:val="00DE0DC6"/>
    <w:pPr>
      <w:widowControl w:val="0"/>
      <w:autoSpaceDE w:val="0"/>
      <w:autoSpaceDN w:val="0"/>
      <w:adjustRightInd w:val="0"/>
      <w:spacing w:after="0" w:line="240" w:lineRule="auto"/>
      <w:jc w:val="left"/>
    </w:pPr>
    <w:rPr>
      <w:rFonts w:ascii="Arial" w:hAnsi="Arial" w:cs="Arial"/>
      <w:sz w:val="16"/>
      <w:szCs w:val="16"/>
    </w:rPr>
  </w:style>
  <w:style w:type="paragraph" w:customStyle="1" w:styleId="Heading2-notnumbered">
    <w:name w:val="Heading 2 - not numbered"/>
    <w:basedOn w:val="Heading2"/>
    <w:qFormat/>
    <w:rsid w:val="00E5312D"/>
    <w:pPr>
      <w:numPr>
        <w:ilvl w:val="0"/>
        <w:numId w:val="0"/>
      </w:numPr>
      <w:tabs>
        <w:tab w:val="left" w:pos="567"/>
      </w:tabs>
    </w:pPr>
    <w:rPr>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1832">
      <w:bodyDiv w:val="1"/>
      <w:marLeft w:val="0"/>
      <w:marRight w:val="0"/>
      <w:marTop w:val="0"/>
      <w:marBottom w:val="0"/>
      <w:divBdr>
        <w:top w:val="none" w:sz="0" w:space="0" w:color="auto"/>
        <w:left w:val="none" w:sz="0" w:space="0" w:color="auto"/>
        <w:bottom w:val="none" w:sz="0" w:space="0" w:color="auto"/>
        <w:right w:val="none" w:sz="0" w:space="0" w:color="auto"/>
      </w:divBdr>
    </w:div>
    <w:div w:id="94253875">
      <w:bodyDiv w:val="1"/>
      <w:marLeft w:val="0"/>
      <w:marRight w:val="0"/>
      <w:marTop w:val="0"/>
      <w:marBottom w:val="0"/>
      <w:divBdr>
        <w:top w:val="none" w:sz="0" w:space="0" w:color="auto"/>
        <w:left w:val="none" w:sz="0" w:space="0" w:color="auto"/>
        <w:bottom w:val="none" w:sz="0" w:space="0" w:color="auto"/>
        <w:right w:val="none" w:sz="0" w:space="0" w:color="auto"/>
      </w:divBdr>
    </w:div>
    <w:div w:id="110636321">
      <w:bodyDiv w:val="1"/>
      <w:marLeft w:val="0"/>
      <w:marRight w:val="0"/>
      <w:marTop w:val="0"/>
      <w:marBottom w:val="0"/>
      <w:divBdr>
        <w:top w:val="none" w:sz="0" w:space="0" w:color="auto"/>
        <w:left w:val="none" w:sz="0" w:space="0" w:color="auto"/>
        <w:bottom w:val="none" w:sz="0" w:space="0" w:color="auto"/>
        <w:right w:val="none" w:sz="0" w:space="0" w:color="auto"/>
      </w:divBdr>
    </w:div>
    <w:div w:id="112754078">
      <w:bodyDiv w:val="1"/>
      <w:marLeft w:val="0"/>
      <w:marRight w:val="0"/>
      <w:marTop w:val="0"/>
      <w:marBottom w:val="0"/>
      <w:divBdr>
        <w:top w:val="none" w:sz="0" w:space="0" w:color="auto"/>
        <w:left w:val="none" w:sz="0" w:space="0" w:color="auto"/>
        <w:bottom w:val="none" w:sz="0" w:space="0" w:color="auto"/>
        <w:right w:val="none" w:sz="0" w:space="0" w:color="auto"/>
      </w:divBdr>
    </w:div>
    <w:div w:id="159397093">
      <w:bodyDiv w:val="1"/>
      <w:marLeft w:val="0"/>
      <w:marRight w:val="0"/>
      <w:marTop w:val="0"/>
      <w:marBottom w:val="0"/>
      <w:divBdr>
        <w:top w:val="none" w:sz="0" w:space="0" w:color="auto"/>
        <w:left w:val="none" w:sz="0" w:space="0" w:color="auto"/>
        <w:bottom w:val="none" w:sz="0" w:space="0" w:color="auto"/>
        <w:right w:val="none" w:sz="0" w:space="0" w:color="auto"/>
      </w:divBdr>
    </w:div>
    <w:div w:id="179705701">
      <w:bodyDiv w:val="1"/>
      <w:marLeft w:val="0"/>
      <w:marRight w:val="0"/>
      <w:marTop w:val="0"/>
      <w:marBottom w:val="0"/>
      <w:divBdr>
        <w:top w:val="none" w:sz="0" w:space="0" w:color="auto"/>
        <w:left w:val="none" w:sz="0" w:space="0" w:color="auto"/>
        <w:bottom w:val="none" w:sz="0" w:space="0" w:color="auto"/>
        <w:right w:val="none" w:sz="0" w:space="0" w:color="auto"/>
      </w:divBdr>
    </w:div>
    <w:div w:id="190185842">
      <w:bodyDiv w:val="1"/>
      <w:marLeft w:val="0"/>
      <w:marRight w:val="0"/>
      <w:marTop w:val="0"/>
      <w:marBottom w:val="0"/>
      <w:divBdr>
        <w:top w:val="none" w:sz="0" w:space="0" w:color="auto"/>
        <w:left w:val="none" w:sz="0" w:space="0" w:color="auto"/>
        <w:bottom w:val="none" w:sz="0" w:space="0" w:color="auto"/>
        <w:right w:val="none" w:sz="0" w:space="0" w:color="auto"/>
      </w:divBdr>
    </w:div>
    <w:div w:id="190457369">
      <w:bodyDiv w:val="1"/>
      <w:marLeft w:val="0"/>
      <w:marRight w:val="0"/>
      <w:marTop w:val="0"/>
      <w:marBottom w:val="0"/>
      <w:divBdr>
        <w:top w:val="none" w:sz="0" w:space="0" w:color="auto"/>
        <w:left w:val="none" w:sz="0" w:space="0" w:color="auto"/>
        <w:bottom w:val="none" w:sz="0" w:space="0" w:color="auto"/>
        <w:right w:val="none" w:sz="0" w:space="0" w:color="auto"/>
      </w:divBdr>
    </w:div>
    <w:div w:id="270599983">
      <w:bodyDiv w:val="1"/>
      <w:marLeft w:val="0"/>
      <w:marRight w:val="0"/>
      <w:marTop w:val="0"/>
      <w:marBottom w:val="0"/>
      <w:divBdr>
        <w:top w:val="none" w:sz="0" w:space="0" w:color="auto"/>
        <w:left w:val="none" w:sz="0" w:space="0" w:color="auto"/>
        <w:bottom w:val="none" w:sz="0" w:space="0" w:color="auto"/>
        <w:right w:val="none" w:sz="0" w:space="0" w:color="auto"/>
      </w:divBdr>
    </w:div>
    <w:div w:id="276453988">
      <w:bodyDiv w:val="1"/>
      <w:marLeft w:val="0"/>
      <w:marRight w:val="0"/>
      <w:marTop w:val="0"/>
      <w:marBottom w:val="0"/>
      <w:divBdr>
        <w:top w:val="none" w:sz="0" w:space="0" w:color="auto"/>
        <w:left w:val="none" w:sz="0" w:space="0" w:color="auto"/>
        <w:bottom w:val="none" w:sz="0" w:space="0" w:color="auto"/>
        <w:right w:val="none" w:sz="0" w:space="0" w:color="auto"/>
      </w:divBdr>
    </w:div>
    <w:div w:id="309866876">
      <w:bodyDiv w:val="1"/>
      <w:marLeft w:val="0"/>
      <w:marRight w:val="0"/>
      <w:marTop w:val="0"/>
      <w:marBottom w:val="0"/>
      <w:divBdr>
        <w:top w:val="none" w:sz="0" w:space="0" w:color="auto"/>
        <w:left w:val="none" w:sz="0" w:space="0" w:color="auto"/>
        <w:bottom w:val="none" w:sz="0" w:space="0" w:color="auto"/>
        <w:right w:val="none" w:sz="0" w:space="0" w:color="auto"/>
      </w:divBdr>
    </w:div>
    <w:div w:id="335426752">
      <w:bodyDiv w:val="1"/>
      <w:marLeft w:val="0"/>
      <w:marRight w:val="0"/>
      <w:marTop w:val="0"/>
      <w:marBottom w:val="0"/>
      <w:divBdr>
        <w:top w:val="none" w:sz="0" w:space="0" w:color="auto"/>
        <w:left w:val="none" w:sz="0" w:space="0" w:color="auto"/>
        <w:bottom w:val="none" w:sz="0" w:space="0" w:color="auto"/>
        <w:right w:val="none" w:sz="0" w:space="0" w:color="auto"/>
      </w:divBdr>
    </w:div>
    <w:div w:id="385224192">
      <w:bodyDiv w:val="1"/>
      <w:marLeft w:val="0"/>
      <w:marRight w:val="0"/>
      <w:marTop w:val="0"/>
      <w:marBottom w:val="0"/>
      <w:divBdr>
        <w:top w:val="none" w:sz="0" w:space="0" w:color="auto"/>
        <w:left w:val="none" w:sz="0" w:space="0" w:color="auto"/>
        <w:bottom w:val="none" w:sz="0" w:space="0" w:color="auto"/>
        <w:right w:val="none" w:sz="0" w:space="0" w:color="auto"/>
      </w:divBdr>
    </w:div>
    <w:div w:id="423191800">
      <w:bodyDiv w:val="1"/>
      <w:marLeft w:val="0"/>
      <w:marRight w:val="0"/>
      <w:marTop w:val="0"/>
      <w:marBottom w:val="0"/>
      <w:divBdr>
        <w:top w:val="none" w:sz="0" w:space="0" w:color="auto"/>
        <w:left w:val="none" w:sz="0" w:space="0" w:color="auto"/>
        <w:bottom w:val="none" w:sz="0" w:space="0" w:color="auto"/>
        <w:right w:val="none" w:sz="0" w:space="0" w:color="auto"/>
      </w:divBdr>
    </w:div>
    <w:div w:id="476262444">
      <w:bodyDiv w:val="1"/>
      <w:marLeft w:val="0"/>
      <w:marRight w:val="0"/>
      <w:marTop w:val="0"/>
      <w:marBottom w:val="0"/>
      <w:divBdr>
        <w:top w:val="none" w:sz="0" w:space="0" w:color="auto"/>
        <w:left w:val="none" w:sz="0" w:space="0" w:color="auto"/>
        <w:bottom w:val="none" w:sz="0" w:space="0" w:color="auto"/>
        <w:right w:val="none" w:sz="0" w:space="0" w:color="auto"/>
      </w:divBdr>
    </w:div>
    <w:div w:id="502553072">
      <w:bodyDiv w:val="1"/>
      <w:marLeft w:val="0"/>
      <w:marRight w:val="0"/>
      <w:marTop w:val="0"/>
      <w:marBottom w:val="0"/>
      <w:divBdr>
        <w:top w:val="none" w:sz="0" w:space="0" w:color="auto"/>
        <w:left w:val="none" w:sz="0" w:space="0" w:color="auto"/>
        <w:bottom w:val="none" w:sz="0" w:space="0" w:color="auto"/>
        <w:right w:val="none" w:sz="0" w:space="0" w:color="auto"/>
      </w:divBdr>
    </w:div>
    <w:div w:id="515048346">
      <w:bodyDiv w:val="1"/>
      <w:marLeft w:val="0"/>
      <w:marRight w:val="0"/>
      <w:marTop w:val="0"/>
      <w:marBottom w:val="0"/>
      <w:divBdr>
        <w:top w:val="none" w:sz="0" w:space="0" w:color="auto"/>
        <w:left w:val="none" w:sz="0" w:space="0" w:color="auto"/>
        <w:bottom w:val="none" w:sz="0" w:space="0" w:color="auto"/>
        <w:right w:val="none" w:sz="0" w:space="0" w:color="auto"/>
      </w:divBdr>
    </w:div>
    <w:div w:id="557908686">
      <w:bodyDiv w:val="1"/>
      <w:marLeft w:val="0"/>
      <w:marRight w:val="0"/>
      <w:marTop w:val="0"/>
      <w:marBottom w:val="0"/>
      <w:divBdr>
        <w:top w:val="none" w:sz="0" w:space="0" w:color="auto"/>
        <w:left w:val="none" w:sz="0" w:space="0" w:color="auto"/>
        <w:bottom w:val="none" w:sz="0" w:space="0" w:color="auto"/>
        <w:right w:val="none" w:sz="0" w:space="0" w:color="auto"/>
      </w:divBdr>
    </w:div>
    <w:div w:id="617102541">
      <w:bodyDiv w:val="1"/>
      <w:marLeft w:val="0"/>
      <w:marRight w:val="0"/>
      <w:marTop w:val="0"/>
      <w:marBottom w:val="0"/>
      <w:divBdr>
        <w:top w:val="none" w:sz="0" w:space="0" w:color="auto"/>
        <w:left w:val="none" w:sz="0" w:space="0" w:color="auto"/>
        <w:bottom w:val="none" w:sz="0" w:space="0" w:color="auto"/>
        <w:right w:val="none" w:sz="0" w:space="0" w:color="auto"/>
      </w:divBdr>
    </w:div>
    <w:div w:id="643661668">
      <w:bodyDiv w:val="1"/>
      <w:marLeft w:val="0"/>
      <w:marRight w:val="0"/>
      <w:marTop w:val="0"/>
      <w:marBottom w:val="0"/>
      <w:divBdr>
        <w:top w:val="none" w:sz="0" w:space="0" w:color="auto"/>
        <w:left w:val="none" w:sz="0" w:space="0" w:color="auto"/>
        <w:bottom w:val="none" w:sz="0" w:space="0" w:color="auto"/>
        <w:right w:val="none" w:sz="0" w:space="0" w:color="auto"/>
      </w:divBdr>
    </w:div>
    <w:div w:id="649555805">
      <w:bodyDiv w:val="1"/>
      <w:marLeft w:val="0"/>
      <w:marRight w:val="0"/>
      <w:marTop w:val="0"/>
      <w:marBottom w:val="0"/>
      <w:divBdr>
        <w:top w:val="none" w:sz="0" w:space="0" w:color="auto"/>
        <w:left w:val="none" w:sz="0" w:space="0" w:color="auto"/>
        <w:bottom w:val="none" w:sz="0" w:space="0" w:color="auto"/>
        <w:right w:val="none" w:sz="0" w:space="0" w:color="auto"/>
      </w:divBdr>
    </w:div>
    <w:div w:id="660307522">
      <w:bodyDiv w:val="1"/>
      <w:marLeft w:val="0"/>
      <w:marRight w:val="0"/>
      <w:marTop w:val="0"/>
      <w:marBottom w:val="0"/>
      <w:divBdr>
        <w:top w:val="none" w:sz="0" w:space="0" w:color="auto"/>
        <w:left w:val="none" w:sz="0" w:space="0" w:color="auto"/>
        <w:bottom w:val="none" w:sz="0" w:space="0" w:color="auto"/>
        <w:right w:val="none" w:sz="0" w:space="0" w:color="auto"/>
      </w:divBdr>
    </w:div>
    <w:div w:id="719133136">
      <w:bodyDiv w:val="1"/>
      <w:marLeft w:val="0"/>
      <w:marRight w:val="0"/>
      <w:marTop w:val="0"/>
      <w:marBottom w:val="0"/>
      <w:divBdr>
        <w:top w:val="none" w:sz="0" w:space="0" w:color="auto"/>
        <w:left w:val="none" w:sz="0" w:space="0" w:color="auto"/>
        <w:bottom w:val="none" w:sz="0" w:space="0" w:color="auto"/>
        <w:right w:val="none" w:sz="0" w:space="0" w:color="auto"/>
      </w:divBdr>
    </w:div>
    <w:div w:id="728919135">
      <w:bodyDiv w:val="1"/>
      <w:marLeft w:val="0"/>
      <w:marRight w:val="0"/>
      <w:marTop w:val="0"/>
      <w:marBottom w:val="0"/>
      <w:divBdr>
        <w:top w:val="none" w:sz="0" w:space="0" w:color="auto"/>
        <w:left w:val="none" w:sz="0" w:space="0" w:color="auto"/>
        <w:bottom w:val="none" w:sz="0" w:space="0" w:color="auto"/>
        <w:right w:val="none" w:sz="0" w:space="0" w:color="auto"/>
      </w:divBdr>
    </w:div>
    <w:div w:id="758792714">
      <w:bodyDiv w:val="1"/>
      <w:marLeft w:val="0"/>
      <w:marRight w:val="0"/>
      <w:marTop w:val="0"/>
      <w:marBottom w:val="0"/>
      <w:divBdr>
        <w:top w:val="none" w:sz="0" w:space="0" w:color="auto"/>
        <w:left w:val="none" w:sz="0" w:space="0" w:color="auto"/>
        <w:bottom w:val="none" w:sz="0" w:space="0" w:color="auto"/>
        <w:right w:val="none" w:sz="0" w:space="0" w:color="auto"/>
      </w:divBdr>
    </w:div>
    <w:div w:id="769198735">
      <w:bodyDiv w:val="1"/>
      <w:marLeft w:val="0"/>
      <w:marRight w:val="0"/>
      <w:marTop w:val="0"/>
      <w:marBottom w:val="0"/>
      <w:divBdr>
        <w:top w:val="none" w:sz="0" w:space="0" w:color="auto"/>
        <w:left w:val="none" w:sz="0" w:space="0" w:color="auto"/>
        <w:bottom w:val="none" w:sz="0" w:space="0" w:color="auto"/>
        <w:right w:val="none" w:sz="0" w:space="0" w:color="auto"/>
      </w:divBdr>
    </w:div>
    <w:div w:id="777673791">
      <w:bodyDiv w:val="1"/>
      <w:marLeft w:val="0"/>
      <w:marRight w:val="0"/>
      <w:marTop w:val="0"/>
      <w:marBottom w:val="0"/>
      <w:divBdr>
        <w:top w:val="none" w:sz="0" w:space="0" w:color="auto"/>
        <w:left w:val="none" w:sz="0" w:space="0" w:color="auto"/>
        <w:bottom w:val="none" w:sz="0" w:space="0" w:color="auto"/>
        <w:right w:val="none" w:sz="0" w:space="0" w:color="auto"/>
      </w:divBdr>
    </w:div>
    <w:div w:id="825167892">
      <w:bodyDiv w:val="1"/>
      <w:marLeft w:val="0"/>
      <w:marRight w:val="0"/>
      <w:marTop w:val="0"/>
      <w:marBottom w:val="0"/>
      <w:divBdr>
        <w:top w:val="none" w:sz="0" w:space="0" w:color="auto"/>
        <w:left w:val="none" w:sz="0" w:space="0" w:color="auto"/>
        <w:bottom w:val="none" w:sz="0" w:space="0" w:color="auto"/>
        <w:right w:val="none" w:sz="0" w:space="0" w:color="auto"/>
      </w:divBdr>
    </w:div>
    <w:div w:id="837383768">
      <w:bodyDiv w:val="1"/>
      <w:marLeft w:val="0"/>
      <w:marRight w:val="0"/>
      <w:marTop w:val="0"/>
      <w:marBottom w:val="0"/>
      <w:divBdr>
        <w:top w:val="none" w:sz="0" w:space="0" w:color="auto"/>
        <w:left w:val="none" w:sz="0" w:space="0" w:color="auto"/>
        <w:bottom w:val="none" w:sz="0" w:space="0" w:color="auto"/>
        <w:right w:val="none" w:sz="0" w:space="0" w:color="auto"/>
      </w:divBdr>
    </w:div>
    <w:div w:id="870605225">
      <w:bodyDiv w:val="1"/>
      <w:marLeft w:val="0"/>
      <w:marRight w:val="0"/>
      <w:marTop w:val="0"/>
      <w:marBottom w:val="0"/>
      <w:divBdr>
        <w:top w:val="none" w:sz="0" w:space="0" w:color="auto"/>
        <w:left w:val="none" w:sz="0" w:space="0" w:color="auto"/>
        <w:bottom w:val="none" w:sz="0" w:space="0" w:color="auto"/>
        <w:right w:val="none" w:sz="0" w:space="0" w:color="auto"/>
      </w:divBdr>
    </w:div>
    <w:div w:id="885064965">
      <w:bodyDiv w:val="1"/>
      <w:marLeft w:val="0"/>
      <w:marRight w:val="0"/>
      <w:marTop w:val="0"/>
      <w:marBottom w:val="0"/>
      <w:divBdr>
        <w:top w:val="none" w:sz="0" w:space="0" w:color="auto"/>
        <w:left w:val="none" w:sz="0" w:space="0" w:color="auto"/>
        <w:bottom w:val="none" w:sz="0" w:space="0" w:color="auto"/>
        <w:right w:val="none" w:sz="0" w:space="0" w:color="auto"/>
      </w:divBdr>
    </w:div>
    <w:div w:id="887690357">
      <w:bodyDiv w:val="1"/>
      <w:marLeft w:val="0"/>
      <w:marRight w:val="0"/>
      <w:marTop w:val="0"/>
      <w:marBottom w:val="0"/>
      <w:divBdr>
        <w:top w:val="none" w:sz="0" w:space="0" w:color="auto"/>
        <w:left w:val="none" w:sz="0" w:space="0" w:color="auto"/>
        <w:bottom w:val="none" w:sz="0" w:space="0" w:color="auto"/>
        <w:right w:val="none" w:sz="0" w:space="0" w:color="auto"/>
      </w:divBdr>
    </w:div>
    <w:div w:id="923538638">
      <w:bodyDiv w:val="1"/>
      <w:marLeft w:val="0"/>
      <w:marRight w:val="0"/>
      <w:marTop w:val="0"/>
      <w:marBottom w:val="0"/>
      <w:divBdr>
        <w:top w:val="none" w:sz="0" w:space="0" w:color="auto"/>
        <w:left w:val="none" w:sz="0" w:space="0" w:color="auto"/>
        <w:bottom w:val="none" w:sz="0" w:space="0" w:color="auto"/>
        <w:right w:val="none" w:sz="0" w:space="0" w:color="auto"/>
      </w:divBdr>
    </w:div>
    <w:div w:id="943147998">
      <w:bodyDiv w:val="1"/>
      <w:marLeft w:val="0"/>
      <w:marRight w:val="0"/>
      <w:marTop w:val="0"/>
      <w:marBottom w:val="0"/>
      <w:divBdr>
        <w:top w:val="none" w:sz="0" w:space="0" w:color="auto"/>
        <w:left w:val="none" w:sz="0" w:space="0" w:color="auto"/>
        <w:bottom w:val="none" w:sz="0" w:space="0" w:color="auto"/>
        <w:right w:val="none" w:sz="0" w:space="0" w:color="auto"/>
      </w:divBdr>
    </w:div>
    <w:div w:id="977303239">
      <w:bodyDiv w:val="1"/>
      <w:marLeft w:val="0"/>
      <w:marRight w:val="0"/>
      <w:marTop w:val="0"/>
      <w:marBottom w:val="0"/>
      <w:divBdr>
        <w:top w:val="none" w:sz="0" w:space="0" w:color="auto"/>
        <w:left w:val="none" w:sz="0" w:space="0" w:color="auto"/>
        <w:bottom w:val="none" w:sz="0" w:space="0" w:color="auto"/>
        <w:right w:val="none" w:sz="0" w:space="0" w:color="auto"/>
      </w:divBdr>
    </w:div>
    <w:div w:id="986668688">
      <w:bodyDiv w:val="1"/>
      <w:marLeft w:val="0"/>
      <w:marRight w:val="0"/>
      <w:marTop w:val="0"/>
      <w:marBottom w:val="0"/>
      <w:divBdr>
        <w:top w:val="none" w:sz="0" w:space="0" w:color="auto"/>
        <w:left w:val="none" w:sz="0" w:space="0" w:color="auto"/>
        <w:bottom w:val="none" w:sz="0" w:space="0" w:color="auto"/>
        <w:right w:val="none" w:sz="0" w:space="0" w:color="auto"/>
      </w:divBdr>
    </w:div>
    <w:div w:id="992175666">
      <w:bodyDiv w:val="1"/>
      <w:marLeft w:val="0"/>
      <w:marRight w:val="0"/>
      <w:marTop w:val="0"/>
      <w:marBottom w:val="0"/>
      <w:divBdr>
        <w:top w:val="none" w:sz="0" w:space="0" w:color="auto"/>
        <w:left w:val="none" w:sz="0" w:space="0" w:color="auto"/>
        <w:bottom w:val="none" w:sz="0" w:space="0" w:color="auto"/>
        <w:right w:val="none" w:sz="0" w:space="0" w:color="auto"/>
      </w:divBdr>
    </w:div>
    <w:div w:id="1098716913">
      <w:bodyDiv w:val="1"/>
      <w:marLeft w:val="0"/>
      <w:marRight w:val="0"/>
      <w:marTop w:val="0"/>
      <w:marBottom w:val="0"/>
      <w:divBdr>
        <w:top w:val="none" w:sz="0" w:space="0" w:color="auto"/>
        <w:left w:val="none" w:sz="0" w:space="0" w:color="auto"/>
        <w:bottom w:val="none" w:sz="0" w:space="0" w:color="auto"/>
        <w:right w:val="none" w:sz="0" w:space="0" w:color="auto"/>
      </w:divBdr>
    </w:div>
    <w:div w:id="1124428228">
      <w:bodyDiv w:val="1"/>
      <w:marLeft w:val="0"/>
      <w:marRight w:val="0"/>
      <w:marTop w:val="0"/>
      <w:marBottom w:val="0"/>
      <w:divBdr>
        <w:top w:val="none" w:sz="0" w:space="0" w:color="auto"/>
        <w:left w:val="none" w:sz="0" w:space="0" w:color="auto"/>
        <w:bottom w:val="none" w:sz="0" w:space="0" w:color="auto"/>
        <w:right w:val="none" w:sz="0" w:space="0" w:color="auto"/>
      </w:divBdr>
    </w:div>
    <w:div w:id="1161315121">
      <w:bodyDiv w:val="1"/>
      <w:marLeft w:val="0"/>
      <w:marRight w:val="0"/>
      <w:marTop w:val="0"/>
      <w:marBottom w:val="0"/>
      <w:divBdr>
        <w:top w:val="none" w:sz="0" w:space="0" w:color="auto"/>
        <w:left w:val="none" w:sz="0" w:space="0" w:color="auto"/>
        <w:bottom w:val="none" w:sz="0" w:space="0" w:color="auto"/>
        <w:right w:val="none" w:sz="0" w:space="0" w:color="auto"/>
      </w:divBdr>
    </w:div>
    <w:div w:id="1175220910">
      <w:bodyDiv w:val="1"/>
      <w:marLeft w:val="0"/>
      <w:marRight w:val="0"/>
      <w:marTop w:val="0"/>
      <w:marBottom w:val="0"/>
      <w:divBdr>
        <w:top w:val="none" w:sz="0" w:space="0" w:color="auto"/>
        <w:left w:val="none" w:sz="0" w:space="0" w:color="auto"/>
        <w:bottom w:val="none" w:sz="0" w:space="0" w:color="auto"/>
        <w:right w:val="none" w:sz="0" w:space="0" w:color="auto"/>
      </w:divBdr>
    </w:div>
    <w:div w:id="1244952733">
      <w:bodyDiv w:val="1"/>
      <w:marLeft w:val="0"/>
      <w:marRight w:val="0"/>
      <w:marTop w:val="0"/>
      <w:marBottom w:val="0"/>
      <w:divBdr>
        <w:top w:val="none" w:sz="0" w:space="0" w:color="auto"/>
        <w:left w:val="none" w:sz="0" w:space="0" w:color="auto"/>
        <w:bottom w:val="none" w:sz="0" w:space="0" w:color="auto"/>
        <w:right w:val="none" w:sz="0" w:space="0" w:color="auto"/>
      </w:divBdr>
    </w:div>
    <w:div w:id="1245799919">
      <w:bodyDiv w:val="1"/>
      <w:marLeft w:val="0"/>
      <w:marRight w:val="0"/>
      <w:marTop w:val="0"/>
      <w:marBottom w:val="0"/>
      <w:divBdr>
        <w:top w:val="none" w:sz="0" w:space="0" w:color="auto"/>
        <w:left w:val="none" w:sz="0" w:space="0" w:color="auto"/>
        <w:bottom w:val="none" w:sz="0" w:space="0" w:color="auto"/>
        <w:right w:val="none" w:sz="0" w:space="0" w:color="auto"/>
      </w:divBdr>
    </w:div>
    <w:div w:id="1249851177">
      <w:bodyDiv w:val="1"/>
      <w:marLeft w:val="0"/>
      <w:marRight w:val="0"/>
      <w:marTop w:val="0"/>
      <w:marBottom w:val="0"/>
      <w:divBdr>
        <w:top w:val="none" w:sz="0" w:space="0" w:color="auto"/>
        <w:left w:val="none" w:sz="0" w:space="0" w:color="auto"/>
        <w:bottom w:val="none" w:sz="0" w:space="0" w:color="auto"/>
        <w:right w:val="none" w:sz="0" w:space="0" w:color="auto"/>
      </w:divBdr>
    </w:div>
    <w:div w:id="1266841723">
      <w:bodyDiv w:val="1"/>
      <w:marLeft w:val="0"/>
      <w:marRight w:val="0"/>
      <w:marTop w:val="0"/>
      <w:marBottom w:val="0"/>
      <w:divBdr>
        <w:top w:val="none" w:sz="0" w:space="0" w:color="auto"/>
        <w:left w:val="none" w:sz="0" w:space="0" w:color="auto"/>
        <w:bottom w:val="none" w:sz="0" w:space="0" w:color="auto"/>
        <w:right w:val="none" w:sz="0" w:space="0" w:color="auto"/>
      </w:divBdr>
    </w:div>
    <w:div w:id="1369840377">
      <w:bodyDiv w:val="1"/>
      <w:marLeft w:val="0"/>
      <w:marRight w:val="0"/>
      <w:marTop w:val="0"/>
      <w:marBottom w:val="0"/>
      <w:divBdr>
        <w:top w:val="none" w:sz="0" w:space="0" w:color="auto"/>
        <w:left w:val="none" w:sz="0" w:space="0" w:color="auto"/>
        <w:bottom w:val="none" w:sz="0" w:space="0" w:color="auto"/>
        <w:right w:val="none" w:sz="0" w:space="0" w:color="auto"/>
      </w:divBdr>
    </w:div>
    <w:div w:id="1372992693">
      <w:bodyDiv w:val="1"/>
      <w:marLeft w:val="0"/>
      <w:marRight w:val="0"/>
      <w:marTop w:val="0"/>
      <w:marBottom w:val="0"/>
      <w:divBdr>
        <w:top w:val="none" w:sz="0" w:space="0" w:color="auto"/>
        <w:left w:val="none" w:sz="0" w:space="0" w:color="auto"/>
        <w:bottom w:val="none" w:sz="0" w:space="0" w:color="auto"/>
        <w:right w:val="none" w:sz="0" w:space="0" w:color="auto"/>
      </w:divBdr>
    </w:div>
    <w:div w:id="1378237199">
      <w:bodyDiv w:val="1"/>
      <w:marLeft w:val="0"/>
      <w:marRight w:val="0"/>
      <w:marTop w:val="0"/>
      <w:marBottom w:val="0"/>
      <w:divBdr>
        <w:top w:val="none" w:sz="0" w:space="0" w:color="auto"/>
        <w:left w:val="none" w:sz="0" w:space="0" w:color="auto"/>
        <w:bottom w:val="none" w:sz="0" w:space="0" w:color="auto"/>
        <w:right w:val="none" w:sz="0" w:space="0" w:color="auto"/>
      </w:divBdr>
    </w:div>
    <w:div w:id="1404257647">
      <w:bodyDiv w:val="1"/>
      <w:marLeft w:val="0"/>
      <w:marRight w:val="0"/>
      <w:marTop w:val="0"/>
      <w:marBottom w:val="0"/>
      <w:divBdr>
        <w:top w:val="none" w:sz="0" w:space="0" w:color="auto"/>
        <w:left w:val="none" w:sz="0" w:space="0" w:color="auto"/>
        <w:bottom w:val="none" w:sz="0" w:space="0" w:color="auto"/>
        <w:right w:val="none" w:sz="0" w:space="0" w:color="auto"/>
      </w:divBdr>
    </w:div>
    <w:div w:id="1419521792">
      <w:bodyDiv w:val="1"/>
      <w:marLeft w:val="0"/>
      <w:marRight w:val="0"/>
      <w:marTop w:val="0"/>
      <w:marBottom w:val="0"/>
      <w:divBdr>
        <w:top w:val="none" w:sz="0" w:space="0" w:color="auto"/>
        <w:left w:val="none" w:sz="0" w:space="0" w:color="auto"/>
        <w:bottom w:val="none" w:sz="0" w:space="0" w:color="auto"/>
        <w:right w:val="none" w:sz="0" w:space="0" w:color="auto"/>
      </w:divBdr>
    </w:div>
    <w:div w:id="1444033883">
      <w:bodyDiv w:val="1"/>
      <w:marLeft w:val="0"/>
      <w:marRight w:val="0"/>
      <w:marTop w:val="0"/>
      <w:marBottom w:val="0"/>
      <w:divBdr>
        <w:top w:val="none" w:sz="0" w:space="0" w:color="auto"/>
        <w:left w:val="none" w:sz="0" w:space="0" w:color="auto"/>
        <w:bottom w:val="none" w:sz="0" w:space="0" w:color="auto"/>
        <w:right w:val="none" w:sz="0" w:space="0" w:color="auto"/>
      </w:divBdr>
    </w:div>
    <w:div w:id="1462336223">
      <w:bodyDiv w:val="1"/>
      <w:marLeft w:val="0"/>
      <w:marRight w:val="0"/>
      <w:marTop w:val="0"/>
      <w:marBottom w:val="0"/>
      <w:divBdr>
        <w:top w:val="none" w:sz="0" w:space="0" w:color="auto"/>
        <w:left w:val="none" w:sz="0" w:space="0" w:color="auto"/>
        <w:bottom w:val="none" w:sz="0" w:space="0" w:color="auto"/>
        <w:right w:val="none" w:sz="0" w:space="0" w:color="auto"/>
      </w:divBdr>
    </w:div>
    <w:div w:id="1462842344">
      <w:bodyDiv w:val="1"/>
      <w:marLeft w:val="0"/>
      <w:marRight w:val="0"/>
      <w:marTop w:val="0"/>
      <w:marBottom w:val="0"/>
      <w:divBdr>
        <w:top w:val="none" w:sz="0" w:space="0" w:color="auto"/>
        <w:left w:val="none" w:sz="0" w:space="0" w:color="auto"/>
        <w:bottom w:val="none" w:sz="0" w:space="0" w:color="auto"/>
        <w:right w:val="none" w:sz="0" w:space="0" w:color="auto"/>
      </w:divBdr>
    </w:div>
    <w:div w:id="1466268066">
      <w:bodyDiv w:val="1"/>
      <w:marLeft w:val="0"/>
      <w:marRight w:val="0"/>
      <w:marTop w:val="0"/>
      <w:marBottom w:val="0"/>
      <w:divBdr>
        <w:top w:val="none" w:sz="0" w:space="0" w:color="auto"/>
        <w:left w:val="none" w:sz="0" w:space="0" w:color="auto"/>
        <w:bottom w:val="none" w:sz="0" w:space="0" w:color="auto"/>
        <w:right w:val="none" w:sz="0" w:space="0" w:color="auto"/>
      </w:divBdr>
    </w:div>
    <w:div w:id="1479420277">
      <w:bodyDiv w:val="1"/>
      <w:marLeft w:val="0"/>
      <w:marRight w:val="0"/>
      <w:marTop w:val="0"/>
      <w:marBottom w:val="0"/>
      <w:divBdr>
        <w:top w:val="none" w:sz="0" w:space="0" w:color="auto"/>
        <w:left w:val="none" w:sz="0" w:space="0" w:color="auto"/>
        <w:bottom w:val="none" w:sz="0" w:space="0" w:color="auto"/>
        <w:right w:val="none" w:sz="0" w:space="0" w:color="auto"/>
      </w:divBdr>
    </w:div>
    <w:div w:id="1500733805">
      <w:bodyDiv w:val="1"/>
      <w:marLeft w:val="0"/>
      <w:marRight w:val="0"/>
      <w:marTop w:val="0"/>
      <w:marBottom w:val="0"/>
      <w:divBdr>
        <w:top w:val="none" w:sz="0" w:space="0" w:color="auto"/>
        <w:left w:val="none" w:sz="0" w:space="0" w:color="auto"/>
        <w:bottom w:val="none" w:sz="0" w:space="0" w:color="auto"/>
        <w:right w:val="none" w:sz="0" w:space="0" w:color="auto"/>
      </w:divBdr>
      <w:divsChild>
        <w:div w:id="1162356267">
          <w:marLeft w:val="0"/>
          <w:marRight w:val="0"/>
          <w:marTop w:val="0"/>
          <w:marBottom w:val="0"/>
          <w:divBdr>
            <w:top w:val="none" w:sz="0" w:space="0" w:color="auto"/>
            <w:left w:val="none" w:sz="0" w:space="0" w:color="auto"/>
            <w:bottom w:val="none" w:sz="0" w:space="0" w:color="auto"/>
            <w:right w:val="none" w:sz="0" w:space="0" w:color="auto"/>
          </w:divBdr>
          <w:divsChild>
            <w:div w:id="1775859492">
              <w:marLeft w:val="0"/>
              <w:marRight w:val="0"/>
              <w:marTop w:val="0"/>
              <w:marBottom w:val="0"/>
              <w:divBdr>
                <w:top w:val="none" w:sz="0" w:space="0" w:color="auto"/>
                <w:left w:val="none" w:sz="0" w:space="0" w:color="auto"/>
                <w:bottom w:val="none" w:sz="0" w:space="0" w:color="auto"/>
                <w:right w:val="none" w:sz="0" w:space="0" w:color="auto"/>
              </w:divBdr>
              <w:divsChild>
                <w:div w:id="1947301125">
                  <w:marLeft w:val="-225"/>
                  <w:marRight w:val="-225"/>
                  <w:marTop w:val="0"/>
                  <w:marBottom w:val="0"/>
                  <w:divBdr>
                    <w:top w:val="none" w:sz="0" w:space="0" w:color="auto"/>
                    <w:left w:val="none" w:sz="0" w:space="0" w:color="auto"/>
                    <w:bottom w:val="none" w:sz="0" w:space="0" w:color="auto"/>
                    <w:right w:val="none" w:sz="0" w:space="0" w:color="auto"/>
                  </w:divBdr>
                  <w:divsChild>
                    <w:div w:id="831145021">
                      <w:marLeft w:val="0"/>
                      <w:marRight w:val="0"/>
                      <w:marTop w:val="0"/>
                      <w:marBottom w:val="0"/>
                      <w:divBdr>
                        <w:top w:val="none" w:sz="0" w:space="0" w:color="auto"/>
                        <w:left w:val="none" w:sz="0" w:space="0" w:color="auto"/>
                        <w:bottom w:val="none" w:sz="0" w:space="0" w:color="auto"/>
                        <w:right w:val="none" w:sz="0" w:space="0" w:color="auto"/>
                      </w:divBdr>
                      <w:divsChild>
                        <w:div w:id="1568612442">
                          <w:marLeft w:val="0"/>
                          <w:marRight w:val="0"/>
                          <w:marTop w:val="0"/>
                          <w:marBottom w:val="0"/>
                          <w:divBdr>
                            <w:top w:val="single" w:sz="6" w:space="15" w:color="869CA6"/>
                            <w:left w:val="none" w:sz="0" w:space="0" w:color="auto"/>
                            <w:bottom w:val="none" w:sz="0" w:space="0" w:color="auto"/>
                            <w:right w:val="none" w:sz="0" w:space="0" w:color="auto"/>
                          </w:divBdr>
                        </w:div>
                      </w:divsChild>
                    </w:div>
                  </w:divsChild>
                </w:div>
              </w:divsChild>
            </w:div>
          </w:divsChild>
        </w:div>
      </w:divsChild>
    </w:div>
    <w:div w:id="1503544294">
      <w:bodyDiv w:val="1"/>
      <w:marLeft w:val="0"/>
      <w:marRight w:val="0"/>
      <w:marTop w:val="0"/>
      <w:marBottom w:val="0"/>
      <w:divBdr>
        <w:top w:val="none" w:sz="0" w:space="0" w:color="auto"/>
        <w:left w:val="none" w:sz="0" w:space="0" w:color="auto"/>
        <w:bottom w:val="none" w:sz="0" w:space="0" w:color="auto"/>
        <w:right w:val="none" w:sz="0" w:space="0" w:color="auto"/>
      </w:divBdr>
    </w:div>
    <w:div w:id="1528056142">
      <w:bodyDiv w:val="1"/>
      <w:marLeft w:val="0"/>
      <w:marRight w:val="0"/>
      <w:marTop w:val="0"/>
      <w:marBottom w:val="0"/>
      <w:divBdr>
        <w:top w:val="none" w:sz="0" w:space="0" w:color="auto"/>
        <w:left w:val="none" w:sz="0" w:space="0" w:color="auto"/>
        <w:bottom w:val="none" w:sz="0" w:space="0" w:color="auto"/>
        <w:right w:val="none" w:sz="0" w:space="0" w:color="auto"/>
      </w:divBdr>
    </w:div>
    <w:div w:id="1532260163">
      <w:bodyDiv w:val="1"/>
      <w:marLeft w:val="0"/>
      <w:marRight w:val="0"/>
      <w:marTop w:val="0"/>
      <w:marBottom w:val="0"/>
      <w:divBdr>
        <w:top w:val="none" w:sz="0" w:space="0" w:color="auto"/>
        <w:left w:val="none" w:sz="0" w:space="0" w:color="auto"/>
        <w:bottom w:val="none" w:sz="0" w:space="0" w:color="auto"/>
        <w:right w:val="none" w:sz="0" w:space="0" w:color="auto"/>
      </w:divBdr>
    </w:div>
    <w:div w:id="1560432221">
      <w:bodyDiv w:val="1"/>
      <w:marLeft w:val="0"/>
      <w:marRight w:val="0"/>
      <w:marTop w:val="0"/>
      <w:marBottom w:val="0"/>
      <w:divBdr>
        <w:top w:val="none" w:sz="0" w:space="0" w:color="auto"/>
        <w:left w:val="none" w:sz="0" w:space="0" w:color="auto"/>
        <w:bottom w:val="none" w:sz="0" w:space="0" w:color="auto"/>
        <w:right w:val="none" w:sz="0" w:space="0" w:color="auto"/>
      </w:divBdr>
    </w:div>
    <w:div w:id="1570459158">
      <w:bodyDiv w:val="1"/>
      <w:marLeft w:val="0"/>
      <w:marRight w:val="0"/>
      <w:marTop w:val="0"/>
      <w:marBottom w:val="0"/>
      <w:divBdr>
        <w:top w:val="none" w:sz="0" w:space="0" w:color="auto"/>
        <w:left w:val="none" w:sz="0" w:space="0" w:color="auto"/>
        <w:bottom w:val="none" w:sz="0" w:space="0" w:color="auto"/>
        <w:right w:val="none" w:sz="0" w:space="0" w:color="auto"/>
      </w:divBdr>
    </w:div>
    <w:div w:id="1581989072">
      <w:bodyDiv w:val="1"/>
      <w:marLeft w:val="0"/>
      <w:marRight w:val="0"/>
      <w:marTop w:val="0"/>
      <w:marBottom w:val="0"/>
      <w:divBdr>
        <w:top w:val="none" w:sz="0" w:space="0" w:color="auto"/>
        <w:left w:val="none" w:sz="0" w:space="0" w:color="auto"/>
        <w:bottom w:val="none" w:sz="0" w:space="0" w:color="auto"/>
        <w:right w:val="none" w:sz="0" w:space="0" w:color="auto"/>
      </w:divBdr>
    </w:div>
    <w:div w:id="1614247396">
      <w:bodyDiv w:val="1"/>
      <w:marLeft w:val="0"/>
      <w:marRight w:val="0"/>
      <w:marTop w:val="0"/>
      <w:marBottom w:val="0"/>
      <w:divBdr>
        <w:top w:val="none" w:sz="0" w:space="0" w:color="auto"/>
        <w:left w:val="none" w:sz="0" w:space="0" w:color="auto"/>
        <w:bottom w:val="none" w:sz="0" w:space="0" w:color="auto"/>
        <w:right w:val="none" w:sz="0" w:space="0" w:color="auto"/>
      </w:divBdr>
    </w:div>
    <w:div w:id="1640106526">
      <w:bodyDiv w:val="1"/>
      <w:marLeft w:val="0"/>
      <w:marRight w:val="0"/>
      <w:marTop w:val="0"/>
      <w:marBottom w:val="0"/>
      <w:divBdr>
        <w:top w:val="none" w:sz="0" w:space="0" w:color="auto"/>
        <w:left w:val="none" w:sz="0" w:space="0" w:color="auto"/>
        <w:bottom w:val="none" w:sz="0" w:space="0" w:color="auto"/>
        <w:right w:val="none" w:sz="0" w:space="0" w:color="auto"/>
      </w:divBdr>
    </w:div>
    <w:div w:id="1654604840">
      <w:bodyDiv w:val="1"/>
      <w:marLeft w:val="0"/>
      <w:marRight w:val="0"/>
      <w:marTop w:val="0"/>
      <w:marBottom w:val="0"/>
      <w:divBdr>
        <w:top w:val="none" w:sz="0" w:space="0" w:color="auto"/>
        <w:left w:val="none" w:sz="0" w:space="0" w:color="auto"/>
        <w:bottom w:val="none" w:sz="0" w:space="0" w:color="auto"/>
        <w:right w:val="none" w:sz="0" w:space="0" w:color="auto"/>
      </w:divBdr>
    </w:div>
    <w:div w:id="1676764144">
      <w:bodyDiv w:val="1"/>
      <w:marLeft w:val="0"/>
      <w:marRight w:val="0"/>
      <w:marTop w:val="0"/>
      <w:marBottom w:val="0"/>
      <w:divBdr>
        <w:top w:val="none" w:sz="0" w:space="0" w:color="auto"/>
        <w:left w:val="none" w:sz="0" w:space="0" w:color="auto"/>
        <w:bottom w:val="none" w:sz="0" w:space="0" w:color="auto"/>
        <w:right w:val="none" w:sz="0" w:space="0" w:color="auto"/>
      </w:divBdr>
    </w:div>
    <w:div w:id="1678656765">
      <w:bodyDiv w:val="1"/>
      <w:marLeft w:val="0"/>
      <w:marRight w:val="0"/>
      <w:marTop w:val="0"/>
      <w:marBottom w:val="0"/>
      <w:divBdr>
        <w:top w:val="none" w:sz="0" w:space="0" w:color="auto"/>
        <w:left w:val="none" w:sz="0" w:space="0" w:color="auto"/>
        <w:bottom w:val="none" w:sz="0" w:space="0" w:color="auto"/>
        <w:right w:val="none" w:sz="0" w:space="0" w:color="auto"/>
      </w:divBdr>
    </w:div>
    <w:div w:id="1694652603">
      <w:bodyDiv w:val="1"/>
      <w:marLeft w:val="0"/>
      <w:marRight w:val="0"/>
      <w:marTop w:val="0"/>
      <w:marBottom w:val="0"/>
      <w:divBdr>
        <w:top w:val="none" w:sz="0" w:space="0" w:color="auto"/>
        <w:left w:val="none" w:sz="0" w:space="0" w:color="auto"/>
        <w:bottom w:val="none" w:sz="0" w:space="0" w:color="auto"/>
        <w:right w:val="none" w:sz="0" w:space="0" w:color="auto"/>
      </w:divBdr>
    </w:div>
    <w:div w:id="1724400976">
      <w:bodyDiv w:val="1"/>
      <w:marLeft w:val="0"/>
      <w:marRight w:val="0"/>
      <w:marTop w:val="0"/>
      <w:marBottom w:val="0"/>
      <w:divBdr>
        <w:top w:val="none" w:sz="0" w:space="0" w:color="auto"/>
        <w:left w:val="none" w:sz="0" w:space="0" w:color="auto"/>
        <w:bottom w:val="none" w:sz="0" w:space="0" w:color="auto"/>
        <w:right w:val="none" w:sz="0" w:space="0" w:color="auto"/>
      </w:divBdr>
    </w:div>
    <w:div w:id="1724602392">
      <w:bodyDiv w:val="1"/>
      <w:marLeft w:val="0"/>
      <w:marRight w:val="0"/>
      <w:marTop w:val="0"/>
      <w:marBottom w:val="0"/>
      <w:divBdr>
        <w:top w:val="none" w:sz="0" w:space="0" w:color="auto"/>
        <w:left w:val="none" w:sz="0" w:space="0" w:color="auto"/>
        <w:bottom w:val="none" w:sz="0" w:space="0" w:color="auto"/>
        <w:right w:val="none" w:sz="0" w:space="0" w:color="auto"/>
      </w:divBdr>
    </w:div>
    <w:div w:id="1734699663">
      <w:bodyDiv w:val="1"/>
      <w:marLeft w:val="0"/>
      <w:marRight w:val="0"/>
      <w:marTop w:val="0"/>
      <w:marBottom w:val="0"/>
      <w:divBdr>
        <w:top w:val="none" w:sz="0" w:space="0" w:color="auto"/>
        <w:left w:val="none" w:sz="0" w:space="0" w:color="auto"/>
        <w:bottom w:val="none" w:sz="0" w:space="0" w:color="auto"/>
        <w:right w:val="none" w:sz="0" w:space="0" w:color="auto"/>
      </w:divBdr>
    </w:div>
    <w:div w:id="1766220874">
      <w:bodyDiv w:val="1"/>
      <w:marLeft w:val="0"/>
      <w:marRight w:val="0"/>
      <w:marTop w:val="0"/>
      <w:marBottom w:val="0"/>
      <w:divBdr>
        <w:top w:val="none" w:sz="0" w:space="0" w:color="auto"/>
        <w:left w:val="none" w:sz="0" w:space="0" w:color="auto"/>
        <w:bottom w:val="none" w:sz="0" w:space="0" w:color="auto"/>
        <w:right w:val="none" w:sz="0" w:space="0" w:color="auto"/>
      </w:divBdr>
    </w:div>
    <w:div w:id="1770076374">
      <w:bodyDiv w:val="1"/>
      <w:marLeft w:val="0"/>
      <w:marRight w:val="0"/>
      <w:marTop w:val="0"/>
      <w:marBottom w:val="0"/>
      <w:divBdr>
        <w:top w:val="none" w:sz="0" w:space="0" w:color="auto"/>
        <w:left w:val="none" w:sz="0" w:space="0" w:color="auto"/>
        <w:bottom w:val="none" w:sz="0" w:space="0" w:color="auto"/>
        <w:right w:val="none" w:sz="0" w:space="0" w:color="auto"/>
      </w:divBdr>
    </w:div>
    <w:div w:id="1785419693">
      <w:bodyDiv w:val="1"/>
      <w:marLeft w:val="0"/>
      <w:marRight w:val="0"/>
      <w:marTop w:val="0"/>
      <w:marBottom w:val="0"/>
      <w:divBdr>
        <w:top w:val="none" w:sz="0" w:space="0" w:color="auto"/>
        <w:left w:val="none" w:sz="0" w:space="0" w:color="auto"/>
        <w:bottom w:val="none" w:sz="0" w:space="0" w:color="auto"/>
        <w:right w:val="none" w:sz="0" w:space="0" w:color="auto"/>
      </w:divBdr>
    </w:div>
    <w:div w:id="1855653212">
      <w:bodyDiv w:val="1"/>
      <w:marLeft w:val="0"/>
      <w:marRight w:val="0"/>
      <w:marTop w:val="0"/>
      <w:marBottom w:val="0"/>
      <w:divBdr>
        <w:top w:val="none" w:sz="0" w:space="0" w:color="auto"/>
        <w:left w:val="none" w:sz="0" w:space="0" w:color="auto"/>
        <w:bottom w:val="none" w:sz="0" w:space="0" w:color="auto"/>
        <w:right w:val="none" w:sz="0" w:space="0" w:color="auto"/>
      </w:divBdr>
    </w:div>
    <w:div w:id="1862746185">
      <w:bodyDiv w:val="1"/>
      <w:marLeft w:val="0"/>
      <w:marRight w:val="0"/>
      <w:marTop w:val="0"/>
      <w:marBottom w:val="0"/>
      <w:divBdr>
        <w:top w:val="none" w:sz="0" w:space="0" w:color="auto"/>
        <w:left w:val="none" w:sz="0" w:space="0" w:color="auto"/>
        <w:bottom w:val="none" w:sz="0" w:space="0" w:color="auto"/>
        <w:right w:val="none" w:sz="0" w:space="0" w:color="auto"/>
      </w:divBdr>
    </w:div>
    <w:div w:id="1876624776">
      <w:bodyDiv w:val="1"/>
      <w:marLeft w:val="0"/>
      <w:marRight w:val="0"/>
      <w:marTop w:val="0"/>
      <w:marBottom w:val="0"/>
      <w:divBdr>
        <w:top w:val="none" w:sz="0" w:space="0" w:color="auto"/>
        <w:left w:val="none" w:sz="0" w:space="0" w:color="auto"/>
        <w:bottom w:val="none" w:sz="0" w:space="0" w:color="auto"/>
        <w:right w:val="none" w:sz="0" w:space="0" w:color="auto"/>
      </w:divBdr>
    </w:div>
    <w:div w:id="1899434339">
      <w:bodyDiv w:val="1"/>
      <w:marLeft w:val="0"/>
      <w:marRight w:val="0"/>
      <w:marTop w:val="0"/>
      <w:marBottom w:val="0"/>
      <w:divBdr>
        <w:top w:val="none" w:sz="0" w:space="0" w:color="auto"/>
        <w:left w:val="none" w:sz="0" w:space="0" w:color="auto"/>
        <w:bottom w:val="none" w:sz="0" w:space="0" w:color="auto"/>
        <w:right w:val="none" w:sz="0" w:space="0" w:color="auto"/>
      </w:divBdr>
    </w:div>
    <w:div w:id="1931043099">
      <w:bodyDiv w:val="1"/>
      <w:marLeft w:val="0"/>
      <w:marRight w:val="0"/>
      <w:marTop w:val="0"/>
      <w:marBottom w:val="0"/>
      <w:divBdr>
        <w:top w:val="none" w:sz="0" w:space="0" w:color="auto"/>
        <w:left w:val="none" w:sz="0" w:space="0" w:color="auto"/>
        <w:bottom w:val="none" w:sz="0" w:space="0" w:color="auto"/>
        <w:right w:val="none" w:sz="0" w:space="0" w:color="auto"/>
      </w:divBdr>
    </w:div>
    <w:div w:id="1952009591">
      <w:bodyDiv w:val="1"/>
      <w:marLeft w:val="0"/>
      <w:marRight w:val="0"/>
      <w:marTop w:val="0"/>
      <w:marBottom w:val="0"/>
      <w:divBdr>
        <w:top w:val="none" w:sz="0" w:space="0" w:color="auto"/>
        <w:left w:val="none" w:sz="0" w:space="0" w:color="auto"/>
        <w:bottom w:val="none" w:sz="0" w:space="0" w:color="auto"/>
        <w:right w:val="none" w:sz="0" w:space="0" w:color="auto"/>
      </w:divBdr>
    </w:div>
    <w:div w:id="1981301247">
      <w:bodyDiv w:val="1"/>
      <w:marLeft w:val="0"/>
      <w:marRight w:val="0"/>
      <w:marTop w:val="0"/>
      <w:marBottom w:val="0"/>
      <w:divBdr>
        <w:top w:val="none" w:sz="0" w:space="0" w:color="auto"/>
        <w:left w:val="none" w:sz="0" w:space="0" w:color="auto"/>
        <w:bottom w:val="none" w:sz="0" w:space="0" w:color="auto"/>
        <w:right w:val="none" w:sz="0" w:space="0" w:color="auto"/>
      </w:divBdr>
    </w:div>
    <w:div w:id="1994596986">
      <w:bodyDiv w:val="1"/>
      <w:marLeft w:val="0"/>
      <w:marRight w:val="0"/>
      <w:marTop w:val="0"/>
      <w:marBottom w:val="0"/>
      <w:divBdr>
        <w:top w:val="none" w:sz="0" w:space="0" w:color="auto"/>
        <w:left w:val="none" w:sz="0" w:space="0" w:color="auto"/>
        <w:bottom w:val="none" w:sz="0" w:space="0" w:color="auto"/>
        <w:right w:val="none" w:sz="0" w:space="0" w:color="auto"/>
      </w:divBdr>
    </w:div>
    <w:div w:id="2009019829">
      <w:bodyDiv w:val="1"/>
      <w:marLeft w:val="0"/>
      <w:marRight w:val="0"/>
      <w:marTop w:val="0"/>
      <w:marBottom w:val="0"/>
      <w:divBdr>
        <w:top w:val="none" w:sz="0" w:space="0" w:color="auto"/>
        <w:left w:val="none" w:sz="0" w:space="0" w:color="auto"/>
        <w:bottom w:val="none" w:sz="0" w:space="0" w:color="auto"/>
        <w:right w:val="none" w:sz="0" w:space="0" w:color="auto"/>
      </w:divBdr>
    </w:div>
    <w:div w:id="2065836003">
      <w:bodyDiv w:val="1"/>
      <w:marLeft w:val="0"/>
      <w:marRight w:val="0"/>
      <w:marTop w:val="0"/>
      <w:marBottom w:val="0"/>
      <w:divBdr>
        <w:top w:val="none" w:sz="0" w:space="0" w:color="auto"/>
        <w:left w:val="none" w:sz="0" w:space="0" w:color="auto"/>
        <w:bottom w:val="none" w:sz="0" w:space="0" w:color="auto"/>
        <w:right w:val="none" w:sz="0" w:space="0" w:color="auto"/>
      </w:divBdr>
    </w:div>
    <w:div w:id="2076001514">
      <w:bodyDiv w:val="1"/>
      <w:marLeft w:val="0"/>
      <w:marRight w:val="0"/>
      <w:marTop w:val="0"/>
      <w:marBottom w:val="0"/>
      <w:divBdr>
        <w:top w:val="none" w:sz="0" w:space="0" w:color="auto"/>
        <w:left w:val="none" w:sz="0" w:space="0" w:color="auto"/>
        <w:bottom w:val="none" w:sz="0" w:space="0" w:color="auto"/>
        <w:right w:val="none" w:sz="0" w:space="0" w:color="auto"/>
      </w:divBdr>
    </w:div>
    <w:div w:id="2081319912">
      <w:bodyDiv w:val="1"/>
      <w:marLeft w:val="0"/>
      <w:marRight w:val="0"/>
      <w:marTop w:val="0"/>
      <w:marBottom w:val="0"/>
      <w:divBdr>
        <w:top w:val="none" w:sz="0" w:space="0" w:color="auto"/>
        <w:left w:val="none" w:sz="0" w:space="0" w:color="auto"/>
        <w:bottom w:val="none" w:sz="0" w:space="0" w:color="auto"/>
        <w:right w:val="none" w:sz="0" w:space="0" w:color="auto"/>
      </w:divBdr>
    </w:div>
    <w:div w:id="2089840999">
      <w:bodyDiv w:val="1"/>
      <w:marLeft w:val="0"/>
      <w:marRight w:val="0"/>
      <w:marTop w:val="0"/>
      <w:marBottom w:val="0"/>
      <w:divBdr>
        <w:top w:val="none" w:sz="0" w:space="0" w:color="auto"/>
        <w:left w:val="none" w:sz="0" w:space="0" w:color="auto"/>
        <w:bottom w:val="none" w:sz="0" w:space="0" w:color="auto"/>
        <w:right w:val="none" w:sz="0" w:space="0" w:color="auto"/>
      </w:divBdr>
    </w:div>
    <w:div w:id="21038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header" Target="header4.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footer" Target="footer8.xml"/><Relationship Id="rId40"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hyperlink" Target="http://www.itsanhonour.gov.au" TargetMode="External"/><Relationship Id="rId31" Type="http://schemas.openxmlformats.org/officeDocument/2006/relationships/header" Target="head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yperlink" Target="http://www.aph.gov.au/Parliamentary_Business/Committees/House/Tax_and_Revenue/Tax_Expenditures/Government_Response" TargetMode="External"/><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budget.gov.au/2016-17/content/myefo/html/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2016CSSG-1551-6</_dlc_DocId>
    <_dlc_DocIdUrl xmlns="eb47d8b7-fefc-4923-b53c-9685ba6b7210">
      <Url>http://tweb/sites/cssg/ped/pu/pt/_layouts/15/DocIdRedir.aspx?ID=2016CSSG-1551-6</Url>
      <Description>2016CSSG-1551-6</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24" ma:contentTypeDescription="" ma:contentTypeScope="" ma:versionID="2d480ba969333dbcf7c1d84e077862c6">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9000c4928fde11f03d868d5e639c3e33"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E062A-E12E-40EB-8B60-715E4973183E}">
  <ds:schemaRefs>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schemas.microsoft.com/sharepoint/v3"/>
    <ds:schemaRef ds:uri="http://schemas.microsoft.com/sharepoint/v4"/>
    <ds:schemaRef ds:uri="eb47d8b7-fefc-4923-b53c-9685ba6b721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BA627B3-5812-4237-BD2A-620D27210BCC}">
  <ds:schemaRefs>
    <ds:schemaRef ds:uri="http://schemas.microsoft.com/sharepoint/v3/contenttype/forms"/>
  </ds:schemaRefs>
</ds:datastoreItem>
</file>

<file path=customXml/itemProps3.xml><?xml version="1.0" encoding="utf-8"?>
<ds:datastoreItem xmlns:ds="http://schemas.openxmlformats.org/officeDocument/2006/customXml" ds:itemID="{1D76DCCE-4BCF-4031-9CBB-4244F04DFEAD}">
  <ds:schemaRefs>
    <ds:schemaRef ds:uri="http://schemas.microsoft.com/sharepoint/events"/>
  </ds:schemaRefs>
</ds:datastoreItem>
</file>

<file path=customXml/itemProps4.xml><?xml version="1.0" encoding="utf-8"?>
<ds:datastoreItem xmlns:ds="http://schemas.openxmlformats.org/officeDocument/2006/customXml" ds:itemID="{12099184-7EF1-44E9-B451-ADA346F1D048}">
  <ds:schemaRefs>
    <ds:schemaRef ds:uri="office.server.policy"/>
  </ds:schemaRefs>
</ds:datastoreItem>
</file>

<file path=customXml/itemProps5.xml><?xml version="1.0" encoding="utf-8"?>
<ds:datastoreItem xmlns:ds="http://schemas.openxmlformats.org/officeDocument/2006/customXml" ds:itemID="{3EC2BFE6-FE04-4E14-9795-DD04F0A3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27E8CB-ACD2-4B20-A5DC-41C7ED08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TES.dotm</Template>
  <TotalTime>6</TotalTime>
  <Pages>158</Pages>
  <Words>47341</Words>
  <Characters>278663</Characters>
  <Application>Microsoft Office Word</Application>
  <DocSecurity>0</DocSecurity>
  <Lines>2322</Lines>
  <Paragraphs>650</Paragraphs>
  <ScaleCrop>false</ScaleCrop>
  <HeadingPairs>
    <vt:vector size="2" baseType="variant">
      <vt:variant>
        <vt:lpstr>Title</vt:lpstr>
      </vt:variant>
      <vt:variant>
        <vt:i4>1</vt:i4>
      </vt:variant>
    </vt:vector>
  </HeadingPairs>
  <TitlesOfParts>
    <vt:vector size="1" baseType="lpstr">
      <vt:lpstr>Tax Expenditures Statement</vt:lpstr>
    </vt:vector>
  </TitlesOfParts>
  <Company>Australian Government - the Treasury</Company>
  <LinksUpToDate>false</LinksUpToDate>
  <CharactersWithSpaces>325354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Expenditures Statement</dc:title>
  <dc:subject>Australian Government tax expenditure update</dc:subject>
  <dc:creator>Australian Government - The Treasury</dc:creator>
  <cp:lastModifiedBy>Easton, Sean</cp:lastModifiedBy>
  <cp:revision>4</cp:revision>
  <cp:lastPrinted>2017-01-20T04:04:00Z</cp:lastPrinted>
  <dcterms:created xsi:type="dcterms:W3CDTF">2017-01-20T03:49:00Z</dcterms:created>
  <dcterms:modified xsi:type="dcterms:W3CDTF">2017-01-20T04:12:00Z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ked">
    <vt:bool>false</vt:bool>
  </property>
  <property fmtid="{D5CDD505-2E9C-101B-9397-08002B2CF9AE}" pid="3" name="ContentTypeId">
    <vt:lpwstr>0x010100605AAC981168BE40A9BD548B81A50DF6006EB3B15072AC1D409928D75C61018CC2</vt:lpwstr>
  </property>
  <property fmtid="{D5CDD505-2E9C-101B-9397-08002B2CF9AE}" pid="4" name="Language">
    <vt:lpwstr>English</vt:lpwstr>
  </property>
  <property fmtid="{D5CDD505-2E9C-101B-9397-08002B2CF9AE}" pid="5" name="TSYRecordClass">
    <vt:lpwstr>75;#AE-20337-Destroy 7 years after action completed|668ae28e-5138-4c7c-82db-1c8c6afc81a6</vt:lpwstr>
  </property>
  <property fmtid="{D5CDD505-2E9C-101B-9397-08002B2CF9AE}" pid="6" name="_dlc_DocIdItemGuid">
    <vt:lpwstr>ba9fd5fc-a946-4ac2-9b8d-b2f0a10c52ab</vt:lpwstr>
  </property>
  <property fmtid="{D5CDD505-2E9C-101B-9397-08002B2CF9AE}" pid="7" name="RecordPoint_WorkflowType">
    <vt:lpwstr>ActiveSubmitStub</vt:lpwstr>
  </property>
  <property fmtid="{D5CDD505-2E9C-101B-9397-08002B2CF9AE}" pid="8" name="RecordPoint_ActiveItemSiteId">
    <vt:lpwstr>{de902461-0703-410e-906b-a2e3a4f5dd57}</vt:lpwstr>
  </property>
  <property fmtid="{D5CDD505-2E9C-101B-9397-08002B2CF9AE}" pid="9" name="RecordPoint_ActiveItemListId">
    <vt:lpwstr>{ae552c44-daad-439e-a48c-f25aaf725785}</vt:lpwstr>
  </property>
  <property fmtid="{D5CDD505-2E9C-101B-9397-08002B2CF9AE}" pid="10" name="RecordPoint_ActiveItemUniqueId">
    <vt:lpwstr>{ba9fd5fc-a946-4ac2-9b8d-b2f0a10c52ab}</vt:lpwstr>
  </property>
  <property fmtid="{D5CDD505-2E9C-101B-9397-08002B2CF9AE}" pid="11" name="RecordPoint_ActiveItemWebId">
    <vt:lpwstr>{e237d495-0881-4849-ae62-ddc8a8132df5}</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RecordNumberSubmitted">
    <vt:lpwstr/>
  </property>
  <property fmtid="{D5CDD505-2E9C-101B-9397-08002B2CF9AE}" pid="15" name="RecordPoint_ActiveItemMoved">
    <vt:lpwstr/>
  </property>
  <property fmtid="{D5CDD505-2E9C-101B-9397-08002B2CF9AE}" pid="16" name="RecordPoint_RecordFormat">
    <vt:lpwstr/>
  </property>
  <property fmtid="{D5CDD505-2E9C-101B-9397-08002B2CF9AE}" pid="17" name="_AdHocReviewCycleID">
    <vt:i4>1587089694</vt:i4>
  </property>
  <property fmtid="{D5CDD505-2E9C-101B-9397-08002B2CF9AE}" pid="18" name="_NewReviewCycle">
    <vt:lpwstr/>
  </property>
  <property fmtid="{D5CDD505-2E9C-101B-9397-08002B2CF9AE}" pid="19" name="_EmailSubject">
    <vt:lpwstr>FW: 2016 TES #S31960 [SEC=UNCLASSIFIED]</vt:lpwstr>
  </property>
  <property fmtid="{D5CDD505-2E9C-101B-9397-08002B2CF9AE}" pid="20" name="_AuthorEmail">
    <vt:lpwstr>Lorraine.Catanzariti@TREASURY.GOV.AU</vt:lpwstr>
  </property>
  <property fmtid="{D5CDD505-2E9C-101B-9397-08002B2CF9AE}" pid="21" name="_AuthorEmailDisplayName">
    <vt:lpwstr>Catanzariti, Lorraine</vt:lpwstr>
  </property>
  <property fmtid="{D5CDD505-2E9C-101B-9397-08002B2CF9AE}" pid="22" name="_ReviewingToolsShownOnce">
    <vt:lpwstr/>
  </property>
</Properties>
</file>