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50E31" w14:textId="77777777" w:rsidR="001F10BE" w:rsidRPr="000C5BC1" w:rsidRDefault="00B64ED4" w:rsidP="00601FC7">
      <w:pPr>
        <w:spacing w:after="0"/>
        <w:rPr>
          <w:rFonts w:cstheme="minorHAnsi"/>
        </w:rPr>
      </w:pPr>
      <w:bookmarkStart w:id="0" w:name="_GoBack"/>
      <w:bookmarkEnd w:id="0"/>
      <w:r w:rsidRPr="000C5BC1">
        <w:rPr>
          <w:rFonts w:cstheme="minorHAnsi"/>
          <w:noProof/>
          <w:lang w:eastAsia="en-AU"/>
        </w:rPr>
        <w:drawing>
          <wp:anchor distT="0" distB="0" distL="114300" distR="114300" simplePos="0" relativeHeight="251661312" behindDoc="1" locked="0" layoutInCell="1" allowOverlap="1" wp14:anchorId="49B81E55" wp14:editId="3770826A">
            <wp:simplePos x="0" y="0"/>
            <wp:positionH relativeFrom="column">
              <wp:posOffset>-323215</wp:posOffset>
            </wp:positionH>
            <wp:positionV relativeFrom="paragraph">
              <wp:posOffset>14605</wp:posOffset>
            </wp:positionV>
            <wp:extent cx="6336106" cy="89439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MELB_0515-cover.jpg"/>
                    <pic:cNvPicPr/>
                  </pic:nvPicPr>
                  <pic:blipFill>
                    <a:blip r:embed="rId14">
                      <a:extLst>
                        <a:ext uri="{28A0092B-C50C-407E-A947-70E740481C1C}">
                          <a14:useLocalDpi xmlns:a14="http://schemas.microsoft.com/office/drawing/2010/main" val="0"/>
                        </a:ext>
                      </a:extLst>
                    </a:blip>
                    <a:stretch>
                      <a:fillRect/>
                    </a:stretch>
                  </pic:blipFill>
                  <pic:spPr>
                    <a:xfrm>
                      <a:off x="0" y="0"/>
                      <a:ext cx="6336106" cy="8943975"/>
                    </a:xfrm>
                    <a:prstGeom prst="rect">
                      <a:avLst/>
                    </a:prstGeom>
                  </pic:spPr>
                </pic:pic>
              </a:graphicData>
            </a:graphic>
            <wp14:sizeRelH relativeFrom="page">
              <wp14:pctWidth>0</wp14:pctWidth>
            </wp14:sizeRelH>
            <wp14:sizeRelV relativeFrom="page">
              <wp14:pctHeight>0</wp14:pctHeight>
            </wp14:sizeRelV>
          </wp:anchor>
        </w:drawing>
      </w:r>
    </w:p>
    <w:p w14:paraId="02FE4F5D" w14:textId="77777777" w:rsidR="001F10BE" w:rsidRPr="000C5BC1" w:rsidRDefault="001F10BE" w:rsidP="00601FC7">
      <w:pPr>
        <w:spacing w:after="0"/>
        <w:rPr>
          <w:rFonts w:cstheme="minorHAnsi"/>
        </w:rPr>
      </w:pPr>
    </w:p>
    <w:p w14:paraId="713742ED" w14:textId="77777777" w:rsidR="001F10BE" w:rsidRPr="000C5BC1" w:rsidRDefault="001F10BE" w:rsidP="00601FC7">
      <w:pPr>
        <w:spacing w:after="0"/>
        <w:rPr>
          <w:rFonts w:cstheme="minorHAnsi"/>
        </w:rPr>
      </w:pPr>
    </w:p>
    <w:p w14:paraId="700F7B61" w14:textId="77777777" w:rsidR="001F10BE" w:rsidRPr="000C5BC1" w:rsidRDefault="001F10BE" w:rsidP="00601FC7">
      <w:pPr>
        <w:spacing w:after="0"/>
        <w:rPr>
          <w:rFonts w:cstheme="minorHAnsi"/>
        </w:rPr>
      </w:pPr>
    </w:p>
    <w:p w14:paraId="1CFD1D9E" w14:textId="77777777" w:rsidR="009E0982" w:rsidRPr="000C5BC1" w:rsidRDefault="009E0982" w:rsidP="00601FC7">
      <w:pPr>
        <w:spacing w:after="0"/>
        <w:rPr>
          <w:rFonts w:cstheme="minorHAnsi"/>
        </w:rPr>
      </w:pPr>
    </w:p>
    <w:p w14:paraId="35660719" w14:textId="77777777" w:rsidR="003E6BB1" w:rsidRPr="000C5BC1" w:rsidRDefault="00E8095B" w:rsidP="00601FC7">
      <w:pPr>
        <w:spacing w:after="0"/>
        <w:rPr>
          <w:rFonts w:cstheme="minorHAnsi"/>
        </w:rPr>
        <w:sectPr w:rsidR="003E6BB1" w:rsidRPr="000C5BC1" w:rsidSect="006E72C4">
          <w:headerReference w:type="default" r:id="rId15"/>
          <w:footerReference w:type="default" r:id="rId16"/>
          <w:headerReference w:type="first" r:id="rId17"/>
          <w:footerReference w:type="first" r:id="rId18"/>
          <w:pgSz w:w="11906" w:h="16838"/>
          <w:pgMar w:top="1701" w:right="1440" w:bottom="1440" w:left="1440" w:header="709" w:footer="709" w:gutter="0"/>
          <w:cols w:space="708"/>
          <w:titlePg/>
          <w:docGrid w:linePitch="360"/>
        </w:sectPr>
      </w:pPr>
      <w:r w:rsidRPr="000C5BC1">
        <w:rPr>
          <w:rFonts w:cstheme="minorHAnsi"/>
          <w:noProof/>
          <w:lang w:eastAsia="en-AU"/>
        </w:rPr>
        <mc:AlternateContent>
          <mc:Choice Requires="wps">
            <w:drawing>
              <wp:anchor distT="0" distB="0" distL="114300" distR="114300" simplePos="0" relativeHeight="251660288" behindDoc="0" locked="0" layoutInCell="1" allowOverlap="1" wp14:anchorId="7247E6AF" wp14:editId="4B69C108">
                <wp:simplePos x="0" y="0"/>
                <wp:positionH relativeFrom="column">
                  <wp:posOffset>-333376</wp:posOffset>
                </wp:positionH>
                <wp:positionV relativeFrom="paragraph">
                  <wp:posOffset>4644390</wp:posOffset>
                </wp:positionV>
                <wp:extent cx="6200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solidFill>
                          <a:srgbClr val="FFFFFF"/>
                        </a:solidFill>
                        <a:ln w="9525">
                          <a:noFill/>
                          <a:miter lim="800000"/>
                          <a:headEnd/>
                          <a:tailEnd/>
                        </a:ln>
                      </wps:spPr>
                      <wps:txbx>
                        <w:txbxContent>
                          <w:p w14:paraId="116E39FD" w14:textId="77777777" w:rsidR="00E8095B" w:rsidRPr="00BA384F" w:rsidRDefault="0072180F" w:rsidP="00BA384F">
                            <w:pPr>
                              <w:pStyle w:val="Title"/>
                              <w:rPr>
                                <w:sz w:val="52"/>
                              </w:rPr>
                            </w:pPr>
                            <w:r>
                              <w:rPr>
                                <w:sz w:val="52"/>
                              </w:rPr>
                              <w:t>Housing related superannuation measures</w:t>
                            </w:r>
                          </w:p>
                          <w:p w14:paraId="4CB3663E" w14:textId="77777777" w:rsidR="00E8095B" w:rsidRPr="00E8095B" w:rsidRDefault="008D410A" w:rsidP="00E8095B">
                            <w:pPr>
                              <w:rPr>
                                <w:rStyle w:val="Emphasis"/>
                              </w:rPr>
                            </w:pPr>
                            <w:r>
                              <w:rPr>
                                <w:rStyle w:val="Emphasis"/>
                              </w:rPr>
                              <w:t xml:space="preserve">Submission </w:t>
                            </w:r>
                            <w:r w:rsidR="00E8095B" w:rsidRPr="00E8095B">
                              <w:rPr>
                                <w:rStyle w:val="Emphasis"/>
                              </w:rPr>
                              <w:t xml:space="preserve">by </w:t>
                            </w:r>
                            <w:r w:rsidR="00741B5A">
                              <w:rPr>
                                <w:rStyle w:val="Emphasis"/>
                              </w:rPr>
                              <w:t>UniSuper</w:t>
                            </w:r>
                          </w:p>
                          <w:p w14:paraId="19662F5E" w14:textId="77777777" w:rsidR="00E8095B" w:rsidRPr="00E8095B" w:rsidRDefault="0072180F" w:rsidP="00E8095B">
                            <w:pPr>
                              <w:rPr>
                                <w:rFonts w:ascii="Arial" w:hAnsi="Arial"/>
                                <w:b/>
                                <w:iCs/>
                              </w:rPr>
                            </w:pPr>
                            <w:r>
                              <w:rPr>
                                <w:rStyle w:val="Emphasis"/>
                              </w:rPr>
                              <w:t>4 August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365.7pt;width:48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" stroked="f">
                <v:textbox style="mso-fit-shape-to-text:t">
                  <w:txbxContent>
                    <w:p w:rsidR="00E8095B" w:rsidRPr="00BA384F" w:rsidRDefault="0072180F" w:rsidP="00BA384F">
                      <w:pPr>
                        <w:pStyle w:val="Title"/>
                        <w:rPr>
                          <w:sz w:val="52"/>
                        </w:rPr>
                      </w:pPr>
                      <w:r>
                        <w:rPr>
                          <w:sz w:val="52"/>
                        </w:rPr>
                        <w:t>Housing related superannuation measures</w:t>
                      </w:r>
                    </w:p>
                    <w:p w:rsidR="00E8095B" w:rsidRPr="00E8095B" w:rsidRDefault="008D410A" w:rsidP="00E8095B">
                      <w:pPr>
                        <w:rPr>
                          <w:rStyle w:val="Emphasis"/>
                        </w:rPr>
                      </w:pPr>
                      <w:r>
                        <w:rPr>
                          <w:rStyle w:val="Emphasis"/>
                        </w:rPr>
                        <w:t xml:space="preserve">Submission </w:t>
                      </w:r>
                      <w:r w:rsidR="00E8095B" w:rsidRPr="00E8095B">
                        <w:rPr>
                          <w:rStyle w:val="Emphasis"/>
                        </w:rPr>
                        <w:t xml:space="preserve">by </w:t>
                      </w:r>
                      <w:r w:rsidR="00741B5A">
                        <w:rPr>
                          <w:rStyle w:val="Emphasis"/>
                        </w:rPr>
                        <w:t>UniSuper</w:t>
                      </w:r>
                    </w:p>
                    <w:p w:rsidR="00E8095B" w:rsidRPr="00E8095B" w:rsidRDefault="0072180F" w:rsidP="00E8095B">
                      <w:pPr>
                        <w:rPr>
                          <w:rFonts w:ascii="Arial" w:hAnsi="Arial"/>
                          <w:b/>
                          <w:iCs/>
                        </w:rPr>
                      </w:pPr>
                      <w:r>
                        <w:rPr>
                          <w:rStyle w:val="Emphasis"/>
                        </w:rPr>
                        <w:t>4 August 2017</w:t>
                      </w:r>
                    </w:p>
                  </w:txbxContent>
                </v:textbox>
              </v:shape>
            </w:pict>
          </mc:Fallback>
        </mc:AlternateContent>
      </w:r>
    </w:p>
    <w:p w14:paraId="262B159D" w14:textId="77777777" w:rsidR="009E0982" w:rsidRPr="000C5BC1" w:rsidRDefault="00EB61EE" w:rsidP="00601FC7">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lastRenderedPageBreak/>
        <w:t>About UniSuper</w:t>
      </w:r>
    </w:p>
    <w:p w14:paraId="5DE8DF1B" w14:textId="77777777" w:rsidR="002E473C" w:rsidRDefault="002E473C" w:rsidP="00601FC7">
      <w:pPr>
        <w:spacing w:after="0"/>
      </w:pPr>
    </w:p>
    <w:p w14:paraId="49C3FC0E" w14:textId="77777777" w:rsidR="00601FC7" w:rsidRDefault="009A1702" w:rsidP="00601FC7">
      <w:pPr>
        <w:spacing w:after="0"/>
      </w:pPr>
      <w:r>
        <w:t>UniSuper</w:t>
      </w:r>
      <w:r w:rsidR="00586F74">
        <w:rPr>
          <w:rStyle w:val="FootnoteReference"/>
        </w:rPr>
        <w:footnoteReference w:id="1"/>
      </w:r>
      <w:r>
        <w:t xml:space="preserve"> is the superannuation fund dedicated to people working in Australia's higher education and research sector. With appro</w:t>
      </w:r>
      <w:r w:rsidR="00AD3AC7">
        <w:t xml:space="preserve">ximately 400,000 members and </w:t>
      </w:r>
      <w:r w:rsidR="0057664C">
        <w:t>around $</w:t>
      </w:r>
      <w:r w:rsidR="00E65980">
        <w:t xml:space="preserve">63 </w:t>
      </w:r>
      <w:r w:rsidR="00886B9C">
        <w:t xml:space="preserve">billion </w:t>
      </w:r>
      <w:r w:rsidR="00AA2A1F" w:rsidRPr="00886B9C">
        <w:t>in</w:t>
      </w:r>
      <w:r w:rsidR="00AA2A1F">
        <w:t xml:space="preserve"> </w:t>
      </w:r>
      <w:r w:rsidR="0048248D">
        <w:t>assets</w:t>
      </w:r>
      <w:r w:rsidR="00AA2A1F">
        <w:t xml:space="preserve"> under management, </w:t>
      </w:r>
      <w:r>
        <w:t xml:space="preserve">UniSuper is one of Australia's largest superannuation funds and has one of the very few open defined benefit schemes. </w:t>
      </w:r>
    </w:p>
    <w:p w14:paraId="7EA9787A" w14:textId="77777777" w:rsidR="003E6BB1" w:rsidRPr="008E20AB" w:rsidRDefault="0014551C" w:rsidP="00601FC7">
      <w:pPr>
        <w:spacing w:after="0"/>
      </w:pPr>
      <w:r>
        <w:br/>
      </w:r>
      <w:r w:rsidRPr="000C5BC1">
        <w:rPr>
          <w:rFonts w:cstheme="minorHAnsi"/>
        </w:rPr>
        <w:t xml:space="preserve">UniSuper Management Pty Ltd would welcome the opportunity to discuss the submission further and to provide additional information in respect of the comments made in this submission. Should you have further queries, </w:t>
      </w:r>
      <w:r>
        <w:rPr>
          <w:rFonts w:cstheme="minorHAnsi"/>
        </w:rPr>
        <w:t>please contact Benedict Davies</w:t>
      </w:r>
      <w:r w:rsidR="0072180F">
        <w:rPr>
          <w:rFonts w:cstheme="minorHAnsi"/>
        </w:rPr>
        <w:t>, Manager, Industry &amp; Public Policy</w:t>
      </w:r>
      <w:r>
        <w:rPr>
          <w:rFonts w:cstheme="minorHAnsi"/>
        </w:rPr>
        <w:t xml:space="preserve"> on </w:t>
      </w:r>
      <w:r w:rsidRPr="000C5BC1">
        <w:rPr>
          <w:rFonts w:cstheme="minorHAnsi"/>
        </w:rPr>
        <w:t xml:space="preserve">(03) </w:t>
      </w:r>
      <w:r>
        <w:rPr>
          <w:rFonts w:cstheme="minorHAnsi"/>
        </w:rPr>
        <w:t>8831</w:t>
      </w:r>
      <w:r w:rsidRPr="000C5BC1">
        <w:rPr>
          <w:rFonts w:cstheme="minorHAnsi"/>
        </w:rPr>
        <w:t xml:space="preserve"> </w:t>
      </w:r>
      <w:r>
        <w:rPr>
          <w:rFonts w:cstheme="minorHAnsi"/>
        </w:rPr>
        <w:t>6670</w:t>
      </w:r>
      <w:r w:rsidRPr="000C5BC1">
        <w:rPr>
          <w:rFonts w:cstheme="minorHAnsi"/>
        </w:rPr>
        <w:t xml:space="preserve"> or </w:t>
      </w:r>
      <w:hyperlink r:id="rId19" w:history="1">
        <w:r w:rsidRPr="00EF492B">
          <w:rPr>
            <w:rStyle w:val="Hyperlink"/>
            <w:noProof w:val="0"/>
          </w:rPr>
          <w:t>benedict.davies@unisuper.com.au</w:t>
        </w:r>
      </w:hyperlink>
    </w:p>
    <w:p w14:paraId="467FE6E4" w14:textId="77777777" w:rsidR="003309BE" w:rsidRPr="000C5BC1" w:rsidRDefault="003309BE" w:rsidP="00601FC7">
      <w:pPr>
        <w:spacing w:after="0"/>
        <w:rPr>
          <w:rFonts w:eastAsiaTheme="majorEastAsia" w:cstheme="minorHAnsi"/>
          <w:b/>
          <w:bCs/>
          <w:color w:val="013A81"/>
          <w:sz w:val="28"/>
          <w:szCs w:val="28"/>
        </w:rPr>
      </w:pPr>
    </w:p>
    <w:p w14:paraId="33C99B5C" w14:textId="77777777" w:rsidR="008F5E62" w:rsidRPr="00523287" w:rsidRDefault="0072180F" w:rsidP="00523287">
      <w:pPr>
        <w:pStyle w:val="Heading1"/>
        <w:numPr>
          <w:ilvl w:val="0"/>
          <w:numId w:val="0"/>
        </w:numPr>
        <w:spacing w:before="0"/>
        <w:rPr>
          <w:rFonts w:asciiTheme="minorHAnsi" w:hAnsiTheme="minorHAnsi" w:cstheme="minorHAnsi"/>
        </w:rPr>
      </w:pPr>
      <w:r>
        <w:rPr>
          <w:rFonts w:asciiTheme="minorHAnsi" w:hAnsiTheme="minorHAnsi" w:cstheme="minorHAnsi"/>
        </w:rPr>
        <w:t>Comments on the Exposure Draft Schedule 1</w:t>
      </w:r>
      <w:r w:rsidR="00523287">
        <w:rPr>
          <w:rFonts w:cstheme="minorHAnsi"/>
        </w:rPr>
        <w:t xml:space="preserve"> </w:t>
      </w:r>
      <w:r w:rsidR="008F5E62">
        <w:rPr>
          <w:rFonts w:cstheme="minorHAnsi"/>
        </w:rPr>
        <w:t xml:space="preserve"> </w:t>
      </w:r>
    </w:p>
    <w:p w14:paraId="5859ECCA" w14:textId="77777777" w:rsidR="00C02049" w:rsidRDefault="00523287" w:rsidP="00876A81">
      <w:pPr>
        <w:spacing w:after="240"/>
        <w:rPr>
          <w:rFonts w:cstheme="minorHAnsi"/>
        </w:rPr>
      </w:pPr>
      <w:r>
        <w:rPr>
          <w:rFonts w:cstheme="minorHAnsi"/>
        </w:rPr>
        <w:t xml:space="preserve">We would like to highlight a </w:t>
      </w:r>
      <w:r w:rsidR="00F14720">
        <w:rPr>
          <w:rFonts w:cstheme="minorHAnsi"/>
        </w:rPr>
        <w:t>technical issue</w:t>
      </w:r>
      <w:r>
        <w:rPr>
          <w:rFonts w:cstheme="minorHAnsi"/>
        </w:rPr>
        <w:t xml:space="preserve"> </w:t>
      </w:r>
      <w:r w:rsidR="00F14720">
        <w:rPr>
          <w:rFonts w:cstheme="minorHAnsi"/>
        </w:rPr>
        <w:t xml:space="preserve">associated with the proposed definition </w:t>
      </w:r>
      <w:r w:rsidR="00C02049">
        <w:rPr>
          <w:rFonts w:cstheme="minorHAnsi"/>
        </w:rPr>
        <w:t xml:space="preserve">of </w:t>
      </w:r>
      <w:r w:rsidR="00F14720">
        <w:rPr>
          <w:rFonts w:cstheme="minorHAnsi"/>
        </w:rPr>
        <w:t>contributions</w:t>
      </w:r>
      <w:r w:rsidR="00C02049">
        <w:rPr>
          <w:rFonts w:cstheme="minorHAnsi"/>
        </w:rPr>
        <w:t xml:space="preserve"> that count, and are thus eligible to be withdrawn,</w:t>
      </w:r>
      <w:r w:rsidR="00A6589A">
        <w:rPr>
          <w:rFonts w:cstheme="minorHAnsi"/>
        </w:rPr>
        <w:t xml:space="preserve"> under</w:t>
      </w:r>
      <w:r w:rsidR="00C02049">
        <w:rPr>
          <w:rFonts w:cstheme="minorHAnsi"/>
        </w:rPr>
        <w:t xml:space="preserve"> the rules for the first home saver superannuation scheme.</w:t>
      </w:r>
    </w:p>
    <w:p w14:paraId="0CDDEF75" w14:textId="77777777" w:rsidR="00523287" w:rsidRDefault="00C02049" w:rsidP="00876A81">
      <w:pPr>
        <w:spacing w:after="240"/>
        <w:rPr>
          <w:rFonts w:cstheme="minorHAnsi"/>
        </w:rPr>
      </w:pPr>
      <w:r>
        <w:rPr>
          <w:rFonts w:cstheme="minorHAnsi"/>
        </w:rPr>
        <w:t>The proposed definition of</w:t>
      </w:r>
      <w:r w:rsidR="00F14720">
        <w:rPr>
          <w:rFonts w:cstheme="minorHAnsi"/>
        </w:rPr>
        <w:t xml:space="preserve"> voluntary employer contributions </w:t>
      </w:r>
      <w:r>
        <w:rPr>
          <w:rFonts w:cstheme="minorHAnsi"/>
        </w:rPr>
        <w:t>relies on the existing definition</w:t>
      </w:r>
      <w:r w:rsidR="00494B61">
        <w:rPr>
          <w:rFonts w:cstheme="minorHAnsi"/>
        </w:rPr>
        <w:t xml:space="preserve"> </w:t>
      </w:r>
      <w:r>
        <w:rPr>
          <w:rFonts w:cstheme="minorHAnsi"/>
        </w:rPr>
        <w:t xml:space="preserve">for </w:t>
      </w:r>
      <w:r w:rsidR="00F14720">
        <w:rPr>
          <w:rFonts w:cstheme="minorHAnsi"/>
        </w:rPr>
        <w:t>mandated employer contributions</w:t>
      </w:r>
      <w:r>
        <w:rPr>
          <w:rFonts w:cstheme="minorHAnsi"/>
        </w:rPr>
        <w:t xml:space="preserve">; however, we think this definition will miss </w:t>
      </w:r>
      <w:r w:rsidR="00F14720">
        <w:rPr>
          <w:rFonts w:cstheme="minorHAnsi"/>
        </w:rPr>
        <w:t>some contributions which are nevertheless involuntary.</w:t>
      </w:r>
      <w:r w:rsidR="00DD3A79">
        <w:rPr>
          <w:rFonts w:cstheme="minorHAnsi"/>
        </w:rPr>
        <w:t xml:space="preserve"> </w:t>
      </w:r>
      <w:r w:rsidR="00494B61">
        <w:rPr>
          <w:rFonts w:cstheme="minorHAnsi"/>
        </w:rPr>
        <w:t xml:space="preserve">To address this, we suggest </w:t>
      </w:r>
      <w:r>
        <w:rPr>
          <w:rFonts w:cstheme="minorHAnsi"/>
        </w:rPr>
        <w:t>utilising the existing</w:t>
      </w:r>
      <w:r w:rsidR="00494B61">
        <w:rPr>
          <w:rFonts w:cstheme="minorHAnsi"/>
        </w:rPr>
        <w:t xml:space="preserve"> </w:t>
      </w:r>
      <w:r w:rsidR="00F14720">
        <w:rPr>
          <w:rFonts w:cstheme="minorHAnsi"/>
        </w:rPr>
        <w:t>Reportable Employer Superannuation Contribution framework</w:t>
      </w:r>
      <w:r w:rsidR="00A6589A">
        <w:rPr>
          <w:rFonts w:cstheme="minorHAnsi"/>
        </w:rPr>
        <w:t xml:space="preserve"> which contains a useful “capacity to influence” test</w:t>
      </w:r>
      <w:r w:rsidR="00494B61">
        <w:rPr>
          <w:rFonts w:cstheme="minorHAnsi"/>
        </w:rPr>
        <w:t xml:space="preserve">. </w:t>
      </w:r>
      <w:r w:rsidR="00A6589A">
        <w:rPr>
          <w:rFonts w:cstheme="minorHAnsi"/>
        </w:rPr>
        <w:t>The RESC</w:t>
      </w:r>
      <w:r w:rsidR="00F14720">
        <w:rPr>
          <w:rFonts w:cstheme="minorHAnsi"/>
        </w:rPr>
        <w:t xml:space="preserve"> framework was established </w:t>
      </w:r>
      <w:r w:rsidR="00A6589A">
        <w:rPr>
          <w:rFonts w:cstheme="minorHAnsi"/>
        </w:rPr>
        <w:t>close to</w:t>
      </w:r>
      <w:r w:rsidR="00F14720">
        <w:rPr>
          <w:rFonts w:cstheme="minorHAnsi"/>
        </w:rPr>
        <w:t xml:space="preserve"> </w:t>
      </w:r>
      <w:r w:rsidR="00EC1DCB">
        <w:rPr>
          <w:rFonts w:cstheme="minorHAnsi"/>
        </w:rPr>
        <w:t xml:space="preserve">10 </w:t>
      </w:r>
      <w:r w:rsidR="00F14720">
        <w:rPr>
          <w:rFonts w:cstheme="minorHAnsi"/>
        </w:rPr>
        <w:t>years</w:t>
      </w:r>
      <w:r w:rsidR="00A6589A">
        <w:rPr>
          <w:rStyle w:val="FootnoteReference"/>
          <w:rFonts w:cstheme="minorHAnsi"/>
        </w:rPr>
        <w:footnoteReference w:id="2"/>
      </w:r>
      <w:r w:rsidR="00F14720">
        <w:rPr>
          <w:rFonts w:cstheme="minorHAnsi"/>
        </w:rPr>
        <w:t xml:space="preserve"> ago and is generally well understood</w:t>
      </w:r>
      <w:r>
        <w:rPr>
          <w:rFonts w:cstheme="minorHAnsi"/>
        </w:rPr>
        <w:t xml:space="preserve">. </w:t>
      </w:r>
      <w:r w:rsidR="00A6589A">
        <w:rPr>
          <w:rFonts w:cstheme="minorHAnsi"/>
        </w:rPr>
        <w:t>Importantly, these</w:t>
      </w:r>
      <w:r>
        <w:rPr>
          <w:rFonts w:cstheme="minorHAnsi"/>
        </w:rPr>
        <w:t xml:space="preserve"> rules were introduced for </w:t>
      </w:r>
      <w:r w:rsidR="00A6589A">
        <w:rPr>
          <w:rFonts w:cstheme="minorHAnsi"/>
        </w:rPr>
        <w:t>a similar</w:t>
      </w:r>
      <w:r>
        <w:rPr>
          <w:rFonts w:cstheme="minorHAnsi"/>
        </w:rPr>
        <w:t xml:space="preserve"> purpose </w:t>
      </w:r>
      <w:r w:rsidR="00A6589A">
        <w:rPr>
          <w:rFonts w:cstheme="minorHAnsi"/>
        </w:rPr>
        <w:t>that goes to the</w:t>
      </w:r>
      <w:r w:rsidR="00494B61">
        <w:rPr>
          <w:rFonts w:cstheme="minorHAnsi"/>
        </w:rPr>
        <w:t xml:space="preserve"> heart of </w:t>
      </w:r>
      <w:r w:rsidR="00B2048A">
        <w:rPr>
          <w:rFonts w:cstheme="minorHAnsi"/>
        </w:rPr>
        <w:t>this issue</w:t>
      </w:r>
      <w:r w:rsidR="00494B61">
        <w:rPr>
          <w:rFonts w:cstheme="minorHAnsi"/>
        </w:rPr>
        <w:t xml:space="preserve">: What is </w:t>
      </w:r>
      <w:r w:rsidR="00DD3A79">
        <w:rPr>
          <w:rFonts w:cstheme="minorHAnsi"/>
        </w:rPr>
        <w:t xml:space="preserve">a </w:t>
      </w:r>
      <w:r w:rsidR="00494B61">
        <w:rPr>
          <w:rFonts w:cstheme="minorHAnsi"/>
        </w:rPr>
        <w:t xml:space="preserve">compulsory employer contribution compared to </w:t>
      </w:r>
      <w:r w:rsidR="00B2048A">
        <w:rPr>
          <w:rFonts w:cstheme="minorHAnsi"/>
        </w:rPr>
        <w:t>a voluntary salary sacrifice arrangement?</w:t>
      </w:r>
    </w:p>
    <w:p w14:paraId="39380876" w14:textId="77777777" w:rsidR="00DD3A79" w:rsidRPr="00DD3A79" w:rsidRDefault="00DD3A79" w:rsidP="00876A81">
      <w:pPr>
        <w:spacing w:after="240"/>
        <w:rPr>
          <w:rFonts w:cstheme="minorHAnsi"/>
          <w:b/>
        </w:rPr>
      </w:pPr>
      <w:r>
        <w:rPr>
          <w:rFonts w:cstheme="minorHAnsi"/>
          <w:b/>
        </w:rPr>
        <w:t>Proposed definition of eligible contributions</w:t>
      </w:r>
    </w:p>
    <w:p w14:paraId="35A9701C" w14:textId="77777777" w:rsidR="00DD2314" w:rsidRDefault="00A6589A" w:rsidP="00876A81">
      <w:pPr>
        <w:spacing w:after="240"/>
        <w:rPr>
          <w:rFonts w:cstheme="minorHAnsi"/>
        </w:rPr>
      </w:pPr>
      <w:r>
        <w:rPr>
          <w:rFonts w:cstheme="minorHAnsi"/>
        </w:rPr>
        <w:t>“E</w:t>
      </w:r>
      <w:r w:rsidR="00523287">
        <w:rPr>
          <w:rFonts w:cstheme="minorHAnsi"/>
        </w:rPr>
        <w:t>ligible contributions</w:t>
      </w:r>
      <w:r w:rsidR="00B2048A">
        <w:rPr>
          <w:rFonts w:cstheme="minorHAnsi"/>
        </w:rPr>
        <w:t xml:space="preserve">” </w:t>
      </w:r>
      <w:r>
        <w:rPr>
          <w:rFonts w:cstheme="minorHAnsi"/>
        </w:rPr>
        <w:t>are defined in proposed</w:t>
      </w:r>
      <w:r w:rsidR="00C00C0B">
        <w:rPr>
          <w:rFonts w:cstheme="minorHAnsi"/>
        </w:rPr>
        <w:t xml:space="preserve"> section 138-30 of the Tax Administration Act 1953 (TAA 53). Subsection (2) </w:t>
      </w:r>
      <w:r w:rsidR="00B2048A">
        <w:rPr>
          <w:rFonts w:cstheme="minorHAnsi"/>
        </w:rPr>
        <w:t>would act</w:t>
      </w:r>
      <w:r w:rsidR="00C00C0B">
        <w:rPr>
          <w:rFonts w:cstheme="minorHAnsi"/>
        </w:rPr>
        <w:t xml:space="preserve"> to restrict releasable contributions</w:t>
      </w:r>
      <w:r w:rsidR="00B2048A">
        <w:rPr>
          <w:rFonts w:cstheme="minorHAnsi"/>
        </w:rPr>
        <w:t xml:space="preserve"> for the purposes of first home purchases</w:t>
      </w:r>
      <w:r w:rsidR="00C00C0B">
        <w:rPr>
          <w:rFonts w:cstheme="minorHAnsi"/>
        </w:rPr>
        <w:t xml:space="preserve"> to non-mandated employer contributions and member contributions</w:t>
      </w:r>
      <w:r w:rsidR="00EC1DCB">
        <w:rPr>
          <w:rFonts w:cstheme="minorHAnsi"/>
        </w:rPr>
        <w:t>,</w:t>
      </w:r>
      <w:r w:rsidR="00C00C0B">
        <w:rPr>
          <w:rFonts w:cstheme="minorHAnsi"/>
        </w:rPr>
        <w:t xml:space="preserve"> while excluding contributions made in respect of a </w:t>
      </w:r>
      <w:r w:rsidR="00EC1DCB">
        <w:rPr>
          <w:rFonts w:cstheme="minorHAnsi"/>
        </w:rPr>
        <w:t xml:space="preserve">defined </w:t>
      </w:r>
      <w:r w:rsidR="00C00C0B">
        <w:rPr>
          <w:rFonts w:cstheme="minorHAnsi"/>
        </w:rPr>
        <w:t>benefit fund and contributions to constitutionally protected funds.</w:t>
      </w:r>
    </w:p>
    <w:p w14:paraId="403EA276" w14:textId="77777777" w:rsidR="00A6589A" w:rsidRDefault="00A6589A" w:rsidP="00557E20">
      <w:pPr>
        <w:spacing w:after="200"/>
        <w:rPr>
          <w:rFonts w:cstheme="minorHAnsi"/>
        </w:rPr>
      </w:pPr>
      <w:r>
        <w:rPr>
          <w:rFonts w:cstheme="minorHAnsi"/>
        </w:rPr>
        <w:t>Mandated employer contributions are defined in SIS Regulation 5.01 as follows:</w:t>
      </w:r>
    </w:p>
    <w:p w14:paraId="3DEB5CDD" w14:textId="77777777" w:rsidR="00557E20" w:rsidRDefault="00557E20">
      <w:pPr>
        <w:spacing w:after="200"/>
        <w:rPr>
          <w:rFonts w:cstheme="minorHAnsi"/>
          <w:b/>
          <w:bCs/>
          <w:i/>
          <w:iCs/>
          <w:sz w:val="18"/>
          <w:szCs w:val="18"/>
        </w:rPr>
      </w:pPr>
      <w:r>
        <w:rPr>
          <w:rFonts w:cstheme="minorHAnsi"/>
          <w:b/>
          <w:bCs/>
          <w:i/>
          <w:iCs/>
          <w:sz w:val="18"/>
          <w:szCs w:val="18"/>
        </w:rPr>
        <w:br w:type="page"/>
      </w:r>
    </w:p>
    <w:p w14:paraId="09565584" w14:textId="77777777" w:rsidR="00DD2314" w:rsidRPr="00557E20" w:rsidRDefault="00DD2314" w:rsidP="00DD2314">
      <w:pPr>
        <w:spacing w:after="240"/>
        <w:rPr>
          <w:rFonts w:cstheme="minorHAnsi"/>
          <w:i/>
          <w:sz w:val="18"/>
          <w:szCs w:val="18"/>
        </w:rPr>
      </w:pPr>
      <w:r w:rsidRPr="00557E20">
        <w:rPr>
          <w:rFonts w:cstheme="minorHAnsi"/>
          <w:b/>
          <w:bCs/>
          <w:i/>
          <w:iCs/>
          <w:sz w:val="18"/>
          <w:szCs w:val="18"/>
        </w:rPr>
        <w:lastRenderedPageBreak/>
        <w:t>"mandated employer contributions </w:t>
      </w:r>
      <w:bookmarkStart w:id="1" w:name="paragraph"/>
      <w:r w:rsidRPr="00557E20">
        <w:rPr>
          <w:rFonts w:cstheme="minorHAnsi"/>
          <w:b/>
          <w:bCs/>
          <w:i/>
          <w:iCs/>
          <w:sz w:val="18"/>
          <w:szCs w:val="18"/>
        </w:rPr>
        <w:t>"</w:t>
      </w:r>
      <w:r w:rsidRPr="00557E20">
        <w:rPr>
          <w:rFonts w:cstheme="minorHAnsi"/>
          <w:i/>
          <w:sz w:val="18"/>
          <w:szCs w:val="18"/>
        </w:rPr>
        <w:t>, in relation to a member of a regulated superannuation fund, means contributions by, or on behalf of, an employer that are equal to the sum of:</w:t>
      </w:r>
    </w:p>
    <w:p w14:paraId="501B6A84" w14:textId="77777777" w:rsidR="00DD2314" w:rsidRPr="00557E20" w:rsidRDefault="00DD2314" w:rsidP="00DD2314">
      <w:pPr>
        <w:spacing w:after="240"/>
        <w:rPr>
          <w:rFonts w:cstheme="minorHAnsi"/>
          <w:i/>
          <w:sz w:val="18"/>
          <w:szCs w:val="18"/>
        </w:rPr>
      </w:pPr>
      <w:r w:rsidRPr="00557E20">
        <w:rPr>
          <w:rFonts w:cstheme="minorHAnsi"/>
          <w:i/>
          <w:sz w:val="18"/>
          <w:szCs w:val="18"/>
        </w:rPr>
        <w:t>(a)  the contributions made by, or on behalf of, the employer to the fund in relation to the member, that:</w:t>
      </w:r>
    </w:p>
    <w:p w14:paraId="46D22152" w14:textId="77777777" w:rsidR="00DD2314" w:rsidRPr="00557E20" w:rsidRDefault="00DD2314" w:rsidP="00DD2314">
      <w:pPr>
        <w:spacing w:after="240"/>
        <w:ind w:left="720"/>
        <w:rPr>
          <w:rFonts w:cstheme="minorHAnsi"/>
          <w:i/>
          <w:sz w:val="18"/>
          <w:szCs w:val="18"/>
        </w:rPr>
      </w:pPr>
      <w:bookmarkStart w:id="2" w:name="paragraphsub"/>
      <w:r w:rsidRPr="00557E20">
        <w:rPr>
          <w:rFonts w:cstheme="minorHAnsi"/>
          <w:i/>
          <w:sz w:val="18"/>
          <w:szCs w:val="18"/>
        </w:rPr>
        <w:t>(i)  reduce the employer's potential liability for the superannuation guarantee charge imposed by </w:t>
      </w:r>
      <w:hyperlink r:id="rId20" w:history="1">
        <w:r w:rsidRPr="00557E20">
          <w:rPr>
            <w:rStyle w:val="Hyperlink"/>
            <w:rFonts w:cstheme="minorHAnsi"/>
            <w:i/>
            <w:noProof w:val="0"/>
            <w:sz w:val="18"/>
            <w:szCs w:val="18"/>
          </w:rPr>
          <w:t>section 5</w:t>
        </w:r>
      </w:hyperlink>
      <w:r w:rsidRPr="00557E20">
        <w:rPr>
          <w:rFonts w:cstheme="minorHAnsi"/>
          <w:i/>
          <w:sz w:val="18"/>
          <w:szCs w:val="18"/>
        </w:rPr>
        <w:t> of the </w:t>
      </w:r>
      <w:hyperlink r:id="rId21" w:history="1">
        <w:r w:rsidRPr="00557E20">
          <w:rPr>
            <w:rStyle w:val="Hyperlink"/>
            <w:rFonts w:cstheme="minorHAnsi"/>
            <w:i/>
            <w:iCs/>
            <w:noProof w:val="0"/>
            <w:sz w:val="18"/>
            <w:szCs w:val="18"/>
          </w:rPr>
          <w:t>Superannuation Guarantee Charge Act 1992</w:t>
        </w:r>
      </w:hyperlink>
      <w:r w:rsidRPr="00557E20">
        <w:rPr>
          <w:rFonts w:cstheme="minorHAnsi"/>
          <w:i/>
          <w:iCs/>
          <w:sz w:val="18"/>
          <w:szCs w:val="18"/>
        </w:rPr>
        <w:t> </w:t>
      </w:r>
      <w:r w:rsidRPr="00557E20">
        <w:rPr>
          <w:rFonts w:cstheme="minorHAnsi"/>
          <w:i/>
          <w:sz w:val="18"/>
          <w:szCs w:val="18"/>
        </w:rPr>
        <w:t>; or</w:t>
      </w:r>
    </w:p>
    <w:bookmarkEnd w:id="2"/>
    <w:p w14:paraId="065518B1" w14:textId="77777777" w:rsidR="00DD2314" w:rsidRPr="00557E20" w:rsidRDefault="00DD2314" w:rsidP="00DD2314">
      <w:pPr>
        <w:spacing w:after="240"/>
        <w:ind w:left="720"/>
        <w:rPr>
          <w:rFonts w:cstheme="minorHAnsi"/>
          <w:i/>
          <w:sz w:val="18"/>
          <w:szCs w:val="18"/>
        </w:rPr>
      </w:pPr>
      <w:r w:rsidRPr="00557E20">
        <w:rPr>
          <w:rFonts w:cstheme="minorHAnsi"/>
          <w:i/>
          <w:sz w:val="18"/>
          <w:szCs w:val="18"/>
        </w:rPr>
        <w:t xml:space="preserve"> (ii)  are payments of shortfall components; and</w:t>
      </w:r>
    </w:p>
    <w:bookmarkEnd w:id="1"/>
    <w:p w14:paraId="09A0DFDF" w14:textId="77777777" w:rsidR="00DD2314" w:rsidRPr="00557E20" w:rsidRDefault="00DD2314" w:rsidP="00DD2314">
      <w:pPr>
        <w:spacing w:after="240"/>
        <w:rPr>
          <w:rFonts w:cstheme="minorHAnsi"/>
          <w:i/>
          <w:sz w:val="18"/>
          <w:szCs w:val="18"/>
        </w:rPr>
      </w:pPr>
      <w:r w:rsidRPr="00557E20">
        <w:rPr>
          <w:rFonts w:cstheme="minorHAnsi"/>
          <w:i/>
          <w:sz w:val="18"/>
          <w:szCs w:val="18"/>
        </w:rPr>
        <w:t>(b)  the contributions (other than contributions of the kind specified in </w:t>
      </w:r>
      <w:hyperlink r:id="rId22" w:anchor="paragraph" w:history="1">
        <w:r w:rsidRPr="00557E20">
          <w:rPr>
            <w:rStyle w:val="Hyperlink"/>
            <w:rFonts w:cstheme="minorHAnsi"/>
            <w:i/>
            <w:noProof w:val="0"/>
            <w:sz w:val="18"/>
            <w:szCs w:val="18"/>
          </w:rPr>
          <w:t>paragraph</w:t>
        </w:r>
      </w:hyperlink>
      <w:r w:rsidRPr="00557E20">
        <w:rPr>
          <w:rFonts w:cstheme="minorHAnsi"/>
          <w:i/>
          <w:sz w:val="18"/>
          <w:szCs w:val="18"/>
        </w:rPr>
        <w:t> (a)) made by, or on behalf of, the employer to the fund in relation to the member in or towards satisfaction of the employer's obligation to make contributions for the member, being an obligation under an agreement certified, or an award made, on or after 1 July 1986 by an industrial authority.</w:t>
      </w:r>
    </w:p>
    <w:p w14:paraId="7BB92FDF" w14:textId="77777777" w:rsidR="00495172" w:rsidRDefault="00DD3A79" w:rsidP="00876A81">
      <w:pPr>
        <w:spacing w:after="240"/>
        <w:rPr>
          <w:rFonts w:cstheme="minorHAnsi"/>
        </w:rPr>
      </w:pPr>
      <w:r>
        <w:rPr>
          <w:rFonts w:cstheme="minorHAnsi"/>
        </w:rPr>
        <w:t xml:space="preserve">In short, </w:t>
      </w:r>
      <w:r w:rsidR="00A6589A">
        <w:rPr>
          <w:rFonts w:cstheme="minorHAnsi"/>
        </w:rPr>
        <w:t>this</w:t>
      </w:r>
      <w:r w:rsidR="00DD2314">
        <w:rPr>
          <w:rFonts w:cstheme="minorHAnsi"/>
        </w:rPr>
        <w:t xml:space="preserve"> definition </w:t>
      </w:r>
      <w:r w:rsidR="00A6589A">
        <w:rPr>
          <w:rFonts w:cstheme="minorHAnsi"/>
        </w:rPr>
        <w:t>aims to include</w:t>
      </w:r>
      <w:r w:rsidR="00DD2314">
        <w:rPr>
          <w:rFonts w:cstheme="minorHAnsi"/>
        </w:rPr>
        <w:t xml:space="preserve"> contributions made to satisfy </w:t>
      </w:r>
      <w:r w:rsidR="00A6589A">
        <w:rPr>
          <w:rFonts w:cstheme="minorHAnsi"/>
        </w:rPr>
        <w:t>an SG obligation or those made in accordance</w:t>
      </w:r>
      <w:r w:rsidR="00DD2314">
        <w:rPr>
          <w:rFonts w:cstheme="minorHAnsi"/>
        </w:rPr>
        <w:t xml:space="preserve"> </w:t>
      </w:r>
      <w:r w:rsidR="00A6589A">
        <w:rPr>
          <w:rFonts w:cstheme="minorHAnsi"/>
        </w:rPr>
        <w:t>with the terms of a</w:t>
      </w:r>
      <w:r w:rsidR="00DD2314">
        <w:rPr>
          <w:rFonts w:cstheme="minorHAnsi"/>
        </w:rPr>
        <w:t xml:space="preserve"> certified agreement, such as an EBA. While this</w:t>
      </w:r>
      <w:r w:rsidR="00A6589A">
        <w:rPr>
          <w:rFonts w:cstheme="minorHAnsi"/>
        </w:rPr>
        <w:t xml:space="preserve"> definition captures</w:t>
      </w:r>
      <w:r w:rsidR="00DD2314">
        <w:rPr>
          <w:rFonts w:cstheme="minorHAnsi"/>
        </w:rPr>
        <w:t xml:space="preserve"> a significant amount of mandatory contributions from being </w:t>
      </w:r>
      <w:r w:rsidR="00A6589A">
        <w:rPr>
          <w:rFonts w:cstheme="minorHAnsi"/>
        </w:rPr>
        <w:t>treated as voluntary</w:t>
      </w:r>
      <w:r w:rsidR="00DD2314">
        <w:rPr>
          <w:rFonts w:cstheme="minorHAnsi"/>
        </w:rPr>
        <w:t xml:space="preserve">, it will not exclude all </w:t>
      </w:r>
      <w:r w:rsidR="00A6589A">
        <w:rPr>
          <w:rFonts w:cstheme="minorHAnsi"/>
        </w:rPr>
        <w:t>contributions</w:t>
      </w:r>
      <w:r>
        <w:rPr>
          <w:rFonts w:cstheme="minorHAnsi"/>
        </w:rPr>
        <w:t>. N</w:t>
      </w:r>
      <w:r w:rsidR="00B2048A">
        <w:rPr>
          <w:rFonts w:cstheme="minorHAnsi"/>
        </w:rPr>
        <w:t>otably</w:t>
      </w:r>
      <w:r>
        <w:rPr>
          <w:rFonts w:cstheme="minorHAnsi"/>
        </w:rPr>
        <w:t>,</w:t>
      </w:r>
      <w:r w:rsidR="00B2048A">
        <w:rPr>
          <w:rFonts w:cstheme="minorHAnsi"/>
        </w:rPr>
        <w:t xml:space="preserve"> </w:t>
      </w:r>
      <w:r>
        <w:rPr>
          <w:rFonts w:cstheme="minorHAnsi"/>
        </w:rPr>
        <w:t>contributions made for the benefit of employees</w:t>
      </w:r>
      <w:r w:rsidR="00A6589A">
        <w:rPr>
          <w:rFonts w:cstheme="minorHAnsi"/>
        </w:rPr>
        <w:t xml:space="preserve"> </w:t>
      </w:r>
      <w:r>
        <w:rPr>
          <w:rFonts w:cstheme="minorHAnsi"/>
        </w:rPr>
        <w:t>who</w:t>
      </w:r>
      <w:r w:rsidR="00A6589A">
        <w:rPr>
          <w:rFonts w:cstheme="minorHAnsi"/>
        </w:rPr>
        <w:t xml:space="preserve">, </w:t>
      </w:r>
      <w:r>
        <w:rPr>
          <w:rFonts w:cstheme="minorHAnsi"/>
        </w:rPr>
        <w:t xml:space="preserve">while not employed under an EBA, </w:t>
      </w:r>
      <w:r w:rsidR="00B2048A">
        <w:rPr>
          <w:rFonts w:cstheme="minorHAnsi"/>
        </w:rPr>
        <w:t>receive above SG superannuation support.</w:t>
      </w:r>
    </w:p>
    <w:p w14:paraId="0A6E7141" w14:textId="77777777" w:rsidR="00246D2A" w:rsidRDefault="00A6589A" w:rsidP="00876A81">
      <w:pPr>
        <w:spacing w:after="240"/>
        <w:rPr>
          <w:rFonts w:cstheme="minorHAnsi"/>
        </w:rPr>
      </w:pPr>
      <w:r>
        <w:rPr>
          <w:rFonts w:cstheme="minorHAnsi"/>
        </w:rPr>
        <w:t xml:space="preserve">Some employers provide superannuation support in excess of the SG where elements of EBAs become </w:t>
      </w:r>
      <w:r w:rsidR="00495172">
        <w:rPr>
          <w:rFonts w:cstheme="minorHAnsi"/>
        </w:rPr>
        <w:t xml:space="preserve">incorporated into </w:t>
      </w:r>
      <w:r>
        <w:rPr>
          <w:rFonts w:cstheme="minorHAnsi"/>
        </w:rPr>
        <w:t>general</w:t>
      </w:r>
      <w:r w:rsidR="00246D2A">
        <w:rPr>
          <w:rFonts w:cstheme="minorHAnsi"/>
        </w:rPr>
        <w:t xml:space="preserve"> conditions of employment</w:t>
      </w:r>
      <w:r>
        <w:rPr>
          <w:rFonts w:cstheme="minorHAnsi"/>
        </w:rPr>
        <w:t>. Often (but not always) this higher level of support was originally the result of employer</w:t>
      </w:r>
      <w:r w:rsidR="00EC1DCB">
        <w:rPr>
          <w:rFonts w:cstheme="minorHAnsi"/>
        </w:rPr>
        <w:t>s</w:t>
      </w:r>
      <w:r>
        <w:rPr>
          <w:rFonts w:cstheme="minorHAnsi"/>
        </w:rPr>
        <w:t xml:space="preserve"> providing a defined benefit or a choice to have an</w:t>
      </w:r>
      <w:r w:rsidR="00246D2A">
        <w:rPr>
          <w:rFonts w:cstheme="minorHAnsi"/>
        </w:rPr>
        <w:t xml:space="preserve"> equivalent contribution to a defined contribution scheme.</w:t>
      </w:r>
      <w:r>
        <w:rPr>
          <w:rFonts w:cstheme="minorHAnsi"/>
        </w:rPr>
        <w:t xml:space="preserve"> This is historically the case with public sector employer</w:t>
      </w:r>
      <w:r w:rsidR="00EC1DCB">
        <w:rPr>
          <w:rFonts w:cstheme="minorHAnsi"/>
        </w:rPr>
        <w:t>s</w:t>
      </w:r>
      <w:r>
        <w:rPr>
          <w:rFonts w:cstheme="minorHAnsi"/>
        </w:rPr>
        <w:t xml:space="preserve"> (State and Commonwealth)</w:t>
      </w:r>
      <w:r w:rsidR="00EC1DCB">
        <w:rPr>
          <w:rFonts w:cstheme="minorHAnsi"/>
        </w:rPr>
        <w:t xml:space="preserve"> and</w:t>
      </w:r>
      <w:r>
        <w:rPr>
          <w:rFonts w:cstheme="minorHAnsi"/>
        </w:rPr>
        <w:t xml:space="preserve"> elements of the higher education sector (for example, related bodies / think-tanks which do not have an EBA, and even within the financial services sector, such as employees of UniSuper.)</w:t>
      </w:r>
    </w:p>
    <w:p w14:paraId="49FB8C07" w14:textId="77777777" w:rsidR="00495172" w:rsidRDefault="00A5079D" w:rsidP="00876A81">
      <w:pPr>
        <w:spacing w:after="240"/>
        <w:rPr>
          <w:rFonts w:cstheme="minorHAnsi"/>
        </w:rPr>
      </w:pPr>
      <w:r>
        <w:rPr>
          <w:rFonts w:cstheme="minorHAnsi"/>
        </w:rPr>
        <w:t>While mandatory amounts paid by an employer above the rate of SG are</w:t>
      </w:r>
      <w:r w:rsidR="00B2048A">
        <w:rPr>
          <w:rFonts w:cstheme="minorHAnsi"/>
        </w:rPr>
        <w:t xml:space="preserve"> unlikely to be</w:t>
      </w:r>
      <w:r w:rsidR="00495172">
        <w:rPr>
          <w:rFonts w:cstheme="minorHAnsi"/>
        </w:rPr>
        <w:t xml:space="preserve"> </w:t>
      </w:r>
      <w:r>
        <w:rPr>
          <w:rFonts w:cstheme="minorHAnsi"/>
        </w:rPr>
        <w:t xml:space="preserve">a </w:t>
      </w:r>
      <w:r w:rsidR="00495172">
        <w:rPr>
          <w:rFonts w:cstheme="minorHAnsi"/>
        </w:rPr>
        <w:t>RESC</w:t>
      </w:r>
      <w:r w:rsidR="00B2048A">
        <w:rPr>
          <w:rFonts w:cstheme="minorHAnsi"/>
        </w:rPr>
        <w:t xml:space="preserve"> </w:t>
      </w:r>
      <w:r>
        <w:rPr>
          <w:rFonts w:cstheme="minorHAnsi"/>
        </w:rPr>
        <w:t>(</w:t>
      </w:r>
      <w:r w:rsidR="00B2048A">
        <w:rPr>
          <w:rFonts w:cstheme="minorHAnsi"/>
        </w:rPr>
        <w:t>because the employees have no capacity to influence that amount</w:t>
      </w:r>
      <w:r>
        <w:rPr>
          <w:rFonts w:cstheme="minorHAnsi"/>
        </w:rPr>
        <w:t>)</w:t>
      </w:r>
      <w:r w:rsidR="00EC1DCB">
        <w:rPr>
          <w:rFonts w:cstheme="minorHAnsi"/>
        </w:rPr>
        <w:t>,</w:t>
      </w:r>
      <w:r>
        <w:rPr>
          <w:rFonts w:cstheme="minorHAnsi"/>
        </w:rPr>
        <w:t xml:space="preserve"> those amounts would potentially</w:t>
      </w:r>
      <w:r w:rsidR="00495172">
        <w:rPr>
          <w:rFonts w:cstheme="minorHAnsi"/>
        </w:rPr>
        <w:t xml:space="preserve"> fall outside the definition of mandated contributions</w:t>
      </w:r>
      <w:r>
        <w:rPr>
          <w:rFonts w:cstheme="minorHAnsi"/>
        </w:rPr>
        <w:t xml:space="preserve">. We think </w:t>
      </w:r>
      <w:r w:rsidR="00EC1DCB">
        <w:rPr>
          <w:rFonts w:cstheme="minorHAnsi"/>
        </w:rPr>
        <w:t xml:space="preserve">it </w:t>
      </w:r>
      <w:r>
        <w:rPr>
          <w:rFonts w:cstheme="minorHAnsi"/>
        </w:rPr>
        <w:t xml:space="preserve">is inconsistent with the intent of the law and encourage consideration of relying more on the RESC framework rather than on the definition of mandated and non-mandated contributions. </w:t>
      </w:r>
    </w:p>
    <w:p w14:paraId="5237B1F9" w14:textId="77777777" w:rsidR="00557E20" w:rsidRDefault="00557E20">
      <w:pPr>
        <w:spacing w:after="200"/>
        <w:rPr>
          <w:rFonts w:cstheme="minorHAnsi"/>
          <w:b/>
        </w:rPr>
      </w:pPr>
      <w:r>
        <w:rPr>
          <w:rFonts w:cstheme="minorHAnsi"/>
          <w:b/>
        </w:rPr>
        <w:br w:type="page"/>
      </w:r>
    </w:p>
    <w:p w14:paraId="3DB37799" w14:textId="77777777" w:rsidR="00B2048A" w:rsidRDefault="00B2048A" w:rsidP="00876A81">
      <w:pPr>
        <w:spacing w:after="240"/>
        <w:rPr>
          <w:rFonts w:cstheme="minorHAnsi"/>
          <w:b/>
        </w:rPr>
      </w:pPr>
      <w:r>
        <w:rPr>
          <w:rFonts w:cstheme="minorHAnsi"/>
          <w:b/>
        </w:rPr>
        <w:lastRenderedPageBreak/>
        <w:t xml:space="preserve">Excluding defined benefit contributions from eligible contributions </w:t>
      </w:r>
      <w:r w:rsidR="008E6167">
        <w:rPr>
          <w:rFonts w:cstheme="minorHAnsi"/>
          <w:b/>
        </w:rPr>
        <w:t>but allowing voluntary withdrawals is inconsistent</w:t>
      </w:r>
    </w:p>
    <w:p w14:paraId="28FFEFC4" w14:textId="77777777" w:rsidR="00A5079D" w:rsidRDefault="00A5079D" w:rsidP="00D47D0B">
      <w:pPr>
        <w:spacing w:after="240"/>
        <w:rPr>
          <w:rFonts w:cstheme="minorHAnsi"/>
        </w:rPr>
      </w:pPr>
      <w:r>
        <w:rPr>
          <w:rFonts w:cstheme="minorHAnsi"/>
        </w:rPr>
        <w:t xml:space="preserve">A related issue arises whereby </w:t>
      </w:r>
      <w:r w:rsidR="008E6167">
        <w:rPr>
          <w:rFonts w:cstheme="minorHAnsi"/>
        </w:rPr>
        <w:t>contributions in respect of defined benefit scheme</w:t>
      </w:r>
      <w:r>
        <w:rPr>
          <w:rFonts w:cstheme="minorHAnsi"/>
        </w:rPr>
        <w:t>s</w:t>
      </w:r>
      <w:r w:rsidR="008E6167">
        <w:rPr>
          <w:rFonts w:cstheme="minorHAnsi"/>
        </w:rPr>
        <w:t xml:space="preserve"> are to be excluded </w:t>
      </w:r>
      <w:r>
        <w:rPr>
          <w:rFonts w:cstheme="minorHAnsi"/>
        </w:rPr>
        <w:t>from the proposed definition of voluntary contributions (</w:t>
      </w:r>
      <w:r w:rsidR="008E6167">
        <w:rPr>
          <w:rFonts w:cstheme="minorHAnsi"/>
        </w:rPr>
        <w:t>section 138-30(2)(c)</w:t>
      </w:r>
      <w:r>
        <w:rPr>
          <w:rFonts w:cstheme="minorHAnsi"/>
        </w:rPr>
        <w:t xml:space="preserve">) and are thus ineligible to be released for </w:t>
      </w:r>
      <w:r w:rsidR="003A0961">
        <w:rPr>
          <w:rFonts w:cstheme="minorHAnsi"/>
        </w:rPr>
        <w:t xml:space="preserve">the </w:t>
      </w:r>
      <w:r>
        <w:rPr>
          <w:rFonts w:cstheme="minorHAnsi"/>
        </w:rPr>
        <w:t xml:space="preserve">purchase </w:t>
      </w:r>
      <w:r w:rsidR="003A0961">
        <w:rPr>
          <w:rFonts w:cstheme="minorHAnsi"/>
        </w:rPr>
        <w:t xml:space="preserve">of </w:t>
      </w:r>
      <w:r>
        <w:rPr>
          <w:rFonts w:cstheme="minorHAnsi"/>
        </w:rPr>
        <w:t xml:space="preserve">a home; however, </w:t>
      </w:r>
      <w:r w:rsidR="00D47D0B">
        <w:rPr>
          <w:rFonts w:cstheme="minorHAnsi"/>
        </w:rPr>
        <w:t xml:space="preserve">defined benefit </w:t>
      </w:r>
      <w:r w:rsidR="008E6167">
        <w:rPr>
          <w:rFonts w:cstheme="minorHAnsi"/>
        </w:rPr>
        <w:t xml:space="preserve">superannuation providers </w:t>
      </w:r>
      <w:r>
        <w:rPr>
          <w:rFonts w:cstheme="minorHAnsi"/>
        </w:rPr>
        <w:t>could still voluntarily</w:t>
      </w:r>
      <w:r w:rsidR="008E6167">
        <w:rPr>
          <w:rFonts w:cstheme="minorHAnsi"/>
        </w:rPr>
        <w:t xml:space="preserve"> release </w:t>
      </w:r>
      <w:r>
        <w:rPr>
          <w:rFonts w:cstheme="minorHAnsi"/>
        </w:rPr>
        <w:t>monies in respect</w:t>
      </w:r>
      <w:r w:rsidR="008E6167">
        <w:rPr>
          <w:rFonts w:cstheme="minorHAnsi"/>
        </w:rPr>
        <w:t xml:space="preserve"> of a defined benefit interest (EM para 1.24).</w:t>
      </w:r>
    </w:p>
    <w:p w14:paraId="7D9DFB1B" w14:textId="77777777" w:rsidR="00A5079D" w:rsidRDefault="00A5079D" w:rsidP="00D47D0B">
      <w:pPr>
        <w:spacing w:after="240"/>
        <w:rPr>
          <w:rFonts w:cstheme="minorHAnsi"/>
        </w:rPr>
      </w:pPr>
      <w:r>
        <w:rPr>
          <w:rFonts w:cstheme="minorHAnsi"/>
        </w:rPr>
        <w:t xml:space="preserve">In other words, the money going </w:t>
      </w:r>
      <w:r w:rsidR="00EC1DCB">
        <w:rPr>
          <w:rFonts w:cstheme="minorHAnsi"/>
        </w:rPr>
        <w:t xml:space="preserve">in </w:t>
      </w:r>
      <w:r>
        <w:rPr>
          <w:rFonts w:cstheme="minorHAnsi"/>
        </w:rPr>
        <w:t xml:space="preserve">is ineligible to be withdrawn yet some part of the corpus of the defined benefit is potentially eligible to be withdrawn. </w:t>
      </w:r>
      <w:r w:rsidR="00D47D0B">
        <w:rPr>
          <w:rFonts w:cstheme="minorHAnsi"/>
        </w:rPr>
        <w:t>This is oddly inconsistent</w:t>
      </w:r>
      <w:r>
        <w:rPr>
          <w:rFonts w:cstheme="minorHAnsi"/>
        </w:rPr>
        <w:t>. I</w:t>
      </w:r>
      <w:r w:rsidR="00D47D0B">
        <w:rPr>
          <w:rFonts w:cstheme="minorHAnsi"/>
        </w:rPr>
        <w:t xml:space="preserve">f withdrawals from defined benefit </w:t>
      </w:r>
      <w:r w:rsidR="008B6EE2">
        <w:rPr>
          <w:rFonts w:cstheme="minorHAnsi"/>
        </w:rPr>
        <w:t xml:space="preserve">schemes </w:t>
      </w:r>
      <w:r w:rsidR="00D47D0B">
        <w:rPr>
          <w:rFonts w:cstheme="minorHAnsi"/>
        </w:rPr>
        <w:t xml:space="preserve">are permitted, then contributions made to fund that defined benefit </w:t>
      </w:r>
      <w:r w:rsidR="008B6EE2">
        <w:rPr>
          <w:rFonts w:cstheme="minorHAnsi"/>
        </w:rPr>
        <w:t xml:space="preserve">component </w:t>
      </w:r>
      <w:r w:rsidR="00D47D0B">
        <w:rPr>
          <w:rFonts w:cstheme="minorHAnsi"/>
        </w:rPr>
        <w:t>shoul</w:t>
      </w:r>
      <w:r>
        <w:rPr>
          <w:rFonts w:cstheme="minorHAnsi"/>
        </w:rPr>
        <w:t xml:space="preserve">d be eligible to be released. </w:t>
      </w:r>
      <w:r w:rsidR="00D47D0B">
        <w:rPr>
          <w:rFonts w:cstheme="minorHAnsi"/>
        </w:rPr>
        <w:t xml:space="preserve">While most, if not all, defined benefit schemes have a singular focus on delivering a benefit at retirement, the spirit of this law (i.e. members can make additional voluntary non-retirement based savings into superannuation for the purposes of home purchases) could be better served by allowing both contributions to count </w:t>
      </w:r>
      <w:r>
        <w:rPr>
          <w:rFonts w:cstheme="minorHAnsi"/>
        </w:rPr>
        <w:t xml:space="preserve">and </w:t>
      </w:r>
      <w:r w:rsidR="00D47D0B">
        <w:rPr>
          <w:rFonts w:cstheme="minorHAnsi"/>
        </w:rPr>
        <w:t>be released.</w:t>
      </w:r>
    </w:p>
    <w:p w14:paraId="30B730E6" w14:textId="77777777" w:rsidR="00D47D0B" w:rsidRDefault="00D47D0B" w:rsidP="00D47D0B">
      <w:pPr>
        <w:spacing w:after="240"/>
        <w:rPr>
          <w:rFonts w:cstheme="minorHAnsi"/>
        </w:rPr>
      </w:pPr>
      <w:r>
        <w:rPr>
          <w:rFonts w:cstheme="minorHAnsi"/>
        </w:rPr>
        <w:t xml:space="preserve">While most defined benefit schemes would require significant benefit design (and trust deed) changes, the proposed exclusion of </w:t>
      </w:r>
      <w:r w:rsidR="008B6EE2">
        <w:rPr>
          <w:rFonts w:cstheme="minorHAnsi"/>
        </w:rPr>
        <w:t xml:space="preserve">contributions to </w:t>
      </w:r>
      <w:r>
        <w:rPr>
          <w:rFonts w:cstheme="minorHAnsi"/>
        </w:rPr>
        <w:t>defined benefit</w:t>
      </w:r>
      <w:r w:rsidR="008B6EE2">
        <w:rPr>
          <w:rFonts w:cstheme="minorHAnsi"/>
        </w:rPr>
        <w:t xml:space="preserve"> schemes</w:t>
      </w:r>
      <w:r>
        <w:rPr>
          <w:rFonts w:cstheme="minorHAnsi"/>
        </w:rPr>
        <w:t xml:space="preserve"> effectively ensures that </w:t>
      </w:r>
      <w:r w:rsidR="008B6EE2">
        <w:rPr>
          <w:rFonts w:cstheme="minorHAnsi"/>
        </w:rPr>
        <w:t>these</w:t>
      </w:r>
      <w:r>
        <w:rPr>
          <w:rFonts w:cstheme="minorHAnsi"/>
        </w:rPr>
        <w:t xml:space="preserve"> schemes will never</w:t>
      </w:r>
      <w:r w:rsidR="00557E20">
        <w:rPr>
          <w:rFonts w:cstheme="minorHAnsi"/>
        </w:rPr>
        <w:t xml:space="preserve"> be able to</w:t>
      </w:r>
      <w:r>
        <w:rPr>
          <w:rFonts w:cstheme="minorHAnsi"/>
        </w:rPr>
        <w:t xml:space="preserve"> develop this as a feature of their benefit design. While we believe few defined benefit schemes will change their focus from retirement, we submit that it should </w:t>
      </w:r>
      <w:r w:rsidR="00557E20">
        <w:rPr>
          <w:rFonts w:cstheme="minorHAnsi"/>
        </w:rPr>
        <w:t>still be a</w:t>
      </w:r>
      <w:r>
        <w:rPr>
          <w:rFonts w:cstheme="minorHAnsi"/>
        </w:rPr>
        <w:t xml:space="preserve"> potential future benefit design option for them. To that effect, releasing monies from a defined benefit </w:t>
      </w:r>
      <w:r w:rsidR="008B6EE2">
        <w:rPr>
          <w:rFonts w:cstheme="minorHAnsi"/>
        </w:rPr>
        <w:t xml:space="preserve">component </w:t>
      </w:r>
      <w:r>
        <w:rPr>
          <w:rFonts w:cstheme="minorHAnsi"/>
        </w:rPr>
        <w:t>should continue to be voluntary</w:t>
      </w:r>
      <w:r w:rsidR="00557E20">
        <w:rPr>
          <w:rFonts w:cstheme="minorHAnsi"/>
        </w:rPr>
        <w:t xml:space="preserve"> (i.e. based on trustee policy)</w:t>
      </w:r>
      <w:r w:rsidR="00EC1DCB">
        <w:rPr>
          <w:rFonts w:cstheme="minorHAnsi"/>
        </w:rPr>
        <w:t>,</w:t>
      </w:r>
      <w:r>
        <w:rPr>
          <w:rFonts w:cstheme="minorHAnsi"/>
        </w:rPr>
        <w:t xml:space="preserve"> but salary sacrificed member contributions to defined benefit schemes should at least count as eligible voluntary contributions. In many hybrid schemes, those contributions could be released from an associated accumulation interest.</w:t>
      </w:r>
    </w:p>
    <w:p w14:paraId="7EDBA538" w14:textId="77777777" w:rsidR="00D62D29" w:rsidRPr="00D62D29" w:rsidRDefault="00D47D0B" w:rsidP="00C02049">
      <w:pPr>
        <w:spacing w:after="240"/>
        <w:rPr>
          <w:rFonts w:cstheme="minorHAnsi"/>
        </w:rPr>
      </w:pPr>
      <w:r>
        <w:rPr>
          <w:rFonts w:cstheme="minorHAnsi"/>
        </w:rPr>
        <w:t xml:space="preserve">There are also potential behavioural consequences if salary sacrificed member contributions </w:t>
      </w:r>
      <w:r w:rsidR="006D11DC">
        <w:rPr>
          <w:rFonts w:cstheme="minorHAnsi"/>
        </w:rPr>
        <w:t>to a defined benefit interest do not count as voluntary contributions</w:t>
      </w:r>
      <w:r w:rsidR="00EC1DCB">
        <w:rPr>
          <w:rFonts w:cstheme="minorHAnsi"/>
        </w:rPr>
        <w:t>,</w:t>
      </w:r>
      <w:r w:rsidR="006D11DC">
        <w:rPr>
          <w:rFonts w:cstheme="minorHAnsi"/>
        </w:rPr>
        <w:t xml:space="preserve"> whereas salary sacrificed member contributions to a defined contribution </w:t>
      </w:r>
      <w:r w:rsidR="003A0961">
        <w:rPr>
          <w:rFonts w:cstheme="minorHAnsi"/>
        </w:rPr>
        <w:t xml:space="preserve">(DC) </w:t>
      </w:r>
      <w:r w:rsidR="006D11DC">
        <w:rPr>
          <w:rFonts w:cstheme="minorHAnsi"/>
        </w:rPr>
        <w:t>interest do. In such instances, we suspect some people will choose to switch contributions to a DC component (reducing</w:t>
      </w:r>
      <w:r w:rsidR="00557E20">
        <w:rPr>
          <w:rFonts w:cstheme="minorHAnsi"/>
        </w:rPr>
        <w:t xml:space="preserve"> forever their contributions to their</w:t>
      </w:r>
      <w:r w:rsidR="006D11DC">
        <w:rPr>
          <w:rFonts w:cstheme="minorHAnsi"/>
        </w:rPr>
        <w:t xml:space="preserve"> defined benefit </w:t>
      </w:r>
      <w:r w:rsidR="00557E20">
        <w:rPr>
          <w:rFonts w:cstheme="minorHAnsi"/>
        </w:rPr>
        <w:t>which is generally an</w:t>
      </w:r>
      <w:r w:rsidR="006D11DC">
        <w:rPr>
          <w:rFonts w:cstheme="minorHAnsi"/>
        </w:rPr>
        <w:t xml:space="preserve"> irrevocable election owing to selection risks). </w:t>
      </w:r>
    </w:p>
    <w:p w14:paraId="4B5E41FD" w14:textId="77777777" w:rsidR="00105B35" w:rsidRDefault="00105B35" w:rsidP="00105B35">
      <w:pPr>
        <w:pStyle w:val="ListParagraph"/>
        <w:spacing w:after="240"/>
        <w:jc w:val="both"/>
        <w:rPr>
          <w:rFonts w:cstheme="minorHAnsi"/>
        </w:rPr>
      </w:pPr>
    </w:p>
    <w:p w14:paraId="7A166F48" w14:textId="77777777" w:rsidR="007666A9" w:rsidRPr="0072180F" w:rsidRDefault="007666A9" w:rsidP="0072180F">
      <w:pPr>
        <w:spacing w:after="240"/>
        <w:jc w:val="both"/>
        <w:rPr>
          <w:rFonts w:cstheme="minorHAnsi"/>
        </w:rPr>
      </w:pPr>
    </w:p>
    <w:sectPr w:rsidR="007666A9" w:rsidRPr="0072180F" w:rsidSect="00B64FC0">
      <w:footerReference w:type="first" r:id="rId23"/>
      <w:pgSz w:w="11906" w:h="16838"/>
      <w:pgMar w:top="1701" w:right="1440" w:bottom="1440" w:left="1440"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9B1616" w15:done="0"/>
  <w15:commentEx w15:paraId="22AB196B" w15:done="0"/>
  <w15:commentEx w15:paraId="6C57714F" w15:done="0"/>
  <w15:commentEx w15:paraId="73940C58" w15:done="0"/>
  <w15:commentEx w15:paraId="0F548C57" w15:done="0"/>
  <w15:commentEx w15:paraId="3998AE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F5E06" w14:textId="77777777" w:rsidR="00D75681" w:rsidRDefault="00D75681" w:rsidP="00926F68">
      <w:pPr>
        <w:spacing w:after="0" w:line="240" w:lineRule="auto"/>
      </w:pPr>
      <w:r>
        <w:separator/>
      </w:r>
    </w:p>
  </w:endnote>
  <w:endnote w:type="continuationSeparator" w:id="0">
    <w:p w14:paraId="0858CEAE" w14:textId="77777777" w:rsidR="00D75681" w:rsidRDefault="00D75681" w:rsidP="0092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ronicle Display">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E8D79" w14:textId="77777777" w:rsidR="00D257AC" w:rsidRDefault="0072180F" w:rsidP="00D257AC">
    <w:pPr>
      <w:pStyle w:val="Footer"/>
    </w:pPr>
    <w:r>
      <w:rPr>
        <w:rFonts w:cstheme="minorHAnsi"/>
        <w:i/>
        <w:szCs w:val="20"/>
        <w:shd w:val="clear" w:color="auto" w:fill="FFFFFF"/>
      </w:rPr>
      <w:t>Housing related superannuation measures</w:t>
    </w:r>
    <w:r w:rsidR="00D257AC">
      <w:tab/>
    </w:r>
    <w:r w:rsidR="00D257AC">
      <w:tab/>
      <w:t xml:space="preserve">Page </w:t>
    </w:r>
    <w:sdt>
      <w:sdtPr>
        <w:id w:val="-153451004"/>
        <w:docPartObj>
          <w:docPartGallery w:val="Page Numbers (Bottom of Page)"/>
          <w:docPartUnique/>
        </w:docPartObj>
      </w:sdtPr>
      <w:sdtEndPr>
        <w:rPr>
          <w:noProof/>
        </w:rPr>
      </w:sdtEndPr>
      <w:sdtContent>
        <w:r w:rsidR="00D257AC">
          <w:fldChar w:fldCharType="begin"/>
        </w:r>
        <w:r w:rsidR="00D257AC">
          <w:instrText xml:space="preserve"> PAGE   \* MERGEFORMAT </w:instrText>
        </w:r>
        <w:r w:rsidR="00D257AC">
          <w:fldChar w:fldCharType="separate"/>
        </w:r>
        <w:r w:rsidR="00776714">
          <w:rPr>
            <w:noProof/>
          </w:rPr>
          <w:t>3</w:t>
        </w:r>
        <w:r w:rsidR="00D257AC">
          <w:rPr>
            <w:noProof/>
          </w:rPr>
          <w:fldChar w:fldCharType="end"/>
        </w:r>
      </w:sdtContent>
    </w:sdt>
  </w:p>
  <w:p w14:paraId="57F622D0" w14:textId="77777777" w:rsidR="00D257AC" w:rsidRPr="00C71DE6" w:rsidRDefault="0072180F" w:rsidP="00D257AC">
    <w:pPr>
      <w:pStyle w:val="Footer"/>
    </w:pPr>
    <w:r>
      <w:t>4 August 2017</w:t>
    </w:r>
  </w:p>
  <w:p w14:paraId="18A266D2" w14:textId="77777777" w:rsidR="00630755" w:rsidRDefault="00630755" w:rsidP="009E0982">
    <w:pPr>
      <w:pStyle w:val="Footer"/>
    </w:pPr>
    <w:r w:rsidRPr="00C71DE6">
      <w:tab/>
    </w:r>
    <w:r w:rsidRPr="00C71DE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9EC51" w14:textId="77777777" w:rsidR="00630755" w:rsidRPr="009D5A9B" w:rsidRDefault="009D5A9B" w:rsidP="009D5A9B">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B5899" w14:textId="77777777" w:rsidR="00EA763F" w:rsidRDefault="00E77F0B" w:rsidP="00EA763F">
    <w:pPr>
      <w:pStyle w:val="Footer"/>
    </w:pPr>
    <w:r>
      <w:rPr>
        <w:rFonts w:cstheme="minorHAnsi"/>
        <w:i/>
        <w:szCs w:val="20"/>
        <w:shd w:val="clear" w:color="auto" w:fill="FFFFFF"/>
      </w:rPr>
      <w:t>Extending superannuation choice</w:t>
    </w:r>
    <w:r w:rsidR="00EA763F">
      <w:tab/>
    </w:r>
    <w:r w:rsidR="00EA763F">
      <w:tab/>
    </w:r>
  </w:p>
  <w:p w14:paraId="3442A93E" w14:textId="77777777" w:rsidR="00EA763F" w:rsidRPr="00C71DE6" w:rsidRDefault="00E77F0B" w:rsidP="00EA763F">
    <w:pPr>
      <w:pStyle w:val="Footer"/>
    </w:pPr>
    <w:r>
      <w:t>20 January 2016</w:t>
    </w:r>
  </w:p>
  <w:p w14:paraId="7C638A2F" w14:textId="77777777" w:rsidR="003E6BB1" w:rsidRPr="00C71DE6" w:rsidRDefault="003E6BB1" w:rsidP="00B64FC0">
    <w:pPr>
      <w:pStyle w:val="Footer"/>
      <w:tabs>
        <w:tab w:val="left" w:pos="8700"/>
      </w:tabs>
    </w:pPr>
    <w:r>
      <w:tab/>
    </w:r>
    <w:r>
      <w:tab/>
    </w:r>
    <w:r w:rsidR="00B64FC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F3AAE" w14:textId="77777777" w:rsidR="00D75681" w:rsidRDefault="00D75681" w:rsidP="00926F68">
      <w:pPr>
        <w:spacing w:after="0" w:line="240" w:lineRule="auto"/>
      </w:pPr>
      <w:r>
        <w:separator/>
      </w:r>
    </w:p>
  </w:footnote>
  <w:footnote w:type="continuationSeparator" w:id="0">
    <w:p w14:paraId="35C8D221" w14:textId="77777777" w:rsidR="00D75681" w:rsidRDefault="00D75681" w:rsidP="00926F68">
      <w:pPr>
        <w:spacing w:after="0" w:line="240" w:lineRule="auto"/>
      </w:pPr>
      <w:r>
        <w:continuationSeparator/>
      </w:r>
    </w:p>
  </w:footnote>
  <w:footnote w:id="1">
    <w:p w14:paraId="5B10ED19" w14:textId="77777777" w:rsidR="00586F74" w:rsidRPr="00084152" w:rsidRDefault="00586F74" w:rsidP="00586F74">
      <w:pPr>
        <w:rPr>
          <w:sz w:val="18"/>
          <w:szCs w:val="18"/>
        </w:rPr>
      </w:pPr>
      <w:r>
        <w:rPr>
          <w:rStyle w:val="FootnoteReference"/>
        </w:rPr>
        <w:footnoteRef/>
      </w:r>
      <w:r>
        <w:t xml:space="preserve"> </w:t>
      </w:r>
      <w:r w:rsidRPr="00586F74">
        <w:rPr>
          <w:sz w:val="18"/>
          <w:szCs w:val="18"/>
        </w:rPr>
        <w:t>This submission has been prepared by UniSuper Management Pty Ltd (ABN 91 006 961 799), which acts as the administrator of the Trustee, UniSuper Limited (ABN 54 006 027 121).</w:t>
      </w:r>
    </w:p>
  </w:footnote>
  <w:footnote w:id="2">
    <w:p w14:paraId="3364B837" w14:textId="77777777" w:rsidR="00A6589A" w:rsidRDefault="00A6589A">
      <w:pPr>
        <w:pStyle w:val="FootnoteText"/>
      </w:pPr>
      <w:r>
        <w:rPr>
          <w:rStyle w:val="FootnoteReference"/>
        </w:rPr>
        <w:footnoteRef/>
      </w:r>
      <w:r>
        <w:t xml:space="preserve"> Tax Laws Amendment (2009 Measures No. 1) Act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35C10" w14:textId="77777777" w:rsidR="003E6BB1" w:rsidRDefault="003E6BB1" w:rsidP="003E6BB1">
    <w:r w:rsidRPr="00EE0518">
      <w:rPr>
        <w:noProof/>
        <w:lang w:eastAsia="en-AU"/>
      </w:rPr>
      <w:drawing>
        <wp:anchor distT="0" distB="0" distL="114300" distR="114300" simplePos="0" relativeHeight="251663360" behindDoc="0" locked="0" layoutInCell="1" allowOverlap="1" wp14:anchorId="3F60E485" wp14:editId="032B8994">
          <wp:simplePos x="0" y="0"/>
          <wp:positionH relativeFrom="column">
            <wp:posOffset>4504055</wp:posOffset>
          </wp:positionH>
          <wp:positionV relativeFrom="paragraph">
            <wp:posOffset>-2276</wp:posOffset>
          </wp:positionV>
          <wp:extent cx="1714500" cy="405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72EB" w14:textId="77777777" w:rsidR="00630755" w:rsidRPr="000232A4" w:rsidRDefault="00630755" w:rsidP="00EE0518">
    <w:pPr>
      <w:pStyle w:val="Header"/>
      <w:rPr>
        <w:sz w:val="20"/>
        <w:szCs w:val="20"/>
      </w:rPr>
    </w:pPr>
    <w:r w:rsidRPr="000232A4">
      <w:rPr>
        <w:sz w:val="20"/>
        <w:szCs w:val="20"/>
      </w:rPr>
      <w:drawing>
        <wp:anchor distT="0" distB="0" distL="114300" distR="114300" simplePos="0" relativeHeight="251659264" behindDoc="0" locked="0" layoutInCell="1" allowOverlap="1" wp14:anchorId="38499C47" wp14:editId="7AFD1B65">
          <wp:simplePos x="0" y="0"/>
          <wp:positionH relativeFrom="column">
            <wp:posOffset>-323850</wp:posOffset>
          </wp:positionH>
          <wp:positionV relativeFrom="paragraph">
            <wp:posOffset>-163830</wp:posOffset>
          </wp:positionV>
          <wp:extent cx="1714500" cy="4051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0C3"/>
    <w:multiLevelType w:val="hybridMultilevel"/>
    <w:tmpl w:val="51F21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E2302"/>
    <w:multiLevelType w:val="hybridMultilevel"/>
    <w:tmpl w:val="541C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D24EA3"/>
    <w:multiLevelType w:val="hybridMultilevel"/>
    <w:tmpl w:val="81B4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2D5463"/>
    <w:multiLevelType w:val="hybridMultilevel"/>
    <w:tmpl w:val="2834A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964D07"/>
    <w:multiLevelType w:val="hybridMultilevel"/>
    <w:tmpl w:val="81320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5C00E3"/>
    <w:multiLevelType w:val="hybridMultilevel"/>
    <w:tmpl w:val="99C8F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1A7649"/>
    <w:multiLevelType w:val="hybridMultilevel"/>
    <w:tmpl w:val="550AD548"/>
    <w:lvl w:ilvl="0" w:tplc="F2985C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1B7369"/>
    <w:multiLevelType w:val="hybridMultilevel"/>
    <w:tmpl w:val="A484D9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20B85BB3"/>
    <w:multiLevelType w:val="hybridMultilevel"/>
    <w:tmpl w:val="626C5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160B7E"/>
    <w:multiLevelType w:val="hybridMultilevel"/>
    <w:tmpl w:val="11C29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6247DC"/>
    <w:multiLevelType w:val="hybridMultilevel"/>
    <w:tmpl w:val="EBCC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022D1F"/>
    <w:multiLevelType w:val="hybridMultilevel"/>
    <w:tmpl w:val="65BA02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303E05CF"/>
    <w:multiLevelType w:val="hybridMultilevel"/>
    <w:tmpl w:val="E96EA6B2"/>
    <w:lvl w:ilvl="0" w:tplc="F7401A00">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38E17E5"/>
    <w:multiLevelType w:val="hybridMultilevel"/>
    <w:tmpl w:val="DA86CC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4">
    <w:nsid w:val="35FF3DC6"/>
    <w:multiLevelType w:val="hybridMultilevel"/>
    <w:tmpl w:val="3288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295B0E"/>
    <w:multiLevelType w:val="hybridMultilevel"/>
    <w:tmpl w:val="ECCCE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FC0BF7"/>
    <w:multiLevelType w:val="hybridMultilevel"/>
    <w:tmpl w:val="46B05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C13539F"/>
    <w:multiLevelType w:val="hybridMultilevel"/>
    <w:tmpl w:val="257C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1E74E4"/>
    <w:multiLevelType w:val="hybridMultilevel"/>
    <w:tmpl w:val="23F27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0F950B4"/>
    <w:multiLevelType w:val="hybridMultilevel"/>
    <w:tmpl w:val="10AAB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502C5BB0"/>
    <w:multiLevelType w:val="hybridMultilevel"/>
    <w:tmpl w:val="627478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513226D7"/>
    <w:multiLevelType w:val="hybridMultilevel"/>
    <w:tmpl w:val="85964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16D1BBA"/>
    <w:multiLevelType w:val="multilevel"/>
    <w:tmpl w:val="4978F3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523623AE"/>
    <w:multiLevelType w:val="hybridMultilevel"/>
    <w:tmpl w:val="0CF20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80269D"/>
    <w:multiLevelType w:val="multilevel"/>
    <w:tmpl w:val="2BD4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220EB2"/>
    <w:multiLevelType w:val="hybridMultilevel"/>
    <w:tmpl w:val="1C648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6B15B0C"/>
    <w:multiLevelType w:val="hybridMultilevel"/>
    <w:tmpl w:val="65BA02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nsid w:val="677E0710"/>
    <w:multiLevelType w:val="hybridMultilevel"/>
    <w:tmpl w:val="4872ABB0"/>
    <w:lvl w:ilvl="0" w:tplc="0C090001">
      <w:start w:val="1"/>
      <w:numFmt w:val="bullet"/>
      <w:lvlText w:val=""/>
      <w:lvlJc w:val="left"/>
      <w:pPr>
        <w:ind w:left="729" w:hanging="360"/>
      </w:pPr>
      <w:rPr>
        <w:rFonts w:ascii="Symbol" w:hAnsi="Symbol" w:hint="default"/>
      </w:rPr>
    </w:lvl>
    <w:lvl w:ilvl="1" w:tplc="0C090003" w:tentative="1">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28">
    <w:nsid w:val="68F7244E"/>
    <w:multiLevelType w:val="hybridMultilevel"/>
    <w:tmpl w:val="ED5EB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2E6238"/>
    <w:multiLevelType w:val="hybridMultilevel"/>
    <w:tmpl w:val="8534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052506"/>
    <w:multiLevelType w:val="hybridMultilevel"/>
    <w:tmpl w:val="50425B62"/>
    <w:lvl w:ilvl="0" w:tplc="4C1A0808">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7FD604D4"/>
    <w:multiLevelType w:val="hybridMultilevel"/>
    <w:tmpl w:val="F25C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4"/>
  </w:num>
  <w:num w:numId="4">
    <w:abstractNumId w:val="10"/>
  </w:num>
  <w:num w:numId="5">
    <w:abstractNumId w:val="2"/>
  </w:num>
  <w:num w:numId="6">
    <w:abstractNumId w:val="17"/>
  </w:num>
  <w:num w:numId="7">
    <w:abstractNumId w:val="7"/>
  </w:num>
  <w:num w:numId="8">
    <w:abstractNumId w:val="21"/>
  </w:num>
  <w:num w:numId="9">
    <w:abstractNumId w:val="25"/>
  </w:num>
  <w:num w:numId="10">
    <w:abstractNumId w:val="24"/>
  </w:num>
  <w:num w:numId="11">
    <w:abstractNumId w:val="31"/>
  </w:num>
  <w:num w:numId="12">
    <w:abstractNumId w:val="19"/>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5"/>
  </w:num>
  <w:num w:numId="16">
    <w:abstractNumId w:val="6"/>
  </w:num>
  <w:num w:numId="17">
    <w:abstractNumId w:val="1"/>
  </w:num>
  <w:num w:numId="18">
    <w:abstractNumId w:val="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8"/>
  </w:num>
  <w:num w:numId="22">
    <w:abstractNumId w:val="28"/>
  </w:num>
  <w:num w:numId="23">
    <w:abstractNumId w:val="5"/>
  </w:num>
  <w:num w:numId="24">
    <w:abstractNumId w:val="12"/>
  </w:num>
  <w:num w:numId="25">
    <w:abstractNumId w:val="27"/>
  </w:num>
  <w:num w:numId="26">
    <w:abstractNumId w:val="23"/>
  </w:num>
  <w:num w:numId="27">
    <w:abstractNumId w:val="18"/>
  </w:num>
  <w:num w:numId="28">
    <w:abstractNumId w:val="16"/>
  </w:num>
  <w:num w:numId="29">
    <w:abstractNumId w:val="9"/>
  </w:num>
  <w:num w:numId="30">
    <w:abstractNumId w:val="4"/>
  </w:num>
  <w:num w:numId="31">
    <w:abstractNumId w:val="13"/>
  </w:num>
  <w:num w:numId="32">
    <w:abstractNumId w:val="3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lia GREEN">
    <w15:presenceInfo w15:providerId="AD" w15:userId="S-1-5-21-682003330-839522115-1417001333-42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attachedTemplate r:id="rId1"/>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411"/>
    <w:rsid w:val="00006089"/>
    <w:rsid w:val="00011560"/>
    <w:rsid w:val="0001703F"/>
    <w:rsid w:val="00021633"/>
    <w:rsid w:val="00022187"/>
    <w:rsid w:val="00022BA5"/>
    <w:rsid w:val="000232A4"/>
    <w:rsid w:val="000250C7"/>
    <w:rsid w:val="00042767"/>
    <w:rsid w:val="00052F3E"/>
    <w:rsid w:val="00061DF0"/>
    <w:rsid w:val="000634D1"/>
    <w:rsid w:val="00064CA6"/>
    <w:rsid w:val="00070D22"/>
    <w:rsid w:val="00080CB6"/>
    <w:rsid w:val="00084152"/>
    <w:rsid w:val="00092D57"/>
    <w:rsid w:val="000941C2"/>
    <w:rsid w:val="0009537F"/>
    <w:rsid w:val="000A2044"/>
    <w:rsid w:val="000A206F"/>
    <w:rsid w:val="000B0476"/>
    <w:rsid w:val="000B09C3"/>
    <w:rsid w:val="000B4786"/>
    <w:rsid w:val="000C0C72"/>
    <w:rsid w:val="000C235B"/>
    <w:rsid w:val="000C5161"/>
    <w:rsid w:val="000C5BC1"/>
    <w:rsid w:val="000C7701"/>
    <w:rsid w:val="000C7B81"/>
    <w:rsid w:val="000D08E1"/>
    <w:rsid w:val="000D3CCE"/>
    <w:rsid w:val="000D40CA"/>
    <w:rsid w:val="000D62C2"/>
    <w:rsid w:val="000E638F"/>
    <w:rsid w:val="000E7F32"/>
    <w:rsid w:val="000F0AA0"/>
    <w:rsid w:val="000F160A"/>
    <w:rsid w:val="000F2027"/>
    <w:rsid w:val="000F2E38"/>
    <w:rsid w:val="000F4BEC"/>
    <w:rsid w:val="000F6A0C"/>
    <w:rsid w:val="00100D06"/>
    <w:rsid w:val="00102D5D"/>
    <w:rsid w:val="001034A3"/>
    <w:rsid w:val="00104814"/>
    <w:rsid w:val="001052C5"/>
    <w:rsid w:val="00105B35"/>
    <w:rsid w:val="00107D68"/>
    <w:rsid w:val="00117305"/>
    <w:rsid w:val="001200C8"/>
    <w:rsid w:val="001223F6"/>
    <w:rsid w:val="00123BBD"/>
    <w:rsid w:val="0012418F"/>
    <w:rsid w:val="00125BEE"/>
    <w:rsid w:val="0013082D"/>
    <w:rsid w:val="00131C6F"/>
    <w:rsid w:val="001332AB"/>
    <w:rsid w:val="00133A99"/>
    <w:rsid w:val="001359AD"/>
    <w:rsid w:val="0014551C"/>
    <w:rsid w:val="00156F39"/>
    <w:rsid w:val="00161144"/>
    <w:rsid w:val="0016386D"/>
    <w:rsid w:val="001677C2"/>
    <w:rsid w:val="0017033A"/>
    <w:rsid w:val="00170C59"/>
    <w:rsid w:val="00170CEF"/>
    <w:rsid w:val="00172C4E"/>
    <w:rsid w:val="00172D52"/>
    <w:rsid w:val="00173697"/>
    <w:rsid w:val="00177A07"/>
    <w:rsid w:val="00177C4A"/>
    <w:rsid w:val="001802A1"/>
    <w:rsid w:val="0018507D"/>
    <w:rsid w:val="00187338"/>
    <w:rsid w:val="00190C1F"/>
    <w:rsid w:val="001A6E4C"/>
    <w:rsid w:val="001B5B54"/>
    <w:rsid w:val="001C18FA"/>
    <w:rsid w:val="001C2361"/>
    <w:rsid w:val="001C308B"/>
    <w:rsid w:val="001D0BC3"/>
    <w:rsid w:val="001D1367"/>
    <w:rsid w:val="001D683E"/>
    <w:rsid w:val="001E1CA7"/>
    <w:rsid w:val="001E2675"/>
    <w:rsid w:val="001F10BE"/>
    <w:rsid w:val="001F1473"/>
    <w:rsid w:val="001F1B28"/>
    <w:rsid w:val="001F3019"/>
    <w:rsid w:val="001F4AB0"/>
    <w:rsid w:val="001F5331"/>
    <w:rsid w:val="002018FE"/>
    <w:rsid w:val="00201AEA"/>
    <w:rsid w:val="00205C0F"/>
    <w:rsid w:val="00207692"/>
    <w:rsid w:val="00207A61"/>
    <w:rsid w:val="0021067A"/>
    <w:rsid w:val="00211267"/>
    <w:rsid w:val="0021252E"/>
    <w:rsid w:val="00213F43"/>
    <w:rsid w:val="002143CE"/>
    <w:rsid w:val="00223EAC"/>
    <w:rsid w:val="0022402C"/>
    <w:rsid w:val="0022445A"/>
    <w:rsid w:val="00231E73"/>
    <w:rsid w:val="00246D2A"/>
    <w:rsid w:val="00252309"/>
    <w:rsid w:val="00256490"/>
    <w:rsid w:val="00257F33"/>
    <w:rsid w:val="002670D9"/>
    <w:rsid w:val="00271021"/>
    <w:rsid w:val="00272829"/>
    <w:rsid w:val="0027616C"/>
    <w:rsid w:val="00276881"/>
    <w:rsid w:val="00277180"/>
    <w:rsid w:val="00277A5E"/>
    <w:rsid w:val="0028087C"/>
    <w:rsid w:val="00283A62"/>
    <w:rsid w:val="00290FCF"/>
    <w:rsid w:val="00291B45"/>
    <w:rsid w:val="00293AD2"/>
    <w:rsid w:val="00293FDF"/>
    <w:rsid w:val="00294FCF"/>
    <w:rsid w:val="00297D2E"/>
    <w:rsid w:val="002A00F1"/>
    <w:rsid w:val="002A17E1"/>
    <w:rsid w:val="002A6AE9"/>
    <w:rsid w:val="002B0783"/>
    <w:rsid w:val="002B2DD2"/>
    <w:rsid w:val="002C6CEB"/>
    <w:rsid w:val="002C6F25"/>
    <w:rsid w:val="002C6F37"/>
    <w:rsid w:val="002C788B"/>
    <w:rsid w:val="002D064C"/>
    <w:rsid w:val="002D126A"/>
    <w:rsid w:val="002D67FB"/>
    <w:rsid w:val="002D77FE"/>
    <w:rsid w:val="002E11EF"/>
    <w:rsid w:val="002E473C"/>
    <w:rsid w:val="002F0C08"/>
    <w:rsid w:val="002F1AB7"/>
    <w:rsid w:val="002F21FA"/>
    <w:rsid w:val="002F2268"/>
    <w:rsid w:val="002F5D6C"/>
    <w:rsid w:val="00300CE2"/>
    <w:rsid w:val="00307769"/>
    <w:rsid w:val="00311522"/>
    <w:rsid w:val="003130AE"/>
    <w:rsid w:val="00315AB7"/>
    <w:rsid w:val="00317017"/>
    <w:rsid w:val="0031777B"/>
    <w:rsid w:val="00323C5B"/>
    <w:rsid w:val="00325C17"/>
    <w:rsid w:val="003309BE"/>
    <w:rsid w:val="00334917"/>
    <w:rsid w:val="00334CBA"/>
    <w:rsid w:val="0033773B"/>
    <w:rsid w:val="00341373"/>
    <w:rsid w:val="00342C6E"/>
    <w:rsid w:val="003444E0"/>
    <w:rsid w:val="00345D4C"/>
    <w:rsid w:val="0034647E"/>
    <w:rsid w:val="003465D4"/>
    <w:rsid w:val="00347ADE"/>
    <w:rsid w:val="00353DC8"/>
    <w:rsid w:val="00355809"/>
    <w:rsid w:val="00357B0E"/>
    <w:rsid w:val="00361D21"/>
    <w:rsid w:val="003637C5"/>
    <w:rsid w:val="00364B46"/>
    <w:rsid w:val="00364BEE"/>
    <w:rsid w:val="003654D6"/>
    <w:rsid w:val="00366A6F"/>
    <w:rsid w:val="0037707C"/>
    <w:rsid w:val="0038005E"/>
    <w:rsid w:val="00381582"/>
    <w:rsid w:val="0038367B"/>
    <w:rsid w:val="00384F49"/>
    <w:rsid w:val="0038592F"/>
    <w:rsid w:val="0039630E"/>
    <w:rsid w:val="003A0961"/>
    <w:rsid w:val="003A1E3D"/>
    <w:rsid w:val="003A524A"/>
    <w:rsid w:val="003B5791"/>
    <w:rsid w:val="003C1C5C"/>
    <w:rsid w:val="003C276D"/>
    <w:rsid w:val="003C2FA6"/>
    <w:rsid w:val="003C4EBD"/>
    <w:rsid w:val="003C6D11"/>
    <w:rsid w:val="003D382B"/>
    <w:rsid w:val="003D3E45"/>
    <w:rsid w:val="003E01AB"/>
    <w:rsid w:val="003E1F05"/>
    <w:rsid w:val="003E47D1"/>
    <w:rsid w:val="003E6BB1"/>
    <w:rsid w:val="003F2641"/>
    <w:rsid w:val="003F2770"/>
    <w:rsid w:val="00410F83"/>
    <w:rsid w:val="0041128A"/>
    <w:rsid w:val="004119E1"/>
    <w:rsid w:val="00411D6D"/>
    <w:rsid w:val="004149D9"/>
    <w:rsid w:val="004158F0"/>
    <w:rsid w:val="004230E4"/>
    <w:rsid w:val="0042455E"/>
    <w:rsid w:val="00436645"/>
    <w:rsid w:val="0043774E"/>
    <w:rsid w:val="0044195F"/>
    <w:rsid w:val="00441C50"/>
    <w:rsid w:val="00442562"/>
    <w:rsid w:val="00446A91"/>
    <w:rsid w:val="00453FAD"/>
    <w:rsid w:val="004611A3"/>
    <w:rsid w:val="0048248D"/>
    <w:rsid w:val="0048599E"/>
    <w:rsid w:val="00487EF3"/>
    <w:rsid w:val="00494B61"/>
    <w:rsid w:val="00495172"/>
    <w:rsid w:val="004973FB"/>
    <w:rsid w:val="004A1B12"/>
    <w:rsid w:val="004A1BDF"/>
    <w:rsid w:val="004A219E"/>
    <w:rsid w:val="004A498B"/>
    <w:rsid w:val="004A4E6B"/>
    <w:rsid w:val="004B03CB"/>
    <w:rsid w:val="004B10D3"/>
    <w:rsid w:val="004B2CA5"/>
    <w:rsid w:val="004C1472"/>
    <w:rsid w:val="004C2667"/>
    <w:rsid w:val="004C3C7C"/>
    <w:rsid w:val="004C5EEF"/>
    <w:rsid w:val="004C639C"/>
    <w:rsid w:val="004D56D4"/>
    <w:rsid w:val="004D5E74"/>
    <w:rsid w:val="004E0886"/>
    <w:rsid w:val="004E0C5B"/>
    <w:rsid w:val="004E2EF2"/>
    <w:rsid w:val="004E7EC8"/>
    <w:rsid w:val="004F1E09"/>
    <w:rsid w:val="004F6DB5"/>
    <w:rsid w:val="004F73CE"/>
    <w:rsid w:val="00502A94"/>
    <w:rsid w:val="005039F6"/>
    <w:rsid w:val="00513C7B"/>
    <w:rsid w:val="00523287"/>
    <w:rsid w:val="00524FA9"/>
    <w:rsid w:val="005252BF"/>
    <w:rsid w:val="00525F7B"/>
    <w:rsid w:val="005331DD"/>
    <w:rsid w:val="00533280"/>
    <w:rsid w:val="005334F9"/>
    <w:rsid w:val="00533B98"/>
    <w:rsid w:val="00535920"/>
    <w:rsid w:val="0054343C"/>
    <w:rsid w:val="00544730"/>
    <w:rsid w:val="00545057"/>
    <w:rsid w:val="00554268"/>
    <w:rsid w:val="0055573F"/>
    <w:rsid w:val="0055693B"/>
    <w:rsid w:val="00557E20"/>
    <w:rsid w:val="0056060B"/>
    <w:rsid w:val="0057664C"/>
    <w:rsid w:val="00576B60"/>
    <w:rsid w:val="00576BCE"/>
    <w:rsid w:val="0058026E"/>
    <w:rsid w:val="00583CDA"/>
    <w:rsid w:val="005844F9"/>
    <w:rsid w:val="00584A59"/>
    <w:rsid w:val="005867D7"/>
    <w:rsid w:val="00586F74"/>
    <w:rsid w:val="00592C2C"/>
    <w:rsid w:val="005A034A"/>
    <w:rsid w:val="005A07C1"/>
    <w:rsid w:val="005A28ED"/>
    <w:rsid w:val="005A4EFC"/>
    <w:rsid w:val="005A5534"/>
    <w:rsid w:val="005B0167"/>
    <w:rsid w:val="005B7A3F"/>
    <w:rsid w:val="005C5296"/>
    <w:rsid w:val="005D5A55"/>
    <w:rsid w:val="005D636C"/>
    <w:rsid w:val="005E07A0"/>
    <w:rsid w:val="005E1091"/>
    <w:rsid w:val="005E1A4A"/>
    <w:rsid w:val="005E2029"/>
    <w:rsid w:val="005E2D9F"/>
    <w:rsid w:val="005E336C"/>
    <w:rsid w:val="005E5B0C"/>
    <w:rsid w:val="005E705C"/>
    <w:rsid w:val="005F052D"/>
    <w:rsid w:val="005F2974"/>
    <w:rsid w:val="005F31D0"/>
    <w:rsid w:val="005F51F1"/>
    <w:rsid w:val="00600211"/>
    <w:rsid w:val="0060086B"/>
    <w:rsid w:val="00601FC7"/>
    <w:rsid w:val="006036A8"/>
    <w:rsid w:val="006040B1"/>
    <w:rsid w:val="00606CE5"/>
    <w:rsid w:val="00611BAB"/>
    <w:rsid w:val="006154EA"/>
    <w:rsid w:val="00616997"/>
    <w:rsid w:val="0062098F"/>
    <w:rsid w:val="00624022"/>
    <w:rsid w:val="00625CB4"/>
    <w:rsid w:val="0062732C"/>
    <w:rsid w:val="00630755"/>
    <w:rsid w:val="00632B49"/>
    <w:rsid w:val="00636E09"/>
    <w:rsid w:val="00640273"/>
    <w:rsid w:val="0064137A"/>
    <w:rsid w:val="0064558D"/>
    <w:rsid w:val="00646F85"/>
    <w:rsid w:val="00650201"/>
    <w:rsid w:val="00653D02"/>
    <w:rsid w:val="00662839"/>
    <w:rsid w:val="00663498"/>
    <w:rsid w:val="00667FBA"/>
    <w:rsid w:val="00671C35"/>
    <w:rsid w:val="00677510"/>
    <w:rsid w:val="00681337"/>
    <w:rsid w:val="006A1026"/>
    <w:rsid w:val="006A1172"/>
    <w:rsid w:val="006A2560"/>
    <w:rsid w:val="006A2ADE"/>
    <w:rsid w:val="006A3450"/>
    <w:rsid w:val="006A3572"/>
    <w:rsid w:val="006A657A"/>
    <w:rsid w:val="006A7EF2"/>
    <w:rsid w:val="006B1B97"/>
    <w:rsid w:val="006B6F0B"/>
    <w:rsid w:val="006B7A3E"/>
    <w:rsid w:val="006C2E6E"/>
    <w:rsid w:val="006C320C"/>
    <w:rsid w:val="006C44E3"/>
    <w:rsid w:val="006C45A0"/>
    <w:rsid w:val="006C741C"/>
    <w:rsid w:val="006C7CD2"/>
    <w:rsid w:val="006D0DFF"/>
    <w:rsid w:val="006D11DC"/>
    <w:rsid w:val="006D2EE8"/>
    <w:rsid w:val="006D34D2"/>
    <w:rsid w:val="006D477A"/>
    <w:rsid w:val="006D5491"/>
    <w:rsid w:val="006E4857"/>
    <w:rsid w:val="006E72C4"/>
    <w:rsid w:val="006E73B4"/>
    <w:rsid w:val="006F149D"/>
    <w:rsid w:val="006F1A78"/>
    <w:rsid w:val="006F51C7"/>
    <w:rsid w:val="006F715E"/>
    <w:rsid w:val="0070201C"/>
    <w:rsid w:val="00703A74"/>
    <w:rsid w:val="00714F7C"/>
    <w:rsid w:val="007178E5"/>
    <w:rsid w:val="0072180F"/>
    <w:rsid w:val="00724F2F"/>
    <w:rsid w:val="00735CDA"/>
    <w:rsid w:val="00736071"/>
    <w:rsid w:val="00737E86"/>
    <w:rsid w:val="00741824"/>
    <w:rsid w:val="00741B5A"/>
    <w:rsid w:val="00741F25"/>
    <w:rsid w:val="00751481"/>
    <w:rsid w:val="00751F6A"/>
    <w:rsid w:val="007523D1"/>
    <w:rsid w:val="007666A9"/>
    <w:rsid w:val="0077575C"/>
    <w:rsid w:val="00776714"/>
    <w:rsid w:val="00780C14"/>
    <w:rsid w:val="007858BF"/>
    <w:rsid w:val="0078656F"/>
    <w:rsid w:val="007A2418"/>
    <w:rsid w:val="007A54C7"/>
    <w:rsid w:val="007A6626"/>
    <w:rsid w:val="007C00C4"/>
    <w:rsid w:val="007C04C3"/>
    <w:rsid w:val="007D0784"/>
    <w:rsid w:val="007D102E"/>
    <w:rsid w:val="007D6070"/>
    <w:rsid w:val="007D7C6D"/>
    <w:rsid w:val="007E19B6"/>
    <w:rsid w:val="007E3238"/>
    <w:rsid w:val="007E32A5"/>
    <w:rsid w:val="007E3FB4"/>
    <w:rsid w:val="007E51F1"/>
    <w:rsid w:val="007F5319"/>
    <w:rsid w:val="00810AFC"/>
    <w:rsid w:val="00811323"/>
    <w:rsid w:val="008175C9"/>
    <w:rsid w:val="00821CB6"/>
    <w:rsid w:val="00822261"/>
    <w:rsid w:val="00823809"/>
    <w:rsid w:val="008257D9"/>
    <w:rsid w:val="00830F45"/>
    <w:rsid w:val="00835BA0"/>
    <w:rsid w:val="0083753B"/>
    <w:rsid w:val="00837708"/>
    <w:rsid w:val="00837D04"/>
    <w:rsid w:val="0084069F"/>
    <w:rsid w:val="00852F04"/>
    <w:rsid w:val="00853A95"/>
    <w:rsid w:val="008545C9"/>
    <w:rsid w:val="00855A75"/>
    <w:rsid w:val="00860582"/>
    <w:rsid w:val="00861993"/>
    <w:rsid w:val="00871373"/>
    <w:rsid w:val="00875CBD"/>
    <w:rsid w:val="00876A81"/>
    <w:rsid w:val="00884ABB"/>
    <w:rsid w:val="00886B9C"/>
    <w:rsid w:val="00890FC1"/>
    <w:rsid w:val="00895490"/>
    <w:rsid w:val="0089726D"/>
    <w:rsid w:val="008A000C"/>
    <w:rsid w:val="008A1D7E"/>
    <w:rsid w:val="008A28F6"/>
    <w:rsid w:val="008A4C0F"/>
    <w:rsid w:val="008B0CBD"/>
    <w:rsid w:val="008B2F14"/>
    <w:rsid w:val="008B34B3"/>
    <w:rsid w:val="008B554F"/>
    <w:rsid w:val="008B6EE2"/>
    <w:rsid w:val="008C32B1"/>
    <w:rsid w:val="008C5D48"/>
    <w:rsid w:val="008C64DB"/>
    <w:rsid w:val="008D09ED"/>
    <w:rsid w:val="008D410A"/>
    <w:rsid w:val="008E20AB"/>
    <w:rsid w:val="008E23B1"/>
    <w:rsid w:val="008E6167"/>
    <w:rsid w:val="008E7C6E"/>
    <w:rsid w:val="008F03E6"/>
    <w:rsid w:val="008F0A39"/>
    <w:rsid w:val="008F42BF"/>
    <w:rsid w:val="008F5E62"/>
    <w:rsid w:val="008F7674"/>
    <w:rsid w:val="009009F6"/>
    <w:rsid w:val="0090439E"/>
    <w:rsid w:val="00913247"/>
    <w:rsid w:val="00913250"/>
    <w:rsid w:val="00915494"/>
    <w:rsid w:val="00917B97"/>
    <w:rsid w:val="009217CB"/>
    <w:rsid w:val="00921907"/>
    <w:rsid w:val="00921C11"/>
    <w:rsid w:val="00926F68"/>
    <w:rsid w:val="0092774A"/>
    <w:rsid w:val="00930D33"/>
    <w:rsid w:val="00931C47"/>
    <w:rsid w:val="00937DCB"/>
    <w:rsid w:val="00947068"/>
    <w:rsid w:val="009473FA"/>
    <w:rsid w:val="009502D4"/>
    <w:rsid w:val="00952C05"/>
    <w:rsid w:val="009539B9"/>
    <w:rsid w:val="0095695F"/>
    <w:rsid w:val="0096037B"/>
    <w:rsid w:val="00964B12"/>
    <w:rsid w:val="00970C80"/>
    <w:rsid w:val="0097410E"/>
    <w:rsid w:val="0097424D"/>
    <w:rsid w:val="00975853"/>
    <w:rsid w:val="00976854"/>
    <w:rsid w:val="00982F02"/>
    <w:rsid w:val="0098342A"/>
    <w:rsid w:val="0099339B"/>
    <w:rsid w:val="00993411"/>
    <w:rsid w:val="009959E9"/>
    <w:rsid w:val="009978E2"/>
    <w:rsid w:val="00997A76"/>
    <w:rsid w:val="009A1702"/>
    <w:rsid w:val="009B39D2"/>
    <w:rsid w:val="009B5459"/>
    <w:rsid w:val="009C0C5B"/>
    <w:rsid w:val="009C4D5B"/>
    <w:rsid w:val="009C7F48"/>
    <w:rsid w:val="009D1AD2"/>
    <w:rsid w:val="009D412D"/>
    <w:rsid w:val="009D4A3C"/>
    <w:rsid w:val="009D57D8"/>
    <w:rsid w:val="009D5A9B"/>
    <w:rsid w:val="009E0982"/>
    <w:rsid w:val="009E0C8D"/>
    <w:rsid w:val="009F4F80"/>
    <w:rsid w:val="009F7765"/>
    <w:rsid w:val="009F7D91"/>
    <w:rsid w:val="00A03F69"/>
    <w:rsid w:val="00A04FAC"/>
    <w:rsid w:val="00A0687D"/>
    <w:rsid w:val="00A14A8A"/>
    <w:rsid w:val="00A217CC"/>
    <w:rsid w:val="00A24722"/>
    <w:rsid w:val="00A30CF1"/>
    <w:rsid w:val="00A315AD"/>
    <w:rsid w:val="00A31A8D"/>
    <w:rsid w:val="00A331FE"/>
    <w:rsid w:val="00A34D97"/>
    <w:rsid w:val="00A5079D"/>
    <w:rsid w:val="00A51FF8"/>
    <w:rsid w:val="00A53FBC"/>
    <w:rsid w:val="00A558B1"/>
    <w:rsid w:val="00A62C6A"/>
    <w:rsid w:val="00A6589A"/>
    <w:rsid w:val="00A70419"/>
    <w:rsid w:val="00A76764"/>
    <w:rsid w:val="00A815A1"/>
    <w:rsid w:val="00A91E0D"/>
    <w:rsid w:val="00A9338F"/>
    <w:rsid w:val="00A93611"/>
    <w:rsid w:val="00A95C17"/>
    <w:rsid w:val="00AA2A1F"/>
    <w:rsid w:val="00AA3F22"/>
    <w:rsid w:val="00AB7B8B"/>
    <w:rsid w:val="00AC7A82"/>
    <w:rsid w:val="00AD0396"/>
    <w:rsid w:val="00AD0745"/>
    <w:rsid w:val="00AD3AC7"/>
    <w:rsid w:val="00AD4773"/>
    <w:rsid w:val="00AE06C1"/>
    <w:rsid w:val="00AE1612"/>
    <w:rsid w:val="00AE6755"/>
    <w:rsid w:val="00AE7F71"/>
    <w:rsid w:val="00AF0A28"/>
    <w:rsid w:val="00AF355A"/>
    <w:rsid w:val="00AF4D71"/>
    <w:rsid w:val="00AF6BA8"/>
    <w:rsid w:val="00AF7410"/>
    <w:rsid w:val="00B033C7"/>
    <w:rsid w:val="00B06766"/>
    <w:rsid w:val="00B077A4"/>
    <w:rsid w:val="00B1339B"/>
    <w:rsid w:val="00B2048A"/>
    <w:rsid w:val="00B25A70"/>
    <w:rsid w:val="00B32767"/>
    <w:rsid w:val="00B43885"/>
    <w:rsid w:val="00B44C58"/>
    <w:rsid w:val="00B45A41"/>
    <w:rsid w:val="00B5271C"/>
    <w:rsid w:val="00B57A0A"/>
    <w:rsid w:val="00B64ED4"/>
    <w:rsid w:val="00B64FC0"/>
    <w:rsid w:val="00B674E7"/>
    <w:rsid w:val="00B67E2D"/>
    <w:rsid w:val="00B72281"/>
    <w:rsid w:val="00B74B69"/>
    <w:rsid w:val="00B752F9"/>
    <w:rsid w:val="00B77F0E"/>
    <w:rsid w:val="00B83C06"/>
    <w:rsid w:val="00B91914"/>
    <w:rsid w:val="00B94B5F"/>
    <w:rsid w:val="00B96FEC"/>
    <w:rsid w:val="00BA384F"/>
    <w:rsid w:val="00BB460B"/>
    <w:rsid w:val="00BB5BD1"/>
    <w:rsid w:val="00BC05F8"/>
    <w:rsid w:val="00BC401C"/>
    <w:rsid w:val="00BC639F"/>
    <w:rsid w:val="00BC7B99"/>
    <w:rsid w:val="00BD52C8"/>
    <w:rsid w:val="00BD5967"/>
    <w:rsid w:val="00BF059A"/>
    <w:rsid w:val="00BF525D"/>
    <w:rsid w:val="00BF5A58"/>
    <w:rsid w:val="00C00C0B"/>
    <w:rsid w:val="00C01076"/>
    <w:rsid w:val="00C02049"/>
    <w:rsid w:val="00C075AF"/>
    <w:rsid w:val="00C144B4"/>
    <w:rsid w:val="00C2101D"/>
    <w:rsid w:val="00C214CE"/>
    <w:rsid w:val="00C21AC6"/>
    <w:rsid w:val="00C221A6"/>
    <w:rsid w:val="00C24ECC"/>
    <w:rsid w:val="00C26A04"/>
    <w:rsid w:val="00C33DEE"/>
    <w:rsid w:val="00C40DB2"/>
    <w:rsid w:val="00C436F1"/>
    <w:rsid w:val="00C43806"/>
    <w:rsid w:val="00C43CD1"/>
    <w:rsid w:val="00C457CD"/>
    <w:rsid w:val="00C45B89"/>
    <w:rsid w:val="00C542C2"/>
    <w:rsid w:val="00C550D5"/>
    <w:rsid w:val="00C61641"/>
    <w:rsid w:val="00C7053D"/>
    <w:rsid w:val="00C71D5B"/>
    <w:rsid w:val="00C71DE6"/>
    <w:rsid w:val="00C722C9"/>
    <w:rsid w:val="00C7318F"/>
    <w:rsid w:val="00C73A76"/>
    <w:rsid w:val="00C76CE1"/>
    <w:rsid w:val="00C82BFF"/>
    <w:rsid w:val="00C860DC"/>
    <w:rsid w:val="00C949CD"/>
    <w:rsid w:val="00C961AA"/>
    <w:rsid w:val="00C962E9"/>
    <w:rsid w:val="00CB5DBD"/>
    <w:rsid w:val="00CC53B4"/>
    <w:rsid w:val="00CD1651"/>
    <w:rsid w:val="00CD2DEF"/>
    <w:rsid w:val="00CD381E"/>
    <w:rsid w:val="00CE0293"/>
    <w:rsid w:val="00CE5C77"/>
    <w:rsid w:val="00CE6D8F"/>
    <w:rsid w:val="00CE7E92"/>
    <w:rsid w:val="00CF0571"/>
    <w:rsid w:val="00CF0E5B"/>
    <w:rsid w:val="00CF54C4"/>
    <w:rsid w:val="00D01B5D"/>
    <w:rsid w:val="00D06150"/>
    <w:rsid w:val="00D1198D"/>
    <w:rsid w:val="00D1389C"/>
    <w:rsid w:val="00D16B30"/>
    <w:rsid w:val="00D16EA4"/>
    <w:rsid w:val="00D20B62"/>
    <w:rsid w:val="00D2173D"/>
    <w:rsid w:val="00D240A1"/>
    <w:rsid w:val="00D257AC"/>
    <w:rsid w:val="00D408ED"/>
    <w:rsid w:val="00D42229"/>
    <w:rsid w:val="00D43BAE"/>
    <w:rsid w:val="00D47D0B"/>
    <w:rsid w:val="00D540E9"/>
    <w:rsid w:val="00D5764A"/>
    <w:rsid w:val="00D60995"/>
    <w:rsid w:val="00D62D29"/>
    <w:rsid w:val="00D638A9"/>
    <w:rsid w:val="00D64A5B"/>
    <w:rsid w:val="00D66B0B"/>
    <w:rsid w:val="00D71A15"/>
    <w:rsid w:val="00D73038"/>
    <w:rsid w:val="00D75681"/>
    <w:rsid w:val="00D75FDF"/>
    <w:rsid w:val="00D82DA9"/>
    <w:rsid w:val="00D90789"/>
    <w:rsid w:val="00D91529"/>
    <w:rsid w:val="00D9252C"/>
    <w:rsid w:val="00DA0297"/>
    <w:rsid w:val="00DA44F9"/>
    <w:rsid w:val="00DA59DC"/>
    <w:rsid w:val="00DB053D"/>
    <w:rsid w:val="00DB45E7"/>
    <w:rsid w:val="00DB478A"/>
    <w:rsid w:val="00DB4D1C"/>
    <w:rsid w:val="00DC68D1"/>
    <w:rsid w:val="00DD16A3"/>
    <w:rsid w:val="00DD2314"/>
    <w:rsid w:val="00DD385F"/>
    <w:rsid w:val="00DD3A79"/>
    <w:rsid w:val="00DD7C98"/>
    <w:rsid w:val="00DE1C62"/>
    <w:rsid w:val="00DE4492"/>
    <w:rsid w:val="00DE6C20"/>
    <w:rsid w:val="00DE77F7"/>
    <w:rsid w:val="00DE7D2C"/>
    <w:rsid w:val="00DF1CB8"/>
    <w:rsid w:val="00DF338A"/>
    <w:rsid w:val="00DF49CD"/>
    <w:rsid w:val="00DF576B"/>
    <w:rsid w:val="00E02236"/>
    <w:rsid w:val="00E11067"/>
    <w:rsid w:val="00E133F1"/>
    <w:rsid w:val="00E200E1"/>
    <w:rsid w:val="00E21E47"/>
    <w:rsid w:val="00E250AD"/>
    <w:rsid w:val="00E251E6"/>
    <w:rsid w:val="00E309E5"/>
    <w:rsid w:val="00E31485"/>
    <w:rsid w:val="00E325A5"/>
    <w:rsid w:val="00E33FCB"/>
    <w:rsid w:val="00E34B74"/>
    <w:rsid w:val="00E359EE"/>
    <w:rsid w:val="00E364A3"/>
    <w:rsid w:val="00E36B5A"/>
    <w:rsid w:val="00E371E0"/>
    <w:rsid w:val="00E55463"/>
    <w:rsid w:val="00E56E64"/>
    <w:rsid w:val="00E6218A"/>
    <w:rsid w:val="00E64D55"/>
    <w:rsid w:val="00E65980"/>
    <w:rsid w:val="00E71615"/>
    <w:rsid w:val="00E73A15"/>
    <w:rsid w:val="00E743BE"/>
    <w:rsid w:val="00E761F2"/>
    <w:rsid w:val="00E77F0B"/>
    <w:rsid w:val="00E8095B"/>
    <w:rsid w:val="00E80B2A"/>
    <w:rsid w:val="00E80DFD"/>
    <w:rsid w:val="00E83769"/>
    <w:rsid w:val="00E83884"/>
    <w:rsid w:val="00E859C7"/>
    <w:rsid w:val="00E936FF"/>
    <w:rsid w:val="00E96D30"/>
    <w:rsid w:val="00EA5174"/>
    <w:rsid w:val="00EA5726"/>
    <w:rsid w:val="00EA5748"/>
    <w:rsid w:val="00EA58F3"/>
    <w:rsid w:val="00EA5985"/>
    <w:rsid w:val="00EA763F"/>
    <w:rsid w:val="00EB61EE"/>
    <w:rsid w:val="00EB69CC"/>
    <w:rsid w:val="00EC0288"/>
    <w:rsid w:val="00EC06D0"/>
    <w:rsid w:val="00EC1DCB"/>
    <w:rsid w:val="00EC4201"/>
    <w:rsid w:val="00ED33A5"/>
    <w:rsid w:val="00EE0518"/>
    <w:rsid w:val="00EE3CA5"/>
    <w:rsid w:val="00EE5503"/>
    <w:rsid w:val="00EE5EF2"/>
    <w:rsid w:val="00EF0850"/>
    <w:rsid w:val="00EF1200"/>
    <w:rsid w:val="00EF3759"/>
    <w:rsid w:val="00EF4343"/>
    <w:rsid w:val="00EF4621"/>
    <w:rsid w:val="00F004A2"/>
    <w:rsid w:val="00F11370"/>
    <w:rsid w:val="00F12C84"/>
    <w:rsid w:val="00F12D97"/>
    <w:rsid w:val="00F14720"/>
    <w:rsid w:val="00F150F2"/>
    <w:rsid w:val="00F16006"/>
    <w:rsid w:val="00F1619F"/>
    <w:rsid w:val="00F16640"/>
    <w:rsid w:val="00F17223"/>
    <w:rsid w:val="00F20506"/>
    <w:rsid w:val="00F32887"/>
    <w:rsid w:val="00F32BDC"/>
    <w:rsid w:val="00F331FF"/>
    <w:rsid w:val="00F33ED0"/>
    <w:rsid w:val="00F3506A"/>
    <w:rsid w:val="00F473F3"/>
    <w:rsid w:val="00F504CB"/>
    <w:rsid w:val="00F51CE4"/>
    <w:rsid w:val="00F529B4"/>
    <w:rsid w:val="00F5463F"/>
    <w:rsid w:val="00F5571A"/>
    <w:rsid w:val="00F60134"/>
    <w:rsid w:val="00F61F38"/>
    <w:rsid w:val="00F65A21"/>
    <w:rsid w:val="00F754F3"/>
    <w:rsid w:val="00F77634"/>
    <w:rsid w:val="00F908D6"/>
    <w:rsid w:val="00F91E91"/>
    <w:rsid w:val="00F92D44"/>
    <w:rsid w:val="00FA2762"/>
    <w:rsid w:val="00FA37B5"/>
    <w:rsid w:val="00FA45A8"/>
    <w:rsid w:val="00FA5D9F"/>
    <w:rsid w:val="00FB5F07"/>
    <w:rsid w:val="00FB631E"/>
    <w:rsid w:val="00FC17AE"/>
    <w:rsid w:val="00FC6074"/>
    <w:rsid w:val="00FD2871"/>
    <w:rsid w:val="00FD5AD3"/>
    <w:rsid w:val="00FD6917"/>
    <w:rsid w:val="00FE70A9"/>
    <w:rsid w:val="00FF0D35"/>
    <w:rsid w:val="00FF238E"/>
    <w:rsid w:val="00FF4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05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34"/>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Borders>
        <w:top w:val="single" w:sz="8" w:space="0" w:color="8C82D8" w:themeColor="accent5"/>
        <w:bottom w:val="single" w:sz="8" w:space="0" w:color="8C82D8" w:themeColor="accent5"/>
      </w:tblBorders>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ColumnHeadingLeft">
    <w:name w:val="Table Column Heading Left"/>
    <w:basedOn w:val="Normal"/>
    <w:rsid w:val="003D382B"/>
    <w:pPr>
      <w:spacing w:before="40" w:after="40" w:line="240" w:lineRule="auto"/>
    </w:pPr>
    <w:rPr>
      <w:rFonts w:ascii="Arial" w:eastAsia="Times New Roman" w:hAnsi="Arial" w:cs="Times New Roman"/>
      <w:b/>
      <w:color w:val="000000"/>
      <w:sz w:val="20"/>
      <w:szCs w:val="20"/>
      <w:lang w:eastAsia="en-AU"/>
    </w:rPr>
  </w:style>
  <w:style w:type="paragraph" w:customStyle="1" w:styleId="TableTextLeft">
    <w:name w:val="Table Text Left"/>
    <w:basedOn w:val="Normal"/>
    <w:rsid w:val="003D382B"/>
    <w:pPr>
      <w:spacing w:before="40" w:after="40" w:line="240" w:lineRule="auto"/>
    </w:pPr>
    <w:rPr>
      <w:rFonts w:ascii="Arial" w:eastAsia="Times New Roman" w:hAnsi="Arial" w:cs="Times New Roman"/>
      <w:color w:val="000000"/>
      <w:sz w:val="20"/>
      <w:szCs w:val="20"/>
      <w:lang w:eastAsia="en-AU"/>
    </w:rPr>
  </w:style>
  <w:style w:type="paragraph" w:customStyle="1" w:styleId="subsection">
    <w:name w:val="subsection"/>
    <w:basedOn w:val="Normal"/>
    <w:rsid w:val="00061DF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Default">
    <w:name w:val="Default"/>
    <w:rsid w:val="000D40C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34"/>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Borders>
        <w:top w:val="single" w:sz="8" w:space="0" w:color="8C82D8" w:themeColor="accent5"/>
        <w:bottom w:val="single" w:sz="8" w:space="0" w:color="8C82D8" w:themeColor="accent5"/>
      </w:tblBorders>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ColumnHeadingLeft">
    <w:name w:val="Table Column Heading Left"/>
    <w:basedOn w:val="Normal"/>
    <w:rsid w:val="003D382B"/>
    <w:pPr>
      <w:spacing w:before="40" w:after="40" w:line="240" w:lineRule="auto"/>
    </w:pPr>
    <w:rPr>
      <w:rFonts w:ascii="Arial" w:eastAsia="Times New Roman" w:hAnsi="Arial" w:cs="Times New Roman"/>
      <w:b/>
      <w:color w:val="000000"/>
      <w:sz w:val="20"/>
      <w:szCs w:val="20"/>
      <w:lang w:eastAsia="en-AU"/>
    </w:rPr>
  </w:style>
  <w:style w:type="paragraph" w:customStyle="1" w:styleId="TableTextLeft">
    <w:name w:val="Table Text Left"/>
    <w:basedOn w:val="Normal"/>
    <w:rsid w:val="003D382B"/>
    <w:pPr>
      <w:spacing w:before="40" w:after="40" w:line="240" w:lineRule="auto"/>
    </w:pPr>
    <w:rPr>
      <w:rFonts w:ascii="Arial" w:eastAsia="Times New Roman" w:hAnsi="Arial" w:cs="Times New Roman"/>
      <w:color w:val="000000"/>
      <w:sz w:val="20"/>
      <w:szCs w:val="20"/>
      <w:lang w:eastAsia="en-AU"/>
    </w:rPr>
  </w:style>
  <w:style w:type="paragraph" w:customStyle="1" w:styleId="subsection">
    <w:name w:val="subsection"/>
    <w:basedOn w:val="Normal"/>
    <w:rsid w:val="00061DF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Default">
    <w:name w:val="Default"/>
    <w:rsid w:val="000D40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0021">
      <w:bodyDiv w:val="1"/>
      <w:marLeft w:val="0"/>
      <w:marRight w:val="0"/>
      <w:marTop w:val="0"/>
      <w:marBottom w:val="0"/>
      <w:divBdr>
        <w:top w:val="none" w:sz="0" w:space="0" w:color="auto"/>
        <w:left w:val="none" w:sz="0" w:space="0" w:color="auto"/>
        <w:bottom w:val="none" w:sz="0" w:space="0" w:color="auto"/>
        <w:right w:val="none" w:sz="0" w:space="0" w:color="auto"/>
      </w:divBdr>
    </w:div>
    <w:div w:id="81608811">
      <w:bodyDiv w:val="1"/>
      <w:marLeft w:val="0"/>
      <w:marRight w:val="0"/>
      <w:marTop w:val="0"/>
      <w:marBottom w:val="0"/>
      <w:divBdr>
        <w:top w:val="none" w:sz="0" w:space="0" w:color="auto"/>
        <w:left w:val="none" w:sz="0" w:space="0" w:color="auto"/>
        <w:bottom w:val="none" w:sz="0" w:space="0" w:color="auto"/>
        <w:right w:val="none" w:sz="0" w:space="0" w:color="auto"/>
      </w:divBdr>
    </w:div>
    <w:div w:id="159464075">
      <w:bodyDiv w:val="1"/>
      <w:marLeft w:val="0"/>
      <w:marRight w:val="0"/>
      <w:marTop w:val="0"/>
      <w:marBottom w:val="0"/>
      <w:divBdr>
        <w:top w:val="none" w:sz="0" w:space="0" w:color="auto"/>
        <w:left w:val="none" w:sz="0" w:space="0" w:color="auto"/>
        <w:bottom w:val="none" w:sz="0" w:space="0" w:color="auto"/>
        <w:right w:val="none" w:sz="0" w:space="0" w:color="auto"/>
      </w:divBdr>
    </w:div>
    <w:div w:id="228425473">
      <w:bodyDiv w:val="1"/>
      <w:marLeft w:val="0"/>
      <w:marRight w:val="0"/>
      <w:marTop w:val="0"/>
      <w:marBottom w:val="0"/>
      <w:divBdr>
        <w:top w:val="none" w:sz="0" w:space="0" w:color="auto"/>
        <w:left w:val="none" w:sz="0" w:space="0" w:color="auto"/>
        <w:bottom w:val="none" w:sz="0" w:space="0" w:color="auto"/>
        <w:right w:val="none" w:sz="0" w:space="0" w:color="auto"/>
      </w:divBdr>
    </w:div>
    <w:div w:id="260647618">
      <w:bodyDiv w:val="1"/>
      <w:marLeft w:val="0"/>
      <w:marRight w:val="0"/>
      <w:marTop w:val="0"/>
      <w:marBottom w:val="0"/>
      <w:divBdr>
        <w:top w:val="none" w:sz="0" w:space="0" w:color="auto"/>
        <w:left w:val="none" w:sz="0" w:space="0" w:color="auto"/>
        <w:bottom w:val="none" w:sz="0" w:space="0" w:color="auto"/>
        <w:right w:val="none" w:sz="0" w:space="0" w:color="auto"/>
      </w:divBdr>
    </w:div>
    <w:div w:id="287126260">
      <w:bodyDiv w:val="1"/>
      <w:marLeft w:val="0"/>
      <w:marRight w:val="0"/>
      <w:marTop w:val="0"/>
      <w:marBottom w:val="0"/>
      <w:divBdr>
        <w:top w:val="none" w:sz="0" w:space="0" w:color="auto"/>
        <w:left w:val="none" w:sz="0" w:space="0" w:color="auto"/>
        <w:bottom w:val="none" w:sz="0" w:space="0" w:color="auto"/>
        <w:right w:val="none" w:sz="0" w:space="0" w:color="auto"/>
      </w:divBdr>
    </w:div>
    <w:div w:id="380640097">
      <w:bodyDiv w:val="1"/>
      <w:marLeft w:val="0"/>
      <w:marRight w:val="0"/>
      <w:marTop w:val="0"/>
      <w:marBottom w:val="0"/>
      <w:divBdr>
        <w:top w:val="none" w:sz="0" w:space="0" w:color="auto"/>
        <w:left w:val="none" w:sz="0" w:space="0" w:color="auto"/>
        <w:bottom w:val="none" w:sz="0" w:space="0" w:color="auto"/>
        <w:right w:val="none" w:sz="0" w:space="0" w:color="auto"/>
      </w:divBdr>
    </w:div>
    <w:div w:id="416364803">
      <w:bodyDiv w:val="1"/>
      <w:marLeft w:val="0"/>
      <w:marRight w:val="0"/>
      <w:marTop w:val="0"/>
      <w:marBottom w:val="0"/>
      <w:divBdr>
        <w:top w:val="none" w:sz="0" w:space="0" w:color="auto"/>
        <w:left w:val="none" w:sz="0" w:space="0" w:color="auto"/>
        <w:bottom w:val="none" w:sz="0" w:space="0" w:color="auto"/>
        <w:right w:val="none" w:sz="0" w:space="0" w:color="auto"/>
      </w:divBdr>
    </w:div>
    <w:div w:id="442530703">
      <w:bodyDiv w:val="1"/>
      <w:marLeft w:val="0"/>
      <w:marRight w:val="0"/>
      <w:marTop w:val="0"/>
      <w:marBottom w:val="0"/>
      <w:divBdr>
        <w:top w:val="none" w:sz="0" w:space="0" w:color="auto"/>
        <w:left w:val="none" w:sz="0" w:space="0" w:color="auto"/>
        <w:bottom w:val="none" w:sz="0" w:space="0" w:color="auto"/>
        <w:right w:val="none" w:sz="0" w:space="0" w:color="auto"/>
      </w:divBdr>
      <w:divsChild>
        <w:div w:id="1713190256">
          <w:marLeft w:val="0"/>
          <w:marRight w:val="0"/>
          <w:marTop w:val="0"/>
          <w:marBottom w:val="0"/>
          <w:divBdr>
            <w:top w:val="none" w:sz="0" w:space="0" w:color="auto"/>
            <w:left w:val="none" w:sz="0" w:space="0" w:color="auto"/>
            <w:bottom w:val="none" w:sz="0" w:space="0" w:color="auto"/>
            <w:right w:val="none" w:sz="0" w:space="0" w:color="auto"/>
          </w:divBdr>
        </w:div>
        <w:div w:id="1952396913">
          <w:marLeft w:val="0"/>
          <w:marRight w:val="0"/>
          <w:marTop w:val="0"/>
          <w:marBottom w:val="0"/>
          <w:divBdr>
            <w:top w:val="none" w:sz="0" w:space="0" w:color="auto"/>
            <w:left w:val="none" w:sz="0" w:space="0" w:color="auto"/>
            <w:bottom w:val="none" w:sz="0" w:space="0" w:color="auto"/>
            <w:right w:val="none" w:sz="0" w:space="0" w:color="auto"/>
          </w:divBdr>
          <w:divsChild>
            <w:div w:id="313140475">
              <w:marLeft w:val="0"/>
              <w:marRight w:val="225"/>
              <w:marTop w:val="0"/>
              <w:marBottom w:val="0"/>
              <w:divBdr>
                <w:top w:val="none" w:sz="0" w:space="0" w:color="auto"/>
                <w:left w:val="none" w:sz="0" w:space="0" w:color="auto"/>
                <w:bottom w:val="none" w:sz="0" w:space="0" w:color="auto"/>
                <w:right w:val="none" w:sz="0" w:space="0" w:color="auto"/>
              </w:divBdr>
              <w:divsChild>
                <w:div w:id="378551367">
                  <w:marLeft w:val="-750"/>
                  <w:marRight w:val="225"/>
                  <w:marTop w:val="75"/>
                  <w:marBottom w:val="225"/>
                  <w:divBdr>
                    <w:top w:val="single" w:sz="6" w:space="8" w:color="DDDDDD"/>
                    <w:left w:val="single" w:sz="6" w:space="8" w:color="DDDDDD"/>
                    <w:bottom w:val="single" w:sz="6" w:space="8" w:color="DDDDDD"/>
                    <w:right w:val="single" w:sz="6" w:space="8" w:color="DDDDDD"/>
                  </w:divBdr>
                </w:div>
              </w:divsChild>
            </w:div>
            <w:div w:id="14511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537">
      <w:bodyDiv w:val="1"/>
      <w:marLeft w:val="0"/>
      <w:marRight w:val="0"/>
      <w:marTop w:val="0"/>
      <w:marBottom w:val="0"/>
      <w:divBdr>
        <w:top w:val="none" w:sz="0" w:space="0" w:color="auto"/>
        <w:left w:val="none" w:sz="0" w:space="0" w:color="auto"/>
        <w:bottom w:val="none" w:sz="0" w:space="0" w:color="auto"/>
        <w:right w:val="none" w:sz="0" w:space="0" w:color="auto"/>
      </w:divBdr>
    </w:div>
    <w:div w:id="495342057">
      <w:bodyDiv w:val="1"/>
      <w:marLeft w:val="0"/>
      <w:marRight w:val="0"/>
      <w:marTop w:val="0"/>
      <w:marBottom w:val="0"/>
      <w:divBdr>
        <w:top w:val="none" w:sz="0" w:space="0" w:color="auto"/>
        <w:left w:val="none" w:sz="0" w:space="0" w:color="auto"/>
        <w:bottom w:val="none" w:sz="0" w:space="0" w:color="auto"/>
        <w:right w:val="none" w:sz="0" w:space="0" w:color="auto"/>
      </w:divBdr>
    </w:div>
    <w:div w:id="510802382">
      <w:bodyDiv w:val="1"/>
      <w:marLeft w:val="0"/>
      <w:marRight w:val="0"/>
      <w:marTop w:val="0"/>
      <w:marBottom w:val="0"/>
      <w:divBdr>
        <w:top w:val="none" w:sz="0" w:space="0" w:color="auto"/>
        <w:left w:val="none" w:sz="0" w:space="0" w:color="auto"/>
        <w:bottom w:val="none" w:sz="0" w:space="0" w:color="auto"/>
        <w:right w:val="none" w:sz="0" w:space="0" w:color="auto"/>
      </w:divBdr>
    </w:div>
    <w:div w:id="611520263">
      <w:bodyDiv w:val="1"/>
      <w:marLeft w:val="0"/>
      <w:marRight w:val="0"/>
      <w:marTop w:val="0"/>
      <w:marBottom w:val="0"/>
      <w:divBdr>
        <w:top w:val="none" w:sz="0" w:space="0" w:color="auto"/>
        <w:left w:val="none" w:sz="0" w:space="0" w:color="auto"/>
        <w:bottom w:val="none" w:sz="0" w:space="0" w:color="auto"/>
        <w:right w:val="none" w:sz="0" w:space="0" w:color="auto"/>
      </w:divBdr>
    </w:div>
    <w:div w:id="631861536">
      <w:bodyDiv w:val="1"/>
      <w:marLeft w:val="0"/>
      <w:marRight w:val="0"/>
      <w:marTop w:val="0"/>
      <w:marBottom w:val="0"/>
      <w:divBdr>
        <w:top w:val="none" w:sz="0" w:space="0" w:color="auto"/>
        <w:left w:val="none" w:sz="0" w:space="0" w:color="auto"/>
        <w:bottom w:val="none" w:sz="0" w:space="0" w:color="auto"/>
        <w:right w:val="none" w:sz="0" w:space="0" w:color="auto"/>
      </w:divBdr>
    </w:div>
    <w:div w:id="657153288">
      <w:bodyDiv w:val="1"/>
      <w:marLeft w:val="0"/>
      <w:marRight w:val="0"/>
      <w:marTop w:val="0"/>
      <w:marBottom w:val="0"/>
      <w:divBdr>
        <w:top w:val="none" w:sz="0" w:space="0" w:color="auto"/>
        <w:left w:val="none" w:sz="0" w:space="0" w:color="auto"/>
        <w:bottom w:val="none" w:sz="0" w:space="0" w:color="auto"/>
        <w:right w:val="none" w:sz="0" w:space="0" w:color="auto"/>
      </w:divBdr>
    </w:div>
    <w:div w:id="871041246">
      <w:bodyDiv w:val="1"/>
      <w:marLeft w:val="0"/>
      <w:marRight w:val="0"/>
      <w:marTop w:val="0"/>
      <w:marBottom w:val="0"/>
      <w:divBdr>
        <w:top w:val="none" w:sz="0" w:space="0" w:color="auto"/>
        <w:left w:val="none" w:sz="0" w:space="0" w:color="auto"/>
        <w:bottom w:val="none" w:sz="0" w:space="0" w:color="auto"/>
        <w:right w:val="none" w:sz="0" w:space="0" w:color="auto"/>
      </w:divBdr>
    </w:div>
    <w:div w:id="875849506">
      <w:bodyDiv w:val="1"/>
      <w:marLeft w:val="0"/>
      <w:marRight w:val="0"/>
      <w:marTop w:val="0"/>
      <w:marBottom w:val="0"/>
      <w:divBdr>
        <w:top w:val="none" w:sz="0" w:space="0" w:color="auto"/>
        <w:left w:val="none" w:sz="0" w:space="0" w:color="auto"/>
        <w:bottom w:val="none" w:sz="0" w:space="0" w:color="auto"/>
        <w:right w:val="none" w:sz="0" w:space="0" w:color="auto"/>
      </w:divBdr>
    </w:div>
    <w:div w:id="885868902">
      <w:bodyDiv w:val="1"/>
      <w:marLeft w:val="0"/>
      <w:marRight w:val="0"/>
      <w:marTop w:val="0"/>
      <w:marBottom w:val="0"/>
      <w:divBdr>
        <w:top w:val="none" w:sz="0" w:space="0" w:color="auto"/>
        <w:left w:val="none" w:sz="0" w:space="0" w:color="auto"/>
        <w:bottom w:val="none" w:sz="0" w:space="0" w:color="auto"/>
        <w:right w:val="none" w:sz="0" w:space="0" w:color="auto"/>
      </w:divBdr>
    </w:div>
    <w:div w:id="939678424">
      <w:bodyDiv w:val="1"/>
      <w:marLeft w:val="0"/>
      <w:marRight w:val="0"/>
      <w:marTop w:val="0"/>
      <w:marBottom w:val="0"/>
      <w:divBdr>
        <w:top w:val="none" w:sz="0" w:space="0" w:color="auto"/>
        <w:left w:val="none" w:sz="0" w:space="0" w:color="auto"/>
        <w:bottom w:val="none" w:sz="0" w:space="0" w:color="auto"/>
        <w:right w:val="none" w:sz="0" w:space="0" w:color="auto"/>
      </w:divBdr>
    </w:div>
    <w:div w:id="943614096">
      <w:bodyDiv w:val="1"/>
      <w:marLeft w:val="0"/>
      <w:marRight w:val="0"/>
      <w:marTop w:val="0"/>
      <w:marBottom w:val="0"/>
      <w:divBdr>
        <w:top w:val="none" w:sz="0" w:space="0" w:color="auto"/>
        <w:left w:val="none" w:sz="0" w:space="0" w:color="auto"/>
        <w:bottom w:val="none" w:sz="0" w:space="0" w:color="auto"/>
        <w:right w:val="none" w:sz="0" w:space="0" w:color="auto"/>
      </w:divBdr>
    </w:div>
    <w:div w:id="996688093">
      <w:bodyDiv w:val="1"/>
      <w:marLeft w:val="0"/>
      <w:marRight w:val="0"/>
      <w:marTop w:val="0"/>
      <w:marBottom w:val="0"/>
      <w:divBdr>
        <w:top w:val="none" w:sz="0" w:space="0" w:color="auto"/>
        <w:left w:val="none" w:sz="0" w:space="0" w:color="auto"/>
        <w:bottom w:val="none" w:sz="0" w:space="0" w:color="auto"/>
        <w:right w:val="none" w:sz="0" w:space="0" w:color="auto"/>
      </w:divBdr>
    </w:div>
    <w:div w:id="1079713865">
      <w:bodyDiv w:val="1"/>
      <w:marLeft w:val="0"/>
      <w:marRight w:val="0"/>
      <w:marTop w:val="0"/>
      <w:marBottom w:val="0"/>
      <w:divBdr>
        <w:top w:val="none" w:sz="0" w:space="0" w:color="auto"/>
        <w:left w:val="none" w:sz="0" w:space="0" w:color="auto"/>
        <w:bottom w:val="none" w:sz="0" w:space="0" w:color="auto"/>
        <w:right w:val="none" w:sz="0" w:space="0" w:color="auto"/>
      </w:divBdr>
    </w:div>
    <w:div w:id="1136678695">
      <w:bodyDiv w:val="1"/>
      <w:marLeft w:val="0"/>
      <w:marRight w:val="0"/>
      <w:marTop w:val="0"/>
      <w:marBottom w:val="0"/>
      <w:divBdr>
        <w:top w:val="none" w:sz="0" w:space="0" w:color="auto"/>
        <w:left w:val="none" w:sz="0" w:space="0" w:color="auto"/>
        <w:bottom w:val="none" w:sz="0" w:space="0" w:color="auto"/>
        <w:right w:val="none" w:sz="0" w:space="0" w:color="auto"/>
      </w:divBdr>
    </w:div>
    <w:div w:id="1156649315">
      <w:bodyDiv w:val="1"/>
      <w:marLeft w:val="0"/>
      <w:marRight w:val="0"/>
      <w:marTop w:val="0"/>
      <w:marBottom w:val="0"/>
      <w:divBdr>
        <w:top w:val="none" w:sz="0" w:space="0" w:color="auto"/>
        <w:left w:val="none" w:sz="0" w:space="0" w:color="auto"/>
        <w:bottom w:val="none" w:sz="0" w:space="0" w:color="auto"/>
        <w:right w:val="none" w:sz="0" w:space="0" w:color="auto"/>
      </w:divBdr>
    </w:div>
    <w:div w:id="1172797143">
      <w:bodyDiv w:val="1"/>
      <w:marLeft w:val="0"/>
      <w:marRight w:val="0"/>
      <w:marTop w:val="0"/>
      <w:marBottom w:val="0"/>
      <w:divBdr>
        <w:top w:val="none" w:sz="0" w:space="0" w:color="auto"/>
        <w:left w:val="none" w:sz="0" w:space="0" w:color="auto"/>
        <w:bottom w:val="none" w:sz="0" w:space="0" w:color="auto"/>
        <w:right w:val="none" w:sz="0" w:space="0" w:color="auto"/>
      </w:divBdr>
    </w:div>
    <w:div w:id="1211840489">
      <w:bodyDiv w:val="1"/>
      <w:marLeft w:val="0"/>
      <w:marRight w:val="0"/>
      <w:marTop w:val="0"/>
      <w:marBottom w:val="0"/>
      <w:divBdr>
        <w:top w:val="none" w:sz="0" w:space="0" w:color="auto"/>
        <w:left w:val="none" w:sz="0" w:space="0" w:color="auto"/>
        <w:bottom w:val="none" w:sz="0" w:space="0" w:color="auto"/>
        <w:right w:val="none" w:sz="0" w:space="0" w:color="auto"/>
      </w:divBdr>
    </w:div>
    <w:div w:id="1235504287">
      <w:bodyDiv w:val="1"/>
      <w:marLeft w:val="0"/>
      <w:marRight w:val="0"/>
      <w:marTop w:val="0"/>
      <w:marBottom w:val="0"/>
      <w:divBdr>
        <w:top w:val="none" w:sz="0" w:space="0" w:color="auto"/>
        <w:left w:val="none" w:sz="0" w:space="0" w:color="auto"/>
        <w:bottom w:val="none" w:sz="0" w:space="0" w:color="auto"/>
        <w:right w:val="none" w:sz="0" w:space="0" w:color="auto"/>
      </w:divBdr>
    </w:div>
    <w:div w:id="1264653743">
      <w:bodyDiv w:val="1"/>
      <w:marLeft w:val="0"/>
      <w:marRight w:val="0"/>
      <w:marTop w:val="0"/>
      <w:marBottom w:val="0"/>
      <w:divBdr>
        <w:top w:val="none" w:sz="0" w:space="0" w:color="auto"/>
        <w:left w:val="none" w:sz="0" w:space="0" w:color="auto"/>
        <w:bottom w:val="none" w:sz="0" w:space="0" w:color="auto"/>
        <w:right w:val="none" w:sz="0" w:space="0" w:color="auto"/>
      </w:divBdr>
    </w:div>
    <w:div w:id="1396707920">
      <w:bodyDiv w:val="1"/>
      <w:marLeft w:val="0"/>
      <w:marRight w:val="0"/>
      <w:marTop w:val="0"/>
      <w:marBottom w:val="0"/>
      <w:divBdr>
        <w:top w:val="none" w:sz="0" w:space="0" w:color="auto"/>
        <w:left w:val="none" w:sz="0" w:space="0" w:color="auto"/>
        <w:bottom w:val="none" w:sz="0" w:space="0" w:color="auto"/>
        <w:right w:val="none" w:sz="0" w:space="0" w:color="auto"/>
      </w:divBdr>
    </w:div>
    <w:div w:id="1401094494">
      <w:bodyDiv w:val="1"/>
      <w:marLeft w:val="0"/>
      <w:marRight w:val="0"/>
      <w:marTop w:val="0"/>
      <w:marBottom w:val="0"/>
      <w:divBdr>
        <w:top w:val="none" w:sz="0" w:space="0" w:color="auto"/>
        <w:left w:val="none" w:sz="0" w:space="0" w:color="auto"/>
        <w:bottom w:val="none" w:sz="0" w:space="0" w:color="auto"/>
        <w:right w:val="none" w:sz="0" w:space="0" w:color="auto"/>
      </w:divBdr>
    </w:div>
    <w:div w:id="1403872974">
      <w:bodyDiv w:val="1"/>
      <w:marLeft w:val="0"/>
      <w:marRight w:val="0"/>
      <w:marTop w:val="0"/>
      <w:marBottom w:val="0"/>
      <w:divBdr>
        <w:top w:val="none" w:sz="0" w:space="0" w:color="auto"/>
        <w:left w:val="none" w:sz="0" w:space="0" w:color="auto"/>
        <w:bottom w:val="none" w:sz="0" w:space="0" w:color="auto"/>
        <w:right w:val="none" w:sz="0" w:space="0" w:color="auto"/>
      </w:divBdr>
    </w:div>
    <w:div w:id="1406688905">
      <w:bodyDiv w:val="1"/>
      <w:marLeft w:val="0"/>
      <w:marRight w:val="0"/>
      <w:marTop w:val="0"/>
      <w:marBottom w:val="0"/>
      <w:divBdr>
        <w:top w:val="none" w:sz="0" w:space="0" w:color="auto"/>
        <w:left w:val="none" w:sz="0" w:space="0" w:color="auto"/>
        <w:bottom w:val="none" w:sz="0" w:space="0" w:color="auto"/>
        <w:right w:val="none" w:sz="0" w:space="0" w:color="auto"/>
      </w:divBdr>
      <w:divsChild>
        <w:div w:id="752435206">
          <w:marLeft w:val="0"/>
          <w:marRight w:val="0"/>
          <w:marTop w:val="0"/>
          <w:marBottom w:val="0"/>
          <w:divBdr>
            <w:top w:val="none" w:sz="0" w:space="0" w:color="auto"/>
            <w:left w:val="none" w:sz="0" w:space="0" w:color="auto"/>
            <w:bottom w:val="none" w:sz="0" w:space="0" w:color="auto"/>
            <w:right w:val="none" w:sz="0" w:space="0" w:color="auto"/>
          </w:divBdr>
          <w:divsChild>
            <w:div w:id="7709825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8915445">
      <w:bodyDiv w:val="1"/>
      <w:marLeft w:val="0"/>
      <w:marRight w:val="0"/>
      <w:marTop w:val="0"/>
      <w:marBottom w:val="0"/>
      <w:divBdr>
        <w:top w:val="none" w:sz="0" w:space="0" w:color="auto"/>
        <w:left w:val="none" w:sz="0" w:space="0" w:color="auto"/>
        <w:bottom w:val="none" w:sz="0" w:space="0" w:color="auto"/>
        <w:right w:val="none" w:sz="0" w:space="0" w:color="auto"/>
      </w:divBdr>
    </w:div>
    <w:div w:id="1460949566">
      <w:bodyDiv w:val="1"/>
      <w:marLeft w:val="0"/>
      <w:marRight w:val="0"/>
      <w:marTop w:val="0"/>
      <w:marBottom w:val="0"/>
      <w:divBdr>
        <w:top w:val="none" w:sz="0" w:space="0" w:color="auto"/>
        <w:left w:val="none" w:sz="0" w:space="0" w:color="auto"/>
        <w:bottom w:val="none" w:sz="0" w:space="0" w:color="auto"/>
        <w:right w:val="none" w:sz="0" w:space="0" w:color="auto"/>
      </w:divBdr>
    </w:div>
    <w:div w:id="1476682134">
      <w:bodyDiv w:val="1"/>
      <w:marLeft w:val="0"/>
      <w:marRight w:val="0"/>
      <w:marTop w:val="0"/>
      <w:marBottom w:val="0"/>
      <w:divBdr>
        <w:top w:val="none" w:sz="0" w:space="0" w:color="auto"/>
        <w:left w:val="none" w:sz="0" w:space="0" w:color="auto"/>
        <w:bottom w:val="none" w:sz="0" w:space="0" w:color="auto"/>
        <w:right w:val="none" w:sz="0" w:space="0" w:color="auto"/>
      </w:divBdr>
    </w:div>
    <w:div w:id="1538617347">
      <w:bodyDiv w:val="1"/>
      <w:marLeft w:val="0"/>
      <w:marRight w:val="0"/>
      <w:marTop w:val="0"/>
      <w:marBottom w:val="0"/>
      <w:divBdr>
        <w:top w:val="none" w:sz="0" w:space="0" w:color="auto"/>
        <w:left w:val="none" w:sz="0" w:space="0" w:color="auto"/>
        <w:bottom w:val="none" w:sz="0" w:space="0" w:color="auto"/>
        <w:right w:val="none" w:sz="0" w:space="0" w:color="auto"/>
      </w:divBdr>
    </w:div>
    <w:div w:id="1643000453">
      <w:bodyDiv w:val="1"/>
      <w:marLeft w:val="0"/>
      <w:marRight w:val="0"/>
      <w:marTop w:val="0"/>
      <w:marBottom w:val="0"/>
      <w:divBdr>
        <w:top w:val="none" w:sz="0" w:space="0" w:color="auto"/>
        <w:left w:val="none" w:sz="0" w:space="0" w:color="auto"/>
        <w:bottom w:val="none" w:sz="0" w:space="0" w:color="auto"/>
        <w:right w:val="none" w:sz="0" w:space="0" w:color="auto"/>
      </w:divBdr>
    </w:div>
    <w:div w:id="1676614744">
      <w:bodyDiv w:val="1"/>
      <w:marLeft w:val="0"/>
      <w:marRight w:val="0"/>
      <w:marTop w:val="0"/>
      <w:marBottom w:val="0"/>
      <w:divBdr>
        <w:top w:val="none" w:sz="0" w:space="0" w:color="auto"/>
        <w:left w:val="none" w:sz="0" w:space="0" w:color="auto"/>
        <w:bottom w:val="none" w:sz="0" w:space="0" w:color="auto"/>
        <w:right w:val="none" w:sz="0" w:space="0" w:color="auto"/>
      </w:divBdr>
    </w:div>
    <w:div w:id="1717001283">
      <w:bodyDiv w:val="1"/>
      <w:marLeft w:val="0"/>
      <w:marRight w:val="0"/>
      <w:marTop w:val="0"/>
      <w:marBottom w:val="0"/>
      <w:divBdr>
        <w:top w:val="none" w:sz="0" w:space="0" w:color="auto"/>
        <w:left w:val="none" w:sz="0" w:space="0" w:color="auto"/>
        <w:bottom w:val="none" w:sz="0" w:space="0" w:color="auto"/>
        <w:right w:val="none" w:sz="0" w:space="0" w:color="auto"/>
      </w:divBdr>
    </w:div>
    <w:div w:id="1834907163">
      <w:bodyDiv w:val="1"/>
      <w:marLeft w:val="0"/>
      <w:marRight w:val="0"/>
      <w:marTop w:val="0"/>
      <w:marBottom w:val="0"/>
      <w:divBdr>
        <w:top w:val="none" w:sz="0" w:space="0" w:color="auto"/>
        <w:left w:val="none" w:sz="0" w:space="0" w:color="auto"/>
        <w:bottom w:val="none" w:sz="0" w:space="0" w:color="auto"/>
        <w:right w:val="none" w:sz="0" w:space="0" w:color="auto"/>
      </w:divBdr>
    </w:div>
    <w:div w:id="1848514305">
      <w:bodyDiv w:val="1"/>
      <w:marLeft w:val="0"/>
      <w:marRight w:val="0"/>
      <w:marTop w:val="0"/>
      <w:marBottom w:val="0"/>
      <w:divBdr>
        <w:top w:val="none" w:sz="0" w:space="0" w:color="auto"/>
        <w:left w:val="none" w:sz="0" w:space="0" w:color="auto"/>
        <w:bottom w:val="none" w:sz="0" w:space="0" w:color="auto"/>
        <w:right w:val="none" w:sz="0" w:space="0" w:color="auto"/>
      </w:divBdr>
    </w:div>
    <w:div w:id="1882325267">
      <w:bodyDiv w:val="1"/>
      <w:marLeft w:val="0"/>
      <w:marRight w:val="0"/>
      <w:marTop w:val="0"/>
      <w:marBottom w:val="0"/>
      <w:divBdr>
        <w:top w:val="none" w:sz="0" w:space="0" w:color="auto"/>
        <w:left w:val="none" w:sz="0" w:space="0" w:color="auto"/>
        <w:bottom w:val="none" w:sz="0" w:space="0" w:color="auto"/>
        <w:right w:val="none" w:sz="0" w:space="0" w:color="auto"/>
      </w:divBdr>
    </w:div>
    <w:div w:id="1925334625">
      <w:bodyDiv w:val="1"/>
      <w:marLeft w:val="0"/>
      <w:marRight w:val="0"/>
      <w:marTop w:val="0"/>
      <w:marBottom w:val="0"/>
      <w:divBdr>
        <w:top w:val="none" w:sz="0" w:space="0" w:color="auto"/>
        <w:left w:val="none" w:sz="0" w:space="0" w:color="auto"/>
        <w:bottom w:val="none" w:sz="0" w:space="0" w:color="auto"/>
        <w:right w:val="none" w:sz="0" w:space="0" w:color="auto"/>
      </w:divBdr>
    </w:div>
    <w:div w:id="1943104105">
      <w:bodyDiv w:val="1"/>
      <w:marLeft w:val="0"/>
      <w:marRight w:val="0"/>
      <w:marTop w:val="0"/>
      <w:marBottom w:val="0"/>
      <w:divBdr>
        <w:top w:val="none" w:sz="0" w:space="0" w:color="auto"/>
        <w:left w:val="none" w:sz="0" w:space="0" w:color="auto"/>
        <w:bottom w:val="none" w:sz="0" w:space="0" w:color="auto"/>
        <w:right w:val="none" w:sz="0" w:space="0" w:color="auto"/>
      </w:divBdr>
    </w:div>
    <w:div w:id="1967008690">
      <w:bodyDiv w:val="1"/>
      <w:marLeft w:val="0"/>
      <w:marRight w:val="0"/>
      <w:marTop w:val="0"/>
      <w:marBottom w:val="0"/>
      <w:divBdr>
        <w:top w:val="none" w:sz="0" w:space="0" w:color="auto"/>
        <w:left w:val="none" w:sz="0" w:space="0" w:color="auto"/>
        <w:bottom w:val="none" w:sz="0" w:space="0" w:color="auto"/>
        <w:right w:val="none" w:sz="0" w:space="0" w:color="auto"/>
      </w:divBdr>
    </w:div>
    <w:div w:id="2003777677">
      <w:bodyDiv w:val="1"/>
      <w:marLeft w:val="0"/>
      <w:marRight w:val="0"/>
      <w:marTop w:val="0"/>
      <w:marBottom w:val="0"/>
      <w:divBdr>
        <w:top w:val="none" w:sz="0" w:space="0" w:color="auto"/>
        <w:left w:val="none" w:sz="0" w:space="0" w:color="auto"/>
        <w:bottom w:val="none" w:sz="0" w:space="0" w:color="auto"/>
        <w:right w:val="none" w:sz="0" w:space="0" w:color="auto"/>
      </w:divBdr>
    </w:div>
    <w:div w:id="2008357404">
      <w:bodyDiv w:val="1"/>
      <w:marLeft w:val="0"/>
      <w:marRight w:val="0"/>
      <w:marTop w:val="0"/>
      <w:marBottom w:val="0"/>
      <w:divBdr>
        <w:top w:val="none" w:sz="0" w:space="0" w:color="auto"/>
        <w:left w:val="none" w:sz="0" w:space="0" w:color="auto"/>
        <w:bottom w:val="none" w:sz="0" w:space="0" w:color="auto"/>
        <w:right w:val="none" w:sz="0" w:space="0" w:color="auto"/>
      </w:divBdr>
    </w:div>
    <w:div w:id="2008434695">
      <w:bodyDiv w:val="1"/>
      <w:marLeft w:val="0"/>
      <w:marRight w:val="0"/>
      <w:marTop w:val="0"/>
      <w:marBottom w:val="0"/>
      <w:divBdr>
        <w:top w:val="none" w:sz="0" w:space="0" w:color="auto"/>
        <w:left w:val="none" w:sz="0" w:space="0" w:color="auto"/>
        <w:bottom w:val="none" w:sz="0" w:space="0" w:color="auto"/>
        <w:right w:val="none" w:sz="0" w:space="0" w:color="auto"/>
      </w:divBdr>
    </w:div>
    <w:div w:id="2089494125">
      <w:bodyDiv w:val="1"/>
      <w:marLeft w:val="0"/>
      <w:marRight w:val="0"/>
      <w:marTop w:val="0"/>
      <w:marBottom w:val="0"/>
      <w:divBdr>
        <w:top w:val="none" w:sz="0" w:space="0" w:color="auto"/>
        <w:left w:val="none" w:sz="0" w:space="0" w:color="auto"/>
        <w:bottom w:val="none" w:sz="0" w:space="0" w:color="auto"/>
        <w:right w:val="none" w:sz="0" w:space="0" w:color="auto"/>
      </w:divBdr>
    </w:div>
    <w:div w:id="2133596363">
      <w:bodyDiv w:val="1"/>
      <w:marLeft w:val="0"/>
      <w:marRight w:val="0"/>
      <w:marTop w:val="0"/>
      <w:marBottom w:val="0"/>
      <w:divBdr>
        <w:top w:val="none" w:sz="0" w:space="0" w:color="auto"/>
        <w:left w:val="none" w:sz="0" w:space="0" w:color="auto"/>
        <w:bottom w:val="none" w:sz="0" w:space="0" w:color="auto"/>
        <w:right w:val="none" w:sz="0" w:space="0" w:color="auto"/>
      </w:divBdr>
    </w:div>
    <w:div w:id="214488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www.austlii.edu.au/au/legis/cth/consol_act/sgca1992314/"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ustlii.edu.au/au/legis/cth/consol_act/sgca1992314/s5.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mailto:benedict.davies@unisuper.com.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yperlink" Target="http://www.austlii.edu.au/au/legis/cth/consol_reg/sir1994582/s13.22b.html" TargetMode="Externa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S\AppData\Local\Microsoft\Windows\Temporary%20Internet%20Files\Content.Outlook\GYW9TTDL\130425%20Submissions%20template%20FINAL.dotx" TargetMode="External"/></Relationships>
</file>

<file path=word/theme/theme1.xml><?xml version="1.0" encoding="utf-8"?>
<a:theme xmlns:a="http://schemas.openxmlformats.org/drawingml/2006/main" name="UnisuperThemeLite">
  <a:themeElements>
    <a:clrScheme name="UniSuperTheme">
      <a:dk1>
        <a:sysClr val="windowText" lastClr="000000"/>
      </a:dk1>
      <a:lt1>
        <a:sysClr val="window" lastClr="FFFFFF"/>
      </a:lt1>
      <a:dk2>
        <a:srgbClr val="013A81"/>
      </a:dk2>
      <a:lt2>
        <a:srgbClr val="8DBAEE"/>
      </a:lt2>
      <a:accent1>
        <a:srgbClr val="0574BB"/>
      </a:accent1>
      <a:accent2>
        <a:srgbClr val="96D56D"/>
      </a:accent2>
      <a:accent3>
        <a:srgbClr val="EEB016"/>
      </a:accent3>
      <a:accent4>
        <a:srgbClr val="FF7350"/>
      </a:accent4>
      <a:accent5>
        <a:srgbClr val="8C82D8"/>
      </a:accent5>
      <a:accent6>
        <a:srgbClr val="00B5B0"/>
      </a:accent6>
      <a:hlink>
        <a:srgbClr val="A72100"/>
      </a:hlink>
      <a:folHlink>
        <a:srgbClr val="A72100"/>
      </a:folHlink>
    </a:clrScheme>
    <a:fontScheme name="Unisuper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1F3D6D5B0CB19B459259E1804AD81CA6" ma:contentTypeVersion="5386" ma:contentTypeDescription="" ma:contentTypeScope="" ma:versionID="51c4a18b45e6fe1d7abffa4af1111a17">
  <xsd:schema xmlns:xsd="http://www.w3.org/2001/XMLSchema" xmlns:xs="http://www.w3.org/2001/XMLSchema" xmlns:p="http://schemas.microsoft.com/office/2006/metadata/properties" xmlns:ns1="http://schemas.microsoft.com/sharepoint/v3" xmlns:ns2="e544e5cc-ab70-42e1-849e-1a0f8bb1f4ef" xmlns:ns4="http://schemas.microsoft.com/sharepoint/v4" targetNamespace="http://schemas.microsoft.com/office/2006/metadata/properties" ma:root="true" ma:fieldsID="a2867dbdf2dbb76eec62b2b9eb132101" ns1:_="" ns2:_="" ns4:_="">
    <xsd:import namespace="http://schemas.microsoft.com/sharepoint/v3"/>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9;#TSY RA-9242 - Destroy 10 years after action completed|f06ddbdb-86df-426a-bbc0-a9044fd46ab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RA-9242 - Destroy 10 years after action completed</TermName>
          <TermId xmlns="http://schemas.microsoft.com/office/infopath/2007/PartnerControls">f06ddbdb-86df-426a-bbc0-a9044fd46ab3</TermId>
        </TermInfo>
      </Terms>
    </lb508a4dc5e84436a0fe496b536466aa>
    <TaxCatchAll xmlns="e544e5cc-ab70-42e1-849e-1a0f8bb1f4ef">
      <Value>29</Value>
    </TaxCatchAll>
    <_dlc_DocId xmlns="e544e5cc-ab70-42e1-849e-1a0f8bb1f4ef">2017FG-316-705</_dlc_DocId>
    <_dlc_DocIdUrl xmlns="e544e5cc-ab70-42e1-849e-1a0f8bb1f4ef">
      <Url>http://tweb/sites/fg/ripd/accum/_layouts/15/DocIdRedir.aspx?ID=2017FG-316-705</Url>
      <Description>2017FG-316-705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4F156-86B4-4DB8-B8E2-AE350DDB2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A6EFC-053D-4CFF-8657-0DF8DEE9E83B}">
  <ds:schemaRefs>
    <ds:schemaRef ds:uri="http://schemas.microsoft.com/sharepoint/events"/>
  </ds:schemaRefs>
</ds:datastoreItem>
</file>

<file path=customXml/itemProps3.xml><?xml version="1.0" encoding="utf-8"?>
<ds:datastoreItem xmlns:ds="http://schemas.openxmlformats.org/officeDocument/2006/customXml" ds:itemID="{5893B3A2-71A5-42CA-A47D-4976E0BE7D98}">
  <ds:schemaRefs>
    <ds:schemaRef ds:uri="office.server.policy"/>
  </ds:schemaRefs>
</ds:datastoreItem>
</file>

<file path=customXml/itemProps4.xml><?xml version="1.0" encoding="utf-8"?>
<ds:datastoreItem xmlns:ds="http://schemas.openxmlformats.org/officeDocument/2006/customXml" ds:itemID="{B36CEFE0-6706-4747-936D-0890D93BC1F8}">
  <ds:schemaRefs>
    <ds:schemaRef ds:uri="http://schemas.microsoft.com/sharepoint/v3/contenttype/forms"/>
  </ds:schemaRefs>
</ds:datastoreItem>
</file>

<file path=customXml/itemProps5.xml><?xml version="1.0" encoding="utf-8"?>
<ds:datastoreItem xmlns:ds="http://schemas.openxmlformats.org/officeDocument/2006/customXml" ds:itemID="{77091425-629F-415F-BEFB-501C265DD7C3}">
  <ds:schemaRefs>
    <ds:schemaRef ds:uri="http://purl.org/dc/term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purl.org/dc/dcmitype/"/>
    <ds:schemaRef ds:uri="http://schemas.microsoft.com/sharepoint/v4"/>
    <ds:schemaRef ds:uri="e544e5cc-ab70-42e1-849e-1a0f8bb1f4ef"/>
    <ds:schemaRef ds:uri="http://www.w3.org/XML/1998/namespace"/>
  </ds:schemaRefs>
</ds:datastoreItem>
</file>

<file path=customXml/itemProps6.xml><?xml version="1.0" encoding="utf-8"?>
<ds:datastoreItem xmlns:ds="http://schemas.openxmlformats.org/officeDocument/2006/customXml" ds:itemID="{CB3DF0E0-92C3-4F18-BC29-E40D9FB2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130425 Submissions template FINAL.dotx</Template>
  <TotalTime>1</TotalTime>
  <Pages>4</Pages>
  <Words>1102</Words>
  <Characters>6282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Unisuper Management Pvt Ltd</Company>
  <LinksUpToDate>false</LinksUpToDate>
  <CharactersWithSpaces>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Zyznowska</dc:creator>
  <cp:lastModifiedBy>Armstrong, Eric</cp:lastModifiedBy>
  <cp:revision>2</cp:revision>
  <cp:lastPrinted>2017-08-03T01:19:00Z</cp:lastPrinted>
  <dcterms:created xsi:type="dcterms:W3CDTF">2017-09-13T03:22:00Z</dcterms:created>
  <dcterms:modified xsi:type="dcterms:W3CDTF">2017-09-13T03:22:00Z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0x010100348D01E61E107C4DA4B97E380EA20D47001F3D6D5B0CB19B459259E1804AD81CA6</vt:lpwstr>
  </property>
  <property fmtid="{D5CDD505-2E9C-101B-9397-08002B2CF9AE}" pid="3" name="TSYRecordClass">
    <vt:lpwstr>29;#TSY RA-9242 - Destroy 10 years after action completed|f06ddbdb-86df-426a-bbc0-a9044fd46ab3</vt:lpwstr>
  </property>
  <property fmtid="{D5CDD505-2E9C-101B-9397-08002B2CF9AE}" pid="4" name="_dlc_DocIdItemGuid">
    <vt:lpwstr>7e7ccee3-fcf2-4e44-aa84-43536e70a622</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{9dcf69db-8f8d-469a-996e-e79552f0e7a3}</vt:lpwstr>
  </property>
  <property fmtid="{D5CDD505-2E9C-101B-9397-08002B2CF9AE}" pid="8" name="RecordPoint_ActiveItemUniqueId">
    <vt:lpwstr>{7e7ccee3-fcf2-4e44-aa84-43536e70a622}</vt:lpwstr>
  </property>
  <property fmtid="{D5CDD505-2E9C-101B-9397-08002B2CF9AE}" pid="9" name="RecordPoint_ActiveItemWebId">
    <vt:lpwstr>{d0742959-8543-452d-85a5-db25555903eb}</vt:lpwstr>
  </property>
  <property fmtid="{D5CDD505-2E9C-101B-9397-08002B2CF9AE}" pid="10" name="RecordPoint_RecordNumberSubmitted">
    <vt:lpwstr>R0001426528</vt:lpwstr>
  </property>
  <property fmtid="{D5CDD505-2E9C-101B-9397-08002B2CF9AE}" pid="11" name="RecordPoint_SubmissionCompleted">
    <vt:lpwstr>2017-09-13T13:23:54.2976948+10:00</vt:lpwstr>
  </property>
</Properties>
</file>