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0A0" w:rsidRDefault="00D029D9" w:rsidP="00426125">
      <w:pPr>
        <w:ind w:right="-454"/>
        <w:jc w:val="right"/>
      </w:pPr>
      <w:bookmarkStart w:id="0" w:name="_GoBack"/>
      <w:bookmarkEnd w:id="0"/>
      <w:r>
        <w:rPr>
          <w:noProof/>
          <w:lang w:eastAsia="en-AU"/>
        </w:rPr>
        <w:drawing>
          <wp:anchor distT="0" distB="0" distL="114300" distR="114300" simplePos="0" relativeHeight="251657216" behindDoc="0" locked="0" layoutInCell="1" allowOverlap="1">
            <wp:simplePos x="0" y="0"/>
            <wp:positionH relativeFrom="column">
              <wp:posOffset>3597275</wp:posOffset>
            </wp:positionH>
            <wp:positionV relativeFrom="paragraph">
              <wp:posOffset>110490</wp:posOffset>
            </wp:positionV>
            <wp:extent cx="2673350" cy="751205"/>
            <wp:effectExtent l="0" t="0" r="0" b="0"/>
            <wp:wrapNone/>
            <wp:docPr id="14" name="Picture 14" descr="logo TIA 516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TIA 516 cop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3350" cy="751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6C45" w:rsidRDefault="00606C45" w:rsidP="00426125">
      <w:pPr>
        <w:ind w:right="-454"/>
        <w:jc w:val="right"/>
      </w:pPr>
    </w:p>
    <w:p w:rsidR="00606C45" w:rsidRDefault="00606C45" w:rsidP="00426125">
      <w:pPr>
        <w:ind w:right="-454"/>
        <w:jc w:val="right"/>
      </w:pPr>
    </w:p>
    <w:p w:rsidR="001100A0" w:rsidRDefault="001100A0" w:rsidP="00426125">
      <w:pPr>
        <w:rPr>
          <w:sz w:val="16"/>
          <w:szCs w:val="16"/>
        </w:rPr>
      </w:pPr>
    </w:p>
    <w:p w:rsidR="00606C45" w:rsidRDefault="00606C45" w:rsidP="00426125">
      <w:pPr>
        <w:rPr>
          <w:sz w:val="16"/>
          <w:szCs w:val="16"/>
        </w:rPr>
      </w:pPr>
    </w:p>
    <w:p w:rsidR="00D868BF" w:rsidRDefault="00D868BF" w:rsidP="00426125">
      <w:pPr>
        <w:rPr>
          <w:sz w:val="16"/>
          <w:szCs w:val="16"/>
        </w:rPr>
      </w:pPr>
    </w:p>
    <w:p w:rsidR="00D868BF" w:rsidRPr="00426125" w:rsidRDefault="00D868BF" w:rsidP="00426125">
      <w:pPr>
        <w:rPr>
          <w:sz w:val="16"/>
          <w:szCs w:val="16"/>
        </w:rPr>
      </w:pPr>
    </w:p>
    <w:p w:rsidR="001100A0" w:rsidRDefault="001100A0" w:rsidP="00426125">
      <w:pPr>
        <w:ind w:right="-167"/>
        <w:jc w:val="right"/>
        <w:rPr>
          <w:sz w:val="16"/>
        </w:rPr>
      </w:pPr>
      <w:r>
        <w:rPr>
          <w:sz w:val="16"/>
        </w:rPr>
        <w:t xml:space="preserve">PO Box </w:t>
      </w:r>
      <w:r w:rsidR="005823EC">
        <w:rPr>
          <w:sz w:val="16"/>
        </w:rPr>
        <w:t>20</w:t>
      </w:r>
      <w:r>
        <w:rPr>
          <w:sz w:val="16"/>
        </w:rPr>
        <w:t>41</w:t>
      </w:r>
    </w:p>
    <w:p w:rsidR="001100A0" w:rsidRDefault="001100A0" w:rsidP="00426125">
      <w:pPr>
        <w:ind w:right="-167"/>
        <w:jc w:val="right"/>
        <w:rPr>
          <w:sz w:val="16"/>
        </w:rPr>
      </w:pPr>
      <w:r>
        <w:rPr>
          <w:sz w:val="16"/>
        </w:rPr>
        <w:t>Blackburn South Vic 3130</w:t>
      </w:r>
    </w:p>
    <w:p w:rsidR="001100A0" w:rsidRDefault="001100A0" w:rsidP="00426125">
      <w:pPr>
        <w:ind w:right="-167"/>
        <w:jc w:val="right"/>
        <w:rPr>
          <w:sz w:val="20"/>
        </w:rPr>
      </w:pPr>
      <w:r>
        <w:rPr>
          <w:sz w:val="16"/>
        </w:rPr>
        <w:t>AUSTRALIA</w:t>
      </w:r>
    </w:p>
    <w:p w:rsidR="001100A0" w:rsidRPr="00426125" w:rsidRDefault="001100A0" w:rsidP="00426125">
      <w:pPr>
        <w:tabs>
          <w:tab w:val="right" w:pos="9620"/>
        </w:tabs>
        <w:ind w:right="-167"/>
        <w:jc w:val="right"/>
        <w:rPr>
          <w:sz w:val="8"/>
          <w:szCs w:val="8"/>
        </w:rPr>
      </w:pPr>
    </w:p>
    <w:p w:rsidR="001100A0" w:rsidRDefault="003A3597" w:rsidP="00426125">
      <w:pPr>
        <w:tabs>
          <w:tab w:val="right" w:pos="9620"/>
        </w:tabs>
        <w:ind w:right="-167"/>
        <w:jc w:val="right"/>
        <w:rPr>
          <w:sz w:val="16"/>
        </w:rPr>
      </w:pPr>
      <w:proofErr w:type="spellStart"/>
      <w:r>
        <w:rPr>
          <w:sz w:val="16"/>
        </w:rPr>
        <w:t>Ph</w:t>
      </w:r>
      <w:proofErr w:type="spellEnd"/>
      <w:r>
        <w:rPr>
          <w:sz w:val="16"/>
        </w:rPr>
        <w:t>: 03 9877 0369</w:t>
      </w:r>
    </w:p>
    <w:p w:rsidR="001100A0" w:rsidRDefault="001100A0" w:rsidP="00426125">
      <w:pPr>
        <w:tabs>
          <w:tab w:val="right" w:pos="9620"/>
        </w:tabs>
        <w:ind w:right="-167"/>
        <w:jc w:val="right"/>
        <w:rPr>
          <w:sz w:val="16"/>
        </w:rPr>
      </w:pPr>
      <w:r>
        <w:rPr>
          <w:sz w:val="16"/>
        </w:rPr>
        <w:t>tioz@transparency.org.au</w:t>
      </w:r>
    </w:p>
    <w:p w:rsidR="001100A0" w:rsidRDefault="008E142C" w:rsidP="00426125">
      <w:pPr>
        <w:tabs>
          <w:tab w:val="right" w:pos="9620"/>
        </w:tabs>
        <w:ind w:right="-167"/>
        <w:jc w:val="right"/>
        <w:rPr>
          <w:sz w:val="16"/>
        </w:rPr>
      </w:pPr>
      <w:hyperlink r:id="rId15" w:history="1">
        <w:r w:rsidR="001100A0">
          <w:rPr>
            <w:rStyle w:val="Hyperlink"/>
            <w:sz w:val="16"/>
          </w:rPr>
          <w:t>www.transparency.org.au</w:t>
        </w:r>
      </w:hyperlink>
    </w:p>
    <w:p w:rsidR="006F4D2A" w:rsidRDefault="006F4D2A">
      <w:pPr>
        <w:tabs>
          <w:tab w:val="right" w:pos="9620"/>
        </w:tabs>
        <w:rPr>
          <w:sz w:val="16"/>
        </w:rPr>
      </w:pPr>
    </w:p>
    <w:p w:rsidR="0089492D" w:rsidRDefault="0089492D">
      <w:pPr>
        <w:tabs>
          <w:tab w:val="right" w:pos="9620"/>
        </w:tabs>
        <w:rPr>
          <w:sz w:val="16"/>
        </w:rPr>
      </w:pPr>
    </w:p>
    <w:p w:rsidR="00606C45" w:rsidRDefault="00606C45">
      <w:pPr>
        <w:tabs>
          <w:tab w:val="right" w:pos="9620"/>
        </w:tabs>
        <w:rPr>
          <w:sz w:val="16"/>
        </w:rPr>
      </w:pPr>
    </w:p>
    <w:p w:rsidR="001A232D" w:rsidRPr="00D868BF" w:rsidRDefault="00D868BF">
      <w:pPr>
        <w:tabs>
          <w:tab w:val="right" w:pos="9620"/>
        </w:tabs>
        <w:rPr>
          <w:rFonts w:ascii="Calibri" w:hAnsi="Calibri"/>
          <w:szCs w:val="24"/>
        </w:rPr>
      </w:pPr>
      <w:r w:rsidRPr="00D868BF">
        <w:rPr>
          <w:rFonts w:ascii="Calibri" w:hAnsi="Calibri"/>
          <w:szCs w:val="24"/>
        </w:rPr>
        <w:t xml:space="preserve">10 February </w:t>
      </w:r>
      <w:r w:rsidR="001A232D" w:rsidRPr="00D868BF">
        <w:rPr>
          <w:rFonts w:ascii="Calibri" w:hAnsi="Calibri"/>
          <w:szCs w:val="24"/>
        </w:rPr>
        <w:t>201</w:t>
      </w:r>
      <w:r w:rsidR="00CD3C99" w:rsidRPr="00D868BF">
        <w:rPr>
          <w:rFonts w:ascii="Calibri" w:hAnsi="Calibri"/>
          <w:szCs w:val="24"/>
        </w:rPr>
        <w:t>7</w:t>
      </w:r>
    </w:p>
    <w:p w:rsidR="001A232D" w:rsidRPr="00BC7957" w:rsidRDefault="001A232D">
      <w:pPr>
        <w:tabs>
          <w:tab w:val="right" w:pos="9620"/>
        </w:tabs>
        <w:rPr>
          <w:rFonts w:ascii="Calibri" w:hAnsi="Calibri" w:cs="Calibri"/>
          <w:szCs w:val="24"/>
        </w:rPr>
      </w:pPr>
    </w:p>
    <w:p w:rsidR="00CD3C99" w:rsidRPr="00BC7957" w:rsidRDefault="00CD3C99">
      <w:pPr>
        <w:tabs>
          <w:tab w:val="right" w:pos="9620"/>
        </w:tabs>
        <w:rPr>
          <w:rFonts w:ascii="Calibri" w:hAnsi="Calibri" w:cs="Calibri"/>
          <w:szCs w:val="24"/>
        </w:rPr>
      </w:pPr>
    </w:p>
    <w:p w:rsidR="00EA796F" w:rsidRPr="00BC7957" w:rsidRDefault="00EA796F" w:rsidP="001A232D">
      <w:pPr>
        <w:rPr>
          <w:rFonts w:ascii="Calibri" w:hAnsi="Calibri" w:cs="Calibri"/>
        </w:rPr>
      </w:pPr>
      <w:r w:rsidRPr="00BC7957">
        <w:rPr>
          <w:rFonts w:ascii="Calibri" w:hAnsi="Calibri" w:cs="Calibri"/>
        </w:rPr>
        <w:t xml:space="preserve">Tax and Corporate </w:t>
      </w:r>
      <w:proofErr w:type="spellStart"/>
      <w:r w:rsidRPr="00BC7957">
        <w:rPr>
          <w:rFonts w:ascii="Calibri" w:hAnsi="Calibri" w:cs="Calibri"/>
        </w:rPr>
        <w:t>Whistleblower</w:t>
      </w:r>
      <w:proofErr w:type="spellEnd"/>
      <w:r w:rsidRPr="00BC7957">
        <w:rPr>
          <w:rFonts w:ascii="Calibri" w:hAnsi="Calibri" w:cs="Calibri"/>
        </w:rPr>
        <w:t xml:space="preserve"> Protection Project </w:t>
      </w:r>
    </w:p>
    <w:p w:rsidR="00EA796F" w:rsidRPr="00BC7957" w:rsidRDefault="00EA796F" w:rsidP="001A232D">
      <w:pPr>
        <w:rPr>
          <w:rFonts w:ascii="Calibri" w:hAnsi="Calibri" w:cs="Calibri"/>
        </w:rPr>
      </w:pPr>
      <w:r w:rsidRPr="00BC7957">
        <w:rPr>
          <w:rFonts w:ascii="Calibri" w:hAnsi="Calibri" w:cs="Calibri"/>
        </w:rPr>
        <w:t xml:space="preserve">C/- Ms Jodi </w:t>
      </w:r>
      <w:proofErr w:type="spellStart"/>
      <w:r w:rsidRPr="00BC7957">
        <w:rPr>
          <w:rFonts w:ascii="Calibri" w:hAnsi="Calibri" w:cs="Calibri"/>
        </w:rPr>
        <w:t>Keall</w:t>
      </w:r>
      <w:proofErr w:type="spellEnd"/>
      <w:r w:rsidRPr="00BC7957">
        <w:rPr>
          <w:rFonts w:ascii="Calibri" w:hAnsi="Calibri" w:cs="Calibri"/>
        </w:rPr>
        <w:t xml:space="preserve"> Senior Adviser Financial System Division </w:t>
      </w:r>
    </w:p>
    <w:p w:rsidR="00EA796F" w:rsidRPr="00BC7957" w:rsidRDefault="00EA796F" w:rsidP="001A232D">
      <w:pPr>
        <w:rPr>
          <w:rFonts w:ascii="Calibri" w:hAnsi="Calibri" w:cs="Calibri"/>
        </w:rPr>
      </w:pPr>
      <w:r w:rsidRPr="00BC7957">
        <w:rPr>
          <w:rFonts w:ascii="Calibri" w:hAnsi="Calibri" w:cs="Calibri"/>
        </w:rPr>
        <w:t xml:space="preserve">100 Market Street </w:t>
      </w:r>
    </w:p>
    <w:p w:rsidR="001A232D" w:rsidRPr="00BC7957" w:rsidRDefault="00EA796F" w:rsidP="001A232D">
      <w:pPr>
        <w:rPr>
          <w:rFonts w:ascii="Calibri" w:hAnsi="Calibri" w:cs="Calibri"/>
          <w:szCs w:val="24"/>
        </w:rPr>
      </w:pPr>
      <w:r w:rsidRPr="00BC7957">
        <w:rPr>
          <w:rFonts w:ascii="Calibri" w:hAnsi="Calibri" w:cs="Calibri"/>
        </w:rPr>
        <w:t>Sydney NSW 2000</w:t>
      </w:r>
    </w:p>
    <w:p w:rsidR="00D868BF" w:rsidRPr="00D868BF" w:rsidRDefault="00D868BF" w:rsidP="001A232D">
      <w:pPr>
        <w:rPr>
          <w:rFonts w:ascii="Calibri" w:hAnsi="Calibri"/>
          <w:szCs w:val="24"/>
        </w:rPr>
      </w:pPr>
    </w:p>
    <w:p w:rsidR="001A232D" w:rsidRPr="00D868BF" w:rsidRDefault="00D868BF" w:rsidP="001A232D">
      <w:pPr>
        <w:rPr>
          <w:rFonts w:ascii="Calibri" w:hAnsi="Calibri"/>
          <w:szCs w:val="24"/>
        </w:rPr>
      </w:pPr>
      <w:r>
        <w:rPr>
          <w:rFonts w:ascii="Calibri" w:hAnsi="Calibri"/>
          <w:szCs w:val="24"/>
        </w:rPr>
        <w:t xml:space="preserve">Dear </w:t>
      </w:r>
      <w:r w:rsidR="00EA796F">
        <w:rPr>
          <w:rFonts w:ascii="Calibri" w:hAnsi="Calibri"/>
          <w:szCs w:val="24"/>
        </w:rPr>
        <w:t xml:space="preserve">Ms </w:t>
      </w:r>
      <w:proofErr w:type="spellStart"/>
      <w:r w:rsidR="00EA796F">
        <w:rPr>
          <w:rFonts w:ascii="Calibri" w:hAnsi="Calibri"/>
          <w:szCs w:val="24"/>
        </w:rPr>
        <w:t>Keal</w:t>
      </w:r>
      <w:proofErr w:type="spellEnd"/>
    </w:p>
    <w:p w:rsidR="00ED08B1" w:rsidRPr="00512D5B" w:rsidRDefault="00ED08B1" w:rsidP="001A232D">
      <w:pPr>
        <w:rPr>
          <w:rFonts w:ascii="Calibri" w:hAnsi="Calibri"/>
          <w:sz w:val="16"/>
          <w:szCs w:val="16"/>
        </w:rPr>
      </w:pPr>
    </w:p>
    <w:p w:rsidR="00EA796F" w:rsidRPr="00BC7957" w:rsidRDefault="00EA796F" w:rsidP="00EA796F">
      <w:pPr>
        <w:spacing w:after="160"/>
        <w:jc w:val="center"/>
        <w:rPr>
          <w:rFonts w:ascii="Calibri" w:hAnsi="Calibri" w:cs="Calibri"/>
          <w:b/>
        </w:rPr>
      </w:pPr>
      <w:r w:rsidRPr="00BC7957">
        <w:rPr>
          <w:rFonts w:ascii="Calibri" w:hAnsi="Calibri" w:cs="Calibri"/>
          <w:b/>
        </w:rPr>
        <w:t xml:space="preserve">Review of tax and corporate </w:t>
      </w:r>
      <w:proofErr w:type="spellStart"/>
      <w:r w:rsidRPr="00BC7957">
        <w:rPr>
          <w:rFonts w:ascii="Calibri" w:hAnsi="Calibri" w:cs="Calibri"/>
          <w:b/>
        </w:rPr>
        <w:t>whistleblower</w:t>
      </w:r>
      <w:proofErr w:type="spellEnd"/>
      <w:r w:rsidRPr="00BC7957">
        <w:rPr>
          <w:rFonts w:ascii="Calibri" w:hAnsi="Calibri" w:cs="Calibri"/>
          <w:b/>
        </w:rPr>
        <w:t xml:space="preserve"> protections in Australia</w:t>
      </w:r>
    </w:p>
    <w:p w:rsidR="00606C45" w:rsidRDefault="00D868BF" w:rsidP="00D868BF">
      <w:pPr>
        <w:spacing w:after="160"/>
        <w:rPr>
          <w:rFonts w:ascii="Calibri" w:hAnsi="Calibri"/>
          <w:szCs w:val="24"/>
        </w:rPr>
      </w:pPr>
      <w:r>
        <w:rPr>
          <w:rFonts w:ascii="Calibri" w:hAnsi="Calibri"/>
          <w:szCs w:val="24"/>
        </w:rPr>
        <w:t xml:space="preserve">Transparency International Australia welcomes the opportunity to make a submission to </w:t>
      </w:r>
      <w:r w:rsidR="00EA796F">
        <w:rPr>
          <w:rFonts w:ascii="Calibri" w:hAnsi="Calibri"/>
          <w:szCs w:val="24"/>
        </w:rPr>
        <w:t>the Consultation</w:t>
      </w:r>
      <w:r w:rsidR="00606C45">
        <w:rPr>
          <w:rFonts w:ascii="Calibri" w:hAnsi="Calibri"/>
          <w:szCs w:val="24"/>
        </w:rPr>
        <w:t>.</w:t>
      </w:r>
      <w:r>
        <w:rPr>
          <w:rFonts w:ascii="Calibri" w:hAnsi="Calibri"/>
          <w:szCs w:val="24"/>
        </w:rPr>
        <w:t xml:space="preserve">  We </w:t>
      </w:r>
      <w:r w:rsidR="00353B97">
        <w:rPr>
          <w:rFonts w:ascii="Calibri" w:hAnsi="Calibri"/>
          <w:szCs w:val="24"/>
        </w:rPr>
        <w:t xml:space="preserve">strongly support the need for comprehensive reform in this area, and </w:t>
      </w:r>
      <w:r w:rsidR="00EA796F">
        <w:rPr>
          <w:rFonts w:ascii="Calibri" w:hAnsi="Calibri"/>
          <w:szCs w:val="24"/>
        </w:rPr>
        <w:t>welcome this</w:t>
      </w:r>
      <w:r w:rsidR="00353B97">
        <w:rPr>
          <w:rFonts w:ascii="Calibri" w:hAnsi="Calibri"/>
          <w:szCs w:val="24"/>
        </w:rPr>
        <w:t xml:space="preserve"> </w:t>
      </w:r>
      <w:r w:rsidR="00EA796F">
        <w:rPr>
          <w:rFonts w:ascii="Calibri" w:hAnsi="Calibri"/>
          <w:szCs w:val="24"/>
        </w:rPr>
        <w:t xml:space="preserve">Review </w:t>
      </w:r>
      <w:r w:rsidR="00353B97">
        <w:rPr>
          <w:rFonts w:ascii="Calibri" w:hAnsi="Calibri"/>
          <w:szCs w:val="24"/>
        </w:rPr>
        <w:t xml:space="preserve">and the </w:t>
      </w:r>
      <w:r>
        <w:rPr>
          <w:rFonts w:ascii="Calibri" w:hAnsi="Calibri"/>
          <w:szCs w:val="24"/>
        </w:rPr>
        <w:t>Government’s commitm</w:t>
      </w:r>
      <w:r w:rsidR="00EA796F">
        <w:rPr>
          <w:rFonts w:ascii="Calibri" w:hAnsi="Calibri"/>
          <w:szCs w:val="24"/>
        </w:rPr>
        <w:t xml:space="preserve">ent to act on the results of this Consultation informed by the recommendations of the parallel Inquiry by the Parliamentary Joint Committee on Corporations and Financial Services </w:t>
      </w:r>
      <w:r w:rsidR="00353B97">
        <w:rPr>
          <w:rFonts w:ascii="Calibri" w:hAnsi="Calibri"/>
          <w:szCs w:val="24"/>
        </w:rPr>
        <w:t xml:space="preserve">through </w:t>
      </w:r>
      <w:r>
        <w:rPr>
          <w:rFonts w:ascii="Calibri" w:hAnsi="Calibri"/>
          <w:szCs w:val="24"/>
        </w:rPr>
        <w:t xml:space="preserve">legislative reform </w:t>
      </w:r>
      <w:r w:rsidR="00353B97">
        <w:rPr>
          <w:rFonts w:ascii="Calibri" w:hAnsi="Calibri"/>
          <w:szCs w:val="24"/>
        </w:rPr>
        <w:t xml:space="preserve">by June </w:t>
      </w:r>
      <w:r>
        <w:rPr>
          <w:rFonts w:ascii="Calibri" w:hAnsi="Calibri"/>
          <w:szCs w:val="24"/>
        </w:rPr>
        <w:t>2018.</w:t>
      </w:r>
    </w:p>
    <w:p w:rsidR="00D868BF" w:rsidRDefault="00D868BF" w:rsidP="00D868BF">
      <w:pPr>
        <w:spacing w:after="160"/>
        <w:rPr>
          <w:rFonts w:ascii="Calibri" w:hAnsi="Calibri"/>
          <w:szCs w:val="24"/>
        </w:rPr>
      </w:pPr>
      <w:r>
        <w:rPr>
          <w:rFonts w:ascii="Calibri" w:hAnsi="Calibri"/>
          <w:szCs w:val="24"/>
        </w:rPr>
        <w:t xml:space="preserve">We note the very wide scope of the </w:t>
      </w:r>
      <w:r w:rsidR="00505AC2">
        <w:rPr>
          <w:rFonts w:ascii="Calibri" w:hAnsi="Calibri"/>
          <w:szCs w:val="24"/>
        </w:rPr>
        <w:t>Consultation paper and the In</w:t>
      </w:r>
      <w:r>
        <w:rPr>
          <w:rFonts w:ascii="Calibri" w:hAnsi="Calibri"/>
          <w:szCs w:val="24"/>
        </w:rPr>
        <w:t>quiry</w:t>
      </w:r>
      <w:r w:rsidR="00505AC2">
        <w:rPr>
          <w:rFonts w:ascii="Calibri" w:hAnsi="Calibri"/>
          <w:szCs w:val="24"/>
        </w:rPr>
        <w:t>’s</w:t>
      </w:r>
      <w:r>
        <w:rPr>
          <w:rFonts w:ascii="Calibri" w:hAnsi="Calibri"/>
          <w:szCs w:val="24"/>
        </w:rPr>
        <w:t xml:space="preserve"> terms of reference.  For this reason, Transparency International Australia has updated its public position on what it considers to be the key issues of principle which need to drive the recommended reforms.  Please find that position attached,</w:t>
      </w:r>
      <w:r w:rsidR="00505AC2">
        <w:rPr>
          <w:rFonts w:ascii="Calibri" w:hAnsi="Calibri"/>
          <w:szCs w:val="24"/>
        </w:rPr>
        <w:t xml:space="preserve"> which we trust will assist your consideration of the outcomes of the Consultation and the recommendations of the </w:t>
      </w:r>
      <w:r>
        <w:rPr>
          <w:rFonts w:ascii="Calibri" w:hAnsi="Calibri"/>
          <w:szCs w:val="24"/>
        </w:rPr>
        <w:t>Committee in respect of many of its key terms of reference.</w:t>
      </w:r>
    </w:p>
    <w:p w:rsidR="00505AC2" w:rsidRDefault="00505AC2" w:rsidP="00D868BF">
      <w:pPr>
        <w:spacing w:after="160"/>
        <w:rPr>
          <w:rFonts w:ascii="Calibri" w:hAnsi="Calibri"/>
          <w:szCs w:val="24"/>
        </w:rPr>
      </w:pPr>
      <w:r>
        <w:rPr>
          <w:rFonts w:ascii="Calibri" w:hAnsi="Calibri"/>
          <w:szCs w:val="24"/>
        </w:rPr>
        <w:t>We would be happy to expand on any of the proposals if so desired, as we offered to do for the Committee.  We apologise timing and resource constraints prevented attendance at public consultations.</w:t>
      </w:r>
    </w:p>
    <w:p w:rsidR="00D868BF" w:rsidRDefault="00D868BF" w:rsidP="00D868BF">
      <w:pPr>
        <w:spacing w:after="160"/>
        <w:rPr>
          <w:rFonts w:ascii="Calibri" w:hAnsi="Calibri"/>
          <w:szCs w:val="24"/>
        </w:rPr>
      </w:pPr>
      <w:r>
        <w:rPr>
          <w:rFonts w:ascii="Calibri" w:hAnsi="Calibri"/>
          <w:szCs w:val="24"/>
        </w:rPr>
        <w:t>We also make the following observations:</w:t>
      </w:r>
    </w:p>
    <w:p w:rsidR="00D868BF" w:rsidRDefault="00D868BF" w:rsidP="00D868BF">
      <w:pPr>
        <w:numPr>
          <w:ilvl w:val="0"/>
          <w:numId w:val="8"/>
        </w:numPr>
        <w:spacing w:after="160"/>
        <w:rPr>
          <w:rFonts w:ascii="Calibri" w:hAnsi="Calibri"/>
          <w:szCs w:val="24"/>
        </w:rPr>
      </w:pPr>
      <w:r>
        <w:rPr>
          <w:rFonts w:ascii="Calibri" w:hAnsi="Calibri"/>
          <w:szCs w:val="24"/>
        </w:rPr>
        <w:t xml:space="preserve">While much of the focus of the </w:t>
      </w:r>
      <w:r w:rsidR="00505AC2">
        <w:rPr>
          <w:rFonts w:ascii="Calibri" w:hAnsi="Calibri"/>
          <w:szCs w:val="24"/>
        </w:rPr>
        <w:t>parallel processes is on</w:t>
      </w:r>
      <w:r>
        <w:rPr>
          <w:rFonts w:ascii="Calibri" w:hAnsi="Calibri"/>
          <w:szCs w:val="24"/>
        </w:rPr>
        <w:t xml:space="preserve"> private and not-for-profit sector employees and workers, we note that the Committee has also been tasked to inquire into the improvement of protections in the public sector.</w:t>
      </w:r>
    </w:p>
    <w:p w:rsidR="00D868BF" w:rsidRDefault="00D868BF" w:rsidP="00D868BF">
      <w:pPr>
        <w:spacing w:after="160"/>
        <w:ind w:left="360"/>
        <w:rPr>
          <w:rFonts w:ascii="Calibri" w:hAnsi="Calibri"/>
          <w:szCs w:val="24"/>
        </w:rPr>
      </w:pPr>
      <w:r>
        <w:rPr>
          <w:rFonts w:ascii="Calibri" w:hAnsi="Calibri"/>
          <w:szCs w:val="24"/>
        </w:rPr>
        <w:t xml:space="preserve">In this respect, we note the recommendations of the 2016 Moss Review of the </w:t>
      </w:r>
      <w:r>
        <w:rPr>
          <w:rFonts w:ascii="Calibri" w:hAnsi="Calibri"/>
          <w:i/>
          <w:szCs w:val="24"/>
        </w:rPr>
        <w:t>Public Interest Disclosure Act 2013 (</w:t>
      </w:r>
      <w:proofErr w:type="spellStart"/>
      <w:r>
        <w:rPr>
          <w:rFonts w:ascii="Calibri" w:hAnsi="Calibri"/>
          <w:i/>
          <w:szCs w:val="24"/>
        </w:rPr>
        <w:t>Cth</w:t>
      </w:r>
      <w:proofErr w:type="spellEnd"/>
      <w:r>
        <w:rPr>
          <w:rFonts w:ascii="Calibri" w:hAnsi="Calibri"/>
          <w:i/>
          <w:szCs w:val="24"/>
        </w:rPr>
        <w:t xml:space="preserve">), </w:t>
      </w:r>
      <w:r>
        <w:rPr>
          <w:rFonts w:ascii="Calibri" w:hAnsi="Calibri"/>
          <w:szCs w:val="24"/>
        </w:rPr>
        <w:t xml:space="preserve">and endorse those recommendations, with the caveat that in our view they do not go far enough in grappling all reform priorities – as reflected in the attached position paper.  </w:t>
      </w:r>
    </w:p>
    <w:p w:rsidR="00D868BF" w:rsidRPr="00D868BF" w:rsidRDefault="00D868BF" w:rsidP="00D868BF">
      <w:pPr>
        <w:numPr>
          <w:ilvl w:val="0"/>
          <w:numId w:val="8"/>
        </w:numPr>
        <w:spacing w:after="160"/>
        <w:rPr>
          <w:rFonts w:ascii="Calibri" w:hAnsi="Calibri"/>
          <w:szCs w:val="24"/>
        </w:rPr>
      </w:pPr>
      <w:r>
        <w:rPr>
          <w:rFonts w:ascii="Calibri" w:hAnsi="Calibri"/>
          <w:szCs w:val="24"/>
        </w:rPr>
        <w:t xml:space="preserve">The Australian Government has committed (for example, in its Open Government Partnership national action plan of December 2016) to an objective of ‘harmonising’ private sector </w:t>
      </w:r>
      <w:proofErr w:type="spellStart"/>
      <w:r>
        <w:rPr>
          <w:rFonts w:ascii="Calibri" w:hAnsi="Calibri"/>
          <w:szCs w:val="24"/>
        </w:rPr>
        <w:lastRenderedPageBreak/>
        <w:t>whistleblower</w:t>
      </w:r>
      <w:proofErr w:type="spellEnd"/>
      <w:r>
        <w:rPr>
          <w:rFonts w:ascii="Calibri" w:hAnsi="Calibri"/>
          <w:szCs w:val="24"/>
        </w:rPr>
        <w:t xml:space="preserve"> protections with those contained in the </w:t>
      </w:r>
      <w:r>
        <w:rPr>
          <w:rFonts w:ascii="Calibri" w:hAnsi="Calibri"/>
          <w:i/>
          <w:szCs w:val="24"/>
        </w:rPr>
        <w:t>Public Interest Disclosure Act 2013 (</w:t>
      </w:r>
      <w:proofErr w:type="spellStart"/>
      <w:r>
        <w:rPr>
          <w:rFonts w:ascii="Calibri" w:hAnsi="Calibri"/>
          <w:i/>
          <w:szCs w:val="24"/>
        </w:rPr>
        <w:t>Cth</w:t>
      </w:r>
      <w:proofErr w:type="spellEnd"/>
      <w:r>
        <w:rPr>
          <w:rFonts w:ascii="Calibri" w:hAnsi="Calibri"/>
          <w:i/>
          <w:szCs w:val="24"/>
        </w:rPr>
        <w:t xml:space="preserve">).  </w:t>
      </w:r>
      <w:r>
        <w:rPr>
          <w:rFonts w:ascii="Calibri" w:hAnsi="Calibri"/>
          <w:szCs w:val="24"/>
        </w:rPr>
        <w:t>We note that given the extent of the recommendations for improvement of that Act, and the likely need for greater flexibility in the implementation of protections across the private and not-for-pro</w:t>
      </w:r>
      <w:r w:rsidR="0049457F">
        <w:rPr>
          <w:rFonts w:ascii="Calibri" w:hAnsi="Calibri"/>
          <w:szCs w:val="24"/>
        </w:rPr>
        <w:t xml:space="preserve">fit sectors, that this </w:t>
      </w:r>
      <w:r>
        <w:rPr>
          <w:rFonts w:ascii="Calibri" w:hAnsi="Calibri"/>
          <w:szCs w:val="24"/>
        </w:rPr>
        <w:t xml:space="preserve">objective is unlikely to be very useful.  While key aspects of </w:t>
      </w:r>
      <w:proofErr w:type="spellStart"/>
      <w:r>
        <w:rPr>
          <w:rFonts w:ascii="Calibri" w:hAnsi="Calibri"/>
          <w:szCs w:val="24"/>
        </w:rPr>
        <w:t>whistleblower</w:t>
      </w:r>
      <w:proofErr w:type="spellEnd"/>
      <w:r>
        <w:rPr>
          <w:rFonts w:ascii="Calibri" w:hAnsi="Calibri"/>
          <w:szCs w:val="24"/>
        </w:rPr>
        <w:t xml:space="preserve"> protection </w:t>
      </w:r>
      <w:r w:rsidR="00353B97">
        <w:rPr>
          <w:rFonts w:ascii="Calibri" w:hAnsi="Calibri"/>
          <w:szCs w:val="24"/>
        </w:rPr>
        <w:t xml:space="preserve">can and should be </w:t>
      </w:r>
      <w:r>
        <w:rPr>
          <w:rFonts w:ascii="Calibri" w:hAnsi="Calibri"/>
          <w:szCs w:val="24"/>
        </w:rPr>
        <w:t xml:space="preserve">common, </w:t>
      </w:r>
      <w:r w:rsidR="00353B97">
        <w:rPr>
          <w:rFonts w:ascii="Calibri" w:hAnsi="Calibri"/>
          <w:szCs w:val="24"/>
        </w:rPr>
        <w:t>TI Australia considers that as a general principle, a one-size-fits-all approach designed to work for the public sector – even once brought up to a higher standard – should not necessarily be imposed on other sectors.  Again, we are happy to elaborate.</w:t>
      </w:r>
    </w:p>
    <w:p w:rsidR="00353B97" w:rsidRDefault="00353B97" w:rsidP="00353B97">
      <w:pPr>
        <w:numPr>
          <w:ilvl w:val="0"/>
          <w:numId w:val="8"/>
        </w:numPr>
        <w:spacing w:after="160"/>
        <w:rPr>
          <w:rFonts w:ascii="Calibri" w:hAnsi="Calibri"/>
          <w:szCs w:val="24"/>
        </w:rPr>
      </w:pPr>
      <w:r>
        <w:rPr>
          <w:rFonts w:ascii="Calibri" w:hAnsi="Calibri"/>
          <w:szCs w:val="24"/>
        </w:rPr>
        <w:t xml:space="preserve">TI Australia was a partner organisation to the Australian Research Council Linkage Project </w:t>
      </w:r>
      <w:r>
        <w:rPr>
          <w:rFonts w:ascii="Calibri" w:hAnsi="Calibri"/>
          <w:i/>
          <w:szCs w:val="24"/>
        </w:rPr>
        <w:t xml:space="preserve">Whistling While They Work, </w:t>
      </w:r>
      <w:r>
        <w:rPr>
          <w:rFonts w:ascii="Calibri" w:hAnsi="Calibri"/>
          <w:szCs w:val="24"/>
        </w:rPr>
        <w:t xml:space="preserve">and is a supporter organisation to </w:t>
      </w:r>
      <w:r>
        <w:rPr>
          <w:rFonts w:ascii="Calibri" w:hAnsi="Calibri"/>
          <w:i/>
          <w:szCs w:val="24"/>
        </w:rPr>
        <w:t xml:space="preserve">Whistling While They Work 2, </w:t>
      </w:r>
      <w:r>
        <w:rPr>
          <w:rFonts w:ascii="Calibri" w:hAnsi="Calibri"/>
          <w:szCs w:val="24"/>
        </w:rPr>
        <w:t>both led by Griffith University (whose Professor A J Brown is one of our directors).  We note that this research is ongoing and hope that the Committee and Government will be able to adapt their timetables on these issues to take full account of its findings, so that the solutions adopted are evidence-based to the maximum extent possible.</w:t>
      </w:r>
    </w:p>
    <w:p w:rsidR="00D868BF" w:rsidRDefault="00D868BF" w:rsidP="00D868BF">
      <w:pPr>
        <w:spacing w:after="160"/>
        <w:rPr>
          <w:rFonts w:ascii="Calibri" w:hAnsi="Calibri"/>
          <w:szCs w:val="24"/>
        </w:rPr>
      </w:pPr>
      <w:r>
        <w:rPr>
          <w:rFonts w:ascii="Calibri" w:hAnsi="Calibri"/>
          <w:szCs w:val="24"/>
        </w:rPr>
        <w:t>We would be very happy to elaborate or to address specific issues of concern to the Committee, in more detail, in a supplementary submission</w:t>
      </w:r>
      <w:r w:rsidR="00505AC2">
        <w:rPr>
          <w:rFonts w:ascii="Calibri" w:hAnsi="Calibri"/>
          <w:szCs w:val="24"/>
        </w:rPr>
        <w:t xml:space="preserve"> or conversation if that would be useful</w:t>
      </w:r>
      <w:r>
        <w:rPr>
          <w:rFonts w:ascii="Calibri" w:hAnsi="Calibri"/>
          <w:szCs w:val="24"/>
        </w:rPr>
        <w:t>.</w:t>
      </w:r>
    </w:p>
    <w:p w:rsidR="00512D5B" w:rsidRPr="00426125" w:rsidRDefault="00512D5B" w:rsidP="00512D5B">
      <w:pPr>
        <w:rPr>
          <w:rFonts w:ascii="Calibri" w:hAnsi="Calibri"/>
          <w:szCs w:val="24"/>
        </w:rPr>
      </w:pPr>
      <w:r w:rsidRPr="00426125">
        <w:rPr>
          <w:rFonts w:ascii="Calibri" w:hAnsi="Calibri"/>
          <w:szCs w:val="24"/>
        </w:rPr>
        <w:t>Yours sincerely</w:t>
      </w:r>
    </w:p>
    <w:p w:rsidR="0046720B" w:rsidRDefault="00D029D9" w:rsidP="00512D5B">
      <w:pPr>
        <w:rPr>
          <w:rFonts w:ascii="Calibri" w:hAnsi="Calibri"/>
          <w:sz w:val="22"/>
          <w:szCs w:val="22"/>
        </w:rPr>
      </w:pPr>
      <w:r>
        <w:rPr>
          <w:noProof/>
          <w:lang w:eastAsia="en-AU"/>
        </w:rPr>
        <w:drawing>
          <wp:anchor distT="0" distB="0" distL="114300" distR="114300" simplePos="0" relativeHeight="251658240" behindDoc="0" locked="0" layoutInCell="1" allowOverlap="1">
            <wp:simplePos x="0" y="0"/>
            <wp:positionH relativeFrom="column">
              <wp:posOffset>-83820</wp:posOffset>
            </wp:positionH>
            <wp:positionV relativeFrom="paragraph">
              <wp:posOffset>146685</wp:posOffset>
            </wp:positionV>
            <wp:extent cx="1394460" cy="1089025"/>
            <wp:effectExtent l="0" t="0" r="0" b="0"/>
            <wp:wrapNone/>
            <wp:docPr id="15" name="Picture 15" descr="signature Anthony Whe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ignature Anthony Wheal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4460" cy="1089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720B" w:rsidRDefault="0046720B" w:rsidP="00512D5B">
      <w:pPr>
        <w:rPr>
          <w:rFonts w:ascii="Calibri" w:hAnsi="Calibri"/>
          <w:sz w:val="22"/>
          <w:szCs w:val="22"/>
        </w:rPr>
      </w:pPr>
    </w:p>
    <w:p w:rsidR="0046720B" w:rsidRDefault="0046720B" w:rsidP="00512D5B">
      <w:pPr>
        <w:rPr>
          <w:rFonts w:ascii="Calibri" w:hAnsi="Calibri"/>
          <w:sz w:val="22"/>
          <w:szCs w:val="22"/>
        </w:rPr>
      </w:pPr>
    </w:p>
    <w:p w:rsidR="0046720B" w:rsidRDefault="0046720B" w:rsidP="00512D5B">
      <w:pPr>
        <w:rPr>
          <w:rFonts w:ascii="Calibri" w:hAnsi="Calibri"/>
          <w:sz w:val="22"/>
          <w:szCs w:val="22"/>
        </w:rPr>
      </w:pPr>
    </w:p>
    <w:p w:rsidR="00606C45" w:rsidRDefault="00606C45" w:rsidP="00512D5B">
      <w:pPr>
        <w:rPr>
          <w:rFonts w:ascii="Calibri" w:hAnsi="Calibri"/>
          <w:sz w:val="22"/>
          <w:szCs w:val="22"/>
        </w:rPr>
      </w:pPr>
    </w:p>
    <w:p w:rsidR="00606C45" w:rsidRDefault="00606C45" w:rsidP="00512D5B">
      <w:pPr>
        <w:rPr>
          <w:rFonts w:ascii="Calibri" w:hAnsi="Calibri"/>
          <w:sz w:val="22"/>
          <w:szCs w:val="22"/>
        </w:rPr>
      </w:pPr>
    </w:p>
    <w:p w:rsidR="00606C45" w:rsidRPr="00227160" w:rsidRDefault="00606C45" w:rsidP="00512D5B">
      <w:pPr>
        <w:rPr>
          <w:rFonts w:ascii="Calibri" w:hAnsi="Calibri"/>
          <w:sz w:val="22"/>
          <w:szCs w:val="22"/>
        </w:rPr>
      </w:pPr>
    </w:p>
    <w:p w:rsidR="00D868BF" w:rsidRDefault="00512D5B" w:rsidP="009F36F7">
      <w:pPr>
        <w:tabs>
          <w:tab w:val="left" w:pos="4678"/>
        </w:tabs>
        <w:rPr>
          <w:rFonts w:ascii="Calibri" w:hAnsi="Calibri"/>
          <w:b/>
          <w:szCs w:val="24"/>
        </w:rPr>
      </w:pPr>
      <w:r w:rsidRPr="00A90422">
        <w:rPr>
          <w:rFonts w:ascii="Calibri" w:hAnsi="Calibri"/>
          <w:b/>
          <w:szCs w:val="24"/>
        </w:rPr>
        <w:t xml:space="preserve">The Hon </w:t>
      </w:r>
      <w:r w:rsidR="00606C45">
        <w:rPr>
          <w:rFonts w:ascii="Calibri" w:hAnsi="Calibri"/>
          <w:b/>
          <w:szCs w:val="24"/>
        </w:rPr>
        <w:t xml:space="preserve">Anthony </w:t>
      </w:r>
      <w:proofErr w:type="spellStart"/>
      <w:r w:rsidR="00606C45">
        <w:rPr>
          <w:rFonts w:ascii="Calibri" w:hAnsi="Calibri"/>
          <w:b/>
          <w:szCs w:val="24"/>
        </w:rPr>
        <w:t>Whealy</w:t>
      </w:r>
      <w:proofErr w:type="spellEnd"/>
      <w:r w:rsidRPr="00A90422">
        <w:rPr>
          <w:rFonts w:ascii="Calibri" w:hAnsi="Calibri"/>
          <w:b/>
          <w:szCs w:val="24"/>
        </w:rPr>
        <w:t xml:space="preserve"> QC</w:t>
      </w:r>
    </w:p>
    <w:p w:rsidR="00512D5B" w:rsidRPr="00A90422" w:rsidRDefault="00512D5B" w:rsidP="009F36F7">
      <w:pPr>
        <w:tabs>
          <w:tab w:val="left" w:pos="4678"/>
        </w:tabs>
        <w:rPr>
          <w:rFonts w:ascii="Calibri" w:hAnsi="Calibri"/>
          <w:i/>
          <w:sz w:val="20"/>
        </w:rPr>
      </w:pPr>
      <w:r w:rsidRPr="00A90422">
        <w:rPr>
          <w:rFonts w:ascii="Calibri" w:hAnsi="Calibri"/>
          <w:i/>
          <w:sz w:val="20"/>
        </w:rPr>
        <w:t>Chairman</w:t>
      </w:r>
    </w:p>
    <w:p w:rsidR="004C5486" w:rsidRDefault="00512D5B" w:rsidP="009F36F7">
      <w:pPr>
        <w:tabs>
          <w:tab w:val="left" w:pos="4678"/>
        </w:tabs>
        <w:rPr>
          <w:rFonts w:ascii="Calibri" w:hAnsi="Calibri"/>
          <w:i/>
          <w:sz w:val="20"/>
        </w:rPr>
        <w:sectPr w:rsidR="004C5486" w:rsidSect="00221782">
          <w:headerReference w:type="first" r:id="rId17"/>
          <w:pgSz w:w="11894" w:h="16834" w:code="9"/>
          <w:pgMar w:top="618" w:right="1140" w:bottom="1134" w:left="1140" w:header="567" w:footer="227" w:gutter="0"/>
          <w:cols w:space="1134"/>
          <w:docGrid w:linePitch="326"/>
        </w:sectPr>
      </w:pPr>
      <w:r w:rsidRPr="00A90422">
        <w:rPr>
          <w:rFonts w:ascii="Calibri" w:hAnsi="Calibri"/>
          <w:i/>
          <w:sz w:val="20"/>
        </w:rPr>
        <w:t>Transparency International Australia</w:t>
      </w:r>
    </w:p>
    <w:p w:rsidR="004C5486" w:rsidRPr="004C5486" w:rsidRDefault="004C5486" w:rsidP="004C5486">
      <w:pPr>
        <w:keepNext/>
        <w:keepLines/>
        <w:pBdr>
          <w:bottom w:val="single" w:sz="24" w:space="7" w:color="009FEE"/>
        </w:pBdr>
        <w:tabs>
          <w:tab w:val="right" w:pos="8441"/>
        </w:tabs>
        <w:overflowPunct/>
        <w:autoSpaceDE/>
        <w:autoSpaceDN/>
        <w:adjustRightInd/>
        <w:spacing w:after="600" w:line="216" w:lineRule="auto"/>
        <w:textAlignment w:val="auto"/>
        <w:outlineLvl w:val="0"/>
        <w:rPr>
          <w:rFonts w:ascii="Arial Narrow" w:hAnsi="Arial Narrow"/>
          <w:caps/>
          <w:noProof/>
          <w:color w:val="009FEE"/>
          <w:spacing w:val="6"/>
          <w:sz w:val="60"/>
          <w:szCs w:val="60"/>
          <w:lang w:val="en-GB"/>
        </w:rPr>
      </w:pPr>
      <w:r w:rsidRPr="004C5486">
        <w:rPr>
          <w:rFonts w:ascii="Arial Narrow" w:hAnsi="Arial Narrow"/>
          <w:caps/>
          <w:noProof/>
          <w:color w:val="009FEE"/>
          <w:spacing w:val="6"/>
          <w:sz w:val="60"/>
          <w:szCs w:val="60"/>
          <w:lang w:val="en-GB"/>
        </w:rPr>
        <w:lastRenderedPageBreak/>
        <w:t>WhistleblowING</w:t>
      </w:r>
    </w:p>
    <w:p w:rsidR="004C5486" w:rsidRDefault="004C5486" w:rsidP="004C5486">
      <w:pPr>
        <w:overflowPunct/>
        <w:autoSpaceDE/>
        <w:autoSpaceDN/>
        <w:adjustRightInd/>
        <w:textAlignment w:val="auto"/>
        <w:rPr>
          <w:rFonts w:ascii="Arial Narrow" w:hAnsi="Arial Narrow"/>
          <w:bCs/>
          <w:caps/>
          <w:noProof/>
          <w:color w:val="009FEE"/>
          <w:sz w:val="36"/>
          <w:szCs w:val="26"/>
          <w:lang w:val="en-GB"/>
        </w:rPr>
      </w:pPr>
      <w:r w:rsidRPr="004C5486">
        <w:rPr>
          <w:rFonts w:ascii="Arial Narrow" w:hAnsi="Arial Narrow"/>
          <w:bCs/>
          <w:caps/>
          <w:noProof/>
          <w:color w:val="009FEE"/>
          <w:sz w:val="36"/>
          <w:szCs w:val="26"/>
          <w:lang w:val="en-GB"/>
        </w:rPr>
        <w:t>purpose</w:t>
      </w:r>
    </w:p>
    <w:p w:rsidR="004C5486" w:rsidRPr="004C5486" w:rsidRDefault="004C5486" w:rsidP="004C5486">
      <w:pPr>
        <w:overflowPunct/>
        <w:autoSpaceDE/>
        <w:autoSpaceDN/>
        <w:adjustRightInd/>
        <w:textAlignment w:val="auto"/>
        <w:rPr>
          <w:rFonts w:ascii="Arial Narrow" w:hAnsi="Arial Narrow"/>
          <w:bCs/>
          <w:caps/>
          <w:noProof/>
          <w:color w:val="009FEE"/>
          <w:sz w:val="36"/>
          <w:szCs w:val="26"/>
          <w:lang w:val="en-GB"/>
        </w:rPr>
      </w:pPr>
    </w:p>
    <w:p w:rsidR="004C5486" w:rsidRPr="00B75F54" w:rsidRDefault="004C5486" w:rsidP="00274203">
      <w:pPr>
        <w:spacing w:after="320"/>
        <w:jc w:val="both"/>
        <w:rPr>
          <w:sz w:val="22"/>
          <w:szCs w:val="22"/>
          <w:lang w:val="en-GB"/>
        </w:rPr>
      </w:pPr>
      <w:r>
        <w:rPr>
          <w:sz w:val="22"/>
          <w:szCs w:val="22"/>
          <w:lang w:val="en-GB"/>
        </w:rPr>
        <w:t>To ensure public interest whistleblowing is facilitated, protected and acted on in Australia – as a key plank of corruption detection and resilience for organisations and employees alike, across the public, business and civil society sectors.</w:t>
      </w:r>
    </w:p>
    <w:p w:rsidR="004C5486" w:rsidRDefault="004C5486" w:rsidP="00557087">
      <w:pPr>
        <w:rPr>
          <w:rFonts w:ascii="Arial Narrow" w:hAnsi="Arial Narrow"/>
          <w:bCs/>
          <w:caps/>
          <w:noProof/>
          <w:color w:val="009FEE"/>
          <w:sz w:val="36"/>
          <w:szCs w:val="26"/>
          <w:lang w:val="en-GB"/>
        </w:rPr>
      </w:pPr>
      <w:r>
        <w:rPr>
          <w:rFonts w:ascii="Arial Narrow" w:hAnsi="Arial Narrow"/>
          <w:bCs/>
          <w:caps/>
          <w:noProof/>
          <w:color w:val="009FEE"/>
          <w:sz w:val="36"/>
          <w:szCs w:val="26"/>
          <w:lang w:val="en-GB"/>
        </w:rPr>
        <w:t>the problem</w:t>
      </w:r>
    </w:p>
    <w:p w:rsidR="004C5486" w:rsidRDefault="004C5486" w:rsidP="00557087">
      <w:pPr>
        <w:rPr>
          <w:rFonts w:ascii="Arial Narrow" w:hAnsi="Arial Narrow"/>
          <w:bCs/>
          <w:caps/>
          <w:noProof/>
          <w:color w:val="009FEE"/>
          <w:sz w:val="36"/>
          <w:szCs w:val="26"/>
          <w:lang w:val="en-GB"/>
        </w:rPr>
      </w:pPr>
    </w:p>
    <w:p w:rsidR="004C5486" w:rsidRDefault="004C5486" w:rsidP="00274203">
      <w:pPr>
        <w:jc w:val="both"/>
        <w:rPr>
          <w:sz w:val="22"/>
          <w:szCs w:val="22"/>
          <w:lang w:val="en-GB"/>
        </w:rPr>
      </w:pPr>
      <w:proofErr w:type="spellStart"/>
      <w:r w:rsidRPr="00FF7761">
        <w:rPr>
          <w:sz w:val="22"/>
          <w:szCs w:val="22"/>
          <w:lang w:val="en-GB"/>
        </w:rPr>
        <w:t>Whistleblowers</w:t>
      </w:r>
      <w:proofErr w:type="spellEnd"/>
      <w:r w:rsidRPr="00FF7761">
        <w:rPr>
          <w:sz w:val="22"/>
          <w:szCs w:val="22"/>
          <w:lang w:val="en-GB"/>
        </w:rPr>
        <w:t xml:space="preserve"> </w:t>
      </w:r>
      <w:r>
        <w:rPr>
          <w:sz w:val="22"/>
          <w:szCs w:val="22"/>
          <w:lang w:val="en-GB"/>
        </w:rPr>
        <w:t xml:space="preserve">(organisational insiders who disclose wrongdoing in or by their organisation, to trigger action) </w:t>
      </w:r>
      <w:r w:rsidRPr="00FF7761">
        <w:rPr>
          <w:sz w:val="22"/>
          <w:szCs w:val="22"/>
          <w:lang w:val="en-GB"/>
        </w:rPr>
        <w:t>play a key role in exposing otherwise unknown acts of corruption</w:t>
      </w:r>
      <w:r>
        <w:rPr>
          <w:sz w:val="22"/>
          <w:szCs w:val="22"/>
          <w:lang w:val="en-GB"/>
        </w:rPr>
        <w:t>.  Frequently, it becomes clear that organisations, law enforcers and other regulators could have acted earlier to prevent or deal with corruption or wrongdoing – if only people with relevant knowledge had spoken up, to the right people or in the right way, or had been listened to when they first raised concerns.</w:t>
      </w:r>
    </w:p>
    <w:p w:rsidR="004C5486" w:rsidRDefault="004C5486" w:rsidP="00274203">
      <w:pPr>
        <w:jc w:val="both"/>
        <w:rPr>
          <w:sz w:val="22"/>
          <w:szCs w:val="22"/>
          <w:lang w:val="en-GB"/>
        </w:rPr>
      </w:pPr>
      <w:r>
        <w:rPr>
          <w:sz w:val="22"/>
          <w:szCs w:val="22"/>
          <w:lang w:val="en-GB"/>
        </w:rPr>
        <w:t>While Australia has been at the forefront of recognising the role of whistleblowing in its public integrity systems, there remain major problems:</w:t>
      </w:r>
    </w:p>
    <w:p w:rsidR="004C5486" w:rsidRDefault="004C5486" w:rsidP="004C5486">
      <w:pPr>
        <w:pStyle w:val="ListParagraph"/>
        <w:numPr>
          <w:ilvl w:val="0"/>
          <w:numId w:val="10"/>
        </w:numPr>
        <w:overflowPunct/>
        <w:autoSpaceDE/>
        <w:autoSpaceDN/>
        <w:adjustRightInd/>
        <w:spacing w:after="80"/>
        <w:ind w:left="567" w:hanging="357"/>
        <w:jc w:val="both"/>
        <w:textAlignment w:val="auto"/>
        <w:rPr>
          <w:sz w:val="22"/>
          <w:szCs w:val="22"/>
          <w:lang w:val="en-GB"/>
        </w:rPr>
      </w:pPr>
      <w:r>
        <w:rPr>
          <w:sz w:val="22"/>
          <w:szCs w:val="22"/>
          <w:lang w:val="en-GB"/>
        </w:rPr>
        <w:t>N</w:t>
      </w:r>
      <w:r w:rsidRPr="009828ED">
        <w:rPr>
          <w:sz w:val="22"/>
          <w:szCs w:val="22"/>
          <w:lang w:val="en-GB"/>
        </w:rPr>
        <w:t xml:space="preserve">ationally, legal protections for </w:t>
      </w:r>
      <w:r>
        <w:rPr>
          <w:sz w:val="22"/>
          <w:szCs w:val="22"/>
          <w:lang w:val="en-GB"/>
        </w:rPr>
        <w:t xml:space="preserve">business and civil society </w:t>
      </w:r>
      <w:proofErr w:type="spellStart"/>
      <w:r w:rsidRPr="009828ED">
        <w:rPr>
          <w:sz w:val="22"/>
          <w:szCs w:val="22"/>
          <w:lang w:val="en-GB"/>
        </w:rPr>
        <w:t>whistleblowers</w:t>
      </w:r>
      <w:proofErr w:type="spellEnd"/>
      <w:r w:rsidRPr="009828ED">
        <w:rPr>
          <w:sz w:val="22"/>
          <w:szCs w:val="22"/>
          <w:lang w:val="en-GB"/>
        </w:rPr>
        <w:t xml:space="preserve"> are </w:t>
      </w:r>
      <w:r>
        <w:rPr>
          <w:sz w:val="22"/>
          <w:szCs w:val="22"/>
          <w:lang w:val="en-GB"/>
        </w:rPr>
        <w:t>largely missing, and include out-of-date thresholds and barriers</w:t>
      </w:r>
    </w:p>
    <w:p w:rsidR="004C5486" w:rsidRDefault="004C5486" w:rsidP="004C5486">
      <w:pPr>
        <w:pStyle w:val="ListParagraph"/>
        <w:numPr>
          <w:ilvl w:val="0"/>
          <w:numId w:val="10"/>
        </w:numPr>
        <w:overflowPunct/>
        <w:autoSpaceDE/>
        <w:autoSpaceDN/>
        <w:adjustRightInd/>
        <w:spacing w:after="80"/>
        <w:ind w:left="567" w:hanging="357"/>
        <w:jc w:val="both"/>
        <w:textAlignment w:val="auto"/>
        <w:rPr>
          <w:sz w:val="22"/>
          <w:szCs w:val="22"/>
          <w:lang w:val="en-GB"/>
        </w:rPr>
      </w:pPr>
      <w:r>
        <w:rPr>
          <w:sz w:val="22"/>
          <w:szCs w:val="22"/>
          <w:lang w:val="en-GB"/>
        </w:rPr>
        <w:t xml:space="preserve">At </w:t>
      </w:r>
      <w:r w:rsidRPr="009828ED">
        <w:rPr>
          <w:sz w:val="22"/>
          <w:szCs w:val="22"/>
          <w:lang w:val="en-GB"/>
        </w:rPr>
        <w:t xml:space="preserve">federal and state level, key government </w:t>
      </w:r>
      <w:proofErr w:type="spellStart"/>
      <w:r w:rsidRPr="009828ED">
        <w:rPr>
          <w:sz w:val="22"/>
          <w:szCs w:val="22"/>
          <w:lang w:val="en-GB"/>
        </w:rPr>
        <w:t>whistleblower</w:t>
      </w:r>
      <w:proofErr w:type="spellEnd"/>
      <w:r w:rsidRPr="009828ED">
        <w:rPr>
          <w:sz w:val="22"/>
          <w:szCs w:val="22"/>
          <w:lang w:val="en-GB"/>
        </w:rPr>
        <w:t xml:space="preserve"> protection legislation remains </w:t>
      </w:r>
      <w:r>
        <w:rPr>
          <w:sz w:val="22"/>
          <w:szCs w:val="22"/>
          <w:lang w:val="en-GB"/>
        </w:rPr>
        <w:t>incomplete or out-of-date</w:t>
      </w:r>
    </w:p>
    <w:p w:rsidR="004C5486" w:rsidRDefault="004C5486" w:rsidP="004C5486">
      <w:pPr>
        <w:pStyle w:val="ListParagraph"/>
        <w:numPr>
          <w:ilvl w:val="0"/>
          <w:numId w:val="10"/>
        </w:numPr>
        <w:overflowPunct/>
        <w:autoSpaceDE/>
        <w:autoSpaceDN/>
        <w:adjustRightInd/>
        <w:spacing w:after="80"/>
        <w:ind w:left="567" w:hanging="357"/>
        <w:jc w:val="both"/>
        <w:textAlignment w:val="auto"/>
        <w:rPr>
          <w:sz w:val="22"/>
          <w:szCs w:val="22"/>
          <w:lang w:val="en-GB"/>
        </w:rPr>
      </w:pPr>
      <w:r>
        <w:rPr>
          <w:sz w:val="22"/>
          <w:szCs w:val="22"/>
          <w:lang w:val="en-GB"/>
        </w:rPr>
        <w:t xml:space="preserve">Existing legislation </w:t>
      </w:r>
      <w:r w:rsidRPr="009828ED">
        <w:rPr>
          <w:sz w:val="22"/>
          <w:szCs w:val="22"/>
          <w:lang w:val="en-GB"/>
        </w:rPr>
        <w:t>i</w:t>
      </w:r>
      <w:r>
        <w:rPr>
          <w:sz w:val="22"/>
          <w:szCs w:val="22"/>
          <w:lang w:val="en-GB"/>
        </w:rPr>
        <w:t>s not proving effective i</w:t>
      </w:r>
      <w:r w:rsidRPr="009828ED">
        <w:rPr>
          <w:sz w:val="22"/>
          <w:szCs w:val="22"/>
          <w:lang w:val="en-GB"/>
        </w:rPr>
        <w:t>n delive</w:t>
      </w:r>
      <w:r>
        <w:rPr>
          <w:sz w:val="22"/>
          <w:szCs w:val="22"/>
          <w:lang w:val="en-GB"/>
        </w:rPr>
        <w:t>ring</w:t>
      </w:r>
      <w:r w:rsidRPr="009828ED">
        <w:rPr>
          <w:sz w:val="22"/>
          <w:szCs w:val="22"/>
          <w:lang w:val="en-GB"/>
        </w:rPr>
        <w:t xml:space="preserve"> </w:t>
      </w:r>
      <w:r>
        <w:rPr>
          <w:sz w:val="22"/>
          <w:szCs w:val="22"/>
          <w:lang w:val="en-GB"/>
        </w:rPr>
        <w:t xml:space="preserve">support, protection and </w:t>
      </w:r>
      <w:r w:rsidRPr="009828ED">
        <w:rPr>
          <w:sz w:val="22"/>
          <w:szCs w:val="22"/>
          <w:lang w:val="en-GB"/>
        </w:rPr>
        <w:t xml:space="preserve">remedies for </w:t>
      </w:r>
      <w:r>
        <w:rPr>
          <w:sz w:val="22"/>
          <w:szCs w:val="22"/>
          <w:lang w:val="en-GB"/>
        </w:rPr>
        <w:t>employees</w:t>
      </w:r>
      <w:r w:rsidRPr="009828ED">
        <w:rPr>
          <w:sz w:val="22"/>
          <w:szCs w:val="22"/>
          <w:lang w:val="en-GB"/>
        </w:rPr>
        <w:t xml:space="preserve"> </w:t>
      </w:r>
      <w:r>
        <w:rPr>
          <w:sz w:val="22"/>
          <w:szCs w:val="22"/>
          <w:lang w:val="en-GB"/>
        </w:rPr>
        <w:t xml:space="preserve">in the face of risks of </w:t>
      </w:r>
      <w:r w:rsidRPr="009828ED">
        <w:rPr>
          <w:sz w:val="22"/>
          <w:szCs w:val="22"/>
          <w:lang w:val="en-GB"/>
        </w:rPr>
        <w:t xml:space="preserve">detriment </w:t>
      </w:r>
      <w:r>
        <w:rPr>
          <w:sz w:val="22"/>
          <w:szCs w:val="22"/>
          <w:lang w:val="en-GB"/>
        </w:rPr>
        <w:t xml:space="preserve">for </w:t>
      </w:r>
      <w:r w:rsidRPr="009828ED">
        <w:rPr>
          <w:sz w:val="22"/>
          <w:szCs w:val="22"/>
          <w:lang w:val="en-GB"/>
        </w:rPr>
        <w:t>making a public interest disclosure</w:t>
      </w:r>
    </w:p>
    <w:p w:rsidR="004C5486" w:rsidRDefault="004C5486" w:rsidP="004C5486">
      <w:pPr>
        <w:pStyle w:val="ListParagraph"/>
        <w:numPr>
          <w:ilvl w:val="0"/>
          <w:numId w:val="10"/>
        </w:numPr>
        <w:overflowPunct/>
        <w:autoSpaceDE/>
        <w:autoSpaceDN/>
        <w:adjustRightInd/>
        <w:spacing w:after="80"/>
        <w:ind w:left="567" w:hanging="357"/>
        <w:jc w:val="both"/>
        <w:textAlignment w:val="auto"/>
        <w:rPr>
          <w:sz w:val="22"/>
          <w:szCs w:val="22"/>
          <w:lang w:val="en-GB"/>
        </w:rPr>
      </w:pPr>
      <w:r>
        <w:rPr>
          <w:sz w:val="22"/>
          <w:szCs w:val="22"/>
          <w:lang w:val="en-GB"/>
        </w:rPr>
        <w:t>B</w:t>
      </w:r>
      <w:r w:rsidRPr="009828ED">
        <w:rPr>
          <w:sz w:val="22"/>
          <w:szCs w:val="22"/>
          <w:lang w:val="en-GB"/>
        </w:rPr>
        <w:t xml:space="preserve">est practice </w:t>
      </w:r>
      <w:r>
        <w:rPr>
          <w:sz w:val="22"/>
          <w:szCs w:val="22"/>
          <w:lang w:val="en-GB"/>
        </w:rPr>
        <w:t xml:space="preserve">organisational </w:t>
      </w:r>
      <w:r w:rsidRPr="009828ED">
        <w:rPr>
          <w:sz w:val="22"/>
          <w:szCs w:val="22"/>
          <w:lang w:val="en-GB"/>
        </w:rPr>
        <w:t xml:space="preserve">approaches to facilitating and protecting whistleblowing </w:t>
      </w:r>
      <w:r>
        <w:rPr>
          <w:sz w:val="22"/>
          <w:szCs w:val="22"/>
          <w:lang w:val="en-GB"/>
        </w:rPr>
        <w:t>do not have clear enough statutory support and oversight; and</w:t>
      </w:r>
    </w:p>
    <w:p w:rsidR="004C5486" w:rsidRPr="009828ED" w:rsidRDefault="004C5486" w:rsidP="004C5486">
      <w:pPr>
        <w:pStyle w:val="ListParagraph"/>
        <w:numPr>
          <w:ilvl w:val="0"/>
          <w:numId w:val="10"/>
        </w:numPr>
        <w:overflowPunct/>
        <w:autoSpaceDE/>
        <w:autoSpaceDN/>
        <w:adjustRightInd/>
        <w:spacing w:after="280"/>
        <w:ind w:left="567" w:hanging="357"/>
        <w:jc w:val="both"/>
        <w:textAlignment w:val="auto"/>
        <w:rPr>
          <w:sz w:val="22"/>
          <w:szCs w:val="22"/>
          <w:lang w:val="en-GB"/>
        </w:rPr>
      </w:pPr>
      <w:r>
        <w:rPr>
          <w:sz w:val="22"/>
          <w:szCs w:val="22"/>
          <w:lang w:val="en-GB"/>
        </w:rPr>
        <w:t>There is a lack of independent advice and legal support services for employees who are considering blowing, or who do blow, the whistle on wrongdoing.</w:t>
      </w:r>
    </w:p>
    <w:p w:rsidR="004C5486" w:rsidRDefault="004C5486" w:rsidP="00274203">
      <w:pPr>
        <w:rPr>
          <w:rFonts w:ascii="Arial Narrow" w:hAnsi="Arial Narrow"/>
          <w:bCs/>
          <w:caps/>
          <w:noProof/>
          <w:color w:val="009FEE"/>
          <w:sz w:val="36"/>
          <w:szCs w:val="26"/>
          <w:lang w:val="en-GB"/>
        </w:rPr>
      </w:pPr>
      <w:r>
        <w:rPr>
          <w:rFonts w:ascii="Arial Narrow" w:hAnsi="Arial Narrow"/>
          <w:bCs/>
          <w:caps/>
          <w:noProof/>
          <w:color w:val="009FEE"/>
          <w:sz w:val="36"/>
          <w:szCs w:val="26"/>
          <w:lang w:val="en-GB"/>
        </w:rPr>
        <w:t>history and previous recommendations</w:t>
      </w:r>
    </w:p>
    <w:p w:rsidR="004C5486" w:rsidRPr="00842AE6" w:rsidRDefault="004C5486" w:rsidP="00274203">
      <w:pPr>
        <w:rPr>
          <w:rFonts w:ascii="Arial Narrow" w:hAnsi="Arial Narrow"/>
          <w:bCs/>
          <w:caps/>
          <w:noProof/>
          <w:color w:val="009FEE"/>
          <w:sz w:val="36"/>
          <w:szCs w:val="26"/>
          <w:lang w:val="en-GB"/>
        </w:rPr>
      </w:pPr>
    </w:p>
    <w:p w:rsidR="004C5486" w:rsidRDefault="004C5486" w:rsidP="00274203">
      <w:pPr>
        <w:spacing w:after="160"/>
        <w:jc w:val="both"/>
        <w:rPr>
          <w:rFonts w:cs="Arial"/>
          <w:sz w:val="22"/>
          <w:szCs w:val="22"/>
        </w:rPr>
      </w:pPr>
      <w:r w:rsidRPr="002659F8">
        <w:rPr>
          <w:rFonts w:cs="Arial"/>
          <w:noProof/>
          <w:sz w:val="22"/>
          <w:szCs w:val="22"/>
          <w:lang w:val="en-GB"/>
        </w:rPr>
        <w:t>Article 33 of the UN Convention Against Corruption (2004) emphasises measures to protect any person ‘</w:t>
      </w:r>
      <w:r w:rsidRPr="002659F8">
        <w:rPr>
          <w:rFonts w:cs="Arial"/>
          <w:sz w:val="22"/>
          <w:szCs w:val="22"/>
        </w:rPr>
        <w:t>against any unjustified treatment’ for reporting facts relevant to corruption.  In practice, as TI’s experience shows,</w:t>
      </w:r>
      <w:r>
        <w:rPr>
          <w:rStyle w:val="EndnoteReference"/>
          <w:rFonts w:cs="Arial"/>
          <w:sz w:val="22"/>
          <w:szCs w:val="22"/>
        </w:rPr>
        <w:endnoteReference w:id="1"/>
      </w:r>
      <w:r w:rsidRPr="002659F8">
        <w:rPr>
          <w:rFonts w:cs="Arial"/>
          <w:sz w:val="22"/>
          <w:szCs w:val="22"/>
        </w:rPr>
        <w:t xml:space="preserve"> such </w:t>
      </w:r>
      <w:r>
        <w:rPr>
          <w:rFonts w:cs="Arial"/>
          <w:sz w:val="22"/>
          <w:szCs w:val="22"/>
        </w:rPr>
        <w:t>facts</w:t>
      </w:r>
      <w:r w:rsidRPr="002659F8">
        <w:rPr>
          <w:rFonts w:cs="Arial"/>
          <w:sz w:val="22"/>
          <w:szCs w:val="22"/>
        </w:rPr>
        <w:t xml:space="preserve"> often come from organisational insiders</w:t>
      </w:r>
      <w:r>
        <w:rPr>
          <w:rFonts w:cs="Arial"/>
          <w:sz w:val="22"/>
          <w:szCs w:val="22"/>
        </w:rPr>
        <w:t xml:space="preserve">: </w:t>
      </w:r>
      <w:proofErr w:type="spellStart"/>
      <w:r w:rsidRPr="002659F8">
        <w:rPr>
          <w:rFonts w:cs="Arial"/>
          <w:sz w:val="22"/>
          <w:szCs w:val="22"/>
        </w:rPr>
        <w:t>whistleblowers</w:t>
      </w:r>
      <w:proofErr w:type="spellEnd"/>
      <w:r w:rsidRPr="002659F8">
        <w:rPr>
          <w:rFonts w:cs="Arial"/>
          <w:sz w:val="22"/>
          <w:szCs w:val="22"/>
        </w:rPr>
        <w:t>.</w:t>
      </w:r>
    </w:p>
    <w:p w:rsidR="004C5486" w:rsidRDefault="004C5486" w:rsidP="00274203">
      <w:pPr>
        <w:spacing w:after="160"/>
        <w:jc w:val="both"/>
        <w:rPr>
          <w:noProof/>
          <w:sz w:val="22"/>
          <w:szCs w:val="22"/>
          <w:lang w:val="en-GB"/>
        </w:rPr>
      </w:pPr>
      <w:r>
        <w:rPr>
          <w:rFonts w:cs="Arial"/>
          <w:sz w:val="22"/>
          <w:szCs w:val="22"/>
        </w:rPr>
        <w:t>Since 2010, in their Anti-Corruption Action Plans, G20 leaders have also committed to effective public and private sector whistleblowing regimes.  In 2011, OECD guidance</w:t>
      </w:r>
      <w:r w:rsidRPr="00FF7761">
        <w:rPr>
          <w:rStyle w:val="EndnoteReference"/>
          <w:noProof/>
          <w:sz w:val="22"/>
          <w:szCs w:val="22"/>
          <w:lang w:val="en-GB"/>
        </w:rPr>
        <w:endnoteReference w:id="2"/>
      </w:r>
      <w:r>
        <w:rPr>
          <w:rFonts w:cs="Arial"/>
          <w:sz w:val="22"/>
          <w:szCs w:val="22"/>
        </w:rPr>
        <w:t xml:space="preserve"> for G20 leaders confirmed that protections need to be available in response to all major types of public interest concerns, integrity violations and breakdowns.  A</w:t>
      </w:r>
      <w:r>
        <w:rPr>
          <w:noProof/>
          <w:sz w:val="22"/>
          <w:szCs w:val="22"/>
          <w:lang w:val="en-GB"/>
        </w:rPr>
        <w:t xml:space="preserve"> comprehensive approach to whistleblower protection is also advocated in TI’s </w:t>
      </w:r>
      <w:r w:rsidRPr="000878CE">
        <w:rPr>
          <w:i/>
          <w:noProof/>
          <w:sz w:val="22"/>
          <w:szCs w:val="22"/>
          <w:lang w:val="en-GB"/>
        </w:rPr>
        <w:t>International Principles for Whistleblower Legislation</w:t>
      </w:r>
      <w:r>
        <w:rPr>
          <w:i/>
          <w:noProof/>
          <w:sz w:val="22"/>
          <w:szCs w:val="22"/>
          <w:lang w:val="en-GB"/>
        </w:rPr>
        <w:t xml:space="preserve"> </w:t>
      </w:r>
      <w:r>
        <w:rPr>
          <w:noProof/>
          <w:sz w:val="22"/>
          <w:szCs w:val="22"/>
          <w:lang w:val="en-GB"/>
        </w:rPr>
        <w:t>(2013).</w:t>
      </w:r>
      <w:r>
        <w:rPr>
          <w:rStyle w:val="EndnoteReference"/>
          <w:noProof/>
          <w:sz w:val="22"/>
          <w:szCs w:val="22"/>
          <w:lang w:val="en-GB"/>
        </w:rPr>
        <w:endnoteReference w:id="3"/>
      </w:r>
    </w:p>
    <w:p w:rsidR="00221782" w:rsidRDefault="004C5486" w:rsidP="00274203">
      <w:pPr>
        <w:spacing w:after="160"/>
        <w:jc w:val="both"/>
        <w:rPr>
          <w:noProof/>
          <w:sz w:val="22"/>
          <w:szCs w:val="22"/>
          <w:lang w:val="en-GB"/>
        </w:rPr>
        <w:sectPr w:rsidR="00221782" w:rsidSect="00685C66">
          <w:headerReference w:type="default" r:id="rId18"/>
          <w:headerReference w:type="first" r:id="rId19"/>
          <w:pgSz w:w="11907" w:h="16840" w:code="9"/>
          <w:pgMar w:top="1440" w:right="1134" w:bottom="1134" w:left="1134" w:header="510" w:footer="1304" w:gutter="0"/>
          <w:cols w:space="1134"/>
          <w:titlePg/>
          <w:docGrid w:linePitch="326"/>
        </w:sectPr>
      </w:pPr>
      <w:r>
        <w:rPr>
          <w:noProof/>
          <w:sz w:val="22"/>
          <w:szCs w:val="22"/>
          <w:lang w:val="en-GB"/>
        </w:rPr>
        <w:t xml:space="preserve">In some respects, Australia’s record in recognising whistleblowing is advanced.  Beginning with Queensland, state parliaments began legislating for </w:t>
      </w:r>
      <w:r w:rsidRPr="005170B8">
        <w:rPr>
          <w:b/>
          <w:noProof/>
          <w:sz w:val="22"/>
          <w:szCs w:val="22"/>
          <w:lang w:val="en-GB"/>
        </w:rPr>
        <w:t>public sector whistleblower protection</w:t>
      </w:r>
      <w:r>
        <w:rPr>
          <w:noProof/>
          <w:sz w:val="22"/>
          <w:szCs w:val="22"/>
          <w:lang w:val="en-GB"/>
        </w:rPr>
        <w:t xml:space="preserve"> in </w:t>
      </w:r>
    </w:p>
    <w:p w:rsidR="00221782" w:rsidRDefault="00221782" w:rsidP="00274203">
      <w:pPr>
        <w:spacing w:after="160"/>
        <w:jc w:val="both"/>
        <w:rPr>
          <w:noProof/>
          <w:sz w:val="22"/>
          <w:szCs w:val="22"/>
          <w:lang w:val="en-GB"/>
        </w:rPr>
        <w:sectPr w:rsidR="00221782" w:rsidSect="00221782">
          <w:type w:val="continuous"/>
          <w:pgSz w:w="11907" w:h="16840" w:code="9"/>
          <w:pgMar w:top="1440" w:right="1134" w:bottom="1134" w:left="1134" w:header="510" w:footer="1304" w:gutter="0"/>
          <w:cols w:space="1134"/>
          <w:titlePg/>
          <w:docGrid w:linePitch="326"/>
        </w:sectPr>
      </w:pPr>
    </w:p>
    <w:p w:rsidR="004C5486" w:rsidRDefault="004C5486" w:rsidP="00274203">
      <w:pPr>
        <w:spacing w:after="160"/>
        <w:jc w:val="both"/>
        <w:rPr>
          <w:noProof/>
          <w:sz w:val="22"/>
          <w:szCs w:val="22"/>
          <w:lang w:val="en-GB"/>
        </w:rPr>
      </w:pPr>
      <w:r>
        <w:rPr>
          <w:noProof/>
          <w:sz w:val="22"/>
          <w:szCs w:val="22"/>
          <w:lang w:val="en-GB"/>
        </w:rPr>
        <w:lastRenderedPageBreak/>
        <w:t>1991.  In 2013, following a major parliamentary inquiry,</w:t>
      </w:r>
      <w:r>
        <w:rPr>
          <w:rStyle w:val="EndnoteReference"/>
          <w:noProof/>
          <w:sz w:val="22"/>
          <w:szCs w:val="22"/>
          <w:lang w:val="en-GB"/>
        </w:rPr>
        <w:endnoteReference w:id="4"/>
      </w:r>
      <w:r>
        <w:rPr>
          <w:noProof/>
          <w:sz w:val="22"/>
          <w:szCs w:val="22"/>
          <w:lang w:val="en-GB"/>
        </w:rPr>
        <w:t xml:space="preserve"> federal public sector legislation was also passed with strong support from all political parties: the </w:t>
      </w:r>
      <w:r>
        <w:rPr>
          <w:i/>
          <w:noProof/>
          <w:sz w:val="22"/>
          <w:szCs w:val="22"/>
          <w:lang w:val="en-GB"/>
        </w:rPr>
        <w:t xml:space="preserve">Public Interest Disclosure Act </w:t>
      </w:r>
      <w:r>
        <w:rPr>
          <w:noProof/>
          <w:sz w:val="22"/>
          <w:szCs w:val="22"/>
          <w:lang w:val="en-GB"/>
        </w:rPr>
        <w:t>(Cth).</w:t>
      </w:r>
    </w:p>
    <w:p w:rsidR="004C5486" w:rsidRDefault="004C5486" w:rsidP="00B1026F">
      <w:pPr>
        <w:spacing w:after="160"/>
        <w:jc w:val="both"/>
        <w:rPr>
          <w:noProof/>
          <w:sz w:val="22"/>
          <w:szCs w:val="22"/>
          <w:lang w:val="en-GB"/>
        </w:rPr>
      </w:pPr>
      <w:r>
        <w:rPr>
          <w:noProof/>
          <w:sz w:val="22"/>
          <w:szCs w:val="22"/>
          <w:lang w:val="en-GB"/>
        </w:rPr>
        <w:t>However, the first review of the Act in 2016 confirms this legislation needs to be streamlined and overhauled to address basic questions on coverage and delivery of remedies.</w:t>
      </w:r>
      <w:r>
        <w:rPr>
          <w:rStyle w:val="EndnoteReference"/>
          <w:noProof/>
          <w:sz w:val="22"/>
          <w:szCs w:val="22"/>
          <w:lang w:val="en-GB"/>
        </w:rPr>
        <w:endnoteReference w:id="5"/>
      </w:r>
      <w:r>
        <w:rPr>
          <w:noProof/>
          <w:sz w:val="22"/>
          <w:szCs w:val="22"/>
          <w:lang w:val="en-GB"/>
        </w:rPr>
        <w:t xml:space="preserve">  For example, federal protection does not apply to disclosures about corruption or wrongdoing by Ministers, their staff, other politicians, or judges; and protections are weaker for national security employees.</w:t>
      </w:r>
      <w:r>
        <w:rPr>
          <w:rStyle w:val="EndnoteReference"/>
          <w:noProof/>
          <w:sz w:val="22"/>
          <w:szCs w:val="22"/>
          <w:lang w:val="en-GB"/>
        </w:rPr>
        <w:endnoteReference w:id="6"/>
      </w:r>
    </w:p>
    <w:p w:rsidR="004C5486" w:rsidRDefault="004C5486" w:rsidP="00B1026F">
      <w:pPr>
        <w:spacing w:after="160"/>
        <w:jc w:val="both"/>
        <w:rPr>
          <w:noProof/>
          <w:sz w:val="22"/>
          <w:szCs w:val="22"/>
          <w:lang w:val="en-GB"/>
        </w:rPr>
      </w:pPr>
      <w:r>
        <w:rPr>
          <w:noProof/>
          <w:sz w:val="22"/>
          <w:szCs w:val="22"/>
          <w:lang w:val="en-GB"/>
        </w:rPr>
        <w:t xml:space="preserve">At </w:t>
      </w:r>
      <w:r w:rsidRPr="00B1026F">
        <w:rPr>
          <w:b/>
          <w:noProof/>
          <w:sz w:val="22"/>
          <w:szCs w:val="22"/>
          <w:lang w:val="en-GB"/>
        </w:rPr>
        <w:t>state</w:t>
      </w:r>
      <w:r>
        <w:rPr>
          <w:noProof/>
          <w:sz w:val="22"/>
          <w:szCs w:val="22"/>
          <w:lang w:val="en-GB"/>
        </w:rPr>
        <w:t xml:space="preserve"> level, legal upgrades took place in Queensland, NSW and the ACT in 2010-2012, but some protections remain inconsistent and out-of-date.  For example, Victoria, Tasmania, the Northern Territory and South Australia have no rules for when a disclosure may be made to the media.</w:t>
      </w:r>
    </w:p>
    <w:p w:rsidR="004C5486" w:rsidRPr="00AC4251" w:rsidRDefault="004C5486" w:rsidP="00C93BF7">
      <w:pPr>
        <w:spacing w:after="160"/>
        <w:jc w:val="both"/>
        <w:rPr>
          <w:sz w:val="22"/>
          <w:szCs w:val="22"/>
        </w:rPr>
      </w:pPr>
      <w:r>
        <w:rPr>
          <w:noProof/>
          <w:sz w:val="22"/>
          <w:szCs w:val="22"/>
          <w:lang w:val="en-GB"/>
        </w:rPr>
        <w:t xml:space="preserve">The single largest gap is lack of comprehensive whistleblower protection in Australia’s </w:t>
      </w:r>
      <w:r w:rsidRPr="005170B8">
        <w:rPr>
          <w:b/>
          <w:noProof/>
          <w:sz w:val="22"/>
          <w:szCs w:val="22"/>
          <w:lang w:val="en-GB"/>
        </w:rPr>
        <w:t>business and civil society sectors</w:t>
      </w:r>
      <w:r>
        <w:rPr>
          <w:noProof/>
          <w:sz w:val="22"/>
          <w:szCs w:val="22"/>
          <w:lang w:val="en-GB"/>
        </w:rPr>
        <w:t>.</w:t>
      </w:r>
      <w:r>
        <w:rPr>
          <w:rStyle w:val="EndnoteReference"/>
          <w:noProof/>
          <w:sz w:val="22"/>
          <w:szCs w:val="22"/>
          <w:lang w:val="en-GB"/>
        </w:rPr>
        <w:endnoteReference w:id="7"/>
      </w:r>
      <w:r>
        <w:rPr>
          <w:noProof/>
          <w:sz w:val="22"/>
          <w:szCs w:val="22"/>
          <w:lang w:val="en-GB"/>
        </w:rPr>
        <w:t xml:space="preserve">  Its importance for corruption detection is clear: whistleblowers have been instrumental in triggering and aiding Australia’s first prosecutions for foreign bribery (</w:t>
      </w:r>
      <w:r w:rsidRPr="00274203">
        <w:rPr>
          <w:noProof/>
          <w:sz w:val="22"/>
          <w:szCs w:val="22"/>
          <w:lang w:val="en-GB"/>
        </w:rPr>
        <w:t>against Securency Ltd and Note Printing Australia</w:t>
      </w:r>
      <w:r>
        <w:rPr>
          <w:noProof/>
          <w:sz w:val="22"/>
          <w:szCs w:val="22"/>
          <w:lang w:val="en-GB"/>
        </w:rPr>
        <w:t>) since 2010.  The OECD’s recent review of Australia’s foreign bribery laws and enforcement reinforces the need to close this gap.</w:t>
      </w:r>
    </w:p>
    <w:p w:rsidR="004C5486" w:rsidRDefault="004C5486" w:rsidP="00274203">
      <w:pPr>
        <w:spacing w:after="160"/>
        <w:jc w:val="both"/>
        <w:rPr>
          <w:sz w:val="22"/>
          <w:szCs w:val="22"/>
        </w:rPr>
      </w:pPr>
      <w:r>
        <w:rPr>
          <w:sz w:val="22"/>
          <w:szCs w:val="22"/>
          <w:lang w:val="en-GB"/>
        </w:rPr>
        <w:t xml:space="preserve">In 2014, the </w:t>
      </w:r>
      <w:r w:rsidRPr="002665DF">
        <w:rPr>
          <w:sz w:val="22"/>
          <w:szCs w:val="22"/>
          <w:lang w:val="en-GB"/>
        </w:rPr>
        <w:t>Senate Econ</w:t>
      </w:r>
      <w:r>
        <w:rPr>
          <w:sz w:val="22"/>
          <w:szCs w:val="22"/>
          <w:lang w:val="en-GB"/>
        </w:rPr>
        <w:t xml:space="preserve">omics Committee </w:t>
      </w:r>
      <w:r w:rsidRPr="002665DF">
        <w:rPr>
          <w:sz w:val="22"/>
          <w:szCs w:val="22"/>
        </w:rPr>
        <w:t xml:space="preserve">recommended </w:t>
      </w:r>
      <w:r>
        <w:rPr>
          <w:sz w:val="22"/>
          <w:szCs w:val="22"/>
        </w:rPr>
        <w:t>a comprehensive overhaul</w:t>
      </w:r>
      <w:r>
        <w:rPr>
          <w:sz w:val="22"/>
          <w:szCs w:val="22"/>
          <w:lang w:val="en-GB"/>
        </w:rPr>
        <w:t xml:space="preserve"> of the </w:t>
      </w:r>
      <w:r w:rsidRPr="002665DF">
        <w:rPr>
          <w:sz w:val="22"/>
          <w:szCs w:val="22"/>
          <w:lang w:val="en-GB"/>
        </w:rPr>
        <w:t xml:space="preserve">limited </w:t>
      </w:r>
      <w:r>
        <w:rPr>
          <w:sz w:val="22"/>
          <w:szCs w:val="22"/>
          <w:lang w:val="en-GB"/>
        </w:rPr>
        <w:t xml:space="preserve">existing whistleblowing </w:t>
      </w:r>
      <w:r w:rsidRPr="002665DF">
        <w:rPr>
          <w:sz w:val="22"/>
          <w:szCs w:val="22"/>
          <w:lang w:val="en-GB"/>
        </w:rPr>
        <w:t xml:space="preserve">provisions of the </w:t>
      </w:r>
      <w:r w:rsidRPr="002665DF">
        <w:rPr>
          <w:i/>
          <w:sz w:val="22"/>
          <w:szCs w:val="22"/>
        </w:rPr>
        <w:t>Corporations Act 2001</w:t>
      </w:r>
      <w:r w:rsidRPr="002665DF">
        <w:rPr>
          <w:sz w:val="22"/>
          <w:szCs w:val="22"/>
        </w:rPr>
        <w:t xml:space="preserve"> (Part 9.4AAA)</w:t>
      </w:r>
      <w:r>
        <w:rPr>
          <w:sz w:val="22"/>
          <w:szCs w:val="22"/>
        </w:rPr>
        <w:t>.</w:t>
      </w:r>
      <w:r>
        <w:rPr>
          <w:rStyle w:val="EndnoteReference"/>
          <w:sz w:val="22"/>
          <w:szCs w:val="22"/>
        </w:rPr>
        <w:endnoteReference w:id="8"/>
      </w:r>
      <w:r>
        <w:rPr>
          <w:sz w:val="22"/>
          <w:szCs w:val="22"/>
        </w:rPr>
        <w:t xml:space="preserve">  Now, TI Australia welcomes the work of the Joint Parliamentary Committee on Corporations and Financial Services</w:t>
      </w:r>
      <w:r>
        <w:rPr>
          <w:rStyle w:val="EndnoteReference"/>
          <w:sz w:val="22"/>
          <w:szCs w:val="22"/>
        </w:rPr>
        <w:endnoteReference w:id="9"/>
      </w:r>
      <w:r>
        <w:rPr>
          <w:sz w:val="22"/>
          <w:szCs w:val="22"/>
        </w:rPr>
        <w:t xml:space="preserve"> to advance this overhaul, supported by Commonwealth Treasury.</w:t>
      </w:r>
      <w:r>
        <w:rPr>
          <w:rStyle w:val="EndnoteReference"/>
          <w:sz w:val="22"/>
          <w:szCs w:val="22"/>
        </w:rPr>
        <w:endnoteReference w:id="10"/>
      </w:r>
      <w:r>
        <w:rPr>
          <w:sz w:val="22"/>
          <w:szCs w:val="22"/>
        </w:rPr>
        <w:t xml:space="preserve"> This follows an important agreement between independent Senators and the Government,</w:t>
      </w:r>
      <w:r>
        <w:rPr>
          <w:rStyle w:val="EndnoteReference"/>
          <w:sz w:val="22"/>
          <w:szCs w:val="22"/>
        </w:rPr>
        <w:endnoteReference w:id="11"/>
      </w:r>
      <w:r>
        <w:rPr>
          <w:sz w:val="22"/>
          <w:szCs w:val="22"/>
        </w:rPr>
        <w:t xml:space="preserve"> initial landmark reforms to </w:t>
      </w:r>
      <w:r>
        <w:rPr>
          <w:i/>
          <w:sz w:val="22"/>
          <w:szCs w:val="22"/>
        </w:rPr>
        <w:t xml:space="preserve">Fair Work (Registered Organisations) </w:t>
      </w:r>
      <w:r>
        <w:rPr>
          <w:sz w:val="22"/>
          <w:szCs w:val="22"/>
        </w:rPr>
        <w:t>legislation, and the Australian Government’s commitment to new legislation in 2018, in its first Open Government Partnership action plan.</w:t>
      </w:r>
      <w:r>
        <w:rPr>
          <w:rStyle w:val="EndnoteReference"/>
          <w:sz w:val="22"/>
          <w:szCs w:val="22"/>
        </w:rPr>
        <w:endnoteReference w:id="12"/>
      </w:r>
    </w:p>
    <w:p w:rsidR="004C5486" w:rsidRDefault="004C5486" w:rsidP="006F1EC8">
      <w:pPr>
        <w:spacing w:after="80"/>
        <w:jc w:val="both"/>
        <w:rPr>
          <w:noProof/>
          <w:sz w:val="22"/>
          <w:szCs w:val="22"/>
          <w:lang w:val="en-GB"/>
        </w:rPr>
      </w:pPr>
      <w:r>
        <w:rPr>
          <w:sz w:val="22"/>
          <w:szCs w:val="22"/>
        </w:rPr>
        <w:t xml:space="preserve">Transparency International Australia is also a formal supporter of </w:t>
      </w:r>
      <w:r>
        <w:rPr>
          <w:i/>
          <w:sz w:val="22"/>
          <w:szCs w:val="22"/>
        </w:rPr>
        <w:t xml:space="preserve">Whistling While They Work 2 / </w:t>
      </w:r>
      <w:proofErr w:type="spellStart"/>
      <w:r>
        <w:rPr>
          <w:i/>
          <w:sz w:val="22"/>
          <w:szCs w:val="22"/>
        </w:rPr>
        <w:t>Integrity@WERQ</w:t>
      </w:r>
      <w:proofErr w:type="spellEnd"/>
      <w:r>
        <w:rPr>
          <w:i/>
          <w:sz w:val="22"/>
          <w:szCs w:val="22"/>
        </w:rPr>
        <w:t xml:space="preserve">, </w:t>
      </w:r>
      <w:r>
        <w:rPr>
          <w:sz w:val="22"/>
          <w:szCs w:val="22"/>
        </w:rPr>
        <w:t>the Griffith University-led Australia and New Zealand research project.  As the first research to examine organisational responses to whistleblowing across all sectors, its preliminary report</w:t>
      </w:r>
      <w:r>
        <w:rPr>
          <w:rStyle w:val="EndnoteReference"/>
          <w:sz w:val="22"/>
          <w:szCs w:val="22"/>
        </w:rPr>
        <w:endnoteReference w:id="13"/>
      </w:r>
      <w:r>
        <w:rPr>
          <w:sz w:val="22"/>
          <w:szCs w:val="22"/>
        </w:rPr>
        <w:t xml:space="preserve"> has already identified </w:t>
      </w:r>
      <w:r>
        <w:rPr>
          <w:noProof/>
          <w:sz w:val="22"/>
          <w:szCs w:val="22"/>
          <w:lang w:val="en-GB"/>
        </w:rPr>
        <w:t xml:space="preserve">across-the-board challenges.  </w:t>
      </w:r>
      <w:r w:rsidRPr="00133FD3">
        <w:rPr>
          <w:sz w:val="22"/>
          <w:szCs w:val="22"/>
        </w:rPr>
        <w:t xml:space="preserve">Notwithstanding that 96% of the 702 organisations surveyed in 2016 </w:t>
      </w:r>
      <w:r>
        <w:rPr>
          <w:sz w:val="22"/>
          <w:szCs w:val="22"/>
        </w:rPr>
        <w:t xml:space="preserve">reported that they </w:t>
      </w:r>
      <w:r w:rsidRPr="00133FD3">
        <w:rPr>
          <w:sz w:val="22"/>
          <w:szCs w:val="22"/>
        </w:rPr>
        <w:t>provided at least some form of support to staff who raise wrongdoing concerns</w:t>
      </w:r>
      <w:r w:rsidRPr="00AD3A46">
        <w:rPr>
          <w:noProof/>
          <w:sz w:val="22"/>
          <w:szCs w:val="22"/>
          <w:lang w:val="en-GB"/>
        </w:rPr>
        <w:t>:</w:t>
      </w:r>
    </w:p>
    <w:p w:rsidR="004C5486" w:rsidRPr="00133FD3" w:rsidRDefault="004C5486" w:rsidP="004C5486">
      <w:pPr>
        <w:pStyle w:val="ListParagraph"/>
        <w:numPr>
          <w:ilvl w:val="0"/>
          <w:numId w:val="11"/>
        </w:numPr>
        <w:tabs>
          <w:tab w:val="left" w:pos="1560"/>
        </w:tabs>
        <w:overflowPunct/>
        <w:autoSpaceDE/>
        <w:autoSpaceDN/>
        <w:adjustRightInd/>
        <w:spacing w:after="80" w:line="240" w:lineRule="atLeast"/>
        <w:ind w:left="567" w:hanging="357"/>
        <w:jc w:val="both"/>
        <w:textAlignment w:val="auto"/>
        <w:rPr>
          <w:sz w:val="22"/>
          <w:szCs w:val="22"/>
        </w:rPr>
      </w:pPr>
      <w:r>
        <w:rPr>
          <w:sz w:val="22"/>
          <w:szCs w:val="22"/>
        </w:rPr>
        <w:t>L</w:t>
      </w:r>
      <w:r w:rsidRPr="00133FD3">
        <w:rPr>
          <w:sz w:val="22"/>
          <w:szCs w:val="22"/>
        </w:rPr>
        <w:t xml:space="preserve">ess than half (46%) </w:t>
      </w:r>
      <w:r>
        <w:rPr>
          <w:sz w:val="22"/>
          <w:szCs w:val="22"/>
        </w:rPr>
        <w:t xml:space="preserve">reported that they </w:t>
      </w:r>
      <w:r w:rsidRPr="00133FD3">
        <w:rPr>
          <w:sz w:val="22"/>
          <w:szCs w:val="22"/>
        </w:rPr>
        <w:t xml:space="preserve">provide </w:t>
      </w:r>
      <w:r>
        <w:rPr>
          <w:sz w:val="22"/>
          <w:szCs w:val="22"/>
        </w:rPr>
        <w:t xml:space="preserve">whistleblowers with </w:t>
      </w:r>
      <w:r w:rsidRPr="00133FD3">
        <w:rPr>
          <w:sz w:val="22"/>
          <w:szCs w:val="22"/>
        </w:rPr>
        <w:t xml:space="preserve">access to a </w:t>
      </w:r>
      <w:r w:rsidRPr="00133FD3">
        <w:rPr>
          <w:i/>
          <w:sz w:val="22"/>
          <w:szCs w:val="22"/>
        </w:rPr>
        <w:t>management-designated support person inside the organisation</w:t>
      </w:r>
      <w:r w:rsidRPr="00133FD3">
        <w:rPr>
          <w:sz w:val="22"/>
          <w:szCs w:val="22"/>
        </w:rPr>
        <w:t xml:space="preserve"> (</w:t>
      </w:r>
      <w:r>
        <w:rPr>
          <w:sz w:val="22"/>
          <w:szCs w:val="22"/>
        </w:rPr>
        <w:t xml:space="preserve">53% of public agencies, </w:t>
      </w:r>
      <w:r w:rsidRPr="00133FD3">
        <w:rPr>
          <w:sz w:val="22"/>
          <w:szCs w:val="22"/>
        </w:rPr>
        <w:t>39% of private business and 32% of not-for-profits);</w:t>
      </w:r>
    </w:p>
    <w:p w:rsidR="004C5486" w:rsidRDefault="004C5486" w:rsidP="004C5486">
      <w:pPr>
        <w:pStyle w:val="ListParagraph"/>
        <w:numPr>
          <w:ilvl w:val="0"/>
          <w:numId w:val="11"/>
        </w:numPr>
        <w:tabs>
          <w:tab w:val="left" w:pos="1560"/>
        </w:tabs>
        <w:overflowPunct/>
        <w:autoSpaceDE/>
        <w:autoSpaceDN/>
        <w:adjustRightInd/>
        <w:spacing w:after="80" w:line="240" w:lineRule="atLeast"/>
        <w:ind w:left="567" w:hanging="357"/>
        <w:jc w:val="both"/>
        <w:textAlignment w:val="auto"/>
        <w:rPr>
          <w:sz w:val="22"/>
          <w:szCs w:val="22"/>
        </w:rPr>
      </w:pPr>
      <w:r w:rsidRPr="00133FD3">
        <w:rPr>
          <w:sz w:val="22"/>
          <w:szCs w:val="22"/>
        </w:rPr>
        <w:t xml:space="preserve">Only two thirds (67%) provide </w:t>
      </w:r>
      <w:r w:rsidRPr="00133FD3">
        <w:rPr>
          <w:i/>
          <w:sz w:val="22"/>
          <w:szCs w:val="22"/>
        </w:rPr>
        <w:t>management intervention in workplace problems, if required</w:t>
      </w:r>
      <w:r>
        <w:rPr>
          <w:i/>
          <w:sz w:val="22"/>
          <w:szCs w:val="22"/>
        </w:rPr>
        <w:t xml:space="preserve"> </w:t>
      </w:r>
      <w:r>
        <w:rPr>
          <w:sz w:val="22"/>
          <w:szCs w:val="22"/>
        </w:rPr>
        <w:t xml:space="preserve">(falling to </w:t>
      </w:r>
      <w:r w:rsidRPr="00133FD3">
        <w:rPr>
          <w:sz w:val="22"/>
          <w:szCs w:val="22"/>
        </w:rPr>
        <w:t>only 60% of not-for-profits and 51% of private business</w:t>
      </w:r>
      <w:r>
        <w:rPr>
          <w:sz w:val="22"/>
          <w:szCs w:val="22"/>
        </w:rPr>
        <w:t>); and</w:t>
      </w:r>
    </w:p>
    <w:p w:rsidR="004C5486" w:rsidRPr="00133FD3" w:rsidRDefault="004C5486" w:rsidP="004C5486">
      <w:pPr>
        <w:pStyle w:val="ListParagraph"/>
        <w:numPr>
          <w:ilvl w:val="0"/>
          <w:numId w:val="11"/>
        </w:numPr>
        <w:tabs>
          <w:tab w:val="left" w:pos="1560"/>
        </w:tabs>
        <w:overflowPunct/>
        <w:autoSpaceDE/>
        <w:autoSpaceDN/>
        <w:adjustRightInd/>
        <w:spacing w:line="240" w:lineRule="atLeast"/>
        <w:ind w:left="567" w:hanging="357"/>
        <w:jc w:val="both"/>
        <w:textAlignment w:val="auto"/>
        <w:rPr>
          <w:sz w:val="22"/>
          <w:szCs w:val="22"/>
        </w:rPr>
      </w:pPr>
      <w:r>
        <w:rPr>
          <w:sz w:val="22"/>
          <w:szCs w:val="22"/>
        </w:rPr>
        <w:t>Less than a fifth (</w:t>
      </w:r>
      <w:r w:rsidRPr="00133FD3">
        <w:rPr>
          <w:sz w:val="22"/>
          <w:szCs w:val="22"/>
        </w:rPr>
        <w:t>16%</w:t>
      </w:r>
      <w:r>
        <w:rPr>
          <w:sz w:val="22"/>
          <w:szCs w:val="22"/>
        </w:rPr>
        <w:t>)</w:t>
      </w:r>
      <w:r w:rsidRPr="00133FD3">
        <w:rPr>
          <w:sz w:val="22"/>
          <w:szCs w:val="22"/>
        </w:rPr>
        <w:t xml:space="preserve"> reported having </w:t>
      </w:r>
      <w:r w:rsidRPr="00133FD3">
        <w:rPr>
          <w:i/>
          <w:sz w:val="22"/>
          <w:szCs w:val="22"/>
        </w:rPr>
        <w:t>mechanisms for ensuring adequate compensation or restitution</w:t>
      </w:r>
      <w:r>
        <w:rPr>
          <w:sz w:val="22"/>
          <w:szCs w:val="22"/>
        </w:rPr>
        <w:t xml:space="preserve"> if a </w:t>
      </w:r>
      <w:r w:rsidRPr="00133FD3">
        <w:rPr>
          <w:sz w:val="22"/>
          <w:szCs w:val="22"/>
        </w:rPr>
        <w:t>whistleblower experience</w:t>
      </w:r>
      <w:r>
        <w:rPr>
          <w:sz w:val="22"/>
          <w:szCs w:val="22"/>
        </w:rPr>
        <w:t>s</w:t>
      </w:r>
      <w:r w:rsidRPr="00133FD3">
        <w:rPr>
          <w:sz w:val="22"/>
          <w:szCs w:val="22"/>
        </w:rPr>
        <w:t xml:space="preserve"> reprisals, conflicts, stress or other detrimental impacts for reporting </w:t>
      </w:r>
      <w:r>
        <w:rPr>
          <w:sz w:val="22"/>
          <w:szCs w:val="22"/>
        </w:rPr>
        <w:t xml:space="preserve">(17% of public agencies, </w:t>
      </w:r>
      <w:r w:rsidRPr="00133FD3">
        <w:rPr>
          <w:sz w:val="22"/>
          <w:szCs w:val="22"/>
        </w:rPr>
        <w:t>17% of business</w:t>
      </w:r>
      <w:r>
        <w:rPr>
          <w:sz w:val="22"/>
          <w:szCs w:val="22"/>
        </w:rPr>
        <w:t xml:space="preserve"> and </w:t>
      </w:r>
      <w:r w:rsidRPr="00133FD3">
        <w:rPr>
          <w:sz w:val="22"/>
          <w:szCs w:val="22"/>
        </w:rPr>
        <w:t>13% of not-for-profits</w:t>
      </w:r>
      <w:r>
        <w:rPr>
          <w:sz w:val="22"/>
          <w:szCs w:val="22"/>
        </w:rPr>
        <w:t>).</w:t>
      </w:r>
    </w:p>
    <w:p w:rsidR="004C5486" w:rsidRPr="00FF7761" w:rsidRDefault="004C5486" w:rsidP="006F1EC8">
      <w:pPr>
        <w:rPr>
          <w:i/>
          <w:noProof/>
          <w:sz w:val="22"/>
          <w:szCs w:val="22"/>
          <w:lang w:val="en-GB"/>
        </w:rPr>
      </w:pPr>
    </w:p>
    <w:tbl>
      <w:tblPr>
        <w:tblpPr w:leftFromText="180" w:rightFromText="180" w:vertAnchor="text" w:horzAnchor="page" w:tblpX="1142" w:tblpY="217"/>
        <w:tblW w:w="9651" w:type="dxa"/>
        <w:tblBorders>
          <w:top w:val="single" w:sz="8" w:space="0" w:color="DDDEDD"/>
          <w:left w:val="single" w:sz="8" w:space="0" w:color="DDDEDD"/>
          <w:bottom w:val="single" w:sz="8" w:space="0" w:color="DDDEDD"/>
          <w:right w:val="single" w:sz="8" w:space="0" w:color="DDDEDD"/>
          <w:insideH w:val="single" w:sz="8" w:space="0" w:color="DDDEDD"/>
          <w:insideV w:val="single" w:sz="8" w:space="0" w:color="DDDEDD"/>
        </w:tblBorders>
        <w:tblLook w:val="00A0" w:firstRow="1" w:lastRow="0" w:firstColumn="1" w:lastColumn="0" w:noHBand="0" w:noVBand="0"/>
      </w:tblPr>
      <w:tblGrid>
        <w:gridCol w:w="9651"/>
      </w:tblGrid>
      <w:tr w:rsidR="004C5486" w:rsidRPr="0076193F" w:rsidTr="00AC4251">
        <w:trPr>
          <w:cantSplit/>
          <w:trHeight w:val="2526"/>
        </w:trPr>
        <w:tc>
          <w:tcPr>
            <w:tcW w:w="9651" w:type="dxa"/>
            <w:shd w:val="clear" w:color="auto" w:fill="DDDEDD"/>
          </w:tcPr>
          <w:p w:rsidR="004C5486" w:rsidRPr="006A3F70" w:rsidRDefault="004C5486" w:rsidP="00274203">
            <w:pPr>
              <w:pStyle w:val="Heading2"/>
              <w:spacing w:before="0" w:line="240" w:lineRule="auto"/>
              <w:rPr>
                <w:rFonts w:cs="Arial"/>
                <w:b/>
                <w:color w:val="auto"/>
                <w:lang w:val="en-GB"/>
              </w:rPr>
            </w:pPr>
            <w:r>
              <w:t>tI australia’s position</w:t>
            </w:r>
          </w:p>
          <w:p w:rsidR="004C5486" w:rsidRPr="00E12984" w:rsidRDefault="004C5486" w:rsidP="004C5486">
            <w:pPr>
              <w:pStyle w:val="ListParagraph"/>
              <w:numPr>
                <w:ilvl w:val="0"/>
                <w:numId w:val="9"/>
              </w:numPr>
              <w:overflowPunct/>
              <w:autoSpaceDE/>
              <w:autoSpaceDN/>
              <w:adjustRightInd/>
              <w:spacing w:after="200"/>
              <w:contextualSpacing/>
              <w:textAlignment w:val="auto"/>
              <w:rPr>
                <w:rFonts w:cs="Arial"/>
                <w:sz w:val="22"/>
                <w:szCs w:val="22"/>
                <w:lang w:val="en-GB"/>
              </w:rPr>
            </w:pPr>
            <w:r>
              <w:rPr>
                <w:rFonts w:cs="Arial"/>
                <w:b/>
                <w:sz w:val="22"/>
                <w:szCs w:val="22"/>
                <w:lang w:val="en-GB"/>
              </w:rPr>
              <w:t xml:space="preserve">The Australian Parliament should promptly fill the gap in private sector </w:t>
            </w:r>
            <w:proofErr w:type="spellStart"/>
            <w:r>
              <w:rPr>
                <w:rFonts w:cs="Arial"/>
                <w:b/>
                <w:sz w:val="22"/>
                <w:szCs w:val="22"/>
                <w:lang w:val="en-GB"/>
              </w:rPr>
              <w:t>whistleblower</w:t>
            </w:r>
            <w:proofErr w:type="spellEnd"/>
            <w:r>
              <w:rPr>
                <w:rFonts w:cs="Arial"/>
                <w:b/>
                <w:sz w:val="22"/>
                <w:szCs w:val="22"/>
                <w:lang w:val="en-GB"/>
              </w:rPr>
              <w:t xml:space="preserve"> protection by passing comprehensive legislation </w:t>
            </w:r>
            <w:r>
              <w:rPr>
                <w:rFonts w:cs="Arial"/>
                <w:sz w:val="22"/>
                <w:szCs w:val="22"/>
                <w:lang w:val="en-GB"/>
              </w:rPr>
              <w:t>covering all corporations and employers (including not-for-profits), to achieve a national scheme which is:</w:t>
            </w:r>
          </w:p>
          <w:p w:rsidR="004C5486" w:rsidRDefault="004C5486" w:rsidP="004C5486">
            <w:pPr>
              <w:pStyle w:val="ListParagraph"/>
              <w:numPr>
                <w:ilvl w:val="1"/>
                <w:numId w:val="9"/>
              </w:numPr>
              <w:overflowPunct/>
              <w:autoSpaceDE/>
              <w:autoSpaceDN/>
              <w:adjustRightInd/>
              <w:spacing w:after="200"/>
              <w:contextualSpacing/>
              <w:textAlignment w:val="auto"/>
              <w:rPr>
                <w:rFonts w:cs="Arial"/>
                <w:sz w:val="22"/>
                <w:szCs w:val="22"/>
                <w:lang w:val="en-GB"/>
              </w:rPr>
            </w:pPr>
            <w:r>
              <w:rPr>
                <w:rFonts w:cs="Arial"/>
                <w:sz w:val="22"/>
                <w:szCs w:val="22"/>
                <w:lang w:val="en-GB"/>
              </w:rPr>
              <w:t>Consistent across all major wrongdoing types, industries and sectors,</w:t>
            </w:r>
          </w:p>
          <w:p w:rsidR="004C5486" w:rsidRDefault="004C5486" w:rsidP="004C5486">
            <w:pPr>
              <w:pStyle w:val="ListParagraph"/>
              <w:numPr>
                <w:ilvl w:val="1"/>
                <w:numId w:val="9"/>
              </w:numPr>
              <w:overflowPunct/>
              <w:autoSpaceDE/>
              <w:autoSpaceDN/>
              <w:adjustRightInd/>
              <w:spacing w:after="200"/>
              <w:contextualSpacing/>
              <w:textAlignment w:val="auto"/>
              <w:rPr>
                <w:rFonts w:cs="Arial"/>
                <w:sz w:val="22"/>
                <w:szCs w:val="22"/>
                <w:lang w:val="en-GB"/>
              </w:rPr>
            </w:pPr>
            <w:r>
              <w:rPr>
                <w:sz w:val="22"/>
                <w:szCs w:val="22"/>
              </w:rPr>
              <w:t>Integrated and efficient (unlike, e.g. the USA protections are piecemeal and vary across more than 47 different federal regulatory laws</w:t>
            </w:r>
            <w:r w:rsidRPr="00175647">
              <w:rPr>
                <w:rStyle w:val="EndnoteReference"/>
                <w:sz w:val="22"/>
                <w:szCs w:val="22"/>
              </w:rPr>
              <w:endnoteReference w:id="14"/>
            </w:r>
            <w:r>
              <w:rPr>
                <w:sz w:val="22"/>
                <w:szCs w:val="22"/>
              </w:rPr>
              <w:t>),</w:t>
            </w:r>
          </w:p>
          <w:p w:rsidR="004C5486" w:rsidRDefault="004C5486" w:rsidP="004C5486">
            <w:pPr>
              <w:pStyle w:val="ListParagraph"/>
              <w:numPr>
                <w:ilvl w:val="1"/>
                <w:numId w:val="9"/>
              </w:numPr>
              <w:overflowPunct/>
              <w:autoSpaceDE/>
              <w:autoSpaceDN/>
              <w:adjustRightInd/>
              <w:spacing w:after="200"/>
              <w:contextualSpacing/>
              <w:textAlignment w:val="auto"/>
              <w:rPr>
                <w:rFonts w:cs="Arial"/>
                <w:sz w:val="22"/>
                <w:szCs w:val="22"/>
                <w:lang w:val="en-GB"/>
              </w:rPr>
            </w:pPr>
            <w:r>
              <w:rPr>
                <w:rFonts w:cs="Arial"/>
                <w:sz w:val="22"/>
                <w:szCs w:val="22"/>
                <w:lang w:val="en-GB"/>
              </w:rPr>
              <w:t>Contained in new, overarching legislation, with consequential amendments to national employment law (Fair Work Act) and specific regulators’ mandates.</w:t>
            </w:r>
            <w:r>
              <w:rPr>
                <w:rFonts w:cs="Arial"/>
                <w:sz w:val="22"/>
                <w:szCs w:val="22"/>
                <w:lang w:val="en-GB"/>
              </w:rPr>
              <w:br/>
            </w:r>
          </w:p>
          <w:p w:rsidR="004C5486" w:rsidRDefault="004C5486" w:rsidP="004C5486">
            <w:pPr>
              <w:pStyle w:val="ListParagraph"/>
              <w:numPr>
                <w:ilvl w:val="0"/>
                <w:numId w:val="9"/>
              </w:numPr>
              <w:overflowPunct/>
              <w:autoSpaceDE/>
              <w:autoSpaceDN/>
              <w:adjustRightInd/>
              <w:spacing w:after="200"/>
              <w:contextualSpacing/>
              <w:textAlignment w:val="auto"/>
              <w:rPr>
                <w:rFonts w:cs="Arial"/>
                <w:sz w:val="22"/>
                <w:szCs w:val="22"/>
                <w:lang w:val="en-GB"/>
              </w:rPr>
            </w:pPr>
            <w:r>
              <w:rPr>
                <w:rFonts w:cs="Arial"/>
                <w:b/>
                <w:sz w:val="22"/>
                <w:szCs w:val="22"/>
                <w:lang w:val="en-GB"/>
              </w:rPr>
              <w:t xml:space="preserve">Out-of-date thresholds and barriers to reporting should be removed from all Australian </w:t>
            </w:r>
            <w:proofErr w:type="spellStart"/>
            <w:r>
              <w:rPr>
                <w:rFonts w:cs="Arial"/>
                <w:b/>
                <w:sz w:val="22"/>
                <w:szCs w:val="22"/>
                <w:lang w:val="en-GB"/>
              </w:rPr>
              <w:t>whistleblower</w:t>
            </w:r>
            <w:proofErr w:type="spellEnd"/>
            <w:r>
              <w:rPr>
                <w:rFonts w:cs="Arial"/>
                <w:b/>
                <w:sz w:val="22"/>
                <w:szCs w:val="22"/>
                <w:lang w:val="en-GB"/>
              </w:rPr>
              <w:t xml:space="preserve"> protection laws</w:t>
            </w:r>
            <w:r>
              <w:rPr>
                <w:rFonts w:cs="Arial"/>
                <w:sz w:val="22"/>
                <w:szCs w:val="22"/>
                <w:lang w:val="en-GB"/>
              </w:rPr>
              <w:t>,</w:t>
            </w:r>
            <w:r>
              <w:rPr>
                <w:rFonts w:cs="Arial"/>
                <w:b/>
                <w:sz w:val="22"/>
                <w:szCs w:val="22"/>
                <w:lang w:val="en-GB"/>
              </w:rPr>
              <w:t xml:space="preserve"> </w:t>
            </w:r>
            <w:r>
              <w:rPr>
                <w:rFonts w:cs="Arial"/>
                <w:sz w:val="22"/>
                <w:szCs w:val="22"/>
                <w:lang w:val="en-GB"/>
              </w:rPr>
              <w:t>such as:</w:t>
            </w:r>
          </w:p>
          <w:p w:rsidR="004C5486" w:rsidRDefault="004C5486" w:rsidP="004C5486">
            <w:pPr>
              <w:pStyle w:val="ListParagraph"/>
              <w:numPr>
                <w:ilvl w:val="1"/>
                <w:numId w:val="9"/>
              </w:numPr>
              <w:overflowPunct/>
              <w:autoSpaceDE/>
              <w:autoSpaceDN/>
              <w:adjustRightInd/>
              <w:spacing w:after="200"/>
              <w:contextualSpacing/>
              <w:textAlignment w:val="auto"/>
              <w:rPr>
                <w:rFonts w:cs="Arial"/>
                <w:sz w:val="22"/>
                <w:szCs w:val="22"/>
                <w:lang w:val="en-GB"/>
              </w:rPr>
            </w:pPr>
            <w:r>
              <w:rPr>
                <w:rFonts w:cs="Arial"/>
                <w:sz w:val="22"/>
                <w:szCs w:val="22"/>
                <w:lang w:val="en-GB"/>
              </w:rPr>
              <w:t>limits on the ability of some workers (e.g. contractors, volunteers) to claim protection;</w:t>
            </w:r>
          </w:p>
          <w:p w:rsidR="004C5486" w:rsidRDefault="004C5486" w:rsidP="004C5486">
            <w:pPr>
              <w:pStyle w:val="ListParagraph"/>
              <w:numPr>
                <w:ilvl w:val="1"/>
                <w:numId w:val="9"/>
              </w:numPr>
              <w:overflowPunct/>
              <w:autoSpaceDE/>
              <w:autoSpaceDN/>
              <w:adjustRightInd/>
              <w:spacing w:after="200"/>
              <w:contextualSpacing/>
              <w:textAlignment w:val="auto"/>
              <w:rPr>
                <w:rFonts w:cs="Arial"/>
                <w:sz w:val="22"/>
                <w:szCs w:val="22"/>
                <w:lang w:val="en-GB"/>
              </w:rPr>
            </w:pPr>
            <w:r>
              <w:rPr>
                <w:rFonts w:cs="Arial"/>
                <w:sz w:val="22"/>
                <w:szCs w:val="22"/>
                <w:lang w:val="en-GB"/>
              </w:rPr>
              <w:t>requirements for ‘good faith’ (as opposed to honest belief on reasonable grounds);</w:t>
            </w:r>
          </w:p>
          <w:p w:rsidR="004C5486" w:rsidRDefault="004C5486" w:rsidP="004C5486">
            <w:pPr>
              <w:pStyle w:val="ListParagraph"/>
              <w:numPr>
                <w:ilvl w:val="1"/>
                <w:numId w:val="9"/>
              </w:numPr>
              <w:overflowPunct/>
              <w:autoSpaceDE/>
              <w:autoSpaceDN/>
              <w:adjustRightInd/>
              <w:spacing w:after="200"/>
              <w:contextualSpacing/>
              <w:textAlignment w:val="auto"/>
              <w:rPr>
                <w:rFonts w:cs="Arial"/>
                <w:sz w:val="22"/>
                <w:szCs w:val="22"/>
                <w:lang w:val="en-GB"/>
              </w:rPr>
            </w:pPr>
            <w:r>
              <w:rPr>
                <w:rFonts w:cs="Arial"/>
                <w:sz w:val="22"/>
                <w:szCs w:val="22"/>
                <w:lang w:val="en-GB"/>
              </w:rPr>
              <w:t xml:space="preserve">requirements for </w:t>
            </w:r>
            <w:proofErr w:type="spellStart"/>
            <w:r>
              <w:rPr>
                <w:rFonts w:cs="Arial"/>
                <w:sz w:val="22"/>
                <w:szCs w:val="22"/>
                <w:lang w:val="en-GB"/>
              </w:rPr>
              <w:t>whistleblowers</w:t>
            </w:r>
            <w:proofErr w:type="spellEnd"/>
            <w:r>
              <w:rPr>
                <w:rFonts w:cs="Arial"/>
                <w:sz w:val="22"/>
                <w:szCs w:val="22"/>
                <w:lang w:val="en-GB"/>
              </w:rPr>
              <w:t xml:space="preserve"> to always first identify themselves.</w:t>
            </w:r>
            <w:r>
              <w:rPr>
                <w:rFonts w:cs="Arial"/>
                <w:sz w:val="22"/>
                <w:szCs w:val="22"/>
                <w:lang w:val="en-GB"/>
              </w:rPr>
              <w:br/>
            </w:r>
          </w:p>
          <w:p w:rsidR="004C5486" w:rsidRPr="00351655" w:rsidRDefault="004C5486" w:rsidP="00351655">
            <w:pPr>
              <w:pStyle w:val="ListParagraph"/>
              <w:ind w:left="360"/>
              <w:rPr>
                <w:rFonts w:cs="Arial"/>
                <w:sz w:val="22"/>
                <w:szCs w:val="22"/>
                <w:lang w:val="en-GB"/>
              </w:rPr>
            </w:pPr>
          </w:p>
          <w:p w:rsidR="004C5486" w:rsidRDefault="004C5486" w:rsidP="004C5486">
            <w:pPr>
              <w:pStyle w:val="ListParagraph"/>
              <w:numPr>
                <w:ilvl w:val="0"/>
                <w:numId w:val="9"/>
              </w:numPr>
              <w:overflowPunct/>
              <w:autoSpaceDE/>
              <w:autoSpaceDN/>
              <w:adjustRightInd/>
              <w:textAlignment w:val="auto"/>
              <w:rPr>
                <w:rFonts w:cs="Arial"/>
                <w:sz w:val="22"/>
                <w:szCs w:val="22"/>
                <w:lang w:val="en-GB"/>
              </w:rPr>
            </w:pPr>
            <w:r>
              <w:rPr>
                <w:rFonts w:cs="Arial"/>
                <w:b/>
                <w:sz w:val="22"/>
                <w:szCs w:val="22"/>
                <w:lang w:val="en-GB"/>
              </w:rPr>
              <w:t xml:space="preserve">All Australian </w:t>
            </w:r>
            <w:proofErr w:type="spellStart"/>
            <w:r>
              <w:rPr>
                <w:rFonts w:cs="Arial"/>
                <w:b/>
                <w:sz w:val="22"/>
                <w:szCs w:val="22"/>
                <w:lang w:val="en-GB"/>
              </w:rPr>
              <w:t>whistleblower</w:t>
            </w:r>
            <w:proofErr w:type="spellEnd"/>
            <w:r>
              <w:rPr>
                <w:rFonts w:cs="Arial"/>
                <w:b/>
                <w:sz w:val="22"/>
                <w:szCs w:val="22"/>
                <w:lang w:val="en-GB"/>
              </w:rPr>
              <w:t xml:space="preserve"> protection laws should extend to </w:t>
            </w:r>
            <w:proofErr w:type="spellStart"/>
            <w:r>
              <w:rPr>
                <w:rFonts w:cs="Arial"/>
                <w:b/>
                <w:sz w:val="22"/>
                <w:szCs w:val="22"/>
                <w:lang w:val="en-GB"/>
              </w:rPr>
              <w:t>whistleblowers</w:t>
            </w:r>
            <w:proofErr w:type="spellEnd"/>
            <w:r>
              <w:rPr>
                <w:rFonts w:cs="Arial"/>
                <w:b/>
                <w:sz w:val="22"/>
                <w:szCs w:val="22"/>
                <w:lang w:val="en-GB"/>
              </w:rPr>
              <w:t xml:space="preserve"> who reasonably make their concerns public </w:t>
            </w:r>
            <w:r>
              <w:rPr>
                <w:rFonts w:cs="Arial"/>
                <w:sz w:val="22"/>
                <w:szCs w:val="22"/>
                <w:lang w:val="en-GB"/>
              </w:rPr>
              <w:t xml:space="preserve">-- for example because there is no safe mechanism for internal or regulatory reporting, their employer fails to respond reasonably to their disclosure, or other reasonable circumstances -- including availability of a </w:t>
            </w:r>
            <w:r>
              <w:rPr>
                <w:rFonts w:cs="Arial"/>
                <w:b/>
                <w:sz w:val="22"/>
                <w:szCs w:val="22"/>
                <w:lang w:val="en-GB"/>
              </w:rPr>
              <w:t xml:space="preserve">statutory public interest defence </w:t>
            </w:r>
            <w:r>
              <w:rPr>
                <w:rFonts w:cs="Arial"/>
                <w:sz w:val="22"/>
                <w:szCs w:val="22"/>
                <w:lang w:val="en-GB"/>
              </w:rPr>
              <w:t>to civil or criminal proceedings in those situations.</w:t>
            </w:r>
            <w:r>
              <w:rPr>
                <w:rFonts w:cs="Arial"/>
                <w:sz w:val="22"/>
                <w:szCs w:val="22"/>
                <w:lang w:val="en-GB"/>
              </w:rPr>
              <w:br/>
            </w:r>
          </w:p>
          <w:p w:rsidR="004C5486" w:rsidRPr="00F3715C" w:rsidRDefault="004C5486" w:rsidP="004C5486">
            <w:pPr>
              <w:pStyle w:val="ListParagraph"/>
              <w:numPr>
                <w:ilvl w:val="0"/>
                <w:numId w:val="9"/>
              </w:numPr>
              <w:overflowPunct/>
              <w:autoSpaceDE/>
              <w:autoSpaceDN/>
              <w:adjustRightInd/>
              <w:spacing w:after="200"/>
              <w:contextualSpacing/>
              <w:textAlignment w:val="auto"/>
              <w:rPr>
                <w:rFonts w:cs="Arial"/>
                <w:sz w:val="22"/>
                <w:szCs w:val="22"/>
                <w:lang w:val="en-GB"/>
              </w:rPr>
            </w:pPr>
            <w:r w:rsidRPr="00F5322B">
              <w:rPr>
                <w:rFonts w:cs="Arial"/>
                <w:b/>
                <w:sz w:val="22"/>
                <w:szCs w:val="22"/>
                <w:lang w:val="en-GB"/>
              </w:rPr>
              <w:t xml:space="preserve">Deliberate reprisals against public </w:t>
            </w:r>
            <w:r w:rsidRPr="008317DA">
              <w:rPr>
                <w:rFonts w:cs="Arial"/>
                <w:b/>
                <w:sz w:val="22"/>
                <w:szCs w:val="22"/>
                <w:lang w:val="en-GB"/>
              </w:rPr>
              <w:t xml:space="preserve">interest </w:t>
            </w:r>
            <w:proofErr w:type="spellStart"/>
            <w:r w:rsidRPr="008317DA">
              <w:rPr>
                <w:rFonts w:cs="Arial"/>
                <w:b/>
                <w:sz w:val="22"/>
                <w:szCs w:val="22"/>
                <w:lang w:val="en-GB"/>
              </w:rPr>
              <w:t>whistleblowers</w:t>
            </w:r>
            <w:proofErr w:type="spellEnd"/>
            <w:r w:rsidRPr="008317DA">
              <w:rPr>
                <w:rFonts w:cs="Arial"/>
                <w:b/>
                <w:sz w:val="22"/>
                <w:szCs w:val="22"/>
                <w:lang w:val="en-GB"/>
              </w:rPr>
              <w:t xml:space="preserve"> should be criminal – but civil remedies should be made available, via low-cost avenues, wherever a </w:t>
            </w:r>
            <w:proofErr w:type="spellStart"/>
            <w:r w:rsidRPr="008317DA">
              <w:rPr>
                <w:rFonts w:cs="Arial"/>
                <w:b/>
                <w:sz w:val="22"/>
                <w:szCs w:val="22"/>
                <w:lang w:val="en-GB"/>
              </w:rPr>
              <w:t>whistleblower</w:t>
            </w:r>
            <w:proofErr w:type="spellEnd"/>
            <w:r w:rsidRPr="008317DA">
              <w:rPr>
                <w:rFonts w:cs="Arial"/>
                <w:b/>
                <w:sz w:val="22"/>
                <w:szCs w:val="22"/>
                <w:lang w:val="en-GB"/>
              </w:rPr>
              <w:t xml:space="preserve"> suffers personally or in employment </w:t>
            </w:r>
            <w:r w:rsidRPr="008317DA">
              <w:rPr>
                <w:rFonts w:cs="Arial"/>
                <w:sz w:val="22"/>
                <w:szCs w:val="22"/>
                <w:lang w:val="en-GB"/>
              </w:rPr>
              <w:t>as a result of inadequate support and protec</w:t>
            </w:r>
            <w:r>
              <w:rPr>
                <w:rFonts w:cs="Arial"/>
                <w:sz w:val="22"/>
                <w:szCs w:val="22"/>
                <w:lang w:val="en-GB"/>
              </w:rPr>
              <w:t>tion from their employer or relevant regulator</w:t>
            </w:r>
            <w:r w:rsidRPr="008317DA">
              <w:rPr>
                <w:rFonts w:cs="Arial"/>
                <w:sz w:val="22"/>
                <w:szCs w:val="22"/>
                <w:lang w:val="en-GB"/>
              </w:rPr>
              <w:t>s</w:t>
            </w:r>
            <w:r>
              <w:rPr>
                <w:rFonts w:cs="Arial"/>
                <w:sz w:val="22"/>
                <w:szCs w:val="22"/>
                <w:lang w:val="en-GB"/>
              </w:rPr>
              <w:t xml:space="preserve"> – </w:t>
            </w:r>
            <w:r w:rsidRPr="00F3715C">
              <w:rPr>
                <w:rFonts w:cs="Arial"/>
                <w:sz w:val="22"/>
                <w:szCs w:val="22"/>
                <w:lang w:val="en-GB"/>
              </w:rPr>
              <w:t>including any failure to have or follow minimum procedures, or where any person ‘</w:t>
            </w:r>
            <w:r w:rsidRPr="00F3715C">
              <w:rPr>
                <w:sz w:val="22"/>
                <w:szCs w:val="22"/>
              </w:rPr>
              <w:t>failed to fulfil a duty to prevent, refrain from, or take reasonable steps to ensure other persons under the person’s control prevented or refrained from’ detrimental conduct (</w:t>
            </w:r>
            <w:r w:rsidRPr="00351655">
              <w:rPr>
                <w:i/>
                <w:sz w:val="22"/>
                <w:szCs w:val="22"/>
              </w:rPr>
              <w:t>Fair Work Registered Organisations Act</w:t>
            </w:r>
            <w:r w:rsidRPr="00F3715C">
              <w:rPr>
                <w:sz w:val="22"/>
                <w:szCs w:val="22"/>
              </w:rPr>
              <w:t>, s.337BB).</w:t>
            </w:r>
            <w:r w:rsidRPr="00F3715C">
              <w:rPr>
                <w:sz w:val="22"/>
                <w:szCs w:val="22"/>
              </w:rPr>
              <w:br/>
            </w:r>
          </w:p>
          <w:p w:rsidR="004C5486" w:rsidRPr="006F1EC8" w:rsidRDefault="004C5486" w:rsidP="004C5486">
            <w:pPr>
              <w:pStyle w:val="ListParagraph"/>
              <w:numPr>
                <w:ilvl w:val="0"/>
                <w:numId w:val="9"/>
              </w:numPr>
              <w:overflowPunct/>
              <w:autoSpaceDE/>
              <w:autoSpaceDN/>
              <w:adjustRightInd/>
              <w:spacing w:after="200"/>
              <w:contextualSpacing/>
              <w:textAlignment w:val="auto"/>
              <w:rPr>
                <w:rFonts w:cs="Arial"/>
                <w:sz w:val="22"/>
                <w:szCs w:val="22"/>
                <w:lang w:val="en-GB"/>
              </w:rPr>
            </w:pPr>
            <w:r w:rsidRPr="008317DA">
              <w:rPr>
                <w:rFonts w:cs="Arial"/>
                <w:b/>
                <w:sz w:val="22"/>
                <w:szCs w:val="22"/>
                <w:lang w:val="en-GB"/>
              </w:rPr>
              <w:t xml:space="preserve">Australia should </w:t>
            </w:r>
            <w:r w:rsidRPr="008317DA">
              <w:rPr>
                <w:b/>
                <w:noProof/>
                <w:sz w:val="22"/>
                <w:szCs w:val="22"/>
                <w:lang w:val="en-GB"/>
              </w:rPr>
              <w:t xml:space="preserve">seriously consider the benefits of </w:t>
            </w:r>
            <w:r w:rsidRPr="008317DA">
              <w:rPr>
                <w:b/>
                <w:i/>
                <w:noProof/>
                <w:sz w:val="22"/>
                <w:szCs w:val="22"/>
                <w:lang w:val="en-GB"/>
              </w:rPr>
              <w:t xml:space="preserve">qui tam </w:t>
            </w:r>
            <w:r w:rsidRPr="008317DA">
              <w:rPr>
                <w:b/>
                <w:noProof/>
                <w:sz w:val="22"/>
                <w:szCs w:val="22"/>
                <w:lang w:val="en-GB"/>
              </w:rPr>
              <w:t>provisions which incentivise corporate employees to disclose fraud and wrongdoing</w:t>
            </w:r>
            <w:r w:rsidRPr="008317DA">
              <w:rPr>
                <w:noProof/>
                <w:sz w:val="22"/>
                <w:szCs w:val="22"/>
                <w:lang w:val="en-GB"/>
              </w:rPr>
              <w:t xml:space="preserve"> by providing rewards of up </w:t>
            </w:r>
            <w:r w:rsidRPr="006F1EC8">
              <w:rPr>
                <w:noProof/>
                <w:sz w:val="22"/>
                <w:szCs w:val="22"/>
                <w:shd w:val="clear" w:color="auto" w:fill="D9D9D9" w:themeFill="background1" w:themeFillShade="D9"/>
                <w:lang w:val="en-GB"/>
              </w:rPr>
              <w:t xml:space="preserve">to </w:t>
            </w:r>
            <w:r w:rsidRPr="006F1EC8">
              <w:rPr>
                <w:rFonts w:cs="Arial"/>
                <w:color w:val="252525"/>
                <w:sz w:val="22"/>
                <w:szCs w:val="22"/>
                <w:shd w:val="clear" w:color="auto" w:fill="D9D9D9" w:themeFill="background1" w:themeFillShade="D9"/>
              </w:rPr>
              <w:t>25 per cent of recovered</w:t>
            </w:r>
            <w:r w:rsidRPr="006F1EC8">
              <w:rPr>
                <w:rStyle w:val="apple-converted-space"/>
                <w:rFonts w:cs="Arial"/>
                <w:color w:val="252525"/>
                <w:sz w:val="22"/>
                <w:szCs w:val="22"/>
                <w:shd w:val="clear" w:color="auto" w:fill="D9D9D9" w:themeFill="background1" w:themeFillShade="D9"/>
              </w:rPr>
              <w:t> </w:t>
            </w:r>
            <w:r w:rsidRPr="006F1EC8">
              <w:rPr>
                <w:rFonts w:cs="Arial"/>
                <w:sz w:val="22"/>
                <w:szCs w:val="22"/>
                <w:shd w:val="clear" w:color="auto" w:fill="D9D9D9" w:themeFill="background1" w:themeFillShade="D9"/>
              </w:rPr>
              <w:t>damages, or penalties, such as under the US</w:t>
            </w:r>
            <w:r w:rsidRPr="008317DA">
              <w:rPr>
                <w:rFonts w:cs="Arial"/>
                <w:sz w:val="22"/>
                <w:szCs w:val="22"/>
                <w:shd w:val="clear" w:color="auto" w:fill="FFFFFF"/>
              </w:rPr>
              <w:t xml:space="preserve"> </w:t>
            </w:r>
            <w:r w:rsidRPr="008317DA">
              <w:rPr>
                <w:sz w:val="22"/>
                <w:szCs w:val="22"/>
              </w:rPr>
              <w:t xml:space="preserve">federal </w:t>
            </w:r>
            <w:r w:rsidRPr="008317DA">
              <w:rPr>
                <w:i/>
                <w:sz w:val="22"/>
                <w:szCs w:val="22"/>
              </w:rPr>
              <w:t>False Claims Act</w:t>
            </w:r>
            <w:r>
              <w:rPr>
                <w:sz w:val="22"/>
                <w:szCs w:val="22"/>
              </w:rPr>
              <w:t xml:space="preserve"> – while recognising that since much whistleblowing does not concern fraud or lead to financial penalties, </w:t>
            </w:r>
            <w:r w:rsidRPr="006F1EC8">
              <w:rPr>
                <w:sz w:val="22"/>
                <w:szCs w:val="22"/>
              </w:rPr>
              <w:t xml:space="preserve">comprehensive compensation provisions (above) </w:t>
            </w:r>
            <w:r>
              <w:rPr>
                <w:sz w:val="22"/>
                <w:szCs w:val="22"/>
              </w:rPr>
              <w:t xml:space="preserve">are still needed </w:t>
            </w:r>
            <w:r w:rsidRPr="006F1EC8">
              <w:rPr>
                <w:sz w:val="22"/>
                <w:szCs w:val="22"/>
              </w:rPr>
              <w:t xml:space="preserve">to ensure fair outcomes </w:t>
            </w:r>
            <w:r>
              <w:rPr>
                <w:sz w:val="22"/>
                <w:szCs w:val="22"/>
              </w:rPr>
              <w:t>in most cases</w:t>
            </w:r>
            <w:r w:rsidRPr="006F1EC8">
              <w:rPr>
                <w:sz w:val="22"/>
                <w:szCs w:val="22"/>
              </w:rPr>
              <w:t>.</w:t>
            </w:r>
          </w:p>
        </w:tc>
      </w:tr>
      <w:tr w:rsidR="004C5486" w:rsidRPr="0076193F" w:rsidTr="00564B88">
        <w:trPr>
          <w:cantSplit/>
          <w:trHeight w:val="1457"/>
        </w:trPr>
        <w:tc>
          <w:tcPr>
            <w:tcW w:w="9651" w:type="dxa"/>
            <w:shd w:val="clear" w:color="auto" w:fill="DDDEDD"/>
          </w:tcPr>
          <w:p w:rsidR="004C5486" w:rsidRPr="005458EC" w:rsidRDefault="004C5486" w:rsidP="004C5486">
            <w:pPr>
              <w:pStyle w:val="ListParagraph"/>
              <w:numPr>
                <w:ilvl w:val="0"/>
                <w:numId w:val="9"/>
              </w:numPr>
              <w:overflowPunct/>
              <w:autoSpaceDE/>
              <w:autoSpaceDN/>
              <w:adjustRightInd/>
              <w:spacing w:after="200"/>
              <w:contextualSpacing/>
              <w:textAlignment w:val="auto"/>
              <w:rPr>
                <w:rFonts w:cs="Arial"/>
                <w:sz w:val="22"/>
                <w:szCs w:val="22"/>
                <w:lang w:val="en-GB"/>
              </w:rPr>
            </w:pPr>
            <w:r>
              <w:rPr>
                <w:rFonts w:cs="Arial"/>
                <w:b/>
                <w:sz w:val="22"/>
                <w:szCs w:val="22"/>
                <w:lang w:val="en-GB"/>
              </w:rPr>
              <w:t>G</w:t>
            </w:r>
            <w:r w:rsidRPr="008317DA">
              <w:rPr>
                <w:rFonts w:cs="Arial"/>
                <w:b/>
                <w:sz w:val="22"/>
                <w:szCs w:val="22"/>
                <w:lang w:val="en-GB"/>
              </w:rPr>
              <w:t xml:space="preserve">overnments and business should support </w:t>
            </w:r>
            <w:r>
              <w:rPr>
                <w:rFonts w:cs="Arial"/>
                <w:b/>
                <w:sz w:val="22"/>
                <w:szCs w:val="22"/>
                <w:lang w:val="en-GB"/>
              </w:rPr>
              <w:t xml:space="preserve">development and implementation of </w:t>
            </w:r>
            <w:r w:rsidRPr="008317DA">
              <w:rPr>
                <w:rFonts w:cs="Arial"/>
                <w:b/>
                <w:sz w:val="22"/>
                <w:szCs w:val="22"/>
                <w:lang w:val="en-GB"/>
              </w:rPr>
              <w:t>best practice whistleblowing management systems in organisation</w:t>
            </w:r>
            <w:r w:rsidRPr="005458EC">
              <w:rPr>
                <w:rFonts w:cs="Arial"/>
                <w:b/>
                <w:sz w:val="22"/>
                <w:szCs w:val="22"/>
                <w:lang w:val="en-GB"/>
              </w:rPr>
              <w:t>s,</w:t>
            </w:r>
            <w:r w:rsidRPr="005458EC">
              <w:rPr>
                <w:rFonts w:cs="Arial"/>
                <w:sz w:val="22"/>
                <w:szCs w:val="22"/>
                <w:lang w:val="en-GB"/>
              </w:rPr>
              <w:t xml:space="preserve"> including:</w:t>
            </w:r>
          </w:p>
          <w:p w:rsidR="004C5486" w:rsidRDefault="004C5486" w:rsidP="004C5486">
            <w:pPr>
              <w:pStyle w:val="ListParagraph"/>
              <w:numPr>
                <w:ilvl w:val="1"/>
                <w:numId w:val="9"/>
              </w:numPr>
              <w:overflowPunct/>
              <w:autoSpaceDE/>
              <w:autoSpaceDN/>
              <w:adjustRightInd/>
              <w:spacing w:after="200"/>
              <w:contextualSpacing/>
              <w:textAlignment w:val="auto"/>
              <w:rPr>
                <w:rFonts w:cs="Arial"/>
                <w:sz w:val="22"/>
                <w:szCs w:val="22"/>
                <w:lang w:val="en-GB"/>
              </w:rPr>
            </w:pPr>
            <w:r>
              <w:rPr>
                <w:rFonts w:cs="Arial"/>
                <w:sz w:val="22"/>
                <w:szCs w:val="22"/>
                <w:lang w:val="en-GB"/>
              </w:rPr>
              <w:t xml:space="preserve">Development of the new </w:t>
            </w:r>
            <w:r w:rsidRPr="000D1BB6">
              <w:rPr>
                <w:rFonts w:cs="Arial"/>
                <w:b/>
                <w:sz w:val="22"/>
                <w:szCs w:val="22"/>
                <w:lang w:val="en-GB"/>
              </w:rPr>
              <w:t>Australian Standard</w:t>
            </w:r>
            <w:r>
              <w:rPr>
                <w:rFonts w:cs="Arial"/>
                <w:sz w:val="22"/>
                <w:szCs w:val="22"/>
                <w:lang w:val="en-GB"/>
              </w:rPr>
              <w:t xml:space="preserve"> </w:t>
            </w:r>
            <w:r w:rsidRPr="00945D93">
              <w:rPr>
                <w:rFonts w:cs="Arial"/>
                <w:b/>
                <w:sz w:val="22"/>
                <w:szCs w:val="22"/>
                <w:lang w:val="en-GB"/>
              </w:rPr>
              <w:t xml:space="preserve">on </w:t>
            </w:r>
            <w:proofErr w:type="spellStart"/>
            <w:r w:rsidRPr="00945D93">
              <w:rPr>
                <w:rFonts w:cs="Arial"/>
                <w:b/>
                <w:sz w:val="22"/>
                <w:szCs w:val="22"/>
                <w:lang w:val="en-GB"/>
              </w:rPr>
              <w:t>Whistleblower</w:t>
            </w:r>
            <w:proofErr w:type="spellEnd"/>
            <w:r w:rsidRPr="00945D93">
              <w:rPr>
                <w:rFonts w:cs="Arial"/>
                <w:b/>
                <w:sz w:val="22"/>
                <w:szCs w:val="22"/>
                <w:lang w:val="en-GB"/>
              </w:rPr>
              <w:t xml:space="preserve"> Protection</w:t>
            </w:r>
            <w:r>
              <w:rPr>
                <w:rFonts w:cs="Arial"/>
                <w:sz w:val="22"/>
                <w:szCs w:val="22"/>
                <w:lang w:val="en-GB"/>
              </w:rPr>
              <w:t>;</w:t>
            </w:r>
          </w:p>
          <w:p w:rsidR="004C5486" w:rsidRDefault="004C5486" w:rsidP="004C5486">
            <w:pPr>
              <w:pStyle w:val="ListParagraph"/>
              <w:numPr>
                <w:ilvl w:val="1"/>
                <w:numId w:val="9"/>
              </w:numPr>
              <w:overflowPunct/>
              <w:autoSpaceDE/>
              <w:autoSpaceDN/>
              <w:adjustRightInd/>
              <w:spacing w:after="200"/>
              <w:contextualSpacing/>
              <w:textAlignment w:val="auto"/>
              <w:rPr>
                <w:rFonts w:cs="Arial"/>
                <w:sz w:val="22"/>
                <w:szCs w:val="22"/>
                <w:lang w:val="en-GB"/>
              </w:rPr>
            </w:pPr>
            <w:r>
              <w:rPr>
                <w:rFonts w:cs="Arial"/>
                <w:sz w:val="22"/>
                <w:szCs w:val="22"/>
                <w:lang w:val="en-GB"/>
              </w:rPr>
              <w:t xml:space="preserve">Statutory requirements for </w:t>
            </w:r>
            <w:r w:rsidRPr="007E4DAA">
              <w:rPr>
                <w:rFonts w:cs="Arial"/>
                <w:sz w:val="22"/>
                <w:szCs w:val="22"/>
                <w:lang w:val="en-GB"/>
              </w:rPr>
              <w:t>minimum</w:t>
            </w:r>
            <w:r>
              <w:rPr>
                <w:rFonts w:cs="Arial"/>
                <w:sz w:val="22"/>
                <w:szCs w:val="22"/>
                <w:lang w:val="en-GB"/>
              </w:rPr>
              <w:t xml:space="preserve"> whistleblowing procedures consistent with the Standard, and based on research such as </w:t>
            </w:r>
            <w:r>
              <w:rPr>
                <w:rFonts w:cs="Arial"/>
                <w:i/>
                <w:sz w:val="22"/>
                <w:szCs w:val="22"/>
                <w:lang w:val="en-GB"/>
              </w:rPr>
              <w:t>Whistling While They Work 2;</w:t>
            </w:r>
          </w:p>
          <w:p w:rsidR="004C5486" w:rsidRDefault="004C5486" w:rsidP="004C5486">
            <w:pPr>
              <w:pStyle w:val="ListParagraph"/>
              <w:numPr>
                <w:ilvl w:val="1"/>
                <w:numId w:val="9"/>
              </w:numPr>
              <w:overflowPunct/>
              <w:autoSpaceDE/>
              <w:autoSpaceDN/>
              <w:adjustRightInd/>
              <w:spacing w:after="200"/>
              <w:contextualSpacing/>
              <w:textAlignment w:val="auto"/>
              <w:rPr>
                <w:rFonts w:cs="Arial"/>
                <w:sz w:val="22"/>
                <w:szCs w:val="22"/>
                <w:lang w:val="en-GB"/>
              </w:rPr>
            </w:pPr>
            <w:r>
              <w:rPr>
                <w:rFonts w:cs="Arial"/>
                <w:sz w:val="22"/>
                <w:szCs w:val="22"/>
                <w:lang w:val="en-GB"/>
              </w:rPr>
              <w:t>Effective oversight and independent monitoring and compliance, and</w:t>
            </w:r>
            <w:r>
              <w:rPr>
                <w:rFonts w:cs="Arial"/>
                <w:sz w:val="22"/>
                <w:szCs w:val="22"/>
                <w:lang w:val="en-GB"/>
              </w:rPr>
              <w:br/>
            </w:r>
          </w:p>
          <w:p w:rsidR="004C5486" w:rsidRPr="00351655" w:rsidRDefault="004C5486" w:rsidP="004C5486">
            <w:pPr>
              <w:pStyle w:val="ListParagraph"/>
              <w:numPr>
                <w:ilvl w:val="0"/>
                <w:numId w:val="9"/>
              </w:numPr>
              <w:overflowPunct/>
              <w:autoSpaceDE/>
              <w:autoSpaceDN/>
              <w:adjustRightInd/>
              <w:spacing w:after="120"/>
              <w:contextualSpacing/>
              <w:jc w:val="both"/>
              <w:textAlignment w:val="auto"/>
              <w:rPr>
                <w:lang w:val="en-GB"/>
              </w:rPr>
            </w:pPr>
            <w:r>
              <w:rPr>
                <w:rFonts w:cs="Arial"/>
                <w:b/>
                <w:sz w:val="22"/>
                <w:szCs w:val="22"/>
                <w:lang w:val="en-GB"/>
              </w:rPr>
              <w:t xml:space="preserve">Independent advice, support and legal services </w:t>
            </w:r>
            <w:r w:rsidRPr="006F1EC8">
              <w:rPr>
                <w:rFonts w:cs="Arial"/>
                <w:b/>
                <w:sz w:val="22"/>
                <w:szCs w:val="22"/>
                <w:lang w:val="en-GB"/>
              </w:rPr>
              <w:t>should be e</w:t>
            </w:r>
            <w:r>
              <w:rPr>
                <w:rFonts w:cs="Arial"/>
                <w:b/>
                <w:sz w:val="22"/>
                <w:szCs w:val="22"/>
                <w:lang w:val="en-GB"/>
              </w:rPr>
              <w:t>xpanded</w:t>
            </w:r>
            <w:r w:rsidRPr="006F1EC8">
              <w:rPr>
                <w:rFonts w:cs="Arial"/>
                <w:b/>
                <w:sz w:val="22"/>
                <w:szCs w:val="22"/>
                <w:lang w:val="en-GB"/>
              </w:rPr>
              <w:t xml:space="preserve"> </w:t>
            </w:r>
            <w:r>
              <w:rPr>
                <w:rFonts w:cs="Arial"/>
                <w:sz w:val="22"/>
                <w:szCs w:val="22"/>
                <w:lang w:val="en-GB"/>
              </w:rPr>
              <w:t xml:space="preserve">as part of improved oversight and compliance under new laws, </w:t>
            </w:r>
            <w:r w:rsidRPr="006F1EC8">
              <w:rPr>
                <w:rFonts w:cs="Arial"/>
                <w:sz w:val="22"/>
                <w:szCs w:val="22"/>
                <w:lang w:val="en-GB"/>
              </w:rPr>
              <w:t xml:space="preserve">to assist organisations and employees in detecting and dealing with wrongdoing, </w:t>
            </w:r>
            <w:r>
              <w:rPr>
                <w:rFonts w:cs="Arial"/>
                <w:sz w:val="22"/>
                <w:szCs w:val="22"/>
                <w:lang w:val="en-GB"/>
              </w:rPr>
              <w:t xml:space="preserve">help </w:t>
            </w:r>
            <w:r w:rsidRPr="006F1EC8">
              <w:rPr>
                <w:rFonts w:cs="Arial"/>
                <w:sz w:val="22"/>
                <w:szCs w:val="22"/>
                <w:lang w:val="en-GB"/>
              </w:rPr>
              <w:t>organisations with best practice</w:t>
            </w:r>
            <w:r>
              <w:rPr>
                <w:rFonts w:cs="Arial"/>
                <w:sz w:val="22"/>
                <w:szCs w:val="22"/>
                <w:lang w:val="en-GB"/>
              </w:rPr>
              <w:t xml:space="preserve"> whistleblowing procedure</w:t>
            </w:r>
            <w:r w:rsidRPr="006F1EC8">
              <w:rPr>
                <w:rFonts w:cs="Arial"/>
                <w:sz w:val="22"/>
                <w:szCs w:val="22"/>
                <w:lang w:val="en-GB"/>
              </w:rPr>
              <w:t xml:space="preserve">s, and </w:t>
            </w:r>
            <w:r>
              <w:rPr>
                <w:rFonts w:cs="Arial"/>
                <w:sz w:val="22"/>
                <w:szCs w:val="22"/>
                <w:lang w:val="en-GB"/>
              </w:rPr>
              <w:t xml:space="preserve">ensure access to remedies and justice for public interest </w:t>
            </w:r>
            <w:proofErr w:type="spellStart"/>
            <w:r w:rsidRPr="006F1EC8">
              <w:rPr>
                <w:rFonts w:cs="Arial"/>
                <w:sz w:val="22"/>
                <w:szCs w:val="22"/>
                <w:lang w:val="en-GB"/>
              </w:rPr>
              <w:t>whistleblowers</w:t>
            </w:r>
            <w:proofErr w:type="spellEnd"/>
            <w:r w:rsidRPr="006F1EC8">
              <w:rPr>
                <w:rFonts w:cs="Arial"/>
                <w:sz w:val="22"/>
                <w:szCs w:val="22"/>
                <w:lang w:val="en-GB"/>
              </w:rPr>
              <w:t>.</w:t>
            </w:r>
          </w:p>
          <w:p w:rsidR="004C5486" w:rsidRPr="00351655" w:rsidRDefault="004C5486" w:rsidP="00351655">
            <w:pPr>
              <w:spacing w:after="120"/>
              <w:jc w:val="both"/>
              <w:rPr>
                <w:lang w:val="en-GB"/>
              </w:rPr>
            </w:pPr>
          </w:p>
        </w:tc>
      </w:tr>
    </w:tbl>
    <w:p w:rsidR="004C5486" w:rsidRDefault="004C5486" w:rsidP="00B00332">
      <w:pPr>
        <w:rPr>
          <w:sz w:val="22"/>
          <w:szCs w:val="22"/>
          <w:lang w:val="en-GB"/>
        </w:rPr>
      </w:pPr>
    </w:p>
    <w:p w:rsidR="004C5486" w:rsidRDefault="004C5486" w:rsidP="00B00332">
      <w:pPr>
        <w:rPr>
          <w:sz w:val="22"/>
          <w:szCs w:val="22"/>
          <w:lang w:val="en-GB"/>
        </w:rPr>
      </w:pPr>
    </w:p>
    <w:p w:rsidR="00353B97" w:rsidRPr="00353B97" w:rsidRDefault="00353B97" w:rsidP="009F36F7">
      <w:pPr>
        <w:tabs>
          <w:tab w:val="left" w:pos="4678"/>
        </w:tabs>
        <w:rPr>
          <w:rFonts w:ascii="Calibri" w:hAnsi="Calibri"/>
          <w:szCs w:val="24"/>
        </w:rPr>
      </w:pPr>
    </w:p>
    <w:sectPr w:rsidR="00353B97" w:rsidRPr="00353B97" w:rsidSect="00E5435E">
      <w:headerReference w:type="default" r:id="rId20"/>
      <w:headerReference w:type="first" r:id="rId21"/>
      <w:pgSz w:w="11907" w:h="16840" w:code="9"/>
      <w:pgMar w:top="1440" w:right="1134" w:bottom="1134" w:left="1134" w:header="510" w:footer="1304" w:gutter="0"/>
      <w:cols w:space="1134"/>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527" w:rsidRDefault="00E36527">
      <w:r>
        <w:separator/>
      </w:r>
    </w:p>
  </w:endnote>
  <w:endnote w:type="continuationSeparator" w:id="0">
    <w:p w:rsidR="00E36527" w:rsidRDefault="00E36527">
      <w:r>
        <w:continuationSeparator/>
      </w:r>
    </w:p>
  </w:endnote>
  <w:endnote w:id="1">
    <w:p w:rsidR="004C5486" w:rsidRPr="0034031C" w:rsidRDefault="004C5486">
      <w:pPr>
        <w:pStyle w:val="EndnoteText"/>
        <w:rPr>
          <w:rFonts w:cs="Arial"/>
          <w:lang w:val="en-AU"/>
        </w:rPr>
      </w:pPr>
      <w:r>
        <w:rPr>
          <w:rStyle w:val="EndnoteReference"/>
          <w:rFonts w:cs="Arial"/>
        </w:rPr>
        <w:t>1</w:t>
      </w:r>
      <w:r w:rsidRPr="0034031C">
        <w:rPr>
          <w:rFonts w:cs="Arial"/>
        </w:rPr>
        <w:t xml:space="preserve"> See </w:t>
      </w:r>
      <w:r w:rsidRPr="0034031C">
        <w:rPr>
          <w:rFonts w:cs="Arial"/>
          <w:color w:val="auto"/>
          <w:lang w:val="en-AU"/>
        </w:rPr>
        <w:t xml:space="preserve">M </w:t>
      </w:r>
      <w:proofErr w:type="spellStart"/>
      <w:r w:rsidRPr="0034031C">
        <w:rPr>
          <w:rFonts w:cs="Arial"/>
          <w:color w:val="auto"/>
          <w:lang w:val="en-AU"/>
        </w:rPr>
        <w:t>Gorbanova</w:t>
      </w:r>
      <w:proofErr w:type="spellEnd"/>
      <w:r w:rsidRPr="0034031C">
        <w:rPr>
          <w:rFonts w:cs="Arial"/>
          <w:color w:val="auto"/>
          <w:lang w:val="en-AU"/>
        </w:rPr>
        <w:t xml:space="preserve">, </w:t>
      </w:r>
      <w:r w:rsidRPr="0034031C">
        <w:rPr>
          <w:rFonts w:cs="Arial"/>
          <w:i/>
          <w:color w:val="auto"/>
          <w:lang w:val="en-AU"/>
        </w:rPr>
        <w:t>Speak Up: Empowering citizens against corruption</w:t>
      </w:r>
      <w:r w:rsidRPr="0034031C">
        <w:rPr>
          <w:rFonts w:cs="Arial"/>
          <w:color w:val="auto"/>
          <w:lang w:val="en-AU"/>
        </w:rPr>
        <w:t xml:space="preserve">, Transparency International, April 2015 </w:t>
      </w:r>
      <w:hyperlink r:id="rId1" w:history="1">
        <w:r w:rsidRPr="0034031C">
          <w:rPr>
            <w:rStyle w:val="Hyperlink"/>
            <w:rFonts w:cs="Arial"/>
            <w:lang w:val="en-AU"/>
          </w:rPr>
          <w:t>http://www.transparency.org/whatwedo/publication/speak_up_empowering_citizens_against_corruption</w:t>
        </w:r>
      </w:hyperlink>
    </w:p>
  </w:endnote>
  <w:endnote w:id="2">
    <w:p w:rsidR="004C5486" w:rsidRPr="0034031C" w:rsidRDefault="004C5486" w:rsidP="000878CE">
      <w:pPr>
        <w:pStyle w:val="EndnoteText"/>
        <w:rPr>
          <w:rFonts w:cs="Arial"/>
          <w:lang w:val="en-GB"/>
        </w:rPr>
      </w:pPr>
      <w:r>
        <w:rPr>
          <w:rStyle w:val="EndnoteReference"/>
          <w:rFonts w:cs="Arial"/>
        </w:rPr>
        <w:t>2</w:t>
      </w:r>
      <w:r w:rsidRPr="0034031C">
        <w:rPr>
          <w:rFonts w:cs="Arial"/>
        </w:rPr>
        <w:t xml:space="preserve"> </w:t>
      </w:r>
      <w:r w:rsidRPr="0034031C">
        <w:rPr>
          <w:rFonts w:cs="Arial"/>
          <w:bCs/>
        </w:rPr>
        <w:t xml:space="preserve">OECD Compendium of Best Practices and Guiding Principles (2011) </w:t>
      </w:r>
      <w:hyperlink r:id="rId2" w:history="1">
        <w:r w:rsidRPr="0034031C">
          <w:rPr>
            <w:rStyle w:val="Hyperlink"/>
            <w:rFonts w:cs="Arial"/>
          </w:rPr>
          <w:t>http://www.oecd.org/g20/topics/anti-corruption/48972967.pdf</w:t>
        </w:r>
      </w:hyperlink>
      <w:r w:rsidRPr="0034031C">
        <w:rPr>
          <w:rFonts w:cs="Arial"/>
        </w:rPr>
        <w:t>.</w:t>
      </w:r>
    </w:p>
  </w:endnote>
  <w:endnote w:id="3">
    <w:p w:rsidR="004C5486" w:rsidRPr="0034031C" w:rsidRDefault="004C5486">
      <w:pPr>
        <w:pStyle w:val="EndnoteText"/>
        <w:rPr>
          <w:rFonts w:cs="Arial"/>
          <w:lang w:val="en-AU"/>
        </w:rPr>
      </w:pPr>
      <w:r>
        <w:rPr>
          <w:rStyle w:val="EndnoteReference"/>
          <w:rFonts w:cs="Arial"/>
        </w:rPr>
        <w:t>3</w:t>
      </w:r>
      <w:r w:rsidRPr="0034031C">
        <w:rPr>
          <w:rFonts w:cs="Arial"/>
        </w:rPr>
        <w:t xml:space="preserve"> </w:t>
      </w:r>
      <w:hyperlink r:id="rId3" w:history="1">
        <w:r w:rsidRPr="0034031C">
          <w:rPr>
            <w:rStyle w:val="Hyperlink"/>
            <w:rFonts w:cs="Arial"/>
            <w:noProof/>
            <w:lang w:val="en-GB"/>
          </w:rPr>
          <w:t>http://www.transparency.org/whatwedo/pub/international_principles_for_whistleblower_legislation</w:t>
        </w:r>
      </w:hyperlink>
      <w:r w:rsidRPr="0034031C">
        <w:rPr>
          <w:rStyle w:val="Hyperlink"/>
          <w:rFonts w:cs="Arial"/>
          <w:noProof/>
          <w:lang w:val="en-GB"/>
        </w:rPr>
        <w:t>.</w:t>
      </w:r>
    </w:p>
  </w:endnote>
  <w:endnote w:id="4">
    <w:p w:rsidR="004C5486" w:rsidRPr="0034031C" w:rsidRDefault="004C5486">
      <w:pPr>
        <w:pStyle w:val="EndnoteText"/>
        <w:rPr>
          <w:rFonts w:cs="Arial"/>
          <w:lang w:val="en-AU"/>
        </w:rPr>
      </w:pPr>
      <w:r>
        <w:rPr>
          <w:rStyle w:val="EndnoteReference"/>
          <w:rFonts w:cs="Arial"/>
        </w:rPr>
        <w:t>4</w:t>
      </w:r>
      <w:r w:rsidRPr="0034031C">
        <w:rPr>
          <w:rFonts w:cs="Arial"/>
        </w:rPr>
        <w:t xml:space="preserve"> </w:t>
      </w:r>
      <w:r w:rsidRPr="0034031C">
        <w:rPr>
          <w:rFonts w:cs="Arial"/>
          <w:lang w:val="en-AU"/>
        </w:rPr>
        <w:t xml:space="preserve">House of Representatives Standing Committee on Legal and Constitutional Affairs, </w:t>
      </w:r>
      <w:proofErr w:type="spellStart"/>
      <w:r w:rsidRPr="0034031C">
        <w:rPr>
          <w:rFonts w:cs="Arial"/>
          <w:i/>
          <w:lang w:val="en-AU"/>
        </w:rPr>
        <w:t>Whistleblower</w:t>
      </w:r>
      <w:proofErr w:type="spellEnd"/>
      <w:r w:rsidRPr="0034031C">
        <w:rPr>
          <w:rFonts w:cs="Arial"/>
          <w:i/>
          <w:lang w:val="en-AU"/>
        </w:rPr>
        <w:t xml:space="preserve"> Protection: A comprehensive scheme for the Commonwealth public sector</w:t>
      </w:r>
      <w:r w:rsidRPr="0034031C">
        <w:rPr>
          <w:rFonts w:cs="Arial"/>
          <w:lang w:val="en-AU"/>
        </w:rPr>
        <w:t xml:space="preserve"> (2009).</w:t>
      </w:r>
    </w:p>
  </w:endnote>
  <w:endnote w:id="5">
    <w:p w:rsidR="004C5486" w:rsidRPr="00B1026F" w:rsidRDefault="004C5486">
      <w:pPr>
        <w:pStyle w:val="EndnoteText"/>
        <w:rPr>
          <w:lang w:val="en-AU"/>
        </w:rPr>
      </w:pPr>
      <w:r>
        <w:rPr>
          <w:rStyle w:val="EndnoteReference"/>
        </w:rPr>
        <w:t>5</w:t>
      </w:r>
      <w:r>
        <w:t xml:space="preserve"> </w:t>
      </w:r>
      <w:r>
        <w:rPr>
          <w:lang w:val="en-AU"/>
        </w:rPr>
        <w:t xml:space="preserve">Moss Review: </w:t>
      </w:r>
      <w:r w:rsidRPr="00C009C5">
        <w:rPr>
          <w:lang w:val="en-AU"/>
        </w:rPr>
        <w:t>https://www.dpmc.gov.au/government/legislation-review/statutory-review-public-interest-disclosure-act-2013</w:t>
      </w:r>
      <w:r>
        <w:rPr>
          <w:lang w:val="en-AU"/>
        </w:rPr>
        <w:t>.</w:t>
      </w:r>
    </w:p>
  </w:endnote>
  <w:endnote w:id="6">
    <w:p w:rsidR="004C5486" w:rsidRPr="00AD3A46" w:rsidRDefault="004C5486" w:rsidP="00B1026F">
      <w:pPr>
        <w:pStyle w:val="EndnoteText"/>
        <w:rPr>
          <w:rFonts w:cs="Arial"/>
          <w:lang w:val="en-AU"/>
        </w:rPr>
      </w:pPr>
      <w:r>
        <w:rPr>
          <w:rStyle w:val="EndnoteReference"/>
          <w:rFonts w:cs="Arial"/>
        </w:rPr>
        <w:t>6</w:t>
      </w:r>
      <w:r w:rsidRPr="00AD3A46">
        <w:rPr>
          <w:rFonts w:cs="Arial"/>
        </w:rPr>
        <w:t xml:space="preserve"> </w:t>
      </w:r>
      <w:r w:rsidRPr="00AD3A46">
        <w:rPr>
          <w:rFonts w:cs="Arial"/>
          <w:lang w:val="en-AU"/>
        </w:rPr>
        <w:t>See A J Brown</w:t>
      </w:r>
      <w:r>
        <w:rPr>
          <w:rFonts w:cs="Arial"/>
          <w:lang w:val="en-AU"/>
        </w:rPr>
        <w:t xml:space="preserve"> (2013)</w:t>
      </w:r>
      <w:r w:rsidRPr="00AD3A46">
        <w:rPr>
          <w:rFonts w:cs="Arial"/>
          <w:lang w:val="en-AU"/>
        </w:rPr>
        <w:t xml:space="preserve">, </w:t>
      </w:r>
      <w:r w:rsidRPr="00AD3A46">
        <w:rPr>
          <w:rFonts w:cs="Arial"/>
        </w:rPr>
        <w:t xml:space="preserve">‘Towards 'ideal' whistleblowing legislation? Some lessons from recent Australian experience’, </w:t>
      </w:r>
      <w:r w:rsidRPr="00AD3A46">
        <w:rPr>
          <w:rFonts w:cs="Arial"/>
          <w:i/>
          <w:lang w:val="en-GB"/>
        </w:rPr>
        <w:t xml:space="preserve">E-Journal </w:t>
      </w:r>
      <w:r w:rsidRPr="00AD3A46">
        <w:rPr>
          <w:rFonts w:cs="Arial"/>
          <w:i/>
        </w:rPr>
        <w:t xml:space="preserve">of International and Comparative </w:t>
      </w:r>
      <w:proofErr w:type="spellStart"/>
      <w:r w:rsidRPr="00AD3A46">
        <w:rPr>
          <w:rFonts w:cs="Arial"/>
          <w:i/>
        </w:rPr>
        <w:t>Labour</w:t>
      </w:r>
      <w:proofErr w:type="spellEnd"/>
      <w:r w:rsidRPr="00AD3A46">
        <w:rPr>
          <w:rFonts w:cs="Arial"/>
          <w:i/>
        </w:rPr>
        <w:t xml:space="preserve"> Studies, </w:t>
      </w:r>
      <w:r w:rsidRPr="00AD3A46">
        <w:rPr>
          <w:rFonts w:cs="Arial"/>
        </w:rPr>
        <w:t>2(3): 153–182.</w:t>
      </w:r>
    </w:p>
  </w:endnote>
  <w:endnote w:id="7">
    <w:p w:rsidR="004C5486" w:rsidRPr="00AD3A46" w:rsidRDefault="004C5486" w:rsidP="00852B85">
      <w:pPr>
        <w:pStyle w:val="EndnoteText"/>
        <w:rPr>
          <w:rFonts w:cs="Arial"/>
          <w:lang w:val="en-AU"/>
        </w:rPr>
      </w:pPr>
      <w:r>
        <w:rPr>
          <w:rStyle w:val="EndnoteReference"/>
          <w:rFonts w:cs="Arial"/>
        </w:rPr>
        <w:t>7</w:t>
      </w:r>
      <w:r w:rsidRPr="0034031C">
        <w:rPr>
          <w:rFonts w:cs="Arial"/>
        </w:rPr>
        <w:t xml:space="preserve"> </w:t>
      </w:r>
      <w:r w:rsidRPr="00AD3A46">
        <w:rPr>
          <w:rFonts w:cs="Arial"/>
          <w:lang w:val="en-AU"/>
        </w:rPr>
        <w:t xml:space="preserve">See </w:t>
      </w:r>
      <w:r w:rsidRPr="00AD3A46">
        <w:rPr>
          <w:rFonts w:cs="Arial"/>
        </w:rPr>
        <w:t>Wolfe, S., Worth, M., Dreyfus, S &amp; Brown, A.J. (2014)</w:t>
      </w:r>
      <w:r>
        <w:rPr>
          <w:rFonts w:cs="Arial"/>
        </w:rPr>
        <w:t>,</w:t>
      </w:r>
      <w:r w:rsidRPr="00AD3A46">
        <w:rPr>
          <w:rFonts w:cs="Arial"/>
        </w:rPr>
        <w:t xml:space="preserve"> </w:t>
      </w:r>
      <w:r w:rsidRPr="00AD3A46">
        <w:rPr>
          <w:rFonts w:cs="Arial"/>
          <w:i/>
        </w:rPr>
        <w:t>Whistleblower Protection Laws in G20 Countries: Priorities for Action</w:t>
      </w:r>
      <w:r w:rsidRPr="00AD3A46">
        <w:rPr>
          <w:rFonts w:cs="Arial"/>
        </w:rPr>
        <w:t>, Blueprint for Free Speech, Griffith University, University of Melbourne, Transparency International Australia &lt;</w:t>
      </w:r>
      <w:r w:rsidRPr="00AD3A46">
        <w:rPr>
          <w:rStyle w:val="HTMLCite"/>
          <w:rFonts w:cs="Arial"/>
        </w:rPr>
        <w:t>https://</w:t>
      </w:r>
      <w:r w:rsidRPr="00AD3A46">
        <w:rPr>
          <w:rStyle w:val="HTMLCite"/>
          <w:rFonts w:cs="Arial"/>
          <w:bCs/>
        </w:rPr>
        <w:t>blueprintforfreespeech</w:t>
      </w:r>
      <w:r w:rsidRPr="00AD3A46">
        <w:rPr>
          <w:rStyle w:val="HTMLCite"/>
          <w:rFonts w:cs="Arial"/>
        </w:rPr>
        <w:t>.net</w:t>
      </w:r>
      <w:r w:rsidRPr="00AD3A46">
        <w:rPr>
          <w:rFonts w:cs="Arial"/>
          <w:i/>
        </w:rPr>
        <w:t xml:space="preserve">&gt; </w:t>
      </w:r>
      <w:r w:rsidRPr="00AD3A46">
        <w:rPr>
          <w:rFonts w:cs="Arial"/>
        </w:rPr>
        <w:t>September 2014.</w:t>
      </w:r>
    </w:p>
  </w:endnote>
  <w:endnote w:id="8">
    <w:p w:rsidR="004C5486" w:rsidRPr="00AD3A46" w:rsidRDefault="004C5486" w:rsidP="00852B85">
      <w:pPr>
        <w:pStyle w:val="EndnoteText"/>
        <w:rPr>
          <w:rFonts w:cs="Arial"/>
          <w:lang w:val="en-AU"/>
        </w:rPr>
      </w:pPr>
      <w:r>
        <w:rPr>
          <w:rStyle w:val="EndnoteReference"/>
          <w:rFonts w:cs="Arial"/>
        </w:rPr>
        <w:t>8</w:t>
      </w:r>
      <w:r w:rsidRPr="00AD3A46">
        <w:rPr>
          <w:rFonts w:cs="Arial"/>
        </w:rPr>
        <w:t xml:space="preserve"> </w:t>
      </w:r>
      <w:r w:rsidRPr="00AD3A46">
        <w:rPr>
          <w:rFonts w:cs="Arial"/>
          <w:color w:val="222222"/>
          <w:shd w:val="clear" w:color="auto" w:fill="FFFFFF"/>
        </w:rPr>
        <w:t xml:space="preserve">Senate Economics Committee (2014). </w:t>
      </w:r>
      <w:r w:rsidRPr="00AD3A46">
        <w:rPr>
          <w:rFonts w:cs="Arial"/>
          <w:i/>
          <w:color w:val="222222"/>
          <w:shd w:val="clear" w:color="auto" w:fill="FFFFFF"/>
        </w:rPr>
        <w:t xml:space="preserve">The Performance of the Australian Securities &amp; Investments Commission: Report of the Senate Economics Committee Inquiry. </w:t>
      </w:r>
      <w:r w:rsidRPr="00AD3A46">
        <w:rPr>
          <w:rFonts w:cs="Arial"/>
          <w:color w:val="222222"/>
          <w:shd w:val="clear" w:color="auto" w:fill="FFFFFF"/>
        </w:rPr>
        <w:t>Canberra: Parliament House (June 2014).</w:t>
      </w:r>
    </w:p>
  </w:endnote>
  <w:endnote w:id="9">
    <w:p w:rsidR="004C5486" w:rsidRPr="00B1026F" w:rsidRDefault="004C5486">
      <w:pPr>
        <w:pStyle w:val="EndnoteText"/>
        <w:rPr>
          <w:lang w:val="en-AU"/>
        </w:rPr>
      </w:pPr>
      <w:r>
        <w:rPr>
          <w:rStyle w:val="EndnoteReference"/>
        </w:rPr>
        <w:t>9</w:t>
      </w:r>
      <w:r>
        <w:t xml:space="preserve"> </w:t>
      </w:r>
      <w:hyperlink r:id="rId4" w:history="1">
        <w:r w:rsidRPr="007C0F37">
          <w:rPr>
            <w:rStyle w:val="Hyperlink"/>
          </w:rPr>
          <w:t>http://www.aph.gov.au/Parliamentary_Business/Committees/Joint/Corporations_and_Financial_Services/</w:t>
        </w:r>
      </w:hyperlink>
      <w:r>
        <w:t xml:space="preserve"> </w:t>
      </w:r>
      <w:proofErr w:type="spellStart"/>
      <w:r w:rsidRPr="00C009C5">
        <w:t>WhistleblowerProtections</w:t>
      </w:r>
      <w:proofErr w:type="spellEnd"/>
    </w:p>
  </w:endnote>
  <w:endnote w:id="10">
    <w:p w:rsidR="004C5486" w:rsidRPr="00B1026F" w:rsidRDefault="004C5486">
      <w:pPr>
        <w:pStyle w:val="EndnoteText"/>
        <w:rPr>
          <w:lang w:val="en-AU"/>
        </w:rPr>
      </w:pPr>
      <w:r>
        <w:rPr>
          <w:rStyle w:val="EndnoteReference"/>
        </w:rPr>
        <w:t>10</w:t>
      </w:r>
      <w:r>
        <w:t xml:space="preserve"> </w:t>
      </w:r>
      <w:r w:rsidRPr="00F3715C">
        <w:t>http://www.treasury.gov.au/ConsultationsandReviews/Consultations/2016/Review-of-whistleblower-protections</w:t>
      </w:r>
    </w:p>
  </w:endnote>
  <w:endnote w:id="11">
    <w:p w:rsidR="004C5486" w:rsidRPr="00B1026F" w:rsidRDefault="004C5486">
      <w:pPr>
        <w:pStyle w:val="EndnoteText"/>
        <w:rPr>
          <w:lang w:val="en-AU"/>
        </w:rPr>
      </w:pPr>
      <w:r>
        <w:rPr>
          <w:rStyle w:val="EndnoteReference"/>
        </w:rPr>
        <w:t>11</w:t>
      </w:r>
      <w:r>
        <w:t xml:space="preserve"> Commonwealth Parliamentary Debates (</w:t>
      </w:r>
      <w:r>
        <w:rPr>
          <w:lang w:val="en-AU"/>
        </w:rPr>
        <w:t>Hansard), Senate, 21 November 2016, p.105.</w:t>
      </w:r>
    </w:p>
  </w:endnote>
  <w:endnote w:id="12">
    <w:p w:rsidR="004C5486" w:rsidRPr="00B1026F" w:rsidRDefault="004C5486">
      <w:pPr>
        <w:pStyle w:val="EndnoteText"/>
        <w:rPr>
          <w:lang w:val="en-AU"/>
        </w:rPr>
      </w:pPr>
      <w:r>
        <w:rPr>
          <w:rStyle w:val="EndnoteReference"/>
        </w:rPr>
        <w:t>12</w:t>
      </w:r>
      <w:r>
        <w:t xml:space="preserve"> </w:t>
      </w:r>
      <w:r w:rsidRPr="00F3715C">
        <w:t>http://www.whistlingwhiletheywork.edu.au/wp-content/uploads/2016/11/Whistleblowing-Processes-Procedures-Snapshot-Prelim-Results-Griffith-University-8-Nov-2016-FINAL2.pdf</w:t>
      </w:r>
      <w:r>
        <w:t>.</w:t>
      </w:r>
    </w:p>
  </w:endnote>
  <w:endnote w:id="13">
    <w:p w:rsidR="004C5486" w:rsidRPr="00133FD3" w:rsidRDefault="004C5486">
      <w:pPr>
        <w:pStyle w:val="EndnoteText"/>
        <w:rPr>
          <w:lang w:val="en-AU"/>
        </w:rPr>
      </w:pPr>
      <w:r>
        <w:rPr>
          <w:rStyle w:val="EndnoteReference"/>
        </w:rPr>
        <w:t>13</w:t>
      </w:r>
      <w:r>
        <w:t xml:space="preserve"> </w:t>
      </w:r>
      <w:r w:rsidRPr="00F3715C">
        <w:t>http://ogpau.pmc.gov.au/sites/default/files/posts/2017/01/australias-first-open-government-national-action-plan-final.pdf</w:t>
      </w:r>
      <w:r>
        <w:t xml:space="preserve"> (7 December 2016).</w:t>
      </w:r>
    </w:p>
  </w:endnote>
  <w:endnote w:id="14">
    <w:p w:rsidR="004C5486" w:rsidRPr="0034031C" w:rsidRDefault="004C5486" w:rsidP="00DE2370">
      <w:pPr>
        <w:pStyle w:val="EndnoteText"/>
        <w:rPr>
          <w:rFonts w:cs="Arial"/>
          <w:lang w:val="en-AU"/>
        </w:rPr>
      </w:pPr>
      <w:r>
        <w:rPr>
          <w:rStyle w:val="EndnoteReference"/>
          <w:rFonts w:cs="Arial"/>
        </w:rPr>
        <w:t>14</w:t>
      </w:r>
      <w:r w:rsidRPr="00AD3A46">
        <w:rPr>
          <w:rFonts w:cs="Arial"/>
        </w:rPr>
        <w:t xml:space="preserve"> Devine, T. and T</w:t>
      </w:r>
      <w:r w:rsidRPr="0034031C">
        <w:rPr>
          <w:rFonts w:cs="Arial"/>
        </w:rPr>
        <w:t xml:space="preserve">. </w:t>
      </w:r>
      <w:proofErr w:type="spellStart"/>
      <w:r w:rsidRPr="0034031C">
        <w:rPr>
          <w:rFonts w:cs="Arial"/>
        </w:rPr>
        <w:t>Massarani</w:t>
      </w:r>
      <w:proofErr w:type="spellEnd"/>
      <w:r w:rsidRPr="0034031C">
        <w:rPr>
          <w:rFonts w:cs="Arial"/>
        </w:rPr>
        <w:t xml:space="preserve">, 2011, </w:t>
      </w:r>
      <w:r w:rsidRPr="0034031C">
        <w:rPr>
          <w:rFonts w:cs="Arial"/>
          <w:i/>
          <w:iCs/>
        </w:rPr>
        <w:t>The Corporate Whistleblower’s Survival Guide,</w:t>
      </w:r>
      <w:r w:rsidRPr="0034031C">
        <w:rPr>
          <w:rFonts w:cs="Arial"/>
        </w:rPr>
        <w:t xml:space="preserve"> San Francisco: </w:t>
      </w:r>
      <w:proofErr w:type="spellStart"/>
      <w:r w:rsidRPr="0034031C">
        <w:rPr>
          <w:rFonts w:cs="Arial"/>
        </w:rPr>
        <w:t>Berrett</w:t>
      </w:r>
      <w:proofErr w:type="spellEnd"/>
      <w:r w:rsidRPr="0034031C">
        <w:rPr>
          <w:rFonts w:cs="Arial"/>
        </w:rPr>
        <w:t>-Koehler, p.151.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527" w:rsidRDefault="00E36527">
      <w:r>
        <w:separator/>
      </w:r>
    </w:p>
  </w:footnote>
  <w:footnote w:type="continuationSeparator" w:id="0">
    <w:p w:rsidR="00E36527" w:rsidRDefault="00E36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486" w:rsidRDefault="004C5486" w:rsidP="004C5486">
    <w:pPr>
      <w:pStyle w:val="Introtext"/>
      <w:spacing w:after="120" w:line="240" w:lineRule="auto"/>
      <w:jc w:val="right"/>
      <w:rPr>
        <w:rFonts w:ascii="Times New Roman" w:hAnsi="Times New Roman"/>
        <w:snapToGrid w:val="0"/>
        <w:color w:val="000000"/>
        <w:w w:val="0"/>
        <w:sz w:val="0"/>
        <w:szCs w:val="0"/>
        <w:u w:color="000000"/>
        <w:bdr w:val="none" w:sz="0" w:space="0" w:color="000000"/>
        <w:shd w:val="clear" w:color="000000" w:fill="000000"/>
        <w:lang w:val="en-AU" w:eastAsia="x-none" w:bidi="x-none"/>
      </w:rPr>
    </w:pPr>
    <w:r>
      <w:rPr>
        <w:lang w:val="en-AU" w:eastAsia="en-AU"/>
      </w:rPr>
      <w:drawing>
        <wp:inline distT="0" distB="0" distL="0" distR="0" wp14:anchorId="01186A58" wp14:editId="20B47448">
          <wp:extent cx="2314575" cy="551180"/>
          <wp:effectExtent l="0" t="0" r="9525" b="1270"/>
          <wp:docPr id="2" name="Picture 2" descr="C:\5. Integrity Systems\6. G20 and C20\1. Conference June 2014\Photos &amp; bios\TI_logo_updated - Copy.JPG"/>
          <wp:cNvGraphicFramePr/>
          <a:graphic xmlns:a="http://schemas.openxmlformats.org/drawingml/2006/main">
            <a:graphicData uri="http://schemas.openxmlformats.org/drawingml/2006/picture">
              <pic:pic xmlns:pic="http://schemas.openxmlformats.org/drawingml/2006/picture">
                <pic:nvPicPr>
                  <pic:cNvPr id="2" name="Picture 2" descr="C:\5. Integrity Systems\6. G20 and C20\1. Conference June 2014\Photos &amp; bios\TI_logo_updated - Copy.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551180"/>
                  </a:xfrm>
                  <a:prstGeom prst="rect">
                    <a:avLst/>
                  </a:prstGeom>
                  <a:noFill/>
                  <a:ln>
                    <a:noFill/>
                  </a:ln>
                </pic:spPr>
              </pic:pic>
            </a:graphicData>
          </a:graphic>
        </wp:inline>
      </w:drawing>
    </w:r>
  </w:p>
  <w:p w:rsidR="004C5486" w:rsidRPr="001934A7" w:rsidRDefault="004C5486" w:rsidP="004C5486">
    <w:pPr>
      <w:pStyle w:val="Introtext"/>
      <w:spacing w:after="500" w:line="240" w:lineRule="auto"/>
      <w:jc w:val="right"/>
      <w:rPr>
        <w:sz w:val="24"/>
        <w:szCs w:val="24"/>
      </w:rPr>
    </w:pPr>
    <w:r>
      <w:rPr>
        <w:rFonts w:ascii="Times New Roman" w:hAnsi="Times New Roman"/>
        <w:snapToGrid w:val="0"/>
        <w:color w:val="000000"/>
        <w:w w:val="0"/>
        <w:sz w:val="0"/>
        <w:szCs w:val="0"/>
        <w:u w:color="000000"/>
        <w:bdr w:val="none" w:sz="0" w:space="0" w:color="000000"/>
        <w:shd w:val="clear" w:color="000000" w:fill="000000"/>
        <w:lang w:val="en-AU" w:eastAsia="x-none" w:bidi="x-none"/>
      </w:rPr>
      <w:br/>
    </w:r>
    <w:r w:rsidRPr="001934A7">
      <w:rPr>
        <w:sz w:val="24"/>
        <w:szCs w:val="24"/>
      </w:rPr>
      <w:t>Transparency International Australia</w:t>
    </w:r>
    <w:r>
      <w:rPr>
        <w:sz w:val="24"/>
        <w:szCs w:val="24"/>
      </w:rPr>
      <w:t xml:space="preserve"> </w:t>
    </w:r>
    <w:r w:rsidRPr="001934A7">
      <w:rPr>
        <w:sz w:val="24"/>
        <w:szCs w:val="24"/>
      </w:rPr>
      <w:t xml:space="preserve"> | </w:t>
    </w:r>
    <w:r>
      <w:rPr>
        <w:sz w:val="24"/>
        <w:szCs w:val="24"/>
      </w:rPr>
      <w:t xml:space="preserve"> </w:t>
    </w:r>
    <w:r w:rsidRPr="001934A7">
      <w:rPr>
        <w:sz w:val="24"/>
        <w:szCs w:val="24"/>
      </w:rPr>
      <w:t xml:space="preserve">Position Paper </w:t>
    </w:r>
    <w:r>
      <w:rPr>
        <w:sz w:val="24"/>
        <w:szCs w:val="24"/>
      </w:rPr>
      <w:t>#8</w:t>
    </w:r>
    <w:r w:rsidRPr="001934A7">
      <w:rPr>
        <w:sz w:val="24"/>
        <w:szCs w:val="24"/>
      </w:rPr>
      <w:t xml:space="preserve"> </w:t>
    </w:r>
    <w:r>
      <w:rPr>
        <w:sz w:val="24"/>
        <w:szCs w:val="24"/>
      </w:rPr>
      <w:t xml:space="preserve"> </w:t>
    </w:r>
    <w:r w:rsidRPr="00744D6A">
      <w:rPr>
        <w:sz w:val="24"/>
        <w:szCs w:val="24"/>
      </w:rPr>
      <w:t xml:space="preserve">|  </w:t>
    </w:r>
    <w:r>
      <w:rPr>
        <w:sz w:val="24"/>
        <w:szCs w:val="24"/>
      </w:rPr>
      <w:t xml:space="preserve">February </w:t>
    </w:r>
    <w:r w:rsidRPr="00744D6A">
      <w:rPr>
        <w:sz w:val="24"/>
        <w:szCs w:val="24"/>
      </w:rPr>
      <w:t>201</w:t>
    </w:r>
    <w:r>
      <w:rPr>
        <w:sz w:val="24"/>
        <w:szCs w:val="24"/>
      </w:rPr>
      <w:t>7</w:t>
    </w:r>
  </w:p>
  <w:p w:rsidR="004C5486" w:rsidRDefault="004C54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42C" w:rsidRPr="00EB0ADC" w:rsidRDefault="008E142C" w:rsidP="008E142C">
    <w:pPr>
      <w:pStyle w:val="Introtext"/>
      <w:rPr>
        <w:sz w:val="24"/>
        <w:szCs w:val="24"/>
      </w:rPr>
    </w:pPr>
    <w:r w:rsidRPr="00AC4251">
      <w:rPr>
        <w:sz w:val="24"/>
        <w:szCs w:val="24"/>
      </w:rPr>
      <w:t xml:space="preserve">Transparency International Australia  |  Position Paper #8  |  </w:t>
    </w:r>
    <w:r>
      <w:rPr>
        <w:sz w:val="24"/>
        <w:szCs w:val="24"/>
      </w:rPr>
      <w:t xml:space="preserve">February </w:t>
    </w:r>
    <w:r w:rsidRPr="00AC4251">
      <w:rPr>
        <w:sz w:val="24"/>
        <w:szCs w:val="24"/>
      </w:rPr>
      <w:t>201</w:t>
    </w:r>
    <w:r>
      <w:rPr>
        <w:sz w:val="24"/>
        <w:szCs w:val="24"/>
      </w:rPr>
      <w:t>7</w:t>
    </w:r>
  </w:p>
  <w:p w:rsidR="00221782" w:rsidRPr="00E5435E" w:rsidRDefault="00221782" w:rsidP="00E543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782" w:rsidRDefault="00221782" w:rsidP="004C5486">
    <w:pPr>
      <w:pStyle w:val="Introtext"/>
      <w:spacing w:after="120" w:line="240" w:lineRule="auto"/>
      <w:jc w:val="right"/>
      <w:rPr>
        <w:rFonts w:ascii="Times New Roman" w:hAnsi="Times New Roman"/>
        <w:snapToGrid w:val="0"/>
        <w:color w:val="000000"/>
        <w:w w:val="0"/>
        <w:sz w:val="0"/>
        <w:szCs w:val="0"/>
        <w:u w:color="000000"/>
        <w:bdr w:val="none" w:sz="0" w:space="0" w:color="000000"/>
        <w:shd w:val="clear" w:color="000000" w:fill="000000"/>
        <w:lang w:val="en-AU" w:eastAsia="x-none" w:bidi="x-none"/>
      </w:rPr>
    </w:pPr>
    <w:r>
      <w:rPr>
        <w:lang w:val="en-AU" w:eastAsia="en-AU"/>
      </w:rPr>
      <w:drawing>
        <wp:inline distT="0" distB="0" distL="0" distR="0" wp14:anchorId="5AC7C6E1" wp14:editId="3D259442">
          <wp:extent cx="2314575" cy="551180"/>
          <wp:effectExtent l="0" t="0" r="9525" b="1270"/>
          <wp:docPr id="3" name="Picture 3" descr="C:\5. Integrity Systems\6. G20 and C20\1. Conference June 2014\Photos &amp; bios\TI_logo_updated - Copy.JPG"/>
          <wp:cNvGraphicFramePr/>
          <a:graphic xmlns:a="http://schemas.openxmlformats.org/drawingml/2006/main">
            <a:graphicData uri="http://schemas.openxmlformats.org/drawingml/2006/picture">
              <pic:pic xmlns:pic="http://schemas.openxmlformats.org/drawingml/2006/picture">
                <pic:nvPicPr>
                  <pic:cNvPr id="2" name="Picture 2" descr="C:\5. Integrity Systems\6. G20 and C20\1. Conference June 2014\Photos &amp; bios\TI_logo_updated - Copy.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551180"/>
                  </a:xfrm>
                  <a:prstGeom prst="rect">
                    <a:avLst/>
                  </a:prstGeom>
                  <a:noFill/>
                  <a:ln>
                    <a:noFill/>
                  </a:ln>
                </pic:spPr>
              </pic:pic>
            </a:graphicData>
          </a:graphic>
        </wp:inline>
      </w:drawing>
    </w:r>
  </w:p>
  <w:p w:rsidR="00221782" w:rsidRPr="001934A7" w:rsidRDefault="00221782" w:rsidP="004C5486">
    <w:pPr>
      <w:pStyle w:val="Introtext"/>
      <w:spacing w:after="500" w:line="240" w:lineRule="auto"/>
      <w:jc w:val="right"/>
      <w:rPr>
        <w:sz w:val="24"/>
        <w:szCs w:val="24"/>
      </w:rPr>
    </w:pPr>
    <w:r>
      <w:rPr>
        <w:rFonts w:ascii="Times New Roman" w:hAnsi="Times New Roman"/>
        <w:snapToGrid w:val="0"/>
        <w:color w:val="000000"/>
        <w:w w:val="0"/>
        <w:sz w:val="0"/>
        <w:szCs w:val="0"/>
        <w:u w:color="000000"/>
        <w:bdr w:val="none" w:sz="0" w:space="0" w:color="000000"/>
        <w:shd w:val="clear" w:color="000000" w:fill="000000"/>
        <w:lang w:val="en-AU" w:eastAsia="x-none" w:bidi="x-none"/>
      </w:rPr>
      <w:br/>
    </w:r>
    <w:r w:rsidRPr="001934A7">
      <w:rPr>
        <w:sz w:val="24"/>
        <w:szCs w:val="24"/>
      </w:rPr>
      <w:t>Transparency International Australia</w:t>
    </w:r>
    <w:r>
      <w:rPr>
        <w:sz w:val="24"/>
        <w:szCs w:val="24"/>
      </w:rPr>
      <w:t xml:space="preserve"> </w:t>
    </w:r>
    <w:r w:rsidRPr="001934A7">
      <w:rPr>
        <w:sz w:val="24"/>
        <w:szCs w:val="24"/>
      </w:rPr>
      <w:t xml:space="preserve"> | </w:t>
    </w:r>
    <w:r>
      <w:rPr>
        <w:sz w:val="24"/>
        <w:szCs w:val="24"/>
      </w:rPr>
      <w:t xml:space="preserve"> </w:t>
    </w:r>
    <w:r w:rsidRPr="001934A7">
      <w:rPr>
        <w:sz w:val="24"/>
        <w:szCs w:val="24"/>
      </w:rPr>
      <w:t xml:space="preserve">Position Paper </w:t>
    </w:r>
    <w:r>
      <w:rPr>
        <w:sz w:val="24"/>
        <w:szCs w:val="24"/>
      </w:rPr>
      <w:t>#8</w:t>
    </w:r>
    <w:r w:rsidRPr="001934A7">
      <w:rPr>
        <w:sz w:val="24"/>
        <w:szCs w:val="24"/>
      </w:rPr>
      <w:t xml:space="preserve"> </w:t>
    </w:r>
    <w:r>
      <w:rPr>
        <w:sz w:val="24"/>
        <w:szCs w:val="24"/>
      </w:rPr>
      <w:t xml:space="preserve"> </w:t>
    </w:r>
    <w:r w:rsidRPr="00744D6A">
      <w:rPr>
        <w:sz w:val="24"/>
        <w:szCs w:val="24"/>
      </w:rPr>
      <w:t xml:space="preserve">|  </w:t>
    </w:r>
    <w:r>
      <w:rPr>
        <w:sz w:val="24"/>
        <w:szCs w:val="24"/>
      </w:rPr>
      <w:t xml:space="preserve">February </w:t>
    </w:r>
    <w:r w:rsidRPr="00744D6A">
      <w:rPr>
        <w:sz w:val="24"/>
        <w:szCs w:val="24"/>
      </w:rPr>
      <w:t>201</w:t>
    </w:r>
    <w:r>
      <w:rPr>
        <w:sz w:val="24"/>
        <w:szCs w:val="24"/>
      </w:rPr>
      <w:t>7</w:t>
    </w:r>
  </w:p>
  <w:p w:rsidR="00221782" w:rsidRDefault="0022178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42C" w:rsidRPr="00EB0ADC" w:rsidRDefault="008E142C" w:rsidP="008E142C">
    <w:pPr>
      <w:pStyle w:val="Introtext"/>
      <w:rPr>
        <w:sz w:val="24"/>
        <w:szCs w:val="24"/>
      </w:rPr>
    </w:pPr>
    <w:r w:rsidRPr="00AC4251">
      <w:rPr>
        <w:sz w:val="24"/>
        <w:szCs w:val="24"/>
      </w:rPr>
      <w:t xml:space="preserve">Transparency International Australia  |  Position Paper #8  |  </w:t>
    </w:r>
    <w:r>
      <w:rPr>
        <w:sz w:val="24"/>
        <w:szCs w:val="24"/>
      </w:rPr>
      <w:t xml:space="preserve">February </w:t>
    </w:r>
    <w:r w:rsidRPr="00AC4251">
      <w:rPr>
        <w:sz w:val="24"/>
        <w:szCs w:val="24"/>
      </w:rPr>
      <w:t>201</w:t>
    </w:r>
    <w:r>
      <w:rPr>
        <w:sz w:val="24"/>
        <w:szCs w:val="24"/>
      </w:rPr>
      <w:t>7</w:t>
    </w:r>
  </w:p>
  <w:p w:rsidR="00E5435E" w:rsidRPr="00221782" w:rsidRDefault="00E5435E" w:rsidP="0022178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782" w:rsidRDefault="00221782" w:rsidP="004C5486">
    <w:pPr>
      <w:pStyle w:val="Introtext"/>
      <w:spacing w:after="120" w:line="240" w:lineRule="auto"/>
      <w:jc w:val="right"/>
      <w:rPr>
        <w:rFonts w:ascii="Times New Roman" w:hAnsi="Times New Roman"/>
        <w:snapToGrid w:val="0"/>
        <w:color w:val="000000"/>
        <w:w w:val="0"/>
        <w:sz w:val="0"/>
        <w:szCs w:val="0"/>
        <w:u w:color="000000"/>
        <w:bdr w:val="none" w:sz="0" w:space="0" w:color="000000"/>
        <w:shd w:val="clear" w:color="000000" w:fill="000000"/>
        <w:lang w:val="en-AU" w:eastAsia="x-none" w:bidi="x-none"/>
      </w:rPr>
    </w:pPr>
    <w:r>
      <w:rPr>
        <w:lang w:val="en-AU" w:eastAsia="en-AU"/>
      </w:rPr>
      <w:drawing>
        <wp:inline distT="0" distB="0" distL="0" distR="0" wp14:anchorId="58146CA3" wp14:editId="229899C2">
          <wp:extent cx="2314575" cy="551180"/>
          <wp:effectExtent l="0" t="0" r="9525" b="1270"/>
          <wp:docPr id="4" name="Picture 4" descr="C:\5. Integrity Systems\6. G20 and C20\1. Conference June 2014\Photos &amp; bios\TI_logo_updated - Copy.JPG"/>
          <wp:cNvGraphicFramePr/>
          <a:graphic xmlns:a="http://schemas.openxmlformats.org/drawingml/2006/main">
            <a:graphicData uri="http://schemas.openxmlformats.org/drawingml/2006/picture">
              <pic:pic xmlns:pic="http://schemas.openxmlformats.org/drawingml/2006/picture">
                <pic:nvPicPr>
                  <pic:cNvPr id="2" name="Picture 2" descr="C:\5. Integrity Systems\6. G20 and C20\1. Conference June 2014\Photos &amp; bios\TI_logo_updated - Copy.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551180"/>
                  </a:xfrm>
                  <a:prstGeom prst="rect">
                    <a:avLst/>
                  </a:prstGeom>
                  <a:noFill/>
                  <a:ln>
                    <a:noFill/>
                  </a:ln>
                </pic:spPr>
              </pic:pic>
            </a:graphicData>
          </a:graphic>
        </wp:inline>
      </w:drawing>
    </w:r>
  </w:p>
  <w:p w:rsidR="00221782" w:rsidRPr="001934A7" w:rsidRDefault="00221782" w:rsidP="004C5486">
    <w:pPr>
      <w:pStyle w:val="Introtext"/>
      <w:spacing w:after="500" w:line="240" w:lineRule="auto"/>
      <w:jc w:val="right"/>
      <w:rPr>
        <w:sz w:val="24"/>
        <w:szCs w:val="24"/>
      </w:rPr>
    </w:pPr>
    <w:r>
      <w:rPr>
        <w:rFonts w:ascii="Times New Roman" w:hAnsi="Times New Roman"/>
        <w:snapToGrid w:val="0"/>
        <w:color w:val="000000"/>
        <w:w w:val="0"/>
        <w:sz w:val="0"/>
        <w:szCs w:val="0"/>
        <w:u w:color="000000"/>
        <w:bdr w:val="none" w:sz="0" w:space="0" w:color="000000"/>
        <w:shd w:val="clear" w:color="000000" w:fill="000000"/>
        <w:lang w:val="en-AU" w:eastAsia="x-none" w:bidi="x-none"/>
      </w:rPr>
      <w:br/>
    </w:r>
    <w:r w:rsidRPr="001934A7">
      <w:rPr>
        <w:sz w:val="24"/>
        <w:szCs w:val="24"/>
      </w:rPr>
      <w:t>Transparency International Australia</w:t>
    </w:r>
    <w:r>
      <w:rPr>
        <w:sz w:val="24"/>
        <w:szCs w:val="24"/>
      </w:rPr>
      <w:t xml:space="preserve"> </w:t>
    </w:r>
    <w:r w:rsidRPr="001934A7">
      <w:rPr>
        <w:sz w:val="24"/>
        <w:szCs w:val="24"/>
      </w:rPr>
      <w:t xml:space="preserve"> | </w:t>
    </w:r>
    <w:r>
      <w:rPr>
        <w:sz w:val="24"/>
        <w:szCs w:val="24"/>
      </w:rPr>
      <w:t xml:space="preserve"> </w:t>
    </w:r>
    <w:r w:rsidRPr="001934A7">
      <w:rPr>
        <w:sz w:val="24"/>
        <w:szCs w:val="24"/>
      </w:rPr>
      <w:t xml:space="preserve">Position Paper </w:t>
    </w:r>
    <w:r>
      <w:rPr>
        <w:sz w:val="24"/>
        <w:szCs w:val="24"/>
      </w:rPr>
      <w:t>#8</w:t>
    </w:r>
    <w:r w:rsidRPr="001934A7">
      <w:rPr>
        <w:sz w:val="24"/>
        <w:szCs w:val="24"/>
      </w:rPr>
      <w:t xml:space="preserve"> </w:t>
    </w:r>
    <w:r>
      <w:rPr>
        <w:sz w:val="24"/>
        <w:szCs w:val="24"/>
      </w:rPr>
      <w:t xml:space="preserve"> </w:t>
    </w:r>
    <w:r w:rsidRPr="00744D6A">
      <w:rPr>
        <w:sz w:val="24"/>
        <w:szCs w:val="24"/>
      </w:rPr>
      <w:t xml:space="preserve">|  </w:t>
    </w:r>
    <w:r>
      <w:rPr>
        <w:sz w:val="24"/>
        <w:szCs w:val="24"/>
      </w:rPr>
      <w:t xml:space="preserve">February </w:t>
    </w:r>
    <w:r w:rsidRPr="00744D6A">
      <w:rPr>
        <w:sz w:val="24"/>
        <w:szCs w:val="24"/>
      </w:rPr>
      <w:t>201</w:t>
    </w:r>
    <w:r>
      <w:rPr>
        <w:sz w:val="24"/>
        <w:szCs w:val="24"/>
      </w:rPr>
      <w:t>7</w:t>
    </w:r>
  </w:p>
  <w:p w:rsidR="00221782" w:rsidRDefault="002217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63D11"/>
    <w:multiLevelType w:val="hybridMultilevel"/>
    <w:tmpl w:val="CF6A9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D455BA3"/>
    <w:multiLevelType w:val="hybridMultilevel"/>
    <w:tmpl w:val="9FECC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45903F8"/>
    <w:multiLevelType w:val="hybridMultilevel"/>
    <w:tmpl w:val="1DE8D340"/>
    <w:lvl w:ilvl="0" w:tplc="08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CDB7E36"/>
    <w:multiLevelType w:val="hybridMultilevel"/>
    <w:tmpl w:val="DBBC4F90"/>
    <w:lvl w:ilvl="0" w:tplc="B942A54C">
      <w:start w:val="1"/>
      <w:numFmt w:val="bullet"/>
      <w:lvlText w:val=""/>
      <w:lvlJc w:val="left"/>
      <w:pPr>
        <w:ind w:left="360" w:hanging="360"/>
      </w:pPr>
      <w:rPr>
        <w:rFonts w:ascii="Symbol" w:hAnsi="Symbol" w:hint="default"/>
        <w:color w:val="009FEE"/>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4">
    <w:nsid w:val="610124BA"/>
    <w:multiLevelType w:val="hybridMultilevel"/>
    <w:tmpl w:val="5FE09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9595B80"/>
    <w:multiLevelType w:val="hybridMultilevel"/>
    <w:tmpl w:val="6374B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E5742FE"/>
    <w:multiLevelType w:val="hybridMultilevel"/>
    <w:tmpl w:val="AD425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F915426"/>
    <w:multiLevelType w:val="hybridMultilevel"/>
    <w:tmpl w:val="8E7A7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6FB77EFA"/>
    <w:multiLevelType w:val="hybridMultilevel"/>
    <w:tmpl w:val="E79A880A"/>
    <w:lvl w:ilvl="0" w:tplc="A7E81556">
      <w:start w:val="10"/>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1D96F3C"/>
    <w:multiLevelType w:val="hybridMultilevel"/>
    <w:tmpl w:val="2CDA0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E667146"/>
    <w:multiLevelType w:val="hybridMultilevel"/>
    <w:tmpl w:val="B8D07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6"/>
  </w:num>
  <w:num w:numId="5">
    <w:abstractNumId w:val="0"/>
  </w:num>
  <w:num w:numId="6">
    <w:abstractNumId w:val="10"/>
  </w:num>
  <w:num w:numId="7">
    <w:abstractNumId w:val="1"/>
  </w:num>
  <w:num w:numId="8">
    <w:abstractNumId w:val="7"/>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56"/>
    <w:rsid w:val="000024B3"/>
    <w:rsid w:val="00042175"/>
    <w:rsid w:val="00073818"/>
    <w:rsid w:val="000B387E"/>
    <w:rsid w:val="000B3E88"/>
    <w:rsid w:val="000C17FE"/>
    <w:rsid w:val="000C71C2"/>
    <w:rsid w:val="000F5A39"/>
    <w:rsid w:val="001100A0"/>
    <w:rsid w:val="00115C8E"/>
    <w:rsid w:val="00117518"/>
    <w:rsid w:val="00136CA6"/>
    <w:rsid w:val="001450D4"/>
    <w:rsid w:val="00157A85"/>
    <w:rsid w:val="00172B7A"/>
    <w:rsid w:val="001A232D"/>
    <w:rsid w:val="001A6D42"/>
    <w:rsid w:val="001B1690"/>
    <w:rsid w:val="001C1175"/>
    <w:rsid w:val="001C6AD4"/>
    <w:rsid w:val="001E1E2C"/>
    <w:rsid w:val="002140F0"/>
    <w:rsid w:val="00214626"/>
    <w:rsid w:val="00214AFD"/>
    <w:rsid w:val="0022068F"/>
    <w:rsid w:val="00221782"/>
    <w:rsid w:val="00227160"/>
    <w:rsid w:val="002455CF"/>
    <w:rsid w:val="0026210D"/>
    <w:rsid w:val="00263EBE"/>
    <w:rsid w:val="002910AE"/>
    <w:rsid w:val="002947DD"/>
    <w:rsid w:val="002A5837"/>
    <w:rsid w:val="00300663"/>
    <w:rsid w:val="00304099"/>
    <w:rsid w:val="003412E1"/>
    <w:rsid w:val="00353B97"/>
    <w:rsid w:val="003601B4"/>
    <w:rsid w:val="0037556D"/>
    <w:rsid w:val="00377564"/>
    <w:rsid w:val="003A3597"/>
    <w:rsid w:val="003B0956"/>
    <w:rsid w:val="003C20EB"/>
    <w:rsid w:val="0040103B"/>
    <w:rsid w:val="00421C9D"/>
    <w:rsid w:val="00426125"/>
    <w:rsid w:val="0043170F"/>
    <w:rsid w:val="00441267"/>
    <w:rsid w:val="00444A1F"/>
    <w:rsid w:val="0046720B"/>
    <w:rsid w:val="00475E7C"/>
    <w:rsid w:val="00483672"/>
    <w:rsid w:val="0049457F"/>
    <w:rsid w:val="004A626B"/>
    <w:rsid w:val="004B1EC7"/>
    <w:rsid w:val="004C5486"/>
    <w:rsid w:val="004D73C9"/>
    <w:rsid w:val="00505AC2"/>
    <w:rsid w:val="00512D5B"/>
    <w:rsid w:val="00515675"/>
    <w:rsid w:val="00517F5D"/>
    <w:rsid w:val="00524276"/>
    <w:rsid w:val="00533C62"/>
    <w:rsid w:val="00576356"/>
    <w:rsid w:val="005823EC"/>
    <w:rsid w:val="005A1080"/>
    <w:rsid w:val="005B12B4"/>
    <w:rsid w:val="005B549B"/>
    <w:rsid w:val="005E1824"/>
    <w:rsid w:val="005F5B27"/>
    <w:rsid w:val="0060213D"/>
    <w:rsid w:val="00606C45"/>
    <w:rsid w:val="00611FA2"/>
    <w:rsid w:val="006772F5"/>
    <w:rsid w:val="00685C66"/>
    <w:rsid w:val="00696C50"/>
    <w:rsid w:val="006A65CE"/>
    <w:rsid w:val="006B22D1"/>
    <w:rsid w:val="006F12F1"/>
    <w:rsid w:val="006F1615"/>
    <w:rsid w:val="006F4D2A"/>
    <w:rsid w:val="00701320"/>
    <w:rsid w:val="00725408"/>
    <w:rsid w:val="007368C0"/>
    <w:rsid w:val="00776139"/>
    <w:rsid w:val="00791B50"/>
    <w:rsid w:val="007A3511"/>
    <w:rsid w:val="007B19C8"/>
    <w:rsid w:val="007C4302"/>
    <w:rsid w:val="007C4A3E"/>
    <w:rsid w:val="007D2AEB"/>
    <w:rsid w:val="007F04F8"/>
    <w:rsid w:val="007F47D2"/>
    <w:rsid w:val="008130D5"/>
    <w:rsid w:val="00864CF8"/>
    <w:rsid w:val="0087371E"/>
    <w:rsid w:val="0089492D"/>
    <w:rsid w:val="008B0399"/>
    <w:rsid w:val="008C093A"/>
    <w:rsid w:val="008E142C"/>
    <w:rsid w:val="008F4E10"/>
    <w:rsid w:val="00921971"/>
    <w:rsid w:val="009300B9"/>
    <w:rsid w:val="009314F8"/>
    <w:rsid w:val="00955753"/>
    <w:rsid w:val="00961E9F"/>
    <w:rsid w:val="00963640"/>
    <w:rsid w:val="00963FC9"/>
    <w:rsid w:val="009710BF"/>
    <w:rsid w:val="00974BC0"/>
    <w:rsid w:val="00993DC6"/>
    <w:rsid w:val="009C25A0"/>
    <w:rsid w:val="009D2B72"/>
    <w:rsid w:val="009F36F7"/>
    <w:rsid w:val="00A406CF"/>
    <w:rsid w:val="00A4124B"/>
    <w:rsid w:val="00A717FE"/>
    <w:rsid w:val="00A9021A"/>
    <w:rsid w:val="00A90422"/>
    <w:rsid w:val="00A91A3C"/>
    <w:rsid w:val="00AB24B6"/>
    <w:rsid w:val="00AD0341"/>
    <w:rsid w:val="00AD0AF8"/>
    <w:rsid w:val="00B52E26"/>
    <w:rsid w:val="00B629F9"/>
    <w:rsid w:val="00B93E86"/>
    <w:rsid w:val="00B978CC"/>
    <w:rsid w:val="00BA051C"/>
    <w:rsid w:val="00BC7957"/>
    <w:rsid w:val="00BD22BC"/>
    <w:rsid w:val="00BD2DEF"/>
    <w:rsid w:val="00BE34D6"/>
    <w:rsid w:val="00BE45AB"/>
    <w:rsid w:val="00BE6509"/>
    <w:rsid w:val="00BF070A"/>
    <w:rsid w:val="00BF2CA4"/>
    <w:rsid w:val="00BF3798"/>
    <w:rsid w:val="00BF4BCB"/>
    <w:rsid w:val="00C01CAB"/>
    <w:rsid w:val="00C20420"/>
    <w:rsid w:val="00C56120"/>
    <w:rsid w:val="00C6269E"/>
    <w:rsid w:val="00C738A4"/>
    <w:rsid w:val="00C75619"/>
    <w:rsid w:val="00C85058"/>
    <w:rsid w:val="00CA3AAA"/>
    <w:rsid w:val="00CB1948"/>
    <w:rsid w:val="00CB5D82"/>
    <w:rsid w:val="00CC53AB"/>
    <w:rsid w:val="00CD3C99"/>
    <w:rsid w:val="00CF6373"/>
    <w:rsid w:val="00D029D9"/>
    <w:rsid w:val="00D26901"/>
    <w:rsid w:val="00D536F0"/>
    <w:rsid w:val="00D80EEB"/>
    <w:rsid w:val="00D868BF"/>
    <w:rsid w:val="00D96E9D"/>
    <w:rsid w:val="00DB7FD0"/>
    <w:rsid w:val="00DE0808"/>
    <w:rsid w:val="00DF5041"/>
    <w:rsid w:val="00E01453"/>
    <w:rsid w:val="00E10529"/>
    <w:rsid w:val="00E24D41"/>
    <w:rsid w:val="00E36527"/>
    <w:rsid w:val="00E514C6"/>
    <w:rsid w:val="00E5435E"/>
    <w:rsid w:val="00E90634"/>
    <w:rsid w:val="00E926AD"/>
    <w:rsid w:val="00EA7400"/>
    <w:rsid w:val="00EA796F"/>
    <w:rsid w:val="00EA7CA8"/>
    <w:rsid w:val="00ED08B1"/>
    <w:rsid w:val="00EF703C"/>
    <w:rsid w:val="00EF703E"/>
    <w:rsid w:val="00EF75BC"/>
    <w:rsid w:val="00F05D02"/>
    <w:rsid w:val="00F10F25"/>
    <w:rsid w:val="00F17990"/>
    <w:rsid w:val="00F74856"/>
    <w:rsid w:val="00F816ED"/>
    <w:rsid w:val="00FB2D30"/>
    <w:rsid w:val="00FB551A"/>
    <w:rsid w:val="00FB5C13"/>
    <w:rsid w:val="00FE53BE"/>
    <w:rsid w:val="00FF53FF"/>
    <w:rsid w:val="00FF7264"/>
    <w:rsid w:val="00FF77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AD4"/>
    <w:pPr>
      <w:overflowPunct w:val="0"/>
      <w:autoSpaceDE w:val="0"/>
      <w:autoSpaceDN w:val="0"/>
      <w:adjustRightInd w:val="0"/>
      <w:textAlignment w:val="baseline"/>
    </w:pPr>
    <w:rPr>
      <w:rFonts w:ascii="Helvetica" w:hAnsi="Helvetica"/>
      <w:sz w:val="24"/>
      <w:lang w:eastAsia="en-US"/>
    </w:rPr>
  </w:style>
  <w:style w:type="paragraph" w:styleId="Heading1">
    <w:name w:val="heading 1"/>
    <w:aliases w:val="Section Title"/>
    <w:basedOn w:val="Normal"/>
    <w:next w:val="Normal"/>
    <w:link w:val="Heading1Char"/>
    <w:uiPriority w:val="99"/>
    <w:qFormat/>
    <w:rsid w:val="0030066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4C5486"/>
    <w:pPr>
      <w:keepNext/>
      <w:keepLines/>
      <w:overflowPunct/>
      <w:autoSpaceDE/>
      <w:autoSpaceDN/>
      <w:adjustRightInd/>
      <w:spacing w:before="500" w:after="200" w:line="216" w:lineRule="auto"/>
      <w:textAlignment w:val="auto"/>
      <w:outlineLvl w:val="1"/>
    </w:pPr>
    <w:rPr>
      <w:rFonts w:ascii="Arial Narrow" w:hAnsi="Arial Narrow"/>
      <w:bCs/>
      <w:caps/>
      <w:color w:val="009FEE"/>
      <w:sz w:val="36"/>
      <w:szCs w:val="26"/>
      <w:lang w:val="en-US"/>
    </w:rPr>
  </w:style>
  <w:style w:type="paragraph" w:styleId="Heading3">
    <w:name w:val="heading 3"/>
    <w:basedOn w:val="Normal"/>
    <w:next w:val="Normal"/>
    <w:link w:val="Heading3Char"/>
    <w:qFormat/>
    <w:rsid w:val="0089492D"/>
    <w:pPr>
      <w:keepNext/>
      <w:overflowPunct/>
      <w:autoSpaceDE/>
      <w:autoSpaceDN/>
      <w:adjustRightInd/>
      <w:textAlignment w:val="auto"/>
      <w:outlineLvl w:val="2"/>
    </w:pPr>
    <w:rPr>
      <w:rFonts w:ascii="Arial" w:eastAsia="Times"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
    <w:name w:val="TI"/>
    <w:basedOn w:val="Normal"/>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paragraph" w:styleId="ListParagraph">
    <w:name w:val="List Paragraph"/>
    <w:basedOn w:val="Normal"/>
    <w:uiPriority w:val="34"/>
    <w:qFormat/>
    <w:rsid w:val="00701320"/>
    <w:pPr>
      <w:ind w:left="720"/>
    </w:pPr>
  </w:style>
  <w:style w:type="character" w:customStyle="1" w:styleId="Heading3Char">
    <w:name w:val="Heading 3 Char"/>
    <w:link w:val="Heading3"/>
    <w:rsid w:val="0089492D"/>
    <w:rPr>
      <w:rFonts w:ascii="Arial" w:eastAsia="Times" w:hAnsi="Arial"/>
      <w:b/>
      <w:sz w:val="16"/>
      <w:lang w:eastAsia="en-US"/>
    </w:rPr>
  </w:style>
  <w:style w:type="table" w:styleId="TableGrid">
    <w:name w:val="Table Grid"/>
    <w:basedOn w:val="TableNormal"/>
    <w:uiPriority w:val="59"/>
    <w:rsid w:val="00A904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ction Title Char"/>
    <w:link w:val="Heading1"/>
    <w:uiPriority w:val="99"/>
    <w:rsid w:val="00300663"/>
    <w:rPr>
      <w:rFonts w:ascii="Cambria" w:eastAsia="Times New Roman" w:hAnsi="Cambria" w:cs="Times New Roman"/>
      <w:b/>
      <w:bCs/>
      <w:kern w:val="32"/>
      <w:sz w:val="32"/>
      <w:szCs w:val="32"/>
      <w:lang w:eastAsia="en-US"/>
    </w:rPr>
  </w:style>
  <w:style w:type="paragraph" w:styleId="NormalWeb">
    <w:name w:val="Normal (Web)"/>
    <w:basedOn w:val="Normal"/>
    <w:uiPriority w:val="99"/>
    <w:unhideWhenUsed/>
    <w:rsid w:val="00300663"/>
    <w:pPr>
      <w:overflowPunct/>
      <w:autoSpaceDE/>
      <w:autoSpaceDN/>
      <w:adjustRightInd/>
      <w:spacing w:before="100" w:beforeAutospacing="1" w:after="100" w:afterAutospacing="1"/>
      <w:textAlignment w:val="auto"/>
    </w:pPr>
    <w:rPr>
      <w:rFonts w:ascii="Times New Roman" w:hAnsi="Times New Roman"/>
      <w:szCs w:val="24"/>
      <w:lang w:eastAsia="en-AU"/>
    </w:rPr>
  </w:style>
  <w:style w:type="character" w:customStyle="1" w:styleId="HeaderChar">
    <w:name w:val="Header Char"/>
    <w:link w:val="Header"/>
    <w:uiPriority w:val="99"/>
    <w:rsid w:val="00FB2D30"/>
    <w:rPr>
      <w:rFonts w:ascii="Helvetica" w:hAnsi="Helvetica"/>
      <w:sz w:val="24"/>
      <w:lang w:eastAsia="en-US"/>
    </w:rPr>
  </w:style>
  <w:style w:type="character" w:customStyle="1" w:styleId="apple-converted-space">
    <w:name w:val="apple-converted-space"/>
    <w:rsid w:val="00EF75BC"/>
  </w:style>
  <w:style w:type="character" w:customStyle="1" w:styleId="il">
    <w:name w:val="il"/>
    <w:rsid w:val="00EF75BC"/>
  </w:style>
  <w:style w:type="character" w:customStyle="1" w:styleId="Heading2Char">
    <w:name w:val="Heading 2 Char"/>
    <w:basedOn w:val="DefaultParagraphFont"/>
    <w:link w:val="Heading2"/>
    <w:uiPriority w:val="99"/>
    <w:rsid w:val="004C5486"/>
    <w:rPr>
      <w:rFonts w:ascii="Arial Narrow" w:hAnsi="Arial Narrow"/>
      <w:bCs/>
      <w:caps/>
      <w:color w:val="009FEE"/>
      <w:sz w:val="36"/>
      <w:szCs w:val="26"/>
      <w:lang w:val="en-US" w:eastAsia="en-US"/>
    </w:rPr>
  </w:style>
  <w:style w:type="paragraph" w:customStyle="1" w:styleId="TableHeadings">
    <w:name w:val="Table Headings"/>
    <w:uiPriority w:val="99"/>
    <w:rsid w:val="004C5486"/>
    <w:pPr>
      <w:spacing w:after="200"/>
    </w:pPr>
    <w:rPr>
      <w:rFonts w:ascii="Arial Narrow" w:eastAsia="Cambria" w:hAnsi="Arial Narrow"/>
      <w:caps/>
      <w:noProof/>
      <w:color w:val="FFFFFF"/>
      <w:sz w:val="18"/>
      <w:lang w:val="en-US" w:eastAsia="ja-JP"/>
    </w:rPr>
  </w:style>
  <w:style w:type="paragraph" w:styleId="EndnoteText">
    <w:name w:val="endnote text"/>
    <w:basedOn w:val="Normal"/>
    <w:link w:val="EndnoteTextChar"/>
    <w:rsid w:val="004C5486"/>
    <w:pPr>
      <w:overflowPunct/>
      <w:autoSpaceDE/>
      <w:autoSpaceDN/>
      <w:adjustRightInd/>
      <w:textAlignment w:val="auto"/>
    </w:pPr>
    <w:rPr>
      <w:rFonts w:ascii="Arial" w:eastAsia="Cambria" w:hAnsi="Arial"/>
      <w:color w:val="000000"/>
      <w:sz w:val="20"/>
      <w:lang w:val="en-US"/>
    </w:rPr>
  </w:style>
  <w:style w:type="character" w:customStyle="1" w:styleId="EndnoteTextChar">
    <w:name w:val="Endnote Text Char"/>
    <w:basedOn w:val="DefaultParagraphFont"/>
    <w:link w:val="EndnoteText"/>
    <w:rsid w:val="004C5486"/>
    <w:rPr>
      <w:rFonts w:ascii="Arial" w:eastAsia="Cambria" w:hAnsi="Arial"/>
      <w:color w:val="000000"/>
      <w:lang w:val="en-US" w:eastAsia="en-US"/>
    </w:rPr>
  </w:style>
  <w:style w:type="character" w:styleId="EndnoteReference">
    <w:name w:val="endnote reference"/>
    <w:basedOn w:val="DefaultParagraphFont"/>
    <w:rsid w:val="004C5486"/>
    <w:rPr>
      <w:vertAlign w:val="superscript"/>
    </w:rPr>
  </w:style>
  <w:style w:type="character" w:styleId="HTMLCite">
    <w:name w:val="HTML Cite"/>
    <w:basedOn w:val="DefaultParagraphFont"/>
    <w:uiPriority w:val="99"/>
    <w:unhideWhenUsed/>
    <w:rsid w:val="004C5486"/>
    <w:rPr>
      <w:i/>
      <w:iCs/>
    </w:rPr>
  </w:style>
  <w:style w:type="paragraph" w:customStyle="1" w:styleId="Introtext">
    <w:name w:val="Intro text"/>
    <w:basedOn w:val="Heading1"/>
    <w:uiPriority w:val="99"/>
    <w:rsid w:val="004C5486"/>
    <w:pPr>
      <w:keepLines/>
      <w:tabs>
        <w:tab w:val="right" w:pos="8441"/>
      </w:tabs>
      <w:overflowPunct/>
      <w:autoSpaceDE/>
      <w:autoSpaceDN/>
      <w:adjustRightInd/>
      <w:spacing w:before="0" w:after="600" w:line="216" w:lineRule="auto"/>
      <w:textAlignment w:val="auto"/>
    </w:pPr>
    <w:rPr>
      <w:rFonts w:ascii="Arial Narrow" w:hAnsi="Arial Narrow"/>
      <w:b w:val="0"/>
      <w:bCs w:val="0"/>
      <w:noProof/>
      <w:color w:val="009FEE"/>
      <w:spacing w:val="6"/>
      <w:kern w:val="0"/>
      <w:szCs w:val="60"/>
      <w:lang w:val="en-US"/>
    </w:rPr>
  </w:style>
  <w:style w:type="paragraph" w:styleId="BalloonText">
    <w:name w:val="Balloon Text"/>
    <w:basedOn w:val="Normal"/>
    <w:link w:val="BalloonTextChar"/>
    <w:rsid w:val="004C5486"/>
    <w:rPr>
      <w:rFonts w:ascii="Tahoma" w:hAnsi="Tahoma" w:cs="Tahoma"/>
      <w:sz w:val="16"/>
      <w:szCs w:val="16"/>
    </w:rPr>
  </w:style>
  <w:style w:type="character" w:customStyle="1" w:styleId="BalloonTextChar">
    <w:name w:val="Balloon Text Char"/>
    <w:basedOn w:val="DefaultParagraphFont"/>
    <w:link w:val="BalloonText"/>
    <w:rsid w:val="004C548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AD4"/>
    <w:pPr>
      <w:overflowPunct w:val="0"/>
      <w:autoSpaceDE w:val="0"/>
      <w:autoSpaceDN w:val="0"/>
      <w:adjustRightInd w:val="0"/>
      <w:textAlignment w:val="baseline"/>
    </w:pPr>
    <w:rPr>
      <w:rFonts w:ascii="Helvetica" w:hAnsi="Helvetica"/>
      <w:sz w:val="24"/>
      <w:lang w:eastAsia="en-US"/>
    </w:rPr>
  </w:style>
  <w:style w:type="paragraph" w:styleId="Heading1">
    <w:name w:val="heading 1"/>
    <w:aliases w:val="Section Title"/>
    <w:basedOn w:val="Normal"/>
    <w:next w:val="Normal"/>
    <w:link w:val="Heading1Char"/>
    <w:uiPriority w:val="99"/>
    <w:qFormat/>
    <w:rsid w:val="0030066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4C5486"/>
    <w:pPr>
      <w:keepNext/>
      <w:keepLines/>
      <w:overflowPunct/>
      <w:autoSpaceDE/>
      <w:autoSpaceDN/>
      <w:adjustRightInd/>
      <w:spacing w:before="500" w:after="200" w:line="216" w:lineRule="auto"/>
      <w:textAlignment w:val="auto"/>
      <w:outlineLvl w:val="1"/>
    </w:pPr>
    <w:rPr>
      <w:rFonts w:ascii="Arial Narrow" w:hAnsi="Arial Narrow"/>
      <w:bCs/>
      <w:caps/>
      <w:color w:val="009FEE"/>
      <w:sz w:val="36"/>
      <w:szCs w:val="26"/>
      <w:lang w:val="en-US"/>
    </w:rPr>
  </w:style>
  <w:style w:type="paragraph" w:styleId="Heading3">
    <w:name w:val="heading 3"/>
    <w:basedOn w:val="Normal"/>
    <w:next w:val="Normal"/>
    <w:link w:val="Heading3Char"/>
    <w:qFormat/>
    <w:rsid w:val="0089492D"/>
    <w:pPr>
      <w:keepNext/>
      <w:overflowPunct/>
      <w:autoSpaceDE/>
      <w:autoSpaceDN/>
      <w:adjustRightInd/>
      <w:textAlignment w:val="auto"/>
      <w:outlineLvl w:val="2"/>
    </w:pPr>
    <w:rPr>
      <w:rFonts w:ascii="Arial" w:eastAsia="Times"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
    <w:name w:val="TI"/>
    <w:basedOn w:val="Normal"/>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paragraph" w:styleId="ListParagraph">
    <w:name w:val="List Paragraph"/>
    <w:basedOn w:val="Normal"/>
    <w:uiPriority w:val="34"/>
    <w:qFormat/>
    <w:rsid w:val="00701320"/>
    <w:pPr>
      <w:ind w:left="720"/>
    </w:pPr>
  </w:style>
  <w:style w:type="character" w:customStyle="1" w:styleId="Heading3Char">
    <w:name w:val="Heading 3 Char"/>
    <w:link w:val="Heading3"/>
    <w:rsid w:val="0089492D"/>
    <w:rPr>
      <w:rFonts w:ascii="Arial" w:eastAsia="Times" w:hAnsi="Arial"/>
      <w:b/>
      <w:sz w:val="16"/>
      <w:lang w:eastAsia="en-US"/>
    </w:rPr>
  </w:style>
  <w:style w:type="table" w:styleId="TableGrid">
    <w:name w:val="Table Grid"/>
    <w:basedOn w:val="TableNormal"/>
    <w:uiPriority w:val="59"/>
    <w:rsid w:val="00A904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ction Title Char"/>
    <w:link w:val="Heading1"/>
    <w:uiPriority w:val="99"/>
    <w:rsid w:val="00300663"/>
    <w:rPr>
      <w:rFonts w:ascii="Cambria" w:eastAsia="Times New Roman" w:hAnsi="Cambria" w:cs="Times New Roman"/>
      <w:b/>
      <w:bCs/>
      <w:kern w:val="32"/>
      <w:sz w:val="32"/>
      <w:szCs w:val="32"/>
      <w:lang w:eastAsia="en-US"/>
    </w:rPr>
  </w:style>
  <w:style w:type="paragraph" w:styleId="NormalWeb">
    <w:name w:val="Normal (Web)"/>
    <w:basedOn w:val="Normal"/>
    <w:uiPriority w:val="99"/>
    <w:unhideWhenUsed/>
    <w:rsid w:val="00300663"/>
    <w:pPr>
      <w:overflowPunct/>
      <w:autoSpaceDE/>
      <w:autoSpaceDN/>
      <w:adjustRightInd/>
      <w:spacing w:before="100" w:beforeAutospacing="1" w:after="100" w:afterAutospacing="1"/>
      <w:textAlignment w:val="auto"/>
    </w:pPr>
    <w:rPr>
      <w:rFonts w:ascii="Times New Roman" w:hAnsi="Times New Roman"/>
      <w:szCs w:val="24"/>
      <w:lang w:eastAsia="en-AU"/>
    </w:rPr>
  </w:style>
  <w:style w:type="character" w:customStyle="1" w:styleId="HeaderChar">
    <w:name w:val="Header Char"/>
    <w:link w:val="Header"/>
    <w:uiPriority w:val="99"/>
    <w:rsid w:val="00FB2D30"/>
    <w:rPr>
      <w:rFonts w:ascii="Helvetica" w:hAnsi="Helvetica"/>
      <w:sz w:val="24"/>
      <w:lang w:eastAsia="en-US"/>
    </w:rPr>
  </w:style>
  <w:style w:type="character" w:customStyle="1" w:styleId="apple-converted-space">
    <w:name w:val="apple-converted-space"/>
    <w:rsid w:val="00EF75BC"/>
  </w:style>
  <w:style w:type="character" w:customStyle="1" w:styleId="il">
    <w:name w:val="il"/>
    <w:rsid w:val="00EF75BC"/>
  </w:style>
  <w:style w:type="character" w:customStyle="1" w:styleId="Heading2Char">
    <w:name w:val="Heading 2 Char"/>
    <w:basedOn w:val="DefaultParagraphFont"/>
    <w:link w:val="Heading2"/>
    <w:uiPriority w:val="99"/>
    <w:rsid w:val="004C5486"/>
    <w:rPr>
      <w:rFonts w:ascii="Arial Narrow" w:hAnsi="Arial Narrow"/>
      <w:bCs/>
      <w:caps/>
      <w:color w:val="009FEE"/>
      <w:sz w:val="36"/>
      <w:szCs w:val="26"/>
      <w:lang w:val="en-US" w:eastAsia="en-US"/>
    </w:rPr>
  </w:style>
  <w:style w:type="paragraph" w:customStyle="1" w:styleId="TableHeadings">
    <w:name w:val="Table Headings"/>
    <w:uiPriority w:val="99"/>
    <w:rsid w:val="004C5486"/>
    <w:pPr>
      <w:spacing w:after="200"/>
    </w:pPr>
    <w:rPr>
      <w:rFonts w:ascii="Arial Narrow" w:eastAsia="Cambria" w:hAnsi="Arial Narrow"/>
      <w:caps/>
      <w:noProof/>
      <w:color w:val="FFFFFF"/>
      <w:sz w:val="18"/>
      <w:lang w:val="en-US" w:eastAsia="ja-JP"/>
    </w:rPr>
  </w:style>
  <w:style w:type="paragraph" w:styleId="EndnoteText">
    <w:name w:val="endnote text"/>
    <w:basedOn w:val="Normal"/>
    <w:link w:val="EndnoteTextChar"/>
    <w:rsid w:val="004C5486"/>
    <w:pPr>
      <w:overflowPunct/>
      <w:autoSpaceDE/>
      <w:autoSpaceDN/>
      <w:adjustRightInd/>
      <w:textAlignment w:val="auto"/>
    </w:pPr>
    <w:rPr>
      <w:rFonts w:ascii="Arial" w:eastAsia="Cambria" w:hAnsi="Arial"/>
      <w:color w:val="000000"/>
      <w:sz w:val="20"/>
      <w:lang w:val="en-US"/>
    </w:rPr>
  </w:style>
  <w:style w:type="character" w:customStyle="1" w:styleId="EndnoteTextChar">
    <w:name w:val="Endnote Text Char"/>
    <w:basedOn w:val="DefaultParagraphFont"/>
    <w:link w:val="EndnoteText"/>
    <w:rsid w:val="004C5486"/>
    <w:rPr>
      <w:rFonts w:ascii="Arial" w:eastAsia="Cambria" w:hAnsi="Arial"/>
      <w:color w:val="000000"/>
      <w:lang w:val="en-US" w:eastAsia="en-US"/>
    </w:rPr>
  </w:style>
  <w:style w:type="character" w:styleId="EndnoteReference">
    <w:name w:val="endnote reference"/>
    <w:basedOn w:val="DefaultParagraphFont"/>
    <w:rsid w:val="004C5486"/>
    <w:rPr>
      <w:vertAlign w:val="superscript"/>
    </w:rPr>
  </w:style>
  <w:style w:type="character" w:styleId="HTMLCite">
    <w:name w:val="HTML Cite"/>
    <w:basedOn w:val="DefaultParagraphFont"/>
    <w:uiPriority w:val="99"/>
    <w:unhideWhenUsed/>
    <w:rsid w:val="004C5486"/>
    <w:rPr>
      <w:i/>
      <w:iCs/>
    </w:rPr>
  </w:style>
  <w:style w:type="paragraph" w:customStyle="1" w:styleId="Introtext">
    <w:name w:val="Intro text"/>
    <w:basedOn w:val="Heading1"/>
    <w:uiPriority w:val="99"/>
    <w:rsid w:val="004C5486"/>
    <w:pPr>
      <w:keepLines/>
      <w:tabs>
        <w:tab w:val="right" w:pos="8441"/>
      </w:tabs>
      <w:overflowPunct/>
      <w:autoSpaceDE/>
      <w:autoSpaceDN/>
      <w:adjustRightInd/>
      <w:spacing w:before="0" w:after="600" w:line="216" w:lineRule="auto"/>
      <w:textAlignment w:val="auto"/>
    </w:pPr>
    <w:rPr>
      <w:rFonts w:ascii="Arial Narrow" w:hAnsi="Arial Narrow"/>
      <w:b w:val="0"/>
      <w:bCs w:val="0"/>
      <w:noProof/>
      <w:color w:val="009FEE"/>
      <w:spacing w:val="6"/>
      <w:kern w:val="0"/>
      <w:szCs w:val="60"/>
      <w:lang w:val="en-US"/>
    </w:rPr>
  </w:style>
  <w:style w:type="paragraph" w:styleId="BalloonText">
    <w:name w:val="Balloon Text"/>
    <w:basedOn w:val="Normal"/>
    <w:link w:val="BalloonTextChar"/>
    <w:rsid w:val="004C5486"/>
    <w:rPr>
      <w:rFonts w:ascii="Tahoma" w:hAnsi="Tahoma" w:cs="Tahoma"/>
      <w:sz w:val="16"/>
      <w:szCs w:val="16"/>
    </w:rPr>
  </w:style>
  <w:style w:type="character" w:customStyle="1" w:styleId="BalloonTextChar">
    <w:name w:val="Balloon Text Char"/>
    <w:basedOn w:val="DefaultParagraphFont"/>
    <w:link w:val="BalloonText"/>
    <w:rsid w:val="004C548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903243">
      <w:bodyDiv w:val="1"/>
      <w:marLeft w:val="0"/>
      <w:marRight w:val="0"/>
      <w:marTop w:val="0"/>
      <w:marBottom w:val="0"/>
      <w:divBdr>
        <w:top w:val="none" w:sz="0" w:space="0" w:color="auto"/>
        <w:left w:val="none" w:sz="0" w:space="0" w:color="auto"/>
        <w:bottom w:val="none" w:sz="0" w:space="0" w:color="auto"/>
        <w:right w:val="none" w:sz="0" w:space="0" w:color="auto"/>
      </w:divBdr>
    </w:div>
    <w:div w:id="874276450">
      <w:bodyDiv w:val="1"/>
      <w:marLeft w:val="0"/>
      <w:marRight w:val="0"/>
      <w:marTop w:val="0"/>
      <w:marBottom w:val="0"/>
      <w:divBdr>
        <w:top w:val="none" w:sz="0" w:space="0" w:color="auto"/>
        <w:left w:val="none" w:sz="0" w:space="0" w:color="auto"/>
        <w:bottom w:val="none" w:sz="0" w:space="0" w:color="auto"/>
        <w:right w:val="none" w:sz="0" w:space="0" w:color="auto"/>
      </w:divBdr>
    </w:div>
    <w:div w:id="1028146415">
      <w:bodyDiv w:val="1"/>
      <w:marLeft w:val="0"/>
      <w:marRight w:val="0"/>
      <w:marTop w:val="0"/>
      <w:marBottom w:val="0"/>
      <w:divBdr>
        <w:top w:val="none" w:sz="0" w:space="0" w:color="auto"/>
        <w:left w:val="none" w:sz="0" w:space="0" w:color="auto"/>
        <w:bottom w:val="none" w:sz="0" w:space="0" w:color="auto"/>
        <w:right w:val="none" w:sz="0" w:space="0" w:color="auto"/>
      </w:divBdr>
    </w:div>
    <w:div w:id="126846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transparency.org.au"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transparency.org/whatwedo/pub/international_principles_for_whistleblower_legislation" TargetMode="External"/><Relationship Id="rId2" Type="http://schemas.openxmlformats.org/officeDocument/2006/relationships/hyperlink" Target="http://www.oecd.org/g20/topics/anti-corruption/48972967.pdf" TargetMode="External"/><Relationship Id="rId1" Type="http://schemas.openxmlformats.org/officeDocument/2006/relationships/hyperlink" Target="http://www.transparency.org/whatwedo/publication/speak_up_empowering_citizens_against_corruption" TargetMode="External"/><Relationship Id="rId4" Type="http://schemas.openxmlformats.org/officeDocument/2006/relationships/hyperlink" Target="http://www.aph.gov.au/Parliamentary_Business/Committees/Joint/Corporations_and_Financial_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A1ADMIN\CLIENT%20BASE\current%20clients\TI%20Secretariat\Governance\Board\04%20May\Letterhead%20ACFI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5917" ma:contentTypeDescription=" " ma:contentTypeScope="" ma:versionID="885889aade700e24c8aa41fbd86be342">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documentManagement>
</p:properties>
</file>

<file path=customXml/itemProps1.xml><?xml version="1.0" encoding="utf-8"?>
<ds:datastoreItem xmlns:ds="http://schemas.openxmlformats.org/officeDocument/2006/customXml" ds:itemID="{A40A0939-5D74-4369-880E-167E9017FBA2}">
  <ds:schemaRefs>
    <ds:schemaRef ds:uri="office.server.policy"/>
  </ds:schemaRefs>
</ds:datastoreItem>
</file>

<file path=customXml/itemProps2.xml><?xml version="1.0" encoding="utf-8"?>
<ds:datastoreItem xmlns:ds="http://schemas.openxmlformats.org/officeDocument/2006/customXml" ds:itemID="{A6AC9C49-3FCB-4EB5-A522-A60144351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03D57-B351-4C4D-BA3A-B80332C01BD0}">
  <ds:schemaRefs>
    <ds:schemaRef ds:uri="http://schemas.microsoft.com/sharepoint/events"/>
  </ds:schemaRefs>
</ds:datastoreItem>
</file>

<file path=customXml/itemProps4.xml><?xml version="1.0" encoding="utf-8"?>
<ds:datastoreItem xmlns:ds="http://schemas.openxmlformats.org/officeDocument/2006/customXml" ds:itemID="{BEA4B58E-FD12-4CFB-9E77-321AF3517573}">
  <ds:schemaRefs>
    <ds:schemaRef ds:uri="http://schemas.microsoft.com/sharepoint/events"/>
  </ds:schemaRefs>
</ds:datastoreItem>
</file>

<file path=customXml/itemProps5.xml><?xml version="1.0" encoding="utf-8"?>
<ds:datastoreItem xmlns:ds="http://schemas.openxmlformats.org/officeDocument/2006/customXml" ds:itemID="{D1B227F7-BE3F-449A-A045-3F2DF74149D8}">
  <ds:schemaRefs>
    <ds:schemaRef ds:uri="http://schemas.microsoft.com/sharepoint/v3/contenttype/forms"/>
  </ds:schemaRefs>
</ds:datastoreItem>
</file>

<file path=customXml/itemProps6.xml><?xml version="1.0" encoding="utf-8"?>
<ds:datastoreItem xmlns:ds="http://schemas.openxmlformats.org/officeDocument/2006/customXml" ds:itemID="{CEABBFA9-DBE5-49CC-B191-983FFCE3251E}">
  <ds:schemaRefs>
    <ds:schemaRef ds:uri="http://purl.org/dc/terms/"/>
    <ds:schemaRef ds:uri="http://schemas.microsoft.com/office/infopath/2007/PartnerControls"/>
    <ds:schemaRef ds:uri="http://schemas.microsoft.com/office/2006/documentManagement/types"/>
    <ds:schemaRef ds:uri="d4dd4adf-ddb3-46a3-8d7c-fab3fb2a6bc7"/>
    <ds:schemaRef ds:uri="http://purl.org/dc/elements/1.1/"/>
    <ds:schemaRef ds:uri="http://schemas.microsoft.com/office/2006/metadata/properties"/>
    <ds:schemaRef ds:uri="http://purl.org/dc/dcmitype/"/>
    <ds:schemaRef ds:uri="http://www.w3.org/XML/1998/namespace"/>
    <ds:schemaRef ds:uri="http://schemas.openxmlformats.org/package/2006/metadata/core-properties"/>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Letterhead ACFID.dot</Template>
  <TotalTime>0</TotalTime>
  <Pages>6</Pages>
  <Words>1860</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Transparency International Australia - Submission in response to: Review of tax and corporate whistleblower protections in Australia</vt:lpstr>
    </vt:vector>
  </TitlesOfParts>
  <LinksUpToDate>false</LinksUpToDate>
  <CharactersWithSpaces>12875</CharactersWithSpaces>
  <SharedDoc>false</SharedDoc>
  <HLinks>
    <vt:vector size="6" baseType="variant">
      <vt:variant>
        <vt:i4>2949168</vt:i4>
      </vt:variant>
      <vt:variant>
        <vt:i4>0</vt:i4>
      </vt:variant>
      <vt:variant>
        <vt:i4>0</vt:i4>
      </vt:variant>
      <vt:variant>
        <vt:i4>5</vt:i4>
      </vt:variant>
      <vt:variant>
        <vt:lpwstr>http://www.transparency.org.au/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Transparency International Australia - Submission in response to: Review of tax and corporate whistleblower protections in Australia</dc:title>
  <dc:creator/>
  <cp:lastModifiedBy/>
  <cp:revision>1</cp:revision>
  <dcterms:created xsi:type="dcterms:W3CDTF">2017-10-09T02:42:00Z</dcterms:created>
  <dcterms:modified xsi:type="dcterms:W3CDTF">2017-10-09T02:56:00Z</dcterms:modified>
  <dc:language>English</dc:language>
</cp:coreProperties>
</file>