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5D4511" w14:textId="77777777" w:rsidR="00882C31" w:rsidRDefault="00882C31" w:rsidP="00F52A9A">
      <w:pPr>
        <w:ind w:left="7200" w:firstLine="720"/>
        <w:rPr>
          <w:rFonts w:cstheme="minorHAnsi"/>
          <w:sz w:val="22"/>
          <w:szCs w:val="22"/>
          <w:lang w:val="en-AU"/>
        </w:rPr>
      </w:pPr>
      <w:bookmarkStart w:id="0" w:name="_GoBack"/>
      <w:bookmarkEnd w:id="0"/>
    </w:p>
    <w:p w14:paraId="1A0A1C3E" w14:textId="77777777" w:rsidR="00882C31" w:rsidRDefault="00882C31" w:rsidP="00F52A9A">
      <w:pPr>
        <w:ind w:left="7200" w:firstLine="720"/>
        <w:rPr>
          <w:rFonts w:cstheme="minorHAnsi"/>
          <w:sz w:val="22"/>
          <w:szCs w:val="22"/>
          <w:lang w:val="en-AU"/>
        </w:rPr>
      </w:pPr>
    </w:p>
    <w:p w14:paraId="43F425CB" w14:textId="342F6A34" w:rsidR="001037B7" w:rsidRDefault="00D76B8B" w:rsidP="00F52A9A">
      <w:pPr>
        <w:ind w:left="7200" w:firstLine="720"/>
        <w:rPr>
          <w:rFonts w:cstheme="minorHAnsi"/>
          <w:sz w:val="22"/>
          <w:szCs w:val="22"/>
          <w:lang w:val="en-AU"/>
        </w:rPr>
      </w:pPr>
      <w:r>
        <w:rPr>
          <w:rFonts w:cstheme="minorHAnsi"/>
          <w:sz w:val="22"/>
          <w:szCs w:val="22"/>
          <w:lang w:val="en-AU"/>
        </w:rPr>
        <w:t>3 November 2017</w:t>
      </w:r>
    </w:p>
    <w:p w14:paraId="622E94BA" w14:textId="2EBB68DA" w:rsidR="00F52A9A" w:rsidRDefault="00F52A9A" w:rsidP="006A19D3">
      <w:pPr>
        <w:rPr>
          <w:rFonts w:cstheme="minorHAnsi"/>
          <w:sz w:val="22"/>
          <w:szCs w:val="22"/>
          <w:lang w:val="en-AU"/>
        </w:rPr>
      </w:pPr>
    </w:p>
    <w:p w14:paraId="6A42562B" w14:textId="77777777" w:rsidR="00F52A9A" w:rsidRDefault="00F52A9A" w:rsidP="006A19D3">
      <w:pPr>
        <w:rPr>
          <w:rFonts w:cstheme="minorHAnsi"/>
          <w:sz w:val="22"/>
          <w:szCs w:val="22"/>
          <w:lang w:val="en-AU"/>
        </w:rPr>
      </w:pPr>
    </w:p>
    <w:p w14:paraId="535501E9" w14:textId="2DF41404" w:rsidR="00D76B8B" w:rsidRDefault="00D76B8B" w:rsidP="006A19D3">
      <w:pPr>
        <w:rPr>
          <w:rFonts w:cstheme="minorHAnsi"/>
          <w:sz w:val="22"/>
          <w:szCs w:val="22"/>
          <w:lang w:val="en-AU"/>
        </w:rPr>
      </w:pPr>
      <w:r>
        <w:rPr>
          <w:rFonts w:cstheme="minorHAnsi"/>
          <w:sz w:val="22"/>
          <w:szCs w:val="22"/>
          <w:lang w:val="en-AU"/>
        </w:rPr>
        <w:t>Shellie Davis</w:t>
      </w:r>
    </w:p>
    <w:p w14:paraId="07B098A6" w14:textId="525C6AE5" w:rsidR="00D76B8B" w:rsidRDefault="00D76B8B" w:rsidP="006A19D3">
      <w:pPr>
        <w:rPr>
          <w:rFonts w:cstheme="minorHAnsi"/>
          <w:sz w:val="22"/>
          <w:szCs w:val="22"/>
          <w:lang w:val="en-AU"/>
        </w:rPr>
      </w:pPr>
      <w:r>
        <w:rPr>
          <w:rFonts w:cstheme="minorHAnsi"/>
          <w:sz w:val="22"/>
          <w:szCs w:val="22"/>
          <w:lang w:val="en-AU"/>
        </w:rPr>
        <w:t xml:space="preserve">Senior Adviser, Financial System Division </w:t>
      </w:r>
    </w:p>
    <w:p w14:paraId="3E7DA217" w14:textId="77C0231F" w:rsidR="00D76B8B" w:rsidRDefault="00D76B8B" w:rsidP="006A19D3">
      <w:pPr>
        <w:rPr>
          <w:rFonts w:cstheme="minorHAnsi"/>
          <w:sz w:val="22"/>
          <w:szCs w:val="22"/>
          <w:lang w:val="en-AU"/>
        </w:rPr>
      </w:pPr>
      <w:r>
        <w:rPr>
          <w:rFonts w:cstheme="minorHAnsi"/>
          <w:sz w:val="22"/>
          <w:szCs w:val="22"/>
          <w:lang w:val="en-AU"/>
        </w:rPr>
        <w:t xml:space="preserve">The Treasury </w:t>
      </w:r>
    </w:p>
    <w:p w14:paraId="229FA9C9" w14:textId="32137053" w:rsidR="001037B7" w:rsidRDefault="00D76B8B" w:rsidP="006A19D3">
      <w:pPr>
        <w:rPr>
          <w:rFonts w:cstheme="minorHAnsi"/>
          <w:sz w:val="22"/>
          <w:szCs w:val="22"/>
          <w:lang w:val="en-AU"/>
        </w:rPr>
      </w:pPr>
      <w:r>
        <w:rPr>
          <w:rFonts w:cstheme="minorHAnsi"/>
          <w:sz w:val="22"/>
          <w:szCs w:val="22"/>
          <w:lang w:val="en-AU"/>
        </w:rPr>
        <w:t xml:space="preserve">By email: </w:t>
      </w:r>
      <w:hyperlink r:id="rId15" w:history="1">
        <w:r w:rsidRPr="00FE4C05">
          <w:rPr>
            <w:rStyle w:val="Hyperlink"/>
            <w:rFonts w:cstheme="minorHAnsi"/>
            <w:sz w:val="22"/>
            <w:szCs w:val="22"/>
            <w:lang w:val="en-AU"/>
          </w:rPr>
          <w:t>sandbox@treasury.gov.au</w:t>
        </w:r>
      </w:hyperlink>
      <w:r>
        <w:rPr>
          <w:rFonts w:cstheme="minorHAnsi"/>
          <w:sz w:val="22"/>
          <w:szCs w:val="22"/>
          <w:lang w:val="en-AU"/>
        </w:rPr>
        <w:t xml:space="preserve"> </w:t>
      </w:r>
    </w:p>
    <w:p w14:paraId="7E78CC96" w14:textId="77777777" w:rsidR="001037B7" w:rsidRDefault="001037B7" w:rsidP="006A19D3">
      <w:pPr>
        <w:rPr>
          <w:rFonts w:cstheme="minorHAnsi"/>
          <w:sz w:val="22"/>
          <w:szCs w:val="22"/>
          <w:lang w:val="en-AU"/>
        </w:rPr>
      </w:pPr>
    </w:p>
    <w:p w14:paraId="259145BA" w14:textId="1C9E806F" w:rsidR="00F4540D" w:rsidRDefault="00F4540D" w:rsidP="006A19D3">
      <w:pPr>
        <w:rPr>
          <w:rFonts w:cstheme="minorHAnsi"/>
          <w:sz w:val="22"/>
          <w:szCs w:val="22"/>
          <w:lang w:val="en-AU"/>
        </w:rPr>
      </w:pPr>
      <w:r>
        <w:rPr>
          <w:rFonts w:cstheme="minorHAnsi"/>
          <w:sz w:val="22"/>
          <w:szCs w:val="22"/>
          <w:lang w:val="en-AU"/>
        </w:rPr>
        <w:t xml:space="preserve">Dear </w:t>
      </w:r>
      <w:r w:rsidR="00D76B8B">
        <w:rPr>
          <w:rFonts w:cstheme="minorHAnsi"/>
          <w:sz w:val="22"/>
          <w:szCs w:val="22"/>
          <w:lang w:val="en-AU"/>
        </w:rPr>
        <w:t>Shellie</w:t>
      </w:r>
      <w:r>
        <w:rPr>
          <w:rFonts w:cstheme="minorHAnsi"/>
          <w:sz w:val="22"/>
          <w:szCs w:val="22"/>
          <w:lang w:val="en-AU"/>
        </w:rPr>
        <w:t>,</w:t>
      </w:r>
    </w:p>
    <w:p w14:paraId="00DD6C77" w14:textId="27784AAD" w:rsidR="00F4540D" w:rsidRDefault="00F4540D" w:rsidP="006A19D3">
      <w:pPr>
        <w:rPr>
          <w:rFonts w:cstheme="minorHAnsi"/>
          <w:sz w:val="22"/>
          <w:szCs w:val="22"/>
          <w:lang w:val="en-AU"/>
        </w:rPr>
      </w:pPr>
    </w:p>
    <w:p w14:paraId="350887D4" w14:textId="45DDAA2C" w:rsidR="00F4540D" w:rsidRPr="00F4540D" w:rsidRDefault="00F4540D" w:rsidP="006A19D3">
      <w:pPr>
        <w:rPr>
          <w:rFonts w:cstheme="minorHAnsi"/>
          <w:b/>
          <w:sz w:val="22"/>
          <w:szCs w:val="22"/>
          <w:lang w:val="en-AU"/>
        </w:rPr>
      </w:pPr>
      <w:r>
        <w:rPr>
          <w:rFonts w:cstheme="minorHAnsi"/>
          <w:b/>
          <w:sz w:val="22"/>
          <w:szCs w:val="22"/>
          <w:lang w:val="en-AU"/>
        </w:rPr>
        <w:t>Re: Treasury Laws Amendment (Measures for a later sitting) Bill 2017: FinTech Sandbox Regulatory Licensing Exemptions</w:t>
      </w:r>
    </w:p>
    <w:p w14:paraId="18A8BD4E" w14:textId="77777777" w:rsidR="00F4540D" w:rsidRDefault="00F4540D" w:rsidP="006A19D3">
      <w:pPr>
        <w:rPr>
          <w:rFonts w:cstheme="minorHAnsi"/>
          <w:sz w:val="22"/>
          <w:szCs w:val="22"/>
          <w:lang w:val="en-AU"/>
        </w:rPr>
      </w:pPr>
    </w:p>
    <w:p w14:paraId="28B7B80C" w14:textId="39004F56" w:rsidR="00F4540D" w:rsidRDefault="00F4540D" w:rsidP="00B60A3B">
      <w:pPr>
        <w:rPr>
          <w:sz w:val="22"/>
          <w:szCs w:val="22"/>
        </w:rPr>
      </w:pPr>
      <w:r>
        <w:rPr>
          <w:sz w:val="22"/>
          <w:szCs w:val="22"/>
        </w:rPr>
        <w:t>CHOICE</w:t>
      </w:r>
      <w:r w:rsidR="00D76B8B">
        <w:rPr>
          <w:sz w:val="22"/>
          <w:szCs w:val="22"/>
        </w:rPr>
        <w:t xml:space="preserve">, Consumer Action and Financial Rights Legal Centre appreciate </w:t>
      </w:r>
      <w:r>
        <w:rPr>
          <w:sz w:val="22"/>
          <w:szCs w:val="22"/>
        </w:rPr>
        <w:t xml:space="preserve">the opportunity to comment on the </w:t>
      </w:r>
      <w:r w:rsidRPr="00F4540D">
        <w:rPr>
          <w:rFonts w:cstheme="minorHAnsi"/>
          <w:sz w:val="22"/>
          <w:szCs w:val="22"/>
          <w:lang w:val="en-AU"/>
        </w:rPr>
        <w:t>Treasury Laws Amendment (Measures for a later sitting) Bill 2017: FinTech Sandbox Regulatory Licensing Exemptions</w:t>
      </w:r>
      <w:r w:rsidR="001037B7">
        <w:rPr>
          <w:rFonts w:cstheme="minorHAnsi"/>
          <w:sz w:val="22"/>
          <w:szCs w:val="22"/>
          <w:lang w:val="en-AU"/>
        </w:rPr>
        <w:t xml:space="preserve"> (the legislation)</w:t>
      </w:r>
      <w:r w:rsidR="00E81549">
        <w:rPr>
          <w:rFonts w:cstheme="minorHAnsi"/>
          <w:sz w:val="22"/>
          <w:szCs w:val="22"/>
          <w:lang w:val="en-AU"/>
        </w:rPr>
        <w:t xml:space="preserve"> and associated documents. </w:t>
      </w:r>
    </w:p>
    <w:p w14:paraId="7A56D36B" w14:textId="574FF284" w:rsidR="00F4540D" w:rsidRDefault="00F4540D" w:rsidP="00B60A3B">
      <w:pPr>
        <w:rPr>
          <w:sz w:val="22"/>
          <w:szCs w:val="22"/>
        </w:rPr>
      </w:pPr>
    </w:p>
    <w:p w14:paraId="543C9A85" w14:textId="64A100EF" w:rsidR="002F03A1" w:rsidRDefault="00E81549" w:rsidP="00B60A3B">
      <w:pPr>
        <w:rPr>
          <w:sz w:val="22"/>
          <w:szCs w:val="22"/>
        </w:rPr>
      </w:pPr>
      <w:r>
        <w:rPr>
          <w:sz w:val="22"/>
          <w:szCs w:val="22"/>
        </w:rPr>
        <w:t xml:space="preserve">While we support the intent of encouraging competition to create new services for consumers we are extremely concerned about the risks that this approach involves. </w:t>
      </w:r>
      <w:r w:rsidR="00F70B08">
        <w:rPr>
          <w:sz w:val="22"/>
          <w:szCs w:val="22"/>
        </w:rPr>
        <w:t xml:space="preserve">The legislation would allow, for example, unlicensed financial advice on superannuation products, insurance and long-term investments. These services are too complex and too important to the long-term well-being of consumers to be offered without the adequate protections that the sandbox removes. Rather than watering down consumer protections, the financial industry needs much higher standards to prevent the scandals that have drained consumer savings and investments. </w:t>
      </w:r>
    </w:p>
    <w:p w14:paraId="1E8D18B1" w14:textId="77777777" w:rsidR="002F03A1" w:rsidRDefault="002F03A1" w:rsidP="00B60A3B">
      <w:pPr>
        <w:rPr>
          <w:sz w:val="22"/>
          <w:szCs w:val="22"/>
        </w:rPr>
      </w:pPr>
    </w:p>
    <w:p w14:paraId="31179216" w14:textId="7AC5D864" w:rsidR="00E81549" w:rsidRDefault="00B56BC9" w:rsidP="00B60A3B">
      <w:pPr>
        <w:rPr>
          <w:sz w:val="22"/>
          <w:szCs w:val="22"/>
        </w:rPr>
      </w:pPr>
      <w:r>
        <w:rPr>
          <w:sz w:val="22"/>
          <w:szCs w:val="22"/>
        </w:rPr>
        <w:t xml:space="preserve">We note that the </w:t>
      </w:r>
      <w:r w:rsidR="002F03A1">
        <w:rPr>
          <w:sz w:val="22"/>
          <w:szCs w:val="22"/>
        </w:rPr>
        <w:t xml:space="preserve">Explanatory Memorandum </w:t>
      </w:r>
      <w:r w:rsidR="001037B7">
        <w:rPr>
          <w:sz w:val="22"/>
          <w:szCs w:val="22"/>
        </w:rPr>
        <w:t xml:space="preserve">states that the legislation </w:t>
      </w:r>
      <w:r w:rsidR="002F03A1">
        <w:rPr>
          <w:sz w:val="22"/>
          <w:szCs w:val="22"/>
        </w:rPr>
        <w:t>seeks to “strike a better balance between encouraging competition and innovation that delivers choice for consumers and minimising risks to consumers or the integrity of the financial system.”</w:t>
      </w:r>
      <w:r w:rsidR="002F03A1">
        <w:rPr>
          <w:rStyle w:val="FootnoteReference"/>
          <w:sz w:val="22"/>
          <w:szCs w:val="22"/>
        </w:rPr>
        <w:footnoteReference w:id="1"/>
      </w:r>
      <w:r w:rsidR="002F03A1">
        <w:rPr>
          <w:sz w:val="22"/>
          <w:szCs w:val="22"/>
        </w:rPr>
        <w:t xml:space="preserve"> The premise that competition and consumer protection must be balanced or traded against one another is misguided. As noted in Australia’s competition legislation and in recent reviews of competition settings, competition is a means to </w:t>
      </w:r>
      <w:r w:rsidR="00F70B08">
        <w:rPr>
          <w:sz w:val="22"/>
          <w:szCs w:val="22"/>
        </w:rPr>
        <w:t xml:space="preserve">achieve good consumer outcomes and not an end in itself. </w:t>
      </w:r>
    </w:p>
    <w:p w14:paraId="5812C42A" w14:textId="25F9052F" w:rsidR="00F4540D" w:rsidRDefault="00F4540D" w:rsidP="00B60A3B">
      <w:pPr>
        <w:rPr>
          <w:sz w:val="22"/>
          <w:szCs w:val="22"/>
        </w:rPr>
      </w:pPr>
    </w:p>
    <w:p w14:paraId="0ED49A28" w14:textId="76F720D9" w:rsidR="00F52A9A" w:rsidRDefault="00595BB8" w:rsidP="00B60A3B">
      <w:pPr>
        <w:rPr>
          <w:sz w:val="22"/>
          <w:szCs w:val="22"/>
        </w:rPr>
      </w:pPr>
      <w:r>
        <w:rPr>
          <w:sz w:val="22"/>
          <w:szCs w:val="22"/>
        </w:rPr>
        <w:t xml:space="preserve">Innovation can produce </w:t>
      </w:r>
      <w:r w:rsidR="00C24582">
        <w:rPr>
          <w:sz w:val="22"/>
          <w:szCs w:val="22"/>
        </w:rPr>
        <w:t xml:space="preserve">significant </w:t>
      </w:r>
      <w:r>
        <w:rPr>
          <w:sz w:val="22"/>
          <w:szCs w:val="22"/>
        </w:rPr>
        <w:t xml:space="preserve">benefits </w:t>
      </w:r>
      <w:r w:rsidR="00C24582">
        <w:rPr>
          <w:sz w:val="22"/>
          <w:szCs w:val="22"/>
        </w:rPr>
        <w:t>for consumers. H</w:t>
      </w:r>
      <w:r w:rsidR="0022067E">
        <w:rPr>
          <w:sz w:val="22"/>
          <w:szCs w:val="22"/>
        </w:rPr>
        <w:t>owever</w:t>
      </w:r>
      <w:r w:rsidR="00C24582">
        <w:rPr>
          <w:sz w:val="22"/>
          <w:szCs w:val="22"/>
        </w:rPr>
        <w:t xml:space="preserve">, not every product innovation is necessarily in consumers’ best interests. This is particularly the case in complex markets such as financial services, where the risks of bad product design and misselling can </w:t>
      </w:r>
      <w:r w:rsidR="00F75F70">
        <w:rPr>
          <w:sz w:val="22"/>
          <w:szCs w:val="22"/>
        </w:rPr>
        <w:t xml:space="preserve">have </w:t>
      </w:r>
      <w:r w:rsidR="00C24582">
        <w:rPr>
          <w:sz w:val="22"/>
          <w:szCs w:val="22"/>
        </w:rPr>
        <w:t>catastrophic consequences.</w:t>
      </w:r>
      <w:r>
        <w:rPr>
          <w:sz w:val="22"/>
          <w:szCs w:val="22"/>
        </w:rPr>
        <w:t xml:space="preserve"> </w:t>
      </w:r>
      <w:r w:rsidR="00F70B08">
        <w:rPr>
          <w:sz w:val="22"/>
          <w:szCs w:val="22"/>
        </w:rPr>
        <w:t xml:space="preserve">For example, we have recently seen “innovation” from payday lenders which has led to more online targeting and </w:t>
      </w:r>
      <w:r w:rsidR="001037B7">
        <w:rPr>
          <w:sz w:val="22"/>
          <w:szCs w:val="22"/>
        </w:rPr>
        <w:t>quick</w:t>
      </w:r>
      <w:r w:rsidR="00F70B08">
        <w:rPr>
          <w:sz w:val="22"/>
          <w:szCs w:val="22"/>
        </w:rPr>
        <w:t xml:space="preserve"> loan applications for high-cost debt. </w:t>
      </w:r>
    </w:p>
    <w:p w14:paraId="38920A83" w14:textId="77777777" w:rsidR="00F52A9A" w:rsidRDefault="00F52A9A" w:rsidP="00B60A3B">
      <w:pPr>
        <w:rPr>
          <w:sz w:val="22"/>
          <w:szCs w:val="22"/>
        </w:rPr>
      </w:pPr>
    </w:p>
    <w:p w14:paraId="4DB453D7" w14:textId="75768016" w:rsidR="00F52A9A" w:rsidRDefault="00F70B08" w:rsidP="00F52A9A">
      <w:pPr>
        <w:rPr>
          <w:sz w:val="22"/>
          <w:szCs w:val="22"/>
          <w:lang w:val="en-AU"/>
        </w:rPr>
      </w:pPr>
      <w:r>
        <w:rPr>
          <w:sz w:val="22"/>
          <w:szCs w:val="22"/>
        </w:rPr>
        <w:t xml:space="preserve">Similarly, we’ve seen “innovation” in the superannuation sector with new entrants offering relatively high-cost options to consumers that are sold in a highly-targeted manner online. </w:t>
      </w:r>
      <w:r w:rsidR="00F52A9A" w:rsidRPr="00521639">
        <w:rPr>
          <w:sz w:val="22"/>
          <w:szCs w:val="22"/>
          <w:lang w:val="en-AU"/>
        </w:rPr>
        <w:t xml:space="preserve">New funds, such as Future Super, market on providing values alignment with members by investing in ethical, green, sustainable and tech related options. </w:t>
      </w:r>
      <w:r w:rsidR="00F52A9A">
        <w:rPr>
          <w:sz w:val="22"/>
          <w:szCs w:val="22"/>
          <w:lang w:val="en-AU"/>
        </w:rPr>
        <w:t>However, f</w:t>
      </w:r>
      <w:r w:rsidR="00F52A9A" w:rsidRPr="00521639">
        <w:rPr>
          <w:sz w:val="22"/>
          <w:szCs w:val="22"/>
          <w:lang w:val="en-AU"/>
        </w:rPr>
        <w:t>ees on these new products are well above the industry average, which according to Rice Warner is 1.03%.</w:t>
      </w:r>
      <w:r w:rsidR="00F52A9A" w:rsidRPr="00521639">
        <w:rPr>
          <w:sz w:val="22"/>
          <w:szCs w:val="22"/>
          <w:vertAlign w:val="superscript"/>
          <w:lang w:val="en-AU"/>
        </w:rPr>
        <w:footnoteReference w:id="2"/>
      </w:r>
      <w:r w:rsidR="00F52A9A" w:rsidRPr="00521639">
        <w:rPr>
          <w:sz w:val="22"/>
          <w:szCs w:val="22"/>
          <w:lang w:val="en-AU"/>
        </w:rPr>
        <w:t xml:space="preserve"> For example, </w:t>
      </w:r>
      <w:r w:rsidR="00F52A9A">
        <w:rPr>
          <w:sz w:val="22"/>
          <w:szCs w:val="22"/>
          <w:lang w:val="en-AU"/>
        </w:rPr>
        <w:t xml:space="preserve">Future Super </w:t>
      </w:r>
      <w:r w:rsidR="00F52A9A" w:rsidRPr="00521639">
        <w:rPr>
          <w:sz w:val="22"/>
          <w:szCs w:val="22"/>
          <w:lang w:val="en-AU"/>
        </w:rPr>
        <w:t>has</w:t>
      </w:r>
      <w:r w:rsidR="00F52A9A">
        <w:rPr>
          <w:sz w:val="22"/>
          <w:szCs w:val="22"/>
          <w:lang w:val="en-AU"/>
        </w:rPr>
        <w:t xml:space="preserve"> </w:t>
      </w:r>
      <w:r w:rsidR="00F52A9A" w:rsidRPr="00521639">
        <w:rPr>
          <w:sz w:val="22"/>
          <w:szCs w:val="22"/>
          <w:lang w:val="en-AU"/>
        </w:rPr>
        <w:t xml:space="preserve">fees of </w:t>
      </w:r>
      <w:r w:rsidR="00F52A9A">
        <w:rPr>
          <w:sz w:val="22"/>
          <w:szCs w:val="22"/>
          <w:lang w:val="en-AU"/>
        </w:rPr>
        <w:t>almost 2</w:t>
      </w:r>
      <w:r w:rsidR="00F52A9A" w:rsidRPr="00521639">
        <w:rPr>
          <w:sz w:val="22"/>
          <w:szCs w:val="22"/>
          <w:lang w:val="en-AU"/>
        </w:rPr>
        <w:t xml:space="preserve">% on a balance of </w:t>
      </w:r>
      <w:r w:rsidR="00F52A9A" w:rsidRPr="00521639">
        <w:rPr>
          <w:sz w:val="22"/>
          <w:szCs w:val="22"/>
          <w:lang w:val="en-AU"/>
        </w:rPr>
        <w:lastRenderedPageBreak/>
        <w:t>$50,000</w:t>
      </w:r>
      <w:r w:rsidR="00F52A9A" w:rsidRPr="00521639">
        <w:rPr>
          <w:sz w:val="22"/>
          <w:szCs w:val="22"/>
          <w:vertAlign w:val="superscript"/>
          <w:lang w:val="en-AU"/>
        </w:rPr>
        <w:footnoteReference w:id="3"/>
      </w:r>
      <w:r w:rsidR="00F52A9A" w:rsidRPr="00521639">
        <w:rPr>
          <w:sz w:val="22"/>
          <w:szCs w:val="22"/>
          <w:lang w:val="en-AU"/>
        </w:rPr>
        <w:t>, by comparison Australian Super’s default option fees are 0.796%</w:t>
      </w:r>
      <w:r w:rsidR="00F52A9A" w:rsidRPr="00521639">
        <w:rPr>
          <w:sz w:val="22"/>
          <w:szCs w:val="22"/>
          <w:vertAlign w:val="superscript"/>
          <w:lang w:val="en-AU"/>
        </w:rPr>
        <w:footnoteReference w:id="4"/>
      </w:r>
      <w:r w:rsidR="00F52A9A" w:rsidRPr="00521639">
        <w:rPr>
          <w:sz w:val="22"/>
          <w:szCs w:val="22"/>
          <w:lang w:val="en-AU"/>
        </w:rPr>
        <w:t>. This large difference in fees can have a catastrophic impact on a member’s retirement balance</w:t>
      </w:r>
      <w:r w:rsidR="00F52A9A">
        <w:rPr>
          <w:sz w:val="22"/>
          <w:szCs w:val="22"/>
          <w:lang w:val="en-AU"/>
        </w:rPr>
        <w:t>.</w:t>
      </w:r>
      <w:r w:rsidR="00F52A9A" w:rsidRPr="00521639">
        <w:rPr>
          <w:sz w:val="22"/>
          <w:szCs w:val="22"/>
          <w:lang w:val="en-AU"/>
        </w:rPr>
        <w:t xml:space="preserve"> </w:t>
      </w:r>
      <w:r w:rsidR="00F52A9A">
        <w:rPr>
          <w:sz w:val="22"/>
          <w:szCs w:val="22"/>
          <w:lang w:val="en-AU"/>
        </w:rPr>
        <w:t>A</w:t>
      </w:r>
      <w:r w:rsidR="00F52A9A" w:rsidRPr="00521639">
        <w:rPr>
          <w:sz w:val="22"/>
          <w:szCs w:val="22"/>
          <w:lang w:val="en-AU"/>
        </w:rPr>
        <w:t>s the standard disclosure on a superannuation product disclosure states, total annual fees and costs of 2% of an account balance rather than 1% could reduce a final return by up to 20% over a 30 year period (for example, reduce it from $100,000 to $80,000).</w:t>
      </w:r>
      <w:r w:rsidR="00882C31">
        <w:rPr>
          <w:sz w:val="22"/>
          <w:szCs w:val="22"/>
          <w:lang w:val="en-AU"/>
        </w:rPr>
        <w:t xml:space="preserve"> </w:t>
      </w:r>
      <w:r w:rsidR="00F52A9A" w:rsidRPr="00521639">
        <w:rPr>
          <w:sz w:val="22"/>
          <w:szCs w:val="22"/>
          <w:lang w:val="en-AU"/>
        </w:rPr>
        <w:t>The picture is no better when considering investment return objectives. For example, Future Super aims to outperform the Consumer Price Index (CPI) by +2.5%,</w:t>
      </w:r>
      <w:r w:rsidR="00F52A9A" w:rsidRPr="00521639">
        <w:rPr>
          <w:sz w:val="22"/>
          <w:szCs w:val="22"/>
          <w:vertAlign w:val="superscript"/>
          <w:lang w:val="en-AU"/>
        </w:rPr>
        <w:footnoteReference w:id="5"/>
      </w:r>
      <w:r w:rsidR="00F52A9A" w:rsidRPr="00521639">
        <w:rPr>
          <w:sz w:val="22"/>
          <w:szCs w:val="22"/>
          <w:lang w:val="en-AU"/>
        </w:rPr>
        <w:t xml:space="preserve"> this pales in comparison to the return target of CPI +3.85% for Australian Super’s MySuper product.</w:t>
      </w:r>
      <w:r w:rsidR="00F52A9A" w:rsidRPr="00521639">
        <w:rPr>
          <w:sz w:val="22"/>
          <w:szCs w:val="22"/>
          <w:vertAlign w:val="superscript"/>
          <w:lang w:val="en-AU"/>
        </w:rPr>
        <w:footnoteReference w:id="6"/>
      </w:r>
      <w:r w:rsidR="00F52A9A">
        <w:rPr>
          <w:sz w:val="22"/>
          <w:szCs w:val="22"/>
          <w:lang w:val="en-AU"/>
        </w:rPr>
        <w:t xml:space="preserve"> Despite the extremely high fees and lacklustre return targets, i</w:t>
      </w:r>
      <w:r w:rsidR="00F52A9A" w:rsidRPr="00521639">
        <w:rPr>
          <w:sz w:val="22"/>
          <w:szCs w:val="22"/>
          <w:lang w:val="en-AU"/>
        </w:rPr>
        <w:t xml:space="preserve">t is clear these </w:t>
      </w:r>
      <w:r w:rsidR="00F52A9A">
        <w:rPr>
          <w:sz w:val="22"/>
          <w:szCs w:val="22"/>
          <w:lang w:val="en-AU"/>
        </w:rPr>
        <w:t>“innovators”</w:t>
      </w:r>
      <w:r w:rsidR="00F52A9A" w:rsidRPr="00521639">
        <w:rPr>
          <w:sz w:val="22"/>
          <w:szCs w:val="22"/>
          <w:lang w:val="en-AU"/>
        </w:rPr>
        <w:t xml:space="preserve"> are proving popular with some consumers</w:t>
      </w:r>
      <w:r w:rsidR="00F52A9A">
        <w:rPr>
          <w:sz w:val="22"/>
          <w:szCs w:val="22"/>
          <w:lang w:val="en-AU"/>
        </w:rPr>
        <w:t>. Another fund,</w:t>
      </w:r>
      <w:r w:rsidR="00F52A9A" w:rsidRPr="00521639">
        <w:rPr>
          <w:sz w:val="22"/>
          <w:szCs w:val="22"/>
          <w:lang w:val="en-AU"/>
        </w:rPr>
        <w:t xml:space="preserve"> Spaceship</w:t>
      </w:r>
      <w:r w:rsidR="00F52A9A">
        <w:rPr>
          <w:sz w:val="22"/>
          <w:szCs w:val="22"/>
          <w:lang w:val="en-AU"/>
        </w:rPr>
        <w:t>,</w:t>
      </w:r>
      <w:r w:rsidR="00F52A9A" w:rsidRPr="00521639">
        <w:rPr>
          <w:sz w:val="22"/>
          <w:szCs w:val="22"/>
          <w:lang w:val="en-AU"/>
        </w:rPr>
        <w:t xml:space="preserve"> announced it had over $100 million under management just months after launch.</w:t>
      </w:r>
      <w:r w:rsidR="00F52A9A" w:rsidRPr="00521639">
        <w:rPr>
          <w:sz w:val="22"/>
          <w:szCs w:val="22"/>
          <w:vertAlign w:val="superscript"/>
          <w:lang w:val="en-AU"/>
        </w:rPr>
        <w:footnoteReference w:id="7"/>
      </w:r>
      <w:r w:rsidR="00F52A9A">
        <w:rPr>
          <w:sz w:val="22"/>
          <w:szCs w:val="22"/>
          <w:lang w:val="en-AU"/>
        </w:rPr>
        <w:t xml:space="preserve"> </w:t>
      </w:r>
    </w:p>
    <w:p w14:paraId="5E1CCDFE" w14:textId="77777777" w:rsidR="00882C31" w:rsidRDefault="00882C31" w:rsidP="00F52A9A">
      <w:pPr>
        <w:rPr>
          <w:sz w:val="22"/>
          <w:szCs w:val="22"/>
          <w:lang w:val="en-AU"/>
        </w:rPr>
      </w:pPr>
    </w:p>
    <w:p w14:paraId="637778CF" w14:textId="0D2AA895" w:rsidR="00F70B08" w:rsidRDefault="00F70B08" w:rsidP="00B60A3B">
      <w:pPr>
        <w:rPr>
          <w:sz w:val="22"/>
          <w:szCs w:val="22"/>
        </w:rPr>
      </w:pPr>
      <w:r>
        <w:rPr>
          <w:sz w:val="22"/>
          <w:szCs w:val="22"/>
        </w:rPr>
        <w:t xml:space="preserve">We need to ensure that innovation </w:t>
      </w:r>
      <w:r w:rsidR="001037B7">
        <w:rPr>
          <w:sz w:val="22"/>
          <w:szCs w:val="22"/>
        </w:rPr>
        <w:t>leads to services that genuinely meet</w:t>
      </w:r>
      <w:r>
        <w:rPr>
          <w:sz w:val="22"/>
          <w:szCs w:val="22"/>
        </w:rPr>
        <w:t xml:space="preserve"> the needs of Australian consumers rather than simply selling a toxic product in a more effective way. </w:t>
      </w:r>
    </w:p>
    <w:p w14:paraId="79FF86EE" w14:textId="743E268E" w:rsidR="00521639" w:rsidRDefault="00521639" w:rsidP="00B60A3B">
      <w:pPr>
        <w:rPr>
          <w:sz w:val="22"/>
          <w:szCs w:val="22"/>
        </w:rPr>
      </w:pPr>
    </w:p>
    <w:p w14:paraId="1F53CA29" w14:textId="3E4CCA71" w:rsidR="00F70B08" w:rsidRDefault="00595BB8" w:rsidP="00B60A3B">
      <w:pPr>
        <w:rPr>
          <w:sz w:val="22"/>
          <w:szCs w:val="22"/>
        </w:rPr>
      </w:pPr>
      <w:r>
        <w:rPr>
          <w:sz w:val="22"/>
          <w:szCs w:val="22"/>
        </w:rPr>
        <w:t>Recently, small and large financial service providers have demonstrated appalling</w:t>
      </w:r>
      <w:r w:rsidR="008E0469">
        <w:rPr>
          <w:sz w:val="22"/>
          <w:szCs w:val="22"/>
        </w:rPr>
        <w:t>ly</w:t>
      </w:r>
      <w:r>
        <w:rPr>
          <w:sz w:val="22"/>
          <w:szCs w:val="22"/>
        </w:rPr>
        <w:t xml:space="preserve"> low regard for consumer needs and protections. </w:t>
      </w:r>
      <w:r w:rsidR="00C24582">
        <w:rPr>
          <w:sz w:val="22"/>
          <w:szCs w:val="22"/>
        </w:rPr>
        <w:t xml:space="preserve">CHOICE is concerned that providers invoking a halo of ‘innovation’ may </w:t>
      </w:r>
      <w:r w:rsidR="00F75F70">
        <w:rPr>
          <w:sz w:val="22"/>
          <w:szCs w:val="22"/>
        </w:rPr>
        <w:t>fall through gaps</w:t>
      </w:r>
      <w:r w:rsidR="00C24582">
        <w:rPr>
          <w:sz w:val="22"/>
          <w:szCs w:val="22"/>
        </w:rPr>
        <w:t xml:space="preserve"> consumer protection requirements. </w:t>
      </w:r>
      <w:r>
        <w:rPr>
          <w:sz w:val="22"/>
          <w:szCs w:val="22"/>
        </w:rPr>
        <w:t xml:space="preserve">For this reason, </w:t>
      </w:r>
      <w:r w:rsidR="00C24582">
        <w:rPr>
          <w:sz w:val="22"/>
          <w:szCs w:val="22"/>
        </w:rPr>
        <w:t xml:space="preserve">we believe </w:t>
      </w:r>
      <w:r w:rsidR="001037B7">
        <w:rPr>
          <w:sz w:val="22"/>
          <w:szCs w:val="22"/>
        </w:rPr>
        <w:t xml:space="preserve">stronger protections for the sandbox are required. </w:t>
      </w:r>
    </w:p>
    <w:p w14:paraId="4BD7894E" w14:textId="48806ECD" w:rsidR="00595BB8" w:rsidRPr="00822FF8" w:rsidRDefault="00F54E87" w:rsidP="00F54E87">
      <w:pPr>
        <w:tabs>
          <w:tab w:val="left" w:pos="3405"/>
        </w:tabs>
        <w:rPr>
          <w:rFonts w:cstheme="minorHAnsi"/>
          <w:sz w:val="22"/>
          <w:szCs w:val="22"/>
          <w:lang w:val="en-AU"/>
        </w:rPr>
      </w:pPr>
      <w:r>
        <w:rPr>
          <w:rFonts w:cstheme="minorHAnsi"/>
          <w:sz w:val="22"/>
          <w:szCs w:val="22"/>
          <w:lang w:val="en-AU"/>
        </w:rPr>
        <w:tab/>
      </w:r>
    </w:p>
    <w:p w14:paraId="66847C0A" w14:textId="1DC9517B" w:rsidR="006A19D3" w:rsidRPr="000E423D" w:rsidRDefault="002A5867" w:rsidP="006A19D3">
      <w:pPr>
        <w:rPr>
          <w:rFonts w:cstheme="minorHAnsi"/>
          <w:b/>
          <w:sz w:val="28"/>
          <w:szCs w:val="28"/>
          <w:lang w:val="en-AU"/>
        </w:rPr>
      </w:pPr>
      <w:r>
        <w:rPr>
          <w:rFonts w:cstheme="minorHAnsi"/>
          <w:b/>
          <w:sz w:val="28"/>
          <w:szCs w:val="28"/>
          <w:lang w:val="en-AU"/>
        </w:rPr>
        <w:t>The sandbox puts</w:t>
      </w:r>
      <w:r w:rsidR="000A6D65">
        <w:rPr>
          <w:rFonts w:cstheme="minorHAnsi"/>
          <w:b/>
          <w:sz w:val="28"/>
          <w:szCs w:val="28"/>
          <w:lang w:val="en-AU"/>
        </w:rPr>
        <w:t xml:space="preserve"> consumers and the fintech industry’s reputation at ris</w:t>
      </w:r>
      <w:r w:rsidR="00664851">
        <w:rPr>
          <w:rFonts w:cstheme="minorHAnsi"/>
          <w:b/>
          <w:sz w:val="28"/>
          <w:szCs w:val="28"/>
          <w:lang w:val="en-AU"/>
        </w:rPr>
        <w:t>k</w:t>
      </w:r>
    </w:p>
    <w:p w14:paraId="6B44D9C5" w14:textId="77777777" w:rsidR="00F70B08" w:rsidRDefault="00F70B08" w:rsidP="000B556F">
      <w:pPr>
        <w:rPr>
          <w:rFonts w:cstheme="minorHAnsi"/>
          <w:bCs/>
          <w:sz w:val="22"/>
          <w:szCs w:val="22"/>
        </w:rPr>
      </w:pPr>
    </w:p>
    <w:p w14:paraId="21C6F22D" w14:textId="6827BBC6" w:rsidR="000B556F" w:rsidRDefault="002A5867" w:rsidP="000B556F">
      <w:pPr>
        <w:rPr>
          <w:rFonts w:cstheme="minorHAnsi"/>
          <w:bCs/>
          <w:sz w:val="22"/>
          <w:szCs w:val="22"/>
        </w:rPr>
      </w:pPr>
      <w:r>
        <w:rPr>
          <w:rFonts w:cstheme="minorHAnsi"/>
          <w:bCs/>
          <w:sz w:val="22"/>
          <w:szCs w:val="22"/>
        </w:rPr>
        <w:t xml:space="preserve">There are risks to </w:t>
      </w:r>
      <w:r w:rsidR="001037B7">
        <w:rPr>
          <w:rFonts w:cstheme="minorHAnsi"/>
          <w:bCs/>
          <w:sz w:val="22"/>
          <w:szCs w:val="22"/>
        </w:rPr>
        <w:t>ASIC’s</w:t>
      </w:r>
      <w:r>
        <w:rPr>
          <w:rFonts w:cstheme="minorHAnsi"/>
          <w:bCs/>
          <w:sz w:val="22"/>
          <w:szCs w:val="22"/>
        </w:rPr>
        <w:t xml:space="preserve"> existing regulatory sandbox and the proposed expansion</w:t>
      </w:r>
      <w:r w:rsidR="001037B7">
        <w:rPr>
          <w:rFonts w:cstheme="minorHAnsi"/>
          <w:bCs/>
          <w:sz w:val="22"/>
          <w:szCs w:val="22"/>
        </w:rPr>
        <w:t xml:space="preserve"> in the legislation</w:t>
      </w:r>
      <w:r>
        <w:rPr>
          <w:rFonts w:cstheme="minorHAnsi"/>
          <w:bCs/>
          <w:sz w:val="22"/>
          <w:szCs w:val="22"/>
        </w:rPr>
        <w:t>. Both initiatives allow any business that meets criteria to use the regulatory exemption. In comparison, other sandbox initiatives involve an assessment of whether services are inn</w:t>
      </w:r>
      <w:r w:rsidR="00931B44">
        <w:rPr>
          <w:rFonts w:cstheme="minorHAnsi"/>
          <w:bCs/>
          <w:sz w:val="22"/>
          <w:szCs w:val="22"/>
        </w:rPr>
        <w:t>ovative and good for consumers before a regulatory exemption is granted.</w:t>
      </w:r>
    </w:p>
    <w:p w14:paraId="18599D5D" w14:textId="77777777" w:rsidR="00882C31" w:rsidRPr="005B0EDE" w:rsidRDefault="00882C31" w:rsidP="000B556F">
      <w:pPr>
        <w:rPr>
          <w:rFonts w:cstheme="minorHAnsi"/>
          <w:bCs/>
          <w:sz w:val="22"/>
          <w:szCs w:val="22"/>
        </w:rPr>
      </w:pPr>
    </w:p>
    <w:tbl>
      <w:tblPr>
        <w:tblStyle w:val="TableGrid"/>
        <w:tblW w:w="10178" w:type="dxa"/>
        <w:tblInd w:w="-259" w:type="dxa"/>
        <w:tblLook w:val="04A0" w:firstRow="1" w:lastRow="0" w:firstColumn="1" w:lastColumn="0" w:noHBand="0" w:noVBand="1"/>
      </w:tblPr>
      <w:tblGrid>
        <w:gridCol w:w="1360"/>
        <w:gridCol w:w="1984"/>
        <w:gridCol w:w="2268"/>
        <w:gridCol w:w="2268"/>
        <w:gridCol w:w="2298"/>
      </w:tblGrid>
      <w:tr w:rsidR="000B556F" w:rsidRPr="00595BB8" w14:paraId="22956274" w14:textId="77777777" w:rsidTr="000B556F">
        <w:tc>
          <w:tcPr>
            <w:tcW w:w="1360" w:type="dxa"/>
          </w:tcPr>
          <w:p w14:paraId="6845608B" w14:textId="77777777" w:rsidR="000B556F" w:rsidRPr="00595BB8" w:rsidRDefault="000B556F" w:rsidP="00B77070">
            <w:pPr>
              <w:rPr>
                <w:b/>
                <w:sz w:val="22"/>
                <w:szCs w:val="22"/>
              </w:rPr>
            </w:pPr>
          </w:p>
        </w:tc>
        <w:tc>
          <w:tcPr>
            <w:tcW w:w="1984" w:type="dxa"/>
          </w:tcPr>
          <w:p w14:paraId="4895972D" w14:textId="77777777" w:rsidR="000B556F" w:rsidRPr="00595BB8" w:rsidRDefault="000B556F" w:rsidP="00B77070">
            <w:pPr>
              <w:rPr>
                <w:b/>
                <w:sz w:val="22"/>
                <w:szCs w:val="22"/>
              </w:rPr>
            </w:pPr>
            <w:r w:rsidRPr="00595BB8">
              <w:rPr>
                <w:b/>
                <w:sz w:val="22"/>
                <w:szCs w:val="22"/>
              </w:rPr>
              <w:t>United Kingdom</w:t>
            </w:r>
          </w:p>
        </w:tc>
        <w:tc>
          <w:tcPr>
            <w:tcW w:w="2268" w:type="dxa"/>
          </w:tcPr>
          <w:p w14:paraId="2DD57BA8" w14:textId="77777777" w:rsidR="000B556F" w:rsidRPr="00595BB8" w:rsidRDefault="000B556F" w:rsidP="00B77070">
            <w:pPr>
              <w:rPr>
                <w:b/>
                <w:sz w:val="22"/>
                <w:szCs w:val="22"/>
              </w:rPr>
            </w:pPr>
            <w:r w:rsidRPr="00595BB8">
              <w:rPr>
                <w:b/>
                <w:sz w:val="22"/>
                <w:szCs w:val="22"/>
              </w:rPr>
              <w:t>Singapore</w:t>
            </w:r>
          </w:p>
        </w:tc>
        <w:tc>
          <w:tcPr>
            <w:tcW w:w="2268" w:type="dxa"/>
          </w:tcPr>
          <w:p w14:paraId="71F59B7E" w14:textId="77777777" w:rsidR="000B556F" w:rsidRPr="00595BB8" w:rsidRDefault="000B556F" w:rsidP="00B77070">
            <w:pPr>
              <w:rPr>
                <w:b/>
                <w:sz w:val="22"/>
                <w:szCs w:val="22"/>
              </w:rPr>
            </w:pPr>
            <w:r w:rsidRPr="00595BB8">
              <w:rPr>
                <w:b/>
                <w:sz w:val="22"/>
                <w:szCs w:val="22"/>
              </w:rPr>
              <w:t>Hong Kong</w:t>
            </w:r>
          </w:p>
        </w:tc>
        <w:tc>
          <w:tcPr>
            <w:tcW w:w="2298" w:type="dxa"/>
          </w:tcPr>
          <w:p w14:paraId="765B2B34" w14:textId="77777777" w:rsidR="000B556F" w:rsidRPr="00595BB8" w:rsidRDefault="000B556F" w:rsidP="00B77070">
            <w:pPr>
              <w:rPr>
                <w:b/>
                <w:sz w:val="22"/>
                <w:szCs w:val="22"/>
              </w:rPr>
            </w:pPr>
            <w:r w:rsidRPr="00595BB8">
              <w:rPr>
                <w:b/>
                <w:sz w:val="22"/>
                <w:szCs w:val="22"/>
              </w:rPr>
              <w:t>Australia</w:t>
            </w:r>
          </w:p>
        </w:tc>
      </w:tr>
      <w:tr w:rsidR="000B556F" w:rsidRPr="00595BB8" w14:paraId="5D80E180" w14:textId="77777777" w:rsidTr="000B556F">
        <w:tc>
          <w:tcPr>
            <w:tcW w:w="1360" w:type="dxa"/>
          </w:tcPr>
          <w:p w14:paraId="57EEB9A8" w14:textId="77777777" w:rsidR="000B556F" w:rsidRPr="00595BB8" w:rsidRDefault="000B556F" w:rsidP="00B77070">
            <w:pPr>
              <w:rPr>
                <w:b/>
                <w:sz w:val="22"/>
                <w:szCs w:val="22"/>
              </w:rPr>
            </w:pPr>
            <w:r w:rsidRPr="00595BB8">
              <w:rPr>
                <w:b/>
                <w:sz w:val="22"/>
                <w:szCs w:val="22"/>
              </w:rPr>
              <w:t xml:space="preserve">How do businesses enter the sandbox? </w:t>
            </w:r>
          </w:p>
        </w:tc>
        <w:tc>
          <w:tcPr>
            <w:tcW w:w="1984" w:type="dxa"/>
          </w:tcPr>
          <w:p w14:paraId="7C5540BD" w14:textId="6D884C0E" w:rsidR="000B556F" w:rsidRPr="00595BB8" w:rsidRDefault="000B556F" w:rsidP="000B556F">
            <w:pPr>
              <w:rPr>
                <w:sz w:val="22"/>
                <w:szCs w:val="22"/>
              </w:rPr>
            </w:pPr>
            <w:r w:rsidRPr="00595BB8">
              <w:rPr>
                <w:sz w:val="22"/>
                <w:szCs w:val="22"/>
              </w:rPr>
              <w:t xml:space="preserve">Applicants must apply to the regulator (FCA) for regulatory exemptions. </w:t>
            </w:r>
            <w:r w:rsidRPr="00595BB8">
              <w:rPr>
                <w:rStyle w:val="FootnoteReference"/>
                <w:sz w:val="22"/>
                <w:szCs w:val="22"/>
              </w:rPr>
              <w:footnoteReference w:id="8"/>
            </w:r>
            <w:r w:rsidRPr="00595BB8">
              <w:rPr>
                <w:sz w:val="22"/>
                <w:szCs w:val="22"/>
              </w:rPr>
              <w:t xml:space="preserve"> </w:t>
            </w:r>
          </w:p>
        </w:tc>
        <w:tc>
          <w:tcPr>
            <w:tcW w:w="2268" w:type="dxa"/>
          </w:tcPr>
          <w:p w14:paraId="6DA18346" w14:textId="20DAA63B" w:rsidR="000B556F" w:rsidRPr="00595BB8" w:rsidRDefault="000B556F" w:rsidP="000B556F">
            <w:pPr>
              <w:rPr>
                <w:sz w:val="22"/>
                <w:szCs w:val="22"/>
              </w:rPr>
            </w:pPr>
            <w:r w:rsidRPr="00595BB8">
              <w:rPr>
                <w:sz w:val="22"/>
                <w:szCs w:val="22"/>
              </w:rPr>
              <w:t>Applicants must apply to the regulator (MAS) for regulatory exemptions.</w:t>
            </w:r>
            <w:r w:rsidRPr="00595BB8">
              <w:rPr>
                <w:rStyle w:val="FootnoteReference"/>
                <w:sz w:val="22"/>
                <w:szCs w:val="22"/>
              </w:rPr>
              <w:footnoteReference w:id="9"/>
            </w:r>
            <w:r w:rsidRPr="00595BB8">
              <w:rPr>
                <w:sz w:val="22"/>
                <w:szCs w:val="22"/>
              </w:rPr>
              <w:t xml:space="preserve"> </w:t>
            </w:r>
          </w:p>
        </w:tc>
        <w:tc>
          <w:tcPr>
            <w:tcW w:w="2268" w:type="dxa"/>
          </w:tcPr>
          <w:p w14:paraId="683614EE" w14:textId="7F27E38C" w:rsidR="000B556F" w:rsidRPr="00595BB8" w:rsidRDefault="000B556F" w:rsidP="000B556F">
            <w:pPr>
              <w:rPr>
                <w:sz w:val="22"/>
                <w:szCs w:val="22"/>
              </w:rPr>
            </w:pPr>
            <w:r w:rsidRPr="00595BB8">
              <w:rPr>
                <w:sz w:val="22"/>
                <w:szCs w:val="22"/>
              </w:rPr>
              <w:t>Applicants must apply to the regulator (HKMA) for regulatory exemptions.</w:t>
            </w:r>
            <w:r w:rsidRPr="00595BB8">
              <w:rPr>
                <w:rStyle w:val="FootnoteReference"/>
                <w:sz w:val="22"/>
                <w:szCs w:val="22"/>
              </w:rPr>
              <w:footnoteReference w:id="10"/>
            </w:r>
          </w:p>
        </w:tc>
        <w:tc>
          <w:tcPr>
            <w:tcW w:w="2298" w:type="dxa"/>
          </w:tcPr>
          <w:p w14:paraId="7DCDDC14" w14:textId="7BC9FCF1" w:rsidR="000B556F" w:rsidRPr="00595BB8" w:rsidRDefault="000B556F" w:rsidP="00B77070">
            <w:pPr>
              <w:rPr>
                <w:sz w:val="22"/>
                <w:szCs w:val="22"/>
              </w:rPr>
            </w:pPr>
            <w:r w:rsidRPr="00595BB8">
              <w:rPr>
                <w:sz w:val="22"/>
                <w:szCs w:val="22"/>
              </w:rPr>
              <w:t xml:space="preserve">No assessment, businesses instead notify ASIC that they will be selling a product unlicensed. </w:t>
            </w:r>
          </w:p>
        </w:tc>
      </w:tr>
      <w:tr w:rsidR="000B556F" w:rsidRPr="00595BB8" w14:paraId="6ED37763" w14:textId="77777777" w:rsidTr="000B556F">
        <w:tc>
          <w:tcPr>
            <w:tcW w:w="1360" w:type="dxa"/>
          </w:tcPr>
          <w:p w14:paraId="3457DD78" w14:textId="77777777" w:rsidR="000B556F" w:rsidRPr="00595BB8" w:rsidRDefault="000B556F" w:rsidP="00B77070">
            <w:pPr>
              <w:rPr>
                <w:b/>
                <w:sz w:val="22"/>
                <w:szCs w:val="22"/>
              </w:rPr>
            </w:pPr>
            <w:r w:rsidRPr="00595BB8">
              <w:rPr>
                <w:b/>
                <w:sz w:val="22"/>
                <w:szCs w:val="22"/>
              </w:rPr>
              <w:t xml:space="preserve">What are the evaluation criteria? </w:t>
            </w:r>
          </w:p>
        </w:tc>
        <w:tc>
          <w:tcPr>
            <w:tcW w:w="1984" w:type="dxa"/>
          </w:tcPr>
          <w:p w14:paraId="29D802A3" w14:textId="77777777" w:rsidR="000B556F" w:rsidRPr="00595BB8" w:rsidRDefault="000B556F" w:rsidP="00B77070">
            <w:pPr>
              <w:rPr>
                <w:sz w:val="22"/>
                <w:szCs w:val="22"/>
              </w:rPr>
            </w:pPr>
            <w:r w:rsidRPr="00595BB8">
              <w:rPr>
                <w:sz w:val="22"/>
                <w:szCs w:val="22"/>
              </w:rPr>
              <w:t xml:space="preserve">Only applicants that are genuinely innovative, aimed at the UK market, will benefit consumers and are </w:t>
            </w:r>
            <w:r w:rsidRPr="00595BB8">
              <w:rPr>
                <w:sz w:val="22"/>
                <w:szCs w:val="22"/>
              </w:rPr>
              <w:lastRenderedPageBreak/>
              <w:t>ready for testing are accepted.</w:t>
            </w:r>
          </w:p>
        </w:tc>
        <w:tc>
          <w:tcPr>
            <w:tcW w:w="2268" w:type="dxa"/>
          </w:tcPr>
          <w:p w14:paraId="5EE9E9F9" w14:textId="77777777" w:rsidR="000B556F" w:rsidRPr="00595BB8" w:rsidRDefault="000B556F" w:rsidP="00B77070">
            <w:pPr>
              <w:rPr>
                <w:sz w:val="22"/>
                <w:szCs w:val="22"/>
              </w:rPr>
            </w:pPr>
            <w:r w:rsidRPr="00595BB8">
              <w:rPr>
                <w:sz w:val="22"/>
                <w:szCs w:val="22"/>
              </w:rPr>
              <w:lastRenderedPageBreak/>
              <w:t xml:space="preserve">Applicants should use new or emerging technology, should show that there are few or no comparable services in Singapore, </w:t>
            </w:r>
            <w:r w:rsidRPr="00595BB8">
              <w:rPr>
                <w:sz w:val="22"/>
                <w:szCs w:val="22"/>
              </w:rPr>
              <w:lastRenderedPageBreak/>
              <w:t>address a problem or bring benefits to consumers or an industry, define the test, assess risks and demonstrate an exit or transition strategy.</w:t>
            </w:r>
          </w:p>
        </w:tc>
        <w:tc>
          <w:tcPr>
            <w:tcW w:w="2268" w:type="dxa"/>
          </w:tcPr>
          <w:p w14:paraId="4EC1EF97" w14:textId="77777777" w:rsidR="000B556F" w:rsidRPr="00595BB8" w:rsidRDefault="000B556F" w:rsidP="00B77070">
            <w:pPr>
              <w:rPr>
                <w:sz w:val="22"/>
                <w:szCs w:val="22"/>
              </w:rPr>
            </w:pPr>
            <w:r w:rsidRPr="00595BB8">
              <w:rPr>
                <w:sz w:val="22"/>
                <w:szCs w:val="22"/>
              </w:rPr>
              <w:lastRenderedPageBreak/>
              <w:t xml:space="preserve">Applicants must demonstrate a clear boundary for their sandbox test, that there are adequate consumer protections </w:t>
            </w:r>
            <w:r w:rsidRPr="00595BB8">
              <w:rPr>
                <w:sz w:val="22"/>
                <w:szCs w:val="22"/>
              </w:rPr>
              <w:lastRenderedPageBreak/>
              <w:t xml:space="preserve">for the trial, that there are risk management controls and that systems and processes are ready for trial. </w:t>
            </w:r>
          </w:p>
        </w:tc>
        <w:tc>
          <w:tcPr>
            <w:tcW w:w="2298" w:type="dxa"/>
          </w:tcPr>
          <w:p w14:paraId="3F40C349" w14:textId="135B2AD4" w:rsidR="000B556F" w:rsidRPr="00595BB8" w:rsidRDefault="000B556F" w:rsidP="00B77070">
            <w:pPr>
              <w:rPr>
                <w:sz w:val="22"/>
                <w:szCs w:val="22"/>
              </w:rPr>
            </w:pPr>
            <w:r w:rsidRPr="00595BB8">
              <w:rPr>
                <w:sz w:val="22"/>
                <w:szCs w:val="22"/>
              </w:rPr>
              <w:lastRenderedPageBreak/>
              <w:t xml:space="preserve">Any business that has insurance and is a member of an EDR scheme can enter. </w:t>
            </w:r>
          </w:p>
          <w:p w14:paraId="32908F3A" w14:textId="77777777" w:rsidR="000B556F" w:rsidRPr="00595BB8" w:rsidRDefault="000B556F" w:rsidP="00B77070">
            <w:pPr>
              <w:rPr>
                <w:sz w:val="22"/>
                <w:szCs w:val="22"/>
              </w:rPr>
            </w:pPr>
            <w:r w:rsidRPr="00595BB8">
              <w:rPr>
                <w:sz w:val="22"/>
                <w:szCs w:val="22"/>
              </w:rPr>
              <w:t xml:space="preserve">There is no consideration of </w:t>
            </w:r>
            <w:r w:rsidRPr="00595BB8">
              <w:rPr>
                <w:sz w:val="22"/>
                <w:szCs w:val="22"/>
              </w:rPr>
              <w:lastRenderedPageBreak/>
              <w:t xml:space="preserve">whether a business is innovative, useful to Australia, has the right consumer protections for an experimental test or is ready to test. </w:t>
            </w:r>
          </w:p>
        </w:tc>
      </w:tr>
    </w:tbl>
    <w:p w14:paraId="423BF1CC" w14:textId="64B16ACB" w:rsidR="005B0EDE" w:rsidRDefault="005B0EDE" w:rsidP="002A5867">
      <w:pPr>
        <w:rPr>
          <w:rFonts w:ascii="Calibri" w:hAnsi="Calibri" w:cs="Calibri"/>
          <w:sz w:val="22"/>
          <w:szCs w:val="22"/>
        </w:rPr>
      </w:pPr>
    </w:p>
    <w:p w14:paraId="00BB6577" w14:textId="77777777" w:rsidR="00A94533" w:rsidRDefault="00A94533" w:rsidP="002A5867">
      <w:pPr>
        <w:rPr>
          <w:rFonts w:ascii="Calibri" w:hAnsi="Calibri" w:cs="Calibri"/>
          <w:sz w:val="22"/>
          <w:szCs w:val="22"/>
        </w:rPr>
      </w:pPr>
    </w:p>
    <w:p w14:paraId="42A4AADE" w14:textId="3030275A" w:rsidR="005B0EDE" w:rsidRDefault="00BE2256" w:rsidP="002A5867">
      <w:pPr>
        <w:rPr>
          <w:rFonts w:ascii="Calibri" w:hAnsi="Calibri" w:cs="Calibri"/>
          <w:sz w:val="22"/>
          <w:szCs w:val="22"/>
        </w:rPr>
      </w:pPr>
      <w:r>
        <w:rPr>
          <w:rFonts w:ascii="Calibri" w:hAnsi="Calibri" w:cs="Calibri"/>
          <w:sz w:val="22"/>
          <w:szCs w:val="22"/>
        </w:rPr>
        <w:t xml:space="preserve">The </w:t>
      </w:r>
      <w:r w:rsidR="002A5867">
        <w:rPr>
          <w:rFonts w:ascii="Calibri" w:hAnsi="Calibri" w:cs="Calibri"/>
          <w:sz w:val="22"/>
          <w:szCs w:val="22"/>
        </w:rPr>
        <w:t>model chosen</w:t>
      </w:r>
      <w:r w:rsidR="002F03A1">
        <w:rPr>
          <w:rFonts w:ascii="Calibri" w:hAnsi="Calibri" w:cs="Calibri"/>
          <w:sz w:val="22"/>
          <w:szCs w:val="22"/>
        </w:rPr>
        <w:t xml:space="preserve"> for Australia</w:t>
      </w:r>
      <w:r w:rsidR="002A5867">
        <w:rPr>
          <w:rFonts w:ascii="Calibri" w:hAnsi="Calibri" w:cs="Calibri"/>
          <w:sz w:val="22"/>
          <w:szCs w:val="22"/>
        </w:rPr>
        <w:t xml:space="preserve"> increases the risk that businesses that aren’t willing or able to comply with the law will begin to sell services to consumers. For example, financial advice services will not need to meet all regulatory requirements tied to licensing that ensure consumer protections. </w:t>
      </w:r>
      <w:r w:rsidR="002A5867" w:rsidRPr="000B556F">
        <w:rPr>
          <w:rFonts w:ascii="Calibri" w:hAnsi="Calibri" w:cs="Calibri"/>
          <w:sz w:val="22"/>
          <w:szCs w:val="22"/>
        </w:rPr>
        <w:t xml:space="preserve">Under the </w:t>
      </w:r>
      <w:r w:rsidR="002A5867">
        <w:rPr>
          <w:rFonts w:ascii="Calibri" w:hAnsi="Calibri" w:cs="Calibri"/>
          <w:sz w:val="22"/>
          <w:szCs w:val="22"/>
        </w:rPr>
        <w:t xml:space="preserve">existing </w:t>
      </w:r>
      <w:r w:rsidR="002A5867" w:rsidRPr="000B556F">
        <w:rPr>
          <w:rFonts w:ascii="Calibri" w:hAnsi="Calibri" w:cs="Calibri"/>
          <w:sz w:val="22"/>
          <w:szCs w:val="22"/>
        </w:rPr>
        <w:t xml:space="preserve">ASIC sandbox arrangements and the new Treasury proposal, any new advice businesses wanting a regulatory exemption will be </w:t>
      </w:r>
      <w:r w:rsidR="00DB59C8" w:rsidRPr="005B0EDE">
        <w:rPr>
          <w:rFonts w:ascii="Calibri" w:hAnsi="Calibri" w:cs="Calibri"/>
          <w:sz w:val="22"/>
          <w:szCs w:val="22"/>
        </w:rPr>
        <w:t>exempt from</w:t>
      </w:r>
      <w:r w:rsidR="002A5867" w:rsidRPr="005B0EDE">
        <w:rPr>
          <w:rFonts w:ascii="Calibri" w:hAnsi="Calibri" w:cs="Calibri"/>
          <w:sz w:val="22"/>
          <w:szCs w:val="22"/>
        </w:rPr>
        <w:t xml:space="preserve"> requirements</w:t>
      </w:r>
      <w:r w:rsidR="002A5867" w:rsidRPr="000B556F">
        <w:rPr>
          <w:rFonts w:ascii="Calibri" w:hAnsi="Calibri" w:cs="Calibri"/>
          <w:sz w:val="22"/>
          <w:szCs w:val="22"/>
        </w:rPr>
        <w:t xml:space="preserve"> to prove that they:</w:t>
      </w:r>
    </w:p>
    <w:p w14:paraId="4262661D" w14:textId="77777777" w:rsidR="00A94533" w:rsidRPr="000B556F" w:rsidRDefault="00A94533" w:rsidP="002A5867">
      <w:pPr>
        <w:rPr>
          <w:rFonts w:ascii="Calibri" w:hAnsi="Calibri" w:cs="Calibri"/>
          <w:sz w:val="22"/>
          <w:szCs w:val="22"/>
        </w:rPr>
      </w:pPr>
    </w:p>
    <w:p w14:paraId="787CA599" w14:textId="77777777" w:rsidR="002A5867" w:rsidRPr="000B556F" w:rsidRDefault="002A5867" w:rsidP="002A5867">
      <w:pPr>
        <w:pStyle w:val="ListParagraph"/>
        <w:numPr>
          <w:ilvl w:val="0"/>
          <w:numId w:val="13"/>
        </w:numPr>
        <w:rPr>
          <w:rFonts w:ascii="Calibri" w:hAnsi="Calibri" w:cs="Calibri"/>
          <w:sz w:val="22"/>
          <w:szCs w:val="22"/>
        </w:rPr>
      </w:pPr>
      <w:r w:rsidRPr="000B556F">
        <w:rPr>
          <w:rFonts w:ascii="Calibri" w:hAnsi="Calibri" w:cs="Calibri"/>
          <w:sz w:val="22"/>
          <w:szCs w:val="22"/>
        </w:rPr>
        <w:t>Have adequate arrangements in place to manage conflicts of interest.</w:t>
      </w:r>
    </w:p>
    <w:p w14:paraId="60E9E3A7" w14:textId="77777777" w:rsidR="002A5867" w:rsidRPr="000B556F" w:rsidRDefault="002A5867" w:rsidP="002A5867">
      <w:pPr>
        <w:pStyle w:val="ListParagraph"/>
        <w:numPr>
          <w:ilvl w:val="0"/>
          <w:numId w:val="13"/>
        </w:numPr>
        <w:rPr>
          <w:rFonts w:ascii="Calibri" w:hAnsi="Calibri" w:cs="Calibri"/>
          <w:sz w:val="22"/>
          <w:szCs w:val="22"/>
        </w:rPr>
      </w:pPr>
      <w:r w:rsidRPr="000B556F">
        <w:rPr>
          <w:rFonts w:ascii="Calibri" w:hAnsi="Calibri" w:cs="Calibri"/>
          <w:sz w:val="22"/>
          <w:szCs w:val="22"/>
        </w:rPr>
        <w:t>Take reasonable steps to ensure that people working for the company comply with financial services law.</w:t>
      </w:r>
    </w:p>
    <w:p w14:paraId="07CF6E4A" w14:textId="77777777" w:rsidR="002A5867" w:rsidRPr="000B556F" w:rsidRDefault="002A5867" w:rsidP="002A5867">
      <w:pPr>
        <w:pStyle w:val="ListParagraph"/>
        <w:numPr>
          <w:ilvl w:val="0"/>
          <w:numId w:val="13"/>
        </w:numPr>
        <w:rPr>
          <w:rFonts w:ascii="Calibri" w:hAnsi="Calibri" w:cs="Calibri"/>
          <w:sz w:val="22"/>
          <w:szCs w:val="22"/>
        </w:rPr>
      </w:pPr>
      <w:r w:rsidRPr="000B556F">
        <w:rPr>
          <w:rFonts w:ascii="Calibri" w:hAnsi="Calibri" w:cs="Calibri"/>
          <w:sz w:val="22"/>
          <w:szCs w:val="22"/>
        </w:rPr>
        <w:t>Maintain the competence to provide the financial services.</w:t>
      </w:r>
    </w:p>
    <w:p w14:paraId="3BC6C095" w14:textId="77777777" w:rsidR="002A5867" w:rsidRPr="000B556F" w:rsidRDefault="002A5867" w:rsidP="002A5867">
      <w:pPr>
        <w:pStyle w:val="ListParagraph"/>
        <w:numPr>
          <w:ilvl w:val="0"/>
          <w:numId w:val="13"/>
        </w:numPr>
        <w:rPr>
          <w:rFonts w:ascii="Calibri" w:hAnsi="Calibri" w:cs="Calibri"/>
          <w:sz w:val="22"/>
          <w:szCs w:val="22"/>
        </w:rPr>
      </w:pPr>
      <w:r w:rsidRPr="000B556F">
        <w:rPr>
          <w:rFonts w:ascii="Calibri" w:hAnsi="Calibri" w:cs="Calibri"/>
          <w:sz w:val="22"/>
          <w:szCs w:val="22"/>
        </w:rPr>
        <w:t>Adequately train the people working for the company to ensure they are competent to provide the financial service.</w:t>
      </w:r>
    </w:p>
    <w:p w14:paraId="52D6FAB4" w14:textId="77777777" w:rsidR="002A5867" w:rsidRPr="000B556F" w:rsidRDefault="002A5867" w:rsidP="002A5867">
      <w:pPr>
        <w:pStyle w:val="ListParagraph"/>
        <w:numPr>
          <w:ilvl w:val="0"/>
          <w:numId w:val="13"/>
        </w:numPr>
        <w:rPr>
          <w:rFonts w:ascii="Calibri" w:hAnsi="Calibri" w:cs="Calibri"/>
          <w:sz w:val="22"/>
          <w:szCs w:val="22"/>
        </w:rPr>
      </w:pPr>
      <w:r w:rsidRPr="000B556F">
        <w:rPr>
          <w:rFonts w:ascii="Calibri" w:hAnsi="Calibri" w:cs="Calibri"/>
          <w:sz w:val="22"/>
          <w:szCs w:val="22"/>
        </w:rPr>
        <w:t>Have adequate risk management systems.</w:t>
      </w:r>
      <w:r w:rsidRPr="000B556F">
        <w:rPr>
          <w:rFonts w:ascii="Calibri" w:hAnsi="Calibri" w:cs="Calibri"/>
          <w:sz w:val="22"/>
          <w:szCs w:val="22"/>
          <w:vertAlign w:val="superscript"/>
        </w:rPr>
        <w:footnoteReference w:id="11"/>
      </w:r>
    </w:p>
    <w:p w14:paraId="7D72679A" w14:textId="77777777" w:rsidR="000B556F" w:rsidRDefault="000B556F" w:rsidP="00B15976">
      <w:pPr>
        <w:rPr>
          <w:rFonts w:ascii="Calibri" w:hAnsi="Calibri" w:cs="Calibri"/>
          <w:sz w:val="22"/>
          <w:szCs w:val="22"/>
        </w:rPr>
      </w:pPr>
    </w:p>
    <w:p w14:paraId="213890C8" w14:textId="09AEBA71" w:rsidR="00B15976" w:rsidRPr="002F03A1" w:rsidRDefault="00931B44" w:rsidP="00B15976">
      <w:pPr>
        <w:rPr>
          <w:rFonts w:cstheme="minorHAnsi"/>
          <w:b/>
          <w:sz w:val="28"/>
          <w:szCs w:val="28"/>
          <w:lang w:val="en-AU"/>
        </w:rPr>
      </w:pPr>
      <w:r>
        <w:rPr>
          <w:rFonts w:ascii="Calibri" w:hAnsi="Calibri" w:cs="Calibri"/>
          <w:sz w:val="22"/>
          <w:szCs w:val="22"/>
        </w:rPr>
        <w:t xml:space="preserve">We believe it is likely that the </w:t>
      </w:r>
      <w:r w:rsidR="00BE2256">
        <w:rPr>
          <w:rFonts w:ascii="Calibri" w:hAnsi="Calibri" w:cs="Calibri"/>
          <w:sz w:val="22"/>
          <w:szCs w:val="22"/>
        </w:rPr>
        <w:t xml:space="preserve">sandbox </w:t>
      </w:r>
      <w:r>
        <w:rPr>
          <w:rFonts w:ascii="Calibri" w:hAnsi="Calibri" w:cs="Calibri"/>
          <w:sz w:val="22"/>
          <w:szCs w:val="22"/>
        </w:rPr>
        <w:t>regulatory exemption will</w:t>
      </w:r>
      <w:r w:rsidR="00BE2256">
        <w:rPr>
          <w:rFonts w:ascii="Calibri" w:hAnsi="Calibri" w:cs="Calibri"/>
          <w:sz w:val="22"/>
          <w:szCs w:val="22"/>
        </w:rPr>
        <w:t xml:space="preserve"> be used</w:t>
      </w:r>
      <w:r>
        <w:rPr>
          <w:rFonts w:ascii="Calibri" w:hAnsi="Calibri" w:cs="Calibri"/>
          <w:sz w:val="22"/>
          <w:szCs w:val="22"/>
        </w:rPr>
        <w:t xml:space="preserve"> by some unscrupulous parties to sell products that are harmful to consumers. This is a risk to consumers and the fintech industry’s reputation.</w:t>
      </w:r>
    </w:p>
    <w:p w14:paraId="0ADADDC3" w14:textId="77777777" w:rsidR="00882C31" w:rsidRPr="002F03A1" w:rsidRDefault="00882C31" w:rsidP="00B15976">
      <w:pPr>
        <w:rPr>
          <w:rFonts w:cstheme="minorHAnsi"/>
          <w:b/>
          <w:sz w:val="28"/>
          <w:szCs w:val="28"/>
          <w:lang w:val="en-AU"/>
        </w:rPr>
      </w:pPr>
    </w:p>
    <w:p w14:paraId="0C02A343" w14:textId="70E0B1B2" w:rsidR="002F03A1" w:rsidRPr="002F03A1" w:rsidRDefault="002F03A1" w:rsidP="00B15976">
      <w:pPr>
        <w:rPr>
          <w:rFonts w:cstheme="minorHAnsi"/>
          <w:b/>
          <w:sz w:val="28"/>
          <w:szCs w:val="28"/>
          <w:lang w:val="en-AU"/>
        </w:rPr>
      </w:pPr>
      <w:r w:rsidRPr="002F03A1">
        <w:rPr>
          <w:rFonts w:cstheme="minorHAnsi"/>
          <w:b/>
          <w:sz w:val="28"/>
          <w:szCs w:val="28"/>
          <w:lang w:val="en-AU"/>
        </w:rPr>
        <w:t>Proposed legislation limits ASIC’s ability to intervene</w:t>
      </w:r>
    </w:p>
    <w:p w14:paraId="0FB4ED3E" w14:textId="7E2063FC" w:rsidR="002F03A1" w:rsidRDefault="002F03A1" w:rsidP="00B15976">
      <w:pPr>
        <w:rPr>
          <w:rFonts w:ascii="Calibri" w:hAnsi="Calibri" w:cs="Calibri"/>
          <w:b/>
          <w:sz w:val="22"/>
          <w:szCs w:val="22"/>
        </w:rPr>
      </w:pPr>
    </w:p>
    <w:p w14:paraId="3BA8B50E" w14:textId="7113E347" w:rsidR="002F03A1" w:rsidRDefault="002F03A1" w:rsidP="002F03A1">
      <w:pPr>
        <w:rPr>
          <w:rFonts w:ascii="Calibri" w:hAnsi="Calibri" w:cs="Calibri"/>
          <w:sz w:val="22"/>
          <w:szCs w:val="22"/>
        </w:rPr>
      </w:pPr>
      <w:r>
        <w:rPr>
          <w:rFonts w:ascii="Calibri" w:hAnsi="Calibri" w:cs="Calibri"/>
          <w:sz w:val="22"/>
          <w:szCs w:val="22"/>
        </w:rPr>
        <w:t>The legislation allows for ASIC to intervene if services in the sandbox fail to meet license conditions. Specifically, “</w:t>
      </w:r>
      <w:r w:rsidRPr="002F03A1">
        <w:rPr>
          <w:rFonts w:ascii="Calibri" w:hAnsi="Calibri" w:cs="Calibri"/>
          <w:sz w:val="22"/>
          <w:szCs w:val="22"/>
        </w:rPr>
        <w:t>If an entity fails to meet any of the prescribed</w:t>
      </w:r>
      <w:r>
        <w:rPr>
          <w:rFonts w:ascii="Calibri" w:hAnsi="Calibri" w:cs="Calibri"/>
          <w:sz w:val="22"/>
          <w:szCs w:val="22"/>
        </w:rPr>
        <w:t xml:space="preserve"> </w:t>
      </w:r>
      <w:r w:rsidRPr="002F03A1">
        <w:rPr>
          <w:rFonts w:ascii="Calibri" w:hAnsi="Calibri" w:cs="Calibri"/>
          <w:sz w:val="22"/>
          <w:szCs w:val="22"/>
        </w:rPr>
        <w:t>conditions, ASIC may cancel an entities’ exemption or apply to the court</w:t>
      </w:r>
      <w:r>
        <w:rPr>
          <w:rFonts w:ascii="Calibri" w:hAnsi="Calibri" w:cs="Calibri"/>
          <w:sz w:val="22"/>
          <w:szCs w:val="22"/>
        </w:rPr>
        <w:t xml:space="preserve"> </w:t>
      </w:r>
      <w:r w:rsidRPr="002F03A1">
        <w:rPr>
          <w:rFonts w:ascii="Calibri" w:hAnsi="Calibri" w:cs="Calibri"/>
          <w:sz w:val="22"/>
          <w:szCs w:val="22"/>
        </w:rPr>
        <w:t>for an order requiring the entity to comply in a particular way</w:t>
      </w:r>
      <w:r>
        <w:rPr>
          <w:rFonts w:ascii="Calibri" w:hAnsi="Calibri" w:cs="Calibri"/>
          <w:sz w:val="22"/>
          <w:szCs w:val="22"/>
        </w:rPr>
        <w:t>.”</w:t>
      </w:r>
      <w:r>
        <w:rPr>
          <w:rStyle w:val="FootnoteReference"/>
          <w:rFonts w:ascii="Calibri" w:hAnsi="Calibri" w:cs="Calibri"/>
          <w:sz w:val="22"/>
          <w:szCs w:val="22"/>
        </w:rPr>
        <w:footnoteReference w:id="12"/>
      </w:r>
    </w:p>
    <w:p w14:paraId="0195C316" w14:textId="6969D1BF" w:rsidR="002F03A1" w:rsidRDefault="002F03A1" w:rsidP="00B15976">
      <w:pPr>
        <w:rPr>
          <w:rFonts w:ascii="Calibri" w:hAnsi="Calibri" w:cs="Calibri"/>
          <w:sz w:val="22"/>
          <w:szCs w:val="22"/>
        </w:rPr>
      </w:pPr>
    </w:p>
    <w:p w14:paraId="1BA0736B" w14:textId="07D8542B" w:rsidR="002F03A1" w:rsidRPr="002F03A1" w:rsidRDefault="002F03A1" w:rsidP="00B15976">
      <w:pPr>
        <w:rPr>
          <w:rFonts w:ascii="Calibri" w:hAnsi="Calibri" w:cs="Calibri"/>
          <w:sz w:val="22"/>
          <w:szCs w:val="22"/>
        </w:rPr>
      </w:pPr>
      <w:r>
        <w:rPr>
          <w:rFonts w:ascii="Calibri" w:hAnsi="Calibri" w:cs="Calibri"/>
          <w:sz w:val="22"/>
          <w:szCs w:val="22"/>
        </w:rPr>
        <w:t xml:space="preserve">Given that there </w:t>
      </w:r>
      <w:r w:rsidR="001037B7">
        <w:rPr>
          <w:rFonts w:ascii="Calibri" w:hAnsi="Calibri" w:cs="Calibri"/>
          <w:sz w:val="22"/>
          <w:szCs w:val="22"/>
        </w:rPr>
        <w:t>will be</w:t>
      </w:r>
      <w:r>
        <w:rPr>
          <w:rFonts w:ascii="Calibri" w:hAnsi="Calibri" w:cs="Calibri"/>
          <w:sz w:val="22"/>
          <w:szCs w:val="22"/>
        </w:rPr>
        <w:t xml:space="preserve"> no proactive examination of sandbox services, this protection is too limiting and inadequate. It also prevents ASIC from taking targeted action – the regulator</w:t>
      </w:r>
      <w:r w:rsidR="00A94533">
        <w:rPr>
          <w:rFonts w:ascii="Calibri" w:hAnsi="Calibri" w:cs="Calibri"/>
          <w:sz w:val="22"/>
          <w:szCs w:val="22"/>
        </w:rPr>
        <w:t xml:space="preserve">’s options are </w:t>
      </w:r>
      <w:r>
        <w:rPr>
          <w:rFonts w:ascii="Calibri" w:hAnsi="Calibri" w:cs="Calibri"/>
          <w:sz w:val="22"/>
          <w:szCs w:val="22"/>
        </w:rPr>
        <w:t>to cancel all activity or go through a lengthy court process. In some cases</w:t>
      </w:r>
      <w:r w:rsidR="00A94533">
        <w:rPr>
          <w:rFonts w:ascii="Calibri" w:hAnsi="Calibri" w:cs="Calibri"/>
          <w:sz w:val="22"/>
          <w:szCs w:val="22"/>
        </w:rPr>
        <w:t>,</w:t>
      </w:r>
      <w:r>
        <w:rPr>
          <w:rFonts w:ascii="Calibri" w:hAnsi="Calibri" w:cs="Calibri"/>
          <w:sz w:val="22"/>
          <w:szCs w:val="22"/>
        </w:rPr>
        <w:t xml:space="preserve"> it is likely that only small changes are needed, for example, better disclosure or a small change to a service rather than removal of the product from the market. ASIC needs better powers to act quickly and in a targeted way should something an experimental sandbox service be causing consumer harm. </w:t>
      </w:r>
    </w:p>
    <w:p w14:paraId="7066E5AE" w14:textId="77777777" w:rsidR="00B15976" w:rsidRDefault="00B15976" w:rsidP="00B15976">
      <w:pPr>
        <w:rPr>
          <w:rFonts w:ascii="Calibri" w:hAnsi="Calibri" w:cs="Calibri"/>
          <w:sz w:val="22"/>
          <w:szCs w:val="22"/>
        </w:rPr>
      </w:pPr>
    </w:p>
    <w:p w14:paraId="705507D0" w14:textId="5C6E2D2B" w:rsidR="000B556F" w:rsidRPr="000E423D" w:rsidRDefault="000B556F" w:rsidP="000B556F">
      <w:pPr>
        <w:rPr>
          <w:rFonts w:cstheme="minorHAnsi"/>
          <w:b/>
          <w:sz w:val="28"/>
          <w:szCs w:val="28"/>
          <w:lang w:val="en-AU"/>
        </w:rPr>
      </w:pPr>
      <w:r>
        <w:rPr>
          <w:rFonts w:cstheme="minorHAnsi"/>
          <w:b/>
          <w:sz w:val="28"/>
          <w:szCs w:val="28"/>
          <w:lang w:val="en-AU"/>
        </w:rPr>
        <w:t>Product Intervention Powers – a target</w:t>
      </w:r>
      <w:r w:rsidR="00595BB8">
        <w:rPr>
          <w:rFonts w:cstheme="minorHAnsi"/>
          <w:b/>
          <w:sz w:val="28"/>
          <w:szCs w:val="28"/>
          <w:lang w:val="en-AU"/>
        </w:rPr>
        <w:t>ed</w:t>
      </w:r>
      <w:r>
        <w:rPr>
          <w:rFonts w:cstheme="minorHAnsi"/>
          <w:b/>
          <w:sz w:val="28"/>
          <w:szCs w:val="28"/>
          <w:lang w:val="en-AU"/>
        </w:rPr>
        <w:t xml:space="preserve"> solution </w:t>
      </w:r>
    </w:p>
    <w:p w14:paraId="400FB93F" w14:textId="77777777" w:rsidR="00931B44" w:rsidRDefault="00931B44" w:rsidP="000B556F">
      <w:pPr>
        <w:rPr>
          <w:rFonts w:cstheme="minorHAnsi"/>
          <w:bCs/>
          <w:sz w:val="22"/>
          <w:szCs w:val="22"/>
        </w:rPr>
      </w:pPr>
    </w:p>
    <w:p w14:paraId="7825A122" w14:textId="19D7FC02" w:rsidR="00931B44" w:rsidRDefault="00931B44" w:rsidP="000B556F">
      <w:pPr>
        <w:rPr>
          <w:rFonts w:cstheme="minorHAnsi"/>
          <w:bCs/>
          <w:sz w:val="22"/>
          <w:szCs w:val="22"/>
        </w:rPr>
      </w:pPr>
      <w:r>
        <w:rPr>
          <w:rFonts w:cstheme="minorHAnsi"/>
          <w:bCs/>
          <w:sz w:val="22"/>
          <w:szCs w:val="22"/>
        </w:rPr>
        <w:t xml:space="preserve">Our first preference to address </w:t>
      </w:r>
      <w:r w:rsidR="00BE2256">
        <w:rPr>
          <w:rFonts w:cstheme="minorHAnsi"/>
          <w:bCs/>
          <w:sz w:val="22"/>
          <w:szCs w:val="22"/>
        </w:rPr>
        <w:t>these risks</w:t>
      </w:r>
      <w:r>
        <w:rPr>
          <w:rFonts w:cstheme="minorHAnsi"/>
          <w:bCs/>
          <w:sz w:val="22"/>
          <w:szCs w:val="22"/>
        </w:rPr>
        <w:t xml:space="preserve"> would be for ASIC to assess applicants before they’re granted a regulatory exemption or entry into the sandbox, similar to the approach used in the UK, Singapore and </w:t>
      </w:r>
      <w:r>
        <w:rPr>
          <w:rFonts w:cstheme="minorHAnsi"/>
          <w:bCs/>
          <w:sz w:val="22"/>
          <w:szCs w:val="22"/>
        </w:rPr>
        <w:lastRenderedPageBreak/>
        <w:t xml:space="preserve">Hong Kong. However, we recognise that the Federal Government is looking to distinguish Australia from other countries in the support it provides to the fintech sector. </w:t>
      </w:r>
    </w:p>
    <w:p w14:paraId="56A3800C" w14:textId="77777777" w:rsidR="00931B44" w:rsidRDefault="00931B44" w:rsidP="000B556F">
      <w:pPr>
        <w:rPr>
          <w:rFonts w:cstheme="minorHAnsi"/>
          <w:bCs/>
          <w:sz w:val="22"/>
          <w:szCs w:val="22"/>
        </w:rPr>
      </w:pPr>
    </w:p>
    <w:p w14:paraId="35E7E407" w14:textId="6EE73514" w:rsidR="000B556F" w:rsidRPr="00D06C79" w:rsidRDefault="00BE2256" w:rsidP="000B556F">
      <w:pPr>
        <w:rPr>
          <w:rFonts w:cstheme="minorHAnsi"/>
          <w:bCs/>
          <w:sz w:val="22"/>
          <w:szCs w:val="22"/>
        </w:rPr>
      </w:pPr>
      <w:r>
        <w:rPr>
          <w:rFonts w:cstheme="minorHAnsi"/>
          <w:bCs/>
          <w:sz w:val="22"/>
          <w:szCs w:val="22"/>
        </w:rPr>
        <w:t>As an alternative</w:t>
      </w:r>
      <w:r w:rsidRPr="00BE2256">
        <w:rPr>
          <w:rFonts w:cstheme="minorHAnsi"/>
          <w:bCs/>
          <w:sz w:val="22"/>
          <w:szCs w:val="22"/>
        </w:rPr>
        <w:t xml:space="preserve">, the Treasury should give ASIC the power to </w:t>
      </w:r>
      <w:r w:rsidR="00D06C79">
        <w:rPr>
          <w:rFonts w:cstheme="minorHAnsi"/>
          <w:bCs/>
          <w:sz w:val="22"/>
          <w:szCs w:val="22"/>
        </w:rPr>
        <w:t>act</w:t>
      </w:r>
      <w:r w:rsidRPr="00BE2256">
        <w:rPr>
          <w:rFonts w:cstheme="minorHAnsi"/>
          <w:bCs/>
          <w:sz w:val="22"/>
          <w:szCs w:val="22"/>
        </w:rPr>
        <w:t xml:space="preserve"> if they find </w:t>
      </w:r>
      <w:r w:rsidR="00D06C79" w:rsidRPr="00BE2256">
        <w:rPr>
          <w:rFonts w:cstheme="minorHAnsi"/>
          <w:bCs/>
          <w:sz w:val="22"/>
          <w:szCs w:val="22"/>
        </w:rPr>
        <w:t xml:space="preserve">sandbox participants </w:t>
      </w:r>
      <w:r w:rsidRPr="00BE2256">
        <w:rPr>
          <w:rFonts w:cstheme="minorHAnsi"/>
          <w:bCs/>
          <w:sz w:val="22"/>
          <w:szCs w:val="22"/>
        </w:rPr>
        <w:t xml:space="preserve">are offering harmful products or services. </w:t>
      </w:r>
      <w:r w:rsidR="00931B44">
        <w:rPr>
          <w:rFonts w:cstheme="minorHAnsi"/>
          <w:bCs/>
          <w:sz w:val="22"/>
          <w:szCs w:val="22"/>
        </w:rPr>
        <w:t xml:space="preserve">ASIC’s current powers typically only allow the regulator to intervene </w:t>
      </w:r>
      <w:r w:rsidR="00FE680F">
        <w:rPr>
          <w:rFonts w:cstheme="minorHAnsi"/>
          <w:bCs/>
          <w:sz w:val="22"/>
          <w:szCs w:val="22"/>
        </w:rPr>
        <w:t>after something has gone wrong</w:t>
      </w:r>
      <w:r w:rsidR="00D06C79">
        <w:rPr>
          <w:rFonts w:cstheme="minorHAnsi"/>
          <w:bCs/>
          <w:sz w:val="22"/>
          <w:szCs w:val="22"/>
        </w:rPr>
        <w:t>, with few</w:t>
      </w:r>
      <w:r w:rsidR="00FE680F" w:rsidRPr="00FE680F">
        <w:rPr>
          <w:rFonts w:cstheme="minorHAnsi"/>
          <w:bCs/>
          <w:sz w:val="22"/>
          <w:szCs w:val="22"/>
        </w:rPr>
        <w:t xml:space="preserve"> protections to stop the sale of objectively poor value products or products that are poorly designed or sold to an audience th</w:t>
      </w:r>
      <w:r w:rsidR="008E0469">
        <w:rPr>
          <w:rFonts w:cstheme="minorHAnsi"/>
          <w:bCs/>
          <w:sz w:val="22"/>
          <w:szCs w:val="22"/>
        </w:rPr>
        <w:t>at will be harmed by that sale.</w:t>
      </w:r>
      <w:r w:rsidR="00FE680F" w:rsidRPr="00FE680F">
        <w:rPr>
          <w:rFonts w:cstheme="minorHAnsi"/>
          <w:bCs/>
          <w:sz w:val="22"/>
          <w:szCs w:val="22"/>
        </w:rPr>
        <w:t xml:space="preserve"> Treasury is consulting on the detail of new Product Intervention Powers (PIP)</w:t>
      </w:r>
      <w:r w:rsidR="00FE680F">
        <w:rPr>
          <w:rFonts w:cstheme="minorHAnsi"/>
          <w:bCs/>
          <w:sz w:val="22"/>
          <w:szCs w:val="22"/>
        </w:rPr>
        <w:t xml:space="preserve"> </w:t>
      </w:r>
      <w:r w:rsidR="008E0469">
        <w:rPr>
          <w:rFonts w:cstheme="minorHAnsi"/>
          <w:bCs/>
          <w:sz w:val="22"/>
          <w:szCs w:val="22"/>
        </w:rPr>
        <w:t>for ASIC but</w:t>
      </w:r>
      <w:r>
        <w:rPr>
          <w:rFonts w:cstheme="minorHAnsi"/>
          <w:bCs/>
          <w:sz w:val="22"/>
          <w:szCs w:val="22"/>
        </w:rPr>
        <w:t xml:space="preserve"> it’s u</w:t>
      </w:r>
      <w:r w:rsidR="000B556F">
        <w:rPr>
          <w:rFonts w:ascii="Calibri" w:hAnsi="Calibri" w:cs="Calibri"/>
          <w:sz w:val="22"/>
          <w:szCs w:val="22"/>
        </w:rPr>
        <w:t xml:space="preserve">nclear when PIP will be finalised. </w:t>
      </w:r>
    </w:p>
    <w:p w14:paraId="7D65C2C9" w14:textId="77777777" w:rsidR="00BE2256" w:rsidRDefault="00BE2256" w:rsidP="000B556F">
      <w:pPr>
        <w:rPr>
          <w:rFonts w:ascii="Calibri" w:hAnsi="Calibri" w:cs="Calibri"/>
          <w:sz w:val="22"/>
          <w:szCs w:val="22"/>
        </w:rPr>
      </w:pPr>
    </w:p>
    <w:p w14:paraId="497F669D" w14:textId="3537ABAD" w:rsidR="00D06C79" w:rsidRDefault="00BE2256" w:rsidP="000B556F">
      <w:pPr>
        <w:rPr>
          <w:sz w:val="22"/>
          <w:szCs w:val="22"/>
        </w:rPr>
      </w:pPr>
      <w:r>
        <w:rPr>
          <w:rFonts w:ascii="Calibri" w:hAnsi="Calibri" w:cs="Calibri"/>
          <w:sz w:val="22"/>
          <w:szCs w:val="22"/>
        </w:rPr>
        <w:t xml:space="preserve">A </w:t>
      </w:r>
      <w:r w:rsidR="000B556F">
        <w:rPr>
          <w:rFonts w:ascii="Calibri" w:hAnsi="Calibri" w:cs="Calibri"/>
          <w:sz w:val="22"/>
          <w:szCs w:val="22"/>
        </w:rPr>
        <w:t xml:space="preserve">sandbox-specific </w:t>
      </w:r>
      <w:r w:rsidR="00D06C79">
        <w:rPr>
          <w:rFonts w:ascii="Calibri" w:hAnsi="Calibri" w:cs="Calibri"/>
          <w:sz w:val="22"/>
          <w:szCs w:val="22"/>
        </w:rPr>
        <w:t>PIP</w:t>
      </w:r>
      <w:r w:rsidR="00A94533">
        <w:rPr>
          <w:rFonts w:ascii="Calibri" w:hAnsi="Calibri" w:cs="Calibri"/>
          <w:sz w:val="22"/>
          <w:szCs w:val="22"/>
        </w:rPr>
        <w:t xml:space="preserve"> sh</w:t>
      </w:r>
      <w:r>
        <w:rPr>
          <w:rFonts w:ascii="Calibri" w:hAnsi="Calibri" w:cs="Calibri"/>
          <w:sz w:val="22"/>
          <w:szCs w:val="22"/>
        </w:rPr>
        <w:t>ould allow ASIC to act quickly if harmful products or services are sold</w:t>
      </w:r>
      <w:r w:rsidR="00D06C79">
        <w:rPr>
          <w:rFonts w:ascii="Calibri" w:hAnsi="Calibri" w:cs="Calibri"/>
          <w:sz w:val="22"/>
          <w:szCs w:val="22"/>
        </w:rPr>
        <w:t xml:space="preserve">. </w:t>
      </w:r>
      <w:r w:rsidR="00D06C79" w:rsidRPr="00BE2256">
        <w:rPr>
          <w:rFonts w:cstheme="minorHAnsi"/>
          <w:bCs/>
          <w:sz w:val="22"/>
          <w:szCs w:val="22"/>
        </w:rPr>
        <w:t xml:space="preserve">This should allow ASIC to </w:t>
      </w:r>
      <w:r w:rsidR="00D06C79" w:rsidRPr="00BE2256">
        <w:rPr>
          <w:sz w:val="22"/>
          <w:szCs w:val="22"/>
        </w:rPr>
        <w:t>impose additional disclosure obligations, mandat</w:t>
      </w:r>
      <w:r w:rsidR="00D06C79">
        <w:rPr>
          <w:sz w:val="22"/>
          <w:szCs w:val="22"/>
        </w:rPr>
        <w:t xml:space="preserve">e warning statements, require </w:t>
      </w:r>
      <w:r w:rsidR="00D06C79" w:rsidRPr="00BE2256">
        <w:rPr>
          <w:sz w:val="22"/>
          <w:szCs w:val="22"/>
        </w:rPr>
        <w:t>amendments to advertising</w:t>
      </w:r>
      <w:r w:rsidR="00D06C79">
        <w:rPr>
          <w:sz w:val="22"/>
          <w:szCs w:val="22"/>
        </w:rPr>
        <w:t xml:space="preserve">, or in extreme cases restrict or ban </w:t>
      </w:r>
      <w:r w:rsidR="00D06C79" w:rsidRPr="00BE2256">
        <w:rPr>
          <w:sz w:val="22"/>
          <w:szCs w:val="22"/>
        </w:rPr>
        <w:t xml:space="preserve">the distribution of </w:t>
      </w:r>
      <w:r w:rsidR="00D06C79">
        <w:rPr>
          <w:sz w:val="22"/>
          <w:szCs w:val="22"/>
        </w:rPr>
        <w:t>any</w:t>
      </w:r>
      <w:r w:rsidR="00D06C79" w:rsidRPr="00BE2256">
        <w:rPr>
          <w:sz w:val="22"/>
          <w:szCs w:val="22"/>
        </w:rPr>
        <w:t xml:space="preserve"> product</w:t>
      </w:r>
      <w:r w:rsidR="00D06C79">
        <w:rPr>
          <w:sz w:val="22"/>
          <w:szCs w:val="22"/>
        </w:rPr>
        <w:t xml:space="preserve"> or service in the sandbox. </w:t>
      </w:r>
    </w:p>
    <w:p w14:paraId="459DA4E1" w14:textId="34640E6E" w:rsidR="005B0EDE" w:rsidRDefault="005B0EDE" w:rsidP="000B556F">
      <w:pPr>
        <w:rPr>
          <w:sz w:val="22"/>
          <w:szCs w:val="22"/>
        </w:rPr>
      </w:pPr>
    </w:p>
    <w:p w14:paraId="78550113" w14:textId="33C1CEE9" w:rsidR="000B556F" w:rsidRDefault="00D06C79" w:rsidP="00B15976">
      <w:pPr>
        <w:rPr>
          <w:rFonts w:ascii="Calibri" w:hAnsi="Calibri" w:cs="Calibri"/>
          <w:sz w:val="22"/>
          <w:szCs w:val="22"/>
        </w:rPr>
      </w:pPr>
      <w:r>
        <w:rPr>
          <w:rFonts w:ascii="Calibri" w:hAnsi="Calibri" w:cs="Calibri"/>
          <w:sz w:val="22"/>
          <w:szCs w:val="22"/>
        </w:rPr>
        <w:t xml:space="preserve">A sandbox-specific PIP has the benefit of imposing no additional obligation on sandbox participants unless ASIC detects a problem while also reducing the risk of consumer harm and damage to the fintech industry’s reputation. It would require additional resources so that ASIC could monitor activities in the sandbox as it is used by more parties.  </w:t>
      </w:r>
    </w:p>
    <w:p w14:paraId="70173C3F" w14:textId="49D32913" w:rsidR="000B556F" w:rsidRDefault="000B556F" w:rsidP="00B15976">
      <w:pPr>
        <w:rPr>
          <w:rFonts w:ascii="Calibri" w:hAnsi="Calibri" w:cs="Calibri"/>
          <w:sz w:val="22"/>
          <w:szCs w:val="22"/>
        </w:rPr>
      </w:pPr>
    </w:p>
    <w:p w14:paraId="3686471D" w14:textId="097A2A74" w:rsidR="00B15976" w:rsidRDefault="008E0469" w:rsidP="00B15976">
      <w:pPr>
        <w:rPr>
          <w:rFonts w:ascii="Calibri" w:hAnsi="Calibri" w:cs="Calibri"/>
          <w:b/>
          <w:sz w:val="22"/>
          <w:szCs w:val="22"/>
        </w:rPr>
      </w:pPr>
      <w:r>
        <w:rPr>
          <w:rFonts w:ascii="Calibri" w:hAnsi="Calibri" w:cs="Calibri"/>
          <w:b/>
          <w:sz w:val="22"/>
          <w:szCs w:val="22"/>
        </w:rPr>
        <w:t>Recommendation</w:t>
      </w:r>
      <w:r w:rsidR="00882C31">
        <w:rPr>
          <w:rFonts w:ascii="Calibri" w:hAnsi="Calibri" w:cs="Calibri"/>
          <w:b/>
          <w:sz w:val="22"/>
          <w:szCs w:val="22"/>
        </w:rPr>
        <w:t>s</w:t>
      </w:r>
      <w:r w:rsidR="00B15976">
        <w:rPr>
          <w:rFonts w:ascii="Calibri" w:hAnsi="Calibri" w:cs="Calibri"/>
          <w:b/>
          <w:sz w:val="22"/>
          <w:szCs w:val="22"/>
        </w:rPr>
        <w:t xml:space="preserve">: </w:t>
      </w:r>
    </w:p>
    <w:p w14:paraId="39CEA960" w14:textId="562717EF" w:rsidR="00F52A9A" w:rsidRPr="00F52A9A" w:rsidRDefault="00F52A9A" w:rsidP="0055742E">
      <w:pPr>
        <w:pStyle w:val="ListParagraph"/>
        <w:numPr>
          <w:ilvl w:val="0"/>
          <w:numId w:val="12"/>
        </w:numPr>
        <w:ind w:left="714" w:hanging="357"/>
        <w:rPr>
          <w:rFonts w:ascii="Calibri" w:hAnsi="Calibri" w:cs="Calibri"/>
          <w:b/>
          <w:sz w:val="22"/>
          <w:szCs w:val="22"/>
        </w:rPr>
      </w:pPr>
      <w:r>
        <w:rPr>
          <w:rFonts w:cstheme="minorHAnsi"/>
          <w:bCs/>
          <w:sz w:val="22"/>
          <w:szCs w:val="22"/>
        </w:rPr>
        <w:t>That ASIC assess applicants before they’re granted a regulatory exemption or entry into the sandbox, ensuring that sandbox participants are genuinely innovative, will benefit consumers and are ready for testing.</w:t>
      </w:r>
    </w:p>
    <w:p w14:paraId="15DBD499" w14:textId="0905842A" w:rsidR="001037B7" w:rsidRPr="001037B7" w:rsidRDefault="00F52A9A" w:rsidP="0055742E">
      <w:pPr>
        <w:pStyle w:val="ListParagraph"/>
        <w:numPr>
          <w:ilvl w:val="0"/>
          <w:numId w:val="12"/>
        </w:numPr>
        <w:ind w:left="714" w:hanging="357"/>
        <w:rPr>
          <w:rFonts w:ascii="Calibri" w:hAnsi="Calibri" w:cs="Calibri"/>
          <w:b/>
          <w:sz w:val="22"/>
          <w:szCs w:val="22"/>
        </w:rPr>
      </w:pPr>
      <w:r>
        <w:rPr>
          <w:rFonts w:ascii="Calibri" w:hAnsi="Calibri" w:cs="Calibri"/>
          <w:sz w:val="22"/>
          <w:szCs w:val="22"/>
        </w:rPr>
        <w:t>If this cannot be achieved then t</w:t>
      </w:r>
      <w:r w:rsidR="00D06C79">
        <w:rPr>
          <w:rFonts w:ascii="Calibri" w:hAnsi="Calibri" w:cs="Calibri"/>
          <w:sz w:val="22"/>
          <w:szCs w:val="22"/>
        </w:rPr>
        <w:t xml:space="preserve">he enhanced regulatory sandbox legislation </w:t>
      </w:r>
      <w:r>
        <w:rPr>
          <w:rFonts w:ascii="Calibri" w:hAnsi="Calibri" w:cs="Calibri"/>
          <w:sz w:val="22"/>
          <w:szCs w:val="22"/>
        </w:rPr>
        <w:t>should give</w:t>
      </w:r>
      <w:r w:rsidR="00D06C79">
        <w:rPr>
          <w:rFonts w:ascii="Calibri" w:hAnsi="Calibri" w:cs="Calibri"/>
          <w:sz w:val="22"/>
          <w:szCs w:val="22"/>
        </w:rPr>
        <w:t xml:space="preserve"> ASIC new product intervention powers </w:t>
      </w:r>
      <w:r w:rsidR="00D06C79">
        <w:rPr>
          <w:sz w:val="22"/>
          <w:szCs w:val="22"/>
        </w:rPr>
        <w:t xml:space="preserve">to act against products or services that are misleading or harmful to consumers. </w:t>
      </w:r>
      <w:r w:rsidR="000B556F" w:rsidRPr="00D06C79">
        <w:rPr>
          <w:rFonts w:ascii="Calibri" w:hAnsi="Calibri" w:cs="Calibri"/>
          <w:sz w:val="22"/>
          <w:szCs w:val="22"/>
        </w:rPr>
        <w:t xml:space="preserve"> </w:t>
      </w:r>
    </w:p>
    <w:p w14:paraId="52FE10A1" w14:textId="77777777" w:rsidR="001037B7" w:rsidRDefault="001037B7" w:rsidP="0055742E">
      <w:pPr>
        <w:rPr>
          <w:rFonts w:eastAsia="Arial Unicode MS" w:cstheme="minorHAnsi"/>
          <w:color w:val="000000"/>
          <w:sz w:val="22"/>
          <w:szCs w:val="22"/>
          <w:u w:color="000000"/>
          <w:lang w:val="en-AU" w:eastAsia="en-AU"/>
        </w:rPr>
      </w:pPr>
    </w:p>
    <w:p w14:paraId="3D0115B3" w14:textId="43CBE58C" w:rsidR="002F03A1" w:rsidRDefault="002F03A1" w:rsidP="0055742E">
      <w:pPr>
        <w:rPr>
          <w:rFonts w:eastAsia="Arial Unicode MS" w:cstheme="minorHAnsi"/>
          <w:color w:val="000000"/>
          <w:sz w:val="22"/>
          <w:szCs w:val="22"/>
          <w:u w:color="000000"/>
          <w:lang w:val="en-AU" w:eastAsia="en-AU"/>
        </w:rPr>
      </w:pPr>
      <w:r>
        <w:rPr>
          <w:rFonts w:eastAsia="Arial Unicode MS" w:cstheme="minorHAnsi"/>
          <w:color w:val="000000"/>
          <w:sz w:val="22"/>
          <w:szCs w:val="22"/>
          <w:u w:color="000000"/>
          <w:lang w:val="en-AU" w:eastAsia="en-AU"/>
        </w:rPr>
        <w:t xml:space="preserve">Please contact </w:t>
      </w:r>
      <w:hyperlink r:id="rId16" w:history="1">
        <w:r w:rsidRPr="00AE0551">
          <w:rPr>
            <w:rStyle w:val="Hyperlink"/>
            <w:rFonts w:eastAsia="Arial Unicode MS" w:cstheme="minorHAnsi"/>
            <w:sz w:val="22"/>
            <w:szCs w:val="22"/>
            <w:u w:color="000000"/>
            <w:lang w:val="en-AU" w:eastAsia="en-AU"/>
          </w:rPr>
          <w:t>eturner@choice.com.au</w:t>
        </w:r>
      </w:hyperlink>
      <w:r>
        <w:rPr>
          <w:rFonts w:eastAsia="Arial Unicode MS" w:cstheme="minorHAnsi"/>
          <w:color w:val="000000"/>
          <w:sz w:val="22"/>
          <w:szCs w:val="22"/>
          <w:u w:color="000000"/>
          <w:lang w:val="en-AU" w:eastAsia="en-AU"/>
        </w:rPr>
        <w:t xml:space="preserve"> with any questions about this submission.</w:t>
      </w:r>
    </w:p>
    <w:p w14:paraId="00320361" w14:textId="19B859B6" w:rsidR="002F03A1" w:rsidRDefault="002F03A1" w:rsidP="0055742E">
      <w:pPr>
        <w:rPr>
          <w:rFonts w:eastAsia="Arial Unicode MS" w:cstheme="minorHAnsi"/>
          <w:color w:val="000000"/>
          <w:sz w:val="22"/>
          <w:szCs w:val="22"/>
          <w:u w:color="000000"/>
          <w:lang w:val="en-AU" w:eastAsia="en-AU"/>
        </w:rPr>
      </w:pPr>
    </w:p>
    <w:p w14:paraId="7B090525" w14:textId="2C4C9F94" w:rsidR="00F52A9A" w:rsidRDefault="002F03A1" w:rsidP="00F52A9A">
      <w:pPr>
        <w:keepNext/>
        <w:spacing w:line="276" w:lineRule="auto"/>
        <w:ind w:right="-96"/>
        <w:jc w:val="both"/>
        <w:rPr>
          <w:rFonts w:ascii="Arial" w:eastAsia="Times New Roman" w:hAnsi="Arial" w:cs="Arial"/>
          <w:sz w:val="22"/>
          <w:szCs w:val="22"/>
          <w:lang w:val="en-AU" w:eastAsia="en-AU"/>
        </w:rPr>
      </w:pPr>
      <w:r>
        <w:rPr>
          <w:rFonts w:eastAsia="Arial Unicode MS" w:cstheme="minorHAnsi"/>
          <w:color w:val="000000"/>
          <w:sz w:val="22"/>
          <w:szCs w:val="22"/>
          <w:u w:color="000000"/>
          <w:lang w:val="en-AU" w:eastAsia="en-AU"/>
        </w:rPr>
        <w:t>Kind regards,</w:t>
      </w:r>
      <w:r w:rsidR="00F52A9A" w:rsidRPr="00F52A9A">
        <w:rPr>
          <w:rFonts w:ascii="Arial" w:hAnsi="Arial" w:cs="Arial"/>
          <w:sz w:val="22"/>
          <w:szCs w:val="22"/>
        </w:rPr>
        <w:t xml:space="preserve"> </w:t>
      </w:r>
    </w:p>
    <w:p w14:paraId="2417620A" w14:textId="40F39648" w:rsidR="00F52A9A" w:rsidRDefault="00F52A9A" w:rsidP="00F52A9A">
      <w:pPr>
        <w:spacing w:line="276" w:lineRule="auto"/>
        <w:ind w:right="-96"/>
        <w:jc w:val="both"/>
        <w:rPr>
          <w:rFonts w:ascii="Arial" w:hAnsi="Arial" w:cs="Arial"/>
          <w:sz w:val="22"/>
          <w:szCs w:val="22"/>
        </w:rPr>
      </w:pPr>
      <w:r>
        <w:rPr>
          <w:rFonts w:ascii="Times New Roman" w:hAnsi="Times New Roman" w:cs="Times New Roman"/>
          <w:noProof/>
          <w:lang w:val="en-AU" w:eastAsia="en-AU"/>
        </w:rPr>
        <w:drawing>
          <wp:anchor distT="0" distB="0" distL="114300" distR="114300" simplePos="0" relativeHeight="251657216" behindDoc="0" locked="0" layoutInCell="1" allowOverlap="1" wp14:anchorId="7A825287" wp14:editId="484B3F6C">
            <wp:simplePos x="0" y="0"/>
            <wp:positionH relativeFrom="margin">
              <wp:posOffset>3238500</wp:posOffset>
            </wp:positionH>
            <wp:positionV relativeFrom="paragraph">
              <wp:posOffset>159385</wp:posOffset>
            </wp:positionV>
            <wp:extent cx="1323975" cy="59055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23975" cy="590550"/>
                    </a:xfrm>
                    <a:prstGeom prst="rect">
                      <a:avLst/>
                    </a:prstGeom>
                    <a:noFill/>
                  </pic:spPr>
                </pic:pic>
              </a:graphicData>
            </a:graphic>
            <wp14:sizeRelH relativeFrom="margin">
              <wp14:pctWidth>0</wp14:pctWidth>
            </wp14:sizeRelH>
            <wp14:sizeRelV relativeFrom="margin">
              <wp14:pctHeight>0</wp14:pctHeight>
            </wp14:sizeRelV>
          </wp:anchor>
        </w:drawing>
      </w:r>
    </w:p>
    <w:p w14:paraId="3018EE61" w14:textId="09168B88" w:rsidR="00F52A9A" w:rsidRDefault="00F52A9A" w:rsidP="00F52A9A">
      <w:pPr>
        <w:spacing w:line="276" w:lineRule="auto"/>
        <w:ind w:right="-96"/>
        <w:jc w:val="both"/>
        <w:rPr>
          <w:rFonts w:ascii="Arial" w:hAnsi="Arial" w:cs="Arial"/>
          <w:noProof/>
          <w:sz w:val="22"/>
          <w:szCs w:val="22"/>
        </w:rPr>
      </w:pPr>
      <w:r>
        <w:rPr>
          <w:rFonts w:ascii="Times New Roman" w:hAnsi="Times New Roman" w:cs="Times New Roman"/>
          <w:noProof/>
          <w:lang w:val="en-AU" w:eastAsia="en-AU"/>
        </w:rPr>
        <w:drawing>
          <wp:anchor distT="0" distB="0" distL="114300" distR="114300" simplePos="0" relativeHeight="251658240" behindDoc="0" locked="0" layoutInCell="1" allowOverlap="1" wp14:anchorId="74A50DA2" wp14:editId="320E05E1">
            <wp:simplePos x="0" y="0"/>
            <wp:positionH relativeFrom="margin">
              <wp:posOffset>-66675</wp:posOffset>
            </wp:positionH>
            <wp:positionV relativeFrom="paragraph">
              <wp:posOffset>153035</wp:posOffset>
            </wp:positionV>
            <wp:extent cx="2451735" cy="381000"/>
            <wp:effectExtent l="0" t="0" r="571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51735" cy="381000"/>
                    </a:xfrm>
                    <a:prstGeom prst="rect">
                      <a:avLst/>
                    </a:prstGeom>
                    <a:noFill/>
                  </pic:spPr>
                </pic:pic>
              </a:graphicData>
            </a:graphic>
            <wp14:sizeRelH relativeFrom="page">
              <wp14:pctWidth>0</wp14:pctWidth>
            </wp14:sizeRelH>
            <wp14:sizeRelV relativeFrom="page">
              <wp14:pctHeight>0</wp14:pctHeight>
            </wp14:sizeRelV>
          </wp:anchor>
        </w:drawing>
      </w:r>
    </w:p>
    <w:p w14:paraId="477DC36C" w14:textId="6926B72A" w:rsidR="00F52A9A" w:rsidRDefault="00F52A9A" w:rsidP="00F52A9A">
      <w:pPr>
        <w:spacing w:line="276" w:lineRule="auto"/>
        <w:ind w:right="-96"/>
        <w:jc w:val="both"/>
        <w:rPr>
          <w:rFonts w:ascii="Arial" w:hAnsi="Arial" w:cs="Arial"/>
          <w:noProof/>
          <w:sz w:val="22"/>
          <w:szCs w:val="22"/>
        </w:rPr>
      </w:pPr>
      <w:r>
        <w:rPr>
          <w:rFonts w:ascii="Arial" w:hAnsi="Arial" w:cs="Arial"/>
          <w:noProof/>
          <w:sz w:val="22"/>
          <w:szCs w:val="22"/>
        </w:rPr>
        <w:t xml:space="preserve">              </w:t>
      </w:r>
    </w:p>
    <w:p w14:paraId="3EBEEB50" w14:textId="1E12DFB8" w:rsidR="00F52A9A" w:rsidRDefault="00F52A9A" w:rsidP="00F52A9A">
      <w:pPr>
        <w:spacing w:line="276" w:lineRule="auto"/>
        <w:ind w:right="-96"/>
        <w:jc w:val="both"/>
        <w:rPr>
          <w:rFonts w:ascii="Arial" w:hAnsi="Arial" w:cs="Arial"/>
          <w:noProof/>
          <w:sz w:val="22"/>
          <w:szCs w:val="22"/>
        </w:rPr>
      </w:pPr>
    </w:p>
    <w:p w14:paraId="3D56372D" w14:textId="77777777" w:rsidR="00F52A9A" w:rsidRPr="00F52A9A" w:rsidRDefault="00F52A9A" w:rsidP="00F52A9A">
      <w:pPr>
        <w:spacing w:line="276" w:lineRule="auto"/>
        <w:ind w:right="-96"/>
        <w:jc w:val="both"/>
        <w:rPr>
          <w:rFonts w:eastAsia="Arial Unicode MS" w:cstheme="minorHAnsi"/>
          <w:color w:val="000000"/>
          <w:sz w:val="22"/>
          <w:szCs w:val="22"/>
          <w:u w:color="000000"/>
          <w:lang w:val="en-AU" w:eastAsia="en-AU"/>
        </w:rPr>
      </w:pPr>
    </w:p>
    <w:p w14:paraId="2F8F8E65" w14:textId="165AB3D2" w:rsidR="00F52A9A" w:rsidRPr="00F52A9A" w:rsidRDefault="00F52A9A" w:rsidP="00F52A9A">
      <w:pPr>
        <w:spacing w:line="276" w:lineRule="auto"/>
        <w:jc w:val="both"/>
        <w:rPr>
          <w:rFonts w:eastAsia="Arial Unicode MS" w:cstheme="minorHAnsi"/>
          <w:color w:val="000000"/>
          <w:sz w:val="22"/>
          <w:szCs w:val="22"/>
          <w:u w:color="000000"/>
          <w:lang w:val="en-AU" w:eastAsia="en-AU"/>
        </w:rPr>
      </w:pPr>
      <w:r w:rsidRPr="00F52A9A">
        <w:rPr>
          <w:rFonts w:eastAsia="Arial Unicode MS" w:cstheme="minorHAnsi"/>
          <w:color w:val="000000"/>
          <w:sz w:val="22"/>
          <w:szCs w:val="22"/>
          <w:u w:color="000000"/>
          <w:lang w:val="en-AU" w:eastAsia="en-AU"/>
        </w:rPr>
        <w:t>Erin Turner</w:t>
      </w:r>
      <w:r w:rsidRPr="00F52A9A">
        <w:rPr>
          <w:rFonts w:eastAsia="Arial Unicode MS" w:cstheme="minorHAnsi"/>
          <w:color w:val="000000"/>
          <w:sz w:val="22"/>
          <w:szCs w:val="22"/>
          <w:u w:color="000000"/>
          <w:lang w:val="en-AU" w:eastAsia="en-AU"/>
        </w:rPr>
        <w:tab/>
      </w:r>
      <w:r w:rsidRPr="00F52A9A">
        <w:rPr>
          <w:rFonts w:eastAsia="Arial Unicode MS" w:cstheme="minorHAnsi"/>
          <w:color w:val="000000"/>
          <w:sz w:val="22"/>
          <w:szCs w:val="22"/>
          <w:u w:color="000000"/>
          <w:lang w:val="en-AU" w:eastAsia="en-AU"/>
        </w:rPr>
        <w:tab/>
      </w:r>
      <w:r w:rsidRPr="00F52A9A">
        <w:rPr>
          <w:rFonts w:eastAsia="Arial Unicode MS" w:cstheme="minorHAnsi"/>
          <w:color w:val="000000"/>
          <w:sz w:val="22"/>
          <w:szCs w:val="22"/>
          <w:u w:color="000000"/>
          <w:lang w:val="en-AU" w:eastAsia="en-AU"/>
        </w:rPr>
        <w:tab/>
      </w:r>
      <w:r w:rsidRPr="00F52A9A">
        <w:rPr>
          <w:rFonts w:eastAsia="Arial Unicode MS" w:cstheme="minorHAnsi"/>
          <w:color w:val="000000"/>
          <w:sz w:val="22"/>
          <w:szCs w:val="22"/>
          <w:u w:color="000000"/>
          <w:lang w:val="en-AU" w:eastAsia="en-AU"/>
        </w:rPr>
        <w:tab/>
      </w:r>
      <w:r w:rsidRPr="00F52A9A">
        <w:rPr>
          <w:rFonts w:eastAsia="Arial Unicode MS" w:cstheme="minorHAnsi"/>
          <w:color w:val="000000"/>
          <w:sz w:val="22"/>
          <w:szCs w:val="22"/>
          <w:u w:color="000000"/>
          <w:lang w:val="en-AU" w:eastAsia="en-AU"/>
        </w:rPr>
        <w:tab/>
      </w:r>
      <w:r w:rsidRPr="00F52A9A">
        <w:rPr>
          <w:rFonts w:eastAsia="Arial Unicode MS" w:cstheme="minorHAnsi"/>
          <w:color w:val="000000"/>
          <w:sz w:val="22"/>
          <w:szCs w:val="22"/>
          <w:u w:color="000000"/>
          <w:lang w:val="en-AU" w:eastAsia="en-AU"/>
        </w:rPr>
        <w:tab/>
        <w:t>Katherine Temple</w:t>
      </w:r>
    </w:p>
    <w:p w14:paraId="31567263" w14:textId="53084849" w:rsidR="00F52A9A" w:rsidRPr="00F52A9A" w:rsidRDefault="00F52A9A" w:rsidP="00F52A9A">
      <w:pPr>
        <w:spacing w:line="276" w:lineRule="auto"/>
        <w:jc w:val="both"/>
        <w:rPr>
          <w:rFonts w:eastAsia="Arial Unicode MS" w:cstheme="minorHAnsi"/>
          <w:color w:val="000000"/>
          <w:sz w:val="22"/>
          <w:szCs w:val="22"/>
          <w:u w:color="000000"/>
          <w:lang w:val="en-AU" w:eastAsia="en-AU"/>
        </w:rPr>
      </w:pPr>
      <w:r w:rsidRPr="00F52A9A">
        <w:rPr>
          <w:rFonts w:eastAsia="Arial Unicode MS" w:cstheme="minorHAnsi"/>
          <w:color w:val="000000"/>
          <w:sz w:val="22"/>
          <w:szCs w:val="22"/>
          <w:u w:color="000000"/>
          <w:lang w:val="en-AU" w:eastAsia="en-AU"/>
        </w:rPr>
        <w:t>Director – Campaigns &amp; Communications</w:t>
      </w:r>
      <w:r w:rsidRPr="00F52A9A">
        <w:rPr>
          <w:rFonts w:eastAsia="Arial Unicode MS" w:cstheme="minorHAnsi"/>
          <w:color w:val="000000"/>
          <w:sz w:val="22"/>
          <w:szCs w:val="22"/>
          <w:u w:color="000000"/>
          <w:lang w:val="en-AU" w:eastAsia="en-AU"/>
        </w:rPr>
        <w:tab/>
      </w:r>
      <w:r w:rsidRPr="00F52A9A">
        <w:rPr>
          <w:rFonts w:eastAsia="Arial Unicode MS" w:cstheme="minorHAnsi"/>
          <w:color w:val="000000"/>
          <w:sz w:val="22"/>
          <w:szCs w:val="22"/>
          <w:u w:color="000000"/>
          <w:lang w:val="en-AU" w:eastAsia="en-AU"/>
        </w:rPr>
        <w:tab/>
        <w:t>Senior Policy Officer</w:t>
      </w:r>
      <w:r w:rsidRPr="00F52A9A">
        <w:rPr>
          <w:rFonts w:eastAsia="Arial Unicode MS" w:cstheme="minorHAnsi"/>
          <w:color w:val="000000"/>
          <w:sz w:val="22"/>
          <w:szCs w:val="22"/>
          <w:u w:color="000000"/>
          <w:lang w:val="en-AU" w:eastAsia="en-AU"/>
        </w:rPr>
        <w:tab/>
      </w:r>
    </w:p>
    <w:p w14:paraId="5C6F148F" w14:textId="6D8C170C" w:rsidR="00F52A9A" w:rsidRPr="00F52A9A" w:rsidRDefault="00F52A9A" w:rsidP="00F52A9A">
      <w:pPr>
        <w:keepNext/>
        <w:spacing w:line="276" w:lineRule="auto"/>
        <w:ind w:right="-96"/>
        <w:jc w:val="both"/>
        <w:rPr>
          <w:rFonts w:eastAsia="Arial Unicode MS" w:cstheme="minorHAnsi"/>
          <w:b/>
          <w:color w:val="000000"/>
          <w:sz w:val="22"/>
          <w:szCs w:val="22"/>
          <w:u w:color="000000"/>
          <w:lang w:val="en-AU" w:eastAsia="en-AU"/>
        </w:rPr>
      </w:pPr>
      <w:r w:rsidRPr="00F52A9A">
        <w:rPr>
          <w:rFonts w:eastAsia="Arial Unicode MS" w:cstheme="minorHAnsi"/>
          <w:b/>
          <w:color w:val="000000"/>
          <w:sz w:val="22"/>
          <w:szCs w:val="22"/>
          <w:u w:color="000000"/>
          <w:lang w:val="en-AU" w:eastAsia="en-AU"/>
        </w:rPr>
        <w:t>CHOICE</w:t>
      </w:r>
      <w:r w:rsidRPr="00F52A9A">
        <w:rPr>
          <w:rFonts w:eastAsia="Arial Unicode MS" w:cstheme="minorHAnsi"/>
          <w:b/>
          <w:color w:val="000000"/>
          <w:sz w:val="22"/>
          <w:szCs w:val="22"/>
          <w:u w:color="000000"/>
          <w:lang w:val="en-AU" w:eastAsia="en-AU"/>
        </w:rPr>
        <w:tab/>
      </w:r>
      <w:r w:rsidRPr="00F52A9A">
        <w:rPr>
          <w:rFonts w:eastAsia="Arial Unicode MS" w:cstheme="minorHAnsi"/>
          <w:b/>
          <w:color w:val="000000"/>
          <w:sz w:val="22"/>
          <w:szCs w:val="22"/>
          <w:u w:color="000000"/>
          <w:lang w:val="en-AU" w:eastAsia="en-AU"/>
        </w:rPr>
        <w:tab/>
      </w:r>
      <w:r w:rsidRPr="00F52A9A">
        <w:rPr>
          <w:rFonts w:eastAsia="Arial Unicode MS" w:cstheme="minorHAnsi"/>
          <w:b/>
          <w:color w:val="000000"/>
          <w:sz w:val="22"/>
          <w:szCs w:val="22"/>
          <w:u w:color="000000"/>
          <w:lang w:val="en-AU" w:eastAsia="en-AU"/>
        </w:rPr>
        <w:tab/>
      </w:r>
      <w:r w:rsidRPr="00F52A9A">
        <w:rPr>
          <w:rFonts w:eastAsia="Arial Unicode MS" w:cstheme="minorHAnsi"/>
          <w:b/>
          <w:color w:val="000000"/>
          <w:sz w:val="22"/>
          <w:szCs w:val="22"/>
          <w:u w:color="000000"/>
          <w:lang w:val="en-AU" w:eastAsia="en-AU"/>
        </w:rPr>
        <w:tab/>
      </w:r>
      <w:r w:rsidRPr="00F52A9A">
        <w:rPr>
          <w:rFonts w:eastAsia="Arial Unicode MS" w:cstheme="minorHAnsi"/>
          <w:b/>
          <w:color w:val="000000"/>
          <w:sz w:val="22"/>
          <w:szCs w:val="22"/>
          <w:u w:color="000000"/>
          <w:lang w:val="en-AU" w:eastAsia="en-AU"/>
        </w:rPr>
        <w:tab/>
      </w:r>
      <w:r w:rsidRPr="00F52A9A">
        <w:rPr>
          <w:rFonts w:eastAsia="Arial Unicode MS" w:cstheme="minorHAnsi"/>
          <w:b/>
          <w:color w:val="000000"/>
          <w:sz w:val="22"/>
          <w:szCs w:val="22"/>
          <w:u w:color="000000"/>
          <w:lang w:val="en-AU" w:eastAsia="en-AU"/>
        </w:rPr>
        <w:tab/>
      </w:r>
      <w:r w:rsidRPr="00F52A9A">
        <w:rPr>
          <w:rFonts w:eastAsia="Arial Unicode MS" w:cstheme="minorHAnsi"/>
          <w:b/>
          <w:color w:val="000000"/>
          <w:sz w:val="22"/>
          <w:szCs w:val="22"/>
          <w:u w:color="000000"/>
          <w:lang w:val="en-AU" w:eastAsia="en-AU"/>
        </w:rPr>
        <w:tab/>
        <w:t>CONSUMER ACTION LAW CENTRE</w:t>
      </w:r>
    </w:p>
    <w:p w14:paraId="50565ACF" w14:textId="16D085E3" w:rsidR="002F03A1" w:rsidRDefault="002F03A1" w:rsidP="0055742E">
      <w:pPr>
        <w:rPr>
          <w:rFonts w:eastAsia="Arial Unicode MS" w:cstheme="minorHAnsi"/>
          <w:color w:val="000000"/>
          <w:sz w:val="22"/>
          <w:szCs w:val="22"/>
          <w:u w:color="000000"/>
          <w:lang w:val="en-AU" w:eastAsia="en-AU"/>
        </w:rPr>
      </w:pPr>
    </w:p>
    <w:p w14:paraId="0D353D70" w14:textId="1842426D" w:rsidR="00F52A9A" w:rsidRDefault="00F52A9A" w:rsidP="00F52A9A">
      <w:pPr>
        <w:rPr>
          <w:rFonts w:eastAsia="Arial Unicode MS" w:cstheme="minorHAnsi"/>
          <w:color w:val="000000"/>
          <w:sz w:val="22"/>
          <w:szCs w:val="22"/>
          <w:u w:color="000000"/>
          <w:lang w:val="en-AU" w:eastAsia="en-AU"/>
        </w:rPr>
      </w:pPr>
    </w:p>
    <w:p w14:paraId="55DF895D" w14:textId="4A8C52D1" w:rsidR="00F52A9A" w:rsidRPr="00F52A9A" w:rsidRDefault="00F52A9A" w:rsidP="00F52A9A">
      <w:pPr>
        <w:rPr>
          <w:rFonts w:eastAsia="Arial Unicode MS" w:cstheme="minorHAnsi"/>
          <w:color w:val="000000"/>
          <w:sz w:val="22"/>
          <w:szCs w:val="22"/>
          <w:u w:color="000000"/>
          <w:lang w:val="en-AU" w:eastAsia="en-AU"/>
        </w:rPr>
      </w:pPr>
      <w:r w:rsidRPr="00F52A9A">
        <w:rPr>
          <w:noProof/>
          <w:lang w:val="en-AU" w:eastAsia="en-AU"/>
        </w:rPr>
        <w:drawing>
          <wp:inline distT="0" distB="0" distL="0" distR="0" wp14:anchorId="3A02D73A" wp14:editId="6C2307C5">
            <wp:extent cx="1875486" cy="57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882337" cy="573588"/>
                    </a:xfrm>
                    <a:prstGeom prst="rect">
                      <a:avLst/>
                    </a:prstGeom>
                  </pic:spPr>
                </pic:pic>
              </a:graphicData>
            </a:graphic>
          </wp:inline>
        </w:drawing>
      </w:r>
    </w:p>
    <w:p w14:paraId="082629FB" w14:textId="000B9FCA" w:rsidR="00F52A9A" w:rsidRPr="00F52A9A" w:rsidRDefault="00F52A9A" w:rsidP="00F52A9A">
      <w:pPr>
        <w:rPr>
          <w:rFonts w:eastAsia="Arial Unicode MS" w:cstheme="minorHAnsi"/>
          <w:color w:val="000000"/>
          <w:sz w:val="22"/>
          <w:szCs w:val="22"/>
          <w:u w:color="000000"/>
          <w:lang w:val="en-AU" w:eastAsia="en-AU"/>
        </w:rPr>
      </w:pPr>
      <w:r w:rsidRPr="00F52A9A">
        <w:rPr>
          <w:rFonts w:eastAsia="Arial Unicode MS" w:cstheme="minorHAnsi"/>
          <w:color w:val="000000"/>
          <w:sz w:val="22"/>
          <w:szCs w:val="22"/>
          <w:u w:color="000000"/>
          <w:lang w:val="en-AU" w:eastAsia="en-AU"/>
        </w:rPr>
        <w:t>Karen Cox</w:t>
      </w:r>
    </w:p>
    <w:p w14:paraId="1E405DCB" w14:textId="6C21F449" w:rsidR="00F52A9A" w:rsidRPr="00F52A9A" w:rsidRDefault="00F52A9A" w:rsidP="00F52A9A">
      <w:pPr>
        <w:rPr>
          <w:rFonts w:eastAsia="Arial Unicode MS" w:cstheme="minorHAnsi"/>
          <w:color w:val="000000"/>
          <w:sz w:val="22"/>
          <w:szCs w:val="22"/>
          <w:u w:color="000000"/>
          <w:lang w:val="en-AU" w:eastAsia="en-AU"/>
        </w:rPr>
      </w:pPr>
      <w:r w:rsidRPr="00F52A9A">
        <w:rPr>
          <w:rFonts w:eastAsia="Arial Unicode MS" w:cstheme="minorHAnsi"/>
          <w:color w:val="000000"/>
          <w:sz w:val="22"/>
          <w:szCs w:val="22"/>
          <w:u w:color="000000"/>
          <w:lang w:val="en-AU" w:eastAsia="en-AU"/>
        </w:rPr>
        <w:t>Coordinator</w:t>
      </w:r>
    </w:p>
    <w:p w14:paraId="01FC9080" w14:textId="3B08E194" w:rsidR="002F03A1" w:rsidRPr="00F52A9A" w:rsidRDefault="00F52A9A" w:rsidP="00F52A9A">
      <w:pPr>
        <w:rPr>
          <w:rFonts w:eastAsia="Arial Unicode MS" w:cstheme="minorHAnsi"/>
          <w:b/>
          <w:color w:val="000000"/>
          <w:sz w:val="22"/>
          <w:szCs w:val="22"/>
          <w:u w:color="000000"/>
          <w:lang w:val="en-AU" w:eastAsia="en-AU"/>
        </w:rPr>
      </w:pPr>
      <w:r w:rsidRPr="00F52A9A">
        <w:rPr>
          <w:rFonts w:eastAsia="Arial Unicode MS" w:cstheme="minorHAnsi"/>
          <w:b/>
          <w:color w:val="000000"/>
          <w:sz w:val="22"/>
          <w:szCs w:val="22"/>
          <w:u w:color="000000"/>
          <w:lang w:val="en-AU" w:eastAsia="en-AU"/>
        </w:rPr>
        <w:t>FINANCIAL RIGHTS LEGAL CENTRE</w:t>
      </w:r>
    </w:p>
    <w:sectPr w:rsidR="002F03A1" w:rsidRPr="00F52A9A" w:rsidSect="00664851">
      <w:headerReference w:type="default" r:id="rId20"/>
      <w:footerReference w:type="default" r:id="rId21"/>
      <w:pgSz w:w="11906" w:h="16838"/>
      <w:pgMar w:top="2127" w:right="1134" w:bottom="993" w:left="1134" w:header="709" w:footer="9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375AB" w14:textId="77777777" w:rsidR="00067602" w:rsidRDefault="00067602" w:rsidP="009F3C0C">
      <w:r>
        <w:separator/>
      </w:r>
    </w:p>
  </w:endnote>
  <w:endnote w:type="continuationSeparator" w:id="0">
    <w:p w14:paraId="0765E47A" w14:textId="77777777" w:rsidR="00067602" w:rsidRDefault="00067602" w:rsidP="009F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AmplitudeCond-Bold">
    <w:charset w:val="00"/>
    <w:family w:val="auto"/>
    <w:pitch w:val="variable"/>
    <w:sig w:usb0="03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6564106"/>
      <w:docPartObj>
        <w:docPartGallery w:val="Page Numbers (Bottom of Page)"/>
        <w:docPartUnique/>
      </w:docPartObj>
    </w:sdtPr>
    <w:sdtEndPr>
      <w:rPr>
        <w:noProof/>
      </w:rPr>
    </w:sdtEndPr>
    <w:sdtContent>
      <w:p w14:paraId="2BA6594D" w14:textId="597FCBDC" w:rsidR="00882C31" w:rsidRDefault="00882C31">
        <w:pPr>
          <w:pStyle w:val="Footer"/>
          <w:jc w:val="right"/>
        </w:pPr>
        <w:r>
          <w:fldChar w:fldCharType="begin"/>
        </w:r>
        <w:r>
          <w:instrText xml:space="preserve"> PAGE   \* MERGEFORMAT </w:instrText>
        </w:r>
        <w:r>
          <w:fldChar w:fldCharType="separate"/>
        </w:r>
        <w:r w:rsidR="007B69C6">
          <w:rPr>
            <w:noProof/>
          </w:rPr>
          <w:t>1</w:t>
        </w:r>
        <w:r>
          <w:rPr>
            <w:noProof/>
          </w:rPr>
          <w:fldChar w:fldCharType="end"/>
        </w:r>
      </w:p>
    </w:sdtContent>
  </w:sdt>
  <w:p w14:paraId="3E186D1D" w14:textId="22574C70" w:rsidR="00067602" w:rsidRPr="003243A3" w:rsidRDefault="00067602" w:rsidP="009F3C0C">
    <w:pPr>
      <w:pStyle w:val="Footer"/>
      <w:tabs>
        <w:tab w:val="clear" w:pos="4513"/>
        <w:tab w:val="clear" w:pos="9026"/>
      </w:tabs>
      <w:spacing w:line="36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55D9DB" w14:textId="77777777" w:rsidR="00067602" w:rsidRDefault="00067602" w:rsidP="009F3C0C">
      <w:r>
        <w:separator/>
      </w:r>
    </w:p>
  </w:footnote>
  <w:footnote w:type="continuationSeparator" w:id="0">
    <w:p w14:paraId="475E69FD" w14:textId="77777777" w:rsidR="00067602" w:rsidRDefault="00067602" w:rsidP="009F3C0C">
      <w:r>
        <w:continuationSeparator/>
      </w:r>
    </w:p>
  </w:footnote>
  <w:footnote w:id="1">
    <w:p w14:paraId="25285CBE" w14:textId="40B93FD9" w:rsidR="00067602" w:rsidRPr="002F03A1" w:rsidRDefault="00067602">
      <w:pPr>
        <w:pStyle w:val="FootnoteText"/>
        <w:rPr>
          <w:sz w:val="16"/>
          <w:szCs w:val="16"/>
          <w:lang w:val="en-AU"/>
        </w:rPr>
      </w:pPr>
      <w:r w:rsidRPr="002F03A1">
        <w:rPr>
          <w:rStyle w:val="FootnoteReference"/>
          <w:sz w:val="16"/>
          <w:szCs w:val="16"/>
        </w:rPr>
        <w:footnoteRef/>
      </w:r>
      <w:r w:rsidRPr="002F03A1">
        <w:rPr>
          <w:sz w:val="16"/>
          <w:szCs w:val="16"/>
        </w:rPr>
        <w:t xml:space="preserve"> </w:t>
      </w:r>
      <w:r w:rsidRPr="002F03A1">
        <w:rPr>
          <w:sz w:val="16"/>
          <w:szCs w:val="16"/>
          <w:lang w:val="en-AU"/>
        </w:rPr>
        <w:t xml:space="preserve">Explanatory Memorandum, p.7. </w:t>
      </w:r>
    </w:p>
  </w:footnote>
  <w:footnote w:id="2">
    <w:p w14:paraId="1A013427" w14:textId="77777777" w:rsidR="00F52A9A" w:rsidRPr="00F52A9A" w:rsidRDefault="00F52A9A" w:rsidP="00F52A9A">
      <w:pPr>
        <w:pStyle w:val="FootnoteText"/>
        <w:rPr>
          <w:sz w:val="16"/>
          <w:szCs w:val="16"/>
        </w:rPr>
      </w:pPr>
      <w:r w:rsidRPr="00F52A9A">
        <w:rPr>
          <w:rStyle w:val="FootnoteReference"/>
          <w:sz w:val="20"/>
        </w:rPr>
        <w:footnoteRef/>
      </w:r>
      <w:r w:rsidRPr="00F52A9A">
        <w:rPr>
          <w:sz w:val="20"/>
        </w:rPr>
        <w:t xml:space="preserve"> </w:t>
      </w:r>
      <w:hyperlink r:id="rId1" w:history="1">
        <w:r w:rsidRPr="00F52A9A">
          <w:rPr>
            <w:rStyle w:val="Hyperlink"/>
            <w:sz w:val="16"/>
            <w:szCs w:val="16"/>
          </w:rPr>
          <w:t>http://www.ricewarner.com/superannuation-fees-how-low-can-we-go/</w:t>
        </w:r>
      </w:hyperlink>
      <w:r w:rsidRPr="00F52A9A">
        <w:rPr>
          <w:sz w:val="16"/>
          <w:szCs w:val="16"/>
        </w:rPr>
        <w:t xml:space="preserve"> </w:t>
      </w:r>
    </w:p>
  </w:footnote>
  <w:footnote w:id="3">
    <w:p w14:paraId="3B3A75DD" w14:textId="77777777" w:rsidR="00F52A9A" w:rsidRPr="00F52A9A" w:rsidRDefault="00F52A9A" w:rsidP="00F52A9A">
      <w:pPr>
        <w:pStyle w:val="FootnoteText"/>
        <w:rPr>
          <w:sz w:val="16"/>
          <w:szCs w:val="16"/>
        </w:rPr>
      </w:pPr>
      <w:r w:rsidRPr="00F52A9A">
        <w:rPr>
          <w:rStyle w:val="FootnoteReference"/>
          <w:sz w:val="16"/>
          <w:szCs w:val="16"/>
        </w:rPr>
        <w:footnoteRef/>
      </w:r>
      <w:r w:rsidRPr="00F52A9A">
        <w:rPr>
          <w:sz w:val="16"/>
          <w:szCs w:val="16"/>
        </w:rPr>
        <w:t xml:space="preserve"> Future Super fees on a balance of $50,000 are $988.60: </w:t>
      </w:r>
      <w:hyperlink r:id="rId2" w:history="1">
        <w:r w:rsidRPr="00F52A9A">
          <w:rPr>
            <w:rStyle w:val="Hyperlink"/>
            <w:sz w:val="16"/>
            <w:szCs w:val="16"/>
          </w:rPr>
          <w:t>https://content.myfuturesuper.com.au/forms-docs/FS_PDS.pdf?_ga=2.40444450.1201986051.1509589942-227657068.1509589942</w:t>
        </w:r>
      </w:hyperlink>
      <w:r w:rsidRPr="00F52A9A">
        <w:rPr>
          <w:sz w:val="16"/>
          <w:szCs w:val="16"/>
        </w:rPr>
        <w:t xml:space="preserve">  </w:t>
      </w:r>
    </w:p>
  </w:footnote>
  <w:footnote w:id="4">
    <w:p w14:paraId="4CC873E1" w14:textId="77777777" w:rsidR="00F52A9A" w:rsidRPr="00F52A9A" w:rsidRDefault="00F52A9A" w:rsidP="00F52A9A">
      <w:pPr>
        <w:pStyle w:val="FootnoteText"/>
        <w:rPr>
          <w:sz w:val="16"/>
          <w:szCs w:val="16"/>
        </w:rPr>
      </w:pPr>
      <w:r w:rsidRPr="00F52A9A">
        <w:rPr>
          <w:rStyle w:val="FootnoteReference"/>
          <w:sz w:val="16"/>
          <w:szCs w:val="16"/>
        </w:rPr>
        <w:footnoteRef/>
      </w:r>
      <w:r w:rsidRPr="00F52A9A">
        <w:rPr>
          <w:sz w:val="16"/>
          <w:szCs w:val="16"/>
        </w:rPr>
        <w:t xml:space="preserve"> Australian Super MySuper product, assumption based on a balance of $50,000: </w:t>
      </w:r>
      <w:hyperlink r:id="rId3" w:history="1">
        <w:r w:rsidRPr="00F52A9A">
          <w:rPr>
            <w:rStyle w:val="Hyperlink"/>
            <w:sz w:val="16"/>
            <w:szCs w:val="16"/>
          </w:rPr>
          <w:t>https://www.australiansuper.com/superannuation/why-choose-australiansuper/fees-and-costs.aspx</w:t>
        </w:r>
      </w:hyperlink>
      <w:r w:rsidRPr="00F52A9A">
        <w:rPr>
          <w:sz w:val="16"/>
          <w:szCs w:val="16"/>
        </w:rPr>
        <w:t xml:space="preserve"> </w:t>
      </w:r>
    </w:p>
  </w:footnote>
  <w:footnote w:id="5">
    <w:p w14:paraId="41125B5A" w14:textId="77777777" w:rsidR="00F52A9A" w:rsidRPr="00F52A9A" w:rsidRDefault="00F52A9A" w:rsidP="00F52A9A">
      <w:pPr>
        <w:pStyle w:val="FootnoteText"/>
        <w:rPr>
          <w:sz w:val="16"/>
          <w:szCs w:val="16"/>
        </w:rPr>
      </w:pPr>
      <w:r w:rsidRPr="00F52A9A">
        <w:rPr>
          <w:rStyle w:val="FootnoteReference"/>
          <w:sz w:val="16"/>
          <w:szCs w:val="16"/>
        </w:rPr>
        <w:footnoteRef/>
      </w:r>
      <w:r w:rsidRPr="00F52A9A">
        <w:rPr>
          <w:sz w:val="16"/>
          <w:szCs w:val="16"/>
        </w:rPr>
        <w:t xml:space="preserve"> Future Super, 2017, ‘Product Disclosure Statement’, p.4, available at: </w:t>
      </w:r>
      <w:hyperlink r:id="rId4" w:history="1">
        <w:r w:rsidRPr="00F52A9A">
          <w:rPr>
            <w:rStyle w:val="Hyperlink"/>
            <w:sz w:val="16"/>
            <w:szCs w:val="16"/>
          </w:rPr>
          <w:t>https://content.myfuturesuper.com.au/forms-docs/FS_PDS.pdf?_ga=2.236748801.1220893838.1504149591-960514643.1490672366</w:t>
        </w:r>
      </w:hyperlink>
      <w:r w:rsidRPr="00F52A9A">
        <w:rPr>
          <w:sz w:val="16"/>
          <w:szCs w:val="16"/>
        </w:rPr>
        <w:t xml:space="preserve"> </w:t>
      </w:r>
    </w:p>
  </w:footnote>
  <w:footnote w:id="6">
    <w:p w14:paraId="784752A6" w14:textId="77777777" w:rsidR="00F52A9A" w:rsidRPr="00F52A9A" w:rsidRDefault="00F52A9A" w:rsidP="00F52A9A">
      <w:pPr>
        <w:pStyle w:val="FootnoteText"/>
        <w:rPr>
          <w:sz w:val="16"/>
        </w:rPr>
      </w:pPr>
      <w:r w:rsidRPr="00F52A9A">
        <w:rPr>
          <w:rStyle w:val="FootnoteReference"/>
          <w:sz w:val="16"/>
          <w:szCs w:val="16"/>
        </w:rPr>
        <w:footnoteRef/>
      </w:r>
      <w:r w:rsidRPr="00F52A9A">
        <w:rPr>
          <w:sz w:val="16"/>
          <w:szCs w:val="16"/>
        </w:rPr>
        <w:t xml:space="preserve"> Australian Super, 2017, ‘MySuper Dashboard’, available at: </w:t>
      </w:r>
      <w:hyperlink r:id="rId5" w:history="1">
        <w:r w:rsidRPr="00F52A9A">
          <w:rPr>
            <w:rStyle w:val="Hyperlink"/>
            <w:sz w:val="16"/>
            <w:szCs w:val="16"/>
          </w:rPr>
          <w:t>https://www.australiansuper.com/~/media/Files/MySuper%20dashboard/FS%20ProductDashboard.ashx</w:t>
        </w:r>
      </w:hyperlink>
      <w:r w:rsidRPr="00F52A9A">
        <w:rPr>
          <w:sz w:val="16"/>
        </w:rPr>
        <w:t xml:space="preserve"> </w:t>
      </w:r>
    </w:p>
  </w:footnote>
  <w:footnote w:id="7">
    <w:p w14:paraId="633AAB08" w14:textId="77777777" w:rsidR="00F52A9A" w:rsidRDefault="00F52A9A" w:rsidP="00F52A9A">
      <w:pPr>
        <w:pStyle w:val="FootnoteText"/>
      </w:pPr>
      <w:r w:rsidRPr="00F52A9A">
        <w:rPr>
          <w:rStyle w:val="FootnoteReference"/>
          <w:sz w:val="16"/>
        </w:rPr>
        <w:footnoteRef/>
      </w:r>
      <w:r w:rsidRPr="00F52A9A">
        <w:rPr>
          <w:sz w:val="16"/>
        </w:rPr>
        <w:t xml:space="preserve"> </w:t>
      </w:r>
      <w:hyperlink r:id="rId6" w:history="1">
        <w:r w:rsidRPr="00F52A9A">
          <w:rPr>
            <w:rStyle w:val="Hyperlink"/>
            <w:sz w:val="16"/>
          </w:rPr>
          <w:t>http://www.afr.com/technology/inside-the-multibillion-dollar-battle-for-millennials-super-20170606-gwl91y</w:t>
        </w:r>
      </w:hyperlink>
      <w:r w:rsidRPr="00F52A9A">
        <w:rPr>
          <w:sz w:val="16"/>
        </w:rPr>
        <w:t xml:space="preserve"> </w:t>
      </w:r>
    </w:p>
  </w:footnote>
  <w:footnote w:id="8">
    <w:p w14:paraId="01C07168" w14:textId="77777777" w:rsidR="00067602" w:rsidRPr="002A5867" w:rsidRDefault="00067602" w:rsidP="000B556F">
      <w:pPr>
        <w:pStyle w:val="FootnoteText"/>
        <w:rPr>
          <w:sz w:val="16"/>
          <w:szCs w:val="16"/>
        </w:rPr>
      </w:pPr>
      <w:r w:rsidRPr="002A5867">
        <w:rPr>
          <w:rStyle w:val="FootnoteReference"/>
          <w:sz w:val="16"/>
          <w:szCs w:val="16"/>
        </w:rPr>
        <w:footnoteRef/>
      </w:r>
      <w:r w:rsidRPr="002A5867">
        <w:rPr>
          <w:sz w:val="16"/>
          <w:szCs w:val="16"/>
        </w:rPr>
        <w:t xml:space="preserve"> </w:t>
      </w:r>
      <w:hyperlink r:id="rId7" w:history="1">
        <w:r w:rsidRPr="002A5867">
          <w:rPr>
            <w:rStyle w:val="Hyperlink"/>
            <w:sz w:val="16"/>
            <w:szCs w:val="16"/>
          </w:rPr>
          <w:t>https://www.fca.org.uk/firms/project-innovate-innovation-hub/regulatory-sandbox</w:t>
        </w:r>
      </w:hyperlink>
      <w:r w:rsidRPr="002A5867">
        <w:rPr>
          <w:sz w:val="16"/>
          <w:szCs w:val="16"/>
        </w:rPr>
        <w:t xml:space="preserve"> </w:t>
      </w:r>
    </w:p>
  </w:footnote>
  <w:footnote w:id="9">
    <w:p w14:paraId="4ECB5761" w14:textId="77777777" w:rsidR="00067602" w:rsidRPr="002A5867" w:rsidRDefault="00067602" w:rsidP="000B556F">
      <w:pPr>
        <w:pStyle w:val="FootnoteText"/>
        <w:rPr>
          <w:sz w:val="16"/>
          <w:szCs w:val="16"/>
        </w:rPr>
      </w:pPr>
      <w:r w:rsidRPr="002A5867">
        <w:rPr>
          <w:rStyle w:val="FootnoteReference"/>
          <w:sz w:val="16"/>
          <w:szCs w:val="16"/>
        </w:rPr>
        <w:footnoteRef/>
      </w:r>
      <w:r w:rsidRPr="002A5867">
        <w:rPr>
          <w:sz w:val="16"/>
          <w:szCs w:val="16"/>
        </w:rPr>
        <w:t xml:space="preserve"> </w:t>
      </w:r>
      <w:hyperlink r:id="rId8" w:history="1">
        <w:r w:rsidRPr="002A5867">
          <w:rPr>
            <w:rStyle w:val="Hyperlink"/>
            <w:sz w:val="16"/>
            <w:szCs w:val="16"/>
          </w:rPr>
          <w:t>http://www.mas.gov.sg/Singapore-Financial-Centre/Smart-Financial-Centre/FinTech-Regulatory-Sandbox.aspx</w:t>
        </w:r>
      </w:hyperlink>
      <w:r w:rsidRPr="002A5867">
        <w:rPr>
          <w:sz w:val="16"/>
          <w:szCs w:val="16"/>
        </w:rPr>
        <w:t xml:space="preserve"> </w:t>
      </w:r>
    </w:p>
  </w:footnote>
  <w:footnote w:id="10">
    <w:p w14:paraId="69E411B5" w14:textId="77777777" w:rsidR="00067602" w:rsidRDefault="00067602" w:rsidP="000B556F">
      <w:pPr>
        <w:pStyle w:val="FootnoteText"/>
      </w:pPr>
      <w:r w:rsidRPr="002A5867">
        <w:rPr>
          <w:rStyle w:val="FootnoteReference"/>
          <w:sz w:val="16"/>
          <w:szCs w:val="16"/>
        </w:rPr>
        <w:footnoteRef/>
      </w:r>
      <w:r w:rsidRPr="002A5867">
        <w:rPr>
          <w:sz w:val="16"/>
          <w:szCs w:val="16"/>
        </w:rPr>
        <w:t xml:space="preserve"> </w:t>
      </w:r>
      <w:hyperlink r:id="rId9" w:history="1">
        <w:r w:rsidRPr="002A5867">
          <w:rPr>
            <w:rStyle w:val="Hyperlink"/>
            <w:sz w:val="16"/>
            <w:szCs w:val="16"/>
          </w:rPr>
          <w:t>http://www.hkma.gov.hk/media/eng/doc/key-information/guidelines-and-circular/2016/20160906e1.pdf</w:t>
        </w:r>
      </w:hyperlink>
      <w:r>
        <w:t xml:space="preserve"> </w:t>
      </w:r>
    </w:p>
  </w:footnote>
  <w:footnote w:id="11">
    <w:p w14:paraId="1C5CBEC8" w14:textId="77777777" w:rsidR="00067602" w:rsidRPr="002F03A1" w:rsidRDefault="00067602" w:rsidP="002A5867">
      <w:pPr>
        <w:pStyle w:val="FootnoteText"/>
        <w:rPr>
          <w:sz w:val="16"/>
          <w:szCs w:val="16"/>
          <w:lang w:val="en-AU"/>
        </w:rPr>
      </w:pPr>
      <w:r w:rsidRPr="001037B7">
        <w:rPr>
          <w:rStyle w:val="FootnoteReference"/>
          <w:sz w:val="16"/>
          <w:szCs w:val="16"/>
        </w:rPr>
        <w:footnoteRef/>
      </w:r>
      <w:r>
        <w:t xml:space="preserve"> </w:t>
      </w:r>
      <w:r w:rsidRPr="00D52C54">
        <w:rPr>
          <w:sz w:val="16"/>
          <w:szCs w:val="16"/>
        </w:rPr>
        <w:t>These are all current requirements of AFSL holders providing financial advice. These obligations are set out in ASIC (2016) Regulatory Guide 36: Licensing: Financial Product Advice and Dealing, page 32</w:t>
      </w:r>
      <w:r w:rsidRPr="002F03A1">
        <w:rPr>
          <w:sz w:val="16"/>
          <w:szCs w:val="16"/>
        </w:rPr>
        <w:t>-33. http://download.asic.gov.au/media/3889417/rg36-published-8-june-2016.pdf</w:t>
      </w:r>
    </w:p>
  </w:footnote>
  <w:footnote w:id="12">
    <w:p w14:paraId="230312AE" w14:textId="5B604020" w:rsidR="00067602" w:rsidRPr="002F03A1" w:rsidRDefault="00067602">
      <w:pPr>
        <w:pStyle w:val="FootnoteText"/>
        <w:rPr>
          <w:sz w:val="16"/>
          <w:szCs w:val="16"/>
          <w:lang w:val="en-AU"/>
        </w:rPr>
      </w:pPr>
      <w:r w:rsidRPr="002F03A1">
        <w:rPr>
          <w:rStyle w:val="FootnoteReference"/>
          <w:sz w:val="16"/>
          <w:szCs w:val="16"/>
        </w:rPr>
        <w:footnoteRef/>
      </w:r>
      <w:r w:rsidRPr="002F03A1">
        <w:rPr>
          <w:sz w:val="16"/>
          <w:szCs w:val="16"/>
        </w:rPr>
        <w:t xml:space="preserve"> </w:t>
      </w:r>
      <w:r w:rsidRPr="002F03A1">
        <w:rPr>
          <w:sz w:val="16"/>
          <w:szCs w:val="16"/>
          <w:lang w:val="en-AU"/>
        </w:rPr>
        <w:t xml:space="preserve">Explanatory memorandum, p. 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90D40" w14:textId="0D7D13B2" w:rsidR="00067602" w:rsidRPr="0037181B" w:rsidRDefault="00882C31" w:rsidP="005301CA">
    <w:pPr>
      <w:pStyle w:val="Header"/>
      <w:tabs>
        <w:tab w:val="clear" w:pos="4513"/>
        <w:tab w:val="clear" w:pos="9026"/>
      </w:tabs>
      <w:jc w:val="center"/>
      <w:rPr>
        <w:b/>
        <w:sz w:val="44"/>
      </w:rPr>
    </w:pPr>
    <w:r>
      <w:rPr>
        <w:b/>
        <w:noProof/>
        <w:sz w:val="44"/>
        <w:lang w:val="en-AU" w:eastAsia="en-AU"/>
      </w:rPr>
      <w:drawing>
        <wp:anchor distT="0" distB="0" distL="114300" distR="114300" simplePos="0" relativeHeight="251648000" behindDoc="0" locked="0" layoutInCell="1" allowOverlap="1" wp14:anchorId="3CABC20E" wp14:editId="3D2D63C5">
          <wp:simplePos x="0" y="0"/>
          <wp:positionH relativeFrom="column">
            <wp:posOffset>-293370</wp:posOffset>
          </wp:positionH>
          <wp:positionV relativeFrom="paragraph">
            <wp:posOffset>78105</wp:posOffset>
          </wp:positionV>
          <wp:extent cx="1855470" cy="626110"/>
          <wp:effectExtent l="0" t="0" r="0" b="2540"/>
          <wp:wrapTopAndBottom/>
          <wp:docPr id="1" name="Picture 1" descr="C:\Users\mcartwright.CHOICE\Desktop\CH__logo_CMYK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cartwright.CHOICE\Desktop\CH__logo_CMYK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5470" cy="626110"/>
                  </a:xfrm>
                  <a:prstGeom prst="rect">
                    <a:avLst/>
                  </a:prstGeom>
                  <a:noFill/>
                  <a:ln>
                    <a:noFill/>
                  </a:ln>
                </pic:spPr>
              </pic:pic>
            </a:graphicData>
          </a:graphic>
        </wp:anchor>
      </w:drawing>
    </w:r>
    <w:r>
      <w:rPr>
        <w:noProof/>
        <w:lang w:val="en-AU" w:eastAsia="en-AU"/>
      </w:rPr>
      <w:drawing>
        <wp:anchor distT="0" distB="0" distL="114300" distR="114300" simplePos="0" relativeHeight="251670528" behindDoc="0" locked="0" layoutInCell="1" allowOverlap="1" wp14:anchorId="0F641661" wp14:editId="5D6E2F85">
          <wp:simplePos x="0" y="0"/>
          <wp:positionH relativeFrom="column">
            <wp:posOffset>2099310</wp:posOffset>
          </wp:positionH>
          <wp:positionV relativeFrom="paragraph">
            <wp:posOffset>29845</wp:posOffset>
          </wp:positionV>
          <wp:extent cx="2057400" cy="798830"/>
          <wp:effectExtent l="0" t="0" r="0" b="1270"/>
          <wp:wrapTopAndBottom/>
          <wp:docPr id="13" name="Picture 1" descr="\\tserver2\data\OFFICE_MANAGEMENT\Office_Templates\Logos and Artwork\Hoyne - CALC logo and stationery masters\CALC logo jpeg.jpg"/>
          <wp:cNvGraphicFramePr/>
          <a:graphic xmlns:a="http://schemas.openxmlformats.org/drawingml/2006/main">
            <a:graphicData uri="http://schemas.openxmlformats.org/drawingml/2006/picture">
              <pic:pic xmlns:pic="http://schemas.openxmlformats.org/drawingml/2006/picture">
                <pic:nvPicPr>
                  <pic:cNvPr id="13" name="Picture 1" descr="\\tserver2\data\OFFICE_MANAGEMENT\Office_Templates\Logos and Artwork\Hoyne - CALC logo and stationery masters\CALC logo jpeg.jpg"/>
                  <pic:cNvPicPr/>
                </pic:nvPicPr>
                <pic:blipFill>
                  <a:blip r:embed="rId2" cstate="print"/>
                  <a:srcRect/>
                  <a:stretch>
                    <a:fillRect/>
                  </a:stretch>
                </pic:blipFill>
                <pic:spPr bwMode="auto">
                  <a:xfrm>
                    <a:off x="0" y="0"/>
                    <a:ext cx="2057400" cy="798830"/>
                  </a:xfrm>
                  <a:prstGeom prst="rect">
                    <a:avLst/>
                  </a:prstGeom>
                  <a:noFill/>
                  <a:ln w="9525">
                    <a:noFill/>
                    <a:miter lim="800000"/>
                    <a:headEnd/>
                    <a:tailEnd/>
                  </a:ln>
                </pic:spPr>
              </pic:pic>
            </a:graphicData>
          </a:graphic>
        </wp:anchor>
      </w:drawing>
    </w:r>
    <w:r>
      <w:rPr>
        <w:noProof/>
        <w:lang w:val="en-AU" w:eastAsia="en-AU"/>
      </w:rPr>
      <w:drawing>
        <wp:anchor distT="0" distB="0" distL="114300" distR="114300" simplePos="0" relativeHeight="251659264" behindDoc="0" locked="0" layoutInCell="1" allowOverlap="1" wp14:anchorId="79D633E7" wp14:editId="2DA08C51">
          <wp:simplePos x="0" y="0"/>
          <wp:positionH relativeFrom="column">
            <wp:posOffset>4696460</wp:posOffset>
          </wp:positionH>
          <wp:positionV relativeFrom="paragraph">
            <wp:posOffset>-5715</wp:posOffset>
          </wp:positionV>
          <wp:extent cx="1835150" cy="754380"/>
          <wp:effectExtent l="0" t="0" r="0" b="7620"/>
          <wp:wrapSquare wrapText="bothSides"/>
          <wp:docPr id="15" name="officeArt object"/>
          <wp:cNvGraphicFramePr/>
          <a:graphic xmlns:a="http://schemas.openxmlformats.org/drawingml/2006/main">
            <a:graphicData uri="http://schemas.openxmlformats.org/drawingml/2006/picture">
              <pic:pic xmlns:pic="http://schemas.openxmlformats.org/drawingml/2006/picture">
                <pic:nvPicPr>
                  <pic:cNvPr id="15" name="officeArt object"/>
                  <pic:cNvPicPr/>
                </pic:nvPicPr>
                <pic:blipFill>
                  <a:blip r:embed="rId3">
                    <a:extLst/>
                  </a:blip>
                  <a:stretch>
                    <a:fillRect/>
                  </a:stretch>
                </pic:blipFill>
                <pic:spPr>
                  <a:xfrm>
                    <a:off x="0" y="0"/>
                    <a:ext cx="1835150" cy="75438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478CA"/>
    <w:multiLevelType w:val="hybridMultilevel"/>
    <w:tmpl w:val="3684C8A0"/>
    <w:lvl w:ilvl="0" w:tplc="169CD462">
      <w:numFmt w:val="bullet"/>
      <w:lvlText w:val=""/>
      <w:lvlJc w:val="left"/>
      <w:pPr>
        <w:ind w:left="1080" w:hanging="360"/>
      </w:pPr>
      <w:rPr>
        <w:rFonts w:ascii="Symbol" w:eastAsiaTheme="minorHAnsi" w:hAnsi="Symbol" w:cstheme="minorHAns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034D5FE7"/>
    <w:multiLevelType w:val="hybridMultilevel"/>
    <w:tmpl w:val="4296FAFE"/>
    <w:lvl w:ilvl="0" w:tplc="192CF364">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7175AE3"/>
    <w:multiLevelType w:val="hybridMultilevel"/>
    <w:tmpl w:val="DD50DC5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9E859BE"/>
    <w:multiLevelType w:val="hybridMultilevel"/>
    <w:tmpl w:val="0B5AF95E"/>
    <w:lvl w:ilvl="0" w:tplc="A7DE9CA0">
      <w:start w:val="35"/>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0D068DE"/>
    <w:multiLevelType w:val="hybridMultilevel"/>
    <w:tmpl w:val="C5561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6B445AE"/>
    <w:multiLevelType w:val="hybridMultilevel"/>
    <w:tmpl w:val="4296FAFE"/>
    <w:lvl w:ilvl="0" w:tplc="192CF364">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95F2896"/>
    <w:multiLevelType w:val="hybridMultilevel"/>
    <w:tmpl w:val="F9C6CDF4"/>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nsid w:val="4D1A2136"/>
    <w:multiLevelType w:val="hybridMultilevel"/>
    <w:tmpl w:val="7FB00134"/>
    <w:lvl w:ilvl="0" w:tplc="0C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E0E2CA8"/>
    <w:multiLevelType w:val="hybridMultilevel"/>
    <w:tmpl w:val="CF268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4256C2"/>
    <w:multiLevelType w:val="hybridMultilevel"/>
    <w:tmpl w:val="44C6E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46D13A1"/>
    <w:multiLevelType w:val="hybridMultilevel"/>
    <w:tmpl w:val="D07848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572901E4"/>
    <w:multiLevelType w:val="hybridMultilevel"/>
    <w:tmpl w:val="408CB6DA"/>
    <w:lvl w:ilvl="0" w:tplc="296A0B42">
      <w:start w:val="1"/>
      <w:numFmt w:val="bullet"/>
      <w:lvlText w:val=""/>
      <w:lvlJc w:val="left"/>
      <w:pPr>
        <w:ind w:left="720" w:hanging="360"/>
      </w:pPr>
      <w:rPr>
        <w:rFonts w:ascii="Symbol" w:eastAsiaTheme="minorHAnsi" w:hAnsi="Symbol" w:cstheme="minorHAns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2CB463B"/>
    <w:multiLevelType w:val="hybridMultilevel"/>
    <w:tmpl w:val="F4C02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6"/>
  </w:num>
  <w:num w:numId="4">
    <w:abstractNumId w:val="1"/>
  </w:num>
  <w:num w:numId="5">
    <w:abstractNumId w:val="3"/>
  </w:num>
  <w:num w:numId="6">
    <w:abstractNumId w:val="5"/>
  </w:num>
  <w:num w:numId="7">
    <w:abstractNumId w:val="0"/>
  </w:num>
  <w:num w:numId="8">
    <w:abstractNumId w:val="10"/>
  </w:num>
  <w:num w:numId="9">
    <w:abstractNumId w:val="8"/>
  </w:num>
  <w:num w:numId="10">
    <w:abstractNumId w:val="2"/>
  </w:num>
  <w:num w:numId="11">
    <w:abstractNumId w:val="9"/>
  </w:num>
  <w:num w:numId="12">
    <w:abstractNumId w:val="4"/>
  </w:num>
  <w:num w:numId="1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CCD"/>
    <w:rsid w:val="0001633D"/>
    <w:rsid w:val="00021A07"/>
    <w:rsid w:val="000260F8"/>
    <w:rsid w:val="00036C4F"/>
    <w:rsid w:val="0004284B"/>
    <w:rsid w:val="00067602"/>
    <w:rsid w:val="000772AA"/>
    <w:rsid w:val="00084EBB"/>
    <w:rsid w:val="000A6D65"/>
    <w:rsid w:val="000B24E2"/>
    <w:rsid w:val="000B556F"/>
    <w:rsid w:val="000C047D"/>
    <w:rsid w:val="000C62B8"/>
    <w:rsid w:val="000D36A6"/>
    <w:rsid w:val="000E423D"/>
    <w:rsid w:val="000F306E"/>
    <w:rsid w:val="000F5A37"/>
    <w:rsid w:val="001037B7"/>
    <w:rsid w:val="00116C27"/>
    <w:rsid w:val="00117CB9"/>
    <w:rsid w:val="00134124"/>
    <w:rsid w:val="00140B7B"/>
    <w:rsid w:val="00171F51"/>
    <w:rsid w:val="0017412F"/>
    <w:rsid w:val="00193A38"/>
    <w:rsid w:val="00196C90"/>
    <w:rsid w:val="001A2236"/>
    <w:rsid w:val="001B0426"/>
    <w:rsid w:val="001C7A49"/>
    <w:rsid w:val="001D2ADB"/>
    <w:rsid w:val="001D3A63"/>
    <w:rsid w:val="001D7282"/>
    <w:rsid w:val="001E47BC"/>
    <w:rsid w:val="002101D3"/>
    <w:rsid w:val="002163E4"/>
    <w:rsid w:val="0022067E"/>
    <w:rsid w:val="00240E11"/>
    <w:rsid w:val="00245E73"/>
    <w:rsid w:val="002519B7"/>
    <w:rsid w:val="002759BC"/>
    <w:rsid w:val="00281263"/>
    <w:rsid w:val="00290F7B"/>
    <w:rsid w:val="002A0A1B"/>
    <w:rsid w:val="002A5867"/>
    <w:rsid w:val="002A75C6"/>
    <w:rsid w:val="002C0038"/>
    <w:rsid w:val="002D67AC"/>
    <w:rsid w:val="002F03A1"/>
    <w:rsid w:val="002F7AF0"/>
    <w:rsid w:val="00311D79"/>
    <w:rsid w:val="0031302F"/>
    <w:rsid w:val="0038027F"/>
    <w:rsid w:val="0038187C"/>
    <w:rsid w:val="00384AF0"/>
    <w:rsid w:val="003876BE"/>
    <w:rsid w:val="00404D32"/>
    <w:rsid w:val="00406B63"/>
    <w:rsid w:val="00424C9E"/>
    <w:rsid w:val="00425731"/>
    <w:rsid w:val="00444720"/>
    <w:rsid w:val="00452ADD"/>
    <w:rsid w:val="00473FDE"/>
    <w:rsid w:val="00477465"/>
    <w:rsid w:val="0048057A"/>
    <w:rsid w:val="004923CC"/>
    <w:rsid w:val="00493642"/>
    <w:rsid w:val="004A4E7B"/>
    <w:rsid w:val="004B38A7"/>
    <w:rsid w:val="004D3504"/>
    <w:rsid w:val="004E3946"/>
    <w:rsid w:val="005043A3"/>
    <w:rsid w:val="00521639"/>
    <w:rsid w:val="00525073"/>
    <w:rsid w:val="005257E5"/>
    <w:rsid w:val="005301CA"/>
    <w:rsid w:val="00540F81"/>
    <w:rsid w:val="0055742E"/>
    <w:rsid w:val="00574CF4"/>
    <w:rsid w:val="00595BB8"/>
    <w:rsid w:val="005B0EDE"/>
    <w:rsid w:val="005C4876"/>
    <w:rsid w:val="005E3C7D"/>
    <w:rsid w:val="005E6AA9"/>
    <w:rsid w:val="005F26E5"/>
    <w:rsid w:val="00601601"/>
    <w:rsid w:val="00602529"/>
    <w:rsid w:val="00604861"/>
    <w:rsid w:val="0061298D"/>
    <w:rsid w:val="00615B86"/>
    <w:rsid w:val="00623F00"/>
    <w:rsid w:val="0063381A"/>
    <w:rsid w:val="0064632B"/>
    <w:rsid w:val="00653037"/>
    <w:rsid w:val="006566E7"/>
    <w:rsid w:val="00664851"/>
    <w:rsid w:val="00677177"/>
    <w:rsid w:val="00690D6F"/>
    <w:rsid w:val="006A19D3"/>
    <w:rsid w:val="006B5A54"/>
    <w:rsid w:val="006B61CA"/>
    <w:rsid w:val="00701A45"/>
    <w:rsid w:val="00707D23"/>
    <w:rsid w:val="00716B6A"/>
    <w:rsid w:val="00726B4A"/>
    <w:rsid w:val="007512D7"/>
    <w:rsid w:val="007665B0"/>
    <w:rsid w:val="007739B3"/>
    <w:rsid w:val="00777224"/>
    <w:rsid w:val="007A3423"/>
    <w:rsid w:val="007A68C2"/>
    <w:rsid w:val="007B64DD"/>
    <w:rsid w:val="007B69C6"/>
    <w:rsid w:val="007C1595"/>
    <w:rsid w:val="007D4547"/>
    <w:rsid w:val="007E7780"/>
    <w:rsid w:val="007F3220"/>
    <w:rsid w:val="007F32B5"/>
    <w:rsid w:val="007F4BFD"/>
    <w:rsid w:val="008050B8"/>
    <w:rsid w:val="0081656A"/>
    <w:rsid w:val="00822FF8"/>
    <w:rsid w:val="008447F5"/>
    <w:rsid w:val="00852D75"/>
    <w:rsid w:val="008641A7"/>
    <w:rsid w:val="00865324"/>
    <w:rsid w:val="0087356A"/>
    <w:rsid w:val="008802E9"/>
    <w:rsid w:val="00882C31"/>
    <w:rsid w:val="00897583"/>
    <w:rsid w:val="008C0D80"/>
    <w:rsid w:val="008C4BE5"/>
    <w:rsid w:val="008D3F5D"/>
    <w:rsid w:val="008D6F16"/>
    <w:rsid w:val="008E0441"/>
    <w:rsid w:val="008E0469"/>
    <w:rsid w:val="008E7467"/>
    <w:rsid w:val="008F5140"/>
    <w:rsid w:val="008F79BF"/>
    <w:rsid w:val="00905CD5"/>
    <w:rsid w:val="009133CE"/>
    <w:rsid w:val="00924BE5"/>
    <w:rsid w:val="00931B44"/>
    <w:rsid w:val="0095293C"/>
    <w:rsid w:val="0095754A"/>
    <w:rsid w:val="009600BA"/>
    <w:rsid w:val="009744FA"/>
    <w:rsid w:val="00976E97"/>
    <w:rsid w:val="009B6160"/>
    <w:rsid w:val="009B77A7"/>
    <w:rsid w:val="009E3ABC"/>
    <w:rsid w:val="009F3C0C"/>
    <w:rsid w:val="00A04EAD"/>
    <w:rsid w:val="00A071C5"/>
    <w:rsid w:val="00A10FC1"/>
    <w:rsid w:val="00A12CA4"/>
    <w:rsid w:val="00A22817"/>
    <w:rsid w:val="00A26907"/>
    <w:rsid w:val="00A45A39"/>
    <w:rsid w:val="00A473DB"/>
    <w:rsid w:val="00A5148D"/>
    <w:rsid w:val="00A525B4"/>
    <w:rsid w:val="00A6363E"/>
    <w:rsid w:val="00A715B4"/>
    <w:rsid w:val="00A719B5"/>
    <w:rsid w:val="00A73BB2"/>
    <w:rsid w:val="00A81365"/>
    <w:rsid w:val="00A86F96"/>
    <w:rsid w:val="00A94533"/>
    <w:rsid w:val="00A96A8E"/>
    <w:rsid w:val="00AA484C"/>
    <w:rsid w:val="00AB2941"/>
    <w:rsid w:val="00AB5342"/>
    <w:rsid w:val="00AB697B"/>
    <w:rsid w:val="00AC6CFA"/>
    <w:rsid w:val="00AD4F4B"/>
    <w:rsid w:val="00AE5CCD"/>
    <w:rsid w:val="00AF7A8E"/>
    <w:rsid w:val="00B15976"/>
    <w:rsid w:val="00B42FE8"/>
    <w:rsid w:val="00B56BC9"/>
    <w:rsid w:val="00B60A3B"/>
    <w:rsid w:val="00B72A18"/>
    <w:rsid w:val="00B72B24"/>
    <w:rsid w:val="00B77070"/>
    <w:rsid w:val="00BB45C8"/>
    <w:rsid w:val="00BC77BB"/>
    <w:rsid w:val="00BE2256"/>
    <w:rsid w:val="00BE4A29"/>
    <w:rsid w:val="00C05CDF"/>
    <w:rsid w:val="00C170D3"/>
    <w:rsid w:val="00C24582"/>
    <w:rsid w:val="00C32D93"/>
    <w:rsid w:val="00C766F9"/>
    <w:rsid w:val="00C87922"/>
    <w:rsid w:val="00CA38F6"/>
    <w:rsid w:val="00CA44E5"/>
    <w:rsid w:val="00CB33B3"/>
    <w:rsid w:val="00CB38C0"/>
    <w:rsid w:val="00CB6480"/>
    <w:rsid w:val="00CE4588"/>
    <w:rsid w:val="00D06C79"/>
    <w:rsid w:val="00D53C36"/>
    <w:rsid w:val="00D554C3"/>
    <w:rsid w:val="00D607E7"/>
    <w:rsid w:val="00D73C24"/>
    <w:rsid w:val="00D76B8B"/>
    <w:rsid w:val="00D83F83"/>
    <w:rsid w:val="00DA34D1"/>
    <w:rsid w:val="00DB59C8"/>
    <w:rsid w:val="00DD02DC"/>
    <w:rsid w:val="00DF08F7"/>
    <w:rsid w:val="00DF17CD"/>
    <w:rsid w:val="00DF2377"/>
    <w:rsid w:val="00E00728"/>
    <w:rsid w:val="00E04D88"/>
    <w:rsid w:val="00E15E2B"/>
    <w:rsid w:val="00E33180"/>
    <w:rsid w:val="00E42462"/>
    <w:rsid w:val="00E66783"/>
    <w:rsid w:val="00E66F30"/>
    <w:rsid w:val="00E7239A"/>
    <w:rsid w:val="00E81549"/>
    <w:rsid w:val="00EA2B1A"/>
    <w:rsid w:val="00ED1488"/>
    <w:rsid w:val="00ED245A"/>
    <w:rsid w:val="00F013DA"/>
    <w:rsid w:val="00F0205A"/>
    <w:rsid w:val="00F03875"/>
    <w:rsid w:val="00F114F5"/>
    <w:rsid w:val="00F11A65"/>
    <w:rsid w:val="00F4540D"/>
    <w:rsid w:val="00F505EA"/>
    <w:rsid w:val="00F52A9A"/>
    <w:rsid w:val="00F54E87"/>
    <w:rsid w:val="00F57D52"/>
    <w:rsid w:val="00F57EE8"/>
    <w:rsid w:val="00F70B08"/>
    <w:rsid w:val="00F75F70"/>
    <w:rsid w:val="00F82510"/>
    <w:rsid w:val="00F864B8"/>
    <w:rsid w:val="00FA20B2"/>
    <w:rsid w:val="00FA28FA"/>
    <w:rsid w:val="00FB31A2"/>
    <w:rsid w:val="00FB713F"/>
    <w:rsid w:val="00FD376C"/>
    <w:rsid w:val="00FD4D3E"/>
    <w:rsid w:val="00FE100A"/>
    <w:rsid w:val="00FE1AB5"/>
    <w:rsid w:val="00FE4373"/>
    <w:rsid w:val="00FE680F"/>
    <w:rsid w:val="00FF262D"/>
    <w:rsid w:val="00FF4C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C443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5B4"/>
    <w:rPr>
      <w:rFonts w:asciiTheme="minorHAnsi" w:eastAsiaTheme="minorHAnsi" w:hAnsiTheme="minorHAnsi" w:cstheme="minorBidi"/>
      <w:sz w:val="24"/>
      <w:szCs w:val="24"/>
      <w:lang w:val="en-US" w:eastAsia="en-US"/>
    </w:rPr>
  </w:style>
  <w:style w:type="paragraph" w:styleId="Heading1">
    <w:name w:val="heading 1"/>
    <w:basedOn w:val="Normal"/>
    <w:next w:val="Normal"/>
    <w:link w:val="Heading1Char"/>
    <w:uiPriority w:val="9"/>
    <w:qFormat/>
    <w:rsid w:val="00AC6C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37181B"/>
    <w:pPr>
      <w:keepNext/>
      <w:spacing w:before="240" w:after="60"/>
      <w:outlineLvl w:val="1"/>
    </w:pPr>
    <w:rPr>
      <w:rFonts w:cs="Arial"/>
      <w:b/>
      <w:bCs/>
      <w:iCs/>
      <w:caps/>
      <w:sz w:val="32"/>
      <w:szCs w:val="28"/>
    </w:rPr>
  </w:style>
  <w:style w:type="paragraph" w:styleId="Heading3">
    <w:name w:val="heading 3"/>
    <w:basedOn w:val="Normal"/>
    <w:next w:val="Normal"/>
    <w:qFormat/>
    <w:rsid w:val="0037181B"/>
    <w:pPr>
      <w:keepNext/>
      <w:spacing w:before="240" w:after="60"/>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sid w:val="0037181B"/>
    <w:rPr>
      <w:rFonts w:ascii="Trebuchet MS" w:hAnsi="Trebuchet MS" w:cs="Arial"/>
      <w:b/>
      <w:bCs/>
      <w:iCs/>
      <w:caps/>
      <w:sz w:val="28"/>
      <w:lang w:val="en-US" w:eastAsia="en-US"/>
    </w:rPr>
  </w:style>
  <w:style w:type="character" w:customStyle="1" w:styleId="Heading3Char">
    <w:name w:val="Heading 3 Char"/>
    <w:basedOn w:val="DefaultParagraphFont"/>
    <w:rsid w:val="0037181B"/>
    <w:rPr>
      <w:rFonts w:ascii="Trebuchet MS" w:hAnsi="Trebuchet MS" w:cs="Arial"/>
      <w:b/>
      <w:bCs/>
      <w:sz w:val="26"/>
      <w:lang w:val="en-US" w:eastAsia="en-US"/>
    </w:rPr>
  </w:style>
  <w:style w:type="paragraph" w:styleId="Header">
    <w:name w:val="header"/>
    <w:basedOn w:val="Normal"/>
    <w:rsid w:val="0037181B"/>
    <w:pPr>
      <w:tabs>
        <w:tab w:val="center" w:pos="4513"/>
        <w:tab w:val="right" w:pos="9026"/>
      </w:tabs>
    </w:pPr>
  </w:style>
  <w:style w:type="character" w:customStyle="1" w:styleId="HeaderChar">
    <w:name w:val="Header Char"/>
    <w:basedOn w:val="DefaultParagraphFont"/>
    <w:rsid w:val="0037181B"/>
    <w:rPr>
      <w:rFonts w:ascii="Trebuchet MS" w:hAnsi="Trebuchet MS" w:cs="Times New Roman"/>
      <w:sz w:val="24"/>
      <w:lang w:val="en-US" w:eastAsia="x-none"/>
    </w:rPr>
  </w:style>
  <w:style w:type="paragraph" w:styleId="Footer">
    <w:name w:val="footer"/>
    <w:basedOn w:val="Normal"/>
    <w:uiPriority w:val="99"/>
    <w:rsid w:val="0037181B"/>
    <w:pPr>
      <w:tabs>
        <w:tab w:val="center" w:pos="4513"/>
        <w:tab w:val="right" w:pos="9026"/>
      </w:tabs>
    </w:pPr>
  </w:style>
  <w:style w:type="character" w:customStyle="1" w:styleId="FooterChar">
    <w:name w:val="Footer Char"/>
    <w:basedOn w:val="DefaultParagraphFont"/>
    <w:uiPriority w:val="99"/>
    <w:rsid w:val="0037181B"/>
    <w:rPr>
      <w:rFonts w:ascii="Trebuchet MS" w:hAnsi="Trebuchet MS" w:cs="Times New Roman"/>
      <w:sz w:val="24"/>
      <w:lang w:val="en-US" w:eastAsia="x-none"/>
    </w:rPr>
  </w:style>
  <w:style w:type="paragraph" w:styleId="BalloonText">
    <w:name w:val="Balloon Text"/>
    <w:basedOn w:val="Normal"/>
    <w:semiHidden/>
    <w:rsid w:val="0037181B"/>
    <w:rPr>
      <w:rFonts w:ascii="Tahoma" w:hAnsi="Tahoma" w:cs="Tahoma"/>
      <w:sz w:val="16"/>
      <w:szCs w:val="16"/>
    </w:rPr>
  </w:style>
  <w:style w:type="character" w:customStyle="1" w:styleId="BalloonTextChar">
    <w:name w:val="Balloon Text Char"/>
    <w:basedOn w:val="DefaultParagraphFont"/>
    <w:semiHidden/>
    <w:rsid w:val="0037181B"/>
    <w:rPr>
      <w:rFonts w:ascii="Tahoma" w:hAnsi="Tahoma" w:cs="Tahoma"/>
      <w:sz w:val="16"/>
      <w:lang w:val="en-US" w:eastAsia="x-none"/>
    </w:rPr>
  </w:style>
  <w:style w:type="paragraph" w:customStyle="1" w:styleId="BasicParagraph">
    <w:name w:val="[Basic Paragraph]"/>
    <w:basedOn w:val="Normal"/>
    <w:rsid w:val="00731CFC"/>
    <w:pPr>
      <w:widowControl w:val="0"/>
      <w:autoSpaceDE w:val="0"/>
      <w:autoSpaceDN w:val="0"/>
      <w:adjustRightInd w:val="0"/>
      <w:spacing w:line="288" w:lineRule="auto"/>
      <w:textAlignment w:val="center"/>
    </w:pPr>
    <w:rPr>
      <w:rFonts w:ascii="Times-Roman" w:eastAsia="Times New Roman" w:hAnsi="Times-Roman" w:cs="Times-Roman"/>
      <w:color w:val="000000"/>
      <w:lang w:val="en-GB"/>
    </w:rPr>
  </w:style>
  <w:style w:type="paragraph" w:customStyle="1" w:styleId="NoParagraphStyle">
    <w:name w:val="[No Paragraph Style]"/>
    <w:rsid w:val="00731CFC"/>
    <w:pPr>
      <w:widowControl w:val="0"/>
      <w:autoSpaceDE w:val="0"/>
      <w:autoSpaceDN w:val="0"/>
      <w:adjustRightInd w:val="0"/>
      <w:spacing w:line="288" w:lineRule="auto"/>
      <w:textAlignment w:val="center"/>
    </w:pPr>
    <w:rPr>
      <w:rFonts w:ascii="Times-Roman" w:eastAsia="Times New Roman" w:hAnsi="Times-Roman" w:cs="Times-Roman"/>
      <w:color w:val="000000"/>
      <w:sz w:val="24"/>
      <w:szCs w:val="24"/>
      <w:lang w:val="en-GB" w:eastAsia="en-US" w:bidi="en-US"/>
    </w:rPr>
  </w:style>
  <w:style w:type="character" w:customStyle="1" w:styleId="1Name">
    <w:name w:val="1 Name"/>
    <w:rsid w:val="00731CFC"/>
    <w:rPr>
      <w:rFonts w:ascii="AmplitudeCond-Bold" w:hAnsi="AmplitudeCond-Bold"/>
      <w:b/>
      <w:color w:val="96FF38"/>
      <w:spacing w:val="2"/>
      <w:sz w:val="20"/>
      <w:lang w:val="en-GB" w:eastAsia="x-none"/>
    </w:rPr>
  </w:style>
  <w:style w:type="paragraph" w:customStyle="1" w:styleId="Default">
    <w:name w:val="Default"/>
    <w:rsid w:val="00AE5CCD"/>
    <w:pPr>
      <w:autoSpaceDE w:val="0"/>
      <w:autoSpaceDN w:val="0"/>
      <w:adjustRightInd w:val="0"/>
    </w:pPr>
    <w:rPr>
      <w:rFonts w:cs="Calibri"/>
      <w:color w:val="000000"/>
      <w:sz w:val="24"/>
      <w:szCs w:val="24"/>
    </w:rPr>
  </w:style>
  <w:style w:type="paragraph" w:styleId="NormalWeb">
    <w:name w:val="Normal (Web)"/>
    <w:basedOn w:val="Normal"/>
    <w:uiPriority w:val="99"/>
    <w:unhideWhenUsed/>
    <w:rsid w:val="00AE5CCD"/>
    <w:pPr>
      <w:spacing w:before="100" w:beforeAutospacing="1" w:after="100" w:afterAutospacing="1"/>
    </w:pPr>
    <w:rPr>
      <w:rFonts w:ascii="Times New Roman" w:eastAsia="Times New Roman" w:hAnsi="Times New Roman"/>
      <w:lang w:val="en-AU" w:eastAsia="en-AU"/>
    </w:rPr>
  </w:style>
  <w:style w:type="paragraph" w:styleId="ListParagraph">
    <w:name w:val="List Paragraph"/>
    <w:basedOn w:val="Normal"/>
    <w:uiPriority w:val="34"/>
    <w:qFormat/>
    <w:rsid w:val="00AE5CCD"/>
    <w:pPr>
      <w:ind w:left="720"/>
      <w:contextualSpacing/>
    </w:pPr>
  </w:style>
  <w:style w:type="paragraph" w:styleId="NoSpacing">
    <w:name w:val="No Spacing"/>
    <w:uiPriority w:val="1"/>
    <w:qFormat/>
    <w:rsid w:val="00AE5CCD"/>
    <w:rPr>
      <w:rFonts w:asciiTheme="minorHAnsi" w:eastAsiaTheme="minorHAnsi" w:hAnsiTheme="minorHAnsi" w:cstheme="minorBidi"/>
      <w:sz w:val="22"/>
      <w:szCs w:val="22"/>
      <w:lang w:eastAsia="en-US"/>
    </w:rPr>
  </w:style>
  <w:style w:type="paragraph" w:styleId="FootnoteText">
    <w:name w:val="footnote text"/>
    <w:basedOn w:val="Normal"/>
    <w:link w:val="FootnoteTextChar"/>
    <w:uiPriority w:val="99"/>
    <w:unhideWhenUsed/>
    <w:rsid w:val="00A525B4"/>
  </w:style>
  <w:style w:type="character" w:customStyle="1" w:styleId="FootnoteTextChar">
    <w:name w:val="Footnote Text Char"/>
    <w:basedOn w:val="DefaultParagraphFont"/>
    <w:link w:val="FootnoteText"/>
    <w:uiPriority w:val="99"/>
    <w:rsid w:val="00A525B4"/>
    <w:rPr>
      <w:rFonts w:asciiTheme="minorHAnsi" w:eastAsiaTheme="minorHAnsi" w:hAnsiTheme="minorHAnsi" w:cstheme="minorBidi"/>
      <w:sz w:val="24"/>
      <w:szCs w:val="24"/>
      <w:lang w:val="en-US" w:eastAsia="en-US"/>
    </w:rPr>
  </w:style>
  <w:style w:type="character" w:styleId="FootnoteReference">
    <w:name w:val="footnote reference"/>
    <w:basedOn w:val="DefaultParagraphFont"/>
    <w:uiPriority w:val="99"/>
    <w:unhideWhenUsed/>
    <w:rsid w:val="00A525B4"/>
    <w:rPr>
      <w:vertAlign w:val="superscript"/>
    </w:rPr>
  </w:style>
  <w:style w:type="character" w:styleId="Hyperlink">
    <w:name w:val="Hyperlink"/>
    <w:basedOn w:val="DefaultParagraphFont"/>
    <w:uiPriority w:val="99"/>
    <w:unhideWhenUsed/>
    <w:rsid w:val="00A525B4"/>
    <w:rPr>
      <w:color w:val="0000FF" w:themeColor="hyperlink"/>
      <w:u w:val="single"/>
    </w:rPr>
  </w:style>
  <w:style w:type="paragraph" w:customStyle="1" w:styleId="Body1">
    <w:name w:val="Body 1"/>
    <w:rsid w:val="0095293C"/>
    <w:pPr>
      <w:outlineLvl w:val="0"/>
    </w:pPr>
    <w:rPr>
      <w:rFonts w:ascii="Helvetica" w:eastAsia="Arial Unicode MS" w:hAnsi="Helvetica"/>
      <w:color w:val="000000"/>
      <w:sz w:val="24"/>
      <w:u w:color="000000"/>
    </w:rPr>
  </w:style>
  <w:style w:type="character" w:customStyle="1" w:styleId="Heading1Char">
    <w:name w:val="Heading 1 Char"/>
    <w:basedOn w:val="DefaultParagraphFont"/>
    <w:link w:val="Heading1"/>
    <w:uiPriority w:val="9"/>
    <w:rsid w:val="00AC6CFA"/>
    <w:rPr>
      <w:rFonts w:asciiTheme="majorHAnsi" w:eastAsiaTheme="majorEastAsia" w:hAnsiTheme="majorHAnsi" w:cstheme="majorBidi"/>
      <w:b/>
      <w:bCs/>
      <w:color w:val="365F91" w:themeColor="accent1" w:themeShade="BF"/>
      <w:sz w:val="28"/>
      <w:szCs w:val="28"/>
      <w:lang w:val="en-US" w:eastAsia="en-US"/>
    </w:rPr>
  </w:style>
  <w:style w:type="character" w:styleId="FollowedHyperlink">
    <w:name w:val="FollowedHyperlink"/>
    <w:basedOn w:val="DefaultParagraphFont"/>
    <w:uiPriority w:val="99"/>
    <w:semiHidden/>
    <w:unhideWhenUsed/>
    <w:rsid w:val="00AC6CFA"/>
    <w:rPr>
      <w:color w:val="800080" w:themeColor="followedHyperlink"/>
      <w:u w:val="single"/>
    </w:rPr>
  </w:style>
  <w:style w:type="character" w:styleId="CommentReference">
    <w:name w:val="annotation reference"/>
    <w:basedOn w:val="DefaultParagraphFont"/>
    <w:uiPriority w:val="99"/>
    <w:semiHidden/>
    <w:unhideWhenUsed/>
    <w:rsid w:val="00905CD5"/>
    <w:rPr>
      <w:sz w:val="16"/>
      <w:szCs w:val="16"/>
    </w:rPr>
  </w:style>
  <w:style w:type="paragraph" w:styleId="CommentText">
    <w:name w:val="annotation text"/>
    <w:basedOn w:val="Normal"/>
    <w:link w:val="CommentTextChar"/>
    <w:uiPriority w:val="99"/>
    <w:semiHidden/>
    <w:unhideWhenUsed/>
    <w:rsid w:val="00905CD5"/>
    <w:rPr>
      <w:sz w:val="20"/>
      <w:szCs w:val="20"/>
    </w:rPr>
  </w:style>
  <w:style w:type="character" w:customStyle="1" w:styleId="CommentTextChar">
    <w:name w:val="Comment Text Char"/>
    <w:basedOn w:val="DefaultParagraphFont"/>
    <w:link w:val="CommentText"/>
    <w:uiPriority w:val="99"/>
    <w:semiHidden/>
    <w:rsid w:val="00905CD5"/>
    <w:rPr>
      <w:rFonts w:asciiTheme="minorHAnsi" w:eastAsiaTheme="minorHAnsi" w:hAnsiTheme="minorHAnsi" w:cstheme="minorBidi"/>
      <w:lang w:val="en-US" w:eastAsia="en-US"/>
    </w:rPr>
  </w:style>
  <w:style w:type="paragraph" w:styleId="CommentSubject">
    <w:name w:val="annotation subject"/>
    <w:basedOn w:val="CommentText"/>
    <w:next w:val="CommentText"/>
    <w:link w:val="CommentSubjectChar"/>
    <w:uiPriority w:val="99"/>
    <w:semiHidden/>
    <w:unhideWhenUsed/>
    <w:rsid w:val="00905CD5"/>
    <w:rPr>
      <w:b/>
      <w:bCs/>
    </w:rPr>
  </w:style>
  <w:style w:type="character" w:customStyle="1" w:styleId="CommentSubjectChar">
    <w:name w:val="Comment Subject Char"/>
    <w:basedOn w:val="CommentTextChar"/>
    <w:link w:val="CommentSubject"/>
    <w:uiPriority w:val="99"/>
    <w:semiHidden/>
    <w:rsid w:val="00905CD5"/>
    <w:rPr>
      <w:rFonts w:asciiTheme="minorHAnsi" w:eastAsiaTheme="minorHAnsi" w:hAnsiTheme="minorHAnsi" w:cstheme="minorBidi"/>
      <w:b/>
      <w:bCs/>
      <w:lang w:val="en-US" w:eastAsia="en-US"/>
    </w:rPr>
  </w:style>
  <w:style w:type="table" w:styleId="TableGrid">
    <w:name w:val="Table Grid"/>
    <w:basedOn w:val="TableNormal"/>
    <w:uiPriority w:val="39"/>
    <w:rsid w:val="000F3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F03A1"/>
    <w:rPr>
      <w:color w:val="808080"/>
      <w:shd w:val="clear" w:color="auto" w:fill="E6E6E6"/>
    </w:rPr>
  </w:style>
  <w:style w:type="character" w:customStyle="1" w:styleId="UnresolvedMention">
    <w:name w:val="Unresolved Mention"/>
    <w:basedOn w:val="DefaultParagraphFont"/>
    <w:uiPriority w:val="99"/>
    <w:semiHidden/>
    <w:unhideWhenUsed/>
    <w:rsid w:val="00D76B8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5B4"/>
    <w:rPr>
      <w:rFonts w:asciiTheme="minorHAnsi" w:eastAsiaTheme="minorHAnsi" w:hAnsiTheme="minorHAnsi" w:cstheme="minorBidi"/>
      <w:sz w:val="24"/>
      <w:szCs w:val="24"/>
      <w:lang w:val="en-US" w:eastAsia="en-US"/>
    </w:rPr>
  </w:style>
  <w:style w:type="paragraph" w:styleId="Heading1">
    <w:name w:val="heading 1"/>
    <w:basedOn w:val="Normal"/>
    <w:next w:val="Normal"/>
    <w:link w:val="Heading1Char"/>
    <w:uiPriority w:val="9"/>
    <w:qFormat/>
    <w:rsid w:val="00AC6C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37181B"/>
    <w:pPr>
      <w:keepNext/>
      <w:spacing w:before="240" w:after="60"/>
      <w:outlineLvl w:val="1"/>
    </w:pPr>
    <w:rPr>
      <w:rFonts w:cs="Arial"/>
      <w:b/>
      <w:bCs/>
      <w:iCs/>
      <w:caps/>
      <w:sz w:val="32"/>
      <w:szCs w:val="28"/>
    </w:rPr>
  </w:style>
  <w:style w:type="paragraph" w:styleId="Heading3">
    <w:name w:val="heading 3"/>
    <w:basedOn w:val="Normal"/>
    <w:next w:val="Normal"/>
    <w:qFormat/>
    <w:rsid w:val="0037181B"/>
    <w:pPr>
      <w:keepNext/>
      <w:spacing w:before="240" w:after="60"/>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sid w:val="0037181B"/>
    <w:rPr>
      <w:rFonts w:ascii="Trebuchet MS" w:hAnsi="Trebuchet MS" w:cs="Arial"/>
      <w:b/>
      <w:bCs/>
      <w:iCs/>
      <w:caps/>
      <w:sz w:val="28"/>
      <w:lang w:val="en-US" w:eastAsia="en-US"/>
    </w:rPr>
  </w:style>
  <w:style w:type="character" w:customStyle="1" w:styleId="Heading3Char">
    <w:name w:val="Heading 3 Char"/>
    <w:basedOn w:val="DefaultParagraphFont"/>
    <w:rsid w:val="0037181B"/>
    <w:rPr>
      <w:rFonts w:ascii="Trebuchet MS" w:hAnsi="Trebuchet MS" w:cs="Arial"/>
      <w:b/>
      <w:bCs/>
      <w:sz w:val="26"/>
      <w:lang w:val="en-US" w:eastAsia="en-US"/>
    </w:rPr>
  </w:style>
  <w:style w:type="paragraph" w:styleId="Header">
    <w:name w:val="header"/>
    <w:basedOn w:val="Normal"/>
    <w:rsid w:val="0037181B"/>
    <w:pPr>
      <w:tabs>
        <w:tab w:val="center" w:pos="4513"/>
        <w:tab w:val="right" w:pos="9026"/>
      </w:tabs>
    </w:pPr>
  </w:style>
  <w:style w:type="character" w:customStyle="1" w:styleId="HeaderChar">
    <w:name w:val="Header Char"/>
    <w:basedOn w:val="DefaultParagraphFont"/>
    <w:rsid w:val="0037181B"/>
    <w:rPr>
      <w:rFonts w:ascii="Trebuchet MS" w:hAnsi="Trebuchet MS" w:cs="Times New Roman"/>
      <w:sz w:val="24"/>
      <w:lang w:val="en-US" w:eastAsia="x-none"/>
    </w:rPr>
  </w:style>
  <w:style w:type="paragraph" w:styleId="Footer">
    <w:name w:val="footer"/>
    <w:basedOn w:val="Normal"/>
    <w:uiPriority w:val="99"/>
    <w:rsid w:val="0037181B"/>
    <w:pPr>
      <w:tabs>
        <w:tab w:val="center" w:pos="4513"/>
        <w:tab w:val="right" w:pos="9026"/>
      </w:tabs>
    </w:pPr>
  </w:style>
  <w:style w:type="character" w:customStyle="1" w:styleId="FooterChar">
    <w:name w:val="Footer Char"/>
    <w:basedOn w:val="DefaultParagraphFont"/>
    <w:uiPriority w:val="99"/>
    <w:rsid w:val="0037181B"/>
    <w:rPr>
      <w:rFonts w:ascii="Trebuchet MS" w:hAnsi="Trebuchet MS" w:cs="Times New Roman"/>
      <w:sz w:val="24"/>
      <w:lang w:val="en-US" w:eastAsia="x-none"/>
    </w:rPr>
  </w:style>
  <w:style w:type="paragraph" w:styleId="BalloonText">
    <w:name w:val="Balloon Text"/>
    <w:basedOn w:val="Normal"/>
    <w:semiHidden/>
    <w:rsid w:val="0037181B"/>
    <w:rPr>
      <w:rFonts w:ascii="Tahoma" w:hAnsi="Tahoma" w:cs="Tahoma"/>
      <w:sz w:val="16"/>
      <w:szCs w:val="16"/>
    </w:rPr>
  </w:style>
  <w:style w:type="character" w:customStyle="1" w:styleId="BalloonTextChar">
    <w:name w:val="Balloon Text Char"/>
    <w:basedOn w:val="DefaultParagraphFont"/>
    <w:semiHidden/>
    <w:rsid w:val="0037181B"/>
    <w:rPr>
      <w:rFonts w:ascii="Tahoma" w:hAnsi="Tahoma" w:cs="Tahoma"/>
      <w:sz w:val="16"/>
      <w:lang w:val="en-US" w:eastAsia="x-none"/>
    </w:rPr>
  </w:style>
  <w:style w:type="paragraph" w:customStyle="1" w:styleId="BasicParagraph">
    <w:name w:val="[Basic Paragraph]"/>
    <w:basedOn w:val="Normal"/>
    <w:rsid w:val="00731CFC"/>
    <w:pPr>
      <w:widowControl w:val="0"/>
      <w:autoSpaceDE w:val="0"/>
      <w:autoSpaceDN w:val="0"/>
      <w:adjustRightInd w:val="0"/>
      <w:spacing w:line="288" w:lineRule="auto"/>
      <w:textAlignment w:val="center"/>
    </w:pPr>
    <w:rPr>
      <w:rFonts w:ascii="Times-Roman" w:eastAsia="Times New Roman" w:hAnsi="Times-Roman" w:cs="Times-Roman"/>
      <w:color w:val="000000"/>
      <w:lang w:val="en-GB"/>
    </w:rPr>
  </w:style>
  <w:style w:type="paragraph" w:customStyle="1" w:styleId="NoParagraphStyle">
    <w:name w:val="[No Paragraph Style]"/>
    <w:rsid w:val="00731CFC"/>
    <w:pPr>
      <w:widowControl w:val="0"/>
      <w:autoSpaceDE w:val="0"/>
      <w:autoSpaceDN w:val="0"/>
      <w:adjustRightInd w:val="0"/>
      <w:spacing w:line="288" w:lineRule="auto"/>
      <w:textAlignment w:val="center"/>
    </w:pPr>
    <w:rPr>
      <w:rFonts w:ascii="Times-Roman" w:eastAsia="Times New Roman" w:hAnsi="Times-Roman" w:cs="Times-Roman"/>
      <w:color w:val="000000"/>
      <w:sz w:val="24"/>
      <w:szCs w:val="24"/>
      <w:lang w:val="en-GB" w:eastAsia="en-US" w:bidi="en-US"/>
    </w:rPr>
  </w:style>
  <w:style w:type="character" w:customStyle="1" w:styleId="1Name">
    <w:name w:val="1 Name"/>
    <w:rsid w:val="00731CFC"/>
    <w:rPr>
      <w:rFonts w:ascii="AmplitudeCond-Bold" w:hAnsi="AmplitudeCond-Bold"/>
      <w:b/>
      <w:color w:val="96FF38"/>
      <w:spacing w:val="2"/>
      <w:sz w:val="20"/>
      <w:lang w:val="en-GB" w:eastAsia="x-none"/>
    </w:rPr>
  </w:style>
  <w:style w:type="paragraph" w:customStyle="1" w:styleId="Default">
    <w:name w:val="Default"/>
    <w:rsid w:val="00AE5CCD"/>
    <w:pPr>
      <w:autoSpaceDE w:val="0"/>
      <w:autoSpaceDN w:val="0"/>
      <w:adjustRightInd w:val="0"/>
    </w:pPr>
    <w:rPr>
      <w:rFonts w:cs="Calibri"/>
      <w:color w:val="000000"/>
      <w:sz w:val="24"/>
      <w:szCs w:val="24"/>
    </w:rPr>
  </w:style>
  <w:style w:type="paragraph" w:styleId="NormalWeb">
    <w:name w:val="Normal (Web)"/>
    <w:basedOn w:val="Normal"/>
    <w:uiPriority w:val="99"/>
    <w:unhideWhenUsed/>
    <w:rsid w:val="00AE5CCD"/>
    <w:pPr>
      <w:spacing w:before="100" w:beforeAutospacing="1" w:after="100" w:afterAutospacing="1"/>
    </w:pPr>
    <w:rPr>
      <w:rFonts w:ascii="Times New Roman" w:eastAsia="Times New Roman" w:hAnsi="Times New Roman"/>
      <w:lang w:val="en-AU" w:eastAsia="en-AU"/>
    </w:rPr>
  </w:style>
  <w:style w:type="paragraph" w:styleId="ListParagraph">
    <w:name w:val="List Paragraph"/>
    <w:basedOn w:val="Normal"/>
    <w:uiPriority w:val="34"/>
    <w:qFormat/>
    <w:rsid w:val="00AE5CCD"/>
    <w:pPr>
      <w:ind w:left="720"/>
      <w:contextualSpacing/>
    </w:pPr>
  </w:style>
  <w:style w:type="paragraph" w:styleId="NoSpacing">
    <w:name w:val="No Spacing"/>
    <w:uiPriority w:val="1"/>
    <w:qFormat/>
    <w:rsid w:val="00AE5CCD"/>
    <w:rPr>
      <w:rFonts w:asciiTheme="minorHAnsi" w:eastAsiaTheme="minorHAnsi" w:hAnsiTheme="minorHAnsi" w:cstheme="minorBidi"/>
      <w:sz w:val="22"/>
      <w:szCs w:val="22"/>
      <w:lang w:eastAsia="en-US"/>
    </w:rPr>
  </w:style>
  <w:style w:type="paragraph" w:styleId="FootnoteText">
    <w:name w:val="footnote text"/>
    <w:basedOn w:val="Normal"/>
    <w:link w:val="FootnoteTextChar"/>
    <w:uiPriority w:val="99"/>
    <w:unhideWhenUsed/>
    <w:rsid w:val="00A525B4"/>
  </w:style>
  <w:style w:type="character" w:customStyle="1" w:styleId="FootnoteTextChar">
    <w:name w:val="Footnote Text Char"/>
    <w:basedOn w:val="DefaultParagraphFont"/>
    <w:link w:val="FootnoteText"/>
    <w:uiPriority w:val="99"/>
    <w:rsid w:val="00A525B4"/>
    <w:rPr>
      <w:rFonts w:asciiTheme="minorHAnsi" w:eastAsiaTheme="minorHAnsi" w:hAnsiTheme="minorHAnsi" w:cstheme="minorBidi"/>
      <w:sz w:val="24"/>
      <w:szCs w:val="24"/>
      <w:lang w:val="en-US" w:eastAsia="en-US"/>
    </w:rPr>
  </w:style>
  <w:style w:type="character" w:styleId="FootnoteReference">
    <w:name w:val="footnote reference"/>
    <w:basedOn w:val="DefaultParagraphFont"/>
    <w:uiPriority w:val="99"/>
    <w:unhideWhenUsed/>
    <w:rsid w:val="00A525B4"/>
    <w:rPr>
      <w:vertAlign w:val="superscript"/>
    </w:rPr>
  </w:style>
  <w:style w:type="character" w:styleId="Hyperlink">
    <w:name w:val="Hyperlink"/>
    <w:basedOn w:val="DefaultParagraphFont"/>
    <w:uiPriority w:val="99"/>
    <w:unhideWhenUsed/>
    <w:rsid w:val="00A525B4"/>
    <w:rPr>
      <w:color w:val="0000FF" w:themeColor="hyperlink"/>
      <w:u w:val="single"/>
    </w:rPr>
  </w:style>
  <w:style w:type="paragraph" w:customStyle="1" w:styleId="Body1">
    <w:name w:val="Body 1"/>
    <w:rsid w:val="0095293C"/>
    <w:pPr>
      <w:outlineLvl w:val="0"/>
    </w:pPr>
    <w:rPr>
      <w:rFonts w:ascii="Helvetica" w:eastAsia="Arial Unicode MS" w:hAnsi="Helvetica"/>
      <w:color w:val="000000"/>
      <w:sz w:val="24"/>
      <w:u w:color="000000"/>
    </w:rPr>
  </w:style>
  <w:style w:type="character" w:customStyle="1" w:styleId="Heading1Char">
    <w:name w:val="Heading 1 Char"/>
    <w:basedOn w:val="DefaultParagraphFont"/>
    <w:link w:val="Heading1"/>
    <w:uiPriority w:val="9"/>
    <w:rsid w:val="00AC6CFA"/>
    <w:rPr>
      <w:rFonts w:asciiTheme="majorHAnsi" w:eastAsiaTheme="majorEastAsia" w:hAnsiTheme="majorHAnsi" w:cstheme="majorBidi"/>
      <w:b/>
      <w:bCs/>
      <w:color w:val="365F91" w:themeColor="accent1" w:themeShade="BF"/>
      <w:sz w:val="28"/>
      <w:szCs w:val="28"/>
      <w:lang w:val="en-US" w:eastAsia="en-US"/>
    </w:rPr>
  </w:style>
  <w:style w:type="character" w:styleId="FollowedHyperlink">
    <w:name w:val="FollowedHyperlink"/>
    <w:basedOn w:val="DefaultParagraphFont"/>
    <w:uiPriority w:val="99"/>
    <w:semiHidden/>
    <w:unhideWhenUsed/>
    <w:rsid w:val="00AC6CFA"/>
    <w:rPr>
      <w:color w:val="800080" w:themeColor="followedHyperlink"/>
      <w:u w:val="single"/>
    </w:rPr>
  </w:style>
  <w:style w:type="character" w:styleId="CommentReference">
    <w:name w:val="annotation reference"/>
    <w:basedOn w:val="DefaultParagraphFont"/>
    <w:uiPriority w:val="99"/>
    <w:semiHidden/>
    <w:unhideWhenUsed/>
    <w:rsid w:val="00905CD5"/>
    <w:rPr>
      <w:sz w:val="16"/>
      <w:szCs w:val="16"/>
    </w:rPr>
  </w:style>
  <w:style w:type="paragraph" w:styleId="CommentText">
    <w:name w:val="annotation text"/>
    <w:basedOn w:val="Normal"/>
    <w:link w:val="CommentTextChar"/>
    <w:uiPriority w:val="99"/>
    <w:semiHidden/>
    <w:unhideWhenUsed/>
    <w:rsid w:val="00905CD5"/>
    <w:rPr>
      <w:sz w:val="20"/>
      <w:szCs w:val="20"/>
    </w:rPr>
  </w:style>
  <w:style w:type="character" w:customStyle="1" w:styleId="CommentTextChar">
    <w:name w:val="Comment Text Char"/>
    <w:basedOn w:val="DefaultParagraphFont"/>
    <w:link w:val="CommentText"/>
    <w:uiPriority w:val="99"/>
    <w:semiHidden/>
    <w:rsid w:val="00905CD5"/>
    <w:rPr>
      <w:rFonts w:asciiTheme="minorHAnsi" w:eastAsiaTheme="minorHAnsi" w:hAnsiTheme="minorHAnsi" w:cstheme="minorBidi"/>
      <w:lang w:val="en-US" w:eastAsia="en-US"/>
    </w:rPr>
  </w:style>
  <w:style w:type="paragraph" w:styleId="CommentSubject">
    <w:name w:val="annotation subject"/>
    <w:basedOn w:val="CommentText"/>
    <w:next w:val="CommentText"/>
    <w:link w:val="CommentSubjectChar"/>
    <w:uiPriority w:val="99"/>
    <w:semiHidden/>
    <w:unhideWhenUsed/>
    <w:rsid w:val="00905CD5"/>
    <w:rPr>
      <w:b/>
      <w:bCs/>
    </w:rPr>
  </w:style>
  <w:style w:type="character" w:customStyle="1" w:styleId="CommentSubjectChar">
    <w:name w:val="Comment Subject Char"/>
    <w:basedOn w:val="CommentTextChar"/>
    <w:link w:val="CommentSubject"/>
    <w:uiPriority w:val="99"/>
    <w:semiHidden/>
    <w:rsid w:val="00905CD5"/>
    <w:rPr>
      <w:rFonts w:asciiTheme="minorHAnsi" w:eastAsiaTheme="minorHAnsi" w:hAnsiTheme="minorHAnsi" w:cstheme="minorBidi"/>
      <w:b/>
      <w:bCs/>
      <w:lang w:val="en-US" w:eastAsia="en-US"/>
    </w:rPr>
  </w:style>
  <w:style w:type="table" w:styleId="TableGrid">
    <w:name w:val="Table Grid"/>
    <w:basedOn w:val="TableNormal"/>
    <w:uiPriority w:val="39"/>
    <w:rsid w:val="000F3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F03A1"/>
    <w:rPr>
      <w:color w:val="808080"/>
      <w:shd w:val="clear" w:color="auto" w:fill="E6E6E6"/>
    </w:rPr>
  </w:style>
  <w:style w:type="character" w:customStyle="1" w:styleId="UnresolvedMention">
    <w:name w:val="Unresolved Mention"/>
    <w:basedOn w:val="DefaultParagraphFont"/>
    <w:uiPriority w:val="99"/>
    <w:semiHidden/>
    <w:unhideWhenUsed/>
    <w:rsid w:val="00D76B8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054180">
      <w:bodyDiv w:val="1"/>
      <w:marLeft w:val="0"/>
      <w:marRight w:val="0"/>
      <w:marTop w:val="0"/>
      <w:marBottom w:val="0"/>
      <w:divBdr>
        <w:top w:val="none" w:sz="0" w:space="0" w:color="auto"/>
        <w:left w:val="none" w:sz="0" w:space="0" w:color="auto"/>
        <w:bottom w:val="none" w:sz="0" w:space="0" w:color="auto"/>
        <w:right w:val="none" w:sz="0" w:space="0" w:color="auto"/>
      </w:divBdr>
      <w:divsChild>
        <w:div w:id="176622597">
          <w:marLeft w:val="0"/>
          <w:marRight w:val="0"/>
          <w:marTop w:val="0"/>
          <w:marBottom w:val="0"/>
          <w:divBdr>
            <w:top w:val="none" w:sz="0" w:space="0" w:color="auto"/>
            <w:left w:val="none" w:sz="0" w:space="0" w:color="auto"/>
            <w:bottom w:val="none" w:sz="0" w:space="0" w:color="auto"/>
            <w:right w:val="none" w:sz="0" w:space="0" w:color="auto"/>
          </w:divBdr>
        </w:div>
      </w:divsChild>
    </w:div>
    <w:div w:id="666445188">
      <w:bodyDiv w:val="1"/>
      <w:marLeft w:val="0"/>
      <w:marRight w:val="0"/>
      <w:marTop w:val="0"/>
      <w:marBottom w:val="0"/>
      <w:divBdr>
        <w:top w:val="none" w:sz="0" w:space="0" w:color="auto"/>
        <w:left w:val="none" w:sz="0" w:space="0" w:color="auto"/>
        <w:bottom w:val="none" w:sz="0" w:space="0" w:color="auto"/>
        <w:right w:val="none" w:sz="0" w:space="0" w:color="auto"/>
      </w:divBdr>
    </w:div>
    <w:div w:id="1432436197">
      <w:bodyDiv w:val="1"/>
      <w:marLeft w:val="0"/>
      <w:marRight w:val="0"/>
      <w:marTop w:val="0"/>
      <w:marBottom w:val="0"/>
      <w:divBdr>
        <w:top w:val="none" w:sz="0" w:space="0" w:color="auto"/>
        <w:left w:val="none" w:sz="0" w:space="0" w:color="auto"/>
        <w:bottom w:val="none" w:sz="0" w:space="0" w:color="auto"/>
        <w:right w:val="none" w:sz="0" w:space="0" w:color="auto"/>
      </w:divBdr>
    </w:div>
    <w:div w:id="1542784480">
      <w:bodyDiv w:val="1"/>
      <w:marLeft w:val="0"/>
      <w:marRight w:val="0"/>
      <w:marTop w:val="0"/>
      <w:marBottom w:val="0"/>
      <w:divBdr>
        <w:top w:val="none" w:sz="0" w:space="0" w:color="auto"/>
        <w:left w:val="none" w:sz="0" w:space="0" w:color="auto"/>
        <w:bottom w:val="none" w:sz="0" w:space="0" w:color="auto"/>
        <w:right w:val="none" w:sz="0" w:space="0" w:color="auto"/>
      </w:divBdr>
    </w:div>
    <w:div w:id="1593321831">
      <w:bodyDiv w:val="1"/>
      <w:marLeft w:val="0"/>
      <w:marRight w:val="0"/>
      <w:marTop w:val="0"/>
      <w:marBottom w:val="0"/>
      <w:divBdr>
        <w:top w:val="none" w:sz="0" w:space="0" w:color="auto"/>
        <w:left w:val="none" w:sz="0" w:space="0" w:color="auto"/>
        <w:bottom w:val="none" w:sz="0" w:space="0" w:color="auto"/>
        <w:right w:val="none" w:sz="0" w:space="0" w:color="auto"/>
      </w:divBdr>
    </w:div>
    <w:div w:id="1753502247">
      <w:bodyDiv w:val="1"/>
      <w:marLeft w:val="0"/>
      <w:marRight w:val="0"/>
      <w:marTop w:val="0"/>
      <w:marBottom w:val="0"/>
      <w:divBdr>
        <w:top w:val="none" w:sz="0" w:space="0" w:color="auto"/>
        <w:left w:val="none" w:sz="0" w:space="0" w:color="auto"/>
        <w:bottom w:val="none" w:sz="0" w:space="0" w:color="auto"/>
        <w:right w:val="none" w:sz="0" w:space="0" w:color="auto"/>
      </w:divBdr>
    </w:div>
    <w:div w:id="1945577336">
      <w:bodyDiv w:val="1"/>
      <w:marLeft w:val="0"/>
      <w:marRight w:val="0"/>
      <w:marTop w:val="0"/>
      <w:marBottom w:val="0"/>
      <w:divBdr>
        <w:top w:val="none" w:sz="0" w:space="0" w:color="auto"/>
        <w:left w:val="none" w:sz="0" w:space="0" w:color="auto"/>
        <w:bottom w:val="none" w:sz="0" w:space="0" w:color="auto"/>
        <w:right w:val="none" w:sz="0" w:space="0" w:color="auto"/>
      </w:divBdr>
    </w:div>
    <w:div w:id="210097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mailto:eturner@choice.com.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sandbox@treasury.gov.au" TargetMode="External"/><Relationship Id="rId23"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mas.gov.sg/Singapore-Financial-Centre/Smart-Financial-Centre/FinTech-Regulatory-Sandbox.aspx" TargetMode="External"/><Relationship Id="rId3" Type="http://schemas.openxmlformats.org/officeDocument/2006/relationships/hyperlink" Target="https://www.australiansuper.com/superannuation/why-choose-australiansuper/fees-and-costs.aspx" TargetMode="External"/><Relationship Id="rId7" Type="http://schemas.openxmlformats.org/officeDocument/2006/relationships/hyperlink" Target="https://www.fca.org.uk/firms/project-innovate-innovation-hub/regulatory-sandbox" TargetMode="External"/><Relationship Id="rId2" Type="http://schemas.openxmlformats.org/officeDocument/2006/relationships/hyperlink" Target="https://content.myfuturesuper.com.au/forms-docs/FS_PDS.pdf?_ga=2.40444450.1201986051.1509589942-227657068.1509589942" TargetMode="External"/><Relationship Id="rId1" Type="http://schemas.openxmlformats.org/officeDocument/2006/relationships/hyperlink" Target="http://www.ricewarner.com/superannuation-fees-how-low-can-we-go/" TargetMode="External"/><Relationship Id="rId6" Type="http://schemas.openxmlformats.org/officeDocument/2006/relationships/hyperlink" Target="http://www.afr.com/technology/inside-the-multibillion-dollar-battle-for-millennials-super-20170606-gwl91y" TargetMode="External"/><Relationship Id="rId5" Type="http://schemas.openxmlformats.org/officeDocument/2006/relationships/hyperlink" Target="https://www.australiansuper.com/~/media/Files/MySuper%20dashboard/FS%20ProductDashboard.ashx" TargetMode="External"/><Relationship Id="rId4" Type="http://schemas.openxmlformats.org/officeDocument/2006/relationships/hyperlink" Target="https://content.myfuturesuper.com.au/forms-docs/FS_PDS.pdf?_ga=2.236748801.1220893838.1504149591-960514643.1490672366" TargetMode="External"/><Relationship Id="rId9" Type="http://schemas.openxmlformats.org/officeDocument/2006/relationships/hyperlink" Target="http://www.hkma.gov.hk/media/eng/doc/key-information/guidelines-and-circular/2016/20160906e1.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tiff"/><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114F2EA74E46AF4AB3D11AA23F0DACD2" ma:contentTypeVersion="9424" ma:contentTypeDescription=" " ma:contentTypeScope="" ma:versionID="ba4e85d6b52570327516759b8a7db8f8">
  <xsd:schema xmlns:xsd="http://www.w3.org/2001/XMLSchema" xmlns:xs="http://www.w3.org/2001/XMLSchema" xmlns:p="http://schemas.microsoft.com/office/2006/metadata/properties" xmlns:ns1="http://schemas.microsoft.com/sharepoint/v3" xmlns:ns2="d4dd4adf-ddb3-46a3-8d7c-fab3fb2a6bc7" xmlns:ns3="73145ffa-26c3-4f49-8968-9a615fc305ab" xmlns:ns4="http://schemas.microsoft.com/sharepoint/v4" targetNamespace="http://schemas.microsoft.com/office/2006/metadata/properties" ma:root="true" ma:fieldsID="ed0affb95875f4b3ef5751baf3724ef4" ns1:_="" ns2:_="" ns3:_="" ns4:_="">
    <xsd:import namespace="http://schemas.microsoft.com/sharepoint/v3"/>
    <xsd:import namespace="d4dd4adf-ddb3-46a3-8d7c-fab3fb2a6bc7"/>
    <xsd:import namespace="73145ffa-26c3-4f49-8968-9a615fc305a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3:URL" minOccurs="0"/>
                <xsd:element ref="ns3:Web"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9"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145ffa-26c3-4f49-8968-9a615fc305ab" elementFormDefault="qualified">
    <xsd:import namespace="http://schemas.microsoft.com/office/2006/documentManagement/types"/>
    <xsd:import namespace="http://schemas.microsoft.com/office/infopath/2007/PartnerControls"/>
    <xsd:element name="URL" ma:index="17"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Web" ma:index="18" nillable="true" ma:displayName="Web" ma:format="Hyperlink" ma:internalName="Web">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2017MG-100-32348</_dlc_DocId>
    <TaxCatchAll xmlns="d4dd4adf-ddb3-46a3-8d7c-fab3fb2a6bc7">
      <Value>2</Value>
    </TaxCatchAll>
    <_dlc_DocIdUrl xmlns="d4dd4adf-ddb3-46a3-8d7c-fab3fb2a6bc7">
      <Url>http://tweb13/sites/mg/fsd/_layouts/15/DocIdRedir.aspx?ID=2017MG-100-32348</Url>
      <Description>2017MG-100-32348</Description>
    </_dlc_DocIdUrl>
    <IconOverlay xmlns="http://schemas.microsoft.com/sharepoint/v4" xsi:nil="true"/>
    <URL xmlns="73145ffa-26c3-4f49-8968-9a615fc305ab">
      <Url xsi:nil="true"/>
      <Description xsi:nil="true"/>
    </URL>
    <Web xmlns="73145ffa-26c3-4f49-8968-9a615fc305ab">
      <Url xsi:nil="true"/>
      <Description xsi:nil="true"/>
    </Web>
  </documentManagement>
</p:properties>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D9732-7E94-44B8-8AF4-10F12BE65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73145ffa-26c3-4f49-8968-9a615fc305a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8F3C3E-B9A6-4265-BDD2-1A324D4C2B31}">
  <ds:schemaRefs>
    <ds:schemaRef ds:uri="http://schemas.microsoft.com/sharepoint/v3/contenttype/forms"/>
  </ds:schemaRefs>
</ds:datastoreItem>
</file>

<file path=customXml/itemProps3.xml><?xml version="1.0" encoding="utf-8"?>
<ds:datastoreItem xmlns:ds="http://schemas.openxmlformats.org/officeDocument/2006/customXml" ds:itemID="{365F2FD5-BC2F-45E9-A2D0-E9E4B9EC6792}">
  <ds:schemaRefs>
    <ds:schemaRef ds:uri="http://schemas.microsoft.com/sharepoint/events"/>
  </ds:schemaRefs>
</ds:datastoreItem>
</file>

<file path=customXml/itemProps4.xml><?xml version="1.0" encoding="utf-8"?>
<ds:datastoreItem xmlns:ds="http://schemas.openxmlformats.org/officeDocument/2006/customXml" ds:itemID="{01E3F608-20EE-47C8-A6B7-7F02A857E9AB}">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73145ffa-26c3-4f49-8968-9a615fc305ab"/>
    <ds:schemaRef ds:uri="http://schemas.microsoft.com/sharepoint/v4"/>
    <ds:schemaRef ds:uri="http://schemas.microsoft.com/sharepoint/v3"/>
    <ds:schemaRef ds:uri="d4dd4adf-ddb3-46a3-8d7c-fab3fb2a6bc7"/>
    <ds:schemaRef ds:uri="http://www.w3.org/XML/1998/namespace"/>
    <ds:schemaRef ds:uri="http://purl.org/dc/dcmitype/"/>
  </ds:schemaRefs>
</ds:datastoreItem>
</file>

<file path=customXml/itemProps5.xml><?xml version="1.0" encoding="utf-8"?>
<ds:datastoreItem xmlns:ds="http://schemas.openxmlformats.org/officeDocument/2006/customXml" ds:itemID="{935601B8-3874-4C81-BDB9-ACB1C3288FCF}">
  <ds:schemaRefs>
    <ds:schemaRef ds:uri="http://schemas.microsoft.com/sharepoint/events"/>
  </ds:schemaRefs>
</ds:datastoreItem>
</file>

<file path=customXml/itemProps6.xml><?xml version="1.0" encoding="utf-8"?>
<ds:datastoreItem xmlns:ds="http://schemas.openxmlformats.org/officeDocument/2006/customXml" ds:itemID="{881BC65C-00DF-427E-82FC-DFF726D2FECC}">
  <ds:schemaRefs>
    <ds:schemaRef ds:uri="office.server.policy"/>
  </ds:schemaRefs>
</ds:datastoreItem>
</file>

<file path=customXml/itemProps7.xml><?xml version="1.0" encoding="utf-8"?>
<ds:datastoreItem xmlns:ds="http://schemas.openxmlformats.org/officeDocument/2006/customXml" ds:itemID="{861BFF5D-0835-4D0E-BC79-EC8EC5DE1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1552</Words>
  <Characters>8666</Characters>
  <Application>Microsoft Office Word</Application>
  <DocSecurity>0</DocSecurity>
  <Lines>227</Lines>
  <Paragraphs>57</Paragraphs>
  <ScaleCrop>false</ScaleCrop>
  <Company/>
  <LinksUpToDate>false</LinksUpToDate>
  <CharactersWithSpaces>10227</CharactersWithSpaces>
  <SharedDoc>false</SharedDoc>
  <HLinks>
    <vt:vector size="6" baseType="variant">
      <vt:variant>
        <vt:i4>2883625</vt:i4>
      </vt:variant>
      <vt:variant>
        <vt:i4>1551</vt:i4>
      </vt:variant>
      <vt:variant>
        <vt:i4>1025</vt:i4>
      </vt:variant>
      <vt:variant>
        <vt:i4>1</vt:i4>
      </vt:variant>
      <vt:variant>
        <vt:lpwstr>CH_logo-RGB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Choice - Enhanced Regulatory Sandbox</dc:title>
  <dc:creator/>
  <cp:lastModifiedBy/>
  <cp:revision>1</cp:revision>
  <dcterms:created xsi:type="dcterms:W3CDTF">2018-02-28T01:18:00Z</dcterms:created>
  <dcterms:modified xsi:type="dcterms:W3CDTF">2018-02-28T01:18:00Z</dcterms:modified>
  <dc:language>English</dc:language>
</cp:coreProperties>
</file>