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A756" w14:textId="77777777" w:rsidR="008E77D5" w:rsidRPr="00BF3D02" w:rsidRDefault="008E77D5" w:rsidP="009604AE">
      <w:pPr>
        <w:pStyle w:val="Heading4"/>
      </w:pPr>
    </w:p>
    <w:p w14:paraId="7E13A757" w14:textId="77777777" w:rsidR="008E77D5" w:rsidRPr="00BF3D02" w:rsidRDefault="008E77D5" w:rsidP="002576C7">
      <w:pPr>
        <w:pStyle w:val="Baseparagraphcentred"/>
      </w:pPr>
    </w:p>
    <w:p w14:paraId="7E13A758" w14:textId="77777777" w:rsidR="008E77D5" w:rsidRPr="00BF3D02" w:rsidRDefault="008E77D5" w:rsidP="002576C7">
      <w:pPr>
        <w:pStyle w:val="Baseparagraphcentred"/>
      </w:pPr>
    </w:p>
    <w:p w14:paraId="7E13A759" w14:textId="77777777" w:rsidR="008E77D5" w:rsidRPr="00BF3D02" w:rsidRDefault="008E77D5" w:rsidP="002576C7">
      <w:pPr>
        <w:pStyle w:val="Baseparagraphcentred"/>
      </w:pPr>
    </w:p>
    <w:p w14:paraId="7E13A75A" w14:textId="77777777" w:rsidR="008E77D5" w:rsidRPr="00BF3D02" w:rsidRDefault="008E77D5" w:rsidP="002576C7">
      <w:pPr>
        <w:pStyle w:val="Baseparagraphcentred"/>
      </w:pPr>
    </w:p>
    <w:p w14:paraId="7E13A75B" w14:textId="77777777" w:rsidR="008E77D5" w:rsidRPr="00BF3D02" w:rsidRDefault="008E77D5" w:rsidP="002576C7">
      <w:pPr>
        <w:pStyle w:val="Baseparagraphcentred"/>
      </w:pPr>
    </w:p>
    <w:p w14:paraId="7E13A75C" w14:textId="77777777" w:rsidR="008E77D5" w:rsidRPr="00BF3D02" w:rsidRDefault="008E77D5" w:rsidP="002576C7">
      <w:pPr>
        <w:pStyle w:val="Baseparagraphcentred"/>
      </w:pPr>
    </w:p>
    <w:p w14:paraId="7E13A75D" w14:textId="77777777" w:rsidR="008E77D5" w:rsidRPr="00BF3D02" w:rsidRDefault="008E77D5" w:rsidP="002576C7">
      <w:pPr>
        <w:pStyle w:val="Baseparagraphcentred"/>
      </w:pPr>
    </w:p>
    <w:p w14:paraId="7E13A75E" w14:textId="77777777" w:rsidR="008E77D5" w:rsidRPr="00BF3D02" w:rsidRDefault="008E77D5" w:rsidP="002576C7">
      <w:pPr>
        <w:pStyle w:val="Baseparagraphcentred"/>
      </w:pPr>
    </w:p>
    <w:p w14:paraId="7E13A75F" w14:textId="77777777" w:rsidR="008E77D5" w:rsidRPr="00BF3D02" w:rsidRDefault="008E77D5" w:rsidP="002576C7">
      <w:pPr>
        <w:pStyle w:val="Baseparagraphcentred"/>
      </w:pPr>
    </w:p>
    <w:p w14:paraId="7E13A760" w14:textId="40B8ABF6" w:rsidR="008E77D5" w:rsidRPr="00BF3D02" w:rsidRDefault="00311CEF" w:rsidP="002576C7">
      <w:pPr>
        <w:pStyle w:val="BillName"/>
      </w:pPr>
      <w:r w:rsidRPr="00BF3D02">
        <w:t>treasury laws amendment (</w:t>
      </w:r>
      <w:r w:rsidR="001C518A">
        <w:t xml:space="preserve">Corporate </w:t>
      </w:r>
      <w:r w:rsidRPr="00BF3D02">
        <w:t>collective investment vehicle</w:t>
      </w:r>
      <w:r w:rsidR="00326EA3" w:rsidRPr="00BF3D02">
        <w:t>) bill</w:t>
      </w:r>
      <w:r w:rsidR="003F21C7" w:rsidRPr="00BF3D02">
        <w:t xml:space="preserve"> 2017</w:t>
      </w:r>
      <w:r w:rsidR="001C518A">
        <w:t xml:space="preserve">: </w:t>
      </w:r>
      <w:r w:rsidR="001C518A" w:rsidRPr="00BF3D02">
        <w:t>tax treatment</w:t>
      </w:r>
    </w:p>
    <w:p w14:paraId="7E13A761" w14:textId="77777777" w:rsidR="008E77D5" w:rsidRPr="00BF3D02" w:rsidRDefault="008E77D5" w:rsidP="002576C7">
      <w:pPr>
        <w:pStyle w:val="Baseparagraphcentred"/>
      </w:pPr>
    </w:p>
    <w:p w14:paraId="7E13A762" w14:textId="77777777" w:rsidR="008E77D5" w:rsidRPr="00BF3D02" w:rsidRDefault="008E77D5" w:rsidP="002576C7">
      <w:pPr>
        <w:pStyle w:val="Baseparagraphcentred"/>
      </w:pPr>
    </w:p>
    <w:p w14:paraId="7E13A763" w14:textId="77777777" w:rsidR="008E77D5" w:rsidRPr="00BF3D02" w:rsidRDefault="008E77D5" w:rsidP="002576C7">
      <w:pPr>
        <w:pStyle w:val="Baseparagraphcentred"/>
      </w:pPr>
    </w:p>
    <w:p w14:paraId="7E13A764" w14:textId="77777777" w:rsidR="008E77D5" w:rsidRPr="00BF3D02" w:rsidRDefault="008E77D5" w:rsidP="002576C7">
      <w:pPr>
        <w:pStyle w:val="Baseparagraphcentred"/>
      </w:pPr>
    </w:p>
    <w:p w14:paraId="7E13A765" w14:textId="043F57D7" w:rsidR="008E77D5" w:rsidRPr="00BF3D02" w:rsidRDefault="004E1BC6" w:rsidP="002576C7">
      <w:pPr>
        <w:pStyle w:val="Baseparagraphcentred"/>
      </w:pPr>
      <w:r>
        <w:t xml:space="preserve">EXPOSURE DRAFT </w:t>
      </w:r>
      <w:r w:rsidR="003E1E78" w:rsidRPr="00BF3D02">
        <w:t>EXPLANATORY</w:t>
      </w:r>
      <w:r w:rsidR="009E26E1" w:rsidRPr="00BF3D02">
        <w:t xml:space="preserve"> </w:t>
      </w:r>
      <w:r>
        <w:t>MATERIAL</w:t>
      </w:r>
      <w:r w:rsidR="00AE0454">
        <w:t>S</w:t>
      </w:r>
    </w:p>
    <w:p w14:paraId="7E13A766" w14:textId="77777777" w:rsidR="008E77D5" w:rsidRPr="00BF3D02" w:rsidRDefault="008E77D5" w:rsidP="002576C7">
      <w:pPr>
        <w:pStyle w:val="Baseparagraphcentred"/>
      </w:pPr>
    </w:p>
    <w:p w14:paraId="7E13A767" w14:textId="77777777" w:rsidR="008E77D5" w:rsidRPr="00BF3D02" w:rsidRDefault="008E77D5" w:rsidP="002576C7">
      <w:pPr>
        <w:pStyle w:val="Baseparagraphcentred"/>
      </w:pPr>
    </w:p>
    <w:p w14:paraId="7E13A768" w14:textId="77777777" w:rsidR="008E77D5" w:rsidRPr="00BF3D02" w:rsidRDefault="008E77D5" w:rsidP="002576C7">
      <w:pPr>
        <w:pStyle w:val="Baseparagraphcentred"/>
      </w:pPr>
    </w:p>
    <w:p w14:paraId="7E13A76A" w14:textId="77777777" w:rsidR="008E77D5" w:rsidRPr="00BF3D02" w:rsidRDefault="008E77D5" w:rsidP="002576C7">
      <w:pPr>
        <w:pStyle w:val="Baseparagraphcentred"/>
      </w:pPr>
    </w:p>
    <w:p w14:paraId="7E13A76B" w14:textId="77777777" w:rsidR="008E77D5" w:rsidRPr="00BF3D02" w:rsidRDefault="008E77D5" w:rsidP="002576C7">
      <w:pPr>
        <w:sectPr w:rsidR="008E77D5" w:rsidRPr="00BF3D02" w:rsidSect="0076113E">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14:paraId="7E13A76C" w14:textId="77777777" w:rsidR="008E77D5" w:rsidRPr="00BF3D02" w:rsidRDefault="008E77D5" w:rsidP="002576C7">
      <w:pPr>
        <w:pStyle w:val="TOCHeading"/>
      </w:pPr>
      <w:r w:rsidRPr="00BF3D02">
        <w:lastRenderedPageBreak/>
        <w:t>Table of contents</w:t>
      </w:r>
    </w:p>
    <w:p w14:paraId="1FD048B8" w14:textId="77777777" w:rsidR="001C518A" w:rsidRDefault="00D07525">
      <w:pPr>
        <w:pStyle w:val="TOC2"/>
        <w:rPr>
          <w:rFonts w:asciiTheme="minorHAnsi" w:eastAsiaTheme="minorEastAsia" w:hAnsiTheme="minorHAnsi" w:cstheme="minorBidi"/>
          <w:sz w:val="22"/>
          <w:szCs w:val="22"/>
        </w:rPr>
      </w:pPr>
      <w:r w:rsidRPr="00C42F91">
        <w:fldChar w:fldCharType="begin"/>
      </w:r>
      <w:r w:rsidRPr="00BF3D02">
        <w:instrText xml:space="preserve"> TOC \t "Chapter Heading,1,Chapter heading subdocument,2" </w:instrText>
      </w:r>
      <w:r w:rsidRPr="00C42F91">
        <w:fldChar w:fldCharType="separate"/>
      </w:r>
      <w:r w:rsidR="001C518A">
        <w:t>Glossary</w:t>
      </w:r>
      <w:r w:rsidR="001C518A">
        <w:tab/>
      </w:r>
      <w:r w:rsidR="001C518A">
        <w:fldChar w:fldCharType="begin"/>
      </w:r>
      <w:r w:rsidR="001C518A">
        <w:instrText xml:space="preserve"> PAGEREF _Toc501005911 \h </w:instrText>
      </w:r>
      <w:r w:rsidR="001C518A">
        <w:fldChar w:fldCharType="separate"/>
      </w:r>
      <w:r w:rsidR="00A429E3">
        <w:t>1</w:t>
      </w:r>
      <w:r w:rsidR="001C518A">
        <w:fldChar w:fldCharType="end"/>
      </w:r>
    </w:p>
    <w:p w14:paraId="148271C5" w14:textId="77777777" w:rsidR="001C518A" w:rsidRDefault="001C518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Tax treatment of corporate collective investment vehicles</w:t>
      </w:r>
      <w:r>
        <w:rPr>
          <w:noProof/>
        </w:rPr>
        <w:tab/>
      </w:r>
      <w:r>
        <w:rPr>
          <w:noProof/>
        </w:rPr>
        <w:fldChar w:fldCharType="begin"/>
      </w:r>
      <w:r>
        <w:rPr>
          <w:noProof/>
        </w:rPr>
        <w:instrText xml:space="preserve"> PAGEREF _Toc501005912 \h </w:instrText>
      </w:r>
      <w:r>
        <w:rPr>
          <w:noProof/>
        </w:rPr>
      </w:r>
      <w:r>
        <w:rPr>
          <w:noProof/>
        </w:rPr>
        <w:fldChar w:fldCharType="separate"/>
      </w:r>
      <w:r w:rsidR="00A429E3">
        <w:rPr>
          <w:noProof/>
        </w:rPr>
        <w:t>3</w:t>
      </w:r>
      <w:r>
        <w:rPr>
          <w:noProof/>
        </w:rPr>
        <w:fldChar w:fldCharType="end"/>
      </w:r>
    </w:p>
    <w:p w14:paraId="7E13A76D" w14:textId="77777777" w:rsidR="008E77D5" w:rsidRPr="00BF3D02" w:rsidRDefault="00D07525" w:rsidP="002576C7">
      <w:pPr>
        <w:pStyle w:val="base-text-paragraphnonumbers"/>
      </w:pPr>
      <w:r w:rsidRPr="00C42F91">
        <w:rPr>
          <w:b/>
          <w:bCs/>
          <w:noProof/>
        </w:rPr>
        <w:fldChar w:fldCharType="end"/>
      </w:r>
    </w:p>
    <w:p w14:paraId="7E13A76E" w14:textId="4D57EF4C" w:rsidR="008E77D5" w:rsidRPr="00C42F91" w:rsidRDefault="008E77D5" w:rsidP="002576C7">
      <w:pPr>
        <w:pStyle w:val="Hiddentext"/>
      </w:pPr>
    </w:p>
    <w:p w14:paraId="7E13A76F" w14:textId="77777777" w:rsidR="008E77D5" w:rsidRPr="00C42F91" w:rsidRDefault="008E77D5" w:rsidP="002576C7">
      <w:pPr>
        <w:pStyle w:val="base-text-paragraphnonumbers"/>
        <w:sectPr w:rsidR="008E77D5" w:rsidRPr="00C42F91" w:rsidSect="0076113E">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14:paraId="7E13A770" w14:textId="77777777" w:rsidR="008E77D5" w:rsidRPr="00C42F91" w:rsidRDefault="008E77D5" w:rsidP="002576C7"/>
    <w:p w14:paraId="7E13A771" w14:textId="77777777" w:rsidR="008E77D5" w:rsidRPr="00C42F91" w:rsidRDefault="008E77D5" w:rsidP="0076113E">
      <w:pPr>
        <w:pStyle w:val="Chapterheadingsubdocument"/>
      </w:pPr>
      <w:bookmarkStart w:id="0" w:name="_Toc501005911"/>
      <w:r w:rsidRPr="00C42F91">
        <w:t>Glossary</w:t>
      </w:r>
      <w:bookmarkEnd w:id="0"/>
    </w:p>
    <w:p w14:paraId="7E13A772" w14:textId="77777777" w:rsidR="008E77D5" w:rsidRPr="00C42F91" w:rsidRDefault="008E77D5" w:rsidP="0076113E">
      <w:pPr>
        <w:pStyle w:val="BTPwithextraspacing"/>
      </w:pPr>
      <w:r w:rsidRPr="00C42F91">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8E77D5" w:rsidRPr="00C42F91" w14:paraId="7E13A775" w14:textId="77777777" w:rsidTr="0076113E">
        <w:tc>
          <w:tcPr>
            <w:tcW w:w="2721" w:type="dxa"/>
          </w:tcPr>
          <w:p w14:paraId="7E13A773" w14:textId="3EAF0CC5" w:rsidR="008E77D5" w:rsidRPr="00C42F91" w:rsidRDefault="008E77D5" w:rsidP="0076113E">
            <w:pPr>
              <w:pStyle w:val="tableheaderwithintable"/>
            </w:pPr>
            <w:r w:rsidRPr="00C42F91">
              <w:t>Abbreviation</w:t>
            </w:r>
            <w:r w:rsidR="009277CD" w:rsidRPr="00C42F91">
              <w:t>/Acronym</w:t>
            </w:r>
          </w:p>
        </w:tc>
        <w:tc>
          <w:tcPr>
            <w:tcW w:w="3885" w:type="dxa"/>
          </w:tcPr>
          <w:p w14:paraId="7E13A774" w14:textId="77777777" w:rsidR="008E77D5" w:rsidRPr="00C42F91" w:rsidRDefault="008E77D5" w:rsidP="0076113E">
            <w:pPr>
              <w:pStyle w:val="tableheaderwithintable"/>
            </w:pPr>
            <w:r w:rsidRPr="00C42F91">
              <w:t>Definition</w:t>
            </w:r>
          </w:p>
        </w:tc>
      </w:tr>
      <w:tr w:rsidR="009E26E1" w:rsidRPr="00C42F91" w14:paraId="6F859AAE" w14:textId="77777777" w:rsidTr="0076113E">
        <w:tc>
          <w:tcPr>
            <w:tcW w:w="2721" w:type="dxa"/>
          </w:tcPr>
          <w:p w14:paraId="1AF06F5F" w14:textId="24CDA6F3" w:rsidR="009E26E1" w:rsidRPr="00C42F91" w:rsidRDefault="009E26E1" w:rsidP="0076113E">
            <w:pPr>
              <w:pStyle w:val="Glossarytabletext"/>
              <w:rPr>
                <w:lang w:eastAsia="en-US"/>
              </w:rPr>
            </w:pPr>
            <w:r w:rsidRPr="00C42F91">
              <w:rPr>
                <w:lang w:eastAsia="en-US"/>
              </w:rPr>
              <w:t>ACCIV</w:t>
            </w:r>
          </w:p>
        </w:tc>
        <w:tc>
          <w:tcPr>
            <w:tcW w:w="3885" w:type="dxa"/>
          </w:tcPr>
          <w:p w14:paraId="14ED5293" w14:textId="45F1B295" w:rsidR="009E26E1" w:rsidRPr="00C42F91" w:rsidRDefault="009E26E1" w:rsidP="0076113E">
            <w:pPr>
              <w:pStyle w:val="Glossarytabletext"/>
              <w:rPr>
                <w:lang w:eastAsia="en-US"/>
              </w:rPr>
            </w:pPr>
            <w:r w:rsidRPr="00C42F91">
              <w:rPr>
                <w:lang w:eastAsia="en-US"/>
              </w:rPr>
              <w:t>attribution corporat</w:t>
            </w:r>
            <w:r w:rsidR="00ED03A3" w:rsidRPr="00C42F91">
              <w:rPr>
                <w:lang w:eastAsia="en-US"/>
              </w:rPr>
              <w:t>e</w:t>
            </w:r>
            <w:r w:rsidRPr="00C42F91">
              <w:rPr>
                <w:lang w:eastAsia="en-US"/>
              </w:rPr>
              <w:t xml:space="preserve"> collective investment vehicle</w:t>
            </w:r>
          </w:p>
        </w:tc>
      </w:tr>
      <w:tr w:rsidR="009E26E1" w:rsidRPr="00C42F91" w14:paraId="019C6654" w14:textId="77777777" w:rsidTr="0076113E">
        <w:tc>
          <w:tcPr>
            <w:tcW w:w="2721" w:type="dxa"/>
          </w:tcPr>
          <w:p w14:paraId="7EC44285" w14:textId="5DBF259A" w:rsidR="009E26E1" w:rsidRPr="00C42F91" w:rsidRDefault="009E26E1" w:rsidP="0076113E">
            <w:pPr>
              <w:pStyle w:val="Glossarytabletext"/>
              <w:rPr>
                <w:lang w:eastAsia="en-US"/>
              </w:rPr>
            </w:pPr>
            <w:r w:rsidRPr="00C42F91">
              <w:rPr>
                <w:lang w:eastAsia="en-US"/>
              </w:rPr>
              <w:t>AIV</w:t>
            </w:r>
          </w:p>
        </w:tc>
        <w:tc>
          <w:tcPr>
            <w:tcW w:w="3885" w:type="dxa"/>
          </w:tcPr>
          <w:p w14:paraId="4A38D6FC" w14:textId="52FC310F" w:rsidR="009E26E1" w:rsidRPr="00C42F91" w:rsidRDefault="009E26E1" w:rsidP="0076113E">
            <w:pPr>
              <w:pStyle w:val="Glossarytabletext"/>
              <w:rPr>
                <w:lang w:eastAsia="en-US"/>
              </w:rPr>
            </w:pPr>
            <w:r w:rsidRPr="00C42F91">
              <w:rPr>
                <w:lang w:eastAsia="en-US"/>
              </w:rPr>
              <w:t>attribution investment vehicle</w:t>
            </w:r>
          </w:p>
        </w:tc>
      </w:tr>
      <w:tr w:rsidR="00F24D98" w:rsidRPr="00C42F91" w14:paraId="6ACF7C62" w14:textId="77777777" w:rsidTr="0076113E">
        <w:tc>
          <w:tcPr>
            <w:tcW w:w="2721" w:type="dxa"/>
          </w:tcPr>
          <w:p w14:paraId="420BB72E" w14:textId="28371BDF" w:rsidR="00F24D98" w:rsidRPr="00C42F91" w:rsidRDefault="00F24D98" w:rsidP="00F24D98">
            <w:pPr>
              <w:pStyle w:val="Glossarytabletext"/>
              <w:rPr>
                <w:lang w:eastAsia="en-US"/>
              </w:rPr>
            </w:pPr>
            <w:r>
              <w:t>AIV</w:t>
            </w:r>
            <w:r w:rsidRPr="00C2086D">
              <w:t>MA statement</w:t>
            </w:r>
          </w:p>
        </w:tc>
        <w:tc>
          <w:tcPr>
            <w:tcW w:w="3885" w:type="dxa"/>
          </w:tcPr>
          <w:p w14:paraId="567F4038" w14:textId="1A4601B7" w:rsidR="00F24D98" w:rsidRPr="00C42F91" w:rsidRDefault="00F24D98" w:rsidP="00F24D98">
            <w:pPr>
              <w:pStyle w:val="Glossarytabletext"/>
              <w:rPr>
                <w:lang w:eastAsia="en-US"/>
              </w:rPr>
            </w:pPr>
            <w:r>
              <w:t xml:space="preserve">AIV member annual </w:t>
            </w:r>
            <w:r w:rsidRPr="00C2086D">
              <w:t>statement</w:t>
            </w:r>
          </w:p>
        </w:tc>
      </w:tr>
      <w:tr w:rsidR="009E26E1" w:rsidRPr="00C42F91" w14:paraId="5210DE15" w14:textId="77777777" w:rsidTr="0076113E">
        <w:tc>
          <w:tcPr>
            <w:tcW w:w="2721" w:type="dxa"/>
          </w:tcPr>
          <w:p w14:paraId="6123AC18" w14:textId="16E8B79B" w:rsidR="009E26E1" w:rsidRPr="00C42F91" w:rsidRDefault="009E26E1" w:rsidP="0076113E">
            <w:pPr>
              <w:pStyle w:val="Glossarytabletext"/>
              <w:rPr>
                <w:lang w:eastAsia="en-US"/>
              </w:rPr>
            </w:pPr>
            <w:r w:rsidRPr="00C42F91">
              <w:rPr>
                <w:lang w:eastAsia="en-US"/>
              </w:rPr>
              <w:t>AMIT</w:t>
            </w:r>
          </w:p>
        </w:tc>
        <w:tc>
          <w:tcPr>
            <w:tcW w:w="3885" w:type="dxa"/>
          </w:tcPr>
          <w:p w14:paraId="308DFC32" w14:textId="400177CF" w:rsidR="009E26E1" w:rsidRPr="00C42F91" w:rsidRDefault="009E26E1" w:rsidP="0076113E">
            <w:pPr>
              <w:pStyle w:val="Glossarytabletext"/>
              <w:rPr>
                <w:lang w:eastAsia="en-US"/>
              </w:rPr>
            </w:pPr>
            <w:r w:rsidRPr="00C42F91">
              <w:rPr>
                <w:lang w:eastAsia="en-US"/>
              </w:rPr>
              <w:t>attribution managed investment trust</w:t>
            </w:r>
          </w:p>
        </w:tc>
      </w:tr>
      <w:tr w:rsidR="00CF1A23" w:rsidRPr="00C42F91" w14:paraId="533970F5" w14:textId="77777777" w:rsidTr="0076113E">
        <w:tc>
          <w:tcPr>
            <w:tcW w:w="2721" w:type="dxa"/>
          </w:tcPr>
          <w:p w14:paraId="7B01DBFA" w14:textId="461F705D" w:rsidR="00CF1A23" w:rsidRPr="00C42F91" w:rsidRDefault="00CF1A23" w:rsidP="0076113E">
            <w:pPr>
              <w:pStyle w:val="Glossarytabletext"/>
              <w:rPr>
                <w:lang w:eastAsia="en-US"/>
              </w:rPr>
            </w:pPr>
            <w:r>
              <w:rPr>
                <w:lang w:eastAsia="en-US"/>
              </w:rPr>
              <w:t>AMMA</w:t>
            </w:r>
            <w:r w:rsidR="0042555B">
              <w:rPr>
                <w:lang w:eastAsia="en-US"/>
              </w:rPr>
              <w:t xml:space="preserve"> statement </w:t>
            </w:r>
          </w:p>
        </w:tc>
        <w:tc>
          <w:tcPr>
            <w:tcW w:w="3885" w:type="dxa"/>
          </w:tcPr>
          <w:p w14:paraId="11610CEC" w14:textId="506992FD" w:rsidR="00CF1A23" w:rsidRPr="00C42F91" w:rsidRDefault="00CF1A23" w:rsidP="0076113E">
            <w:pPr>
              <w:pStyle w:val="Glossarytabletext"/>
              <w:rPr>
                <w:lang w:eastAsia="en-US"/>
              </w:rPr>
            </w:pPr>
            <w:r>
              <w:rPr>
                <w:lang w:eastAsia="en-US"/>
              </w:rPr>
              <w:t>AMIT Member Annual Statement</w:t>
            </w:r>
          </w:p>
        </w:tc>
      </w:tr>
      <w:tr w:rsidR="00B54696" w:rsidRPr="00C42F91" w14:paraId="37459200" w14:textId="77777777" w:rsidTr="0076113E">
        <w:tc>
          <w:tcPr>
            <w:tcW w:w="2721" w:type="dxa"/>
          </w:tcPr>
          <w:p w14:paraId="70E4EACE" w14:textId="419BCFBC" w:rsidR="00B54696" w:rsidRDefault="00B54696" w:rsidP="0076113E">
            <w:pPr>
              <w:pStyle w:val="Glossarytabletext"/>
              <w:rPr>
                <w:lang w:eastAsia="en-US"/>
              </w:rPr>
            </w:pPr>
            <w:r>
              <w:rPr>
                <w:lang w:eastAsia="en-US"/>
              </w:rPr>
              <w:t xml:space="preserve">CGT </w:t>
            </w:r>
          </w:p>
        </w:tc>
        <w:tc>
          <w:tcPr>
            <w:tcW w:w="3885" w:type="dxa"/>
          </w:tcPr>
          <w:p w14:paraId="1910DEF1" w14:textId="117D403F" w:rsidR="00B54696" w:rsidRPr="00C42F91" w:rsidRDefault="00B54696" w:rsidP="0076113E">
            <w:pPr>
              <w:pStyle w:val="Glossarytabletext"/>
              <w:rPr>
                <w:lang w:eastAsia="en-US"/>
              </w:rPr>
            </w:pPr>
            <w:r>
              <w:rPr>
                <w:lang w:eastAsia="en-US"/>
              </w:rPr>
              <w:t>Capital Gains Tax</w:t>
            </w:r>
          </w:p>
        </w:tc>
      </w:tr>
      <w:tr w:rsidR="00C61B9A" w:rsidRPr="00C42F91" w14:paraId="26645AF6" w14:textId="77777777" w:rsidTr="0076113E">
        <w:tc>
          <w:tcPr>
            <w:tcW w:w="2721" w:type="dxa"/>
          </w:tcPr>
          <w:p w14:paraId="65DB0D81" w14:textId="1D5C5C5C" w:rsidR="00C61B9A" w:rsidRDefault="00C61B9A" w:rsidP="0076113E">
            <w:pPr>
              <w:pStyle w:val="Glossarytabletext"/>
              <w:rPr>
                <w:lang w:eastAsia="en-US"/>
              </w:rPr>
            </w:pPr>
            <w:r>
              <w:rPr>
                <w:lang w:eastAsia="en-US"/>
              </w:rPr>
              <w:t>CIV</w:t>
            </w:r>
          </w:p>
        </w:tc>
        <w:tc>
          <w:tcPr>
            <w:tcW w:w="3885" w:type="dxa"/>
          </w:tcPr>
          <w:p w14:paraId="1FA209F2" w14:textId="45BA594D" w:rsidR="00C61B9A" w:rsidRDefault="00C61B9A" w:rsidP="0076113E">
            <w:pPr>
              <w:pStyle w:val="Glossarytabletext"/>
              <w:rPr>
                <w:lang w:eastAsia="en-US"/>
              </w:rPr>
            </w:pPr>
            <w:r w:rsidRPr="00C42F91">
              <w:rPr>
                <w:lang w:eastAsia="en-US"/>
              </w:rPr>
              <w:t>collective investment vehicle</w:t>
            </w:r>
          </w:p>
        </w:tc>
      </w:tr>
      <w:tr w:rsidR="009E26E1" w:rsidRPr="00C42F91" w14:paraId="4EBC72B6" w14:textId="77777777" w:rsidTr="0076113E">
        <w:tc>
          <w:tcPr>
            <w:tcW w:w="2721" w:type="dxa"/>
          </w:tcPr>
          <w:p w14:paraId="291B0CEB" w14:textId="444E59EC" w:rsidR="009E26E1" w:rsidRPr="00C42F91" w:rsidRDefault="009E26E1" w:rsidP="0076113E">
            <w:pPr>
              <w:pStyle w:val="Glossarytabletext"/>
              <w:rPr>
                <w:lang w:eastAsia="en-US"/>
              </w:rPr>
            </w:pPr>
            <w:r w:rsidRPr="00C42F91">
              <w:rPr>
                <w:lang w:eastAsia="en-US"/>
              </w:rPr>
              <w:t>CCIV</w:t>
            </w:r>
          </w:p>
        </w:tc>
        <w:tc>
          <w:tcPr>
            <w:tcW w:w="3885" w:type="dxa"/>
          </w:tcPr>
          <w:p w14:paraId="0DCB63B3" w14:textId="20C6A881" w:rsidR="009E26E1" w:rsidRPr="00C42F91" w:rsidRDefault="009E26E1" w:rsidP="0076113E">
            <w:pPr>
              <w:pStyle w:val="Glossarytabletext"/>
              <w:rPr>
                <w:lang w:eastAsia="en-US"/>
              </w:rPr>
            </w:pPr>
            <w:r w:rsidRPr="00C42F91">
              <w:rPr>
                <w:lang w:eastAsia="en-US"/>
              </w:rPr>
              <w:t>corporate collective investment vehicle</w:t>
            </w:r>
          </w:p>
        </w:tc>
      </w:tr>
      <w:tr w:rsidR="00335CE7" w:rsidRPr="00C42F91" w14:paraId="2493510A" w14:textId="77777777" w:rsidTr="0076113E">
        <w:tc>
          <w:tcPr>
            <w:tcW w:w="2721" w:type="dxa"/>
          </w:tcPr>
          <w:p w14:paraId="5228E8C8" w14:textId="11EDF74F" w:rsidR="00335CE7" w:rsidRPr="00C42F91" w:rsidRDefault="00335CE7" w:rsidP="0076113E">
            <w:pPr>
              <w:pStyle w:val="Glossarytabletext"/>
              <w:rPr>
                <w:lang w:eastAsia="en-US"/>
              </w:rPr>
            </w:pPr>
            <w:r>
              <w:rPr>
                <w:lang w:eastAsia="en-US"/>
              </w:rPr>
              <w:t>Commissioner</w:t>
            </w:r>
          </w:p>
        </w:tc>
        <w:tc>
          <w:tcPr>
            <w:tcW w:w="3885" w:type="dxa"/>
          </w:tcPr>
          <w:p w14:paraId="06772A02" w14:textId="71354F70" w:rsidR="00335CE7" w:rsidRPr="00C42F91" w:rsidRDefault="00335CE7" w:rsidP="0076113E">
            <w:pPr>
              <w:pStyle w:val="Glossarytabletext"/>
              <w:rPr>
                <w:lang w:eastAsia="en-US"/>
              </w:rPr>
            </w:pPr>
            <w:r>
              <w:rPr>
                <w:lang w:eastAsia="en-US"/>
              </w:rPr>
              <w:t>Commissioner of Taxation</w:t>
            </w:r>
          </w:p>
        </w:tc>
      </w:tr>
      <w:tr w:rsidR="008E77D5" w:rsidRPr="00C42F91" w14:paraId="7E13A778" w14:textId="77777777" w:rsidTr="0076113E">
        <w:tc>
          <w:tcPr>
            <w:tcW w:w="2721" w:type="dxa"/>
          </w:tcPr>
          <w:p w14:paraId="7E13A776" w14:textId="491FFC21" w:rsidR="008E77D5" w:rsidRPr="00C42F91" w:rsidRDefault="009E26E1" w:rsidP="0076113E">
            <w:pPr>
              <w:pStyle w:val="Glossarytabletext"/>
              <w:rPr>
                <w:lang w:eastAsia="en-US"/>
              </w:rPr>
            </w:pPr>
            <w:r w:rsidRPr="00C42F91">
              <w:rPr>
                <w:lang w:eastAsia="en-US"/>
              </w:rPr>
              <w:t>Corporations Act</w:t>
            </w:r>
          </w:p>
        </w:tc>
        <w:tc>
          <w:tcPr>
            <w:tcW w:w="3885" w:type="dxa"/>
          </w:tcPr>
          <w:p w14:paraId="7E13A777" w14:textId="6C53E55B" w:rsidR="008E77D5" w:rsidRPr="00C42F91" w:rsidRDefault="009E26E1" w:rsidP="0076113E">
            <w:pPr>
              <w:pStyle w:val="Glossarytabletext"/>
              <w:rPr>
                <w:i/>
                <w:lang w:eastAsia="en-US"/>
              </w:rPr>
            </w:pPr>
            <w:r w:rsidRPr="00C42F91">
              <w:rPr>
                <w:i/>
                <w:lang w:eastAsia="en-US"/>
              </w:rPr>
              <w:t>Corporations Act 2001</w:t>
            </w:r>
          </w:p>
        </w:tc>
      </w:tr>
      <w:tr w:rsidR="00F73ED0" w:rsidRPr="00C42F91" w14:paraId="64935146" w14:textId="77777777" w:rsidTr="00562D2D">
        <w:tc>
          <w:tcPr>
            <w:tcW w:w="2721" w:type="dxa"/>
          </w:tcPr>
          <w:p w14:paraId="58AFC8AE" w14:textId="77777777" w:rsidR="00F73ED0" w:rsidRPr="00C42F91" w:rsidRDefault="00F73ED0" w:rsidP="00562D2D">
            <w:pPr>
              <w:pStyle w:val="Glossarytabletext"/>
              <w:rPr>
                <w:lang w:eastAsia="en-US"/>
              </w:rPr>
            </w:pPr>
            <w:r w:rsidRPr="00C42F91">
              <w:rPr>
                <w:lang w:eastAsia="en-US"/>
              </w:rPr>
              <w:t>CCIV Regulatory Exposure Draft Bill</w:t>
            </w:r>
          </w:p>
        </w:tc>
        <w:tc>
          <w:tcPr>
            <w:tcW w:w="3885" w:type="dxa"/>
          </w:tcPr>
          <w:p w14:paraId="6AB2B33E" w14:textId="1967D65F" w:rsidR="00F73ED0" w:rsidRPr="00C42F91" w:rsidRDefault="00F73ED0" w:rsidP="00174294">
            <w:pPr>
              <w:pStyle w:val="Glossarytabletext"/>
              <w:rPr>
                <w:lang w:eastAsia="en-US"/>
              </w:rPr>
            </w:pPr>
            <w:r w:rsidRPr="00BF3D02">
              <w:t xml:space="preserve">Treasury Laws Amendment (Corporate Collective Investment Vehicle) Bill 2017 - exposure draft released on </w:t>
            </w:r>
            <w:r w:rsidR="00174294" w:rsidRPr="00C42F91">
              <w:t>25</w:t>
            </w:r>
            <w:r w:rsidRPr="00C42F91">
              <w:t xml:space="preserve"> August 2017</w:t>
            </w:r>
          </w:p>
        </w:tc>
      </w:tr>
      <w:tr w:rsidR="009F7E3F" w:rsidRPr="00C42F91" w14:paraId="7708C701" w14:textId="77777777" w:rsidTr="00562D2D">
        <w:tc>
          <w:tcPr>
            <w:tcW w:w="2721" w:type="dxa"/>
          </w:tcPr>
          <w:p w14:paraId="46C86A86" w14:textId="36DDCE78" w:rsidR="009F7E3F" w:rsidRPr="00C42F91" w:rsidRDefault="009F7E3F" w:rsidP="00562D2D">
            <w:pPr>
              <w:pStyle w:val="Glossarytabletext"/>
              <w:rPr>
                <w:lang w:eastAsia="en-US"/>
              </w:rPr>
            </w:pPr>
            <w:r>
              <w:rPr>
                <w:lang w:eastAsia="en-US"/>
              </w:rPr>
              <w:t>DIR</w:t>
            </w:r>
          </w:p>
        </w:tc>
        <w:tc>
          <w:tcPr>
            <w:tcW w:w="3885" w:type="dxa"/>
          </w:tcPr>
          <w:p w14:paraId="11AB632F" w14:textId="616CC720" w:rsidR="009F7E3F" w:rsidRPr="00BF3D02" w:rsidRDefault="009F7E3F" w:rsidP="00174294">
            <w:pPr>
              <w:pStyle w:val="Glossarytabletext"/>
            </w:pPr>
            <w:r>
              <w:t>dividend, interest and royalties</w:t>
            </w:r>
          </w:p>
        </w:tc>
      </w:tr>
      <w:tr w:rsidR="008E77D5" w:rsidRPr="00C42F91" w14:paraId="7E13A77B" w14:textId="77777777" w:rsidTr="0076113E">
        <w:tc>
          <w:tcPr>
            <w:tcW w:w="2721" w:type="dxa"/>
          </w:tcPr>
          <w:p w14:paraId="7E13A779" w14:textId="5F28C0B1" w:rsidR="008E77D5" w:rsidRPr="00C42F91" w:rsidRDefault="009E26E1" w:rsidP="0076113E">
            <w:pPr>
              <w:pStyle w:val="Glossarytabletext"/>
              <w:rPr>
                <w:lang w:eastAsia="en-US"/>
              </w:rPr>
            </w:pPr>
            <w:r w:rsidRPr="00C42F91">
              <w:rPr>
                <w:lang w:eastAsia="en-US"/>
              </w:rPr>
              <w:t>ITAA 1936</w:t>
            </w:r>
          </w:p>
        </w:tc>
        <w:tc>
          <w:tcPr>
            <w:tcW w:w="3885" w:type="dxa"/>
          </w:tcPr>
          <w:p w14:paraId="7E13A77A" w14:textId="56644A34" w:rsidR="008E77D5" w:rsidRPr="00C42F91" w:rsidRDefault="009E26E1" w:rsidP="0076113E">
            <w:pPr>
              <w:pStyle w:val="Glossarytabletext"/>
              <w:rPr>
                <w:i/>
                <w:lang w:eastAsia="en-US"/>
              </w:rPr>
            </w:pPr>
            <w:r w:rsidRPr="00C42F91">
              <w:rPr>
                <w:i/>
                <w:lang w:eastAsia="en-US"/>
              </w:rPr>
              <w:t>Income Tax Assessment Act 1936</w:t>
            </w:r>
          </w:p>
        </w:tc>
      </w:tr>
      <w:tr w:rsidR="008E77D5" w:rsidRPr="00C42F91" w14:paraId="7E13A77E" w14:textId="77777777" w:rsidTr="0076113E">
        <w:tc>
          <w:tcPr>
            <w:tcW w:w="2721" w:type="dxa"/>
          </w:tcPr>
          <w:p w14:paraId="7E13A77C" w14:textId="26EB149A" w:rsidR="008E77D5" w:rsidRPr="00C42F91" w:rsidRDefault="009E26E1" w:rsidP="0076113E">
            <w:pPr>
              <w:pStyle w:val="Glossarytabletext"/>
              <w:rPr>
                <w:lang w:eastAsia="en-US"/>
              </w:rPr>
            </w:pPr>
            <w:r w:rsidRPr="00C42F91">
              <w:rPr>
                <w:lang w:eastAsia="en-US"/>
              </w:rPr>
              <w:t>ITAA 1997</w:t>
            </w:r>
          </w:p>
        </w:tc>
        <w:tc>
          <w:tcPr>
            <w:tcW w:w="3885" w:type="dxa"/>
          </w:tcPr>
          <w:p w14:paraId="7E13A77D" w14:textId="67234147" w:rsidR="008E77D5" w:rsidRPr="00C42F91" w:rsidRDefault="009E26E1" w:rsidP="0076113E">
            <w:pPr>
              <w:pStyle w:val="Glossarytabletext"/>
              <w:rPr>
                <w:i/>
                <w:lang w:eastAsia="en-US"/>
              </w:rPr>
            </w:pPr>
            <w:r w:rsidRPr="00C42F91">
              <w:rPr>
                <w:i/>
                <w:lang w:eastAsia="en-US"/>
              </w:rPr>
              <w:t>Income Tax Assessment Act 1997</w:t>
            </w:r>
          </w:p>
        </w:tc>
      </w:tr>
      <w:tr w:rsidR="003E08B6" w:rsidRPr="00C42F91" w14:paraId="4E15746A" w14:textId="77777777" w:rsidTr="0076113E">
        <w:tc>
          <w:tcPr>
            <w:tcW w:w="2721" w:type="dxa"/>
          </w:tcPr>
          <w:p w14:paraId="7CB2B503" w14:textId="247CB240" w:rsidR="003E08B6" w:rsidRPr="00C42F91" w:rsidRDefault="003E08B6" w:rsidP="0076113E">
            <w:pPr>
              <w:pStyle w:val="Glossarytabletext"/>
              <w:rPr>
                <w:lang w:eastAsia="en-US"/>
              </w:rPr>
            </w:pPr>
            <w:r>
              <w:rPr>
                <w:lang w:eastAsia="en-US"/>
              </w:rPr>
              <w:t>MIS</w:t>
            </w:r>
          </w:p>
        </w:tc>
        <w:tc>
          <w:tcPr>
            <w:tcW w:w="3885" w:type="dxa"/>
          </w:tcPr>
          <w:p w14:paraId="6ED720E2" w14:textId="780A0A7E" w:rsidR="003E08B6" w:rsidRPr="00C42F91" w:rsidRDefault="003E08B6" w:rsidP="00F73ED0">
            <w:pPr>
              <w:pStyle w:val="Glossarytabletext"/>
              <w:rPr>
                <w:lang w:eastAsia="en-US"/>
              </w:rPr>
            </w:pPr>
            <w:r>
              <w:rPr>
                <w:lang w:eastAsia="en-US"/>
              </w:rPr>
              <w:t>managed investment scheme</w:t>
            </w:r>
          </w:p>
        </w:tc>
      </w:tr>
      <w:tr w:rsidR="008E77D5" w:rsidRPr="00C42F91" w14:paraId="7E13A787" w14:textId="77777777" w:rsidTr="0076113E">
        <w:tc>
          <w:tcPr>
            <w:tcW w:w="2721" w:type="dxa"/>
          </w:tcPr>
          <w:p w14:paraId="7E13A785" w14:textId="6D8358C2" w:rsidR="008E77D5" w:rsidRPr="00C42F91" w:rsidRDefault="00F73ED0" w:rsidP="0076113E">
            <w:pPr>
              <w:pStyle w:val="Glossarytabletext"/>
              <w:rPr>
                <w:lang w:eastAsia="en-US"/>
              </w:rPr>
            </w:pPr>
            <w:r w:rsidRPr="00C42F91">
              <w:rPr>
                <w:lang w:eastAsia="en-US"/>
              </w:rPr>
              <w:t>MIT</w:t>
            </w:r>
          </w:p>
        </w:tc>
        <w:tc>
          <w:tcPr>
            <w:tcW w:w="3885" w:type="dxa"/>
          </w:tcPr>
          <w:p w14:paraId="7E13A786" w14:textId="5A971123" w:rsidR="008E77D5" w:rsidRPr="00C42F91" w:rsidRDefault="00F73ED0" w:rsidP="00F73ED0">
            <w:pPr>
              <w:pStyle w:val="Glossarytabletext"/>
              <w:rPr>
                <w:lang w:eastAsia="en-US"/>
              </w:rPr>
            </w:pPr>
            <w:r w:rsidRPr="00C42F91">
              <w:rPr>
                <w:lang w:eastAsia="en-US"/>
              </w:rPr>
              <w:t>managed investment trust</w:t>
            </w:r>
          </w:p>
        </w:tc>
      </w:tr>
      <w:tr w:rsidR="00421EC4" w:rsidRPr="00C42F91" w14:paraId="0BF5A1C8" w14:textId="77777777" w:rsidTr="0076113E">
        <w:tc>
          <w:tcPr>
            <w:tcW w:w="2721" w:type="dxa"/>
          </w:tcPr>
          <w:p w14:paraId="17C0358B" w14:textId="43AB478E" w:rsidR="00421EC4" w:rsidRDefault="00421EC4" w:rsidP="00421EC4">
            <w:pPr>
              <w:pStyle w:val="Glossarytabletext"/>
              <w:rPr>
                <w:lang w:eastAsia="en-US"/>
              </w:rPr>
            </w:pPr>
            <w:r>
              <w:rPr>
                <w:lang w:eastAsia="en-US"/>
              </w:rPr>
              <w:t>PAYG</w:t>
            </w:r>
          </w:p>
        </w:tc>
        <w:tc>
          <w:tcPr>
            <w:tcW w:w="3885" w:type="dxa"/>
          </w:tcPr>
          <w:p w14:paraId="43D2E059" w14:textId="01F66A56" w:rsidR="00421EC4" w:rsidRDefault="00421EC4" w:rsidP="00F73ED0">
            <w:pPr>
              <w:pStyle w:val="Glossarytabletext"/>
              <w:rPr>
                <w:lang w:eastAsia="en-US"/>
              </w:rPr>
            </w:pPr>
            <w:r>
              <w:rPr>
                <w:lang w:eastAsia="en-US"/>
              </w:rPr>
              <w:t>Pay As You Go</w:t>
            </w:r>
          </w:p>
        </w:tc>
      </w:tr>
      <w:tr w:rsidR="00C73B12" w:rsidRPr="00C42F91" w14:paraId="440C7706" w14:textId="77777777" w:rsidTr="0076113E">
        <w:tc>
          <w:tcPr>
            <w:tcW w:w="2721" w:type="dxa"/>
          </w:tcPr>
          <w:p w14:paraId="09CEDA54" w14:textId="6C8F30B8" w:rsidR="00C73B12" w:rsidRDefault="00C73B12" w:rsidP="00421EC4">
            <w:pPr>
              <w:pStyle w:val="Glossarytabletext"/>
              <w:rPr>
                <w:lang w:eastAsia="en-US"/>
              </w:rPr>
            </w:pPr>
            <w:r>
              <w:rPr>
                <w:lang w:eastAsia="en-US"/>
              </w:rPr>
              <w:t>TAA 1953</w:t>
            </w:r>
          </w:p>
        </w:tc>
        <w:tc>
          <w:tcPr>
            <w:tcW w:w="3885" w:type="dxa"/>
          </w:tcPr>
          <w:p w14:paraId="5F9A7878" w14:textId="4C4CFE8D" w:rsidR="00C73B12" w:rsidRPr="00C73B12" w:rsidRDefault="00C73B12" w:rsidP="00F73ED0">
            <w:pPr>
              <w:pStyle w:val="Glossarytabletext"/>
              <w:rPr>
                <w:i/>
                <w:lang w:eastAsia="en-US"/>
              </w:rPr>
            </w:pPr>
            <w:r w:rsidRPr="00C73B12">
              <w:rPr>
                <w:i/>
                <w:lang w:eastAsia="en-US"/>
              </w:rPr>
              <w:t>Taxation Administration Act 1953</w:t>
            </w:r>
          </w:p>
        </w:tc>
      </w:tr>
    </w:tbl>
    <w:p w14:paraId="7E13A79D" w14:textId="77777777" w:rsidR="008E77D5" w:rsidRPr="00C42F91" w:rsidRDefault="008E77D5" w:rsidP="0076113E">
      <w:pPr>
        <w:sectPr w:rsidR="008E77D5" w:rsidRPr="00C42F91" w:rsidSect="0076113E">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pgNumType w:start="1"/>
          <w:cols w:space="708"/>
          <w:titlePg/>
          <w:docGrid w:linePitch="360"/>
        </w:sectPr>
      </w:pPr>
    </w:p>
    <w:p w14:paraId="7E13A79F" w14:textId="618A68AD" w:rsidR="008E77D5" w:rsidRPr="00C42F91" w:rsidRDefault="008E77D5" w:rsidP="0076113E">
      <w:pPr>
        <w:pStyle w:val="ChapterHeading"/>
        <w:tabs>
          <w:tab w:val="clear" w:pos="1134"/>
          <w:tab w:val="num" w:pos="360"/>
        </w:tabs>
      </w:pPr>
      <w:r w:rsidRPr="00C42F91">
        <w:lastRenderedPageBreak/>
        <w:br/>
      </w:r>
      <w:bookmarkStart w:id="1" w:name="_Toc501005912"/>
      <w:r w:rsidR="00F948DB" w:rsidRPr="00C42F91">
        <w:t xml:space="preserve">Tax treatment of </w:t>
      </w:r>
      <w:r w:rsidR="003E76B6">
        <w:t xml:space="preserve">corporate collective investment </w:t>
      </w:r>
      <w:r w:rsidR="003E76B6" w:rsidRPr="00C42F91">
        <w:t>v</w:t>
      </w:r>
      <w:r w:rsidR="003E76B6">
        <w:t>ehicle</w:t>
      </w:r>
      <w:r w:rsidR="003E76B6" w:rsidRPr="00C42F91">
        <w:t>s</w:t>
      </w:r>
      <w:bookmarkEnd w:id="1"/>
    </w:p>
    <w:p w14:paraId="7E13A7A0" w14:textId="77777777" w:rsidR="008E77D5" w:rsidRPr="00C42F91" w:rsidRDefault="008E77D5" w:rsidP="0076113E">
      <w:pPr>
        <w:pStyle w:val="Heading2"/>
      </w:pPr>
      <w:r w:rsidRPr="00C42F91">
        <w:t>Outline of chapter</w:t>
      </w:r>
    </w:p>
    <w:p w14:paraId="6C0FAB76" w14:textId="2A06CB35" w:rsidR="00477A81" w:rsidRDefault="00B25800" w:rsidP="00AC5854">
      <w:pPr>
        <w:pStyle w:val="base-text-paragraph"/>
        <w:numPr>
          <w:ilvl w:val="1"/>
          <w:numId w:val="21"/>
        </w:numPr>
      </w:pPr>
      <w:r w:rsidRPr="00C42F91">
        <w:t xml:space="preserve">Schedule # to this </w:t>
      </w:r>
      <w:r w:rsidR="00567B62">
        <w:t xml:space="preserve">exposure draft </w:t>
      </w:r>
      <w:r w:rsidRPr="00C42F91">
        <w:t xml:space="preserve">Bill </w:t>
      </w:r>
      <w:r w:rsidR="00A70B64">
        <w:t>amends the ITAA 1997 and the TAA 1953 to specify</w:t>
      </w:r>
      <w:r w:rsidR="0042555B">
        <w:t xml:space="preserve"> the tax</w:t>
      </w:r>
      <w:r w:rsidR="00B019C4">
        <w:t xml:space="preserve"> treatment </w:t>
      </w:r>
      <w:r w:rsidR="00AE0454">
        <w:t xml:space="preserve">for </w:t>
      </w:r>
      <w:r w:rsidR="00B019C4">
        <w:t xml:space="preserve">a </w:t>
      </w:r>
      <w:r w:rsidR="006321BC">
        <w:t xml:space="preserve">company </w:t>
      </w:r>
      <w:r w:rsidR="00A70B64">
        <w:t>that</w:t>
      </w:r>
      <w:r w:rsidR="0042555B">
        <w:t xml:space="preserve"> is </w:t>
      </w:r>
      <w:r w:rsidR="00D11277">
        <w:t xml:space="preserve">a </w:t>
      </w:r>
      <w:r w:rsidR="00C61B9A">
        <w:t>CCIV</w:t>
      </w:r>
      <w:r w:rsidRPr="00C42F91">
        <w:t xml:space="preserve">. </w:t>
      </w:r>
      <w:r w:rsidR="00B76903">
        <w:t xml:space="preserve">This tax treatment broadly </w:t>
      </w:r>
      <w:r w:rsidR="00AE0454">
        <w:t xml:space="preserve">aligns </w:t>
      </w:r>
      <w:r w:rsidR="00B76903">
        <w:t xml:space="preserve">with the way </w:t>
      </w:r>
      <w:r w:rsidR="00567B62">
        <w:t>AMITs</w:t>
      </w:r>
      <w:r w:rsidR="00B76903">
        <w:t xml:space="preserve"> are currently taxed. </w:t>
      </w:r>
    </w:p>
    <w:p w14:paraId="03D57807" w14:textId="7F8A535E" w:rsidR="00353F5A" w:rsidRDefault="00353F5A" w:rsidP="00AC5854">
      <w:pPr>
        <w:pStyle w:val="base-text-paragraph"/>
        <w:numPr>
          <w:ilvl w:val="1"/>
          <w:numId w:val="21"/>
        </w:numPr>
      </w:pPr>
      <w:r>
        <w:t>The</w:t>
      </w:r>
      <w:r w:rsidR="00725FDD">
        <w:t xml:space="preserve"> </w:t>
      </w:r>
      <w:r w:rsidR="00A70B64">
        <w:t xml:space="preserve">amendments </w:t>
      </w:r>
      <w:r>
        <w:t>ensure that CCIV</w:t>
      </w:r>
      <w:r w:rsidR="00D11277">
        <w:t xml:space="preserve">s </w:t>
      </w:r>
      <w:r w:rsidR="00AC5854">
        <w:t>are</w:t>
      </w:r>
      <w:r>
        <w:t xml:space="preserve"> taxed on a ‘character flow-through’ basis. </w:t>
      </w:r>
      <w:r w:rsidR="008B2951" w:rsidRPr="008B2951">
        <w:t>Amounts of assess</w:t>
      </w:r>
      <w:r w:rsidR="00A70B64">
        <w:t>able income, exempt income, non</w:t>
      </w:r>
      <w:r w:rsidR="00A70B64">
        <w:noBreakHyphen/>
      </w:r>
      <w:r w:rsidR="008B2951" w:rsidRPr="008B2951">
        <w:t>assessable non-exempt income</w:t>
      </w:r>
      <w:r w:rsidR="00A70B64">
        <w:t xml:space="preserve"> and</w:t>
      </w:r>
      <w:r w:rsidR="00833817">
        <w:t xml:space="preserve"> </w:t>
      </w:r>
      <w:r w:rsidR="008B2951" w:rsidRPr="008B2951">
        <w:t>tax offsets</w:t>
      </w:r>
      <w:r w:rsidR="00833817">
        <w:t xml:space="preserve"> </w:t>
      </w:r>
      <w:r w:rsidR="008B2951" w:rsidRPr="008B2951">
        <w:t>received by the CCIV having a particular character will be attributed to members</w:t>
      </w:r>
      <w:r w:rsidR="007C7A20">
        <w:t>. Those amounts will retain that character and</w:t>
      </w:r>
      <w:r w:rsidR="003C7C84">
        <w:t xml:space="preserve"> </w:t>
      </w:r>
      <w:r w:rsidR="00A70B64">
        <w:t xml:space="preserve">be </w:t>
      </w:r>
      <w:r w:rsidR="008B2951" w:rsidRPr="008B2951">
        <w:t>ta</w:t>
      </w:r>
      <w:r w:rsidR="007C7A20">
        <w:t xml:space="preserve">xed in the hands of each member. </w:t>
      </w:r>
    </w:p>
    <w:p w14:paraId="0FD58924" w14:textId="4FD490AA" w:rsidR="00725FDD" w:rsidRPr="00C42F91" w:rsidRDefault="00725FDD" w:rsidP="00AC5854">
      <w:pPr>
        <w:pStyle w:val="base-text-paragraph"/>
        <w:numPr>
          <w:ilvl w:val="1"/>
          <w:numId w:val="21"/>
        </w:numPr>
      </w:pPr>
      <w:r>
        <w:t xml:space="preserve">All </w:t>
      </w:r>
      <w:r w:rsidR="00D11277">
        <w:t xml:space="preserve">legislative </w:t>
      </w:r>
      <w:r>
        <w:t xml:space="preserve">references </w:t>
      </w:r>
      <w:r w:rsidR="00D11277">
        <w:t xml:space="preserve">in this Chapter </w:t>
      </w:r>
      <w:r>
        <w:t>are to the ITAA</w:t>
      </w:r>
      <w:r w:rsidR="003E76B6">
        <w:t> </w:t>
      </w:r>
      <w:r>
        <w:t xml:space="preserve">1997 unless otherwise </w:t>
      </w:r>
      <w:r w:rsidR="00D11277">
        <w:t>stated</w:t>
      </w:r>
      <w:r>
        <w:t xml:space="preserve">. </w:t>
      </w:r>
    </w:p>
    <w:p w14:paraId="7E13A7A2" w14:textId="77777777" w:rsidR="008E77D5" w:rsidRPr="005D5FB1" w:rsidRDefault="008E77D5" w:rsidP="002344F6">
      <w:pPr>
        <w:pStyle w:val="Heading2"/>
      </w:pPr>
      <w:r w:rsidRPr="005D5FB1">
        <w:t>Context of amendments</w:t>
      </w:r>
    </w:p>
    <w:p w14:paraId="51968793" w14:textId="2E33C0B9" w:rsidR="002344F6" w:rsidRPr="005D5FB1" w:rsidRDefault="003F2B72" w:rsidP="002344F6">
      <w:pPr>
        <w:pStyle w:val="Heading3"/>
      </w:pPr>
      <w:r>
        <w:t>Introduction of the CCIV</w:t>
      </w:r>
    </w:p>
    <w:p w14:paraId="0FEA1CCD" w14:textId="4C05731A" w:rsidR="003214A0" w:rsidRDefault="0020055B" w:rsidP="00C83D1C">
      <w:pPr>
        <w:pStyle w:val="base-text-paragraph"/>
        <w:numPr>
          <w:ilvl w:val="1"/>
          <w:numId w:val="21"/>
        </w:numPr>
      </w:pPr>
      <w:r w:rsidRPr="00A46B7F">
        <w:t>In the 2016</w:t>
      </w:r>
      <w:r w:rsidRPr="00A46B7F">
        <w:noBreakHyphen/>
        <w:t xml:space="preserve">17 Budget, as part of the Ten Year Enterprise Tax Plan, the Government announced </w:t>
      </w:r>
      <w:r w:rsidR="0042555B">
        <w:t xml:space="preserve">that </w:t>
      </w:r>
      <w:r w:rsidRPr="00A46B7F">
        <w:t xml:space="preserve">it would introduce tax and regulatory frameworks for two new types of </w:t>
      </w:r>
      <w:r w:rsidR="00661250">
        <w:t>CIVs</w:t>
      </w:r>
      <w:r w:rsidR="003214A0">
        <w:t>:</w:t>
      </w:r>
      <w:r w:rsidRPr="00A46B7F">
        <w:t xml:space="preserve"> the CCIV and the limited partnership CIV.</w:t>
      </w:r>
    </w:p>
    <w:p w14:paraId="50BEFC27" w14:textId="02E82B7F" w:rsidR="00D0343F" w:rsidRPr="00995F6C" w:rsidRDefault="003E76B6" w:rsidP="00C83D1C">
      <w:pPr>
        <w:pStyle w:val="base-text-paragraph"/>
        <w:numPr>
          <w:ilvl w:val="1"/>
          <w:numId w:val="21"/>
        </w:numPr>
      </w:pPr>
      <w:r>
        <w:t>CIVs</w:t>
      </w:r>
      <w:r w:rsidR="003214A0">
        <w:t xml:space="preserve"> are intended to engage in primarily passive investment activities</w:t>
      </w:r>
      <w:r w:rsidR="0042555B">
        <w:t xml:space="preserve"> and </w:t>
      </w:r>
      <w:r w:rsidR="003214A0">
        <w:t xml:space="preserve">comply with similar </w:t>
      </w:r>
      <w:r w:rsidR="00336948">
        <w:t xml:space="preserve">eligibility criteria as MITs, such as being widely held and provide investors with tax outcomes </w:t>
      </w:r>
      <w:r w:rsidR="0042555B">
        <w:t xml:space="preserve">that are generally equivalent to the tax outcomes that would have applied </w:t>
      </w:r>
      <w:r w:rsidR="00336948">
        <w:t>if they had invested directly.</w:t>
      </w:r>
    </w:p>
    <w:p w14:paraId="38170A99" w14:textId="18A842F9" w:rsidR="0042555B" w:rsidRDefault="003E76B6" w:rsidP="00C83D1C">
      <w:pPr>
        <w:pStyle w:val="base-text-paragraph"/>
        <w:numPr>
          <w:ilvl w:val="1"/>
          <w:numId w:val="21"/>
        </w:numPr>
      </w:pPr>
      <w:r>
        <w:t>T</w:t>
      </w:r>
      <w:r w:rsidR="0020055B" w:rsidRPr="00995F6C">
        <w:t xml:space="preserve">he </w:t>
      </w:r>
      <w:r>
        <w:t xml:space="preserve">new </w:t>
      </w:r>
      <w:r w:rsidR="0020055B" w:rsidRPr="00995F6C">
        <w:t xml:space="preserve">CCIV </w:t>
      </w:r>
      <w:r>
        <w:t>regime</w:t>
      </w:r>
      <w:r w:rsidR="0020055B" w:rsidRPr="00995F6C">
        <w:t xml:space="preserve"> will broaden the suite of investment vehicles available to Australian fund managers</w:t>
      </w:r>
      <w:r w:rsidR="00FF2040">
        <w:t>. It has been designed to be an</w:t>
      </w:r>
      <w:r w:rsidR="0020055B" w:rsidRPr="00995F6C">
        <w:t xml:space="preserve"> internationally recognisable investment vehicle</w:t>
      </w:r>
      <w:r w:rsidR="00FF2040">
        <w:t xml:space="preserve"> that </w:t>
      </w:r>
      <w:r w:rsidR="0020055B" w:rsidRPr="00995F6C">
        <w:t xml:space="preserve">can be marketed to foreign investors, including through the </w:t>
      </w:r>
      <w:r w:rsidR="0020055B">
        <w:t xml:space="preserve">Asia Region Funds </w:t>
      </w:r>
      <w:r w:rsidR="0042555B">
        <w:t>Passport.</w:t>
      </w:r>
    </w:p>
    <w:p w14:paraId="5EF991D9" w14:textId="0520F69E" w:rsidR="00336948" w:rsidRDefault="002E6A13" w:rsidP="00430F9B">
      <w:pPr>
        <w:pStyle w:val="base-text-paragraph"/>
        <w:numPr>
          <w:ilvl w:val="1"/>
          <w:numId w:val="20"/>
        </w:numPr>
      </w:pPr>
      <w:r w:rsidRPr="005D5FB1">
        <w:lastRenderedPageBreak/>
        <w:t xml:space="preserve">On </w:t>
      </w:r>
      <w:r w:rsidR="007904E1" w:rsidRPr="005D5FB1">
        <w:t>25</w:t>
      </w:r>
      <w:r w:rsidRPr="005D5FB1">
        <w:t xml:space="preserve"> August 2017</w:t>
      </w:r>
      <w:r w:rsidR="009C3FFB" w:rsidRPr="005D5FB1">
        <w:t>,</w:t>
      </w:r>
      <w:r w:rsidRPr="00995F6C">
        <w:t xml:space="preserve"> the Government released an exposure draft of the CCIV Regulatory </w:t>
      </w:r>
      <w:r w:rsidR="00DD08A8" w:rsidRPr="00995F6C">
        <w:t xml:space="preserve">Exposure Draft </w:t>
      </w:r>
      <w:r w:rsidR="00661250">
        <w:t xml:space="preserve">Bill </w:t>
      </w:r>
      <w:r w:rsidRPr="00995F6C">
        <w:t xml:space="preserve">and explanatory materials. The CCIV Regulatory </w:t>
      </w:r>
      <w:r w:rsidR="00DD08A8" w:rsidRPr="00995F6C">
        <w:t xml:space="preserve">Exposure Draft </w:t>
      </w:r>
      <w:r w:rsidRPr="00995F6C">
        <w:t xml:space="preserve">Bill and explanatory materials set out the </w:t>
      </w:r>
      <w:r w:rsidR="004C06B2">
        <w:t xml:space="preserve">core features of the </w:t>
      </w:r>
      <w:r w:rsidRPr="00995F6C">
        <w:t xml:space="preserve">regulatory framework and the context for the new </w:t>
      </w:r>
      <w:r w:rsidR="000E331E" w:rsidRPr="00995F6C">
        <w:t xml:space="preserve">CCIV </w:t>
      </w:r>
      <w:r w:rsidRPr="00995F6C">
        <w:t>regime.</w:t>
      </w:r>
      <w:r w:rsidR="00DD08A8" w:rsidRPr="00995F6C">
        <w:t xml:space="preserve"> </w:t>
      </w:r>
    </w:p>
    <w:p w14:paraId="1233CA27" w14:textId="5DD3A8FD" w:rsidR="003455BD" w:rsidRDefault="003455BD" w:rsidP="00430F9B">
      <w:pPr>
        <w:pStyle w:val="base-text-paragraph"/>
        <w:numPr>
          <w:ilvl w:val="1"/>
          <w:numId w:val="20"/>
        </w:numPr>
      </w:pPr>
      <w:r>
        <w:t xml:space="preserve">This exposure draft Bill and draft explanatory </w:t>
      </w:r>
      <w:r w:rsidR="00AE0454">
        <w:t xml:space="preserve">materials </w:t>
      </w:r>
      <w:r>
        <w:t xml:space="preserve">outline the tax regime for the CCIV and </w:t>
      </w:r>
      <w:r w:rsidRPr="00995F6C">
        <w:t>should be read in conjunction with the CCIV Regulatory Exposure Draft Bill and accompanying explanatory materials</w:t>
      </w:r>
      <w:r>
        <w:t xml:space="preserve">. </w:t>
      </w:r>
    </w:p>
    <w:p w14:paraId="4A4A15DF" w14:textId="137393BD" w:rsidR="00122157" w:rsidRDefault="00113FDF" w:rsidP="00430F9B">
      <w:pPr>
        <w:pStyle w:val="base-text-paragraph"/>
        <w:numPr>
          <w:ilvl w:val="1"/>
          <w:numId w:val="20"/>
        </w:numPr>
      </w:pPr>
      <w:r w:rsidRPr="00995F6C">
        <w:t xml:space="preserve">The Government </w:t>
      </w:r>
      <w:r w:rsidR="00995F6C">
        <w:t xml:space="preserve">also </w:t>
      </w:r>
      <w:r w:rsidRPr="00995F6C">
        <w:t>released</w:t>
      </w:r>
      <w:r w:rsidR="0042555B">
        <w:t xml:space="preserve"> </w:t>
      </w:r>
      <w:r w:rsidRPr="00995F6C">
        <w:t>an exposure draft of t</w:t>
      </w:r>
      <w:r w:rsidR="00724D1B">
        <w:t>he Corporations Amendment (Asia</w:t>
      </w:r>
      <w:r w:rsidRPr="00995F6C">
        <w:t xml:space="preserve"> Region Funds Passport) Bill 2017</w:t>
      </w:r>
      <w:r w:rsidR="00995F6C">
        <w:t xml:space="preserve"> and accompanying explanatory materials. </w:t>
      </w:r>
    </w:p>
    <w:p w14:paraId="46D47FF9" w14:textId="171DB097" w:rsidR="00113FDF" w:rsidRDefault="001B0968" w:rsidP="00430F9B">
      <w:pPr>
        <w:pStyle w:val="base-text-paragraph"/>
        <w:numPr>
          <w:ilvl w:val="1"/>
          <w:numId w:val="20"/>
        </w:numPr>
      </w:pPr>
      <w:r>
        <w:t>Consultation on both the</w:t>
      </w:r>
      <w:r w:rsidR="001B737E">
        <w:t xml:space="preserve"> </w:t>
      </w:r>
      <w:r w:rsidR="007C7A20" w:rsidRPr="00995F6C">
        <w:t xml:space="preserve">CCIV Regulatory Exposure Draft Bill </w:t>
      </w:r>
      <w:r w:rsidR="00122157">
        <w:t xml:space="preserve">and the </w:t>
      </w:r>
      <w:r w:rsidR="00724D1B">
        <w:t>Asia</w:t>
      </w:r>
      <w:r w:rsidR="007C7A20">
        <w:t xml:space="preserve"> Region Funds Passport Exposure Draft </w:t>
      </w:r>
      <w:r w:rsidR="007C7A20" w:rsidRPr="00995F6C">
        <w:t xml:space="preserve">Bill </w:t>
      </w:r>
      <w:r w:rsidR="00122157">
        <w:t xml:space="preserve">closed on </w:t>
      </w:r>
      <w:r w:rsidR="00A70B64">
        <w:t>21 </w:t>
      </w:r>
      <w:r>
        <w:t>September 2017.</w:t>
      </w:r>
      <w:r w:rsidR="00122157">
        <w:t xml:space="preserve"> </w:t>
      </w:r>
    </w:p>
    <w:p w14:paraId="162F3502" w14:textId="0CBEEEA3" w:rsidR="002344F6" w:rsidRPr="00A46B7F" w:rsidRDefault="002344F6" w:rsidP="002344F6">
      <w:pPr>
        <w:pStyle w:val="Heading3"/>
      </w:pPr>
      <w:r w:rsidRPr="00A46B7F">
        <w:t>Attribution managed investment trusts</w:t>
      </w:r>
    </w:p>
    <w:p w14:paraId="00694170" w14:textId="6438ED9F" w:rsidR="00DF38A7" w:rsidRPr="00BF3D02" w:rsidRDefault="00122157" w:rsidP="00430F9B">
      <w:pPr>
        <w:pStyle w:val="base-text-paragraph"/>
        <w:numPr>
          <w:ilvl w:val="1"/>
          <w:numId w:val="20"/>
        </w:numPr>
      </w:pPr>
      <w:r>
        <w:t xml:space="preserve">In 2016, the Government introduced </w:t>
      </w:r>
      <w:r w:rsidR="003E76B6">
        <w:t>the</w:t>
      </w:r>
      <w:r>
        <w:t xml:space="preserve"> new tax system for </w:t>
      </w:r>
      <w:r w:rsidR="00A70B64">
        <w:t>A</w:t>
      </w:r>
      <w:r w:rsidR="003549E4">
        <w:t>MITs</w:t>
      </w:r>
      <w:r>
        <w:t>.</w:t>
      </w:r>
      <w:r w:rsidR="00A70B64">
        <w:t xml:space="preserve"> </w:t>
      </w:r>
      <w:r>
        <w:t>Th</w:t>
      </w:r>
      <w:r w:rsidR="003E76B6">
        <w:t>is</w:t>
      </w:r>
      <w:r w:rsidR="00F2562F" w:rsidRPr="00A46B7F">
        <w:t xml:space="preserve"> new tax system </w:t>
      </w:r>
      <w:r w:rsidR="00885B93" w:rsidRPr="00A46B7F">
        <w:t>applied</w:t>
      </w:r>
      <w:r w:rsidR="00DF38A7" w:rsidRPr="00A46B7F">
        <w:t xml:space="preserve"> </w:t>
      </w:r>
      <w:r w:rsidR="00391824" w:rsidRPr="00A46B7F">
        <w:t xml:space="preserve">the </w:t>
      </w:r>
      <w:r w:rsidR="00574420" w:rsidRPr="00A46B7F">
        <w:t xml:space="preserve">attribution or </w:t>
      </w:r>
      <w:r w:rsidR="00DF38A7" w:rsidRPr="00BF3D02">
        <w:t>‘character flow</w:t>
      </w:r>
      <w:r w:rsidR="00DF38A7" w:rsidRPr="00BF3D02">
        <w:noBreakHyphen/>
        <w:t xml:space="preserve">through’ taxation </w:t>
      </w:r>
      <w:r w:rsidR="00391824" w:rsidRPr="00BF3D02">
        <w:t xml:space="preserve">model </w:t>
      </w:r>
      <w:r w:rsidR="00DF38A7" w:rsidRPr="00BF3D02">
        <w:t>to</w:t>
      </w:r>
      <w:r w:rsidR="00F2562F" w:rsidRPr="00BF3D02">
        <w:t xml:space="preserve"> </w:t>
      </w:r>
      <w:r w:rsidR="0036433E">
        <w:t>A</w:t>
      </w:r>
      <w:r w:rsidR="00DF38A7" w:rsidRPr="00BF3D02">
        <w:t>MIT</w:t>
      </w:r>
      <w:r w:rsidR="00661250">
        <w:t>s</w:t>
      </w:r>
      <w:r w:rsidR="003E76B6">
        <w:t xml:space="preserve"> to</w:t>
      </w:r>
      <w:r w:rsidR="00DF38A7" w:rsidRPr="00BF3D02">
        <w:t xml:space="preserve"> ensure that amounts derived or received by the </w:t>
      </w:r>
      <w:r w:rsidR="00F22B28">
        <w:t>AMIT</w:t>
      </w:r>
      <w:r w:rsidR="00DF38A7" w:rsidRPr="00BF3D02">
        <w:t xml:space="preserve"> </w:t>
      </w:r>
      <w:r w:rsidR="003E76B6">
        <w:t>are</w:t>
      </w:r>
      <w:r w:rsidR="00391824" w:rsidRPr="00BF3D02">
        <w:t xml:space="preserve"> attributed to members </w:t>
      </w:r>
      <w:r w:rsidR="003E76B6">
        <w:t xml:space="preserve">and </w:t>
      </w:r>
      <w:r w:rsidR="00DF38A7" w:rsidRPr="00BF3D02">
        <w:t>retain the</w:t>
      </w:r>
      <w:r w:rsidR="003E76B6">
        <w:t>ir</w:t>
      </w:r>
      <w:r w:rsidR="00DF38A7" w:rsidRPr="00BF3D02">
        <w:t xml:space="preserve"> character for income tax purposes.</w:t>
      </w:r>
      <w:r w:rsidR="001369A5">
        <w:t xml:space="preserve"> </w:t>
      </w:r>
    </w:p>
    <w:p w14:paraId="4A002FBE" w14:textId="356FCE55" w:rsidR="005749AE" w:rsidRPr="00BF3D02" w:rsidRDefault="005749AE" w:rsidP="00430F9B">
      <w:pPr>
        <w:pStyle w:val="base-text-paragraph"/>
        <w:numPr>
          <w:ilvl w:val="1"/>
          <w:numId w:val="20"/>
        </w:numPr>
      </w:pPr>
      <w:r w:rsidRPr="00BF3D02">
        <w:t>On 19 July 2017, the Minister for Revenue and Financial Services issued a media release outlining a number of clarifications to the AMIT tax framework</w:t>
      </w:r>
      <w:r w:rsidR="00CB6892">
        <w:t xml:space="preserve"> to ensure that it operates as intended</w:t>
      </w:r>
      <w:r w:rsidR="00BB4D08" w:rsidRPr="00BF3D02">
        <w:t xml:space="preserve">. These AMIT amendments </w:t>
      </w:r>
      <w:r w:rsidR="003E23E7" w:rsidRPr="00BF3D02">
        <w:t>address some technical issues with the practical operation of the AMIT</w:t>
      </w:r>
      <w:r w:rsidR="002F796B" w:rsidRPr="00BF3D02">
        <w:t xml:space="preserve"> regime </w:t>
      </w:r>
      <w:r w:rsidR="003E23E7" w:rsidRPr="00BF3D02">
        <w:t xml:space="preserve">and </w:t>
      </w:r>
      <w:r w:rsidRPr="00BF3D02">
        <w:t xml:space="preserve">clarify the operation of the </w:t>
      </w:r>
      <w:r w:rsidR="00BB4D08" w:rsidRPr="00BF3D02">
        <w:t xml:space="preserve">income tax </w:t>
      </w:r>
      <w:r w:rsidRPr="00BF3D02">
        <w:t xml:space="preserve">law. </w:t>
      </w:r>
      <w:r w:rsidR="005E7E6C">
        <w:t xml:space="preserve">These </w:t>
      </w:r>
      <w:r w:rsidRPr="00BF3D02">
        <w:t>amendments will be progressed in parallel with the finalisation of the CCIV tax framework</w:t>
      </w:r>
      <w:r w:rsidR="00196AEF">
        <w:t>.</w:t>
      </w:r>
    </w:p>
    <w:p w14:paraId="7E13A7A4" w14:textId="77777777" w:rsidR="008E77D5" w:rsidRPr="00BF3D02" w:rsidRDefault="008E77D5" w:rsidP="0076113E">
      <w:pPr>
        <w:pStyle w:val="Heading2"/>
      </w:pPr>
      <w:r w:rsidRPr="00BF3D02">
        <w:t>Summary of new law</w:t>
      </w:r>
    </w:p>
    <w:p w14:paraId="09B1E21A" w14:textId="753163B5" w:rsidR="00A15174" w:rsidRDefault="00A70B64" w:rsidP="00430F9B">
      <w:pPr>
        <w:pStyle w:val="base-text-paragraph"/>
        <w:numPr>
          <w:ilvl w:val="1"/>
          <w:numId w:val="20"/>
        </w:numPr>
      </w:pPr>
      <w:r w:rsidRPr="00C42F91">
        <w:t xml:space="preserve">Schedule # to this </w:t>
      </w:r>
      <w:r>
        <w:t xml:space="preserve">exposure draft </w:t>
      </w:r>
      <w:r w:rsidRPr="00C42F91">
        <w:t xml:space="preserve">Bill </w:t>
      </w:r>
      <w:r>
        <w:t>amends the ITAA 1997 and the TAA 1953 to specify the tax treatment for a company that is a CCIV</w:t>
      </w:r>
      <w:r w:rsidRPr="00C42F91">
        <w:t xml:space="preserve">. </w:t>
      </w:r>
      <w:r>
        <w:t>This tax treatment broadly aligns with the way AMITs are currently taxed</w:t>
      </w:r>
      <w:r w:rsidR="00082F6B">
        <w:t xml:space="preserve">. </w:t>
      </w:r>
    </w:p>
    <w:p w14:paraId="7962A329" w14:textId="23616C5D" w:rsidR="00082F6B" w:rsidRDefault="00CF32A4" w:rsidP="00430F9B">
      <w:pPr>
        <w:pStyle w:val="base-text-paragraph"/>
        <w:numPr>
          <w:ilvl w:val="1"/>
          <w:numId w:val="20"/>
        </w:numPr>
      </w:pPr>
      <w:r>
        <w:t xml:space="preserve">Broadly, a CCIV is a company </w:t>
      </w:r>
      <w:r w:rsidR="006869CD">
        <w:t xml:space="preserve">that is </w:t>
      </w:r>
      <w:r>
        <w:t xml:space="preserve">registered under the </w:t>
      </w:r>
      <w:r w:rsidR="007C7A20">
        <w:t>Corporations Act that</w:t>
      </w:r>
      <w:r>
        <w:t xml:space="preserve"> satisfies certain regulatory requirements.</w:t>
      </w:r>
    </w:p>
    <w:p w14:paraId="703906EF" w14:textId="4DD12655" w:rsidR="000C244F" w:rsidRDefault="0051125B" w:rsidP="00430F9B">
      <w:pPr>
        <w:pStyle w:val="base-text-paragraph"/>
        <w:numPr>
          <w:ilvl w:val="1"/>
          <w:numId w:val="20"/>
        </w:numPr>
      </w:pPr>
      <w:r>
        <w:lastRenderedPageBreak/>
        <w:t>A CCIV</w:t>
      </w:r>
      <w:r w:rsidR="008305A5">
        <w:t xml:space="preserve"> that satisfies</w:t>
      </w:r>
      <w:r w:rsidR="00CF32A4">
        <w:t xml:space="preserve"> </w:t>
      </w:r>
      <w:r w:rsidR="000C244F">
        <w:t xml:space="preserve">the requirements </w:t>
      </w:r>
      <w:r w:rsidR="003E76B6">
        <w:t>to be</w:t>
      </w:r>
      <w:r w:rsidR="000C244F">
        <w:t xml:space="preserve"> an </w:t>
      </w:r>
      <w:r w:rsidR="0074503B">
        <w:t xml:space="preserve">ACCIV </w:t>
      </w:r>
      <w:r w:rsidR="008305A5">
        <w:t>has</w:t>
      </w:r>
      <w:r w:rsidR="000C244F">
        <w:t xml:space="preserve"> access to an attribution or ‘character flow-thr</w:t>
      </w:r>
      <w:r w:rsidR="006869CD">
        <w:t xml:space="preserve">ough’ model of taxation. A CCIV will be an ACCIV if:  </w:t>
      </w:r>
      <w:r w:rsidR="000C244F">
        <w:t xml:space="preserve"> </w:t>
      </w:r>
    </w:p>
    <w:p w14:paraId="68146AB8" w14:textId="6FE42BC2" w:rsidR="000C244F" w:rsidRPr="00BF3D02" w:rsidRDefault="000C244F" w:rsidP="00430F9B">
      <w:pPr>
        <w:pStyle w:val="dotpoint"/>
      </w:pPr>
      <w:r w:rsidRPr="00BF3D02">
        <w:t>the entity is a CCIV at a</w:t>
      </w:r>
      <w:r>
        <w:t>ll times during the income year;</w:t>
      </w:r>
    </w:p>
    <w:p w14:paraId="724F0469" w14:textId="77777777" w:rsidR="000C244F" w:rsidRPr="00BF3D02" w:rsidRDefault="000C244F" w:rsidP="00430F9B">
      <w:pPr>
        <w:pStyle w:val="dotpoint"/>
      </w:pPr>
      <w:r w:rsidRPr="00BF3D02">
        <w:t>each sub</w:t>
      </w:r>
      <w:r w:rsidRPr="00BF3D02">
        <w:noBreakHyphen/>
        <w:t>fund of the entity satisfies the widely</w:t>
      </w:r>
      <w:r w:rsidRPr="00BF3D02">
        <w:noBreakHyphen/>
        <w:t>held requirements and closely</w:t>
      </w:r>
      <w:r w:rsidRPr="00BF3D02">
        <w:noBreakHyphen/>
        <w:t>held restrictions in relation to the income year (or the alternative test);</w:t>
      </w:r>
    </w:p>
    <w:p w14:paraId="5C691BBD" w14:textId="77D1E783" w:rsidR="000C244F" w:rsidRPr="00BF3D02" w:rsidRDefault="000C244F" w:rsidP="00430F9B">
      <w:pPr>
        <w:pStyle w:val="dotpoint"/>
      </w:pPr>
      <w:r w:rsidRPr="00172F13">
        <w:t>the entity</w:t>
      </w:r>
      <w:r w:rsidR="00172F13" w:rsidRPr="00172F13">
        <w:t xml:space="preserve">, through </w:t>
      </w:r>
      <w:r w:rsidR="0051125B">
        <w:t>one or more</w:t>
      </w:r>
      <w:r w:rsidR="00172F13" w:rsidRPr="00172F13">
        <w:t xml:space="preserve"> of its sub</w:t>
      </w:r>
      <w:r w:rsidR="00172F13" w:rsidRPr="00172F13">
        <w:noBreakHyphen/>
        <w:t>funds</w:t>
      </w:r>
      <w:r w:rsidRPr="00BF3D02">
        <w:t xml:space="preserve"> </w:t>
      </w:r>
      <w:r w:rsidR="0051125B">
        <w:t xml:space="preserve">or otherwise, </w:t>
      </w:r>
      <w:r w:rsidRPr="00BF3D02">
        <w:t>satisfies the trading business restrictions</w:t>
      </w:r>
      <w:r w:rsidR="006869CD">
        <w:t>;</w:t>
      </w:r>
      <w:r>
        <w:t xml:space="preserve"> </w:t>
      </w:r>
      <w:r w:rsidRPr="00BF3D02">
        <w:t>and</w:t>
      </w:r>
    </w:p>
    <w:p w14:paraId="475A1B92" w14:textId="77777777" w:rsidR="000C244F" w:rsidRPr="00BF3D02" w:rsidRDefault="000C244F" w:rsidP="00430F9B">
      <w:pPr>
        <w:pStyle w:val="dotpoint"/>
      </w:pPr>
      <w:r w:rsidRPr="00BF3D02">
        <w:t>either:</w:t>
      </w:r>
    </w:p>
    <w:p w14:paraId="66E077D1" w14:textId="55632195" w:rsidR="000C244F" w:rsidRPr="00BF3D02" w:rsidRDefault="000C244F" w:rsidP="000C244F">
      <w:pPr>
        <w:pStyle w:val="dotpoint2"/>
      </w:pPr>
      <w:r w:rsidRPr="00BF3D02">
        <w:t>the corporate director has elected to apply the ACCIV</w:t>
      </w:r>
      <w:r w:rsidR="006869CD">
        <w:t xml:space="preserve">                  </w:t>
      </w:r>
      <w:r w:rsidRPr="00BF3D02">
        <w:t xml:space="preserve"> </w:t>
      </w:r>
      <w:r w:rsidR="006869CD">
        <w:t xml:space="preserve">     </w:t>
      </w:r>
      <w:r w:rsidRPr="00BF3D02">
        <w:t>regime for the income year; or</w:t>
      </w:r>
    </w:p>
    <w:p w14:paraId="4C618D94" w14:textId="77777777" w:rsidR="000C244F" w:rsidRDefault="000C244F" w:rsidP="000C244F">
      <w:pPr>
        <w:pStyle w:val="dotpoint2"/>
      </w:pPr>
      <w:r w:rsidRPr="00BF3D02">
        <w:t>the entity was an ACCIV for an earlier income year.</w:t>
      </w:r>
    </w:p>
    <w:p w14:paraId="41937270" w14:textId="73D306DE" w:rsidR="0049124F" w:rsidRDefault="0049124F" w:rsidP="00430F9B">
      <w:pPr>
        <w:pStyle w:val="base-text-paragraph"/>
        <w:numPr>
          <w:ilvl w:val="1"/>
          <w:numId w:val="20"/>
        </w:numPr>
      </w:pPr>
      <w:r>
        <w:t>However, if, due to temporary circumstances that are outside the control of the corporate director, the CCIV fails the A</w:t>
      </w:r>
      <w:r w:rsidR="00635C70">
        <w:t xml:space="preserve">CCIV requirements, the CCIV </w:t>
      </w:r>
      <w:r w:rsidR="008305A5">
        <w:t>can</w:t>
      </w:r>
      <w:r>
        <w:t xml:space="preserve"> </w:t>
      </w:r>
      <w:r w:rsidR="008305A5">
        <w:t xml:space="preserve">continue to be treated as </w:t>
      </w:r>
      <w:r>
        <w:t xml:space="preserve">an ACCIV in relation to the income year if it is fair and reasonable to </w:t>
      </w:r>
      <w:r w:rsidR="006869CD">
        <w:t>do so.</w:t>
      </w:r>
    </w:p>
    <w:p w14:paraId="083C2FD1" w14:textId="3DF1D347" w:rsidR="000C244F" w:rsidRDefault="000C244F" w:rsidP="00430F9B">
      <w:pPr>
        <w:pStyle w:val="base-text-paragraph"/>
        <w:numPr>
          <w:ilvl w:val="1"/>
          <w:numId w:val="20"/>
        </w:numPr>
      </w:pPr>
      <w:r>
        <w:t>Under the</w:t>
      </w:r>
      <w:r w:rsidR="008305A5">
        <w:t xml:space="preserve"> attribution model, an ACCIV has</w:t>
      </w:r>
      <w:r>
        <w:t xml:space="preserve"> the following benefits: </w:t>
      </w:r>
    </w:p>
    <w:p w14:paraId="4BAE4789" w14:textId="67713086" w:rsidR="000C244F" w:rsidRDefault="004A0745" w:rsidP="00C83D1C">
      <w:pPr>
        <w:pStyle w:val="dotpoint"/>
        <w:numPr>
          <w:ilvl w:val="0"/>
          <w:numId w:val="16"/>
        </w:numPr>
      </w:pPr>
      <w:r>
        <w:t>f</w:t>
      </w:r>
      <w:r w:rsidR="007D3205">
        <w:t>or income</w:t>
      </w:r>
      <w:r w:rsidR="008305A5">
        <w:t xml:space="preserve"> tax purposes, the ACCIV is</w:t>
      </w:r>
      <w:r w:rsidR="007D3205">
        <w:t xml:space="preserve"> able to attribute amounts of assessable income, exempt income, non</w:t>
      </w:r>
      <w:r w:rsidR="003E76B6">
        <w:noBreakHyphen/>
      </w:r>
      <w:r w:rsidR="007D3205">
        <w:t>assessable non</w:t>
      </w:r>
      <w:r w:rsidR="003E76B6">
        <w:noBreakHyphen/>
      </w:r>
      <w:r w:rsidR="007D3205">
        <w:t>exempt income</w:t>
      </w:r>
      <w:r w:rsidR="00A70B64">
        <w:t xml:space="preserve"> and</w:t>
      </w:r>
      <w:r w:rsidR="007D3205">
        <w:t xml:space="preserve"> tax offsets to members on a fair and reasonable basis</w:t>
      </w:r>
      <w:r w:rsidR="006360A2">
        <w:t xml:space="preserve">; </w:t>
      </w:r>
    </w:p>
    <w:p w14:paraId="5C4BEAB3" w14:textId="29F875CC" w:rsidR="006360A2" w:rsidRDefault="004A0745" w:rsidP="00C83D1C">
      <w:pPr>
        <w:pStyle w:val="dotpoint"/>
        <w:numPr>
          <w:ilvl w:val="0"/>
          <w:numId w:val="16"/>
        </w:numPr>
      </w:pPr>
      <w:r>
        <w:t>i</w:t>
      </w:r>
      <w:r w:rsidR="006360A2">
        <w:t xml:space="preserve">f the ACCIV discovers </w:t>
      </w:r>
      <w:r w:rsidR="008305A5">
        <w:t xml:space="preserve">a </w:t>
      </w:r>
      <w:r w:rsidR="006360A2">
        <w:t>variance between the amounts actually attribute</w:t>
      </w:r>
      <w:r w:rsidR="0074503B">
        <w:t>d to members for an income year</w:t>
      </w:r>
      <w:r w:rsidR="006360A2">
        <w:t xml:space="preserve">, and the amounts that should have been attributed, the ACCIV </w:t>
      </w:r>
      <w:r w:rsidR="008305A5">
        <w:t xml:space="preserve">can </w:t>
      </w:r>
      <w:r w:rsidR="006360A2">
        <w:t>reconcile the variance in the income year that is discovered by using the ‘under</w:t>
      </w:r>
      <w:r w:rsidR="00F022DC">
        <w:t>s</w:t>
      </w:r>
      <w:r w:rsidR="00AC26A8">
        <w:t>’</w:t>
      </w:r>
      <w:r w:rsidR="006360A2">
        <w:t xml:space="preserve"> and </w:t>
      </w:r>
      <w:r w:rsidR="00AC26A8">
        <w:t>‘</w:t>
      </w:r>
      <w:r w:rsidR="006360A2">
        <w:t>overs’</w:t>
      </w:r>
      <w:r>
        <w:t xml:space="preserve"> regime; </w:t>
      </w:r>
      <w:r w:rsidR="006869CD">
        <w:t>and</w:t>
      </w:r>
    </w:p>
    <w:p w14:paraId="02FAB8D8" w14:textId="421FEE35" w:rsidR="004A0745" w:rsidRDefault="004A0745" w:rsidP="00C83D1C">
      <w:pPr>
        <w:pStyle w:val="dotpoint"/>
        <w:numPr>
          <w:ilvl w:val="0"/>
          <w:numId w:val="16"/>
        </w:numPr>
      </w:pPr>
      <w:r>
        <w:t>where certain criteria are met, an ACCIV with separate classes of m</w:t>
      </w:r>
      <w:r w:rsidR="00D306E4">
        <w:t xml:space="preserve">embership interests may elect </w:t>
      </w:r>
      <w:r w:rsidR="003E76B6">
        <w:t>to treat</w:t>
      </w:r>
      <w:r>
        <w:t xml:space="preserve"> </w:t>
      </w:r>
      <w:r w:rsidR="006869CD">
        <w:t>those</w:t>
      </w:r>
      <w:r>
        <w:t xml:space="preserve"> </w:t>
      </w:r>
      <w:r w:rsidR="00D306E4">
        <w:t xml:space="preserve">classes </w:t>
      </w:r>
      <w:r>
        <w:t>as separate ACCIVs for the purposes of Division</w:t>
      </w:r>
      <w:r w:rsidR="003E76B6">
        <w:t> </w:t>
      </w:r>
      <w:r>
        <w:t>276</w:t>
      </w:r>
      <w:r w:rsidR="0075711E">
        <w:t xml:space="preserve">. </w:t>
      </w:r>
    </w:p>
    <w:p w14:paraId="7C812988" w14:textId="6361887B" w:rsidR="00CF32A4" w:rsidRDefault="00B27460" w:rsidP="00430F9B">
      <w:pPr>
        <w:pStyle w:val="base-text-paragraph"/>
        <w:numPr>
          <w:ilvl w:val="1"/>
          <w:numId w:val="20"/>
        </w:numPr>
      </w:pPr>
      <w:r>
        <w:t>In addition, the amendments:</w:t>
      </w:r>
    </w:p>
    <w:p w14:paraId="6A62BB4B" w14:textId="2FDBAB80" w:rsidR="004A0745" w:rsidRDefault="001D0FA3" w:rsidP="004A0745">
      <w:pPr>
        <w:pStyle w:val="dotpoint"/>
      </w:pPr>
      <w:r>
        <w:t>m</w:t>
      </w:r>
      <w:r w:rsidR="004A0745">
        <w:t xml:space="preserve">ake the ACCIV liable to pay tax in certain circumstances; </w:t>
      </w:r>
    </w:p>
    <w:p w14:paraId="07A39BE6" w14:textId="2CF50BA4" w:rsidR="004A0745" w:rsidRDefault="004A0745" w:rsidP="004A0745">
      <w:pPr>
        <w:pStyle w:val="dotpoint"/>
      </w:pPr>
      <w:r>
        <w:lastRenderedPageBreak/>
        <w:t xml:space="preserve">ensure that the PAYG withholding provisions and the withholding tax liability provisions apply appropriately to ACCIVs and their members, including members that are custodians; </w:t>
      </w:r>
    </w:p>
    <w:p w14:paraId="72C97DB8" w14:textId="70F8C0BB" w:rsidR="001D0FA3" w:rsidRDefault="00DC557F" w:rsidP="004A0745">
      <w:pPr>
        <w:pStyle w:val="dotpoint"/>
      </w:pPr>
      <w:r>
        <w:t xml:space="preserve">provide ACCIVs access </w:t>
      </w:r>
      <w:r w:rsidR="001D0FA3">
        <w:t xml:space="preserve">to deemed capital account treatment; </w:t>
      </w:r>
      <w:r w:rsidR="0074503B">
        <w:t>and</w:t>
      </w:r>
    </w:p>
    <w:p w14:paraId="358E01E7" w14:textId="7996C9B8" w:rsidR="00A70B64" w:rsidRDefault="00A70B64" w:rsidP="00A70B64">
      <w:pPr>
        <w:pStyle w:val="dotpoint"/>
      </w:pPr>
      <w:r w:rsidRPr="00A70B64">
        <w:t>establish CGT event M1 for AIVs (which apply to both AMITs and ACCIVs) to ensure that shifts in the value of a membership interest in the AIV over the income year due to attribution and distribution will be reflected in adjustments to the cost base of the membership interest</w:t>
      </w:r>
      <w:r>
        <w:t>.</w:t>
      </w:r>
    </w:p>
    <w:p w14:paraId="0EA3B29E" w14:textId="2D7E4C72" w:rsidR="001D0FA3" w:rsidRDefault="0074503B" w:rsidP="00430F9B">
      <w:pPr>
        <w:pStyle w:val="base-text-paragraph"/>
        <w:numPr>
          <w:ilvl w:val="1"/>
          <w:numId w:val="20"/>
        </w:numPr>
      </w:pPr>
      <w:r>
        <w:t>Eligible AMIT</w:t>
      </w:r>
      <w:r w:rsidR="00FC7B01">
        <w:t>s</w:t>
      </w:r>
      <w:r>
        <w:t xml:space="preserve"> that choose to transition into a</w:t>
      </w:r>
      <w:r w:rsidR="00D306E4">
        <w:t>n</w:t>
      </w:r>
      <w:r>
        <w:t xml:space="preserve"> </w:t>
      </w:r>
      <w:r w:rsidR="00D306E4">
        <w:t>A</w:t>
      </w:r>
      <w:r>
        <w:t>CCIV will be provided roll</w:t>
      </w:r>
      <w:r w:rsidR="00983015">
        <w:t>-</w:t>
      </w:r>
      <w:r>
        <w:t>over relief on a ‘like for like’ basis to ensure tha</w:t>
      </w:r>
      <w:r w:rsidR="00073E6B">
        <w:t>t members of those entities are</w:t>
      </w:r>
      <w:r>
        <w:t xml:space="preserve"> not </w:t>
      </w:r>
      <w:r w:rsidR="00D306E4">
        <w:t>disadvantaged by the restructure.</w:t>
      </w:r>
    </w:p>
    <w:p w14:paraId="5EF9D69E" w14:textId="3761E1C5" w:rsidR="00A25416" w:rsidRDefault="00586CF5" w:rsidP="00430F9B">
      <w:pPr>
        <w:pStyle w:val="base-text-paragraph"/>
        <w:numPr>
          <w:ilvl w:val="1"/>
          <w:numId w:val="20"/>
        </w:numPr>
      </w:pPr>
      <w:r>
        <w:t>A CCIV</w:t>
      </w:r>
      <w:r w:rsidR="00A25416">
        <w:t xml:space="preserve"> that fail</w:t>
      </w:r>
      <w:r>
        <w:t>s</w:t>
      </w:r>
      <w:r w:rsidR="00A25416">
        <w:t xml:space="preserve"> to satisfy the ACCIV criter</w:t>
      </w:r>
      <w:r w:rsidR="00D306E4">
        <w:t xml:space="preserve">ia is subject to </w:t>
      </w:r>
      <w:r w:rsidR="00A25416">
        <w:t>taxation</w:t>
      </w:r>
      <w:r w:rsidR="00073E6B">
        <w:t xml:space="preserve"> at the corporate rate. Further, it cannot </w:t>
      </w:r>
      <w:r w:rsidR="00A25416">
        <w:t>distribute franking credits to members as it</w:t>
      </w:r>
      <w:r w:rsidR="00073E6B">
        <w:t xml:space="preserve"> is not </w:t>
      </w:r>
      <w:r w:rsidR="00D306E4">
        <w:t xml:space="preserve">a franking entity. </w:t>
      </w:r>
    </w:p>
    <w:p w14:paraId="02A2D40A" w14:textId="300388FA" w:rsidR="00082F6B" w:rsidRPr="00130D7B" w:rsidRDefault="00082F6B" w:rsidP="00430F9B">
      <w:pPr>
        <w:pStyle w:val="base-text-paragraph"/>
        <w:numPr>
          <w:ilvl w:val="1"/>
          <w:numId w:val="20"/>
        </w:numPr>
      </w:pPr>
      <w:r w:rsidRPr="00130D7B">
        <w:t xml:space="preserve">The </w:t>
      </w:r>
      <w:r w:rsidR="00080275">
        <w:t>amendments</w:t>
      </w:r>
      <w:r w:rsidRPr="00130D7B">
        <w:t xml:space="preserve"> </w:t>
      </w:r>
      <w:r w:rsidR="00A75CC0">
        <w:t xml:space="preserve">also </w:t>
      </w:r>
      <w:r w:rsidRPr="00130D7B">
        <w:t xml:space="preserve">provide benefits to members of an </w:t>
      </w:r>
      <w:r w:rsidR="00080275">
        <w:t>ACCIV</w:t>
      </w:r>
      <w:r w:rsidRPr="00130D7B">
        <w:t xml:space="preserve"> </w:t>
      </w:r>
      <w:r w:rsidR="00A70B64">
        <w:t>by</w:t>
      </w:r>
      <w:r w:rsidRPr="00130D7B">
        <w:t>:</w:t>
      </w:r>
    </w:p>
    <w:p w14:paraId="3BAD2593" w14:textId="575EBE14" w:rsidR="00082F6B" w:rsidRDefault="00A70B64" w:rsidP="00C83D1C">
      <w:pPr>
        <w:pStyle w:val="dotpoint"/>
        <w:numPr>
          <w:ilvl w:val="0"/>
          <w:numId w:val="16"/>
        </w:numPr>
      </w:pPr>
      <w:r>
        <w:t xml:space="preserve">applying </w:t>
      </w:r>
      <w:r w:rsidR="00082F6B" w:rsidRPr="00130D7B">
        <w:t>a ‘ch</w:t>
      </w:r>
      <w:r w:rsidR="008305A5">
        <w:t xml:space="preserve">aracter flow-through’ model </w:t>
      </w:r>
      <w:r w:rsidR="00082F6B" w:rsidRPr="00130D7B">
        <w:t>to ensure that amounts derived or received by the</w:t>
      </w:r>
      <w:r w:rsidR="00080275">
        <w:t xml:space="preserve"> ACCIV</w:t>
      </w:r>
      <w:r w:rsidR="00082F6B" w:rsidRPr="00130D7B">
        <w:t xml:space="preserve"> that are attributed to members retain the character they had in the hands of the </w:t>
      </w:r>
      <w:r w:rsidR="00080275">
        <w:t>ACCIV</w:t>
      </w:r>
      <w:r w:rsidR="00D306E4">
        <w:t xml:space="preserve"> for income tax purposes;</w:t>
      </w:r>
    </w:p>
    <w:p w14:paraId="3538C597" w14:textId="2AB1C5B6" w:rsidR="00D306E4" w:rsidRPr="00130D7B" w:rsidRDefault="00A70B64" w:rsidP="00C83D1C">
      <w:pPr>
        <w:pStyle w:val="dotpoint"/>
        <w:numPr>
          <w:ilvl w:val="0"/>
          <w:numId w:val="16"/>
        </w:numPr>
      </w:pPr>
      <w:r>
        <w:t xml:space="preserve">applying </w:t>
      </w:r>
      <w:r w:rsidR="00F956C6">
        <w:t>a</w:t>
      </w:r>
      <w:r w:rsidR="00D306E4">
        <w:t xml:space="preserve">n </w:t>
      </w:r>
      <w:r w:rsidR="008305A5">
        <w:t>‘</w:t>
      </w:r>
      <w:r w:rsidR="00D306E4">
        <w:t>unders</w:t>
      </w:r>
      <w:r w:rsidR="001D084D">
        <w:t>’</w:t>
      </w:r>
      <w:r w:rsidR="00D306E4">
        <w:t xml:space="preserve"> and </w:t>
      </w:r>
      <w:r w:rsidR="001D084D">
        <w:t>‘</w:t>
      </w:r>
      <w:r w:rsidR="008305A5">
        <w:t>overs’ regime to reconcile variances, rather than requiring members to amend assessments for earlier income years; and</w:t>
      </w:r>
    </w:p>
    <w:p w14:paraId="6DC4EDCC" w14:textId="1B11A01F" w:rsidR="00516521" w:rsidRDefault="00A70B64" w:rsidP="00516521">
      <w:pPr>
        <w:pStyle w:val="dotpoint"/>
        <w:numPr>
          <w:ilvl w:val="0"/>
          <w:numId w:val="16"/>
        </w:numPr>
      </w:pPr>
      <w:r>
        <w:t xml:space="preserve">reducing </w:t>
      </w:r>
      <w:r w:rsidR="00082F6B" w:rsidRPr="00130D7B">
        <w:t>double taxation tha</w:t>
      </w:r>
      <w:r w:rsidR="008305A5">
        <w:t xml:space="preserve">t might otherwise arise </w:t>
      </w:r>
      <w:r>
        <w:t>by allowing</w:t>
      </w:r>
      <w:r w:rsidR="00082F6B" w:rsidRPr="00130D7B">
        <w:t xml:space="preserve"> members to make annual upward and downward adjustments to the cost bases of their</w:t>
      </w:r>
      <w:r w:rsidR="00080275">
        <w:t xml:space="preserve"> shares in the ACCIV.</w:t>
      </w:r>
    </w:p>
    <w:p w14:paraId="5F4FFDFC" w14:textId="2FB45476" w:rsidR="00516521" w:rsidRDefault="00803742" w:rsidP="00516521">
      <w:pPr>
        <w:pStyle w:val="base-text-paragraph"/>
        <w:numPr>
          <w:ilvl w:val="1"/>
          <w:numId w:val="20"/>
        </w:numPr>
      </w:pPr>
      <w:r>
        <w:t>A</w:t>
      </w:r>
      <w:r w:rsidRPr="00130D7B">
        <w:t>mounts derived or received by the</w:t>
      </w:r>
      <w:r>
        <w:t xml:space="preserve"> ACCIV</w:t>
      </w:r>
      <w:r w:rsidRPr="00130D7B">
        <w:t xml:space="preserve"> that are a</w:t>
      </w:r>
      <w:r>
        <w:t xml:space="preserve">ttributed to members retain their </w:t>
      </w:r>
      <w:r w:rsidR="00366C1D">
        <w:t xml:space="preserve">original </w:t>
      </w:r>
      <w:r w:rsidRPr="00130D7B">
        <w:t>character</w:t>
      </w:r>
      <w:r>
        <w:t xml:space="preserve"> and </w:t>
      </w:r>
      <w:r w:rsidR="00366C1D">
        <w:t xml:space="preserve">therefore will not </w:t>
      </w:r>
      <w:r w:rsidR="001701D4">
        <w:t xml:space="preserve">be </w:t>
      </w:r>
      <w:r w:rsidR="00366C1D">
        <w:t>treated as a dividend.</w:t>
      </w:r>
      <w:r w:rsidR="00BF1FE9">
        <w:t xml:space="preserve"> Where the ACCIV holds assets that are shares which pay franked dividends, both the dividend and franking credit will flow through the ACCIV to the member. </w:t>
      </w:r>
    </w:p>
    <w:p w14:paraId="7E13A7A6" w14:textId="77777777" w:rsidR="008E77D5" w:rsidRPr="00BF3D02" w:rsidRDefault="008E77D5" w:rsidP="0076113E">
      <w:pPr>
        <w:pStyle w:val="Heading2with18pointafter"/>
      </w:pPr>
      <w:r w:rsidRPr="00BF3D02">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E77D5" w:rsidRPr="00BF3D02" w14:paraId="7E13A7A9" w14:textId="77777777" w:rsidTr="0076113E">
        <w:tc>
          <w:tcPr>
            <w:tcW w:w="3275" w:type="dxa"/>
          </w:tcPr>
          <w:p w14:paraId="7E13A7A7" w14:textId="77777777" w:rsidR="008E77D5" w:rsidRPr="008A1841" w:rsidRDefault="008E77D5" w:rsidP="0076113E">
            <w:pPr>
              <w:pStyle w:val="tableheaderwithintable"/>
              <w:rPr>
                <w:lang w:eastAsia="en-US"/>
              </w:rPr>
            </w:pPr>
            <w:r w:rsidRPr="008A1841">
              <w:rPr>
                <w:lang w:eastAsia="en-US"/>
              </w:rPr>
              <w:t>New law</w:t>
            </w:r>
          </w:p>
        </w:tc>
        <w:tc>
          <w:tcPr>
            <w:tcW w:w="3276" w:type="dxa"/>
          </w:tcPr>
          <w:p w14:paraId="7E13A7A8" w14:textId="77777777" w:rsidR="008E77D5" w:rsidRPr="008A1841" w:rsidRDefault="008E77D5" w:rsidP="0076113E">
            <w:pPr>
              <w:pStyle w:val="tableheaderwithintable"/>
              <w:rPr>
                <w:lang w:eastAsia="en-US"/>
              </w:rPr>
            </w:pPr>
            <w:r w:rsidRPr="008A1841">
              <w:rPr>
                <w:lang w:eastAsia="en-US"/>
              </w:rPr>
              <w:t>Current law</w:t>
            </w:r>
          </w:p>
        </w:tc>
      </w:tr>
      <w:tr w:rsidR="00530C44" w:rsidRPr="00BF3D02" w14:paraId="7FC60A88" w14:textId="77777777" w:rsidTr="0076113E">
        <w:tc>
          <w:tcPr>
            <w:tcW w:w="3275" w:type="dxa"/>
          </w:tcPr>
          <w:p w14:paraId="45094B8D" w14:textId="19B0BE62" w:rsidR="00BC4555" w:rsidRDefault="00081E9A" w:rsidP="00BC4555">
            <w:pPr>
              <w:pStyle w:val="tabletext"/>
              <w:rPr>
                <w:lang w:eastAsia="en-US"/>
              </w:rPr>
            </w:pPr>
            <w:r>
              <w:rPr>
                <w:lang w:eastAsia="en-US"/>
              </w:rPr>
              <w:t>Generally, a</w:t>
            </w:r>
            <w:r w:rsidR="00BC4555">
              <w:rPr>
                <w:lang w:eastAsia="en-US"/>
              </w:rPr>
              <w:t xml:space="preserve"> </w:t>
            </w:r>
            <w:r w:rsidR="00A70B64">
              <w:rPr>
                <w:lang w:eastAsia="en-US"/>
              </w:rPr>
              <w:t xml:space="preserve">company will qualify as an </w:t>
            </w:r>
            <w:r w:rsidR="00BC4555">
              <w:rPr>
                <w:lang w:eastAsia="en-US"/>
              </w:rPr>
              <w:t>ACCIV</w:t>
            </w:r>
            <w:r w:rsidR="00A70B64">
              <w:rPr>
                <w:lang w:eastAsia="en-US"/>
              </w:rPr>
              <w:t xml:space="preserve"> if</w:t>
            </w:r>
            <w:r w:rsidR="00BC4555">
              <w:rPr>
                <w:lang w:eastAsia="en-US"/>
              </w:rPr>
              <w:t xml:space="preserve">: </w:t>
            </w:r>
          </w:p>
          <w:p w14:paraId="03933B21" w14:textId="09F7B5FD" w:rsidR="00BC4555" w:rsidRDefault="00BC4555" w:rsidP="00BC4555">
            <w:pPr>
              <w:pStyle w:val="tabledotpoint"/>
              <w:rPr>
                <w:lang w:eastAsia="en-US"/>
              </w:rPr>
            </w:pPr>
            <w:r>
              <w:rPr>
                <w:lang w:eastAsia="en-US"/>
              </w:rPr>
              <w:t xml:space="preserve">the </w:t>
            </w:r>
            <w:r w:rsidR="00A70B64">
              <w:rPr>
                <w:lang w:eastAsia="en-US"/>
              </w:rPr>
              <w:t xml:space="preserve">company </w:t>
            </w:r>
            <w:r>
              <w:rPr>
                <w:lang w:eastAsia="en-US"/>
              </w:rPr>
              <w:t>is a CCIV at all times during the income year;</w:t>
            </w:r>
          </w:p>
          <w:p w14:paraId="42500F38" w14:textId="0C47E042" w:rsidR="00BC4555" w:rsidRDefault="00104F90" w:rsidP="00BC4555">
            <w:pPr>
              <w:pStyle w:val="tabledotpoint"/>
              <w:rPr>
                <w:lang w:eastAsia="en-US"/>
              </w:rPr>
            </w:pPr>
            <w:r>
              <w:rPr>
                <w:lang w:eastAsia="en-US"/>
              </w:rPr>
              <w:t>each sub-</w:t>
            </w:r>
            <w:r w:rsidR="00BC4555">
              <w:rPr>
                <w:lang w:eastAsia="en-US"/>
              </w:rPr>
              <w:t xml:space="preserve">fund of the </w:t>
            </w:r>
            <w:r w:rsidR="00A70B64">
              <w:rPr>
                <w:lang w:eastAsia="en-US"/>
              </w:rPr>
              <w:t xml:space="preserve">company </w:t>
            </w:r>
            <w:r w:rsidR="00BC4555">
              <w:rPr>
                <w:lang w:eastAsia="en-US"/>
              </w:rPr>
              <w:t>satisfies the widely held requirement</w:t>
            </w:r>
            <w:r w:rsidR="00081E9A">
              <w:rPr>
                <w:lang w:eastAsia="en-US"/>
              </w:rPr>
              <w:t>s and closely held restrictions;</w:t>
            </w:r>
          </w:p>
          <w:p w14:paraId="1464B3F5" w14:textId="2E951889" w:rsidR="00BC4555" w:rsidRDefault="003061B3" w:rsidP="00BC4555">
            <w:pPr>
              <w:pStyle w:val="tabledotpoint"/>
              <w:rPr>
                <w:lang w:eastAsia="en-US"/>
              </w:rPr>
            </w:pPr>
            <w:r>
              <w:rPr>
                <w:lang w:eastAsia="en-US"/>
              </w:rPr>
              <w:t xml:space="preserve">the </w:t>
            </w:r>
            <w:r w:rsidR="00A70B64">
              <w:rPr>
                <w:lang w:eastAsia="en-US"/>
              </w:rPr>
              <w:t xml:space="preserve">company </w:t>
            </w:r>
            <w:r>
              <w:rPr>
                <w:lang w:eastAsia="en-US"/>
              </w:rPr>
              <w:t>(through one or more of its sub-funds or otherwise)</w:t>
            </w:r>
            <w:r w:rsidR="00BC4555">
              <w:rPr>
                <w:lang w:eastAsia="en-US"/>
              </w:rPr>
              <w:t xml:space="preserve"> satisfies the trading business restrictions</w:t>
            </w:r>
            <w:r w:rsidR="00DC557F">
              <w:rPr>
                <w:lang w:eastAsia="en-US"/>
              </w:rPr>
              <w:t>;</w:t>
            </w:r>
            <w:r w:rsidR="00BC4555">
              <w:rPr>
                <w:lang w:eastAsia="en-US"/>
              </w:rPr>
              <w:t xml:space="preserve"> and</w:t>
            </w:r>
          </w:p>
          <w:p w14:paraId="765884F5" w14:textId="0F69BF4C" w:rsidR="00BC4555" w:rsidRDefault="00BC4555" w:rsidP="00BC4555">
            <w:pPr>
              <w:pStyle w:val="tabledotpoint"/>
              <w:rPr>
                <w:lang w:eastAsia="en-US"/>
              </w:rPr>
            </w:pPr>
            <w:r>
              <w:rPr>
                <w:lang w:eastAsia="en-US"/>
              </w:rPr>
              <w:t>either:</w:t>
            </w:r>
          </w:p>
          <w:p w14:paraId="3CF1ABBB" w14:textId="68FD370E" w:rsidR="00BC4555" w:rsidRDefault="00BC4555" w:rsidP="00BC4555">
            <w:pPr>
              <w:pStyle w:val="tabledotpoint"/>
              <w:numPr>
                <w:ilvl w:val="0"/>
                <w:numId w:val="0"/>
              </w:numPr>
              <w:ind w:left="284"/>
              <w:rPr>
                <w:lang w:eastAsia="en-US"/>
              </w:rPr>
            </w:pPr>
            <w:r>
              <w:rPr>
                <w:lang w:eastAsia="en-US"/>
              </w:rPr>
              <w:t>–</w:t>
            </w:r>
            <w:r>
              <w:rPr>
                <w:lang w:eastAsia="en-US"/>
              </w:rPr>
              <w:tab/>
              <w:t>the corporate director has elected to apply the ACCIV regime for the income year; or</w:t>
            </w:r>
          </w:p>
          <w:p w14:paraId="4288BA4C" w14:textId="68623739" w:rsidR="00530C44" w:rsidRPr="008F43B5" w:rsidRDefault="00BC4555" w:rsidP="008F43B5">
            <w:pPr>
              <w:pStyle w:val="tabledotpoint"/>
              <w:numPr>
                <w:ilvl w:val="0"/>
                <w:numId w:val="0"/>
              </w:numPr>
              <w:ind w:left="284"/>
              <w:rPr>
                <w:lang w:eastAsia="en-US"/>
              </w:rPr>
            </w:pPr>
            <w:r>
              <w:rPr>
                <w:lang w:eastAsia="en-US"/>
              </w:rPr>
              <w:t>–</w:t>
            </w:r>
            <w:r>
              <w:rPr>
                <w:lang w:eastAsia="en-US"/>
              </w:rPr>
              <w:tab/>
              <w:t xml:space="preserve">the </w:t>
            </w:r>
            <w:r w:rsidR="00A70B64">
              <w:rPr>
                <w:lang w:eastAsia="en-US"/>
              </w:rPr>
              <w:t xml:space="preserve">company </w:t>
            </w:r>
            <w:r>
              <w:rPr>
                <w:lang w:eastAsia="en-US"/>
              </w:rPr>
              <w:t>was an ACCIV for an earlier income year.</w:t>
            </w:r>
          </w:p>
        </w:tc>
        <w:tc>
          <w:tcPr>
            <w:tcW w:w="3276" w:type="dxa"/>
          </w:tcPr>
          <w:p w14:paraId="2C5106C1" w14:textId="71C862E8" w:rsidR="00690FD6" w:rsidRDefault="00690FD6" w:rsidP="00BC4555">
            <w:pPr>
              <w:pStyle w:val="tabledotpoint"/>
              <w:numPr>
                <w:ilvl w:val="0"/>
                <w:numId w:val="0"/>
              </w:numPr>
              <w:rPr>
                <w:lang w:eastAsia="en-US"/>
              </w:rPr>
            </w:pPr>
            <w:r>
              <w:rPr>
                <w:lang w:eastAsia="en-US"/>
              </w:rPr>
              <w:t>No equivalent</w:t>
            </w:r>
            <w:r w:rsidR="00A14992">
              <w:rPr>
                <w:lang w:eastAsia="en-US"/>
              </w:rPr>
              <w:t>.</w:t>
            </w:r>
          </w:p>
          <w:p w14:paraId="125FC99B" w14:textId="3E724640" w:rsidR="001A0EF1" w:rsidRDefault="001A0EF1" w:rsidP="00AC26A8">
            <w:pPr>
              <w:pStyle w:val="tabledotpoint"/>
              <w:numPr>
                <w:ilvl w:val="0"/>
                <w:numId w:val="0"/>
              </w:numPr>
            </w:pPr>
          </w:p>
        </w:tc>
      </w:tr>
      <w:tr w:rsidR="001578E0" w:rsidRPr="00BF3D02" w14:paraId="06F7B467" w14:textId="77777777" w:rsidTr="0076113E">
        <w:tc>
          <w:tcPr>
            <w:tcW w:w="3275" w:type="dxa"/>
          </w:tcPr>
          <w:p w14:paraId="3261A714" w14:textId="2B261555" w:rsidR="001578E0" w:rsidRDefault="001578E0" w:rsidP="0047482F">
            <w:pPr>
              <w:pStyle w:val="tabletext"/>
            </w:pPr>
            <w:r>
              <w:t>A CCIV that fails to meet the requirements to be a</w:t>
            </w:r>
            <w:r w:rsidR="008209DB">
              <w:t>n</w:t>
            </w:r>
            <w:r>
              <w:t xml:space="preserve"> ACCI</w:t>
            </w:r>
            <w:r w:rsidR="00104F90">
              <w:t xml:space="preserve">V </w:t>
            </w:r>
            <w:r w:rsidR="00B3500B">
              <w:t>due</w:t>
            </w:r>
            <w:r w:rsidR="00104F90">
              <w:t xml:space="preserve"> to </w:t>
            </w:r>
            <w:r w:rsidR="008209DB">
              <w:t xml:space="preserve">temporary </w:t>
            </w:r>
            <w:r w:rsidR="00B3500B">
              <w:t>circumstances that are</w:t>
            </w:r>
            <w:r w:rsidR="008209DB">
              <w:t xml:space="preserve"> outside the con</w:t>
            </w:r>
            <w:r w:rsidR="0047482F">
              <w:t>trol of the corporate director</w:t>
            </w:r>
            <w:r w:rsidR="00B3500B">
              <w:t xml:space="preserve"> can continue to be treated as an ACCIV if it is fair and reasonable to do so</w:t>
            </w:r>
            <w:r w:rsidR="0047482F">
              <w:t xml:space="preserve">. </w:t>
            </w:r>
          </w:p>
        </w:tc>
        <w:tc>
          <w:tcPr>
            <w:tcW w:w="3276" w:type="dxa"/>
          </w:tcPr>
          <w:p w14:paraId="5A87E432" w14:textId="168036D6" w:rsidR="00690FD6" w:rsidRDefault="00690FD6" w:rsidP="00BC4555">
            <w:pPr>
              <w:pStyle w:val="tabledotpoint"/>
              <w:numPr>
                <w:ilvl w:val="0"/>
                <w:numId w:val="0"/>
              </w:numPr>
            </w:pPr>
            <w:r>
              <w:rPr>
                <w:lang w:eastAsia="en-US"/>
              </w:rPr>
              <w:t>No equivalent</w:t>
            </w:r>
            <w:r w:rsidR="00A14992">
              <w:rPr>
                <w:lang w:eastAsia="en-US"/>
              </w:rPr>
              <w:t>.</w:t>
            </w:r>
            <w:r>
              <w:t xml:space="preserve"> </w:t>
            </w:r>
          </w:p>
          <w:p w14:paraId="67536FDF" w14:textId="10FB358B" w:rsidR="001578E0" w:rsidRPr="007A3E14" w:rsidRDefault="001578E0" w:rsidP="00BC4555">
            <w:pPr>
              <w:pStyle w:val="tabledotpoint"/>
              <w:numPr>
                <w:ilvl w:val="0"/>
                <w:numId w:val="0"/>
              </w:numPr>
              <w:rPr>
                <w:lang w:eastAsia="en-US"/>
              </w:rPr>
            </w:pPr>
          </w:p>
        </w:tc>
      </w:tr>
      <w:tr w:rsidR="00814C58" w:rsidRPr="00BF3D02" w14:paraId="4B0670EA" w14:textId="77777777" w:rsidTr="0076113E">
        <w:tc>
          <w:tcPr>
            <w:tcW w:w="3275" w:type="dxa"/>
          </w:tcPr>
          <w:p w14:paraId="26EE87CC" w14:textId="5280715E" w:rsidR="008F43B5" w:rsidRDefault="0049124F" w:rsidP="00080E31">
            <w:pPr>
              <w:pStyle w:val="tabletext"/>
            </w:pPr>
            <w:r>
              <w:t xml:space="preserve">An ACCIV is able to attribute amounts of </w:t>
            </w:r>
            <w:r w:rsidR="00976BCA">
              <w:t>assessable</w:t>
            </w:r>
            <w:r w:rsidR="00104F90">
              <w:t xml:space="preserve"> income, exempt income, non-assessable </w:t>
            </w:r>
            <w:r w:rsidR="00104F90">
              <w:br/>
              <w:t>non-</w:t>
            </w:r>
            <w:r>
              <w:t xml:space="preserve">exempt income, tax offsets and credits to members on a fair and reasonable basis in </w:t>
            </w:r>
            <w:r w:rsidR="00080E31">
              <w:t>accordance with their interests.</w:t>
            </w:r>
          </w:p>
        </w:tc>
        <w:tc>
          <w:tcPr>
            <w:tcW w:w="3276" w:type="dxa"/>
          </w:tcPr>
          <w:p w14:paraId="27DC571B" w14:textId="6FC22ED4" w:rsidR="00814C58" w:rsidRDefault="008F1A7E" w:rsidP="00976BCA">
            <w:pPr>
              <w:pStyle w:val="tabledotpoint"/>
              <w:numPr>
                <w:ilvl w:val="0"/>
                <w:numId w:val="0"/>
              </w:numPr>
            </w:pPr>
            <w:r>
              <w:t>A company is liable to pay tax on its taxable income at the corporate tax rate. Profits distributed to members are taxed as dividends. Under the company imputation system, the company has the option of passing to those members credit for income tax paid by the company. This is done by franking the distribution.</w:t>
            </w:r>
          </w:p>
        </w:tc>
      </w:tr>
      <w:tr w:rsidR="00530C44" w:rsidRPr="00BF3D02" w14:paraId="420959CB" w14:textId="77777777" w:rsidTr="0076113E">
        <w:tc>
          <w:tcPr>
            <w:tcW w:w="3275" w:type="dxa"/>
          </w:tcPr>
          <w:p w14:paraId="636ABD9F" w14:textId="77777777" w:rsidR="00A70B64" w:rsidRDefault="008209DB" w:rsidP="00A70B64">
            <w:pPr>
              <w:pStyle w:val="tabletext"/>
            </w:pPr>
            <w:r>
              <w:t xml:space="preserve">An ‘unders’ and ‘overs’ regime allows </w:t>
            </w:r>
            <w:r w:rsidR="00A70B64">
              <w:t>an</w:t>
            </w:r>
            <w:r>
              <w:t xml:space="preserve"> ACCIV to reconcile variances between the amounts actually attributed to members for an income year and the amounts that should have been attributed in the income year.</w:t>
            </w:r>
          </w:p>
          <w:p w14:paraId="2BBAE886" w14:textId="10F95BED" w:rsidR="00530C44" w:rsidRDefault="00530C44" w:rsidP="00A70B64">
            <w:pPr>
              <w:pStyle w:val="tabletext"/>
              <w:rPr>
                <w:highlight w:val="yellow"/>
                <w:lang w:eastAsia="en-US"/>
              </w:rPr>
            </w:pPr>
          </w:p>
        </w:tc>
        <w:tc>
          <w:tcPr>
            <w:tcW w:w="3276" w:type="dxa"/>
          </w:tcPr>
          <w:p w14:paraId="6CEABE13" w14:textId="7985EDEC" w:rsidR="00690FD6" w:rsidRDefault="00690FD6" w:rsidP="008F43B5">
            <w:pPr>
              <w:pStyle w:val="tabletext"/>
            </w:pPr>
            <w:r>
              <w:rPr>
                <w:lang w:eastAsia="en-US"/>
              </w:rPr>
              <w:t>No equivalent</w:t>
            </w:r>
            <w:r w:rsidR="00A14992">
              <w:rPr>
                <w:lang w:eastAsia="en-US"/>
              </w:rPr>
              <w:t>.</w:t>
            </w:r>
            <w:r>
              <w:t xml:space="preserve"> </w:t>
            </w:r>
          </w:p>
          <w:p w14:paraId="3C772669" w14:textId="040FFDAF" w:rsidR="001A0EF1" w:rsidRDefault="001A0EF1" w:rsidP="008F43B5">
            <w:pPr>
              <w:pStyle w:val="tabletext"/>
              <w:rPr>
                <w:lang w:eastAsia="en-US"/>
              </w:rPr>
            </w:pPr>
          </w:p>
        </w:tc>
      </w:tr>
      <w:tr w:rsidR="007A5B04" w:rsidRPr="00BF3D02" w14:paraId="6E86D78F" w14:textId="77777777" w:rsidTr="0076113E">
        <w:tc>
          <w:tcPr>
            <w:tcW w:w="3275" w:type="dxa"/>
          </w:tcPr>
          <w:p w14:paraId="0000085F" w14:textId="43D9B267" w:rsidR="007A5B04" w:rsidRDefault="007A5B04" w:rsidP="007A5B04">
            <w:pPr>
              <w:pStyle w:val="tabletext"/>
              <w:rPr>
                <w:lang w:eastAsia="en-US"/>
              </w:rPr>
            </w:pPr>
            <w:r>
              <w:rPr>
                <w:lang w:eastAsia="en-US"/>
              </w:rPr>
              <w:lastRenderedPageBreak/>
              <w:t xml:space="preserve">Assets transferred between sub-funds of an ACCIV will be recognised for certain tax purposes. </w:t>
            </w:r>
          </w:p>
        </w:tc>
        <w:tc>
          <w:tcPr>
            <w:tcW w:w="3276" w:type="dxa"/>
          </w:tcPr>
          <w:p w14:paraId="73114214" w14:textId="77777777" w:rsidR="007A5B04" w:rsidRDefault="007A5B04" w:rsidP="007A5B04">
            <w:pPr>
              <w:pStyle w:val="tabletext"/>
              <w:rPr>
                <w:lang w:eastAsia="en-US"/>
              </w:rPr>
            </w:pPr>
            <w:r>
              <w:rPr>
                <w:lang w:eastAsia="en-US"/>
              </w:rPr>
              <w:t xml:space="preserve">No equivalent. </w:t>
            </w:r>
          </w:p>
          <w:p w14:paraId="1C4DC4E2" w14:textId="77777777" w:rsidR="007A5B04" w:rsidRDefault="007A5B04" w:rsidP="00080E31">
            <w:pPr>
              <w:pStyle w:val="tabletext"/>
              <w:rPr>
                <w:lang w:eastAsia="en-US"/>
              </w:rPr>
            </w:pPr>
          </w:p>
        </w:tc>
      </w:tr>
      <w:tr w:rsidR="005B14E2" w:rsidRPr="00BF3D02" w14:paraId="356462A4" w14:textId="77777777" w:rsidTr="0076113E">
        <w:tc>
          <w:tcPr>
            <w:tcW w:w="3275" w:type="dxa"/>
          </w:tcPr>
          <w:p w14:paraId="24589939" w14:textId="66A07890" w:rsidR="005B14E2" w:rsidRDefault="005B14E2" w:rsidP="00080E31">
            <w:pPr>
              <w:pStyle w:val="tabletext"/>
            </w:pPr>
            <w:r>
              <w:rPr>
                <w:lang w:eastAsia="en-US"/>
              </w:rPr>
              <w:t>A corporate director of an ACCIV that has multiple classes of membership interests can make a choice that each of those classes be treated as a separate ACCIV under certain circumstances.</w:t>
            </w:r>
          </w:p>
        </w:tc>
        <w:tc>
          <w:tcPr>
            <w:tcW w:w="3276" w:type="dxa"/>
          </w:tcPr>
          <w:p w14:paraId="76FCBEF9" w14:textId="1B1AE0FF" w:rsidR="00690FD6" w:rsidRDefault="00690FD6" w:rsidP="00080E31">
            <w:pPr>
              <w:pStyle w:val="tabletext"/>
              <w:rPr>
                <w:lang w:eastAsia="en-US"/>
              </w:rPr>
            </w:pPr>
            <w:r>
              <w:rPr>
                <w:lang w:eastAsia="en-US"/>
              </w:rPr>
              <w:t>No equivalent</w:t>
            </w:r>
            <w:r w:rsidR="00A14992">
              <w:rPr>
                <w:lang w:eastAsia="en-US"/>
              </w:rPr>
              <w:t>.</w:t>
            </w:r>
            <w:r>
              <w:rPr>
                <w:lang w:eastAsia="en-US"/>
              </w:rPr>
              <w:t xml:space="preserve"> </w:t>
            </w:r>
          </w:p>
          <w:p w14:paraId="75FAE65D" w14:textId="042CD4EF" w:rsidR="005B14E2" w:rsidRDefault="005B14E2" w:rsidP="00080E31">
            <w:pPr>
              <w:pStyle w:val="tabletext"/>
            </w:pPr>
          </w:p>
        </w:tc>
      </w:tr>
      <w:tr w:rsidR="005B14E2" w:rsidRPr="00BF3D02" w14:paraId="331670B3" w14:textId="77777777" w:rsidTr="0076113E">
        <w:tc>
          <w:tcPr>
            <w:tcW w:w="3275" w:type="dxa"/>
          </w:tcPr>
          <w:p w14:paraId="68EE4CC1" w14:textId="35629D14" w:rsidR="005B14E2" w:rsidRDefault="005B14E2" w:rsidP="005B14E2">
            <w:pPr>
              <w:pStyle w:val="tabletext"/>
            </w:pPr>
            <w:r>
              <w:t>An eligi</w:t>
            </w:r>
            <w:r w:rsidR="00F4769C">
              <w:t xml:space="preserve">ble ACCIV can make a capital account treatment election. </w:t>
            </w:r>
          </w:p>
        </w:tc>
        <w:tc>
          <w:tcPr>
            <w:tcW w:w="3276" w:type="dxa"/>
          </w:tcPr>
          <w:p w14:paraId="270F1474" w14:textId="640EF13B" w:rsidR="00690FD6" w:rsidRDefault="00690FD6" w:rsidP="00F4769C">
            <w:pPr>
              <w:pStyle w:val="tabletext"/>
            </w:pPr>
            <w:r>
              <w:rPr>
                <w:lang w:eastAsia="en-US"/>
              </w:rPr>
              <w:t>No equivalent</w:t>
            </w:r>
            <w:r w:rsidR="00A14992">
              <w:rPr>
                <w:lang w:eastAsia="en-US"/>
              </w:rPr>
              <w:t>.</w:t>
            </w:r>
            <w:r>
              <w:t xml:space="preserve"> </w:t>
            </w:r>
          </w:p>
          <w:p w14:paraId="19036A6C" w14:textId="4A223394" w:rsidR="005B14E2" w:rsidRDefault="005B14E2" w:rsidP="00F4769C">
            <w:pPr>
              <w:pStyle w:val="tabletext"/>
              <w:rPr>
                <w:lang w:eastAsia="en-US"/>
              </w:rPr>
            </w:pPr>
          </w:p>
        </w:tc>
      </w:tr>
      <w:tr w:rsidR="005B14E2" w:rsidRPr="00BF3D02" w14:paraId="654A6558" w14:textId="77777777" w:rsidTr="0076113E">
        <w:tc>
          <w:tcPr>
            <w:tcW w:w="3275" w:type="dxa"/>
          </w:tcPr>
          <w:p w14:paraId="72F1146A" w14:textId="45A7F964" w:rsidR="005B14E2" w:rsidRDefault="00A51413" w:rsidP="005B14E2">
            <w:pPr>
              <w:pStyle w:val="tabletext"/>
            </w:pPr>
            <w:r>
              <w:t>A</w:t>
            </w:r>
            <w:r w:rsidR="001D084D">
              <w:t xml:space="preserve"> new CGT event M1 applies</w:t>
            </w:r>
            <w:r w:rsidR="00DC557F">
              <w:t xml:space="preserve"> to </w:t>
            </w:r>
            <w:r w:rsidR="00065AD4">
              <w:t xml:space="preserve">both AMITs and </w:t>
            </w:r>
            <w:r w:rsidR="00274BED">
              <w:t xml:space="preserve">ACCIVs. </w:t>
            </w:r>
          </w:p>
        </w:tc>
        <w:tc>
          <w:tcPr>
            <w:tcW w:w="3276" w:type="dxa"/>
          </w:tcPr>
          <w:p w14:paraId="25A92703" w14:textId="6E674C2D" w:rsidR="005B14E2" w:rsidRDefault="00690FD6" w:rsidP="008F43B5">
            <w:pPr>
              <w:pStyle w:val="tabletext"/>
              <w:rPr>
                <w:lang w:eastAsia="en-US"/>
              </w:rPr>
            </w:pPr>
            <w:r>
              <w:rPr>
                <w:lang w:eastAsia="en-US"/>
              </w:rPr>
              <w:t>No equivalent</w:t>
            </w:r>
            <w:r w:rsidR="00A14992">
              <w:rPr>
                <w:lang w:eastAsia="en-US"/>
              </w:rPr>
              <w:t>.</w:t>
            </w:r>
            <w:r w:rsidDel="00690FD6">
              <w:rPr>
                <w:lang w:eastAsia="en-US"/>
              </w:rPr>
              <w:t xml:space="preserve"> </w:t>
            </w:r>
          </w:p>
        </w:tc>
      </w:tr>
      <w:tr w:rsidR="00BC1744" w14:paraId="39B63D95" w14:textId="77777777" w:rsidTr="006E0FC2">
        <w:tc>
          <w:tcPr>
            <w:tcW w:w="3275" w:type="dxa"/>
          </w:tcPr>
          <w:p w14:paraId="7766B085" w14:textId="5B6F1E40" w:rsidR="00BC1744" w:rsidRDefault="00DB6F9C" w:rsidP="00DC557F">
            <w:pPr>
              <w:pStyle w:val="tabletext"/>
              <w:rPr>
                <w:lang w:eastAsia="en-US"/>
              </w:rPr>
            </w:pPr>
            <w:r>
              <w:rPr>
                <w:lang w:eastAsia="en-US"/>
              </w:rPr>
              <w:t>A</w:t>
            </w:r>
            <w:r w:rsidR="00BC1744">
              <w:rPr>
                <w:lang w:eastAsia="en-US"/>
              </w:rPr>
              <w:t xml:space="preserve">CCIVs are not entitled to </w:t>
            </w:r>
            <w:r w:rsidR="008F1A7E">
              <w:rPr>
                <w:lang w:eastAsia="en-US"/>
              </w:rPr>
              <w:t>a</w:t>
            </w:r>
            <w:r w:rsidR="003061B3">
              <w:rPr>
                <w:lang w:eastAsia="en-US"/>
              </w:rPr>
              <w:t xml:space="preserve"> discount capital gain</w:t>
            </w:r>
            <w:r w:rsidR="008F1A7E">
              <w:rPr>
                <w:lang w:eastAsia="en-US"/>
              </w:rPr>
              <w:t>.</w:t>
            </w:r>
            <w:r w:rsidR="003061B3">
              <w:rPr>
                <w:lang w:eastAsia="en-US"/>
              </w:rPr>
              <w:t xml:space="preserve"> </w:t>
            </w:r>
            <w:r w:rsidR="008F1A7E">
              <w:rPr>
                <w:lang w:eastAsia="en-US"/>
              </w:rPr>
              <w:t>H</w:t>
            </w:r>
            <w:r w:rsidR="003061B3">
              <w:rPr>
                <w:lang w:eastAsia="en-US"/>
              </w:rPr>
              <w:t>owever</w:t>
            </w:r>
            <w:r w:rsidR="008F1A7E">
              <w:rPr>
                <w:lang w:eastAsia="en-US"/>
              </w:rPr>
              <w:t>,</w:t>
            </w:r>
            <w:r w:rsidR="003061B3">
              <w:rPr>
                <w:lang w:eastAsia="en-US"/>
              </w:rPr>
              <w:t xml:space="preserve"> the amount retains its character as a discount capital gain for the purposes of attribution to its members.</w:t>
            </w:r>
          </w:p>
        </w:tc>
        <w:tc>
          <w:tcPr>
            <w:tcW w:w="3276" w:type="dxa"/>
          </w:tcPr>
          <w:p w14:paraId="5D222E41" w14:textId="30ADF70F" w:rsidR="00690FD6" w:rsidRDefault="00690FD6" w:rsidP="003061B3">
            <w:pPr>
              <w:pStyle w:val="tabletext"/>
            </w:pPr>
            <w:r>
              <w:t>Companies are not entitled to a discount capital gain.</w:t>
            </w:r>
          </w:p>
          <w:p w14:paraId="398EE364" w14:textId="046E13C5" w:rsidR="00BC1744" w:rsidRDefault="00BC1744" w:rsidP="003061B3">
            <w:pPr>
              <w:pStyle w:val="tabletext"/>
            </w:pPr>
          </w:p>
        </w:tc>
      </w:tr>
      <w:tr w:rsidR="00530C44" w:rsidRPr="00BF3D02" w14:paraId="2ADD1EE8" w14:textId="77777777" w:rsidTr="0076113E">
        <w:tc>
          <w:tcPr>
            <w:tcW w:w="3275" w:type="dxa"/>
          </w:tcPr>
          <w:p w14:paraId="4EB573EA" w14:textId="170D32D7" w:rsidR="00530C44" w:rsidRDefault="00301217" w:rsidP="008F43B5">
            <w:pPr>
              <w:pStyle w:val="tabletext"/>
              <w:rPr>
                <w:highlight w:val="yellow"/>
                <w:lang w:eastAsia="en-US"/>
              </w:rPr>
            </w:pPr>
            <w:r>
              <w:t>An</w:t>
            </w:r>
            <w:r w:rsidR="008F43B5">
              <w:t xml:space="preserve"> ACCIV is liable to pay tax in some circumstances.</w:t>
            </w:r>
          </w:p>
        </w:tc>
        <w:tc>
          <w:tcPr>
            <w:tcW w:w="3276" w:type="dxa"/>
          </w:tcPr>
          <w:p w14:paraId="222CC70E" w14:textId="71312DDA" w:rsidR="00530C44" w:rsidRDefault="00690FD6" w:rsidP="00A14992">
            <w:pPr>
              <w:pStyle w:val="tabletext"/>
            </w:pPr>
            <w:r>
              <w:t xml:space="preserve">A company is liable to pay tax on its taxable income at the corporate tax rate. </w:t>
            </w:r>
          </w:p>
        </w:tc>
      </w:tr>
      <w:tr w:rsidR="008F43B5" w:rsidRPr="00BF3D02" w14:paraId="634279E0" w14:textId="77777777" w:rsidTr="0076113E">
        <w:tc>
          <w:tcPr>
            <w:tcW w:w="3275" w:type="dxa"/>
          </w:tcPr>
          <w:p w14:paraId="74E1CB1B" w14:textId="708B8A85" w:rsidR="008F43B5" w:rsidRDefault="00690FD6" w:rsidP="008F43B5">
            <w:pPr>
              <w:pStyle w:val="tabletext"/>
              <w:rPr>
                <w:highlight w:val="yellow"/>
                <w:lang w:eastAsia="en-US"/>
              </w:rPr>
            </w:pPr>
            <w:r>
              <w:t xml:space="preserve">An ACCIV is required to pay </w:t>
            </w:r>
            <w:r w:rsidR="008F43B5">
              <w:t xml:space="preserve">withholding tax </w:t>
            </w:r>
            <w:r>
              <w:t xml:space="preserve">on amounts </w:t>
            </w:r>
            <w:r w:rsidR="008F1A7E">
              <w:t>attributed</w:t>
            </w:r>
            <w:r>
              <w:t xml:space="preserve"> to foreign residents </w:t>
            </w:r>
            <w:r w:rsidR="008F43B5">
              <w:t>in some circumstances.</w:t>
            </w:r>
          </w:p>
        </w:tc>
        <w:tc>
          <w:tcPr>
            <w:tcW w:w="3276" w:type="dxa"/>
          </w:tcPr>
          <w:p w14:paraId="1539BE33" w14:textId="7E65B007" w:rsidR="008F43B5" w:rsidRDefault="00690FD6" w:rsidP="00104F90">
            <w:pPr>
              <w:pStyle w:val="tabletext"/>
            </w:pPr>
            <w:r>
              <w:t xml:space="preserve">A company is required to pay </w:t>
            </w:r>
            <w:r w:rsidR="008F43B5">
              <w:t xml:space="preserve">withholding tax </w:t>
            </w:r>
            <w:r>
              <w:t xml:space="preserve">on dividends paid to foreign </w:t>
            </w:r>
            <w:r w:rsidR="00A14992">
              <w:t>residents in</w:t>
            </w:r>
            <w:r w:rsidR="008F43B5">
              <w:t xml:space="preserve"> some circumstances</w:t>
            </w:r>
            <w:r>
              <w:t>.</w:t>
            </w:r>
          </w:p>
        </w:tc>
      </w:tr>
      <w:tr w:rsidR="00530C44" w:rsidRPr="00BF3D02" w14:paraId="32F9960D" w14:textId="77777777" w:rsidTr="0076113E">
        <w:tc>
          <w:tcPr>
            <w:tcW w:w="3275" w:type="dxa"/>
          </w:tcPr>
          <w:p w14:paraId="22A48C0B" w14:textId="32F2E715" w:rsidR="00530C44" w:rsidRPr="00274BED" w:rsidRDefault="00274BED" w:rsidP="001D084D">
            <w:pPr>
              <w:pStyle w:val="tabletext"/>
              <w:rPr>
                <w:lang w:eastAsia="en-US"/>
              </w:rPr>
            </w:pPr>
            <w:r>
              <w:rPr>
                <w:lang w:eastAsia="en-US"/>
              </w:rPr>
              <w:t>CCIVs which fail to satisfy the ACCIV criteria will be subject taxation</w:t>
            </w:r>
            <w:r w:rsidR="001D084D">
              <w:rPr>
                <w:lang w:eastAsia="en-US"/>
              </w:rPr>
              <w:t xml:space="preserve"> at the corporate rate and cannot</w:t>
            </w:r>
            <w:r>
              <w:rPr>
                <w:lang w:eastAsia="en-US"/>
              </w:rPr>
              <w:t xml:space="preserve"> distribute franking credits. </w:t>
            </w:r>
          </w:p>
        </w:tc>
        <w:tc>
          <w:tcPr>
            <w:tcW w:w="3276" w:type="dxa"/>
          </w:tcPr>
          <w:p w14:paraId="1D9D34A6" w14:textId="1C49B46B" w:rsidR="00530C44" w:rsidRPr="00274BED" w:rsidRDefault="005803EA" w:rsidP="007A3E14">
            <w:pPr>
              <w:pStyle w:val="tabletext"/>
            </w:pPr>
            <w:r>
              <w:t xml:space="preserve">No equivalent. </w:t>
            </w:r>
          </w:p>
        </w:tc>
      </w:tr>
      <w:tr w:rsidR="00530C44" w:rsidRPr="00BF3D02" w14:paraId="1FF5A9ED" w14:textId="77777777" w:rsidTr="0076113E">
        <w:tc>
          <w:tcPr>
            <w:tcW w:w="3275" w:type="dxa"/>
          </w:tcPr>
          <w:p w14:paraId="1C170BF6" w14:textId="5636A4B6" w:rsidR="00530C44" w:rsidRDefault="00123F04" w:rsidP="00123F04">
            <w:pPr>
              <w:pStyle w:val="tabletext"/>
              <w:rPr>
                <w:highlight w:val="yellow"/>
                <w:lang w:eastAsia="en-US"/>
              </w:rPr>
            </w:pPr>
            <w:r>
              <w:rPr>
                <w:lang w:eastAsia="en-US"/>
              </w:rPr>
              <w:t>The corporate director of an ACCIV or th</w:t>
            </w:r>
            <w:r w:rsidR="00DC557F">
              <w:rPr>
                <w:lang w:eastAsia="en-US"/>
              </w:rPr>
              <w:t>e trustee of an AMIT will be</w:t>
            </w:r>
            <w:r>
              <w:rPr>
                <w:lang w:eastAsia="en-US"/>
              </w:rPr>
              <w:t xml:space="preserve"> liable to an administrative penalty </w:t>
            </w:r>
            <w:r w:rsidRPr="00BF3D02">
              <w:t xml:space="preserve">if it has an </w:t>
            </w:r>
            <w:r w:rsidR="003F09D2">
              <w:t>‘</w:t>
            </w:r>
            <w:r w:rsidRPr="00BF3D02">
              <w:t>under</w:t>
            </w:r>
            <w:r w:rsidR="003F09D2">
              <w:t>’</w:t>
            </w:r>
            <w:r w:rsidRPr="00BF3D02">
              <w:t xml:space="preserve"> or an </w:t>
            </w:r>
            <w:r w:rsidR="003F09D2">
              <w:t>‘</w:t>
            </w:r>
            <w:r w:rsidRPr="00BF3D02">
              <w:t>over</w:t>
            </w:r>
            <w:r w:rsidR="003F09D2">
              <w:t>’</w:t>
            </w:r>
            <w:r w:rsidRPr="00BF3D02">
              <w:t xml:space="preserve"> for the base year which resulted from intentional</w:t>
            </w:r>
            <w:r>
              <w:t xml:space="preserve"> disregard, </w:t>
            </w:r>
            <w:r w:rsidRPr="00BF3D02">
              <w:t>reckless</w:t>
            </w:r>
            <w:r>
              <w:t xml:space="preserve">ness or failure to take reasonable care. </w:t>
            </w:r>
          </w:p>
        </w:tc>
        <w:tc>
          <w:tcPr>
            <w:tcW w:w="3276" w:type="dxa"/>
          </w:tcPr>
          <w:p w14:paraId="3272B1BD" w14:textId="5DE00359" w:rsidR="00690FD6" w:rsidRDefault="00690FD6" w:rsidP="0076113E">
            <w:pPr>
              <w:pStyle w:val="tabletext"/>
            </w:pPr>
            <w:r>
              <w:rPr>
                <w:lang w:eastAsia="en-US"/>
              </w:rPr>
              <w:t>No equivalent</w:t>
            </w:r>
            <w:r w:rsidR="00A14992">
              <w:t>.</w:t>
            </w:r>
          </w:p>
          <w:p w14:paraId="3B329E74" w14:textId="56375BC8" w:rsidR="00530C44" w:rsidRDefault="00530C44" w:rsidP="0076113E">
            <w:pPr>
              <w:pStyle w:val="tabletext"/>
              <w:rPr>
                <w:lang w:eastAsia="en-US"/>
              </w:rPr>
            </w:pPr>
          </w:p>
        </w:tc>
      </w:tr>
      <w:tr w:rsidR="00A70B64" w:rsidRPr="00BF3D02" w14:paraId="3AD5A7E1" w14:textId="77777777" w:rsidTr="0076113E">
        <w:tc>
          <w:tcPr>
            <w:tcW w:w="3275" w:type="dxa"/>
          </w:tcPr>
          <w:p w14:paraId="79CC7B00" w14:textId="3F72E6EF" w:rsidR="00A70B64" w:rsidRDefault="00A70B64" w:rsidP="00123F04">
            <w:pPr>
              <w:pStyle w:val="tabletext"/>
              <w:rPr>
                <w:lang w:eastAsia="en-US"/>
              </w:rPr>
            </w:pPr>
            <w:r>
              <w:rPr>
                <w:lang w:eastAsia="en-US"/>
              </w:rPr>
              <w:t>CGT roll</w:t>
            </w:r>
            <w:r w:rsidR="00983015">
              <w:rPr>
                <w:lang w:eastAsia="en-US"/>
              </w:rPr>
              <w:t>-</w:t>
            </w:r>
            <w:r>
              <w:rPr>
                <w:lang w:eastAsia="en-US"/>
              </w:rPr>
              <w:t xml:space="preserve">over relief will apply to AMITs that transition to an ACCIV. </w:t>
            </w:r>
          </w:p>
        </w:tc>
        <w:tc>
          <w:tcPr>
            <w:tcW w:w="3276" w:type="dxa"/>
          </w:tcPr>
          <w:p w14:paraId="3497B3B3" w14:textId="68882275" w:rsidR="00A70B64" w:rsidRDefault="00A70B64" w:rsidP="0076113E">
            <w:pPr>
              <w:pStyle w:val="tabletext"/>
              <w:rPr>
                <w:lang w:eastAsia="en-US"/>
              </w:rPr>
            </w:pPr>
            <w:r>
              <w:rPr>
                <w:lang w:eastAsia="en-US"/>
              </w:rPr>
              <w:t>CGT roll</w:t>
            </w:r>
            <w:r w:rsidR="00983015">
              <w:rPr>
                <w:lang w:eastAsia="en-US"/>
              </w:rPr>
              <w:t>-</w:t>
            </w:r>
            <w:r>
              <w:rPr>
                <w:lang w:eastAsia="en-US"/>
              </w:rPr>
              <w:t>over relief is available for unit trusts that convert to a company structure.</w:t>
            </w:r>
          </w:p>
        </w:tc>
      </w:tr>
    </w:tbl>
    <w:p w14:paraId="7E13A7AD" w14:textId="5DD8CE52" w:rsidR="008E77D5" w:rsidRPr="00BF3D02" w:rsidRDefault="0010578C" w:rsidP="00DA3888">
      <w:pPr>
        <w:pStyle w:val="Heading2"/>
      </w:pPr>
      <w:r>
        <w:lastRenderedPageBreak/>
        <w:br/>
      </w:r>
      <w:r w:rsidR="008E77D5" w:rsidRPr="00BF3D02">
        <w:t>Detailed explanation of new law</w:t>
      </w:r>
    </w:p>
    <w:p w14:paraId="7799199E" w14:textId="1419A1D1" w:rsidR="0012224C" w:rsidRPr="00BF3D02" w:rsidRDefault="0012224C" w:rsidP="00DA3888">
      <w:pPr>
        <w:pStyle w:val="Heading3"/>
      </w:pPr>
      <w:r w:rsidRPr="00BF3D02">
        <w:t xml:space="preserve">What is a </w:t>
      </w:r>
      <w:r w:rsidR="00661250">
        <w:t>CCIV</w:t>
      </w:r>
      <w:r w:rsidRPr="00BF3D02">
        <w:t>?</w:t>
      </w:r>
    </w:p>
    <w:p w14:paraId="43F7A105" w14:textId="1BB7A2D9" w:rsidR="005749AE" w:rsidRDefault="0012224C" w:rsidP="00430F9B">
      <w:pPr>
        <w:pStyle w:val="base-text-paragraph"/>
        <w:numPr>
          <w:ilvl w:val="1"/>
          <w:numId w:val="20"/>
        </w:numPr>
      </w:pPr>
      <w:r w:rsidRPr="00BF3D02">
        <w:t>Broadly, a CCIV is a</w:t>
      </w:r>
      <w:r w:rsidR="00EB6B24">
        <w:t xml:space="preserve"> newly incorporated</w:t>
      </w:r>
      <w:r w:rsidRPr="00BF3D02">
        <w:t xml:space="preserve"> company registered under the </w:t>
      </w:r>
      <w:r w:rsidR="00C43905">
        <w:t xml:space="preserve">Corporations Act </w:t>
      </w:r>
      <w:r w:rsidRPr="00BF3D02">
        <w:t>that is limited b</w:t>
      </w:r>
      <w:r w:rsidR="009C6214" w:rsidRPr="00BF3D02">
        <w:t>y shares and satisfies certain regulatory requirements</w:t>
      </w:r>
      <w:r w:rsidR="00D67D72" w:rsidRPr="00BF3D02">
        <w:t>,</w:t>
      </w:r>
      <w:r w:rsidR="009C6214" w:rsidRPr="00BF3D02">
        <w:t xml:space="preserve"> including havi</w:t>
      </w:r>
      <w:r w:rsidR="00206E8C" w:rsidRPr="00BF3D02">
        <w:t xml:space="preserve">ng a single corporate director </w:t>
      </w:r>
      <w:r w:rsidR="00D67D72" w:rsidRPr="00BF3D02">
        <w:t>and at least one sub</w:t>
      </w:r>
      <w:r w:rsidR="00D67D72" w:rsidRPr="00BF3D02">
        <w:noBreakHyphen/>
        <w:t>fund</w:t>
      </w:r>
      <w:r w:rsidR="00EB6B24">
        <w:t xml:space="preserve"> at all times</w:t>
      </w:r>
      <w:r w:rsidR="00D67D72" w:rsidRPr="00BF3D02">
        <w:t xml:space="preserve">. </w:t>
      </w:r>
      <w:r w:rsidR="00AD0FB0" w:rsidRPr="00BF3D02">
        <w:t xml:space="preserve">The corporate director must be a public company that holds an </w:t>
      </w:r>
      <w:r w:rsidR="00AB2936">
        <w:t>Australian financial services licence</w:t>
      </w:r>
      <w:r w:rsidR="00AD0FB0" w:rsidRPr="00BF3D02">
        <w:t xml:space="preserve"> authorising it to operate a CCIV. </w:t>
      </w:r>
      <w:r w:rsidR="00BB6B0D">
        <w:t>The CCIV</w:t>
      </w:r>
      <w:r w:rsidR="005749AE" w:rsidRPr="00BF3D02">
        <w:t xml:space="preserve"> is intended to be a primarily passive investment vehicle.</w:t>
      </w:r>
    </w:p>
    <w:p w14:paraId="4D677290" w14:textId="524BC123" w:rsidR="00604BFD" w:rsidRDefault="00604BFD" w:rsidP="00430F9B">
      <w:pPr>
        <w:pStyle w:val="base-text-paragraph"/>
        <w:numPr>
          <w:ilvl w:val="1"/>
          <w:numId w:val="20"/>
        </w:numPr>
      </w:pPr>
      <w:r w:rsidRPr="004C06B2">
        <w:t>The CCIV has a legal personality</w:t>
      </w:r>
      <w:r w:rsidR="009848EB" w:rsidRPr="004C06B2">
        <w:t xml:space="preserve">. It is a </w:t>
      </w:r>
      <w:r w:rsidRPr="004C06B2">
        <w:t xml:space="preserve">single entity </w:t>
      </w:r>
      <w:r w:rsidR="00EB6B24">
        <w:t xml:space="preserve">and a single </w:t>
      </w:r>
      <w:r w:rsidR="009848EB" w:rsidRPr="004C06B2">
        <w:t>taxpayer. The sub-funds of a CCIV do not have legal personality and are not sep</w:t>
      </w:r>
      <w:r w:rsidR="00661250">
        <w:t>arate income tax entities. The corporate d</w:t>
      </w:r>
      <w:r w:rsidR="009848EB" w:rsidRPr="004C06B2">
        <w:t>irector of the CCIV is required to allocate liabilit</w:t>
      </w:r>
      <w:r w:rsidR="00431328">
        <w:t xml:space="preserve">ies, including tax liabilities, which arise from the </w:t>
      </w:r>
      <w:r w:rsidR="009467BF">
        <w:t xml:space="preserve">assets </w:t>
      </w:r>
      <w:r w:rsidR="00431328">
        <w:t>of a particular sub-fund to that sub-fund</w:t>
      </w:r>
      <w:r w:rsidR="00B760BF">
        <w:t>. L</w:t>
      </w:r>
      <w:r w:rsidR="00431328">
        <w:t xml:space="preserve">iabilities must be allocated in a manner that is fair and reasonable in </w:t>
      </w:r>
      <w:r w:rsidR="002E4EAF">
        <w:t xml:space="preserve">all </w:t>
      </w:r>
      <w:r w:rsidR="00431328">
        <w:t>circumstances.</w:t>
      </w:r>
      <w:r w:rsidR="009848EB" w:rsidRPr="004C06B2">
        <w:t xml:space="preserve"> </w:t>
      </w:r>
    </w:p>
    <w:p w14:paraId="54CF14D5" w14:textId="1DE343B9" w:rsidR="002F1BA1" w:rsidRPr="00A0184F" w:rsidRDefault="00EB5628" w:rsidP="00A0184F">
      <w:pPr>
        <w:pStyle w:val="Heading4"/>
      </w:pPr>
      <w:r>
        <w:t>What is a sub-fund?</w:t>
      </w:r>
    </w:p>
    <w:p w14:paraId="275F23E5" w14:textId="5C83C198" w:rsidR="002F1BA1" w:rsidRPr="002F1BA1" w:rsidRDefault="002F1BA1" w:rsidP="00430F9B">
      <w:pPr>
        <w:pStyle w:val="base-text-paragraph"/>
        <w:numPr>
          <w:ilvl w:val="1"/>
          <w:numId w:val="20"/>
        </w:numPr>
      </w:pPr>
      <w:r w:rsidRPr="002F1BA1">
        <w:t>Broadly, a sub</w:t>
      </w:r>
      <w:r w:rsidRPr="002F1BA1">
        <w:noBreakHyphen/>
        <w:t xml:space="preserve">fund is a segregated fund of assets </w:t>
      </w:r>
      <w:r w:rsidR="005E1713">
        <w:t xml:space="preserve">to </w:t>
      </w:r>
      <w:r w:rsidRPr="002F1BA1">
        <w:t xml:space="preserve">which a class </w:t>
      </w:r>
      <w:r w:rsidR="005E1713">
        <w:t xml:space="preserve">or classes </w:t>
      </w:r>
      <w:r w:rsidRPr="002F1BA1">
        <w:t>of shares in the CCIV</w:t>
      </w:r>
      <w:r w:rsidR="005E1713">
        <w:t xml:space="preserve"> are referable</w:t>
      </w:r>
      <w:r w:rsidRPr="002F1BA1">
        <w:t>. The sub</w:t>
      </w:r>
      <w:r w:rsidRPr="002F1BA1">
        <w:noBreakHyphen/>
        <w:t>fund does not have separate legal personality (see section 1141B and subsection 1141(3) of the CCIV Regulatory Exposure Draft Bill).</w:t>
      </w:r>
    </w:p>
    <w:p w14:paraId="07F0CCFB" w14:textId="77777777" w:rsidR="002F1BA1" w:rsidRPr="002F1BA1" w:rsidRDefault="002F1BA1" w:rsidP="00430F9B">
      <w:pPr>
        <w:pStyle w:val="base-text-paragraph"/>
        <w:numPr>
          <w:ilvl w:val="1"/>
          <w:numId w:val="20"/>
        </w:numPr>
      </w:pPr>
      <w:r w:rsidRPr="002F1BA1">
        <w:t>Each CCIV must have at least one sub</w:t>
      </w:r>
      <w:r w:rsidRPr="002F1BA1">
        <w:noBreakHyphen/>
        <w:t>fund, but may have more than one sub</w:t>
      </w:r>
      <w:r w:rsidRPr="002F1BA1">
        <w:noBreakHyphen/>
        <w:t>fund (see section 1141A of the CCIV Regulatory Exposure Draft Bill).</w:t>
      </w:r>
    </w:p>
    <w:p w14:paraId="3B0B9DC1" w14:textId="10C3854A" w:rsidR="00430F9B" w:rsidRDefault="002F1BA1" w:rsidP="00430F9B">
      <w:pPr>
        <w:pStyle w:val="base-text-paragraph"/>
        <w:numPr>
          <w:ilvl w:val="1"/>
          <w:numId w:val="20"/>
        </w:numPr>
      </w:pPr>
      <w:r w:rsidRPr="002F1BA1">
        <w:t>A person is a ‘member of a sub</w:t>
      </w:r>
      <w:r w:rsidRPr="002F1BA1">
        <w:noBreakHyphen/>
        <w:t>fund’ if the person is a member of the CCIV and holds one or more shares referable to a particular sub</w:t>
      </w:r>
      <w:r w:rsidRPr="002F1BA1">
        <w:noBreakHyphen/>
        <w:t>fund (see section 1141C of the CCIV Regulatory Exposure Draft Bill). In this regard, a member of a sub</w:t>
      </w:r>
      <w:r w:rsidRPr="002F1BA1">
        <w:noBreakHyphen/>
        <w:t>fund does not direc</w:t>
      </w:r>
      <w:r w:rsidR="002649FE">
        <w:t>tly hold shares in the sub</w:t>
      </w:r>
      <w:r w:rsidR="002649FE">
        <w:noBreakHyphen/>
        <w:t>fund,</w:t>
      </w:r>
      <w:r w:rsidRPr="002F1BA1">
        <w:t xml:space="preserve"> rather, they hold shares in the CCIV and those shares are refe</w:t>
      </w:r>
      <w:r w:rsidR="000176AF">
        <w:t>rable to a particular sub</w:t>
      </w:r>
      <w:r w:rsidR="000176AF">
        <w:noBreakHyphen/>
        <w:t>fund.</w:t>
      </w:r>
    </w:p>
    <w:p w14:paraId="4561A88B" w14:textId="6EBB2754" w:rsidR="002F1BA1" w:rsidRPr="002F1BA1" w:rsidRDefault="002F1BA1" w:rsidP="00430F9B">
      <w:pPr>
        <w:pStyle w:val="base-text-paragraph"/>
        <w:numPr>
          <w:ilvl w:val="1"/>
          <w:numId w:val="20"/>
        </w:numPr>
      </w:pPr>
      <w:r w:rsidRPr="002F1BA1">
        <w:t xml:space="preserve">The concept of a sub-fund allows managed funds to operate with an ‘umbrella structure’, such that </w:t>
      </w:r>
      <w:r w:rsidRPr="002F1BA1">
        <w:rPr>
          <w:szCs w:val="22"/>
        </w:rPr>
        <w:t>investors in respect of a particular sub</w:t>
      </w:r>
      <w:r w:rsidR="003E76B6">
        <w:rPr>
          <w:szCs w:val="22"/>
        </w:rPr>
        <w:noBreakHyphen/>
      </w:r>
      <w:r w:rsidRPr="002F1BA1">
        <w:rPr>
          <w:szCs w:val="22"/>
        </w:rPr>
        <w:t>fund of a CCIV are quarantined from the consequences of activities in respect of other sub-funds of the CCIV.</w:t>
      </w:r>
      <w:r w:rsidRPr="002F1BA1">
        <w:t xml:space="preserve"> This provides for the segregation</w:t>
      </w:r>
      <w:r w:rsidR="0054722F">
        <w:t xml:space="preserve"> of assets and liabilities between</w:t>
      </w:r>
      <w:r w:rsidRPr="002F1BA1">
        <w:t xml:space="preserve"> sub-funds. In this regard, a sub-fund is similar to an AMIT and each sub-fund is required to meet the eligibility rules </w:t>
      </w:r>
      <w:r w:rsidR="00EB6B24">
        <w:t xml:space="preserve">as those applying to an </w:t>
      </w:r>
      <w:r w:rsidRPr="002F1BA1">
        <w:t xml:space="preserve">AMIT. </w:t>
      </w:r>
    </w:p>
    <w:p w14:paraId="4E8BA5B3" w14:textId="4613B682" w:rsidR="002F1BA1" w:rsidRPr="00E24AD4" w:rsidRDefault="002F1BA1" w:rsidP="00430F9B">
      <w:pPr>
        <w:pStyle w:val="base-text-paragraph"/>
        <w:numPr>
          <w:ilvl w:val="1"/>
          <w:numId w:val="20"/>
        </w:numPr>
      </w:pPr>
      <w:r>
        <w:lastRenderedPageBreak/>
        <w:t xml:space="preserve">The requirement for segregation of assets and liabilities is at the sub-fund level, not the share class level. </w:t>
      </w:r>
      <w:r w:rsidR="00EB6B24">
        <w:t>Where multiple classes of shares within a sub-fund exist, a</w:t>
      </w:r>
      <w:r>
        <w:t xml:space="preserve"> liability can be recovered from within a </w:t>
      </w:r>
      <w:r w:rsidR="00B01B4B">
        <w:t>sub</w:t>
      </w:r>
      <w:r w:rsidR="00B01B4B">
        <w:noBreakHyphen/>
      </w:r>
      <w:r>
        <w:t>fund, rather than limited only to assets attributed to a particular class</w:t>
      </w:r>
      <w:r w:rsidR="00535B95">
        <w:t xml:space="preserve"> of shares</w:t>
      </w:r>
      <w:r w:rsidR="00EB6B24">
        <w:t xml:space="preserve"> within that sub-fund</w:t>
      </w:r>
      <w:r>
        <w:t>.</w:t>
      </w:r>
    </w:p>
    <w:p w14:paraId="2FCC9E7E" w14:textId="111BBFB6" w:rsidR="00F606A0" w:rsidRPr="007411CF" w:rsidRDefault="00F606A0" w:rsidP="00EB5628">
      <w:pPr>
        <w:pStyle w:val="Heading4"/>
      </w:pPr>
      <w:r w:rsidRPr="007411CF">
        <w:t xml:space="preserve">Retail and </w:t>
      </w:r>
      <w:r w:rsidR="007411CF">
        <w:t>w</w:t>
      </w:r>
      <w:r w:rsidRPr="007411CF">
        <w:t>holesale CCIVs</w:t>
      </w:r>
    </w:p>
    <w:p w14:paraId="6F85DF7E" w14:textId="77777777" w:rsidR="00E64545" w:rsidRDefault="0047414C" w:rsidP="00430F9B">
      <w:pPr>
        <w:pStyle w:val="base-text-paragraph"/>
        <w:numPr>
          <w:ilvl w:val="1"/>
          <w:numId w:val="20"/>
        </w:numPr>
      </w:pPr>
      <w:r>
        <w:t>A CCIV can be either a retail CCIV or a wholesale CCIV.</w:t>
      </w:r>
      <w:r w:rsidR="00CF2FA9">
        <w:t xml:space="preserve"> </w:t>
      </w:r>
      <w:r w:rsidR="008B2F52">
        <w:t xml:space="preserve">A </w:t>
      </w:r>
      <w:r>
        <w:t>retail CCIV is subject to all the CCIV regulatory requirements whereas a wholesale CCIV is subject to fewer requirements</w:t>
      </w:r>
      <w:r w:rsidR="00661250">
        <w:t xml:space="preserve"> due to the</w:t>
      </w:r>
      <w:r w:rsidR="008B2F52">
        <w:t xml:space="preserve"> more sophisticated nature of investors in a wholesale CCIV</w:t>
      </w:r>
      <w:r>
        <w:t>.</w:t>
      </w:r>
      <w:r w:rsidR="00CF2FA9">
        <w:t xml:space="preserve"> </w:t>
      </w:r>
    </w:p>
    <w:p w14:paraId="5C84924F" w14:textId="7F8DD160" w:rsidR="00EE6020" w:rsidRPr="00EE6020" w:rsidRDefault="00EE6020" w:rsidP="00EE6020">
      <w:pPr>
        <w:pStyle w:val="base-text-paragraph"/>
        <w:numPr>
          <w:ilvl w:val="1"/>
          <w:numId w:val="20"/>
        </w:numPr>
      </w:pPr>
      <w:r w:rsidRPr="00EE6020">
        <w:t xml:space="preserve">A CCIV with both wholesale and </w:t>
      </w:r>
      <w:r w:rsidRPr="00DD75BF">
        <w:t xml:space="preserve">retail </w:t>
      </w:r>
      <w:r w:rsidR="00620751">
        <w:t xml:space="preserve">clients </w:t>
      </w:r>
      <w:r w:rsidRPr="00EE6020">
        <w:t>will be a retail CCIV and therefore subject to all the CCIV regulatory requirements.</w:t>
      </w:r>
    </w:p>
    <w:p w14:paraId="46B17903" w14:textId="61279942" w:rsidR="00B92CC4" w:rsidRDefault="0047414C" w:rsidP="00430F9B">
      <w:pPr>
        <w:pStyle w:val="base-text-paragraph"/>
        <w:numPr>
          <w:ilvl w:val="1"/>
          <w:numId w:val="20"/>
        </w:numPr>
      </w:pPr>
      <w:r>
        <w:t xml:space="preserve">For example, </w:t>
      </w:r>
      <w:r w:rsidR="00795979">
        <w:t>only retail CCIVs</w:t>
      </w:r>
      <w:r>
        <w:t xml:space="preserve"> are subject to the additional investor protections in </w:t>
      </w:r>
      <w:r w:rsidR="00AE3E2D">
        <w:t>the regulatory framework (</w:t>
      </w:r>
      <w:r w:rsidR="0054722F">
        <w:t xml:space="preserve">see </w:t>
      </w:r>
      <w:r>
        <w:t xml:space="preserve">Chapter 7A, Part 3 of the </w:t>
      </w:r>
      <w:r w:rsidRPr="00430F9B">
        <w:t>Corporations Act</w:t>
      </w:r>
      <w:r w:rsidR="00AE3E2D">
        <w:t>).</w:t>
      </w:r>
    </w:p>
    <w:p w14:paraId="19E62184" w14:textId="6879C507" w:rsidR="0047414C" w:rsidRDefault="0054722F" w:rsidP="00430F9B">
      <w:pPr>
        <w:pStyle w:val="base-text-paragraph"/>
        <w:numPr>
          <w:ilvl w:val="1"/>
          <w:numId w:val="20"/>
        </w:numPr>
      </w:pPr>
      <w:r>
        <w:t>Further, a</w:t>
      </w:r>
      <w:r w:rsidR="00667350" w:rsidRPr="00BF3D02">
        <w:t xml:space="preserve"> retail CCI</w:t>
      </w:r>
      <w:r>
        <w:t>V is required to have a deposita</w:t>
      </w:r>
      <w:r w:rsidR="00667350" w:rsidRPr="00BF3D02">
        <w:t>ry</w:t>
      </w:r>
      <w:r w:rsidR="00B760BF">
        <w:t>. This requirement is optional for</w:t>
      </w:r>
      <w:r w:rsidR="0047414C">
        <w:t xml:space="preserve"> a wholesale </w:t>
      </w:r>
      <w:r w:rsidR="00B760BF">
        <w:t>CCIV</w:t>
      </w:r>
      <w:r>
        <w:t>. The deposita</w:t>
      </w:r>
      <w:r w:rsidR="0047414C">
        <w:t xml:space="preserve">ry </w:t>
      </w:r>
      <w:r w:rsidR="00667350" w:rsidRPr="00BF3D02">
        <w:t>has a safekeepi</w:t>
      </w:r>
      <w:r w:rsidR="00EB6B24">
        <w:t xml:space="preserve">ng role in respect of the </w:t>
      </w:r>
      <w:r w:rsidR="00667350" w:rsidRPr="00BF3D02">
        <w:t xml:space="preserve">assets </w:t>
      </w:r>
      <w:r w:rsidR="00EB6B24">
        <w:t xml:space="preserve">of the CCIV </w:t>
      </w:r>
      <w:r w:rsidR="00667350" w:rsidRPr="00BF3D02">
        <w:t>and also some oversight functions in respect of the CCIV and the corporate director</w:t>
      </w:r>
      <w:r w:rsidR="0047414C">
        <w:t>.</w:t>
      </w:r>
      <w:r w:rsidR="00B760BF">
        <w:t xml:space="preserve"> </w:t>
      </w:r>
    </w:p>
    <w:p w14:paraId="5A9B9497" w14:textId="75DCA338" w:rsidR="00AE3E2D" w:rsidRDefault="00AE3E2D" w:rsidP="00430F9B">
      <w:pPr>
        <w:pStyle w:val="base-text-paragraph"/>
        <w:numPr>
          <w:ilvl w:val="1"/>
          <w:numId w:val="20"/>
        </w:numPr>
      </w:pPr>
      <w:r>
        <w:t xml:space="preserve">Broadly, these distinctions </w:t>
      </w:r>
      <w:r w:rsidR="00B760BF">
        <w:t xml:space="preserve">between a retail and wholesale CCIV </w:t>
      </w:r>
      <w:r>
        <w:t>reflect the MIS</w:t>
      </w:r>
      <w:r w:rsidR="00661250">
        <w:t xml:space="preserve"> </w:t>
      </w:r>
      <w:r>
        <w:t>regime. However</w:t>
      </w:r>
      <w:r w:rsidR="004C06B2">
        <w:t>,</w:t>
      </w:r>
      <w:r>
        <w:t xml:space="preserve"> unlike the MIS regime, all CCIVs (including wholesale CCIVs) are required to be registered</w:t>
      </w:r>
      <w:r w:rsidR="00CF2FA9">
        <w:t xml:space="preserve"> under the </w:t>
      </w:r>
      <w:r w:rsidR="00CF2FA9" w:rsidRPr="00430F9B">
        <w:t>Corporations Act</w:t>
      </w:r>
      <w:r>
        <w:t xml:space="preserve">. </w:t>
      </w:r>
    </w:p>
    <w:p w14:paraId="569F7BA0" w14:textId="3EDBBE41" w:rsidR="009F5A09" w:rsidRPr="008F25A1" w:rsidRDefault="00EB5628" w:rsidP="00EB5628">
      <w:pPr>
        <w:pStyle w:val="Heading4"/>
      </w:pPr>
      <w:r>
        <w:t>Depositary</w:t>
      </w:r>
    </w:p>
    <w:p w14:paraId="3F5696F8" w14:textId="5A471A24" w:rsidR="009F5A09" w:rsidRDefault="008574C4" w:rsidP="00430F9B">
      <w:pPr>
        <w:pStyle w:val="base-text-paragraph"/>
        <w:numPr>
          <w:ilvl w:val="1"/>
          <w:numId w:val="20"/>
        </w:numPr>
      </w:pPr>
      <w:r>
        <w:t>A</w:t>
      </w:r>
      <w:r w:rsidR="009F5A09" w:rsidRPr="00BF3D02">
        <w:t xml:space="preserve"> </w:t>
      </w:r>
      <w:r w:rsidR="009F5A09">
        <w:t xml:space="preserve">retail </w:t>
      </w:r>
      <w:r w:rsidR="009F5A09" w:rsidRPr="00BF3D02">
        <w:t xml:space="preserve">CCIV </w:t>
      </w:r>
      <w:r w:rsidR="009F5A09">
        <w:t>is r</w:t>
      </w:r>
      <w:r w:rsidR="009F5A09" w:rsidRPr="00BF3D02">
        <w:t>equired to</w:t>
      </w:r>
      <w:r w:rsidR="0054722F">
        <w:t xml:space="preserve"> have a deposita</w:t>
      </w:r>
      <w:r w:rsidR="009F5A09">
        <w:t>ry</w:t>
      </w:r>
      <w:r>
        <w:t xml:space="preserve"> while a</w:t>
      </w:r>
      <w:r w:rsidR="009F5A09">
        <w:t xml:space="preserve"> wholesale C</w:t>
      </w:r>
      <w:r w:rsidR="0054722F">
        <w:t>CIV may elect to have a deposita</w:t>
      </w:r>
      <w:r w:rsidR="009F5A09">
        <w:t>ry.</w:t>
      </w:r>
      <w:r w:rsidR="009F5A09" w:rsidRPr="00430F9B">
        <w:t xml:space="preserve"> </w:t>
      </w:r>
    </w:p>
    <w:p w14:paraId="77EA8CDF" w14:textId="5CF3A8F4" w:rsidR="009F5A09" w:rsidRDefault="009F5A09" w:rsidP="00430F9B">
      <w:pPr>
        <w:pStyle w:val="base-text-paragraph"/>
        <w:numPr>
          <w:ilvl w:val="1"/>
          <w:numId w:val="20"/>
        </w:numPr>
      </w:pPr>
      <w:r w:rsidRPr="005D5FB1">
        <w:t xml:space="preserve">A depositary must be either a public company or a foreign company registered under Division 2 </w:t>
      </w:r>
      <w:r w:rsidR="003B64C5">
        <w:t xml:space="preserve">of </w:t>
      </w:r>
      <w:r w:rsidRPr="005D5FB1">
        <w:t xml:space="preserve">Part 5B.2 of the </w:t>
      </w:r>
      <w:r>
        <w:t xml:space="preserve">Corporations </w:t>
      </w:r>
      <w:r w:rsidRPr="005D5FB1">
        <w:t xml:space="preserve">Act, hold </w:t>
      </w:r>
      <w:r>
        <w:t xml:space="preserve">an </w:t>
      </w:r>
      <w:r w:rsidR="00874433">
        <w:t>Australian financial services licence</w:t>
      </w:r>
      <w:r w:rsidRPr="005D5FB1">
        <w:t xml:space="preserve"> authorising it to a</w:t>
      </w:r>
      <w:r w:rsidRPr="00BF3D02">
        <w:t xml:space="preserve">ct as a depositary, and meet an independence requirement. </w:t>
      </w:r>
    </w:p>
    <w:p w14:paraId="7C2B2C9C" w14:textId="4E01B9A9" w:rsidR="009F5A09" w:rsidRDefault="009F5A09" w:rsidP="00430F9B">
      <w:pPr>
        <w:pStyle w:val="base-text-paragraph"/>
        <w:numPr>
          <w:ilvl w:val="1"/>
          <w:numId w:val="20"/>
        </w:numPr>
      </w:pPr>
      <w:r w:rsidRPr="00BF3D02">
        <w:t>A depositary has three core duties: to hold the assets of the CCIV on trust for the CCIV, to execute the instructions of the corporate director in dealing with those assets, and to supervise the corporate director’s conduct of certain activitie</w:t>
      </w:r>
      <w:r w:rsidR="00E7783C">
        <w:t>s (see sections 1164, 1164A and </w:t>
      </w:r>
      <w:r w:rsidRPr="00BF3D02">
        <w:t>1164B of the CCIV Regulatory Exposure Draft Bill</w:t>
      </w:r>
      <w:r w:rsidR="008574C4">
        <w:t xml:space="preserve">). </w:t>
      </w:r>
      <w:r w:rsidRPr="00BF3D02">
        <w:t xml:space="preserve"> </w:t>
      </w:r>
    </w:p>
    <w:p w14:paraId="030B6839" w14:textId="25F635C9" w:rsidR="002E33A8" w:rsidRDefault="009F5A09" w:rsidP="00430F9B">
      <w:pPr>
        <w:pStyle w:val="base-text-paragraph"/>
        <w:numPr>
          <w:ilvl w:val="1"/>
          <w:numId w:val="20"/>
        </w:numPr>
      </w:pPr>
      <w:r>
        <w:lastRenderedPageBreak/>
        <w:t>The depositary may outsource the holding and administration of the CCIV assets to an overseas or local agent (a custodian). It cannot outsource its supervisory function.</w:t>
      </w:r>
      <w:r w:rsidR="002E33A8">
        <w:t xml:space="preserve"> </w:t>
      </w:r>
    </w:p>
    <w:p w14:paraId="25D1E1E9" w14:textId="00183A0B" w:rsidR="009C6214" w:rsidRPr="00BF3D02" w:rsidRDefault="0088659E" w:rsidP="00430F9B">
      <w:pPr>
        <w:pStyle w:val="base-text-paragraph"/>
        <w:numPr>
          <w:ilvl w:val="1"/>
          <w:numId w:val="20"/>
        </w:numPr>
      </w:pPr>
      <w:r w:rsidRPr="00BF3D02">
        <w:t>A detailed explanation of the regulatory framework for CCIVs is contained in the exposure draft explanatory materials to the CCIV Regulatory Exposure Draft Bill</w:t>
      </w:r>
      <w:r w:rsidR="00206E8C" w:rsidRPr="00BF3D02">
        <w:t>.</w:t>
      </w:r>
    </w:p>
    <w:p w14:paraId="7E13A7AE" w14:textId="4AA9C5C3" w:rsidR="008E77D5" w:rsidRPr="00BF3D02" w:rsidRDefault="00B420EF" w:rsidP="00867B80">
      <w:pPr>
        <w:pStyle w:val="Heading3"/>
      </w:pPr>
      <w:r>
        <w:t xml:space="preserve">The </w:t>
      </w:r>
      <w:r w:rsidR="00530C44">
        <w:t>AIV</w:t>
      </w:r>
      <w:r>
        <w:t xml:space="preserve"> regime</w:t>
      </w:r>
    </w:p>
    <w:p w14:paraId="19F1FFFA" w14:textId="24F2992A" w:rsidR="001B7646" w:rsidRPr="00BF3D02" w:rsidRDefault="0012224C" w:rsidP="00D97722">
      <w:pPr>
        <w:pStyle w:val="base-text-paragraph"/>
        <w:numPr>
          <w:ilvl w:val="1"/>
          <w:numId w:val="20"/>
        </w:numPr>
      </w:pPr>
      <w:r w:rsidRPr="00BF3D02">
        <w:t>Schedule # to this Bill introduc</w:t>
      </w:r>
      <w:r w:rsidR="0088022F">
        <w:t>es a new concept to the tax</w:t>
      </w:r>
      <w:r w:rsidRPr="00BF3D02">
        <w:t xml:space="preserve"> law – an AIV. </w:t>
      </w:r>
      <w:r w:rsidR="00C8602D" w:rsidRPr="00BF3D02">
        <w:t xml:space="preserve">An AIV </w:t>
      </w:r>
      <w:r w:rsidR="0088659E" w:rsidRPr="00BF3D02">
        <w:t xml:space="preserve">may be </w:t>
      </w:r>
      <w:r w:rsidR="00C8602D" w:rsidRPr="00BF3D02">
        <w:t>either</w:t>
      </w:r>
      <w:r w:rsidR="001B7646" w:rsidRPr="00BF3D02">
        <w:t>:</w:t>
      </w:r>
    </w:p>
    <w:p w14:paraId="73F5D95B" w14:textId="77777777" w:rsidR="001B7646" w:rsidRPr="00BF3D02" w:rsidRDefault="001B7646" w:rsidP="001B7646">
      <w:pPr>
        <w:pStyle w:val="dotpoint"/>
      </w:pPr>
      <w:r w:rsidRPr="00BF3D02">
        <w:t>an AMIT (sections 276</w:t>
      </w:r>
      <w:r w:rsidRPr="00BF3D02">
        <w:noBreakHyphen/>
        <w:t>10 to 276</w:t>
      </w:r>
      <w:r w:rsidRPr="00BF3D02">
        <w:noBreakHyphen/>
        <w:t xml:space="preserve">15); or </w:t>
      </w:r>
    </w:p>
    <w:p w14:paraId="22F1D195" w14:textId="77777777" w:rsidR="00564A09" w:rsidRDefault="001B7646" w:rsidP="00564A09">
      <w:pPr>
        <w:pStyle w:val="dotpoint"/>
      </w:pPr>
      <w:r w:rsidRPr="00BF3D02">
        <w:t>an ACCI</w:t>
      </w:r>
      <w:r w:rsidR="00564A09">
        <w:t>V (sections 276</w:t>
      </w:r>
      <w:r w:rsidR="00564A09">
        <w:noBreakHyphen/>
        <w:t>20 to 276</w:t>
      </w:r>
      <w:r w:rsidR="00564A09">
        <w:noBreakHyphen/>
        <w:t xml:space="preserve">45). </w:t>
      </w:r>
    </w:p>
    <w:p w14:paraId="3789C3AE" w14:textId="487183B8" w:rsidR="0012224C" w:rsidRPr="00564A09" w:rsidRDefault="00C8602D" w:rsidP="003E76B6">
      <w:pPr>
        <w:pStyle w:val="base-text-paragraphnonumbers"/>
        <w:rPr>
          <w:rStyle w:val="Referencingstyle"/>
          <w:b w:val="0"/>
          <w:i w:val="0"/>
          <w:sz w:val="22"/>
        </w:rPr>
      </w:pPr>
      <w:r w:rsidRPr="00BF3D02">
        <w:rPr>
          <w:rStyle w:val="Referencingstyle"/>
        </w:rPr>
        <w:t>[Schedule #, item</w:t>
      </w:r>
      <w:r w:rsidR="00AC318B">
        <w:rPr>
          <w:rStyle w:val="Referencingstyle"/>
        </w:rPr>
        <w:t>s</w:t>
      </w:r>
      <w:r w:rsidR="001F7D56">
        <w:rPr>
          <w:rStyle w:val="Referencingstyle"/>
        </w:rPr>
        <w:t xml:space="preserve"> 2 to 10</w:t>
      </w:r>
      <w:r w:rsidRPr="00BF3D02">
        <w:rPr>
          <w:rStyle w:val="Referencingstyle"/>
        </w:rPr>
        <w:t>, section</w:t>
      </w:r>
      <w:r w:rsidR="00243A86" w:rsidRPr="00BF3D02">
        <w:rPr>
          <w:rStyle w:val="Referencingstyle"/>
        </w:rPr>
        <w:t>s</w:t>
      </w:r>
      <w:r w:rsidR="0091426A">
        <w:rPr>
          <w:rStyle w:val="Referencingstyle"/>
        </w:rPr>
        <w:t> </w:t>
      </w:r>
      <w:r w:rsidR="00243A86" w:rsidRPr="00BF3D02">
        <w:rPr>
          <w:rStyle w:val="Referencingstyle"/>
        </w:rPr>
        <w:t>276</w:t>
      </w:r>
      <w:r w:rsidR="00243A86" w:rsidRPr="00BF3D02">
        <w:rPr>
          <w:rStyle w:val="Referencingstyle"/>
        </w:rPr>
        <w:noBreakHyphen/>
        <w:t>1</w:t>
      </w:r>
      <w:r w:rsidR="001F7D56">
        <w:rPr>
          <w:rStyle w:val="Referencingstyle"/>
        </w:rPr>
        <w:t xml:space="preserve">, </w:t>
      </w:r>
      <w:r w:rsidRPr="00BF3D02">
        <w:rPr>
          <w:rStyle w:val="Referencingstyle"/>
        </w:rPr>
        <w:t>276</w:t>
      </w:r>
      <w:r w:rsidRPr="00BF3D02">
        <w:rPr>
          <w:rStyle w:val="Referencingstyle"/>
        </w:rPr>
        <w:noBreakHyphen/>
        <w:t>5</w:t>
      </w:r>
      <w:r w:rsidR="001F7D56">
        <w:rPr>
          <w:rStyle w:val="Referencingstyle"/>
        </w:rPr>
        <w:t xml:space="preserve"> and 276-7</w:t>
      </w:r>
      <w:r w:rsidRPr="00BF3D02">
        <w:rPr>
          <w:rStyle w:val="Referencingstyle"/>
        </w:rPr>
        <w:t>]</w:t>
      </w:r>
    </w:p>
    <w:p w14:paraId="4B54653D" w14:textId="3BF5DB83" w:rsidR="004B624C" w:rsidRDefault="004B0C08" w:rsidP="00D97722">
      <w:pPr>
        <w:pStyle w:val="base-text-paragraph"/>
        <w:numPr>
          <w:ilvl w:val="1"/>
          <w:numId w:val="20"/>
        </w:numPr>
      </w:pPr>
      <w:r w:rsidRPr="00182626">
        <w:t xml:space="preserve">The </w:t>
      </w:r>
      <w:r w:rsidRPr="00BF3D02">
        <w:t>amendments apply the existing AMIT attribution or ‘character flow</w:t>
      </w:r>
      <w:r w:rsidRPr="00BF3D02">
        <w:noBreakHyphen/>
        <w:t>through’ model to ACCIVs</w:t>
      </w:r>
      <w:r w:rsidR="004B624C" w:rsidRPr="004B624C">
        <w:t xml:space="preserve"> </w:t>
      </w:r>
      <w:r w:rsidR="004B624C" w:rsidRPr="00BF3D02">
        <w:t>with modifications as required to take account of the corporate structure and CCIV model.</w:t>
      </w:r>
    </w:p>
    <w:p w14:paraId="2B46EBD7" w14:textId="4001BD8A" w:rsidR="004B624C" w:rsidRDefault="004B624C" w:rsidP="00D97722">
      <w:pPr>
        <w:pStyle w:val="base-text-paragraph"/>
        <w:numPr>
          <w:ilvl w:val="1"/>
          <w:numId w:val="20"/>
        </w:numPr>
      </w:pPr>
      <w:r w:rsidRPr="00BF3D02">
        <w:t xml:space="preserve">The amendments made by </w:t>
      </w:r>
      <w:r w:rsidR="00E7783C">
        <w:t>this exposure draft Bill</w:t>
      </w:r>
      <w:r w:rsidRPr="00BF3D02">
        <w:t xml:space="preserve"> do no</w:t>
      </w:r>
      <w:r w:rsidR="00AC318B">
        <w:t>t</w:t>
      </w:r>
      <w:r w:rsidRPr="00BF3D02">
        <w:t xml:space="preserve"> alter the attribution taxation regime that currently applies to AMITs.</w:t>
      </w:r>
    </w:p>
    <w:p w14:paraId="54E9BF18" w14:textId="23DB0B0C" w:rsidR="00C8602D" w:rsidRPr="00BF3D02" w:rsidRDefault="004A25D9" w:rsidP="00472D9B">
      <w:pPr>
        <w:pStyle w:val="Heading3"/>
      </w:pPr>
      <w:r>
        <w:t>Meaning</w:t>
      </w:r>
      <w:r w:rsidR="0045241E">
        <w:t xml:space="preserve"> of a</w:t>
      </w:r>
      <w:r w:rsidR="00AF1469">
        <w:t>n</w:t>
      </w:r>
      <w:r w:rsidR="0045241E">
        <w:t xml:space="preserve"> </w:t>
      </w:r>
      <w:r w:rsidR="00472D9B" w:rsidRPr="00BF3D02">
        <w:t>ACCIV</w:t>
      </w:r>
    </w:p>
    <w:p w14:paraId="310B1F7A" w14:textId="3CB33F0D" w:rsidR="00DA3888" w:rsidRPr="00BF3D02" w:rsidRDefault="00472D9B" w:rsidP="00A270C2">
      <w:pPr>
        <w:pStyle w:val="base-text-paragraph"/>
        <w:numPr>
          <w:ilvl w:val="1"/>
          <w:numId w:val="20"/>
        </w:numPr>
      </w:pPr>
      <w:r w:rsidRPr="00BF3D02">
        <w:t>A CCIV</w:t>
      </w:r>
      <w:r w:rsidR="00D725C5" w:rsidRPr="00BF3D02">
        <w:t xml:space="preserve">, registered under the </w:t>
      </w:r>
      <w:r w:rsidR="00D725C5" w:rsidRPr="00A270C2">
        <w:t>Corporations Act</w:t>
      </w:r>
      <w:r w:rsidR="00D725C5" w:rsidRPr="00BF3D02">
        <w:t>,</w:t>
      </w:r>
      <w:r w:rsidRPr="00BF3D02">
        <w:t xml:space="preserve"> will be an ACCIV for an income year if:</w:t>
      </w:r>
    </w:p>
    <w:p w14:paraId="5117AFDB" w14:textId="229487F7" w:rsidR="00472D9B" w:rsidRPr="00BF3D02" w:rsidRDefault="00472D9B" w:rsidP="00472D9B">
      <w:pPr>
        <w:pStyle w:val="dotpoint"/>
      </w:pPr>
      <w:r w:rsidRPr="00BF3D02">
        <w:t>the entity is a CCIV at all times during the income year (when it is in existence);</w:t>
      </w:r>
    </w:p>
    <w:p w14:paraId="25CF73A7" w14:textId="4EC31AE7" w:rsidR="00472D9B" w:rsidRPr="00BF3D02" w:rsidRDefault="00472D9B" w:rsidP="00472D9B">
      <w:pPr>
        <w:pStyle w:val="dotpoint"/>
      </w:pPr>
      <w:r w:rsidRPr="00BF3D02">
        <w:t>each sub</w:t>
      </w:r>
      <w:r w:rsidRPr="00BF3D02">
        <w:noBreakHyphen/>
        <w:t>fund of the entity satisfies the widely</w:t>
      </w:r>
      <w:r w:rsidRPr="00BF3D02">
        <w:noBreakHyphen/>
        <w:t xml:space="preserve">held requirements </w:t>
      </w:r>
      <w:r w:rsidR="00E138C6" w:rsidRPr="00BF3D02">
        <w:t>and closely</w:t>
      </w:r>
      <w:r w:rsidR="00E138C6" w:rsidRPr="00BF3D02">
        <w:noBreakHyphen/>
        <w:t xml:space="preserve">held restrictions </w:t>
      </w:r>
      <w:r w:rsidRPr="00BF3D02">
        <w:t>in relation to the income year</w:t>
      </w:r>
      <w:r w:rsidR="00D321D1" w:rsidRPr="00BF3D02">
        <w:t xml:space="preserve"> (or the alternative test)</w:t>
      </w:r>
      <w:r w:rsidRPr="00BF3D02">
        <w:t>;</w:t>
      </w:r>
    </w:p>
    <w:p w14:paraId="298778DA" w14:textId="00355FAF" w:rsidR="00472D9B" w:rsidRPr="00BF3D02" w:rsidRDefault="0003016C" w:rsidP="00472D9B">
      <w:pPr>
        <w:pStyle w:val="dotpoint"/>
      </w:pPr>
      <w:r w:rsidRPr="00C24BC0">
        <w:t xml:space="preserve">the </w:t>
      </w:r>
      <w:r w:rsidR="00472D9B" w:rsidRPr="00C24BC0">
        <w:t>entity</w:t>
      </w:r>
      <w:r w:rsidR="00AC318B">
        <w:t xml:space="preserve"> (through one or more of its </w:t>
      </w:r>
      <w:r w:rsidR="00C24BC0">
        <w:t>sub-funds</w:t>
      </w:r>
      <w:r w:rsidR="00AC318B">
        <w:t xml:space="preserve"> or otherwise</w:t>
      </w:r>
      <w:r w:rsidR="00C24BC0">
        <w:t>)</w:t>
      </w:r>
      <w:r w:rsidR="00472D9B" w:rsidRPr="00BF3D02">
        <w:t xml:space="preserve"> satisfies the trading business restrictions</w:t>
      </w:r>
      <w:r w:rsidR="00467D21">
        <w:t>;</w:t>
      </w:r>
      <w:r w:rsidR="00CE13E1">
        <w:t xml:space="preserve"> </w:t>
      </w:r>
      <w:r w:rsidR="00472D9B" w:rsidRPr="00BF3D02">
        <w:t>and</w:t>
      </w:r>
    </w:p>
    <w:p w14:paraId="413E8427" w14:textId="648CB107" w:rsidR="0003016C" w:rsidRPr="00BF3D02" w:rsidRDefault="0003016C" w:rsidP="00472D9B">
      <w:pPr>
        <w:pStyle w:val="dotpoint"/>
      </w:pPr>
      <w:r w:rsidRPr="00BF3D02">
        <w:t>either:</w:t>
      </w:r>
    </w:p>
    <w:p w14:paraId="0470363C" w14:textId="7FBB7BD8" w:rsidR="0003016C" w:rsidRPr="00BF3D02" w:rsidRDefault="00472D9B" w:rsidP="00C83D1C">
      <w:pPr>
        <w:pStyle w:val="dotpoint"/>
        <w:numPr>
          <w:ilvl w:val="1"/>
          <w:numId w:val="1"/>
        </w:numPr>
      </w:pPr>
      <w:r w:rsidRPr="00BF3D02">
        <w:t>the corporate director has elected to apply the ACCIV regime for the income year</w:t>
      </w:r>
      <w:r w:rsidR="0003016C" w:rsidRPr="00BF3D02">
        <w:t>; or</w:t>
      </w:r>
    </w:p>
    <w:p w14:paraId="7635A0D7" w14:textId="538632AF" w:rsidR="00472D9B" w:rsidRPr="00BF3D02" w:rsidRDefault="00472D9B" w:rsidP="00E7783C">
      <w:pPr>
        <w:pStyle w:val="dotpoint"/>
        <w:keepNext/>
        <w:numPr>
          <w:ilvl w:val="1"/>
          <w:numId w:val="1"/>
        </w:numPr>
        <w:ind w:left="2552" w:hanging="284"/>
      </w:pPr>
      <w:r w:rsidRPr="00BF3D02">
        <w:lastRenderedPageBreak/>
        <w:t>the entity was an ACCIV for an earlier income year.</w:t>
      </w:r>
    </w:p>
    <w:p w14:paraId="255F273C" w14:textId="4B112730" w:rsidR="00D52EDC" w:rsidRPr="00BF3D02" w:rsidRDefault="00031C45" w:rsidP="003E76B6">
      <w:pPr>
        <w:pStyle w:val="base-text-paragraphnonumbers"/>
        <w:rPr>
          <w:rStyle w:val="Referencingstyle"/>
        </w:rPr>
      </w:pPr>
      <w:r>
        <w:rPr>
          <w:rStyle w:val="Referencingstyle"/>
        </w:rPr>
        <w:t>[Schedule #, item 1</w:t>
      </w:r>
      <w:r w:rsidR="00D52EDC" w:rsidRPr="00BF3D02">
        <w:rPr>
          <w:rStyle w:val="Referencingstyle"/>
        </w:rPr>
        <w:t>, section 276</w:t>
      </w:r>
      <w:r w:rsidR="00D52EDC" w:rsidRPr="00BF3D02">
        <w:rPr>
          <w:rStyle w:val="Referencingstyle"/>
        </w:rPr>
        <w:noBreakHyphen/>
        <w:t>20]</w:t>
      </w:r>
    </w:p>
    <w:p w14:paraId="3A07D69F" w14:textId="1A8D16D3" w:rsidR="00BC5662" w:rsidRDefault="00BC5662" w:rsidP="00DD75BF">
      <w:pPr>
        <w:pStyle w:val="base-text-paragraph"/>
        <w:numPr>
          <w:ilvl w:val="1"/>
          <w:numId w:val="20"/>
        </w:numPr>
      </w:pPr>
      <w:r w:rsidRPr="00BF3D02">
        <w:t>Th</w:t>
      </w:r>
      <w:r w:rsidR="000D52F6" w:rsidRPr="00BF3D02">
        <w:t xml:space="preserve">ese </w:t>
      </w:r>
      <w:r w:rsidR="00941E9D">
        <w:t xml:space="preserve">amendments </w:t>
      </w:r>
      <w:r w:rsidR="000D52F6" w:rsidRPr="00BF3D02">
        <w:t xml:space="preserve">reflect the requirements for a MIT to be an AMIT, </w:t>
      </w:r>
      <w:r w:rsidR="00E96DDE" w:rsidRPr="00BF3D02">
        <w:t xml:space="preserve">with modifications </w:t>
      </w:r>
      <w:r w:rsidR="00273DB6">
        <w:t>to reflect the sub-fund and corporate structure of a CCIV</w:t>
      </w:r>
      <w:r w:rsidR="00CB1762">
        <w:t>.</w:t>
      </w:r>
      <w:r w:rsidR="006A3765" w:rsidRPr="00826F6C">
        <w:t xml:space="preserve"> </w:t>
      </w:r>
    </w:p>
    <w:p w14:paraId="52BBB5AA" w14:textId="77777777" w:rsidR="0045241E" w:rsidRPr="00BF3D02" w:rsidRDefault="0045241E" w:rsidP="0045241E">
      <w:pPr>
        <w:pStyle w:val="Heading4"/>
      </w:pPr>
      <w:r w:rsidRPr="00BF3D02">
        <w:t>The entity is a CCIV at all times during the income year</w:t>
      </w:r>
    </w:p>
    <w:p w14:paraId="06350A1C" w14:textId="56A3FE5B" w:rsidR="0045241E" w:rsidRDefault="004F2540" w:rsidP="00AC318B">
      <w:pPr>
        <w:pStyle w:val="base-text-paragraph"/>
        <w:numPr>
          <w:ilvl w:val="1"/>
          <w:numId w:val="20"/>
        </w:numPr>
      </w:pPr>
      <w:r>
        <w:t>A</w:t>
      </w:r>
      <w:r w:rsidR="0045241E">
        <w:t xml:space="preserve">n </w:t>
      </w:r>
      <w:r w:rsidR="0045241E" w:rsidRPr="00BF3D02">
        <w:t xml:space="preserve">entity </w:t>
      </w:r>
      <w:r w:rsidR="0045241E">
        <w:t xml:space="preserve">that registers as a CCIV </w:t>
      </w:r>
      <w:r w:rsidR="0045241E" w:rsidRPr="00BF3D02">
        <w:t xml:space="preserve">under the </w:t>
      </w:r>
      <w:r w:rsidR="0045241E" w:rsidRPr="00DD75BF">
        <w:t xml:space="preserve">Corporations Act </w:t>
      </w:r>
      <w:r>
        <w:t>must</w:t>
      </w:r>
      <w:r w:rsidR="0045241E">
        <w:t xml:space="preserve"> make an irrevocable election to be an ACCIV at th</w:t>
      </w:r>
      <w:r w:rsidR="000B5085">
        <w:t xml:space="preserve">e time it lodges its tax return. </w:t>
      </w:r>
      <w:r w:rsidR="00AC318B">
        <w:t xml:space="preserve">An entity must be a CCIV at all times </w:t>
      </w:r>
      <w:r w:rsidR="0045241E" w:rsidRPr="00BF3D02">
        <w:t>when the entity is in existence during the income year</w:t>
      </w:r>
      <w:r w:rsidR="00AC318B">
        <w:t xml:space="preserve"> to be able to access the ACCIV regime</w:t>
      </w:r>
      <w:r w:rsidR="0045241E" w:rsidRPr="00BF3D02">
        <w:t>.</w:t>
      </w:r>
      <w:r w:rsidR="0045241E">
        <w:t xml:space="preserve"> </w:t>
      </w:r>
      <w:r w:rsidR="00AC318B">
        <w:t>If a</w:t>
      </w:r>
      <w:r w:rsidR="0045241E">
        <w:t>n</w:t>
      </w:r>
      <w:r w:rsidR="0045241E" w:rsidRPr="00BF3D02">
        <w:t xml:space="preserve"> entity registers as a CCIV </w:t>
      </w:r>
      <w:r w:rsidR="00AC318B">
        <w:t xml:space="preserve">and comes into existence </w:t>
      </w:r>
      <w:r w:rsidR="0045241E" w:rsidRPr="00BF3D02">
        <w:t>part way through an income year</w:t>
      </w:r>
      <w:r w:rsidR="0045241E">
        <w:t>, it</w:t>
      </w:r>
      <w:r w:rsidR="0045241E" w:rsidRPr="00BF3D02">
        <w:t xml:space="preserve"> can </w:t>
      </w:r>
      <w:r w:rsidR="002B5D13">
        <w:t xml:space="preserve">still </w:t>
      </w:r>
      <w:r w:rsidR="0045241E" w:rsidRPr="00BF3D02">
        <w:t>satisfy this requirement.</w:t>
      </w:r>
      <w:r w:rsidR="0045241E">
        <w:t xml:space="preserve"> </w:t>
      </w:r>
      <w:r w:rsidR="00287B02" w:rsidRPr="00287B02">
        <w:rPr>
          <w:rStyle w:val="Referencingstyle"/>
        </w:rPr>
        <w:t>[Schedule #, item</w:t>
      </w:r>
      <w:r w:rsidR="00E260A5">
        <w:rPr>
          <w:rStyle w:val="Referencingstyle"/>
        </w:rPr>
        <w:t xml:space="preserve"> 1</w:t>
      </w:r>
      <w:r w:rsidR="00AC318B">
        <w:rPr>
          <w:rStyle w:val="Referencingstyle"/>
        </w:rPr>
        <w:t>,</w:t>
      </w:r>
      <w:r w:rsidR="00287B02" w:rsidRPr="00287B02">
        <w:rPr>
          <w:rStyle w:val="Referencingstyle"/>
        </w:rPr>
        <w:t xml:space="preserve"> </w:t>
      </w:r>
      <w:r w:rsidR="00287B02">
        <w:rPr>
          <w:rStyle w:val="Referencingstyle"/>
        </w:rPr>
        <w:t>paragraph 276-20(1)(a) and sub</w:t>
      </w:r>
      <w:r w:rsidR="003A695B">
        <w:rPr>
          <w:rStyle w:val="Referencingstyle"/>
        </w:rPr>
        <w:t>section</w:t>
      </w:r>
      <w:r w:rsidR="007813AC">
        <w:rPr>
          <w:rStyle w:val="Referencingstyle"/>
        </w:rPr>
        <w:t>s</w:t>
      </w:r>
      <w:r w:rsidR="003A695B">
        <w:rPr>
          <w:rStyle w:val="Referencingstyle"/>
        </w:rPr>
        <w:t xml:space="preserve"> </w:t>
      </w:r>
      <w:r w:rsidR="00287B02">
        <w:rPr>
          <w:rStyle w:val="Referencingstyle"/>
        </w:rPr>
        <w:t>276-</w:t>
      </w:r>
      <w:r w:rsidR="00287B02" w:rsidRPr="00287B02">
        <w:rPr>
          <w:rStyle w:val="Referencingstyle"/>
        </w:rPr>
        <w:t>20</w:t>
      </w:r>
      <w:r w:rsidR="00287B02">
        <w:rPr>
          <w:rStyle w:val="Referencingstyle"/>
        </w:rPr>
        <w:t>(3)</w:t>
      </w:r>
      <w:r w:rsidR="007813AC">
        <w:rPr>
          <w:rStyle w:val="Referencingstyle"/>
        </w:rPr>
        <w:t xml:space="preserve"> and (4)</w:t>
      </w:r>
      <w:r w:rsidR="00287B02" w:rsidRPr="00287B02">
        <w:rPr>
          <w:rStyle w:val="Referencingstyle"/>
        </w:rPr>
        <w:t>]</w:t>
      </w:r>
    </w:p>
    <w:p w14:paraId="19521EA1" w14:textId="7E1FBC7F" w:rsidR="007D6E36" w:rsidRDefault="0045241E" w:rsidP="00DD75BF">
      <w:pPr>
        <w:pStyle w:val="base-text-paragraph"/>
        <w:numPr>
          <w:ilvl w:val="1"/>
          <w:numId w:val="20"/>
        </w:numPr>
      </w:pPr>
      <w:r>
        <w:t xml:space="preserve">While the amendments do not preclude an existing </w:t>
      </w:r>
      <w:r w:rsidR="008C6076">
        <w:t>AMIT</w:t>
      </w:r>
      <w:r>
        <w:t xml:space="preserve"> from </w:t>
      </w:r>
      <w:r w:rsidR="00AC318B">
        <w:t>transitioning in</w:t>
      </w:r>
      <w:r>
        <w:t>to a</w:t>
      </w:r>
      <w:r w:rsidR="003B0F28">
        <w:t>n</w:t>
      </w:r>
      <w:r>
        <w:t xml:space="preserve"> </w:t>
      </w:r>
      <w:r w:rsidR="003B0F28">
        <w:t>A</w:t>
      </w:r>
      <w:r>
        <w:t xml:space="preserve">CCIV during the income year, to the extent </w:t>
      </w:r>
      <w:r w:rsidR="00AC318B">
        <w:t>restructures of this nature arise, each</w:t>
      </w:r>
      <w:r>
        <w:t xml:space="preserve"> entity will be required to submit tax returns to reflect its compliance obligations and tax treatment. </w:t>
      </w:r>
    </w:p>
    <w:p w14:paraId="725BC54F" w14:textId="67BCB447" w:rsidR="0045241E" w:rsidRDefault="00D7725B" w:rsidP="00DD75BF">
      <w:pPr>
        <w:pStyle w:val="base-text-paragraph"/>
        <w:numPr>
          <w:ilvl w:val="1"/>
          <w:numId w:val="20"/>
        </w:numPr>
      </w:pPr>
      <w:r>
        <w:t>Further, i</w:t>
      </w:r>
      <w:r w:rsidR="0045241E">
        <w:t>f an entity that was a corporate entity for six months of the income year registers as a CCIV, it must apply company taxation for the part of the year it was a corporate</w:t>
      </w:r>
      <w:r w:rsidR="002B5D13">
        <w:t xml:space="preserve"> taxpayer</w:t>
      </w:r>
      <w:r w:rsidR="0045241E">
        <w:t xml:space="preserve">, and to the extent it is eligible, it may apply ACCIV tax treatment for the remainder of the income year. </w:t>
      </w:r>
    </w:p>
    <w:p w14:paraId="75861A4A" w14:textId="2BE0B69A" w:rsidR="0045241E" w:rsidRDefault="0045241E" w:rsidP="0045241E">
      <w:pPr>
        <w:pStyle w:val="Heading4"/>
      </w:pPr>
      <w:r>
        <w:t>Sub-fund requirements</w:t>
      </w:r>
    </w:p>
    <w:p w14:paraId="35D41A45" w14:textId="0D6D7454" w:rsidR="00E50D67" w:rsidRPr="00BF3D02" w:rsidRDefault="0045252E" w:rsidP="00DD75BF">
      <w:pPr>
        <w:pStyle w:val="base-text-paragraph"/>
        <w:numPr>
          <w:ilvl w:val="1"/>
          <w:numId w:val="20"/>
        </w:numPr>
      </w:pPr>
      <w:r w:rsidRPr="00113896">
        <w:t>Each</w:t>
      </w:r>
      <w:r w:rsidRPr="00BF3D02">
        <w:t xml:space="preserve"> sub</w:t>
      </w:r>
      <w:r w:rsidRPr="00BF3D02">
        <w:noBreakHyphen/>
        <w:t>fund of the CCIV must meet t</w:t>
      </w:r>
      <w:r w:rsidR="00E50D67" w:rsidRPr="00826F6C">
        <w:t>he widely</w:t>
      </w:r>
      <w:r w:rsidR="00E50D67" w:rsidRPr="00826F6C">
        <w:noBreakHyphen/>
        <w:t>held requirements and closely</w:t>
      </w:r>
      <w:r w:rsidR="00E50D67" w:rsidRPr="00826F6C">
        <w:noBreakHyphen/>
        <w:t>held restrictions (or the alternative test)</w:t>
      </w:r>
      <w:r w:rsidR="00E50D67" w:rsidRPr="00BF3D02">
        <w:t xml:space="preserve">. </w:t>
      </w:r>
      <w:r w:rsidR="006A1218" w:rsidRPr="00BF3D02">
        <w:t xml:space="preserve">This reflects </w:t>
      </w:r>
      <w:r w:rsidR="00851E43">
        <w:t xml:space="preserve">that each sub-fund is segregated and that the whole </w:t>
      </w:r>
      <w:r w:rsidR="00CA2533" w:rsidRPr="00BF3D02">
        <w:t xml:space="preserve">CCIV </w:t>
      </w:r>
      <w:r w:rsidR="00B33948">
        <w:t xml:space="preserve">should </w:t>
      </w:r>
      <w:r w:rsidR="00CA2533" w:rsidRPr="00BF3D02">
        <w:t>be a genuine collective investment vehicle</w:t>
      </w:r>
      <w:r w:rsidR="00851E43">
        <w:t>.</w:t>
      </w:r>
      <w:r w:rsidR="006A1218" w:rsidRPr="00BF3D02">
        <w:t xml:space="preserve"> </w:t>
      </w:r>
      <w:r w:rsidR="00E50D67" w:rsidRPr="005D5FB1">
        <w:t>If one sub</w:t>
      </w:r>
      <w:r w:rsidR="00E50D67" w:rsidRPr="005D5FB1">
        <w:noBreakHyphen/>
        <w:t xml:space="preserve">fund </w:t>
      </w:r>
      <w:r w:rsidR="006A1218" w:rsidRPr="00826F6C">
        <w:t xml:space="preserve">of the CCIV </w:t>
      </w:r>
      <w:r w:rsidR="00E50D67" w:rsidRPr="00826F6C">
        <w:t xml:space="preserve">does not satisfy these requirements, the CCIV will not satisfy the ACCIV general test. </w:t>
      </w:r>
      <w:r w:rsidR="00713D2E">
        <w:rPr>
          <w:rStyle w:val="Referencingstyle"/>
        </w:rPr>
        <w:t>[Schedule #, item 1</w:t>
      </w:r>
      <w:r w:rsidR="00E50D67" w:rsidRPr="00BF3D02">
        <w:rPr>
          <w:rStyle w:val="Referencingstyle"/>
        </w:rPr>
        <w:t>, paragraph 276</w:t>
      </w:r>
      <w:r w:rsidR="00E50D67" w:rsidRPr="00BF3D02">
        <w:rPr>
          <w:rStyle w:val="Referencingstyle"/>
        </w:rPr>
        <w:noBreakHyphen/>
        <w:t>20(1)(b)]</w:t>
      </w:r>
    </w:p>
    <w:p w14:paraId="12860831" w14:textId="37049304" w:rsidR="00D321D1" w:rsidRPr="00BF3D02" w:rsidRDefault="00D321D1" w:rsidP="008A38CE">
      <w:pPr>
        <w:pStyle w:val="Heading5"/>
      </w:pPr>
      <w:r w:rsidRPr="00BF3D02">
        <w:t>Widely</w:t>
      </w:r>
      <w:r w:rsidRPr="00BF3D02">
        <w:noBreakHyphen/>
        <w:t>held requirements</w:t>
      </w:r>
    </w:p>
    <w:p w14:paraId="7FE38361" w14:textId="20C320AE" w:rsidR="00142116" w:rsidRDefault="003212E9" w:rsidP="00DD75BF">
      <w:pPr>
        <w:pStyle w:val="base-text-paragraph"/>
        <w:numPr>
          <w:ilvl w:val="1"/>
          <w:numId w:val="20"/>
        </w:numPr>
      </w:pPr>
      <w:r>
        <w:t>The widely-held requirements that need to be satisfied by</w:t>
      </w:r>
      <w:r w:rsidR="004C736C">
        <w:t xml:space="preserve"> the</w:t>
      </w:r>
      <w:r>
        <w:t xml:space="preserve"> sub-fund will depend on whether </w:t>
      </w:r>
      <w:r w:rsidR="00061094">
        <w:t>or not the sub-fund has wholesale</w:t>
      </w:r>
      <w:r w:rsidR="005E5976">
        <w:t xml:space="preserve"> </w:t>
      </w:r>
      <w:r>
        <w:t>membership</w:t>
      </w:r>
      <w:r w:rsidR="005E5976">
        <w:t>.</w:t>
      </w:r>
    </w:p>
    <w:p w14:paraId="44EADC28" w14:textId="12832D28" w:rsidR="003212E9" w:rsidRDefault="00256F87" w:rsidP="00DD75BF">
      <w:pPr>
        <w:pStyle w:val="base-text-paragraph"/>
        <w:numPr>
          <w:ilvl w:val="1"/>
          <w:numId w:val="20"/>
        </w:numPr>
      </w:pPr>
      <w:r>
        <w:t>A</w:t>
      </w:r>
      <w:r w:rsidR="00580DA2" w:rsidRPr="00BF3D02">
        <w:t xml:space="preserve"> sub</w:t>
      </w:r>
      <w:r w:rsidR="00580DA2" w:rsidRPr="00BF3D02">
        <w:noBreakHyphen/>
        <w:t xml:space="preserve">fund must satisfy the </w:t>
      </w:r>
      <w:r w:rsidR="004C736C">
        <w:t>relevant</w:t>
      </w:r>
      <w:r w:rsidR="00580DA2" w:rsidRPr="00BF3D02">
        <w:t xml:space="preserve"> requirements a</w:t>
      </w:r>
      <w:r w:rsidR="00CC2FB4">
        <w:t>t the time</w:t>
      </w:r>
      <w:r w:rsidR="00FD5CEF" w:rsidRPr="00BF3D02">
        <w:t xml:space="preserve"> the first fund payment</w:t>
      </w:r>
      <w:r w:rsidR="002B5D13">
        <w:t xml:space="preserve"> is made</w:t>
      </w:r>
      <w:r w:rsidR="00FD5CEF" w:rsidRPr="00BF3D02">
        <w:t xml:space="preserve"> from the sub</w:t>
      </w:r>
      <w:r w:rsidR="00FD5CEF" w:rsidRPr="00BF3D02">
        <w:noBreakHyphen/>
        <w:t>fund for the income year.</w:t>
      </w:r>
      <w:r w:rsidR="000B28D0">
        <w:t xml:space="preserve"> </w:t>
      </w:r>
      <w:r w:rsidR="002B2C5B" w:rsidRPr="00DD75BF">
        <w:rPr>
          <w:rStyle w:val="Referencingstyle"/>
        </w:rPr>
        <w:t>[Schedu</w:t>
      </w:r>
      <w:r w:rsidR="00713D2E">
        <w:rPr>
          <w:rStyle w:val="Referencingstyle"/>
        </w:rPr>
        <w:t>le #, item 1</w:t>
      </w:r>
      <w:r w:rsidR="002B2C5B">
        <w:rPr>
          <w:rStyle w:val="Referencingstyle"/>
        </w:rPr>
        <w:t>, paragraph 276</w:t>
      </w:r>
      <w:r w:rsidR="002B2C5B">
        <w:rPr>
          <w:rStyle w:val="Referencingstyle"/>
        </w:rPr>
        <w:noBreakHyphen/>
        <w:t>20(2)(a</w:t>
      </w:r>
      <w:r w:rsidR="002B2C5B" w:rsidRPr="00DD75BF">
        <w:rPr>
          <w:rStyle w:val="Referencingstyle"/>
        </w:rPr>
        <w:t>)]</w:t>
      </w:r>
    </w:p>
    <w:p w14:paraId="18ECE3A3" w14:textId="43B0CBC1" w:rsidR="00FD5CEF" w:rsidRPr="00BF3D02" w:rsidRDefault="00BC178B" w:rsidP="00DD75BF">
      <w:pPr>
        <w:pStyle w:val="base-text-paragraph"/>
        <w:numPr>
          <w:ilvl w:val="1"/>
          <w:numId w:val="20"/>
        </w:numPr>
      </w:pPr>
      <w:r w:rsidRPr="00BF3D02">
        <w:lastRenderedPageBreak/>
        <w:t xml:space="preserve">The meaning of </w:t>
      </w:r>
      <w:r w:rsidRPr="00DC23B7">
        <w:rPr>
          <w:i/>
        </w:rPr>
        <w:t>fund payment</w:t>
      </w:r>
      <w:r w:rsidRPr="00BF3D02">
        <w:t xml:space="preserve"> is set out in the Schedule 1 to the </w:t>
      </w:r>
      <w:r w:rsidR="001701D4">
        <w:t>TAA 1953</w:t>
      </w:r>
      <w:r w:rsidRPr="00BF3D02">
        <w:t xml:space="preserve">. The </w:t>
      </w:r>
      <w:r w:rsidR="008C1506" w:rsidRPr="00BF3D02">
        <w:t xml:space="preserve">amendments </w:t>
      </w:r>
      <w:r w:rsidR="008C1506">
        <w:t xml:space="preserve">extend </w:t>
      </w:r>
      <w:r w:rsidRPr="00BF3D02">
        <w:t xml:space="preserve">the current definition of fund payment </w:t>
      </w:r>
      <w:r w:rsidR="002B5D13">
        <w:t>that applies to AMITs so that it applies</w:t>
      </w:r>
      <w:r w:rsidR="004F2540">
        <w:t xml:space="preserve"> to </w:t>
      </w:r>
      <w:r w:rsidR="002B5D13">
        <w:t xml:space="preserve">all </w:t>
      </w:r>
      <w:r w:rsidR="004F2540">
        <w:t>AIVs</w:t>
      </w:r>
      <w:r w:rsidR="003E3E5D" w:rsidRPr="00BF3D02">
        <w:t xml:space="preserve">. </w:t>
      </w:r>
      <w:r w:rsidR="00234C74">
        <w:rPr>
          <w:rStyle w:val="Referencingstyle"/>
        </w:rPr>
        <w:t>[Schedule #, items 359 to 374</w:t>
      </w:r>
      <w:r w:rsidR="004F2540">
        <w:rPr>
          <w:rStyle w:val="Referencingstyle"/>
        </w:rPr>
        <w:t>, section 12A</w:t>
      </w:r>
      <w:r w:rsidR="004F2540">
        <w:rPr>
          <w:rStyle w:val="Referencingstyle"/>
        </w:rPr>
        <w:noBreakHyphen/>
        <w:t>11</w:t>
      </w:r>
      <w:r w:rsidR="005E5976">
        <w:rPr>
          <w:rStyle w:val="Referencingstyle"/>
        </w:rPr>
        <w:t>0</w:t>
      </w:r>
      <w:r w:rsidR="006D5C5C">
        <w:rPr>
          <w:rStyle w:val="Referencingstyle"/>
        </w:rPr>
        <w:t xml:space="preserve"> in</w:t>
      </w:r>
      <w:r w:rsidR="004F2540">
        <w:rPr>
          <w:rStyle w:val="Referencingstyle"/>
        </w:rPr>
        <w:t xml:space="preserve"> Schedule 1 to the TAA 1953</w:t>
      </w:r>
      <w:r w:rsidR="003E3E5D" w:rsidRPr="00BF3D02">
        <w:rPr>
          <w:rStyle w:val="Referencingstyle"/>
        </w:rPr>
        <w:t>]</w:t>
      </w:r>
    </w:p>
    <w:p w14:paraId="53905902" w14:textId="589850A9" w:rsidR="00D52EDC" w:rsidRPr="00BF3D02" w:rsidRDefault="004A25D9" w:rsidP="004A25D9">
      <w:pPr>
        <w:pStyle w:val="Heading5"/>
      </w:pPr>
      <w:r w:rsidRPr="00BF3D02">
        <w:t>Widely</w:t>
      </w:r>
      <w:r w:rsidRPr="00BF3D02">
        <w:noBreakHyphen/>
        <w:t>held requirements</w:t>
      </w:r>
      <w:r>
        <w:t xml:space="preserve"> </w:t>
      </w:r>
      <w:r w:rsidR="001F2EC8">
        <w:t>—</w:t>
      </w:r>
      <w:r w:rsidR="00E138C6" w:rsidRPr="00BF3D02">
        <w:t xml:space="preserve"> wholesale membership</w:t>
      </w:r>
    </w:p>
    <w:p w14:paraId="01A8FB05" w14:textId="6D8929CA" w:rsidR="00CB5F44" w:rsidRDefault="00CB5F44" w:rsidP="009529A7">
      <w:pPr>
        <w:pStyle w:val="base-text-paragraph"/>
        <w:numPr>
          <w:ilvl w:val="1"/>
          <w:numId w:val="20"/>
        </w:numPr>
      </w:pPr>
      <w:r>
        <w:t>A</w:t>
      </w:r>
      <w:r w:rsidRPr="00BF3D02">
        <w:t xml:space="preserve"> sub</w:t>
      </w:r>
      <w:r w:rsidRPr="00BF3D02">
        <w:noBreakHyphen/>
        <w:t xml:space="preserve">fund </w:t>
      </w:r>
      <w:r>
        <w:t xml:space="preserve">that has </w:t>
      </w:r>
      <w:r w:rsidRPr="00BF3D02">
        <w:t>wholesale membership</w:t>
      </w:r>
      <w:r>
        <w:t xml:space="preserve"> must </w:t>
      </w:r>
      <w:r w:rsidR="009529A7">
        <w:t xml:space="preserve">satisfy certain requirements and </w:t>
      </w:r>
      <w:r>
        <w:t>have at</w:t>
      </w:r>
      <w:r w:rsidR="002B5D13">
        <w:t xml:space="preserve"> least 25 members at the time</w:t>
      </w:r>
      <w:r>
        <w:t xml:space="preserve"> the first fund payment </w:t>
      </w:r>
      <w:r w:rsidR="002B5D13">
        <w:t xml:space="preserve">is made </w:t>
      </w:r>
      <w:r>
        <w:t xml:space="preserve">from the sub-fund for the income year. </w:t>
      </w:r>
      <w:r w:rsidR="00DD61AF">
        <w:rPr>
          <w:rStyle w:val="Referencingstyle"/>
        </w:rPr>
        <w:t>[Schedule #, item 1</w:t>
      </w:r>
      <w:r w:rsidRPr="00BF0A96">
        <w:rPr>
          <w:rStyle w:val="Referencingstyle"/>
        </w:rPr>
        <w:t>, paragraph 276-25(1)(b)]</w:t>
      </w:r>
    </w:p>
    <w:p w14:paraId="24A09B67" w14:textId="68769C55" w:rsidR="005E0A2A" w:rsidRPr="00BF3D02" w:rsidRDefault="009529A7" w:rsidP="009529A7">
      <w:pPr>
        <w:pStyle w:val="base-text-paragraph"/>
        <w:numPr>
          <w:ilvl w:val="1"/>
          <w:numId w:val="20"/>
        </w:numPr>
      </w:pPr>
      <w:r>
        <w:t>The</w:t>
      </w:r>
      <w:r w:rsidR="005E0A2A" w:rsidRPr="00BF3D02">
        <w:t xml:space="preserve"> wholesale membership </w:t>
      </w:r>
      <w:r w:rsidR="00694791">
        <w:t>requirements for</w:t>
      </w:r>
      <w:r>
        <w:t xml:space="preserve"> the sub-fund</w:t>
      </w:r>
      <w:r w:rsidR="002B5D13">
        <w:t xml:space="preserve"> </w:t>
      </w:r>
      <w:r w:rsidR="00E7783C">
        <w:t>are that</w:t>
      </w:r>
      <w:r w:rsidR="005E0A2A" w:rsidRPr="00BF3D02">
        <w:t>:</w:t>
      </w:r>
    </w:p>
    <w:p w14:paraId="5CDD78E8" w14:textId="7B08A5B7" w:rsidR="005E0A2A" w:rsidRDefault="00641CD2" w:rsidP="005E0A2A">
      <w:pPr>
        <w:pStyle w:val="dotpoint"/>
      </w:pPr>
      <w:r>
        <w:t>the total number of persons</w:t>
      </w:r>
      <w:r w:rsidR="005E0A2A" w:rsidRPr="00BF3D02">
        <w:t xml:space="preserve"> that had become a member of the sub</w:t>
      </w:r>
      <w:r w:rsidR="005E0A2A" w:rsidRPr="00BF3D02">
        <w:noBreakHyphen/>
        <w:t>fund because a financial product or a financial service was provide</w:t>
      </w:r>
      <w:r>
        <w:t>d to, or acquired by, the person</w:t>
      </w:r>
      <w:r w:rsidR="005E0A2A" w:rsidRPr="00BF3D02">
        <w:t xml:space="preserve"> as a retail client (within the meaning of sections 761G and 761GA of the </w:t>
      </w:r>
      <w:r w:rsidR="005E0A2A" w:rsidRPr="00B72BD4">
        <w:t>Corporations Act</w:t>
      </w:r>
      <w:r w:rsidR="005E0A2A" w:rsidRPr="00BF3D02">
        <w:t>) i</w:t>
      </w:r>
      <w:r w:rsidR="005E0A2A">
        <w:t>s equal to or less than 20; and</w:t>
      </w:r>
    </w:p>
    <w:p w14:paraId="05B17E56" w14:textId="717BA3E4" w:rsidR="004B7818" w:rsidRDefault="00A309D4" w:rsidP="005E0A2A">
      <w:pPr>
        <w:pStyle w:val="dotpoint"/>
      </w:pPr>
      <w:r>
        <w:t>these persons</w:t>
      </w:r>
      <w:r w:rsidR="005E0A2A" w:rsidRPr="00BF3D02">
        <w:t xml:space="preserve"> </w:t>
      </w:r>
      <w:r>
        <w:t xml:space="preserve">collectively </w:t>
      </w:r>
      <w:r w:rsidR="002B5D13">
        <w:t xml:space="preserve">must </w:t>
      </w:r>
      <w:r w:rsidR="005E0A2A" w:rsidRPr="00BF3D02">
        <w:t>have a total sub</w:t>
      </w:r>
      <w:r w:rsidR="005E0A2A" w:rsidRPr="00BF3D02">
        <w:noBreakHyphen/>
        <w:t>fund participation interest in t</w:t>
      </w:r>
      <w:r w:rsidR="00E7783C">
        <w:t>he sub</w:t>
      </w:r>
      <w:r w:rsidR="00E7783C">
        <w:noBreakHyphen/>
        <w:t>fund of not more than 10 per </w:t>
      </w:r>
      <w:r w:rsidR="005E0A2A" w:rsidRPr="00BF3D02">
        <w:t>cent.</w:t>
      </w:r>
    </w:p>
    <w:p w14:paraId="1F14AA0E" w14:textId="1053BD44" w:rsidR="005E0A2A" w:rsidRDefault="00DD61AF" w:rsidP="00DC23B7">
      <w:pPr>
        <w:pStyle w:val="base-text-paragraphnonumbers"/>
      </w:pPr>
      <w:r>
        <w:rPr>
          <w:rStyle w:val="Referencingstyle"/>
        </w:rPr>
        <w:t>[Schedule #, item 1</w:t>
      </w:r>
      <w:r w:rsidR="005E0A2A" w:rsidRPr="00BF3D02">
        <w:rPr>
          <w:rStyle w:val="Referencingstyle"/>
        </w:rPr>
        <w:t>, subsection 276</w:t>
      </w:r>
      <w:r w:rsidR="005E0A2A" w:rsidRPr="00BF3D02">
        <w:rPr>
          <w:rStyle w:val="Referencingstyle"/>
        </w:rPr>
        <w:noBreakHyphen/>
        <w:t>25(2)]</w:t>
      </w:r>
    </w:p>
    <w:p w14:paraId="05487E14" w14:textId="77777777" w:rsidR="00D0103B" w:rsidRPr="00BF3D02" w:rsidRDefault="00D0103B" w:rsidP="009529A7">
      <w:pPr>
        <w:pStyle w:val="base-text-paragraph"/>
        <w:numPr>
          <w:ilvl w:val="1"/>
          <w:numId w:val="20"/>
        </w:numPr>
      </w:pPr>
      <w:r w:rsidRPr="00BF3D02">
        <w:t>Th</w:t>
      </w:r>
      <w:r>
        <w:t>ese</w:t>
      </w:r>
      <w:r w:rsidRPr="00BF3D02">
        <w:t xml:space="preserve"> requirements reflect the widely</w:t>
      </w:r>
      <w:r w:rsidRPr="00BF3D02">
        <w:noBreakHyphen/>
        <w:t>held requirements under the AMIT regime for unregistered trusts with wholesale membership (see subparagraph 275</w:t>
      </w:r>
      <w:r w:rsidRPr="00BF3D02">
        <w:noBreakHyphen/>
        <w:t>10(3)(e)(iii), sections 275</w:t>
      </w:r>
      <w:r w:rsidRPr="00BF3D02">
        <w:noBreakHyphen/>
        <w:t>15 and 275</w:t>
      </w:r>
      <w:r w:rsidRPr="00BF3D02">
        <w:noBreakHyphen/>
        <w:t>40), with modifications to remove inapplicable trust elements and apply the test to each sub</w:t>
      </w:r>
      <w:r w:rsidRPr="00BF3D02">
        <w:noBreakHyphen/>
        <w:t>fund of the CCIV.</w:t>
      </w:r>
    </w:p>
    <w:p w14:paraId="5370CB7C" w14:textId="1FAB9B5C" w:rsidR="00E3489D" w:rsidRPr="00BF3D02" w:rsidRDefault="00E3489D" w:rsidP="009529A7">
      <w:pPr>
        <w:pStyle w:val="base-text-paragraph"/>
        <w:numPr>
          <w:ilvl w:val="1"/>
          <w:numId w:val="20"/>
        </w:numPr>
      </w:pPr>
      <w:r w:rsidRPr="00BF3D02">
        <w:t xml:space="preserve">An entity has a </w:t>
      </w:r>
      <w:r w:rsidRPr="00EB5628">
        <w:rPr>
          <w:i/>
        </w:rPr>
        <w:t>sub</w:t>
      </w:r>
      <w:r w:rsidRPr="00EB5628">
        <w:rPr>
          <w:i/>
        </w:rPr>
        <w:noBreakHyphen/>
        <w:t>fund participation interest</w:t>
      </w:r>
      <w:r w:rsidRPr="00BF3D02">
        <w:t xml:space="preserve"> in the sub</w:t>
      </w:r>
      <w:r w:rsidRPr="00BF3D02">
        <w:noBreakHyphen/>
        <w:t>fund if the entity, directly or indirectly:</w:t>
      </w:r>
    </w:p>
    <w:p w14:paraId="0D2FB4C9" w14:textId="5E474C1B" w:rsidR="00E3489D" w:rsidRPr="00BF3D02" w:rsidRDefault="00E3489D" w:rsidP="00E3489D">
      <w:pPr>
        <w:pStyle w:val="dotpoint"/>
      </w:pPr>
      <w:r w:rsidRPr="00BF3D02">
        <w:t>holds, or has the right to acquire, interests representing a percentage of the value of the interests in the sub</w:t>
      </w:r>
      <w:r w:rsidRPr="00BF3D02">
        <w:noBreakHyphen/>
        <w:t>fund;</w:t>
      </w:r>
      <w:r w:rsidR="0041259C">
        <w:t xml:space="preserve"> or</w:t>
      </w:r>
    </w:p>
    <w:p w14:paraId="2AC78D78" w14:textId="6AB4208C" w:rsidR="00E3489D" w:rsidRPr="00BF3D02" w:rsidRDefault="00E3489D" w:rsidP="00E3489D">
      <w:pPr>
        <w:pStyle w:val="dotpoint"/>
      </w:pPr>
      <w:r w:rsidRPr="00BF3D02">
        <w:t>has the control of, or the ability to control, a percentage of the rights attaching to either or both of the following:</w:t>
      </w:r>
    </w:p>
    <w:p w14:paraId="2948D8DB" w14:textId="37CB0086" w:rsidR="00E3489D" w:rsidRPr="00BF3D02" w:rsidRDefault="00E3489D" w:rsidP="00DC23B7">
      <w:pPr>
        <w:pStyle w:val="dotpoint2"/>
      </w:pPr>
      <w:r w:rsidRPr="00BF3D02">
        <w:t>an interest, or set of interests, in the sub</w:t>
      </w:r>
      <w:r w:rsidRPr="00BF3D02">
        <w:noBreakHyphen/>
        <w:t>fund;</w:t>
      </w:r>
      <w:r w:rsidR="00DC23B7">
        <w:t xml:space="preserve"> </w:t>
      </w:r>
    </w:p>
    <w:p w14:paraId="64AF8103" w14:textId="6A54F2F1" w:rsidR="00425A3A" w:rsidRDefault="00E3489D" w:rsidP="00DC23B7">
      <w:pPr>
        <w:pStyle w:val="dotpoint2"/>
      </w:pPr>
      <w:r w:rsidRPr="00BF3D02">
        <w:t>each right</w:t>
      </w:r>
      <w:r w:rsidR="00CC14AB">
        <w:t xml:space="preserve"> to receive a distribution</w:t>
      </w:r>
      <w:r w:rsidRPr="00BF3D02">
        <w:t xml:space="preserve">, or set of </w:t>
      </w:r>
      <w:r w:rsidR="00CC14AB">
        <w:t xml:space="preserve">such </w:t>
      </w:r>
      <w:r w:rsidRPr="00BF3D02">
        <w:t>rights, in relation to the sub</w:t>
      </w:r>
      <w:r w:rsidRPr="00BF3D02">
        <w:noBreakHyphen/>
        <w:t>fund.</w:t>
      </w:r>
    </w:p>
    <w:p w14:paraId="1B5196A5" w14:textId="7E2FB7CB" w:rsidR="00E3489D" w:rsidRPr="00BF3D02" w:rsidRDefault="00DD61AF" w:rsidP="00DC23B7">
      <w:pPr>
        <w:pStyle w:val="base-text-paragraphnonumbers"/>
      </w:pPr>
      <w:r>
        <w:rPr>
          <w:rStyle w:val="Referencingstyle"/>
        </w:rPr>
        <w:t>[Schedule #, item 1</w:t>
      </w:r>
      <w:r w:rsidR="00425A3A" w:rsidRPr="00BF0A96">
        <w:rPr>
          <w:rStyle w:val="Referencingstyle"/>
        </w:rPr>
        <w:t xml:space="preserve">, </w:t>
      </w:r>
      <w:r w:rsidR="00A94B4B">
        <w:rPr>
          <w:rStyle w:val="Referencingstyle"/>
        </w:rPr>
        <w:t>subsection </w:t>
      </w:r>
      <w:r w:rsidR="00425A3A">
        <w:rPr>
          <w:rStyle w:val="Referencingstyle"/>
        </w:rPr>
        <w:t>276-40(1)</w:t>
      </w:r>
      <w:r w:rsidR="00425A3A" w:rsidRPr="00BF0A96">
        <w:rPr>
          <w:rStyle w:val="Referencingstyle"/>
        </w:rPr>
        <w:t>]</w:t>
      </w:r>
    </w:p>
    <w:p w14:paraId="6B8346F2" w14:textId="6F7BB05C" w:rsidR="00E3489D" w:rsidRDefault="00E3489D" w:rsidP="002420B7">
      <w:pPr>
        <w:pStyle w:val="base-text-paragraph"/>
        <w:numPr>
          <w:ilvl w:val="1"/>
          <w:numId w:val="20"/>
        </w:numPr>
      </w:pPr>
      <w:r w:rsidRPr="00BF3D02">
        <w:lastRenderedPageBreak/>
        <w:t>The sub</w:t>
      </w:r>
      <w:r w:rsidRPr="00BF3D02">
        <w:noBreakHyphen/>
        <w:t>fund participation interest that an entity has in a sub</w:t>
      </w:r>
      <w:r w:rsidRPr="00BF3D02">
        <w:noBreakHyphen/>
        <w:t xml:space="preserve">fund is the greatest of the percentages mentioned </w:t>
      </w:r>
      <w:r w:rsidR="002B5D13">
        <w:t>in paragraph</w:t>
      </w:r>
      <w:r w:rsidR="00A94B4B">
        <w:t>s 276</w:t>
      </w:r>
      <w:r w:rsidR="00A94B4B">
        <w:noBreakHyphen/>
        <w:t>40(1)(a) and (b)</w:t>
      </w:r>
      <w:r w:rsidRPr="00BF3D02">
        <w:t>.</w:t>
      </w:r>
      <w:r w:rsidR="00425A3A" w:rsidRPr="002420B7">
        <w:rPr>
          <w:b/>
          <w:i/>
        </w:rPr>
        <w:t xml:space="preserve"> </w:t>
      </w:r>
      <w:r w:rsidR="00DD61AF">
        <w:rPr>
          <w:rStyle w:val="Referencingstyle"/>
        </w:rPr>
        <w:t>[Schedule #, item 1</w:t>
      </w:r>
      <w:r w:rsidR="00425A3A" w:rsidRPr="00BF0A96">
        <w:rPr>
          <w:rStyle w:val="Referencingstyle"/>
        </w:rPr>
        <w:t xml:space="preserve">, </w:t>
      </w:r>
      <w:r w:rsidR="00A94B4B">
        <w:rPr>
          <w:rStyle w:val="Referencingstyle"/>
        </w:rPr>
        <w:t>subsection </w:t>
      </w:r>
      <w:r w:rsidR="00425A3A">
        <w:rPr>
          <w:rStyle w:val="Referencingstyle"/>
        </w:rPr>
        <w:t>276-40(2)</w:t>
      </w:r>
      <w:r w:rsidR="00425A3A" w:rsidRPr="00BF0A96">
        <w:rPr>
          <w:rStyle w:val="Referencingstyle"/>
        </w:rPr>
        <w:t>]</w:t>
      </w:r>
    </w:p>
    <w:p w14:paraId="54AA9136" w14:textId="4D330D00" w:rsidR="004A25D9" w:rsidRPr="00BF3D02" w:rsidRDefault="004A25D9" w:rsidP="004A25D9">
      <w:pPr>
        <w:pStyle w:val="Heading5"/>
      </w:pPr>
      <w:r w:rsidRPr="00BF3D02">
        <w:t>Widely</w:t>
      </w:r>
      <w:r w:rsidRPr="00BF3D02">
        <w:noBreakHyphen/>
        <w:t>held requirements</w:t>
      </w:r>
      <w:r>
        <w:t xml:space="preserve"> </w:t>
      </w:r>
      <w:r w:rsidR="00E7783C">
        <w:t>—</w:t>
      </w:r>
      <w:r>
        <w:t xml:space="preserve"> no </w:t>
      </w:r>
      <w:r w:rsidRPr="00BF3D02">
        <w:t>wholesale membership</w:t>
      </w:r>
    </w:p>
    <w:p w14:paraId="401EDD38" w14:textId="07E5ABF3" w:rsidR="00697C3B" w:rsidRPr="00BF3D02" w:rsidRDefault="00697C3B" w:rsidP="002420B7">
      <w:pPr>
        <w:pStyle w:val="base-text-paragraph"/>
        <w:numPr>
          <w:ilvl w:val="1"/>
          <w:numId w:val="20"/>
        </w:numPr>
      </w:pPr>
      <w:r w:rsidRPr="00BF3D02">
        <w:t>If the sub</w:t>
      </w:r>
      <w:r w:rsidRPr="00BF3D02">
        <w:noBreakHyphen/>
        <w:t>fund does not have wholesale membership, the sub</w:t>
      </w:r>
      <w:r w:rsidRPr="00BF3D02">
        <w:noBreakHyphen/>
        <w:t>fund must meet either or both of the following</w:t>
      </w:r>
      <w:r w:rsidR="00EA5DB0">
        <w:t xml:space="preserve"> requirements</w:t>
      </w:r>
      <w:r w:rsidRPr="00BF3D02">
        <w:t>:</w:t>
      </w:r>
    </w:p>
    <w:p w14:paraId="7B1974BF" w14:textId="3B68D073" w:rsidR="00697C3B" w:rsidRPr="00641CD2" w:rsidRDefault="009A579E" w:rsidP="009A579E">
      <w:pPr>
        <w:pStyle w:val="dotpoint"/>
      </w:pPr>
      <w:r w:rsidRPr="00641CD2">
        <w:t>the sub</w:t>
      </w:r>
      <w:r w:rsidRPr="00641CD2">
        <w:noBreakHyphen/>
        <w:t xml:space="preserve">fund </w:t>
      </w:r>
      <w:r w:rsidR="00081C85">
        <w:t>has</w:t>
      </w:r>
      <w:r w:rsidR="002B5D13">
        <w:t xml:space="preserve"> </w:t>
      </w:r>
      <w:r w:rsidRPr="00641CD2">
        <w:t>at least 50 members;</w:t>
      </w:r>
      <w:r w:rsidR="00081C85">
        <w:t xml:space="preserve"> and/</w:t>
      </w:r>
      <w:r w:rsidRPr="00641CD2">
        <w:t>or</w:t>
      </w:r>
    </w:p>
    <w:p w14:paraId="59B5B4B7" w14:textId="45D640F1" w:rsidR="009A579E" w:rsidRPr="00BF3D02" w:rsidRDefault="002321D9" w:rsidP="009A579E">
      <w:pPr>
        <w:pStyle w:val="dotpoint"/>
      </w:pPr>
      <w:r w:rsidRPr="00BF3D02">
        <w:t>one or more of specified types of entities (those entities covered by subsection 275</w:t>
      </w:r>
      <w:r w:rsidRPr="00BF3D02">
        <w:noBreakHyphen/>
        <w:t>20(4), including life insurance companies, complying superannuation funds with 50</w:t>
      </w:r>
      <w:r w:rsidR="00DC23B7">
        <w:t> </w:t>
      </w:r>
      <w:r w:rsidRPr="00BF3D02">
        <w:t>members or more, and other investment entities)</w:t>
      </w:r>
      <w:r w:rsidR="002B5D13">
        <w:t xml:space="preserve"> </w:t>
      </w:r>
      <w:r w:rsidRPr="00BF3D02">
        <w:t>have a sub</w:t>
      </w:r>
      <w:r w:rsidRPr="00BF3D02">
        <w:noBreakHyphen/>
        <w:t>fund participation interest of more than 25 p</w:t>
      </w:r>
      <w:r w:rsidR="002B5D13">
        <w:t xml:space="preserve">er cent, and no other entity </w:t>
      </w:r>
      <w:r w:rsidR="00081C85">
        <w:t>has</w:t>
      </w:r>
      <w:r w:rsidRPr="00BF3D02">
        <w:t xml:space="preserve"> a sub</w:t>
      </w:r>
      <w:r w:rsidRPr="00BF3D02">
        <w:noBreakHyphen/>
        <w:t>fund participation interest of more than 60 per cent.</w:t>
      </w:r>
    </w:p>
    <w:p w14:paraId="5129C415" w14:textId="2BD26633" w:rsidR="002321D9" w:rsidRPr="00BF3D02" w:rsidRDefault="002321D9" w:rsidP="00DC23B7">
      <w:pPr>
        <w:pStyle w:val="base-text-paragraphnonumbers"/>
        <w:rPr>
          <w:rStyle w:val="Referencingstyle"/>
        </w:rPr>
      </w:pPr>
      <w:r w:rsidRPr="002420B7">
        <w:rPr>
          <w:rStyle w:val="Referencingstyle"/>
        </w:rPr>
        <w:t>[Schedule #, item</w:t>
      </w:r>
      <w:r w:rsidR="008D5873">
        <w:rPr>
          <w:rStyle w:val="Referencingstyle"/>
        </w:rPr>
        <w:t xml:space="preserve"> 1</w:t>
      </w:r>
      <w:r w:rsidR="00CC2FB4">
        <w:rPr>
          <w:rStyle w:val="Referencingstyle"/>
        </w:rPr>
        <w:t>, paragraph 276</w:t>
      </w:r>
      <w:r w:rsidR="00CC2FB4">
        <w:rPr>
          <w:rStyle w:val="Referencingstyle"/>
        </w:rPr>
        <w:noBreakHyphen/>
        <w:t>25(1)(a) and</w:t>
      </w:r>
      <w:r w:rsidRPr="002420B7">
        <w:rPr>
          <w:rStyle w:val="Referencingstyle"/>
        </w:rPr>
        <w:t xml:space="preserve"> subsections</w:t>
      </w:r>
      <w:r w:rsidR="00DC23B7">
        <w:rPr>
          <w:rStyle w:val="Referencingstyle"/>
        </w:rPr>
        <w:t> </w:t>
      </w:r>
      <w:r w:rsidR="00273915">
        <w:rPr>
          <w:rStyle w:val="Referencingstyle"/>
        </w:rPr>
        <w:t>276</w:t>
      </w:r>
      <w:r w:rsidRPr="002420B7">
        <w:rPr>
          <w:rStyle w:val="Referencingstyle"/>
        </w:rPr>
        <w:noBreakHyphen/>
        <w:t>25(3)</w:t>
      </w:r>
      <w:r w:rsidR="001E5EB6" w:rsidRPr="002420B7">
        <w:rPr>
          <w:rStyle w:val="Referencingstyle"/>
        </w:rPr>
        <w:t xml:space="preserve"> to (6</w:t>
      </w:r>
      <w:r w:rsidR="00E138C6" w:rsidRPr="002420B7">
        <w:rPr>
          <w:rStyle w:val="Referencingstyle"/>
        </w:rPr>
        <w:t>)]</w:t>
      </w:r>
    </w:p>
    <w:p w14:paraId="6A87503F" w14:textId="71661587" w:rsidR="005A142B" w:rsidRDefault="00CE02E0" w:rsidP="002420B7">
      <w:pPr>
        <w:pStyle w:val="base-text-paragraph"/>
        <w:numPr>
          <w:ilvl w:val="1"/>
          <w:numId w:val="20"/>
        </w:numPr>
      </w:pPr>
      <w:r w:rsidRPr="00BF3D02">
        <w:t>These requirements reflect the widely</w:t>
      </w:r>
      <w:r w:rsidRPr="00BF3D02">
        <w:noBreakHyphen/>
        <w:t xml:space="preserve">held requirements under the AMIT regime for trusts </w:t>
      </w:r>
      <w:r w:rsidRPr="002420B7">
        <w:t>without</w:t>
      </w:r>
      <w:r w:rsidRPr="00BF3D02">
        <w:t xml:space="preserve"> wholesale membership (see su</w:t>
      </w:r>
      <w:r w:rsidR="003E54E9">
        <w:t>bparagraph 275</w:t>
      </w:r>
      <w:r w:rsidR="003E54E9">
        <w:noBreakHyphen/>
        <w:t xml:space="preserve">10(3)(e)(ii), </w:t>
      </w:r>
      <w:r w:rsidR="001E5EB6">
        <w:t>subsection</w:t>
      </w:r>
      <w:r w:rsidR="003E54E9">
        <w:t xml:space="preserve"> 275</w:t>
      </w:r>
      <w:r w:rsidR="003E54E9">
        <w:noBreakHyphen/>
        <w:t xml:space="preserve">20(2) and </w:t>
      </w:r>
      <w:r w:rsidR="001E5EB6">
        <w:t xml:space="preserve">section </w:t>
      </w:r>
      <w:r w:rsidR="003E54E9">
        <w:t>275</w:t>
      </w:r>
      <w:r w:rsidR="003E54E9">
        <w:noBreakHyphen/>
        <w:t>25</w:t>
      </w:r>
      <w:r w:rsidRPr="00BF3D02">
        <w:t>), with modifications to remove inapplicable trust elements and apply the test to each sub</w:t>
      </w:r>
      <w:r w:rsidRPr="00BF3D02">
        <w:noBreakHyphen/>
        <w:t>fund of the CCIV.</w:t>
      </w:r>
      <w:r w:rsidR="005D7FB0" w:rsidRPr="005D7FB0">
        <w:t xml:space="preserve"> </w:t>
      </w:r>
    </w:p>
    <w:p w14:paraId="3047E240" w14:textId="39B09BC2" w:rsidR="009C3B4D" w:rsidRDefault="009C3B4D" w:rsidP="00077CE4">
      <w:pPr>
        <w:pStyle w:val="Heading5"/>
      </w:pPr>
      <w:r>
        <w:t>Members of a sub-fund of an entity</w:t>
      </w:r>
    </w:p>
    <w:p w14:paraId="4819D192" w14:textId="4C289873" w:rsidR="005D7FB0" w:rsidRDefault="00EA5DB0" w:rsidP="002420B7">
      <w:pPr>
        <w:pStyle w:val="base-text-paragraph"/>
        <w:numPr>
          <w:ilvl w:val="1"/>
          <w:numId w:val="20"/>
        </w:numPr>
      </w:pPr>
      <w:r>
        <w:t xml:space="preserve">The amendments apply the existing AMIT provisions for determining the number of members of the trust </w:t>
      </w:r>
      <w:r w:rsidR="00574270" w:rsidRPr="00BF3D02">
        <w:t>(see</w:t>
      </w:r>
      <w:r w:rsidR="00574270">
        <w:t xml:space="preserve"> subsections</w:t>
      </w:r>
      <w:r w:rsidR="00DC23B7">
        <w:t> </w:t>
      </w:r>
      <w:r w:rsidR="00574270">
        <w:t>275</w:t>
      </w:r>
      <w:r w:rsidR="00DC23B7">
        <w:noBreakHyphen/>
      </w:r>
      <w:r w:rsidR="00574270">
        <w:t xml:space="preserve">20(3), (5), (7)) </w:t>
      </w:r>
      <w:r w:rsidR="00B320FC">
        <w:t xml:space="preserve">to CCIVs </w:t>
      </w:r>
      <w:r>
        <w:t xml:space="preserve">with modifications to </w:t>
      </w:r>
      <w:r w:rsidRPr="00BF3D02">
        <w:t>remove inapplicable trust elements and apply the test</w:t>
      </w:r>
      <w:r>
        <w:t>s</w:t>
      </w:r>
      <w:r w:rsidRPr="00BF3D02">
        <w:t xml:space="preserve"> to each sub</w:t>
      </w:r>
      <w:r w:rsidRPr="00BF3D02">
        <w:noBreakHyphen/>
        <w:t>fund of the CCIV.</w:t>
      </w:r>
      <w:r w:rsidR="005D7FB0">
        <w:t xml:space="preserve"> </w:t>
      </w:r>
      <w:r w:rsidR="005D7FB0" w:rsidRPr="002420B7">
        <w:rPr>
          <w:rStyle w:val="Referencingstyle"/>
        </w:rPr>
        <w:t>[Schedule #, item</w:t>
      </w:r>
      <w:r w:rsidR="008D5873">
        <w:rPr>
          <w:rStyle w:val="Referencingstyle"/>
        </w:rPr>
        <w:t xml:space="preserve"> 1</w:t>
      </w:r>
      <w:r w:rsidR="005D7FB0" w:rsidRPr="002420B7">
        <w:rPr>
          <w:rStyle w:val="Referencingstyle"/>
        </w:rPr>
        <w:t>, subsections 275-25(7) and (8)]</w:t>
      </w:r>
    </w:p>
    <w:p w14:paraId="4011C02F" w14:textId="1698429F" w:rsidR="00652975" w:rsidRPr="00BF3D02" w:rsidRDefault="00490930" w:rsidP="008A38CE">
      <w:pPr>
        <w:pStyle w:val="Heading5"/>
      </w:pPr>
      <w:r w:rsidRPr="00BF3D02">
        <w:t>C</w:t>
      </w:r>
      <w:r w:rsidR="00652975" w:rsidRPr="00BF3D02">
        <w:t>losely</w:t>
      </w:r>
      <w:r w:rsidR="00652975" w:rsidRPr="00BF3D02">
        <w:noBreakHyphen/>
        <w:t>held restrictions</w:t>
      </w:r>
    </w:p>
    <w:p w14:paraId="74CDA84B" w14:textId="53EC9DEF" w:rsidR="00652975" w:rsidRPr="00BF3D02" w:rsidRDefault="00E138C6" w:rsidP="002420B7">
      <w:pPr>
        <w:pStyle w:val="base-text-paragraph"/>
        <w:numPr>
          <w:ilvl w:val="1"/>
          <w:numId w:val="20"/>
        </w:numPr>
      </w:pPr>
      <w:r w:rsidRPr="00BF3D02">
        <w:t xml:space="preserve">The closely held restrictions for a </w:t>
      </w:r>
      <w:r w:rsidR="00081C85">
        <w:t>sub</w:t>
      </w:r>
      <w:r w:rsidR="00081C85">
        <w:noBreakHyphen/>
        <w:t>fund</w:t>
      </w:r>
      <w:r w:rsidRPr="00BF3D02">
        <w:t xml:space="preserve"> are met unless</w:t>
      </w:r>
      <w:r w:rsidR="00D321D1" w:rsidRPr="00BF3D02">
        <w:t>, at any time during the income year</w:t>
      </w:r>
      <w:r w:rsidRPr="00BF3D02">
        <w:t>:</w:t>
      </w:r>
    </w:p>
    <w:p w14:paraId="15DA6EEE" w14:textId="01894C4A" w:rsidR="00E138C6" w:rsidRPr="00BF3D02" w:rsidRDefault="00E138C6" w:rsidP="00E138C6">
      <w:pPr>
        <w:pStyle w:val="dotpoint"/>
      </w:pPr>
      <w:r w:rsidRPr="00BF3D02">
        <w:t>for a sub</w:t>
      </w:r>
      <w:r w:rsidRPr="00BF3D02">
        <w:noBreakHyphen/>
        <w:t xml:space="preserve">fund with wholesale membership </w:t>
      </w:r>
      <w:r w:rsidR="00081C85">
        <w:t>—</w:t>
      </w:r>
      <w:r w:rsidRPr="00BF3D02">
        <w:t xml:space="preserve"> 10 or fewer persons have a total sub</w:t>
      </w:r>
      <w:r w:rsidRPr="00BF3D02">
        <w:noBreakHyphen/>
        <w:t>fund participation interest in the sub</w:t>
      </w:r>
      <w:r w:rsidRPr="00BF3D02">
        <w:noBreakHyphen/>
        <w:t>fund of 75 per cent or more;</w:t>
      </w:r>
    </w:p>
    <w:p w14:paraId="607BE19E" w14:textId="16634E03" w:rsidR="00E138C6" w:rsidRPr="00BF3D02" w:rsidRDefault="00E138C6" w:rsidP="00E138C6">
      <w:pPr>
        <w:pStyle w:val="dotpoint"/>
      </w:pPr>
      <w:r w:rsidRPr="00BF3D02">
        <w:t>for a sub</w:t>
      </w:r>
      <w:r w:rsidRPr="00BF3D02">
        <w:noBreakHyphen/>
        <w:t xml:space="preserve">fund without wholesale membership </w:t>
      </w:r>
      <w:r w:rsidR="00EA23F4">
        <w:t>—</w:t>
      </w:r>
      <w:r w:rsidRPr="00BF3D02">
        <w:t xml:space="preserve"> 20 or fewer persons have a total sub</w:t>
      </w:r>
      <w:r w:rsidRPr="00BF3D02">
        <w:noBreakHyphen/>
        <w:t>fund participation interest in the sub</w:t>
      </w:r>
      <w:r w:rsidRPr="00BF3D02">
        <w:noBreakHyphen/>
        <w:t xml:space="preserve">fund of 75 per cent or more; </w:t>
      </w:r>
      <w:r w:rsidR="00D321D1" w:rsidRPr="00BF3D02">
        <w:t>or</w:t>
      </w:r>
    </w:p>
    <w:p w14:paraId="10E0050F" w14:textId="683EC769" w:rsidR="00D321D1" w:rsidRPr="00BF3D02" w:rsidRDefault="00D321D1" w:rsidP="00E138C6">
      <w:pPr>
        <w:pStyle w:val="dotpoint"/>
      </w:pPr>
      <w:r w:rsidRPr="00BF3D02">
        <w:lastRenderedPageBreak/>
        <w:t>a foreign resident individual has a sub</w:t>
      </w:r>
      <w:r w:rsidRPr="00BF3D02">
        <w:noBreakHyphen/>
        <w:t>fund participation interest in the sub</w:t>
      </w:r>
      <w:r w:rsidRPr="00BF3D02">
        <w:noBreakHyphen/>
        <w:t>fund of 10 per cent or more.</w:t>
      </w:r>
    </w:p>
    <w:p w14:paraId="5B91177C" w14:textId="77C5C01E" w:rsidR="00D321D1" w:rsidRPr="00BF3D02" w:rsidRDefault="00D321D1" w:rsidP="00DC23B7">
      <w:pPr>
        <w:pStyle w:val="base-text-paragraphnonumbers"/>
        <w:rPr>
          <w:rStyle w:val="Referencingstyle"/>
        </w:rPr>
      </w:pPr>
      <w:r w:rsidRPr="00BF3D02">
        <w:rPr>
          <w:rStyle w:val="Referencingstyle"/>
        </w:rPr>
        <w:t>[Schedu</w:t>
      </w:r>
      <w:r w:rsidR="00273915">
        <w:rPr>
          <w:rStyle w:val="Referencingstyle"/>
        </w:rPr>
        <w:t>le #, ite</w:t>
      </w:r>
      <w:r w:rsidR="00960F24">
        <w:rPr>
          <w:rStyle w:val="Referencingstyle"/>
        </w:rPr>
        <w:t>m 1</w:t>
      </w:r>
      <w:r w:rsidR="00273915">
        <w:rPr>
          <w:rStyle w:val="Referencingstyle"/>
        </w:rPr>
        <w:t xml:space="preserve">, </w:t>
      </w:r>
      <w:r w:rsidR="003E0028">
        <w:rPr>
          <w:rStyle w:val="Referencingstyle"/>
        </w:rPr>
        <w:t>section 276</w:t>
      </w:r>
      <w:r w:rsidR="003E0028">
        <w:rPr>
          <w:rStyle w:val="Referencingstyle"/>
        </w:rPr>
        <w:noBreakHyphen/>
        <w:t>3</w:t>
      </w:r>
      <w:r w:rsidR="005A1F3C">
        <w:rPr>
          <w:rStyle w:val="Referencingstyle"/>
        </w:rPr>
        <w:t>0</w:t>
      </w:r>
      <w:r w:rsidRPr="00BF3D02">
        <w:rPr>
          <w:rStyle w:val="Referencingstyle"/>
        </w:rPr>
        <w:t>]</w:t>
      </w:r>
    </w:p>
    <w:p w14:paraId="59842C69" w14:textId="2CD5E522" w:rsidR="0060460B" w:rsidRPr="00BF3D02" w:rsidRDefault="00DF5D42" w:rsidP="00841E61">
      <w:pPr>
        <w:pStyle w:val="base-text-paragraph"/>
        <w:numPr>
          <w:ilvl w:val="1"/>
          <w:numId w:val="20"/>
        </w:numPr>
      </w:pPr>
      <w:r w:rsidRPr="00BF3D02">
        <w:t>These requirements reflect the closely</w:t>
      </w:r>
      <w:r w:rsidRPr="00BF3D02">
        <w:noBreakHyphen/>
        <w:t>held restrictions under the AMIT regime for trusts</w:t>
      </w:r>
      <w:r w:rsidR="00E1308E" w:rsidRPr="00BF3D02">
        <w:t xml:space="preserve"> (see paragraph 275</w:t>
      </w:r>
      <w:r w:rsidR="00E1308E" w:rsidRPr="00BF3D02">
        <w:noBreakHyphen/>
        <w:t>10(3)(f) and section 275</w:t>
      </w:r>
      <w:r w:rsidR="00E1308E" w:rsidRPr="00BF3D02">
        <w:noBreakHyphen/>
        <w:t>30</w:t>
      </w:r>
      <w:r w:rsidR="004070FB" w:rsidRPr="00BF3D02">
        <w:t>)</w:t>
      </w:r>
      <w:r w:rsidR="00E1308E" w:rsidRPr="00BF3D02">
        <w:t>, with modifications to apply the test to each sub</w:t>
      </w:r>
      <w:r w:rsidR="00E1308E" w:rsidRPr="00BF3D02">
        <w:noBreakHyphen/>
        <w:t>fund of the CCIV.</w:t>
      </w:r>
    </w:p>
    <w:p w14:paraId="1E8AF251" w14:textId="22D0A0DA" w:rsidR="00E138C6" w:rsidRPr="00BF3D02" w:rsidRDefault="00E138C6" w:rsidP="008A38CE">
      <w:pPr>
        <w:pStyle w:val="Heading5"/>
      </w:pPr>
      <w:r w:rsidRPr="00BF3D02">
        <w:t xml:space="preserve">Alternative </w:t>
      </w:r>
      <w:r w:rsidR="004F2540">
        <w:t xml:space="preserve">test </w:t>
      </w:r>
      <w:r w:rsidRPr="00BF3D02">
        <w:t>to satisfying the widely</w:t>
      </w:r>
      <w:r w:rsidRPr="00BF3D02">
        <w:noBreakHyphen/>
        <w:t>held requirements and closely</w:t>
      </w:r>
      <w:r w:rsidRPr="00BF3D02">
        <w:noBreakHyphen/>
        <w:t>held restrictions</w:t>
      </w:r>
    </w:p>
    <w:p w14:paraId="2080F16B" w14:textId="514B8D6F" w:rsidR="00E138C6" w:rsidRPr="00841E61" w:rsidRDefault="00D321D1" w:rsidP="00841E61">
      <w:pPr>
        <w:pStyle w:val="base-text-paragraph"/>
        <w:numPr>
          <w:ilvl w:val="1"/>
          <w:numId w:val="20"/>
        </w:numPr>
      </w:pPr>
      <w:r w:rsidRPr="00182626">
        <w:t>If the sub</w:t>
      </w:r>
      <w:r w:rsidRPr="00BF3D02">
        <w:noBreakHyphen/>
        <w:t xml:space="preserve">fund has all members that </w:t>
      </w:r>
      <w:r w:rsidR="00490930" w:rsidRPr="00BF3D02">
        <w:t xml:space="preserve">qualify as </w:t>
      </w:r>
      <w:r w:rsidRPr="00BF3D02">
        <w:t>ACC</w:t>
      </w:r>
      <w:r w:rsidR="00F40E42">
        <w:t>IVs,</w:t>
      </w:r>
      <w:r w:rsidRPr="00BF3D02">
        <w:t xml:space="preserve"> MITs</w:t>
      </w:r>
      <w:r w:rsidR="00F40E42">
        <w:t xml:space="preserve">, or other </w:t>
      </w:r>
      <w:r w:rsidR="00601EA2">
        <w:t xml:space="preserve">specified </w:t>
      </w:r>
      <w:r w:rsidR="009E698B">
        <w:t>widely-</w:t>
      </w:r>
      <w:r w:rsidR="00F40E42">
        <w:t xml:space="preserve">held entities </w:t>
      </w:r>
      <w:r w:rsidR="00601EA2">
        <w:t xml:space="preserve">(including life insurance companies, foreign life insurance companies, complying superannuation funds, complying approved deposit funds, foreign superannuation funds and pooled superannuation trusts) </w:t>
      </w:r>
      <w:r w:rsidRPr="00BF3D02">
        <w:t>for an income year, the relevant sub</w:t>
      </w:r>
      <w:r w:rsidRPr="00BF3D02">
        <w:noBreakHyphen/>
        <w:t xml:space="preserve">fund </w:t>
      </w:r>
      <w:r w:rsidR="00DD79B7">
        <w:t>is taken</w:t>
      </w:r>
      <w:r w:rsidRPr="00BF3D02">
        <w:t xml:space="preserve"> to satisfy the widely</w:t>
      </w:r>
      <w:r w:rsidRPr="00BF3D02">
        <w:noBreakHyphen/>
        <w:t>held requirements and closely</w:t>
      </w:r>
      <w:r w:rsidRPr="00BF3D02">
        <w:noBreakHyphen/>
        <w:t xml:space="preserve">held restrictions. </w:t>
      </w:r>
      <w:r w:rsidR="00960F24">
        <w:rPr>
          <w:rStyle w:val="Referencingstyle"/>
        </w:rPr>
        <w:t>[Schedule #, item 1</w:t>
      </w:r>
      <w:r w:rsidRPr="00BF3D02">
        <w:rPr>
          <w:rStyle w:val="Referencingstyle"/>
        </w:rPr>
        <w:t>, paragraph 276</w:t>
      </w:r>
      <w:r w:rsidRPr="00BF3D02">
        <w:rPr>
          <w:rStyle w:val="Referencingstyle"/>
        </w:rPr>
        <w:noBreakHyphen/>
        <w:t>20(2)(b)]</w:t>
      </w:r>
    </w:p>
    <w:p w14:paraId="6763B182" w14:textId="7F712584" w:rsidR="00B5040C" w:rsidRPr="00841E61" w:rsidRDefault="001830B8" w:rsidP="00841E61">
      <w:pPr>
        <w:pStyle w:val="base-text-paragraph"/>
        <w:numPr>
          <w:ilvl w:val="1"/>
          <w:numId w:val="20"/>
        </w:numPr>
      </w:pPr>
      <w:r w:rsidRPr="00841E61">
        <w:t>This requirement aligns with the AMIT r</w:t>
      </w:r>
      <w:r w:rsidR="005D5BDC" w:rsidRPr="00841E61">
        <w:t>egime alternative test for satisfying the widely</w:t>
      </w:r>
      <w:r w:rsidR="005D5BDC" w:rsidRPr="00841E61">
        <w:noBreakHyphen/>
        <w:t>held requirements and closely</w:t>
      </w:r>
      <w:r w:rsidR="005D5BDC" w:rsidRPr="00841E61">
        <w:noBreakHyphen/>
        <w:t>held restrictions (see paragraph</w:t>
      </w:r>
      <w:r w:rsidR="0045182F" w:rsidRPr="00841E61">
        <w:t>s</w:t>
      </w:r>
      <w:r w:rsidR="005D5BDC" w:rsidRPr="00841E61">
        <w:t xml:space="preserve"> 276</w:t>
      </w:r>
      <w:r w:rsidR="005D5BDC" w:rsidRPr="00841E61">
        <w:noBreakHyphen/>
        <w:t>10(1)(c) and 275</w:t>
      </w:r>
      <w:r w:rsidR="005D5BDC" w:rsidRPr="00841E61">
        <w:noBreakHyphen/>
        <w:t xml:space="preserve">10(1)(b)) </w:t>
      </w:r>
      <w:r w:rsidR="00972FD5" w:rsidRPr="00841E61">
        <w:t xml:space="preserve">which </w:t>
      </w:r>
      <w:r w:rsidR="0045182F" w:rsidRPr="00841E61">
        <w:t>provide that the requirements will be satisfied if the only members of the trust are specified types of widely</w:t>
      </w:r>
      <w:r w:rsidR="0045182F" w:rsidRPr="00841E61">
        <w:noBreakHyphen/>
        <w:t>held entities or MITs.</w:t>
      </w:r>
    </w:p>
    <w:p w14:paraId="2E6EC24B" w14:textId="0B7A846A" w:rsidR="00AD46BF" w:rsidRPr="00BF3D02" w:rsidRDefault="000163E3" w:rsidP="009604AE">
      <w:pPr>
        <w:pStyle w:val="Heading5"/>
      </w:pPr>
      <w:r>
        <w:t>T</w:t>
      </w:r>
      <w:r w:rsidR="00AD46BF" w:rsidRPr="00BF3D02">
        <w:t>rading business restrictions</w:t>
      </w:r>
    </w:p>
    <w:p w14:paraId="73F12E0C" w14:textId="722BB281" w:rsidR="00AD46BF" w:rsidRPr="00BF3D02" w:rsidRDefault="00077602" w:rsidP="00077602">
      <w:pPr>
        <w:pStyle w:val="base-text-paragraph"/>
        <w:numPr>
          <w:ilvl w:val="1"/>
          <w:numId w:val="20"/>
        </w:numPr>
      </w:pPr>
      <w:r>
        <w:t xml:space="preserve">An entity </w:t>
      </w:r>
      <w:r w:rsidR="00AD46BF" w:rsidRPr="00BF3D02">
        <w:t xml:space="preserve">must satisfy the trading business </w:t>
      </w:r>
      <w:r w:rsidR="00930809">
        <w:t xml:space="preserve">restrictions, that is, each </w:t>
      </w:r>
      <w:r>
        <w:t xml:space="preserve">of its </w:t>
      </w:r>
      <w:r w:rsidR="00930809" w:rsidRPr="00077602">
        <w:t>sub-</w:t>
      </w:r>
      <w:r w:rsidR="00AD46BF" w:rsidRPr="00077602">
        <w:t>fund</w:t>
      </w:r>
      <w:r>
        <w:t>s</w:t>
      </w:r>
      <w:r w:rsidR="00AD46BF" w:rsidRPr="00BF3D02">
        <w:t xml:space="preserve"> must not:</w:t>
      </w:r>
    </w:p>
    <w:p w14:paraId="3DF8C33B" w14:textId="4271290D" w:rsidR="00AD46BF" w:rsidRPr="00BF3D02" w:rsidRDefault="00AD46BF" w:rsidP="00AD46BF">
      <w:pPr>
        <w:pStyle w:val="dotpoint"/>
      </w:pPr>
      <w:r w:rsidRPr="00BF3D02">
        <w:t>carry on a trading business (within the meaning of Division</w:t>
      </w:r>
      <w:r w:rsidR="00DC23B7">
        <w:t> </w:t>
      </w:r>
      <w:r w:rsidRPr="00BF3D02">
        <w:t xml:space="preserve">6C of Part III of the </w:t>
      </w:r>
      <w:r w:rsidR="00B22817" w:rsidRPr="007111CD">
        <w:t>ITAA</w:t>
      </w:r>
      <w:r w:rsidRPr="007111CD">
        <w:t xml:space="preserve"> 1936</w:t>
      </w:r>
      <w:r w:rsidRPr="00BF3D02">
        <w:t>); or</w:t>
      </w:r>
    </w:p>
    <w:p w14:paraId="75702862" w14:textId="79A01683" w:rsidR="00AD46BF" w:rsidRPr="00BF3D02" w:rsidRDefault="00AD46BF" w:rsidP="00AD46BF">
      <w:pPr>
        <w:pStyle w:val="dotpoint"/>
      </w:pPr>
      <w:r w:rsidRPr="00BF3D02">
        <w:t xml:space="preserve">control, or </w:t>
      </w:r>
      <w:r w:rsidR="00081C85">
        <w:t>be</w:t>
      </w:r>
      <w:r w:rsidRPr="00BF3D02">
        <w:t xml:space="preserve"> able to control, directly or indirectly, the affairs or operations of another person in respect of the carrying on by that other person of a trading business.</w:t>
      </w:r>
    </w:p>
    <w:p w14:paraId="195D1BFE" w14:textId="3811722E" w:rsidR="0081006C" w:rsidRPr="00BF3D02" w:rsidRDefault="0081006C" w:rsidP="00DC23B7">
      <w:pPr>
        <w:pStyle w:val="base-text-paragraphnonumbers"/>
        <w:rPr>
          <w:rStyle w:val="Referencingstyle"/>
        </w:rPr>
      </w:pPr>
      <w:r w:rsidRPr="00BF3D02">
        <w:rPr>
          <w:rStyle w:val="Referencingstyle"/>
        </w:rPr>
        <w:t>[Schedule #, item</w:t>
      </w:r>
      <w:r w:rsidR="00960F24">
        <w:rPr>
          <w:rStyle w:val="Referencingstyle"/>
        </w:rPr>
        <w:t xml:space="preserve"> 1</w:t>
      </w:r>
      <w:r w:rsidRPr="00BF3D02">
        <w:rPr>
          <w:rStyle w:val="Referencingstyle"/>
        </w:rPr>
        <w:t>, paragraph 276</w:t>
      </w:r>
      <w:r w:rsidRPr="00BF3D02">
        <w:rPr>
          <w:rStyle w:val="Referencingstyle"/>
        </w:rPr>
        <w:noBreakHyphen/>
        <w:t xml:space="preserve">20(1)(c) and </w:t>
      </w:r>
      <w:r w:rsidR="007111CD">
        <w:rPr>
          <w:rStyle w:val="Referencingstyle"/>
        </w:rPr>
        <w:t>sub</w:t>
      </w:r>
      <w:r w:rsidRPr="00BF3D02">
        <w:rPr>
          <w:rStyle w:val="Referencingstyle"/>
        </w:rPr>
        <w:t>section 276</w:t>
      </w:r>
      <w:r w:rsidRPr="00BF3D02">
        <w:rPr>
          <w:rStyle w:val="Referencingstyle"/>
        </w:rPr>
        <w:noBreakHyphen/>
        <w:t>35</w:t>
      </w:r>
      <w:r w:rsidR="007111CD">
        <w:rPr>
          <w:rStyle w:val="Referencingstyle"/>
        </w:rPr>
        <w:t>(1)</w:t>
      </w:r>
      <w:r w:rsidRPr="00BF3D02">
        <w:rPr>
          <w:rStyle w:val="Referencingstyle"/>
        </w:rPr>
        <w:t>]</w:t>
      </w:r>
    </w:p>
    <w:p w14:paraId="38C8527D" w14:textId="4268D48A" w:rsidR="00AD46BF" w:rsidRDefault="0081006C" w:rsidP="007E4B4E">
      <w:pPr>
        <w:pStyle w:val="base-text-paragraph"/>
        <w:numPr>
          <w:ilvl w:val="1"/>
          <w:numId w:val="20"/>
        </w:numPr>
      </w:pPr>
      <w:r w:rsidRPr="00BF3D02">
        <w:t>A</w:t>
      </w:r>
      <w:r w:rsidR="00AD46BF" w:rsidRPr="00BF3D02">
        <w:t xml:space="preserve"> trading business is a business </w:t>
      </w:r>
      <w:r w:rsidR="005F6DC9" w:rsidRPr="00BF3D02">
        <w:t xml:space="preserve">that </w:t>
      </w:r>
      <w:r w:rsidR="00AD46BF" w:rsidRPr="00BF3D02">
        <w:t xml:space="preserve">does not wholly consist of </w:t>
      </w:r>
      <w:r w:rsidRPr="00BF3D02">
        <w:t>‘eligible investment business’ activities</w:t>
      </w:r>
      <w:r w:rsidR="00E83D08">
        <w:t xml:space="preserve"> (as defined in section 102M of the ITAA 1936)</w:t>
      </w:r>
      <w:r w:rsidRPr="00BF3D02">
        <w:t xml:space="preserve">, that is, </w:t>
      </w:r>
      <w:r w:rsidR="00AD46BF" w:rsidRPr="00BF3D02">
        <w:t xml:space="preserve">passive investment activities. </w:t>
      </w:r>
      <w:r w:rsidRPr="00BF3D02">
        <w:t>The permitted activities include</w:t>
      </w:r>
      <w:r w:rsidR="00081C85">
        <w:t>, for example,</w:t>
      </w:r>
      <w:r w:rsidRPr="00BF3D02">
        <w:t xml:space="preserve"> investing in land </w:t>
      </w:r>
      <w:r w:rsidR="00F51F5D">
        <w:t>primarily for the purpose</w:t>
      </w:r>
      <w:r w:rsidRPr="00BF3D02">
        <w:t xml:space="preserve"> of deriving rent, and investing or trading in secured and unsecured loans, bonds and other securities and foreign exchange contracts.</w:t>
      </w:r>
    </w:p>
    <w:p w14:paraId="6409DF36" w14:textId="77777777" w:rsidR="00DC23B7" w:rsidRDefault="00DF6B07" w:rsidP="00837F13">
      <w:pPr>
        <w:pStyle w:val="base-text-paragraph"/>
        <w:numPr>
          <w:ilvl w:val="1"/>
          <w:numId w:val="20"/>
        </w:numPr>
      </w:pPr>
      <w:r>
        <w:lastRenderedPageBreak/>
        <w:t>However, an entity will not be taken to carry on a trading business during the income year if</w:t>
      </w:r>
      <w:r w:rsidR="002B74DA">
        <w:t xml:space="preserve"> for that year</w:t>
      </w:r>
      <w:r w:rsidR="00DC23B7">
        <w:t>:</w:t>
      </w:r>
    </w:p>
    <w:p w14:paraId="3EA2C461" w14:textId="2281C6FD" w:rsidR="00DC23B7" w:rsidRDefault="00DF6B07" w:rsidP="00DC23B7">
      <w:pPr>
        <w:pStyle w:val="dotpoint"/>
      </w:pPr>
      <w:r>
        <w:t xml:space="preserve">no more than </w:t>
      </w:r>
      <w:r w:rsidR="00081C85">
        <w:t>two</w:t>
      </w:r>
      <w:r w:rsidR="00AC0FDA">
        <w:t xml:space="preserve"> per cent</w:t>
      </w:r>
      <w:r>
        <w:t xml:space="preserve"> of the entity’s gross revenue was </w:t>
      </w:r>
      <w:r w:rsidR="007E4B4E">
        <w:t>from excluded income</w:t>
      </w:r>
      <w:r w:rsidR="00DC23B7">
        <w:t>;</w:t>
      </w:r>
      <w:r w:rsidR="002B74DA">
        <w:t xml:space="preserve"> and </w:t>
      </w:r>
    </w:p>
    <w:p w14:paraId="43DA5E90" w14:textId="423A106C" w:rsidR="00DC23B7" w:rsidRDefault="002B74DA" w:rsidP="00DC23B7">
      <w:pPr>
        <w:pStyle w:val="dotpoint"/>
      </w:pPr>
      <w:r>
        <w:t xml:space="preserve">no more than </w:t>
      </w:r>
      <w:r w:rsidR="00081C85">
        <w:t>two</w:t>
      </w:r>
      <w:r w:rsidR="00AC0FDA">
        <w:t xml:space="preserve"> per cent</w:t>
      </w:r>
      <w:r>
        <w:t xml:space="preserve"> of the entity’s</w:t>
      </w:r>
      <w:r w:rsidR="00F51F5D">
        <w:t xml:space="preserve"> gross revenue attributable to each</w:t>
      </w:r>
      <w:r>
        <w:t xml:space="preserve"> sub-fund was income that was excluded income. </w:t>
      </w:r>
    </w:p>
    <w:p w14:paraId="6FDF9815" w14:textId="77542C80" w:rsidR="007E4B4E" w:rsidRDefault="00BA1D9A" w:rsidP="00DC23B7">
      <w:pPr>
        <w:pStyle w:val="base-text-paragraphnonumbers"/>
      </w:pPr>
      <w:r>
        <w:rPr>
          <w:rStyle w:val="Referencingstyle"/>
        </w:rPr>
        <w:t>[Schedule #, item 1</w:t>
      </w:r>
      <w:r w:rsidR="002B74DA" w:rsidRPr="007111CD">
        <w:rPr>
          <w:rStyle w:val="Referencingstyle"/>
        </w:rPr>
        <w:t xml:space="preserve">, </w:t>
      </w:r>
      <w:r w:rsidR="002B74DA">
        <w:rPr>
          <w:rStyle w:val="Referencingstyle"/>
        </w:rPr>
        <w:t>sub</w:t>
      </w:r>
      <w:r w:rsidR="002B74DA" w:rsidRPr="007111CD">
        <w:rPr>
          <w:rStyle w:val="Referencingstyle"/>
        </w:rPr>
        <w:t>section</w:t>
      </w:r>
      <w:r w:rsidR="002B74DA">
        <w:rPr>
          <w:rStyle w:val="Referencingstyle"/>
        </w:rPr>
        <w:t xml:space="preserve"> 276-</w:t>
      </w:r>
      <w:r w:rsidR="002B74DA" w:rsidRPr="007111CD">
        <w:rPr>
          <w:rStyle w:val="Referencingstyle"/>
        </w:rPr>
        <w:t>35</w:t>
      </w:r>
      <w:r w:rsidR="002B74DA">
        <w:rPr>
          <w:rStyle w:val="Referencingstyle"/>
        </w:rPr>
        <w:t>(2)</w:t>
      </w:r>
      <w:r w:rsidR="002B74DA" w:rsidRPr="007111CD">
        <w:rPr>
          <w:rStyle w:val="Referencingstyle"/>
        </w:rPr>
        <w:t>]</w:t>
      </w:r>
    </w:p>
    <w:p w14:paraId="5B20E032" w14:textId="629835A1" w:rsidR="007E4B4E" w:rsidRDefault="000B0BEC" w:rsidP="007E4B4E">
      <w:pPr>
        <w:pStyle w:val="base-text-paragraph"/>
        <w:numPr>
          <w:ilvl w:val="1"/>
          <w:numId w:val="20"/>
        </w:numPr>
      </w:pPr>
      <w:r w:rsidRPr="000B0BEC">
        <w:t>This means that</w:t>
      </w:r>
      <w:r w:rsidR="00402E98">
        <w:t>, for example,</w:t>
      </w:r>
      <w:r w:rsidRPr="000B0BEC">
        <w:t xml:space="preserve"> a</w:t>
      </w:r>
      <w:r w:rsidR="00075418" w:rsidRPr="000B0BEC">
        <w:t>n entity</w:t>
      </w:r>
      <w:r w:rsidR="00EB5628">
        <w:t xml:space="preserve"> (with multiple sub</w:t>
      </w:r>
      <w:r w:rsidR="00EB5628">
        <w:noBreakHyphen/>
      </w:r>
      <w:r w:rsidR="005625B3" w:rsidRPr="000B0BEC">
        <w:t>funds) which</w:t>
      </w:r>
      <w:r w:rsidR="00075418" w:rsidRPr="000B0BEC">
        <w:t xml:space="preserve"> der</w:t>
      </w:r>
      <w:r w:rsidR="007E4B4E" w:rsidRPr="000B0BEC">
        <w:t>ive</w:t>
      </w:r>
      <w:r w:rsidR="00075418" w:rsidRPr="000B0BEC">
        <w:t xml:space="preserve">s </w:t>
      </w:r>
      <w:r w:rsidR="00081C85">
        <w:t>two</w:t>
      </w:r>
      <w:r w:rsidR="00AC0FDA">
        <w:t xml:space="preserve"> per cent</w:t>
      </w:r>
      <w:r w:rsidR="007E4B4E" w:rsidRPr="000B0BEC">
        <w:t xml:space="preserve"> </w:t>
      </w:r>
      <w:r w:rsidR="00075418" w:rsidRPr="000B0BEC">
        <w:t xml:space="preserve">of its </w:t>
      </w:r>
      <w:r w:rsidR="007E4B4E" w:rsidRPr="000B0BEC">
        <w:t>gross revenue from excluded income through investment activities attribut</w:t>
      </w:r>
      <w:r w:rsidR="00075418" w:rsidRPr="000B0BEC">
        <w:t xml:space="preserve">able to a single sub-fund will </w:t>
      </w:r>
      <w:r>
        <w:t xml:space="preserve">be taken to carry on a trading business through that sub-fund. </w:t>
      </w:r>
    </w:p>
    <w:p w14:paraId="37F1A326" w14:textId="45B5340E" w:rsidR="00DF6B07" w:rsidRPr="00C11719" w:rsidRDefault="009A7A81" w:rsidP="00DF6B07">
      <w:pPr>
        <w:pStyle w:val="base-text-paragraph"/>
        <w:numPr>
          <w:ilvl w:val="1"/>
          <w:numId w:val="20"/>
        </w:numPr>
        <w:rPr>
          <w:rStyle w:val="Referencingstyle"/>
          <w:b w:val="0"/>
          <w:i w:val="0"/>
          <w:sz w:val="22"/>
        </w:rPr>
      </w:pPr>
      <w:r>
        <w:t xml:space="preserve">The trading business restrictions for CCIVs </w:t>
      </w:r>
      <w:r w:rsidR="00DF6B07">
        <w:t>broadly align</w:t>
      </w:r>
      <w:r w:rsidR="00DF6B07" w:rsidRPr="00BF3D02">
        <w:t xml:space="preserve"> with the AMIT trading business restrictions </w:t>
      </w:r>
      <w:r w:rsidR="00DF6B07">
        <w:t>(see paragraph 275</w:t>
      </w:r>
      <w:r w:rsidR="00DF6B07">
        <w:noBreakHyphen/>
        <w:t xml:space="preserve">10(3)(b), </w:t>
      </w:r>
      <w:r w:rsidR="00DF6B07" w:rsidRPr="00BF3D02">
        <w:t>subsection</w:t>
      </w:r>
      <w:r w:rsidR="00DF6B07">
        <w:t>s</w:t>
      </w:r>
      <w:r w:rsidR="00DF6B07" w:rsidRPr="00BF3D02">
        <w:t xml:space="preserve"> 275</w:t>
      </w:r>
      <w:r w:rsidR="00DF6B07" w:rsidRPr="00BF3D02">
        <w:noBreakHyphen/>
        <w:t>10(4)</w:t>
      </w:r>
      <w:r w:rsidR="00DF6B07">
        <w:t>, (4A</w:t>
      </w:r>
      <w:r w:rsidR="00DF6B07" w:rsidRPr="00BF3D02">
        <w:t>)</w:t>
      </w:r>
      <w:r w:rsidR="00DF6B07">
        <w:t xml:space="preserve"> and (5))</w:t>
      </w:r>
      <w:r w:rsidR="00DF6B07" w:rsidRPr="00BF3D02">
        <w:t xml:space="preserve"> to ensure that the ACCIV vehicle is a passive investment vehicle. </w:t>
      </w:r>
    </w:p>
    <w:p w14:paraId="6FE1AB03" w14:textId="77777777" w:rsidR="00CF5CA3" w:rsidRPr="00CF5CA3" w:rsidRDefault="00CF5CA3" w:rsidP="00CF5CA3">
      <w:pPr>
        <w:pStyle w:val="Heading5"/>
        <w:rPr>
          <w:b/>
        </w:rPr>
      </w:pPr>
      <w:r w:rsidRPr="00CF5CA3">
        <w:rPr>
          <w:b/>
        </w:rPr>
        <w:t>Election to be treated as an ACCIV</w:t>
      </w:r>
    </w:p>
    <w:p w14:paraId="3F6A8268" w14:textId="171C0853" w:rsidR="00CF5CA3" w:rsidRPr="00BF3D02" w:rsidRDefault="00CF5CA3" w:rsidP="00E4684C">
      <w:pPr>
        <w:pStyle w:val="base-text-paragraph"/>
        <w:numPr>
          <w:ilvl w:val="1"/>
          <w:numId w:val="20"/>
        </w:numPr>
      </w:pPr>
      <w:r w:rsidRPr="00BF3D02">
        <w:t xml:space="preserve">The corporate director of the CCIV must make an election that the CCIV be treated as an ACCIV. This election is irrevocable and applies to all later income years. </w:t>
      </w:r>
      <w:r w:rsidRPr="00BF3D02">
        <w:rPr>
          <w:rStyle w:val="Referencingstyle"/>
        </w:rPr>
        <w:t>[Schedule</w:t>
      </w:r>
      <w:r w:rsidR="002023AA">
        <w:rPr>
          <w:rStyle w:val="Referencingstyle"/>
        </w:rPr>
        <w:t xml:space="preserve"> #</w:t>
      </w:r>
      <w:r w:rsidRPr="00BF3D02">
        <w:rPr>
          <w:rStyle w:val="Referencingstyle"/>
        </w:rPr>
        <w:t>, item</w:t>
      </w:r>
      <w:r w:rsidR="00433F4C">
        <w:rPr>
          <w:rStyle w:val="Referencingstyle"/>
        </w:rPr>
        <w:t xml:space="preserve"> 1</w:t>
      </w:r>
      <w:r w:rsidRPr="00BF3D02">
        <w:rPr>
          <w:rStyle w:val="Referencingstyle"/>
        </w:rPr>
        <w:t>, paragraph 276</w:t>
      </w:r>
      <w:r w:rsidRPr="00BF3D02">
        <w:rPr>
          <w:rStyle w:val="Referencingstyle"/>
        </w:rPr>
        <w:noBreakHyphen/>
        <w:t>20(1)(d) and subsection 276</w:t>
      </w:r>
      <w:r w:rsidRPr="00BF3D02">
        <w:rPr>
          <w:rStyle w:val="Referencingstyle"/>
        </w:rPr>
        <w:noBreakHyphen/>
      </w:r>
      <w:r w:rsidR="00E4684C">
        <w:rPr>
          <w:rStyle w:val="Referencingstyle"/>
        </w:rPr>
        <w:t>2</w:t>
      </w:r>
      <w:r w:rsidRPr="00E4684C">
        <w:rPr>
          <w:rStyle w:val="Referencingstyle"/>
        </w:rPr>
        <w:t>0</w:t>
      </w:r>
      <w:r w:rsidRPr="00BF3D02">
        <w:rPr>
          <w:rStyle w:val="Referencingstyle"/>
        </w:rPr>
        <w:t>(3)]</w:t>
      </w:r>
    </w:p>
    <w:p w14:paraId="7419B468" w14:textId="13631BBE" w:rsidR="00CF5CA3" w:rsidRPr="00BF3D02" w:rsidRDefault="00CF5CA3" w:rsidP="00E4684C">
      <w:pPr>
        <w:pStyle w:val="base-text-paragraph"/>
        <w:numPr>
          <w:ilvl w:val="1"/>
          <w:numId w:val="20"/>
        </w:numPr>
      </w:pPr>
      <w:r w:rsidRPr="00BF3D02">
        <w:t>This requirement aligns with the AMIT requirement that the trustee must elect to apply the AMIT regime</w:t>
      </w:r>
      <w:r w:rsidR="007500F0">
        <w:t>,</w:t>
      </w:r>
      <w:r w:rsidRPr="00BF3D02">
        <w:t xml:space="preserve"> which is irrevocable and ap</w:t>
      </w:r>
      <w:r w:rsidR="00AF7201">
        <w:t>plies to all later income years</w:t>
      </w:r>
      <w:r w:rsidRPr="00BF3D02">
        <w:t xml:space="preserve"> (see paragraph 276</w:t>
      </w:r>
      <w:r w:rsidRPr="00BF3D02">
        <w:noBreakHyphen/>
        <w:t>10(</w:t>
      </w:r>
      <w:r w:rsidR="00903C31">
        <w:t>1)</w:t>
      </w:r>
      <w:r w:rsidRPr="00BF3D02">
        <w:t>(e) and subsection 276</w:t>
      </w:r>
      <w:r w:rsidRPr="00BF3D02">
        <w:noBreakHyphen/>
        <w:t>10(2)).</w:t>
      </w:r>
    </w:p>
    <w:p w14:paraId="29159915" w14:textId="55D0EEB0" w:rsidR="00490930" w:rsidRPr="00BF3D02" w:rsidRDefault="001B22CC" w:rsidP="00490930">
      <w:pPr>
        <w:pStyle w:val="Heading4"/>
      </w:pPr>
      <w:r>
        <w:t>T</w:t>
      </w:r>
      <w:r w:rsidR="00490930" w:rsidRPr="00BF3D02">
        <w:t>emporary circumstances test</w:t>
      </w:r>
    </w:p>
    <w:p w14:paraId="2303FE31" w14:textId="624F9D7F" w:rsidR="00490930" w:rsidRPr="00BF3D02" w:rsidRDefault="00FD4B4B" w:rsidP="0049174B">
      <w:pPr>
        <w:pStyle w:val="base-text-paragraph"/>
        <w:numPr>
          <w:ilvl w:val="1"/>
          <w:numId w:val="20"/>
        </w:numPr>
      </w:pPr>
      <w:r w:rsidRPr="00BF3D02">
        <w:t xml:space="preserve">An entity </w:t>
      </w:r>
      <w:r w:rsidR="00AF6EDF">
        <w:t>that fails to meet one of the ACCIV requirements under the gen</w:t>
      </w:r>
      <w:r w:rsidR="00D8765A">
        <w:t xml:space="preserve">eral test may still be treated </w:t>
      </w:r>
      <w:r w:rsidR="00AF6EDF">
        <w:t>as an ACCIV if it satisfies the following</w:t>
      </w:r>
      <w:r w:rsidR="001B22CC">
        <w:t xml:space="preserve"> requirements</w:t>
      </w:r>
      <w:r w:rsidR="00AF6EDF">
        <w:t>:</w:t>
      </w:r>
    </w:p>
    <w:p w14:paraId="451D41FB" w14:textId="67D1023E" w:rsidR="00AD46BF" w:rsidRPr="00BF3D02" w:rsidRDefault="00FD4B4B" w:rsidP="00FD4B4B">
      <w:pPr>
        <w:pStyle w:val="dotpoint"/>
      </w:pPr>
      <w:r w:rsidRPr="00BF3D02">
        <w:t>the entity is a CCIV at all times during the income year</w:t>
      </w:r>
      <w:r w:rsidR="00123D26" w:rsidRPr="00BF3D02">
        <w:t xml:space="preserve"> (when it is in existence);</w:t>
      </w:r>
    </w:p>
    <w:p w14:paraId="1AA0123B" w14:textId="03AE3952" w:rsidR="00123D26" w:rsidRPr="00BF3D02" w:rsidRDefault="00581D4D" w:rsidP="00FD4B4B">
      <w:pPr>
        <w:pStyle w:val="dotpoint"/>
      </w:pPr>
      <w:r w:rsidRPr="00BF3D02">
        <w:t xml:space="preserve">there </w:t>
      </w:r>
      <w:r w:rsidR="00123D26" w:rsidRPr="00BF3D02">
        <w:t>is a particular temporary circumstance that arose outs</w:t>
      </w:r>
      <w:r w:rsidRPr="00BF3D02">
        <w:t>ide the control of the corporate director</w:t>
      </w:r>
      <w:r w:rsidR="00123D26" w:rsidRPr="00BF3D02">
        <w:t>;</w:t>
      </w:r>
      <w:r w:rsidR="009859F1">
        <w:t xml:space="preserve"> and</w:t>
      </w:r>
    </w:p>
    <w:p w14:paraId="604A86AB" w14:textId="77777777" w:rsidR="008C1A4E" w:rsidRDefault="00581D4D" w:rsidP="009B5C63">
      <w:pPr>
        <w:pStyle w:val="dotpoint"/>
      </w:pPr>
      <w:r w:rsidRPr="00BF3D02">
        <w:lastRenderedPageBreak/>
        <w:t xml:space="preserve">it is fair and reasonable to treat the CCIV as an ACCIV </w:t>
      </w:r>
      <w:r w:rsidR="00742685">
        <w:t xml:space="preserve">in relation to the income year </w:t>
      </w:r>
      <w:r w:rsidR="00AF488E" w:rsidRPr="00BF3D02">
        <w:t>having regard to a number of factors, including</w:t>
      </w:r>
      <w:r w:rsidR="008C1A4E">
        <w:t>:</w:t>
      </w:r>
    </w:p>
    <w:p w14:paraId="35C8FF4A" w14:textId="77777777" w:rsidR="008C1A4E" w:rsidRDefault="00AF488E" w:rsidP="008C1A4E">
      <w:pPr>
        <w:pStyle w:val="dotpoint2"/>
      </w:pPr>
      <w:r w:rsidRPr="00BF3D02">
        <w:t xml:space="preserve">the </w:t>
      </w:r>
      <w:r w:rsidR="0095407D">
        <w:t>nature of the circumstance</w:t>
      </w:r>
      <w:r w:rsidR="008C1A4E">
        <w:t>;</w:t>
      </w:r>
    </w:p>
    <w:p w14:paraId="3060ECEC" w14:textId="77777777" w:rsidR="008C1A4E" w:rsidRDefault="00AF488E" w:rsidP="008C1A4E">
      <w:pPr>
        <w:pStyle w:val="dotpoint2"/>
      </w:pPr>
      <w:r w:rsidRPr="00BF3D02">
        <w:t>actions taken to address the circumstance by the corporate d</w:t>
      </w:r>
      <w:r w:rsidR="00123D26" w:rsidRPr="00BF3D02">
        <w:t>irector</w:t>
      </w:r>
      <w:r w:rsidR="008C1A4E">
        <w:t>;</w:t>
      </w:r>
    </w:p>
    <w:p w14:paraId="48388619" w14:textId="77777777" w:rsidR="008C1A4E" w:rsidRDefault="00742685" w:rsidP="008C1A4E">
      <w:pPr>
        <w:pStyle w:val="dotpoint2"/>
      </w:pPr>
      <w:r>
        <w:t>the speed with which such actions are taken</w:t>
      </w:r>
      <w:r w:rsidR="008C1A4E">
        <w:t>;</w:t>
      </w:r>
    </w:p>
    <w:p w14:paraId="7291974B" w14:textId="77777777" w:rsidR="008C1A4E" w:rsidRDefault="00123D26" w:rsidP="008C1A4E">
      <w:pPr>
        <w:pStyle w:val="dotpoint2"/>
      </w:pPr>
      <w:r w:rsidRPr="00BF3D02">
        <w:t>the amount of tax that would otherwise b</w:t>
      </w:r>
      <w:r w:rsidR="0065796C" w:rsidRPr="00BF3D02">
        <w:t>e</w:t>
      </w:r>
      <w:r w:rsidRPr="00BF3D02">
        <w:t xml:space="preserve"> payabl</w:t>
      </w:r>
      <w:r w:rsidR="009B5C63">
        <w:t>e</w:t>
      </w:r>
      <w:r w:rsidR="008C1A4E">
        <w:t>;</w:t>
      </w:r>
      <w:r w:rsidR="009B5C63">
        <w:t xml:space="preserve"> and </w:t>
      </w:r>
    </w:p>
    <w:p w14:paraId="22A7EBF1" w14:textId="56660A70" w:rsidR="009B5C63" w:rsidRDefault="009B5C63" w:rsidP="008C1A4E">
      <w:pPr>
        <w:pStyle w:val="dotpoint2"/>
      </w:pPr>
      <w:r>
        <w:t>any other relevant matter.</w:t>
      </w:r>
    </w:p>
    <w:p w14:paraId="638EC5CC" w14:textId="2B8DB922" w:rsidR="00FD4B4B" w:rsidRPr="009B5C63" w:rsidRDefault="00AD46BF" w:rsidP="008C1A4E">
      <w:pPr>
        <w:pStyle w:val="base-text-paragraphnonumbers"/>
        <w:rPr>
          <w:rStyle w:val="Referencingstyle"/>
          <w:b w:val="0"/>
          <w:i w:val="0"/>
          <w:sz w:val="22"/>
        </w:rPr>
      </w:pPr>
      <w:r w:rsidRPr="00BF3D02">
        <w:rPr>
          <w:rStyle w:val="Referencingstyle"/>
        </w:rPr>
        <w:t>[Schedule</w:t>
      </w:r>
      <w:r w:rsidR="00F51F5D">
        <w:rPr>
          <w:rStyle w:val="Referencingstyle"/>
        </w:rPr>
        <w:t xml:space="preserve"> </w:t>
      </w:r>
      <w:r w:rsidR="00903C31">
        <w:rPr>
          <w:rStyle w:val="Referencingstyle"/>
        </w:rPr>
        <w:t>#</w:t>
      </w:r>
      <w:r w:rsidRPr="00BF3D02">
        <w:rPr>
          <w:rStyle w:val="Referencingstyle"/>
        </w:rPr>
        <w:t>, item</w:t>
      </w:r>
      <w:r w:rsidR="00433F4C">
        <w:rPr>
          <w:rStyle w:val="Referencingstyle"/>
        </w:rPr>
        <w:t xml:space="preserve"> 1</w:t>
      </w:r>
      <w:r w:rsidRPr="00BF3D02">
        <w:rPr>
          <w:rStyle w:val="Referencingstyle"/>
        </w:rPr>
        <w:t>, subsection</w:t>
      </w:r>
      <w:r w:rsidR="00FD4B4B" w:rsidRPr="00BF3D02">
        <w:rPr>
          <w:rStyle w:val="Referencingstyle"/>
        </w:rPr>
        <w:t xml:space="preserve"> </w:t>
      </w:r>
      <w:r w:rsidRPr="00BF3D02">
        <w:rPr>
          <w:rStyle w:val="Referencingstyle"/>
        </w:rPr>
        <w:t>276</w:t>
      </w:r>
      <w:r w:rsidRPr="00BF3D02">
        <w:rPr>
          <w:rStyle w:val="Referencingstyle"/>
        </w:rPr>
        <w:noBreakHyphen/>
        <w:t>20(4) and section 276</w:t>
      </w:r>
      <w:r w:rsidRPr="00BF3D02">
        <w:rPr>
          <w:rStyle w:val="Referencingstyle"/>
        </w:rPr>
        <w:noBreakHyphen/>
        <w:t>45]</w:t>
      </w:r>
    </w:p>
    <w:p w14:paraId="63637F43" w14:textId="07647CD3" w:rsidR="009E6441" w:rsidRDefault="000334CA" w:rsidP="0049174B">
      <w:pPr>
        <w:pStyle w:val="base-text-paragraph"/>
        <w:numPr>
          <w:ilvl w:val="1"/>
          <w:numId w:val="20"/>
        </w:numPr>
      </w:pPr>
      <w:r w:rsidRPr="00BF3D02">
        <w:t>This test reflects the MIT temporary circumstances test</w:t>
      </w:r>
      <w:r w:rsidR="00D86D06">
        <w:t xml:space="preserve"> (see section 275</w:t>
      </w:r>
      <w:r w:rsidR="00D86D06">
        <w:noBreakHyphen/>
        <w:t>55).</w:t>
      </w:r>
    </w:p>
    <w:p w14:paraId="4B1CDA3C" w14:textId="074197EE" w:rsidR="00EC2AEE" w:rsidRDefault="004C19B6" w:rsidP="00580DA2">
      <w:pPr>
        <w:pStyle w:val="Heading3"/>
      </w:pPr>
      <w:r w:rsidRPr="00BF3D02">
        <w:t>A</w:t>
      </w:r>
      <w:r w:rsidR="00580DA2" w:rsidRPr="00BF3D02">
        <w:t>ttribution model</w:t>
      </w:r>
      <w:r w:rsidR="001A1997">
        <w:t xml:space="preserve"> for </w:t>
      </w:r>
      <w:r w:rsidR="001B236A">
        <w:t>ACCIV</w:t>
      </w:r>
      <w:r w:rsidR="001A1997">
        <w:t>s</w:t>
      </w:r>
    </w:p>
    <w:p w14:paraId="79956295" w14:textId="38294371" w:rsidR="00C17C31" w:rsidRDefault="00252653" w:rsidP="00903C31">
      <w:pPr>
        <w:pStyle w:val="base-text-paragraph"/>
        <w:numPr>
          <w:ilvl w:val="1"/>
          <w:numId w:val="20"/>
        </w:numPr>
      </w:pPr>
      <w:r w:rsidRPr="00182626">
        <w:t xml:space="preserve">The </w:t>
      </w:r>
      <w:r w:rsidRPr="00BF3D02">
        <w:t>amendments apply the existing AMIT attribution or ‘character flow</w:t>
      </w:r>
      <w:r w:rsidRPr="00BF3D02">
        <w:noBreakHyphen/>
        <w:t xml:space="preserve">through’ model </w:t>
      </w:r>
      <w:r>
        <w:t xml:space="preserve">(see sections </w:t>
      </w:r>
      <w:r w:rsidR="002C1384">
        <w:t>276-75</w:t>
      </w:r>
      <w:r w:rsidR="00F70439">
        <w:t xml:space="preserve"> to 276-820</w:t>
      </w:r>
      <w:r>
        <w:t xml:space="preserve">) </w:t>
      </w:r>
      <w:r w:rsidRPr="00BF3D02">
        <w:t>to ACCIVs</w:t>
      </w:r>
      <w:r w:rsidRPr="004B624C">
        <w:t xml:space="preserve"> </w:t>
      </w:r>
      <w:r w:rsidRPr="00BF3D02">
        <w:t>with modifications as required to take account of the corporate structure and CCIV model.</w:t>
      </w:r>
      <w:r w:rsidR="00C17C31" w:rsidRPr="00C17C31">
        <w:rPr>
          <w:rStyle w:val="Referencingstyle"/>
        </w:rPr>
        <w:t xml:space="preserve"> </w:t>
      </w:r>
      <w:r w:rsidR="005F0B48">
        <w:rPr>
          <w:rStyle w:val="Referencingstyle"/>
        </w:rPr>
        <w:t>[Schedule #</w:t>
      </w:r>
      <w:r w:rsidR="00C17C31" w:rsidRPr="00903C31">
        <w:rPr>
          <w:rStyle w:val="Referencingstyle"/>
        </w:rPr>
        <w:t>, item</w:t>
      </w:r>
      <w:r w:rsidR="00C17C31">
        <w:rPr>
          <w:rStyle w:val="Referencingstyle"/>
        </w:rPr>
        <w:t>s</w:t>
      </w:r>
      <w:r w:rsidR="002A60DA">
        <w:rPr>
          <w:rStyle w:val="Referencingstyle"/>
        </w:rPr>
        <w:t xml:space="preserve"> 12 to </w:t>
      </w:r>
      <w:r w:rsidR="005A4C20">
        <w:rPr>
          <w:rStyle w:val="Referencingstyle"/>
        </w:rPr>
        <w:t>237</w:t>
      </w:r>
      <w:r w:rsidR="00F70439">
        <w:rPr>
          <w:rStyle w:val="Referencingstyle"/>
        </w:rPr>
        <w:t>, sections 276-75 to 276</w:t>
      </w:r>
      <w:r w:rsidR="00F70439">
        <w:rPr>
          <w:rStyle w:val="Referencingstyle"/>
        </w:rPr>
        <w:noBreakHyphen/>
        <w:t>820</w:t>
      </w:r>
      <w:r w:rsidR="00C17C31">
        <w:rPr>
          <w:rStyle w:val="Referencingstyle"/>
        </w:rPr>
        <w:t>]</w:t>
      </w:r>
    </w:p>
    <w:p w14:paraId="75E737A8" w14:textId="044E5D6C" w:rsidR="008C1A4E" w:rsidRDefault="00C17C31" w:rsidP="00C17C31">
      <w:pPr>
        <w:pStyle w:val="base-text-paragraph"/>
        <w:numPr>
          <w:ilvl w:val="1"/>
          <w:numId w:val="20"/>
        </w:numPr>
      </w:pPr>
      <w:r w:rsidRPr="00C17C31">
        <w:t>This is achieved by broadening the existing prov</w:t>
      </w:r>
      <w:r w:rsidR="001A1997">
        <w:t>isions that apply only to AMITs to all AIVs (as appropriate). For example</w:t>
      </w:r>
      <w:r w:rsidR="00EB5628">
        <w:t>,</w:t>
      </w:r>
      <w:r w:rsidR="001A1997">
        <w:t xml:space="preserve"> </w:t>
      </w:r>
      <w:r w:rsidRPr="00C17C31">
        <w:t>broadening the terminology to refer to</w:t>
      </w:r>
      <w:r w:rsidR="008C1A4E">
        <w:t>:</w:t>
      </w:r>
    </w:p>
    <w:p w14:paraId="337DF52F" w14:textId="77777777" w:rsidR="008C1A4E" w:rsidRDefault="00C17C31" w:rsidP="008C1A4E">
      <w:pPr>
        <w:pStyle w:val="dotpoint"/>
      </w:pPr>
      <w:r w:rsidRPr="00C17C31">
        <w:t>‘AIV’ rather than ‘AMIT’</w:t>
      </w:r>
      <w:r w:rsidR="008C1A4E">
        <w:t>;</w:t>
      </w:r>
    </w:p>
    <w:p w14:paraId="392D55A1" w14:textId="77777777" w:rsidR="008C1A4E" w:rsidRDefault="00C17C31" w:rsidP="008C1A4E">
      <w:pPr>
        <w:pStyle w:val="dotpoint"/>
      </w:pPr>
      <w:r w:rsidRPr="00C17C31">
        <w:t>‘operator’ rather than ‘trustee’</w:t>
      </w:r>
      <w:r w:rsidR="008C1A4E">
        <w:t>;</w:t>
      </w:r>
    </w:p>
    <w:p w14:paraId="795FFBFA" w14:textId="69FD1ADA" w:rsidR="008C1A4E" w:rsidRDefault="00C17C31" w:rsidP="008C1A4E">
      <w:pPr>
        <w:pStyle w:val="dotpoint"/>
      </w:pPr>
      <w:r w:rsidRPr="00C17C31">
        <w:t>‘determined AIV component’ rather than ‘determined trust component’</w:t>
      </w:r>
      <w:r w:rsidR="00081C85">
        <w:t>;</w:t>
      </w:r>
      <w:r w:rsidRPr="00C17C31">
        <w:t xml:space="preserve"> and </w:t>
      </w:r>
    </w:p>
    <w:p w14:paraId="17607366" w14:textId="344B46E8" w:rsidR="00C17C31" w:rsidRPr="00C17C31" w:rsidRDefault="00C17C31" w:rsidP="008C1A4E">
      <w:pPr>
        <w:pStyle w:val="dotpoint"/>
      </w:pPr>
      <w:r w:rsidRPr="00C17C31">
        <w:t xml:space="preserve">‘AIVMA statement’ rather than </w:t>
      </w:r>
      <w:r w:rsidR="00B67604">
        <w:t>‘</w:t>
      </w:r>
      <w:r w:rsidRPr="00C17C31">
        <w:t>AMMA statement</w:t>
      </w:r>
      <w:r w:rsidR="00B67604">
        <w:t>’.</w:t>
      </w:r>
    </w:p>
    <w:p w14:paraId="4E19A647" w14:textId="3C088C8B" w:rsidR="003822B1" w:rsidRPr="00BF3D02" w:rsidRDefault="003822B1" w:rsidP="008B1822">
      <w:pPr>
        <w:pStyle w:val="base-text-paragraph"/>
        <w:numPr>
          <w:ilvl w:val="1"/>
          <w:numId w:val="20"/>
        </w:numPr>
      </w:pPr>
      <w:r w:rsidRPr="00BF3D02">
        <w:t>Under t</w:t>
      </w:r>
      <w:r w:rsidR="00D9684F" w:rsidRPr="00BF3D02">
        <w:t xml:space="preserve">he </w:t>
      </w:r>
      <w:r w:rsidR="006242D5">
        <w:t>ACCIV</w:t>
      </w:r>
      <w:r w:rsidR="00D9684F" w:rsidRPr="00BF3D02">
        <w:t xml:space="preserve"> attribution model</w:t>
      </w:r>
      <w:r w:rsidRPr="00BF3D02">
        <w:t xml:space="preserve">, the </w:t>
      </w:r>
      <w:r w:rsidR="006242D5">
        <w:t>operator (corporate director)</w:t>
      </w:r>
      <w:r w:rsidRPr="00BF3D02">
        <w:t xml:space="preserve"> must:</w:t>
      </w:r>
    </w:p>
    <w:p w14:paraId="62473050" w14:textId="55D1018A" w:rsidR="003822B1" w:rsidRPr="00BF3D02" w:rsidRDefault="003822B1" w:rsidP="003822B1">
      <w:pPr>
        <w:pStyle w:val="dotpoint"/>
      </w:pPr>
      <w:r w:rsidRPr="00BF3D02">
        <w:t xml:space="preserve">determine the overall amounts of particular characters of income for the </w:t>
      </w:r>
      <w:r w:rsidR="006242D5">
        <w:t>ACCIV</w:t>
      </w:r>
      <w:r w:rsidRPr="00BF3D02">
        <w:t xml:space="preserve"> for an income year</w:t>
      </w:r>
      <w:r w:rsidR="00C55E78" w:rsidRPr="00BF3D02">
        <w:t>, that is:</w:t>
      </w:r>
      <w:r w:rsidRPr="00BF3D02">
        <w:t xml:space="preserve"> </w:t>
      </w:r>
    </w:p>
    <w:p w14:paraId="0C0B0798" w14:textId="6BA22DE6" w:rsidR="00C55E78" w:rsidRPr="00BF3D02" w:rsidRDefault="001A1997" w:rsidP="00C83D1C">
      <w:pPr>
        <w:pStyle w:val="dotpoint"/>
        <w:numPr>
          <w:ilvl w:val="1"/>
          <w:numId w:val="1"/>
        </w:numPr>
      </w:pPr>
      <w:r>
        <w:lastRenderedPageBreak/>
        <w:t xml:space="preserve">calculate the total </w:t>
      </w:r>
      <w:r w:rsidR="00C55E78" w:rsidRPr="00BF3D02">
        <w:t>amounts associated with the</w:t>
      </w:r>
      <w:r w:rsidR="00D77ABE">
        <w:t xml:space="preserve"> various activities of the ACCIV</w:t>
      </w:r>
      <w:r w:rsidR="00C55E78" w:rsidRPr="00BF3D02">
        <w:t xml:space="preserve"> that </w:t>
      </w:r>
      <w:r w:rsidR="008C1A4E">
        <w:t>are</w:t>
      </w:r>
      <w:r w:rsidR="00C55E78" w:rsidRPr="00BF3D02">
        <w:t xml:space="preserve"> amounts of assessable income, exempt income, non</w:t>
      </w:r>
      <w:r w:rsidR="00C55E78" w:rsidRPr="00BF3D02">
        <w:noBreakHyphen/>
        <w:t>assessable non</w:t>
      </w:r>
      <w:r w:rsidR="00C55E78" w:rsidRPr="00BF3D02">
        <w:noBreakHyphen/>
        <w:t>exempt incom</w:t>
      </w:r>
      <w:r w:rsidR="009B5C63">
        <w:t>e and capital gains and losses</w:t>
      </w:r>
      <w:r w:rsidR="008C1A4E">
        <w:t xml:space="preserve"> —</w:t>
      </w:r>
      <w:r w:rsidR="009B5C63">
        <w:t xml:space="preserve"> </w:t>
      </w:r>
      <w:r w:rsidR="006C7E4B">
        <w:t xml:space="preserve">the </w:t>
      </w:r>
      <w:r w:rsidR="006242D5">
        <w:rPr>
          <w:i/>
        </w:rPr>
        <w:t>AIV</w:t>
      </w:r>
      <w:r w:rsidR="008C1A4E">
        <w:rPr>
          <w:i/>
        </w:rPr>
        <w:t> </w:t>
      </w:r>
      <w:r w:rsidR="00C55E78" w:rsidRPr="00BF3D02">
        <w:rPr>
          <w:i/>
        </w:rPr>
        <w:t>component</w:t>
      </w:r>
      <w:r w:rsidR="00C55E78" w:rsidRPr="00BF3D02">
        <w:t xml:space="preserve"> of each particular character;</w:t>
      </w:r>
      <w:r w:rsidR="00E84201" w:rsidRPr="00BF3D02">
        <w:t xml:space="preserve"> and</w:t>
      </w:r>
    </w:p>
    <w:p w14:paraId="0E4D8014" w14:textId="1A30BE56" w:rsidR="00C55E78" w:rsidRPr="00BF3D02" w:rsidRDefault="00C55E78" w:rsidP="00C83D1C">
      <w:pPr>
        <w:pStyle w:val="dotpoint"/>
        <w:numPr>
          <w:ilvl w:val="1"/>
          <w:numId w:val="1"/>
        </w:numPr>
      </w:pPr>
      <w:r w:rsidRPr="00BF3D02">
        <w:t>determine the amount of the components of particular c</w:t>
      </w:r>
      <w:r w:rsidR="003A6F28">
        <w:t>haracters and create a document</w:t>
      </w:r>
      <w:r w:rsidRPr="00BF3D02">
        <w:t xml:space="preserve"> recording those amounts</w:t>
      </w:r>
      <w:r w:rsidR="008C1A4E">
        <w:t xml:space="preserve"> —</w:t>
      </w:r>
      <w:r w:rsidR="009B5C63">
        <w:t xml:space="preserve"> </w:t>
      </w:r>
      <w:r w:rsidRPr="00BF3D02">
        <w:t xml:space="preserve">the </w:t>
      </w:r>
      <w:r w:rsidR="006242D5">
        <w:rPr>
          <w:i/>
        </w:rPr>
        <w:t>determined AIV</w:t>
      </w:r>
      <w:r w:rsidRPr="00BF3D02">
        <w:rPr>
          <w:i/>
        </w:rPr>
        <w:t xml:space="preserve"> component</w:t>
      </w:r>
      <w:r w:rsidRPr="00BF3D02">
        <w:t>; and</w:t>
      </w:r>
    </w:p>
    <w:p w14:paraId="37317604" w14:textId="13A19143" w:rsidR="00C55E78" w:rsidRPr="00BF3D02" w:rsidRDefault="003822B1" w:rsidP="00C55E78">
      <w:pPr>
        <w:pStyle w:val="dotpoint"/>
      </w:pPr>
      <w:r w:rsidRPr="00BF3D02">
        <w:t>attribute amounts with particular characters for that income year to members on a fair and reasonable basis in accordance with the constituent documents</w:t>
      </w:r>
      <w:r w:rsidR="001A1997">
        <w:t xml:space="preserve"> of the ACCIV</w:t>
      </w:r>
      <w:r w:rsidR="008C1A4E">
        <w:t xml:space="preserve"> —</w:t>
      </w:r>
      <w:r w:rsidR="00C55E78" w:rsidRPr="00BF3D02">
        <w:t xml:space="preserve"> that is:</w:t>
      </w:r>
    </w:p>
    <w:p w14:paraId="172B47EF" w14:textId="20531062" w:rsidR="00C55E78" w:rsidRPr="00BF3D02" w:rsidRDefault="006242D5" w:rsidP="00C83D1C">
      <w:pPr>
        <w:pStyle w:val="dotpoint"/>
        <w:numPr>
          <w:ilvl w:val="1"/>
          <w:numId w:val="1"/>
        </w:numPr>
      </w:pPr>
      <w:r>
        <w:t>attribute the amount of an AIV</w:t>
      </w:r>
      <w:r w:rsidR="00C55E78" w:rsidRPr="00BF3D02">
        <w:t xml:space="preserve"> component of a particular character to a member </w:t>
      </w:r>
      <w:r w:rsidR="003A6F28">
        <w:t xml:space="preserve">based on the member’s clearly defined interest in the </w:t>
      </w:r>
      <w:r>
        <w:t>ACCIV</w:t>
      </w:r>
      <w:r w:rsidR="008C1A4E">
        <w:t xml:space="preserve"> —</w:t>
      </w:r>
      <w:r w:rsidR="009B5C63">
        <w:t xml:space="preserve"> </w:t>
      </w:r>
      <w:r w:rsidR="00C55E78" w:rsidRPr="00BF3D02">
        <w:t xml:space="preserve">the </w:t>
      </w:r>
      <w:r w:rsidR="00C55E78" w:rsidRPr="00BF3D02">
        <w:rPr>
          <w:i/>
        </w:rPr>
        <w:t>member component</w:t>
      </w:r>
      <w:r w:rsidR="001A1997">
        <w:t xml:space="preserve">; </w:t>
      </w:r>
    </w:p>
    <w:p w14:paraId="4E609A43" w14:textId="31625845" w:rsidR="001A1997" w:rsidRDefault="00C55E78" w:rsidP="00C83D1C">
      <w:pPr>
        <w:pStyle w:val="dotpoint"/>
        <w:numPr>
          <w:ilvl w:val="1"/>
          <w:numId w:val="1"/>
        </w:numPr>
      </w:pPr>
      <w:r w:rsidRPr="00BF3D02">
        <w:t xml:space="preserve">determine the amount of the member component </w:t>
      </w:r>
      <w:r w:rsidR="001C6007" w:rsidRPr="00BF3D02">
        <w:t>of particular characters tha</w:t>
      </w:r>
      <w:r w:rsidR="009B5C63">
        <w:t>t is attributed to each member</w:t>
      </w:r>
      <w:r w:rsidR="008C1A4E">
        <w:t xml:space="preserve"> —</w:t>
      </w:r>
      <w:r w:rsidR="009B5C63">
        <w:t xml:space="preserve"> </w:t>
      </w:r>
      <w:r w:rsidR="001C6007" w:rsidRPr="00BF3D02">
        <w:t xml:space="preserve">the </w:t>
      </w:r>
      <w:r w:rsidR="001A1997">
        <w:rPr>
          <w:i/>
        </w:rPr>
        <w:t>determined member component</w:t>
      </w:r>
      <w:r w:rsidR="001A1997" w:rsidRPr="00273915">
        <w:t>;</w:t>
      </w:r>
      <w:r w:rsidR="001C6007" w:rsidRPr="00BF3D02">
        <w:t xml:space="preserve"> and </w:t>
      </w:r>
    </w:p>
    <w:p w14:paraId="7B4758C7" w14:textId="6B0AE5D6" w:rsidR="00D9684F" w:rsidRPr="00BF3D02" w:rsidRDefault="001C6007" w:rsidP="00C83D1C">
      <w:pPr>
        <w:pStyle w:val="dotpoint"/>
        <w:numPr>
          <w:ilvl w:val="1"/>
          <w:numId w:val="1"/>
        </w:numPr>
      </w:pPr>
      <w:r w:rsidRPr="00BF3D02">
        <w:t xml:space="preserve">issue an </w:t>
      </w:r>
      <w:r w:rsidR="006242D5">
        <w:t>AIV member annual statement (AIV</w:t>
      </w:r>
      <w:r w:rsidRPr="00BF3D02">
        <w:t>MA statement) to the member that records those amounts.</w:t>
      </w:r>
    </w:p>
    <w:p w14:paraId="0746B54D" w14:textId="437BDC88" w:rsidR="005F0B48" w:rsidRPr="00BF3D02" w:rsidRDefault="005F0B48" w:rsidP="008C1A4E">
      <w:pPr>
        <w:pStyle w:val="base-text-paragraphnonumbers"/>
      </w:pPr>
      <w:r>
        <w:rPr>
          <w:rStyle w:val="Referencingstyle"/>
        </w:rPr>
        <w:t>[Schedule #</w:t>
      </w:r>
      <w:r w:rsidRPr="00903C31">
        <w:rPr>
          <w:rStyle w:val="Referencingstyle"/>
        </w:rPr>
        <w:t>, item</w:t>
      </w:r>
      <w:r>
        <w:rPr>
          <w:rStyle w:val="Referencingstyle"/>
        </w:rPr>
        <w:t>s</w:t>
      </w:r>
      <w:r w:rsidR="002A60DA">
        <w:rPr>
          <w:rStyle w:val="Referencingstyle"/>
        </w:rPr>
        <w:t xml:space="preserve"> 53 to 100</w:t>
      </w:r>
      <w:r>
        <w:rPr>
          <w:rStyle w:val="Referencingstyle"/>
        </w:rPr>
        <w:t>, sections 276-200 to 276-270]</w:t>
      </w:r>
    </w:p>
    <w:p w14:paraId="198679A0" w14:textId="1B42941F" w:rsidR="004F5DB5" w:rsidRDefault="004F5DB5" w:rsidP="005F0B48">
      <w:pPr>
        <w:pStyle w:val="base-text-paragraph"/>
        <w:numPr>
          <w:ilvl w:val="1"/>
          <w:numId w:val="20"/>
        </w:numPr>
      </w:pPr>
      <w:r w:rsidRPr="00BF3D02">
        <w:t xml:space="preserve">The amount that is recognised by the member for income tax purposes in relation to their investment in an </w:t>
      </w:r>
      <w:r w:rsidR="006242D5">
        <w:t xml:space="preserve">ACCIV </w:t>
      </w:r>
      <w:r w:rsidRPr="00BF3D02">
        <w:t xml:space="preserve">is the determined member component, which is generally the amount </w:t>
      </w:r>
      <w:r w:rsidR="004822EA" w:rsidRPr="00BF3D02">
        <w:t xml:space="preserve">shown </w:t>
      </w:r>
      <w:r w:rsidR="006242D5">
        <w:t>on the AIV</w:t>
      </w:r>
      <w:r w:rsidRPr="00BF3D02">
        <w:t>MA statement issued by the A</w:t>
      </w:r>
      <w:r w:rsidR="006242D5">
        <w:t>CCIV</w:t>
      </w:r>
      <w:r w:rsidRPr="00BF3D02">
        <w:t>.</w:t>
      </w:r>
      <w:r w:rsidR="005F0B48" w:rsidRPr="005F0B48">
        <w:t xml:space="preserve"> </w:t>
      </w:r>
      <w:r w:rsidR="005F0B48" w:rsidRPr="005F0B48">
        <w:rPr>
          <w:rStyle w:val="Referencingstyle"/>
        </w:rPr>
        <w:t>[Schedule #</w:t>
      </w:r>
      <w:r w:rsidR="00E119E9">
        <w:rPr>
          <w:rStyle w:val="Referencingstyle"/>
        </w:rPr>
        <w:t>, item 220</w:t>
      </w:r>
      <w:r w:rsidR="00081C85">
        <w:rPr>
          <w:rStyle w:val="Referencingstyle"/>
        </w:rPr>
        <w:t>, sections 276-450 to 276</w:t>
      </w:r>
      <w:r w:rsidR="00081C85">
        <w:rPr>
          <w:rStyle w:val="Referencingstyle"/>
        </w:rPr>
        <w:noBreakHyphen/>
      </w:r>
      <w:r w:rsidR="005F0B48">
        <w:rPr>
          <w:rStyle w:val="Referencingstyle"/>
        </w:rPr>
        <w:t>460</w:t>
      </w:r>
      <w:r w:rsidR="005F0B48" w:rsidRPr="005F0B48">
        <w:rPr>
          <w:rStyle w:val="Referencingstyle"/>
        </w:rPr>
        <w:t>]</w:t>
      </w:r>
    </w:p>
    <w:p w14:paraId="1DCA8DA2" w14:textId="1F0EEF71" w:rsidR="00221525" w:rsidRPr="00BF3D02" w:rsidRDefault="00221525" w:rsidP="005F0B48">
      <w:pPr>
        <w:pStyle w:val="base-text-paragraph"/>
        <w:numPr>
          <w:ilvl w:val="1"/>
          <w:numId w:val="20"/>
        </w:numPr>
      </w:pPr>
      <w:r w:rsidRPr="00BF3D02">
        <w:t>The attribution model also provide</w:t>
      </w:r>
      <w:r w:rsidR="001A1997">
        <w:t xml:space="preserve">s </w:t>
      </w:r>
      <w:r w:rsidRPr="00BF3D02">
        <w:t xml:space="preserve">flexibility for an </w:t>
      </w:r>
      <w:r w:rsidR="006242D5">
        <w:t xml:space="preserve">ACCIV </w:t>
      </w:r>
      <w:r w:rsidRPr="00BF3D02">
        <w:t xml:space="preserve">to reconcile any variance between the amounts actually attributed to members for an income year and the amounts that should have been attributed </w:t>
      </w:r>
      <w:r w:rsidR="001A1997">
        <w:t xml:space="preserve">to members </w:t>
      </w:r>
      <w:r w:rsidRPr="00BF3D02">
        <w:t xml:space="preserve">(for example as a result of </w:t>
      </w:r>
      <w:r w:rsidR="00B24EB0">
        <w:t>incomplete information being available at the time of issuing the A</w:t>
      </w:r>
      <w:r w:rsidR="006242D5">
        <w:t>IVMA</w:t>
      </w:r>
      <w:r w:rsidR="00B24EB0">
        <w:t xml:space="preserve"> statement</w:t>
      </w:r>
      <w:r w:rsidRPr="00BF3D02">
        <w:t>) in the year the variance is discovered utilising an ‘unders</w:t>
      </w:r>
      <w:r w:rsidR="00C66299">
        <w:t>’</w:t>
      </w:r>
      <w:r w:rsidRPr="00BF3D02">
        <w:t xml:space="preserve"> and </w:t>
      </w:r>
      <w:r w:rsidR="00C66299">
        <w:t>‘</w:t>
      </w:r>
      <w:r w:rsidRPr="00BF3D02">
        <w:t>overs’ regime.</w:t>
      </w:r>
      <w:r w:rsidR="005F0B48">
        <w:t xml:space="preserve"> </w:t>
      </w:r>
      <w:r w:rsidR="005F0B48">
        <w:rPr>
          <w:rStyle w:val="Referencingstyle"/>
        </w:rPr>
        <w:t>[Schedule</w:t>
      </w:r>
      <w:r w:rsidR="008C1A4E">
        <w:rPr>
          <w:rStyle w:val="Referencingstyle"/>
        </w:rPr>
        <w:t> </w:t>
      </w:r>
      <w:r w:rsidR="005F0B48">
        <w:rPr>
          <w:rStyle w:val="Referencingstyle"/>
        </w:rPr>
        <w:t>#</w:t>
      </w:r>
      <w:r w:rsidR="003C4793">
        <w:rPr>
          <w:rStyle w:val="Referencingstyle"/>
        </w:rPr>
        <w:t>, items 101 to 181</w:t>
      </w:r>
      <w:r w:rsidR="005F0B48">
        <w:rPr>
          <w:rStyle w:val="Referencingstyle"/>
        </w:rPr>
        <w:t>, sections 276-300 to 276-350</w:t>
      </w:r>
      <w:r w:rsidR="005F0B48" w:rsidRPr="005F0B48">
        <w:rPr>
          <w:rStyle w:val="Referencingstyle"/>
        </w:rPr>
        <w:t>]</w:t>
      </w:r>
    </w:p>
    <w:p w14:paraId="63FE660A" w14:textId="6A7A0557" w:rsidR="00251DE9" w:rsidRDefault="00221525" w:rsidP="008B1822">
      <w:pPr>
        <w:pStyle w:val="base-text-paragraph"/>
        <w:numPr>
          <w:ilvl w:val="1"/>
          <w:numId w:val="20"/>
        </w:numPr>
      </w:pPr>
      <w:r w:rsidRPr="00BF3D02">
        <w:t>I</w:t>
      </w:r>
      <w:r w:rsidR="00B50577">
        <w:t>n certain circumstances, the ACCIV</w:t>
      </w:r>
      <w:r w:rsidRPr="00BF3D02">
        <w:t xml:space="preserve"> </w:t>
      </w:r>
      <w:r w:rsidR="00B50577">
        <w:t xml:space="preserve">will be </w:t>
      </w:r>
      <w:r w:rsidRPr="00BF3D02">
        <w:t xml:space="preserve">liable to pay tax, for example, in relation to amounts of assessable income of the </w:t>
      </w:r>
      <w:r w:rsidR="00B50577">
        <w:t>ACCIV</w:t>
      </w:r>
      <w:r w:rsidRPr="00BF3D02">
        <w:t xml:space="preserve"> that have not been attributed </w:t>
      </w:r>
      <w:r w:rsidR="001A1997">
        <w:t>to</w:t>
      </w:r>
      <w:r w:rsidRPr="00BF3D02">
        <w:t xml:space="preserve"> member</w:t>
      </w:r>
      <w:r w:rsidR="001A1997">
        <w:t>s</w:t>
      </w:r>
      <w:r w:rsidRPr="00BF3D02">
        <w:t xml:space="preserve"> of that </w:t>
      </w:r>
      <w:r w:rsidR="00B50577">
        <w:t xml:space="preserve">ACCIV </w:t>
      </w:r>
      <w:r w:rsidRPr="00BF3D02">
        <w:t xml:space="preserve">in an income year. </w:t>
      </w:r>
      <w:r w:rsidR="00251DE9">
        <w:rPr>
          <w:rStyle w:val="Referencingstyle"/>
        </w:rPr>
        <w:t>[Schedule #</w:t>
      </w:r>
      <w:r w:rsidR="00174284">
        <w:rPr>
          <w:rStyle w:val="Referencingstyle"/>
        </w:rPr>
        <w:t>, items 182 to 219</w:t>
      </w:r>
      <w:r w:rsidR="00273915">
        <w:rPr>
          <w:rStyle w:val="Referencingstyle"/>
        </w:rPr>
        <w:t>, sections 276-400 to 276-425</w:t>
      </w:r>
      <w:r w:rsidR="00251DE9" w:rsidRPr="005F0B48">
        <w:rPr>
          <w:rStyle w:val="Referencingstyle"/>
        </w:rPr>
        <w:t>]</w:t>
      </w:r>
    </w:p>
    <w:p w14:paraId="7EA8320D" w14:textId="319D69DF" w:rsidR="00221525" w:rsidRPr="00BF3D02" w:rsidRDefault="00221525" w:rsidP="008B1822">
      <w:pPr>
        <w:pStyle w:val="base-text-paragraph"/>
        <w:numPr>
          <w:ilvl w:val="1"/>
          <w:numId w:val="20"/>
        </w:numPr>
      </w:pPr>
      <w:r w:rsidRPr="00BF3D02">
        <w:lastRenderedPageBreak/>
        <w:t xml:space="preserve">The </w:t>
      </w:r>
      <w:r w:rsidR="009B5C63">
        <w:t>PAYG</w:t>
      </w:r>
      <w:r w:rsidRPr="00BF3D02">
        <w:t xml:space="preserve"> withholding provisions and withholding tax liability provisions also apply to </w:t>
      </w:r>
      <w:r w:rsidR="00B50577">
        <w:t xml:space="preserve">ACCIVs </w:t>
      </w:r>
      <w:r w:rsidRPr="00BF3D02">
        <w:t xml:space="preserve">and their members, </w:t>
      </w:r>
      <w:r w:rsidRPr="008B1822">
        <w:t>including members who are custodians.</w:t>
      </w:r>
    </w:p>
    <w:p w14:paraId="5AD0770C" w14:textId="6971A661" w:rsidR="003E6FEF" w:rsidRPr="00BF3D02" w:rsidRDefault="00EB1316" w:rsidP="00EB5628">
      <w:pPr>
        <w:pStyle w:val="Heading3"/>
      </w:pPr>
      <w:r>
        <w:t>Depositary treated as the same entity</w:t>
      </w:r>
    </w:p>
    <w:p w14:paraId="0BC59D13" w14:textId="72DFDDE2" w:rsidR="00B779EF" w:rsidRPr="00794AD9" w:rsidRDefault="00C20FBF" w:rsidP="00794AD9">
      <w:pPr>
        <w:pStyle w:val="base-text-paragraph"/>
        <w:numPr>
          <w:ilvl w:val="1"/>
          <w:numId w:val="20"/>
        </w:numPr>
      </w:pPr>
      <w:r w:rsidRPr="00182626">
        <w:t>Where a</w:t>
      </w:r>
      <w:r w:rsidR="00103EBF">
        <w:t>n</w:t>
      </w:r>
      <w:r w:rsidRPr="00182626">
        <w:t xml:space="preserve"> </w:t>
      </w:r>
      <w:r w:rsidR="001B7646">
        <w:t>A</w:t>
      </w:r>
      <w:r w:rsidRPr="00182626">
        <w:t xml:space="preserve">CCIV </w:t>
      </w:r>
      <w:r w:rsidR="00094F2C" w:rsidRPr="00BF3D02">
        <w:t xml:space="preserve">has a depositary, </w:t>
      </w:r>
      <w:r w:rsidR="00DD3F05" w:rsidRPr="00BF3D02">
        <w:t xml:space="preserve">ordinarily a trust relationship for income tax purposes would arise because the depositary holds the assets on trust for the </w:t>
      </w:r>
      <w:r w:rsidR="001B7646">
        <w:t>A</w:t>
      </w:r>
      <w:r w:rsidR="00DD3F05" w:rsidRPr="00BF3D02">
        <w:t xml:space="preserve">CCIV. To ensure the attribution model </w:t>
      </w:r>
      <w:r w:rsidR="00543A07">
        <w:t>provides for ‘character flow</w:t>
      </w:r>
      <w:r w:rsidR="00543A07">
        <w:noBreakHyphen/>
        <w:t>through’</w:t>
      </w:r>
      <w:r w:rsidR="005E2486" w:rsidRPr="00BF3D02">
        <w:t xml:space="preserve"> </w:t>
      </w:r>
      <w:r w:rsidR="003A0DBA" w:rsidRPr="00BF3D02">
        <w:t xml:space="preserve">of </w:t>
      </w:r>
      <w:r w:rsidR="00286047">
        <w:t xml:space="preserve">income, </w:t>
      </w:r>
      <w:r w:rsidR="00286047" w:rsidRPr="00BF3D02">
        <w:t>the</w:t>
      </w:r>
      <w:r w:rsidR="006B5BF5" w:rsidRPr="00BF3D02">
        <w:t xml:space="preserve"> amendments provide that Division 6 of the ITAA 1936 </w:t>
      </w:r>
      <w:r w:rsidR="00B779EF" w:rsidRPr="00BF3D02">
        <w:t xml:space="preserve">(about trust income) </w:t>
      </w:r>
      <w:r w:rsidR="006B5BF5" w:rsidRPr="00BF3D02">
        <w:t>does not apply in relation</w:t>
      </w:r>
      <w:r w:rsidR="001A1997">
        <w:t xml:space="preserve"> to any trust estate that arises because of </w:t>
      </w:r>
      <w:r w:rsidR="006B5BF5" w:rsidRPr="00BF3D02">
        <w:t>the relationship between a</w:t>
      </w:r>
      <w:r w:rsidR="00AF1469">
        <w:t>n</w:t>
      </w:r>
      <w:r w:rsidR="006B5BF5" w:rsidRPr="00BF3D02">
        <w:t xml:space="preserve"> </w:t>
      </w:r>
      <w:r w:rsidR="001B7646">
        <w:t>A</w:t>
      </w:r>
      <w:r w:rsidR="006B5BF5" w:rsidRPr="00BF3D02">
        <w:t>CCIV and</w:t>
      </w:r>
      <w:r w:rsidR="005E2486" w:rsidRPr="00BF3D02">
        <w:t xml:space="preserve"> its depositary.</w:t>
      </w:r>
      <w:r w:rsidR="00543A07">
        <w:t xml:space="preserve"> </w:t>
      </w:r>
      <w:r w:rsidR="007C77D5">
        <w:rPr>
          <w:rStyle w:val="Referencingstyle"/>
        </w:rPr>
        <w:t>[Schedule #, item 424</w:t>
      </w:r>
      <w:r w:rsidR="005E2486" w:rsidRPr="00BF3D02">
        <w:rPr>
          <w:rStyle w:val="Referencingstyle"/>
        </w:rPr>
        <w:t>, section 95AAE of the ITAA</w:t>
      </w:r>
      <w:r w:rsidR="008C1A4E">
        <w:rPr>
          <w:rStyle w:val="Referencingstyle"/>
        </w:rPr>
        <w:t> </w:t>
      </w:r>
      <w:r w:rsidR="005E2486" w:rsidRPr="00BF3D02">
        <w:rPr>
          <w:rStyle w:val="Referencingstyle"/>
        </w:rPr>
        <w:t>1936]</w:t>
      </w:r>
    </w:p>
    <w:p w14:paraId="13EE0E55" w14:textId="6ABE2C32" w:rsidR="000F3CBB" w:rsidRPr="00BF3D02" w:rsidRDefault="005733FE" w:rsidP="00794AD9">
      <w:pPr>
        <w:pStyle w:val="base-text-paragraph"/>
        <w:numPr>
          <w:ilvl w:val="1"/>
          <w:numId w:val="20"/>
        </w:numPr>
        <w:rPr>
          <w:rStyle w:val="Referencingstyle"/>
          <w:b w:val="0"/>
          <w:i w:val="0"/>
          <w:sz w:val="22"/>
        </w:rPr>
      </w:pPr>
      <w:r>
        <w:t>W</w:t>
      </w:r>
      <w:r w:rsidR="000F3CBB" w:rsidRPr="00BF3D02">
        <w:t>here an ACCIV has a depositary, the ACCIV and the depositary (in that capacity) are taken to be the same entity for the purposes of applying the attribution regime</w:t>
      </w:r>
      <w:r w:rsidR="008C1A4E">
        <w:t xml:space="preserve"> —</w:t>
      </w:r>
      <w:r w:rsidR="000F3CBB" w:rsidRPr="00BF3D02">
        <w:t xml:space="preserve"> that is, working out the ACCIV’s </w:t>
      </w:r>
      <w:r w:rsidR="00543A07">
        <w:t xml:space="preserve">tax position and </w:t>
      </w:r>
      <w:r w:rsidR="00C66299">
        <w:t>AIV</w:t>
      </w:r>
      <w:r w:rsidR="000F3CBB" w:rsidRPr="00BF3D02">
        <w:t xml:space="preserve"> component</w:t>
      </w:r>
      <w:r w:rsidR="00C66299">
        <w:t>s</w:t>
      </w:r>
      <w:r w:rsidR="000F3CBB" w:rsidRPr="00BF3D02">
        <w:t xml:space="preserve">. </w:t>
      </w:r>
      <w:r w:rsidR="00905DD6">
        <w:t>This treatment of the depositary will operate where the depositary is a resident or non-resident of Australia, where income derived by the depositary on behalf of an ACCIV will be treated as being derived by the ACCIV as an Australian residen</w:t>
      </w:r>
      <w:r w:rsidR="00794AD9">
        <w:t xml:space="preserve">t. </w:t>
      </w:r>
      <w:r w:rsidR="00E12E0C">
        <w:rPr>
          <w:rStyle w:val="Referencingstyle"/>
        </w:rPr>
        <w:t>[Schedule #, item 91</w:t>
      </w:r>
      <w:r w:rsidR="000F3CBB" w:rsidRPr="00BF3D02">
        <w:rPr>
          <w:rStyle w:val="Referencingstyle"/>
        </w:rPr>
        <w:t>, subsection 276</w:t>
      </w:r>
      <w:r w:rsidR="000F3CBB" w:rsidRPr="00BF3D02">
        <w:rPr>
          <w:rStyle w:val="Referencingstyle"/>
        </w:rPr>
        <w:noBreakHyphen/>
        <w:t>260(5)]</w:t>
      </w:r>
    </w:p>
    <w:p w14:paraId="516C161A" w14:textId="263DD99C" w:rsidR="00794AD9" w:rsidRPr="00FE5A29" w:rsidRDefault="00794AD9" w:rsidP="00794AD9">
      <w:pPr>
        <w:pStyle w:val="base-text-paragraph"/>
        <w:numPr>
          <w:ilvl w:val="1"/>
          <w:numId w:val="20"/>
        </w:numPr>
        <w:rPr>
          <w:rStyle w:val="Referencingstyle"/>
          <w:b w:val="0"/>
          <w:i w:val="0"/>
          <w:sz w:val="22"/>
        </w:rPr>
      </w:pPr>
      <w:r>
        <w:t>However, for the purposes of working out the ACCIV’s AIV component of a particular character for the income year, any payments made by the ACCIV t</w:t>
      </w:r>
      <w:r w:rsidR="0054722F">
        <w:t>o the deposita</w:t>
      </w:r>
      <w:r>
        <w:t xml:space="preserve">ry (in </w:t>
      </w:r>
      <w:r w:rsidR="00DD12F3">
        <w:t xml:space="preserve">relation to </w:t>
      </w:r>
      <w:r>
        <w:t>its capacity as the ACCIV’s depositary) will be disregarded.</w:t>
      </w:r>
      <w:r w:rsidR="00082E0F">
        <w:t xml:space="preserve"> This means that payments made by the ACCIV to the depositary in its capacity as a depositary (such as fees paid by the ACCIV for services rendered by the depositary) will be recognised</w:t>
      </w:r>
      <w:r w:rsidR="00A9168B">
        <w:t xml:space="preserve"> for tax purposes</w:t>
      </w:r>
      <w:r w:rsidR="00082E0F">
        <w:t>.</w:t>
      </w:r>
      <w:r>
        <w:t xml:space="preserve"> </w:t>
      </w:r>
      <w:r w:rsidR="00E12E0C">
        <w:rPr>
          <w:rStyle w:val="Referencingstyle"/>
        </w:rPr>
        <w:t>[Schedule #, item 91</w:t>
      </w:r>
      <w:r>
        <w:rPr>
          <w:rStyle w:val="Referencingstyle"/>
        </w:rPr>
        <w:t>, paragraph</w:t>
      </w:r>
      <w:r w:rsidRPr="00794AD9">
        <w:rPr>
          <w:rStyle w:val="Referencingstyle"/>
        </w:rPr>
        <w:t xml:space="preserve"> 276</w:t>
      </w:r>
      <w:r w:rsidRPr="00794AD9">
        <w:rPr>
          <w:rStyle w:val="Referencingstyle"/>
        </w:rPr>
        <w:noBreakHyphen/>
        <w:t>260(5)</w:t>
      </w:r>
      <w:r>
        <w:rPr>
          <w:rStyle w:val="Referencingstyle"/>
        </w:rPr>
        <w:t>(e)</w:t>
      </w:r>
      <w:r w:rsidRPr="00794AD9">
        <w:rPr>
          <w:rStyle w:val="Referencingstyle"/>
        </w:rPr>
        <w:t>]</w:t>
      </w:r>
    </w:p>
    <w:p w14:paraId="30EDDCD7" w14:textId="77777777" w:rsidR="00FE5A29" w:rsidRPr="0041594E" w:rsidRDefault="00FE5A29" w:rsidP="00FE5A29">
      <w:pPr>
        <w:pStyle w:val="Heading3"/>
      </w:pPr>
      <w:r>
        <w:t>Consequences of transfer of assets between sub-funds</w:t>
      </w:r>
    </w:p>
    <w:p w14:paraId="52ED4726" w14:textId="6A8F98C1" w:rsidR="00FB0304" w:rsidRDefault="00081C85" w:rsidP="00DD2AE8">
      <w:pPr>
        <w:pStyle w:val="base-text-paragraph"/>
        <w:numPr>
          <w:ilvl w:val="1"/>
          <w:numId w:val="31"/>
        </w:numPr>
      </w:pPr>
      <w:r>
        <w:t xml:space="preserve">Assets </w:t>
      </w:r>
      <w:r w:rsidR="00627F13">
        <w:t xml:space="preserve">of a sub-fund </w:t>
      </w:r>
      <w:r>
        <w:t xml:space="preserve">held by an ACCIV must be </w:t>
      </w:r>
      <w:r w:rsidR="000D03F2">
        <w:t xml:space="preserve">for the benefit of that sub-fund and </w:t>
      </w:r>
      <w:r>
        <w:t xml:space="preserve">held </w:t>
      </w:r>
      <w:r w:rsidR="00627F13">
        <w:t xml:space="preserve">separately from other sub-funds. </w:t>
      </w:r>
      <w:r w:rsidR="0093418D">
        <w:t>A</w:t>
      </w:r>
      <w:r w:rsidR="00627F13">
        <w:t xml:space="preserve">ssets cannot be applied to benefit </w:t>
      </w:r>
      <w:r>
        <w:t>another sub</w:t>
      </w:r>
      <w:r>
        <w:noBreakHyphen/>
        <w:t xml:space="preserve">fund (see section 1142C </w:t>
      </w:r>
      <w:r w:rsidRPr="00BF3D02">
        <w:t>of the CCIV Regulatory Exposure Draft Bill</w:t>
      </w:r>
      <w:r>
        <w:t>).</w:t>
      </w:r>
      <w:r w:rsidR="00FB0304">
        <w:t xml:space="preserve"> </w:t>
      </w:r>
      <w:r>
        <w:t>Therefore, w</w:t>
      </w:r>
      <w:r w:rsidR="00DD2AE8">
        <w:t xml:space="preserve">here an </w:t>
      </w:r>
      <w:r>
        <w:t xml:space="preserve">ACCIV transfers an </w:t>
      </w:r>
      <w:r w:rsidR="00DD2AE8">
        <w:t xml:space="preserve">asset </w:t>
      </w:r>
      <w:r>
        <w:t xml:space="preserve">that is </w:t>
      </w:r>
      <w:r w:rsidR="00DD2AE8">
        <w:t xml:space="preserve">allocated to </w:t>
      </w:r>
      <w:r>
        <w:t>a particular sub</w:t>
      </w:r>
      <w:r>
        <w:noBreakHyphen/>
      </w:r>
      <w:r w:rsidR="00DD2AE8">
        <w:t xml:space="preserve">fund to another sub-fund, </w:t>
      </w:r>
      <w:r>
        <w:t xml:space="preserve">the asset is taken to have been </w:t>
      </w:r>
      <w:r w:rsidR="00C37837">
        <w:t>dispos</w:t>
      </w:r>
      <w:r>
        <w:t>ed of, and reacquired by, the</w:t>
      </w:r>
      <w:r w:rsidR="00627F13">
        <w:t xml:space="preserve"> ACCIV for income tax purposes.</w:t>
      </w:r>
    </w:p>
    <w:p w14:paraId="5706868A" w14:textId="4158B9A1" w:rsidR="00C37837" w:rsidRDefault="00FB0304" w:rsidP="00DD2AE8">
      <w:pPr>
        <w:pStyle w:val="base-text-paragraph"/>
        <w:numPr>
          <w:ilvl w:val="1"/>
          <w:numId w:val="31"/>
        </w:numPr>
      </w:pPr>
      <w:r>
        <w:t>That is, i</w:t>
      </w:r>
      <w:r w:rsidR="002F1D58">
        <w:t>n determining whet</w:t>
      </w:r>
      <w:r w:rsidR="00AE3435">
        <w:t>her an amount is included in</w:t>
      </w:r>
      <w:r w:rsidR="002F1D58">
        <w:t xml:space="preserve"> </w:t>
      </w:r>
      <w:r w:rsidR="00AE3435">
        <w:t>assessable income or is an allow</w:t>
      </w:r>
      <w:r w:rsidR="002F1D58">
        <w:t xml:space="preserve">able deduction in respect of the transfer of the asset, or whether a capital gain or </w:t>
      </w:r>
      <w:r>
        <w:t xml:space="preserve">capital </w:t>
      </w:r>
      <w:r w:rsidR="002F1D58">
        <w:t xml:space="preserve">loss </w:t>
      </w:r>
      <w:r>
        <w:t xml:space="preserve">arises </w:t>
      </w:r>
      <w:r w:rsidR="002F1D58">
        <w:t>in respect of the transfer, t</w:t>
      </w:r>
      <w:r w:rsidR="00C37837">
        <w:t xml:space="preserve">he ACCIV is taken to have: </w:t>
      </w:r>
    </w:p>
    <w:p w14:paraId="0ACC3AA7" w14:textId="376BADE0" w:rsidR="00C37837" w:rsidRDefault="002F1D58" w:rsidP="00C37837">
      <w:pPr>
        <w:pStyle w:val="dotpoint"/>
      </w:pPr>
      <w:r>
        <w:lastRenderedPageBreak/>
        <w:t>s</w:t>
      </w:r>
      <w:r w:rsidR="00C37837">
        <w:t>old the asset immediately before the transfer for consideration equal to its market value</w:t>
      </w:r>
      <w:r w:rsidR="00AF5745">
        <w:t>;</w:t>
      </w:r>
      <w:r w:rsidR="00C37837">
        <w:t xml:space="preserve"> and </w:t>
      </w:r>
    </w:p>
    <w:p w14:paraId="3A1DC152" w14:textId="4AD6FBB4" w:rsidR="00C37837" w:rsidRDefault="002F1D58" w:rsidP="00C37837">
      <w:pPr>
        <w:pStyle w:val="dotpoint"/>
      </w:pPr>
      <w:r>
        <w:t>p</w:t>
      </w:r>
      <w:r w:rsidR="00C37837">
        <w:t>urchase</w:t>
      </w:r>
      <w:r w:rsidR="00081C85">
        <w:t>d</w:t>
      </w:r>
      <w:r w:rsidR="00C37837">
        <w:t xml:space="preserve"> the asset again at the time of the transfer for consideration equal to i</w:t>
      </w:r>
      <w:r>
        <w:t>t</w:t>
      </w:r>
      <w:r w:rsidR="00C37837">
        <w:t>s market value</w:t>
      </w:r>
      <w:r w:rsidR="002645CD">
        <w:t>.</w:t>
      </w:r>
    </w:p>
    <w:p w14:paraId="7745CBDF" w14:textId="73DF44FB" w:rsidR="006D1EF2" w:rsidRDefault="003558C9" w:rsidP="002F1D58">
      <w:pPr>
        <w:pStyle w:val="base-text-paragraph"/>
        <w:numPr>
          <w:ilvl w:val="0"/>
          <w:numId w:val="0"/>
        </w:numPr>
        <w:ind w:left="1134"/>
        <w:rPr>
          <w:rStyle w:val="Referencingstyle"/>
        </w:rPr>
      </w:pPr>
      <w:r>
        <w:rPr>
          <w:rStyle w:val="Referencingstyle"/>
        </w:rPr>
        <w:t>[Schedule #, item 1</w:t>
      </w:r>
      <w:r w:rsidR="00253E12">
        <w:rPr>
          <w:rStyle w:val="Referencingstyle"/>
        </w:rPr>
        <w:t>, section</w:t>
      </w:r>
      <w:r w:rsidR="006D1EF2" w:rsidRPr="006D1EF2">
        <w:rPr>
          <w:rStyle w:val="Referencingstyle"/>
        </w:rPr>
        <w:t xml:space="preserve"> 276-46]</w:t>
      </w:r>
    </w:p>
    <w:p w14:paraId="32F94D35" w14:textId="15758D4F" w:rsidR="00C838AA" w:rsidRDefault="000304A0" w:rsidP="000304A0">
      <w:pPr>
        <w:pStyle w:val="Heading3"/>
      </w:pPr>
      <w:r>
        <w:t>C</w:t>
      </w:r>
      <w:r w:rsidR="00C838AA" w:rsidRPr="00BF3D02">
        <w:t>lasses of membership interests</w:t>
      </w:r>
      <w:r>
        <w:t xml:space="preserve"> for a</w:t>
      </w:r>
      <w:r w:rsidR="005954FB">
        <w:t>n</w:t>
      </w:r>
      <w:r>
        <w:t xml:space="preserve"> ACCIV</w:t>
      </w:r>
    </w:p>
    <w:p w14:paraId="68438AED" w14:textId="3A5B5D32" w:rsidR="00CF218D" w:rsidRDefault="001C53E9" w:rsidP="00E97DB0">
      <w:pPr>
        <w:pStyle w:val="base-text-paragraph"/>
        <w:numPr>
          <w:ilvl w:val="1"/>
          <w:numId w:val="20"/>
        </w:numPr>
      </w:pPr>
      <w:r w:rsidRPr="00BF3D02">
        <w:t>The amendments extend th</w:t>
      </w:r>
      <w:r>
        <w:t xml:space="preserve">e existing </w:t>
      </w:r>
      <w:r w:rsidRPr="00BF3D02">
        <w:t>provision</w:t>
      </w:r>
      <w:r>
        <w:t>s</w:t>
      </w:r>
      <w:r w:rsidRPr="00BF3D02">
        <w:t xml:space="preserve"> </w:t>
      </w:r>
      <w:r w:rsidR="008B1822">
        <w:t>(see section</w:t>
      </w:r>
      <w:r w:rsidR="008C1A4E">
        <w:t> </w:t>
      </w:r>
      <w:r w:rsidR="008B1822">
        <w:t xml:space="preserve">276-20) </w:t>
      </w:r>
      <w:r>
        <w:t xml:space="preserve">which apply to AMITs </w:t>
      </w:r>
      <w:r w:rsidR="001A1997">
        <w:t>to AIVs to ensure that</w:t>
      </w:r>
      <w:r w:rsidR="000E04CB">
        <w:t xml:space="preserve"> </w:t>
      </w:r>
      <w:r w:rsidRPr="00BF3D02">
        <w:t xml:space="preserve">an ACCIV with separate membership interests </w:t>
      </w:r>
      <w:r w:rsidR="003F474F">
        <w:t xml:space="preserve">(such as separate sub-funds or classes of shares) </w:t>
      </w:r>
      <w:r w:rsidRPr="00BF3D02">
        <w:t xml:space="preserve">may elect to treat </w:t>
      </w:r>
      <w:r w:rsidR="006169E8">
        <w:t xml:space="preserve">those </w:t>
      </w:r>
      <w:r w:rsidR="00F45847">
        <w:t xml:space="preserve">separate classes of </w:t>
      </w:r>
      <w:r w:rsidR="003F474F">
        <w:t xml:space="preserve">membership </w:t>
      </w:r>
      <w:r>
        <w:t xml:space="preserve">interests as separate ACCIVs for the purposes of Division 276, </w:t>
      </w:r>
      <w:r w:rsidRPr="00BF3D02">
        <w:t>where certain criteria</w:t>
      </w:r>
      <w:r>
        <w:t xml:space="preserve"> are met</w:t>
      </w:r>
      <w:r w:rsidRPr="00BF3D02">
        <w:t>.</w:t>
      </w:r>
      <w:r>
        <w:t xml:space="preserve"> </w:t>
      </w:r>
      <w:r w:rsidR="002F146B">
        <w:rPr>
          <w:rStyle w:val="Referencingstyle"/>
        </w:rPr>
        <w:t>[Schedule #, item 11</w:t>
      </w:r>
      <w:r w:rsidRPr="005D203D">
        <w:rPr>
          <w:rStyle w:val="Referencingstyle"/>
        </w:rPr>
        <w:t>, section 276-48]</w:t>
      </w:r>
    </w:p>
    <w:p w14:paraId="169E2FFB" w14:textId="5B8AD410" w:rsidR="00DC663D" w:rsidRDefault="00DC663D" w:rsidP="00E97DB0">
      <w:pPr>
        <w:pStyle w:val="base-text-paragraph"/>
        <w:numPr>
          <w:ilvl w:val="1"/>
          <w:numId w:val="20"/>
        </w:numPr>
      </w:pPr>
      <w:r>
        <w:t xml:space="preserve">These </w:t>
      </w:r>
      <w:r w:rsidR="00CF218D">
        <w:t xml:space="preserve">criteria </w:t>
      </w:r>
      <w:r>
        <w:t xml:space="preserve">include: </w:t>
      </w:r>
    </w:p>
    <w:p w14:paraId="4253C3DA" w14:textId="07DF20D3" w:rsidR="00DC663D" w:rsidRDefault="00DC663D" w:rsidP="00DC663D">
      <w:pPr>
        <w:pStyle w:val="dotpoint"/>
      </w:pPr>
      <w:r>
        <w:t>the rights arising from each of the membership int</w:t>
      </w:r>
      <w:r w:rsidR="001A1997">
        <w:t>erests in a particular class must be</w:t>
      </w:r>
      <w:r>
        <w:t xml:space="preserve"> the same as the rights arising from every other membership interest in that class;</w:t>
      </w:r>
    </w:p>
    <w:p w14:paraId="228D5345" w14:textId="08B7BECE" w:rsidR="00DC663D" w:rsidRDefault="00DC663D" w:rsidP="00DC663D">
      <w:pPr>
        <w:pStyle w:val="dotpoint"/>
      </w:pPr>
      <w:r>
        <w:t xml:space="preserve">each of those membership interests in a </w:t>
      </w:r>
      <w:r w:rsidR="001A1997">
        <w:t>particular class must be</w:t>
      </w:r>
      <w:r>
        <w:t xml:space="preserve"> distinct from each of the membership interests in another class; and</w:t>
      </w:r>
    </w:p>
    <w:p w14:paraId="22C04613" w14:textId="4A91D76F" w:rsidR="00DC663D" w:rsidRDefault="001A1997" w:rsidP="00DC663D">
      <w:pPr>
        <w:pStyle w:val="dotpoint"/>
      </w:pPr>
      <w:r>
        <w:t>the operator of the AIV must have</w:t>
      </w:r>
      <w:r w:rsidR="00DC663D">
        <w:t xml:space="preserve"> made a choice to apply the attribution regime separately to each class of membership interests.</w:t>
      </w:r>
    </w:p>
    <w:p w14:paraId="32170D00" w14:textId="1C856228" w:rsidR="008B1822" w:rsidRDefault="00C13478" w:rsidP="008C1A4E">
      <w:pPr>
        <w:pStyle w:val="base-text-paragraphnonumbers"/>
      </w:pPr>
      <w:r>
        <w:rPr>
          <w:rStyle w:val="Referencingstyle"/>
        </w:rPr>
        <w:t>[Schedule #, item 11</w:t>
      </w:r>
      <w:r w:rsidR="008B1822" w:rsidRPr="005D203D">
        <w:rPr>
          <w:rStyle w:val="Referencingstyle"/>
        </w:rPr>
        <w:t xml:space="preserve">, </w:t>
      </w:r>
      <w:r w:rsidR="00CF218D">
        <w:rPr>
          <w:rStyle w:val="Referencingstyle"/>
        </w:rPr>
        <w:t>sub</w:t>
      </w:r>
      <w:r w:rsidR="008B1822" w:rsidRPr="005D203D">
        <w:rPr>
          <w:rStyle w:val="Referencingstyle"/>
        </w:rPr>
        <w:t>section 276-48</w:t>
      </w:r>
      <w:r w:rsidR="00CF218D">
        <w:rPr>
          <w:rStyle w:val="Referencingstyle"/>
        </w:rPr>
        <w:t>(1)</w:t>
      </w:r>
      <w:r w:rsidR="008B1822" w:rsidRPr="005D203D">
        <w:rPr>
          <w:rStyle w:val="Referencingstyle"/>
        </w:rPr>
        <w:t>]</w:t>
      </w:r>
    </w:p>
    <w:p w14:paraId="680C3310" w14:textId="22C31BCB" w:rsidR="00FB0304" w:rsidRDefault="00FB0304" w:rsidP="00E97DB0">
      <w:pPr>
        <w:pStyle w:val="base-text-paragraph"/>
        <w:numPr>
          <w:ilvl w:val="1"/>
          <w:numId w:val="20"/>
        </w:numPr>
      </w:pPr>
      <w:r w:rsidRPr="00FB0304">
        <w:t xml:space="preserve">Where membership interests of an ACCIV are divided into classes and the operator of the ACCIV makes an irrevocable election, the ACCIV may be able to apply the attribution regime separately to each class of those membership interests in the ACCIV for that income year and every subsequent income year. This means that each class will effectively be treated as a separate ACCIV with separate ACCIV assets for the purposes of the attribution regime. </w:t>
      </w:r>
      <w:r w:rsidRPr="00FB0304">
        <w:rPr>
          <w:rStyle w:val="Referencingstyle"/>
        </w:rPr>
        <w:t>[Sched</w:t>
      </w:r>
      <w:r>
        <w:rPr>
          <w:rStyle w:val="Referencingstyle"/>
        </w:rPr>
        <w:t>ule #, item 11, subsections 276</w:t>
      </w:r>
      <w:r>
        <w:rPr>
          <w:rStyle w:val="Referencingstyle"/>
        </w:rPr>
        <w:noBreakHyphen/>
      </w:r>
      <w:r w:rsidRPr="00FB0304">
        <w:rPr>
          <w:rStyle w:val="Referencingstyle"/>
        </w:rPr>
        <w:t>48(2), (4) and (5)]</w:t>
      </w:r>
    </w:p>
    <w:p w14:paraId="7D8B7D0D" w14:textId="2E749658" w:rsidR="001C53E9" w:rsidRDefault="0082090F" w:rsidP="00E97DB0">
      <w:pPr>
        <w:pStyle w:val="base-text-paragraph"/>
        <w:numPr>
          <w:ilvl w:val="1"/>
          <w:numId w:val="20"/>
        </w:numPr>
      </w:pPr>
      <w:r>
        <w:t xml:space="preserve">Accordingly, </w:t>
      </w:r>
      <w:r w:rsidR="008B1822" w:rsidRPr="002E438C">
        <w:t>assessable income, exempt income, non</w:t>
      </w:r>
      <w:r w:rsidR="008B1822" w:rsidRPr="002E438C">
        <w:noBreakHyphen/>
        <w:t>assessable non</w:t>
      </w:r>
      <w:r w:rsidR="008B1822" w:rsidRPr="002E438C">
        <w:noBreakHyphen/>
        <w:t>exempt income, tax losses, net capital losses and other similar amounts</w:t>
      </w:r>
      <w:r w:rsidR="006A2BBD">
        <w:t xml:space="preserve"> derived by the</w:t>
      </w:r>
      <w:r w:rsidR="008B1822" w:rsidRPr="002E438C">
        <w:t xml:space="preserve"> </w:t>
      </w:r>
      <w:r w:rsidR="008B1822">
        <w:t>ACCIV</w:t>
      </w:r>
      <w:r w:rsidR="008B1822" w:rsidRPr="002E438C">
        <w:t xml:space="preserve"> for an income year must be allocated between each class on a fair and reasonable basis.</w:t>
      </w:r>
      <w:r w:rsidR="00DC663D" w:rsidRPr="00E97DB0">
        <w:rPr>
          <w:b/>
          <w:i/>
        </w:rPr>
        <w:t xml:space="preserve"> </w:t>
      </w:r>
      <w:r w:rsidR="00C13478">
        <w:rPr>
          <w:rStyle w:val="Referencingstyle"/>
        </w:rPr>
        <w:t>[Schedule #, item 11</w:t>
      </w:r>
      <w:r w:rsidR="00114693">
        <w:rPr>
          <w:rStyle w:val="Referencingstyle"/>
        </w:rPr>
        <w:t>, subsection</w:t>
      </w:r>
      <w:r w:rsidR="008C1A4E">
        <w:rPr>
          <w:rStyle w:val="Referencingstyle"/>
        </w:rPr>
        <w:t> </w:t>
      </w:r>
      <w:r w:rsidR="00DC663D" w:rsidRPr="00E97DB0">
        <w:rPr>
          <w:rStyle w:val="Referencingstyle"/>
        </w:rPr>
        <w:t>276</w:t>
      </w:r>
      <w:r w:rsidR="008C1A4E">
        <w:rPr>
          <w:rStyle w:val="Referencingstyle"/>
        </w:rPr>
        <w:noBreakHyphen/>
      </w:r>
      <w:r w:rsidR="00DC663D" w:rsidRPr="00E97DB0">
        <w:rPr>
          <w:rStyle w:val="Referencingstyle"/>
        </w:rPr>
        <w:t>48(3)]</w:t>
      </w:r>
    </w:p>
    <w:p w14:paraId="0566C279" w14:textId="35595729" w:rsidR="00DC663D" w:rsidRPr="00E97DB0" w:rsidRDefault="00DC663D" w:rsidP="00E97DB0">
      <w:pPr>
        <w:pStyle w:val="base-text-paragraph"/>
        <w:numPr>
          <w:ilvl w:val="1"/>
          <w:numId w:val="20"/>
        </w:numPr>
      </w:pPr>
      <w:r w:rsidRPr="00E97DB0">
        <w:lastRenderedPageBreak/>
        <w:t xml:space="preserve">To the extent that assets and expenditure relate solely to a particular class of </w:t>
      </w:r>
      <w:r>
        <w:t>membership interests</w:t>
      </w:r>
      <w:r w:rsidRPr="00E97DB0">
        <w:t xml:space="preserve">, the assessable income and deductions relating to that class will need to be identified by reference to the assets supporting that class. </w:t>
      </w:r>
    </w:p>
    <w:p w14:paraId="3A21A854" w14:textId="059A417C" w:rsidR="0082090F" w:rsidRPr="00E97DB0" w:rsidRDefault="0082090F" w:rsidP="00E97DB0">
      <w:pPr>
        <w:pStyle w:val="base-text-paragraph"/>
        <w:numPr>
          <w:ilvl w:val="1"/>
          <w:numId w:val="20"/>
        </w:numPr>
      </w:pPr>
      <w:r w:rsidRPr="00E97DB0">
        <w:t xml:space="preserve">To the extent that assets and expenditure relate to more than one class of </w:t>
      </w:r>
      <w:r>
        <w:t>membership interests</w:t>
      </w:r>
      <w:r w:rsidR="00F45847">
        <w:t xml:space="preserve">, </w:t>
      </w:r>
      <w:r w:rsidRPr="00E97DB0">
        <w:t>the related assessable income and deductions must be allocated to each class on a fair and reasonable basis.</w:t>
      </w:r>
    </w:p>
    <w:p w14:paraId="6B495003" w14:textId="603820AA" w:rsidR="001C53E9" w:rsidRDefault="001C53E9" w:rsidP="00E97DB0">
      <w:pPr>
        <w:pStyle w:val="base-text-paragraph"/>
        <w:numPr>
          <w:ilvl w:val="1"/>
          <w:numId w:val="20"/>
        </w:numPr>
      </w:pPr>
      <w:r w:rsidRPr="00573CD6">
        <w:t>As outlined in the d</w:t>
      </w:r>
      <w:r w:rsidR="001A4F70">
        <w:t xml:space="preserve">raft explanatory memorandum to the </w:t>
      </w:r>
      <w:r w:rsidR="001A4F70" w:rsidRPr="00995F6C">
        <w:t xml:space="preserve">CCIV Regulatory Exposure Draft </w:t>
      </w:r>
      <w:r w:rsidR="001A4F70">
        <w:t xml:space="preserve">Bill </w:t>
      </w:r>
      <w:r w:rsidRPr="00573CD6">
        <w:t xml:space="preserve">(see ‘Division 3 </w:t>
      </w:r>
      <w:r w:rsidR="00FB0304">
        <w:t>—</w:t>
      </w:r>
      <w:r w:rsidRPr="00573CD6">
        <w:t xml:space="preserve"> Sub-funds, Subdivision</w:t>
      </w:r>
      <w:r w:rsidR="008C1A4E">
        <w:t> </w:t>
      </w:r>
      <w:r w:rsidR="006169E8">
        <w:t>B: S</w:t>
      </w:r>
      <w:r w:rsidRPr="00573CD6">
        <w:t xml:space="preserve">egregation of assets and liabilities), </w:t>
      </w:r>
      <w:r>
        <w:t>the corporate director of a CCIV is required to allocate liabilitie</w:t>
      </w:r>
      <w:r w:rsidR="00FB0304">
        <w:t>s of a CCIV to a particular sub</w:t>
      </w:r>
      <w:r w:rsidR="00FB0304">
        <w:noBreakHyphen/>
        <w:t>fund</w:t>
      </w:r>
      <w:r>
        <w:t xml:space="preserve"> </w:t>
      </w:r>
      <w:r w:rsidR="00581890">
        <w:t>on a fair and reasonable basis.</w:t>
      </w:r>
    </w:p>
    <w:p w14:paraId="768F67B7" w14:textId="54B499C7" w:rsidR="001C53E9" w:rsidRPr="00BF3D02" w:rsidRDefault="001C53E9" w:rsidP="00E97DB0">
      <w:pPr>
        <w:pStyle w:val="base-text-paragraph"/>
        <w:numPr>
          <w:ilvl w:val="1"/>
          <w:numId w:val="20"/>
        </w:numPr>
      </w:pPr>
      <w:r>
        <w:t xml:space="preserve">To the extent a sub-fund comprises multiple classes of shares, assets can be moved between classes of the same sub-fund to meet the liabilities of </w:t>
      </w:r>
      <w:r w:rsidR="001A4F70">
        <w:t xml:space="preserve">that </w:t>
      </w:r>
      <w:r>
        <w:t>sub-fund class, without giving rise to a taxing event.</w:t>
      </w:r>
    </w:p>
    <w:p w14:paraId="588CB186" w14:textId="21A0EB70" w:rsidR="003A3473" w:rsidRDefault="0041594E" w:rsidP="002E1E20">
      <w:pPr>
        <w:pStyle w:val="Heading3"/>
      </w:pPr>
      <w:r>
        <w:t>C</w:t>
      </w:r>
      <w:r w:rsidR="003A3473" w:rsidRPr="00BF3D02">
        <w:t>apital gains</w:t>
      </w:r>
      <w:r>
        <w:t xml:space="preserve"> tax </w:t>
      </w:r>
      <w:r w:rsidR="00FB0304">
        <w:t>—</w:t>
      </w:r>
      <w:r>
        <w:t xml:space="preserve"> ACCIV</w:t>
      </w:r>
    </w:p>
    <w:p w14:paraId="4F72A4A4" w14:textId="292A6A5A" w:rsidR="0041594E" w:rsidRPr="0041594E" w:rsidRDefault="00AD23A9" w:rsidP="0041594E">
      <w:pPr>
        <w:pStyle w:val="Heading4"/>
      </w:pPr>
      <w:r>
        <w:t>D</w:t>
      </w:r>
      <w:r w:rsidR="0041594E">
        <w:t>iscount capital gains calculation not applicable</w:t>
      </w:r>
    </w:p>
    <w:p w14:paraId="75F42B72" w14:textId="77777777" w:rsidR="00F24D98" w:rsidRDefault="00FB0304" w:rsidP="006A21F0">
      <w:pPr>
        <w:pStyle w:val="base-text-paragraph"/>
        <w:numPr>
          <w:ilvl w:val="1"/>
          <w:numId w:val="20"/>
        </w:numPr>
        <w:rPr>
          <w:color w:val="000000" w:themeColor="text1"/>
        </w:rPr>
      </w:pPr>
      <w:r>
        <w:rPr>
          <w:color w:val="000000" w:themeColor="text1"/>
          <w:lang w:eastAsia="en-US"/>
        </w:rPr>
        <w:t xml:space="preserve">Consistent with the operation of the CGT discount capital gains rules that apply to companies, </w:t>
      </w:r>
      <w:r w:rsidR="008C1A4E" w:rsidRPr="00FB106D">
        <w:rPr>
          <w:color w:val="000000" w:themeColor="text1"/>
          <w:lang w:eastAsia="en-US"/>
        </w:rPr>
        <w:t>ACCIVs are not entitled to discount capital gain</w:t>
      </w:r>
      <w:r>
        <w:rPr>
          <w:color w:val="000000" w:themeColor="text1"/>
          <w:lang w:eastAsia="en-US"/>
        </w:rPr>
        <w:t>s that they make when working out their taxable income</w:t>
      </w:r>
      <w:r w:rsidR="008C1A4E" w:rsidRPr="00FB106D">
        <w:rPr>
          <w:color w:val="000000" w:themeColor="text1"/>
        </w:rPr>
        <w:t xml:space="preserve">. </w:t>
      </w:r>
    </w:p>
    <w:p w14:paraId="7984D4AC" w14:textId="3333B0DF" w:rsidR="008C1A4E" w:rsidRPr="00FB106D" w:rsidRDefault="00FB0304" w:rsidP="006A21F0">
      <w:pPr>
        <w:pStyle w:val="base-text-paragraph"/>
        <w:numPr>
          <w:ilvl w:val="1"/>
          <w:numId w:val="20"/>
        </w:numPr>
        <w:rPr>
          <w:color w:val="000000" w:themeColor="text1"/>
        </w:rPr>
      </w:pPr>
      <w:r>
        <w:rPr>
          <w:color w:val="000000" w:themeColor="text1"/>
        </w:rPr>
        <w:t xml:space="preserve">However, if an ACCIV receives an amount that meets the conditions to qualify for a discount capital gain, the amount will retain that tax character as it flows through the ACCIV to its members. </w:t>
      </w:r>
      <w:r w:rsidR="00F24D98">
        <w:rPr>
          <w:color w:val="000000" w:themeColor="text1"/>
        </w:rPr>
        <w:t xml:space="preserve">If the </w:t>
      </w:r>
      <w:r>
        <w:rPr>
          <w:color w:val="000000" w:themeColor="text1"/>
        </w:rPr>
        <w:t xml:space="preserve">member who receives the amount </w:t>
      </w:r>
      <w:r w:rsidR="00F24D98">
        <w:rPr>
          <w:color w:val="000000" w:themeColor="text1"/>
        </w:rPr>
        <w:t xml:space="preserve">is entitled to </w:t>
      </w:r>
      <w:r>
        <w:rPr>
          <w:color w:val="000000" w:themeColor="text1"/>
        </w:rPr>
        <w:t>discount capital gains</w:t>
      </w:r>
      <w:r w:rsidR="00F24D98">
        <w:rPr>
          <w:color w:val="000000" w:themeColor="text1"/>
        </w:rPr>
        <w:t>, the member will be able to apply the discount to the capital gain when working out their taxable income.</w:t>
      </w:r>
    </w:p>
    <w:p w14:paraId="1BCFC184" w14:textId="59653F2F" w:rsidR="00C02CCF" w:rsidRPr="00AD23A9" w:rsidRDefault="00C02CCF" w:rsidP="00AD23A9">
      <w:pPr>
        <w:pStyle w:val="Heading4"/>
      </w:pPr>
      <w:r w:rsidRPr="00AD23A9">
        <w:t>Deemed capital account t</w:t>
      </w:r>
      <w:r w:rsidR="005140D1">
        <w:t>reatment</w:t>
      </w:r>
    </w:p>
    <w:p w14:paraId="4AE08B5C" w14:textId="4C9EB528" w:rsidR="00650F78" w:rsidRDefault="009E1C79" w:rsidP="00321450">
      <w:pPr>
        <w:pStyle w:val="base-text-paragraph"/>
        <w:numPr>
          <w:ilvl w:val="1"/>
          <w:numId w:val="20"/>
        </w:numPr>
      </w:pPr>
      <w:r>
        <w:t xml:space="preserve">The amendments allow </w:t>
      </w:r>
      <w:r w:rsidR="00BE5145">
        <w:t>AIVs including</w:t>
      </w:r>
      <w:r w:rsidR="00071F6A">
        <w:t xml:space="preserve"> </w:t>
      </w:r>
      <w:r>
        <w:t>a</w:t>
      </w:r>
      <w:r w:rsidR="00C02CCF">
        <w:t xml:space="preserve">n eligible ACCIV </w:t>
      </w:r>
      <w:r w:rsidR="00650F78">
        <w:t>to choose deemed capital account treatment for certain assets of the ACCIV</w:t>
      </w:r>
      <w:r w:rsidR="00071F6A">
        <w:t xml:space="preserve"> under new subdivision 276-JA</w:t>
      </w:r>
      <w:r w:rsidR="00650F78">
        <w:t>.</w:t>
      </w:r>
    </w:p>
    <w:p w14:paraId="73132B08" w14:textId="512948D5" w:rsidR="00903D96" w:rsidRDefault="00650F78" w:rsidP="00321450">
      <w:pPr>
        <w:pStyle w:val="base-text-paragraph"/>
        <w:numPr>
          <w:ilvl w:val="1"/>
          <w:numId w:val="20"/>
        </w:numPr>
      </w:pPr>
      <w:r>
        <w:t>T</w:t>
      </w:r>
      <w:r w:rsidR="003B335D">
        <w:t>he operator of the ACCIV</w:t>
      </w:r>
      <w:r w:rsidR="00C02CCF">
        <w:t xml:space="preserve"> </w:t>
      </w:r>
      <w:r w:rsidR="00C02CCF" w:rsidRPr="00C02CCF">
        <w:t>can elect to apply the CGT provisions to gains and losses made on the disposal of certain assets held as passive investments</w:t>
      </w:r>
      <w:r w:rsidR="009E3BB7">
        <w:t>, rather than on revenue account</w:t>
      </w:r>
      <w:r w:rsidR="00C02CCF">
        <w:t xml:space="preserve">. </w:t>
      </w:r>
      <w:r w:rsidR="00903D96">
        <w:t>The amendments broadly replicate the existing rules for MITs</w:t>
      </w:r>
      <w:r w:rsidR="0021116D">
        <w:t xml:space="preserve"> </w:t>
      </w:r>
      <w:r w:rsidR="007500F0">
        <w:t>(</w:t>
      </w:r>
      <w:r w:rsidR="0021116D">
        <w:t>under subdivision 275-B</w:t>
      </w:r>
      <w:r w:rsidR="007500F0">
        <w:t>)</w:t>
      </w:r>
      <w:r w:rsidR="0021116D">
        <w:t xml:space="preserve"> for A</w:t>
      </w:r>
      <w:r w:rsidR="00903D96">
        <w:t xml:space="preserve">IVs. </w:t>
      </w:r>
      <w:r w:rsidR="003356CA">
        <w:rPr>
          <w:rStyle w:val="Referencingstyle"/>
        </w:rPr>
        <w:t>[Schedule #, item 262</w:t>
      </w:r>
      <w:r w:rsidR="00903D96" w:rsidRPr="00BF3D02">
        <w:rPr>
          <w:rStyle w:val="Referencingstyle"/>
        </w:rPr>
        <w:t xml:space="preserve">, </w:t>
      </w:r>
      <w:r w:rsidR="00903D96">
        <w:rPr>
          <w:rStyle w:val="Referencingstyle"/>
        </w:rPr>
        <w:t>sections 276-</w:t>
      </w:r>
      <w:r w:rsidR="00071F6A">
        <w:rPr>
          <w:rStyle w:val="Referencingstyle"/>
        </w:rPr>
        <w:t>600</w:t>
      </w:r>
      <w:r w:rsidR="00903D96">
        <w:rPr>
          <w:rStyle w:val="Referencingstyle"/>
        </w:rPr>
        <w:t xml:space="preserve"> to 276-620]</w:t>
      </w:r>
    </w:p>
    <w:p w14:paraId="652A5A79" w14:textId="5A090D2C" w:rsidR="009E3BB7" w:rsidRDefault="009E3BB7" w:rsidP="007C216B">
      <w:pPr>
        <w:pStyle w:val="base-text-paragraph"/>
        <w:numPr>
          <w:ilvl w:val="1"/>
          <w:numId w:val="20"/>
        </w:numPr>
      </w:pPr>
      <w:r>
        <w:lastRenderedPageBreak/>
        <w:t>As with the AMIT rules, the election must be made in the first year that the CCIV qualifies as an ACCIV. This election is irr</w:t>
      </w:r>
      <w:r w:rsidR="006468B5">
        <w:t xml:space="preserve">evocable. If the ACCIV </w:t>
      </w:r>
      <w:r>
        <w:t xml:space="preserve">does not make a capital account treatment election, it will be taxed on revenue account. </w:t>
      </w:r>
      <w:r w:rsidR="003356CA">
        <w:rPr>
          <w:rStyle w:val="Referencingstyle"/>
        </w:rPr>
        <w:t>[Schedule #, item 262</w:t>
      </w:r>
      <w:r w:rsidR="00321450" w:rsidRPr="007C216B">
        <w:rPr>
          <w:rStyle w:val="Referencingstyle"/>
        </w:rPr>
        <w:t xml:space="preserve">, </w:t>
      </w:r>
      <w:r w:rsidR="00650F78" w:rsidRPr="007C216B">
        <w:rPr>
          <w:rStyle w:val="Referencingstyle"/>
        </w:rPr>
        <w:t>sections 276-615 and 276-620</w:t>
      </w:r>
      <w:r w:rsidR="00321450" w:rsidRPr="007C216B">
        <w:rPr>
          <w:rStyle w:val="Referencingstyle"/>
        </w:rPr>
        <w:t>]</w:t>
      </w:r>
    </w:p>
    <w:p w14:paraId="545D098C" w14:textId="30FDAE88" w:rsidR="009D4476" w:rsidRPr="00BF3D02" w:rsidRDefault="00D774F1" w:rsidP="009D4476">
      <w:pPr>
        <w:pStyle w:val="Heading4"/>
      </w:pPr>
      <w:r>
        <w:t>N</w:t>
      </w:r>
      <w:r w:rsidR="004B7818">
        <w:t>ew CGT e</w:t>
      </w:r>
      <w:r>
        <w:t xml:space="preserve">vent </w:t>
      </w:r>
      <w:r w:rsidR="00D91962">
        <w:t xml:space="preserve">M1 </w:t>
      </w:r>
      <w:r>
        <w:t xml:space="preserve">for </w:t>
      </w:r>
      <w:r w:rsidR="00A15174">
        <w:t>a</w:t>
      </w:r>
      <w:r w:rsidR="009D4476" w:rsidRPr="00BF3D02">
        <w:t>nnual cost base adjustment</w:t>
      </w:r>
      <w:r>
        <w:t>s</w:t>
      </w:r>
    </w:p>
    <w:p w14:paraId="062CF508" w14:textId="70EFBA5D" w:rsidR="00DF7767" w:rsidRDefault="00C2086D" w:rsidP="00DF7767">
      <w:pPr>
        <w:pStyle w:val="base-text-paragraph"/>
        <w:numPr>
          <w:ilvl w:val="1"/>
          <w:numId w:val="20"/>
        </w:numPr>
      </w:pPr>
      <w:r>
        <w:t xml:space="preserve">The amendments </w:t>
      </w:r>
      <w:r w:rsidR="00F24D98">
        <w:t>introduce</w:t>
      </w:r>
      <w:r w:rsidR="00452387">
        <w:t xml:space="preserve"> new </w:t>
      </w:r>
      <w:r w:rsidR="001D2894" w:rsidRPr="00A1233E">
        <w:t>CGT event M1</w:t>
      </w:r>
      <w:r w:rsidR="00452387">
        <w:t xml:space="preserve"> </w:t>
      </w:r>
      <w:r w:rsidR="00A1233E">
        <w:t xml:space="preserve">which will apply to all </w:t>
      </w:r>
      <w:r w:rsidR="00D66BB8">
        <w:t>A</w:t>
      </w:r>
      <w:r w:rsidR="00A1233E">
        <w:t>I</w:t>
      </w:r>
      <w:r w:rsidR="00D66BB8">
        <w:t>V</w:t>
      </w:r>
      <w:r w:rsidR="00A1233E">
        <w:t xml:space="preserve">s </w:t>
      </w:r>
      <w:r w:rsidR="00BE5145">
        <w:t>(</w:t>
      </w:r>
      <w:r w:rsidR="00A1233E">
        <w:t xml:space="preserve">including both </w:t>
      </w:r>
      <w:r w:rsidR="001D2894">
        <w:t>ACCIVs and AMITs</w:t>
      </w:r>
      <w:r w:rsidR="00BE5145">
        <w:t>)</w:t>
      </w:r>
      <w:r w:rsidR="00A1233E">
        <w:t xml:space="preserve"> and replaces CGT</w:t>
      </w:r>
      <w:r w:rsidR="008C1A4E">
        <w:t> </w:t>
      </w:r>
      <w:r w:rsidR="00A1233E">
        <w:t xml:space="preserve">event E10 (which currently applies to </w:t>
      </w:r>
      <w:r w:rsidR="00DF7767">
        <w:t xml:space="preserve">only </w:t>
      </w:r>
      <w:r w:rsidR="00A1233E">
        <w:t>AMITs)</w:t>
      </w:r>
      <w:r w:rsidR="001D2894">
        <w:t xml:space="preserve">. </w:t>
      </w:r>
      <w:r w:rsidR="00DF7767">
        <w:t>T</w:t>
      </w:r>
      <w:r w:rsidR="00DF7767" w:rsidRPr="00723925">
        <w:t xml:space="preserve">his reflects the policy principle that there should be an adjustment to the cost base of a </w:t>
      </w:r>
      <w:r w:rsidR="00DF7767">
        <w:t xml:space="preserve">share </w:t>
      </w:r>
      <w:r w:rsidR="00DF7767" w:rsidRPr="00723925">
        <w:t xml:space="preserve">that reflects the shift in value (upward and downward) </w:t>
      </w:r>
      <w:r w:rsidR="00DF7767">
        <w:t xml:space="preserve">of the share </w:t>
      </w:r>
      <w:r w:rsidR="00DF7767" w:rsidRPr="00723925">
        <w:t xml:space="preserve">over the income year </w:t>
      </w:r>
      <w:r w:rsidR="00DF7767">
        <w:t xml:space="preserve">due to </w:t>
      </w:r>
      <w:r w:rsidR="00DF7767" w:rsidRPr="00723925">
        <w:t>attribution and distribution.</w:t>
      </w:r>
      <w:r w:rsidR="00266371">
        <w:t xml:space="preserve"> </w:t>
      </w:r>
    </w:p>
    <w:p w14:paraId="24FCE9BC" w14:textId="770E80CE" w:rsidR="00A1233E" w:rsidRPr="00560922" w:rsidRDefault="00A1233E" w:rsidP="00723925">
      <w:pPr>
        <w:pStyle w:val="base-text-paragraph"/>
        <w:numPr>
          <w:ilvl w:val="1"/>
          <w:numId w:val="20"/>
        </w:numPr>
        <w:rPr>
          <w:rStyle w:val="Referencingstyle"/>
          <w:b w:val="0"/>
          <w:i w:val="0"/>
          <w:sz w:val="22"/>
        </w:rPr>
      </w:pPr>
      <w:r>
        <w:t>This new CGT event</w:t>
      </w:r>
      <w:r w:rsidR="001D2894">
        <w:t xml:space="preserve"> </w:t>
      </w:r>
      <w:r>
        <w:t xml:space="preserve">broadly </w:t>
      </w:r>
      <w:r w:rsidR="00452387">
        <w:t xml:space="preserve">replicates </w:t>
      </w:r>
      <w:r>
        <w:t>CGT event E10</w:t>
      </w:r>
      <w:r w:rsidR="003C00D7">
        <w:t>.</w:t>
      </w:r>
      <w:r>
        <w:t xml:space="preserve"> </w:t>
      </w:r>
      <w:r w:rsidR="003C00D7">
        <w:t>H</w:t>
      </w:r>
      <w:r>
        <w:t>owever</w:t>
      </w:r>
      <w:r w:rsidR="003C00D7">
        <w:t>,</w:t>
      </w:r>
      <w:r>
        <w:t xml:space="preserve"> </w:t>
      </w:r>
      <w:r w:rsidR="00BE5145">
        <w:t xml:space="preserve">it </w:t>
      </w:r>
      <w:r>
        <w:t>adapts the provisions to a</w:t>
      </w:r>
      <w:r w:rsidR="00B21049">
        <w:t>ccount for the new ACCIV entity</w:t>
      </w:r>
      <w:r>
        <w:t xml:space="preserve">. </w:t>
      </w:r>
      <w:r w:rsidR="00DF7767">
        <w:t>For an AMIT, CGT event M1 will apply and operate in the same way as CGT event E10 did previously</w:t>
      </w:r>
      <w:r w:rsidR="006A27CE">
        <w:t>.</w:t>
      </w:r>
      <w:r w:rsidR="00560922" w:rsidRPr="00560922">
        <w:rPr>
          <w:rStyle w:val="Referencingstyle"/>
        </w:rPr>
        <w:t xml:space="preserve"> </w:t>
      </w:r>
      <w:r w:rsidR="006556BE">
        <w:rPr>
          <w:rStyle w:val="Referencingstyle"/>
        </w:rPr>
        <w:t>[Schedule #, item 250</w:t>
      </w:r>
      <w:r w:rsidR="00560922" w:rsidRPr="00BF3D02">
        <w:rPr>
          <w:rStyle w:val="Referencingstyle"/>
        </w:rPr>
        <w:t xml:space="preserve">, </w:t>
      </w:r>
      <w:r w:rsidR="00874CBA">
        <w:rPr>
          <w:rStyle w:val="Referencingstyle"/>
        </w:rPr>
        <w:t>sections 104-600 to 104</w:t>
      </w:r>
      <w:r w:rsidR="00874CBA">
        <w:rPr>
          <w:rStyle w:val="Referencingstyle"/>
        </w:rPr>
        <w:noBreakHyphen/>
      </w:r>
      <w:r w:rsidR="00560922">
        <w:rPr>
          <w:rStyle w:val="Referencingstyle"/>
        </w:rPr>
        <w:t>635]</w:t>
      </w:r>
    </w:p>
    <w:p w14:paraId="7471D5B1" w14:textId="6030672B" w:rsidR="00C2086D" w:rsidRDefault="00452387" w:rsidP="007C216B">
      <w:pPr>
        <w:pStyle w:val="base-text-paragraph"/>
        <w:numPr>
          <w:ilvl w:val="1"/>
          <w:numId w:val="20"/>
        </w:numPr>
      </w:pPr>
      <w:r>
        <w:t xml:space="preserve">Where non-assessable payments from the ACCIV are received by members, </w:t>
      </w:r>
      <w:r w:rsidR="00195DD0" w:rsidRPr="00A1233E">
        <w:t xml:space="preserve">CGT event </w:t>
      </w:r>
      <w:r w:rsidR="00A1233E" w:rsidRPr="00A1233E">
        <w:t>M1</w:t>
      </w:r>
      <w:r w:rsidR="00195DD0">
        <w:t xml:space="preserve"> occurs at the time of the payment</w:t>
      </w:r>
      <w:r w:rsidR="00A23754">
        <w:t xml:space="preserve"> or when the entitlement to the payment arises</w:t>
      </w:r>
      <w:r w:rsidR="00195DD0">
        <w:t>. A</w:t>
      </w:r>
      <w:r>
        <w:t xml:space="preserve">djustments will </w:t>
      </w:r>
      <w:r w:rsidR="00195DD0">
        <w:t xml:space="preserve">then </w:t>
      </w:r>
      <w:r>
        <w:t xml:space="preserve">need to be made to the cost base or reduced cost base of the </w:t>
      </w:r>
      <w:r w:rsidR="006A7191">
        <w:t>shares (</w:t>
      </w:r>
      <w:r>
        <w:t>membership interest</w:t>
      </w:r>
      <w:r w:rsidR="006A7191">
        <w:t>)</w:t>
      </w:r>
      <w:r>
        <w:t>.</w:t>
      </w:r>
      <w:r w:rsidR="00C2086D">
        <w:t xml:space="preserve"> </w:t>
      </w:r>
      <w:r w:rsidR="006556BE">
        <w:rPr>
          <w:rStyle w:val="Referencingstyle"/>
        </w:rPr>
        <w:t>[Schedule #, item 250</w:t>
      </w:r>
      <w:r w:rsidR="008231EC" w:rsidRPr="00BF3D02">
        <w:rPr>
          <w:rStyle w:val="Referencingstyle"/>
        </w:rPr>
        <w:t xml:space="preserve">, </w:t>
      </w:r>
      <w:r w:rsidR="008231EC">
        <w:rPr>
          <w:rStyle w:val="Referencingstyle"/>
        </w:rPr>
        <w:t>section</w:t>
      </w:r>
      <w:r w:rsidR="00EA036E">
        <w:rPr>
          <w:rStyle w:val="Referencingstyle"/>
        </w:rPr>
        <w:t>s 104-600 and</w:t>
      </w:r>
      <w:r w:rsidR="008231EC">
        <w:rPr>
          <w:rStyle w:val="Referencingstyle"/>
        </w:rPr>
        <w:t xml:space="preserve"> 104-605]</w:t>
      </w:r>
    </w:p>
    <w:p w14:paraId="21C38488" w14:textId="6F975FF6" w:rsidR="00C2086D" w:rsidRDefault="00C2086D" w:rsidP="007C216B">
      <w:pPr>
        <w:pStyle w:val="base-text-paragraph"/>
        <w:numPr>
          <w:ilvl w:val="1"/>
          <w:numId w:val="20"/>
        </w:numPr>
      </w:pPr>
      <w:r>
        <w:t xml:space="preserve">The operator (corporate director) of the </w:t>
      </w:r>
      <w:r w:rsidR="000B6791">
        <w:t>A</w:t>
      </w:r>
      <w:r>
        <w:t xml:space="preserve">CCIV </w:t>
      </w:r>
      <w:r w:rsidR="00F24D98">
        <w:t>will calculate a ‘</w:t>
      </w:r>
      <w:r w:rsidRPr="00C2086D">
        <w:t>cost base net amount</w:t>
      </w:r>
      <w:r w:rsidR="00F24D98">
        <w:t>’</w:t>
      </w:r>
      <w:r w:rsidRPr="00C2086D">
        <w:t xml:space="preserve">, </w:t>
      </w:r>
      <w:r>
        <w:t>which will be specified in the AIV</w:t>
      </w:r>
      <w:r w:rsidRPr="00C2086D">
        <w:t>MA statement</w:t>
      </w:r>
      <w:r>
        <w:t xml:space="preserve"> provided to members. This amount will be</w:t>
      </w:r>
      <w:r w:rsidRPr="00C2086D">
        <w:t xml:space="preserve"> the balance of </w:t>
      </w:r>
      <w:r>
        <w:t>the member’s</w:t>
      </w:r>
      <w:r w:rsidRPr="00C2086D">
        <w:t xml:space="preserve"> cost base reduction amount and</w:t>
      </w:r>
      <w:r>
        <w:t xml:space="preserve"> cost base increase amount whi</w:t>
      </w:r>
      <w:r w:rsidR="006A7191">
        <w:t>ch will then be applied to the</w:t>
      </w:r>
      <w:r>
        <w:t xml:space="preserve"> cost base</w:t>
      </w:r>
      <w:r w:rsidR="006A7191">
        <w:t xml:space="preserve"> of the share</w:t>
      </w:r>
      <w:r>
        <w:t>.</w:t>
      </w:r>
      <w:r w:rsidR="008231EC" w:rsidRPr="008231EC">
        <w:rPr>
          <w:rStyle w:val="Referencingstyle"/>
        </w:rPr>
        <w:t xml:space="preserve"> </w:t>
      </w:r>
      <w:r w:rsidR="006556BE">
        <w:rPr>
          <w:rStyle w:val="Referencingstyle"/>
        </w:rPr>
        <w:t>[Schedule #, item 250</w:t>
      </w:r>
      <w:r w:rsidR="008231EC" w:rsidRPr="00BF3D02">
        <w:rPr>
          <w:rStyle w:val="Referencingstyle"/>
        </w:rPr>
        <w:t xml:space="preserve">, </w:t>
      </w:r>
      <w:r w:rsidR="008231EC">
        <w:rPr>
          <w:rStyle w:val="Referencingstyle"/>
        </w:rPr>
        <w:t>sections 104-6</w:t>
      </w:r>
      <w:r w:rsidR="00B607F2">
        <w:rPr>
          <w:rStyle w:val="Referencingstyle"/>
        </w:rPr>
        <w:t>10 to 104-620</w:t>
      </w:r>
      <w:r w:rsidR="008231EC">
        <w:rPr>
          <w:rStyle w:val="Referencingstyle"/>
        </w:rPr>
        <w:t>]</w:t>
      </w:r>
    </w:p>
    <w:p w14:paraId="01F0632E" w14:textId="6D3D668A" w:rsidR="00C2086D" w:rsidRDefault="00C2086D" w:rsidP="007C216B">
      <w:pPr>
        <w:pStyle w:val="base-text-paragraph"/>
        <w:numPr>
          <w:ilvl w:val="1"/>
          <w:numId w:val="20"/>
        </w:numPr>
      </w:pPr>
      <w:r w:rsidRPr="00C2086D">
        <w:t xml:space="preserve">Where the cost base reduction amount exceeds the cost base increase amount, the resulting cost base net amount reduces </w:t>
      </w:r>
      <w:r>
        <w:t xml:space="preserve">the </w:t>
      </w:r>
      <w:r w:rsidRPr="00C2086D">
        <w:t>cost base or reduced cost base</w:t>
      </w:r>
      <w:r w:rsidR="00F24D98">
        <w:t xml:space="preserve"> of the share</w:t>
      </w:r>
      <w:r w:rsidRPr="00C2086D">
        <w:t xml:space="preserve">. If the net amount is greater than </w:t>
      </w:r>
      <w:r>
        <w:t xml:space="preserve">the </w:t>
      </w:r>
      <w:r w:rsidRPr="00C2086D">
        <w:t xml:space="preserve">cost base, </w:t>
      </w:r>
      <w:r>
        <w:t xml:space="preserve">the cost base of the </w:t>
      </w:r>
      <w:r w:rsidR="006A7191">
        <w:t>shares</w:t>
      </w:r>
      <w:r>
        <w:t xml:space="preserve"> will be reduced to</w:t>
      </w:r>
      <w:r w:rsidRPr="00C2086D">
        <w:t xml:space="preserve"> nil</w:t>
      </w:r>
      <w:r>
        <w:t>. A</w:t>
      </w:r>
      <w:r w:rsidRPr="00C2086D">
        <w:t>ny remaining excess will give rise to a capital g</w:t>
      </w:r>
      <w:r>
        <w:t xml:space="preserve">ain as a result of </w:t>
      </w:r>
      <w:r w:rsidRPr="00430375">
        <w:t>CGT event</w:t>
      </w:r>
      <w:r w:rsidR="00430375" w:rsidRPr="00430375">
        <w:t xml:space="preserve"> M1</w:t>
      </w:r>
      <w:r w:rsidRPr="00430375">
        <w:t>.</w:t>
      </w:r>
      <w:r w:rsidR="00EA036E">
        <w:t xml:space="preserve"> Further, where the cost base of the CGT asset was nil at the start of the income year, a capital gain will arise </w:t>
      </w:r>
      <w:r w:rsidR="00BE5145">
        <w:t xml:space="preserve">which is </w:t>
      </w:r>
      <w:r w:rsidR="00EA036E">
        <w:t xml:space="preserve">equal to the amount of the AIV cost base net amount for the income year. </w:t>
      </w:r>
      <w:r w:rsidR="006556BE">
        <w:rPr>
          <w:rStyle w:val="Referencingstyle"/>
        </w:rPr>
        <w:t>[Schedule #, item 250</w:t>
      </w:r>
      <w:r w:rsidR="00B607F2" w:rsidRPr="00BF3D02">
        <w:rPr>
          <w:rStyle w:val="Referencingstyle"/>
        </w:rPr>
        <w:t xml:space="preserve">, </w:t>
      </w:r>
      <w:r w:rsidR="00B607F2">
        <w:rPr>
          <w:rStyle w:val="Referencingstyle"/>
        </w:rPr>
        <w:t>section</w:t>
      </w:r>
      <w:r w:rsidR="008C1A4E">
        <w:rPr>
          <w:rStyle w:val="Referencingstyle"/>
        </w:rPr>
        <w:t> </w:t>
      </w:r>
      <w:r w:rsidR="00B607F2">
        <w:rPr>
          <w:rStyle w:val="Referencingstyle"/>
        </w:rPr>
        <w:t>104-600]</w:t>
      </w:r>
    </w:p>
    <w:p w14:paraId="43244AAC" w14:textId="71B8E791" w:rsidR="00560922" w:rsidRDefault="00560922" w:rsidP="007C216B">
      <w:pPr>
        <w:pStyle w:val="base-text-paragraph"/>
        <w:numPr>
          <w:ilvl w:val="1"/>
          <w:numId w:val="20"/>
        </w:numPr>
      </w:pPr>
      <w:r>
        <w:t xml:space="preserve">A number of other amendments have been made </w:t>
      </w:r>
      <w:r w:rsidR="00C10400">
        <w:t>due to the</w:t>
      </w:r>
      <w:r>
        <w:t xml:space="preserve"> r</w:t>
      </w:r>
      <w:r w:rsidR="00C10400">
        <w:t>eplacement of CGT Event E10 with CGT event M1.</w:t>
      </w:r>
      <w:r w:rsidR="008C1A4E">
        <w:t xml:space="preserve"> </w:t>
      </w:r>
      <w:r w:rsidR="00A80AB9">
        <w:t>For example</w:t>
      </w:r>
      <w:r w:rsidR="009E6F4F">
        <w:t>,</w:t>
      </w:r>
      <w:r>
        <w:t xml:space="preserve"> </w:t>
      </w:r>
      <w:r w:rsidR="00F24D98">
        <w:t xml:space="preserve">to </w:t>
      </w:r>
      <w:r>
        <w:t>ensur</w:t>
      </w:r>
      <w:r w:rsidR="00F24D98">
        <w:t>e</w:t>
      </w:r>
      <w:r>
        <w:t xml:space="preserve"> that CGT events E4 and G1 do not appl</w:t>
      </w:r>
      <w:r w:rsidR="00C10400">
        <w:t xml:space="preserve">y to AIVs. </w:t>
      </w:r>
      <w:r w:rsidR="00F24D98">
        <w:rPr>
          <w:rStyle w:val="Referencingstyle"/>
        </w:rPr>
        <w:t>[Schedule #, items </w:t>
      </w:r>
      <w:r w:rsidR="006556BE">
        <w:rPr>
          <w:rStyle w:val="Referencingstyle"/>
        </w:rPr>
        <w:t>243 to 249</w:t>
      </w:r>
      <w:r w:rsidR="00C10400" w:rsidRPr="00BF3D02">
        <w:rPr>
          <w:rStyle w:val="Referencingstyle"/>
        </w:rPr>
        <w:t xml:space="preserve">, </w:t>
      </w:r>
      <w:r w:rsidR="00C10400">
        <w:rPr>
          <w:rStyle w:val="Referencingstyle"/>
        </w:rPr>
        <w:t xml:space="preserve">sections </w:t>
      </w:r>
      <w:r w:rsidR="008C1A4E">
        <w:rPr>
          <w:rStyle w:val="Referencingstyle"/>
        </w:rPr>
        <w:t xml:space="preserve">70-10, </w:t>
      </w:r>
      <w:r w:rsidR="00C10400">
        <w:rPr>
          <w:rStyle w:val="Referencingstyle"/>
        </w:rPr>
        <w:t>104-5</w:t>
      </w:r>
      <w:r w:rsidR="008C1A4E">
        <w:rPr>
          <w:rStyle w:val="Referencingstyle"/>
        </w:rPr>
        <w:t>, 104-70,</w:t>
      </w:r>
      <w:r w:rsidR="00C10400">
        <w:rPr>
          <w:rStyle w:val="Referencingstyle"/>
        </w:rPr>
        <w:t xml:space="preserve"> 104-107A to 104-107H, and 104-135]</w:t>
      </w:r>
    </w:p>
    <w:p w14:paraId="76A2B4E8" w14:textId="5669D263" w:rsidR="00C5792A" w:rsidRPr="00BF3D02" w:rsidRDefault="000F256F" w:rsidP="00430E8C">
      <w:pPr>
        <w:pStyle w:val="Heading3"/>
      </w:pPr>
      <w:r w:rsidRPr="00BF3D02">
        <w:lastRenderedPageBreak/>
        <w:t>T</w:t>
      </w:r>
      <w:r w:rsidR="00905081" w:rsidRPr="00BF3D02">
        <w:t>ax liabilit</w:t>
      </w:r>
      <w:r w:rsidR="00674794">
        <w:t>ies relating to A</w:t>
      </w:r>
      <w:r w:rsidR="00D83E28">
        <w:t>CCIV</w:t>
      </w:r>
      <w:r w:rsidR="00083F41" w:rsidRPr="00BF3D02">
        <w:t>s</w:t>
      </w:r>
    </w:p>
    <w:p w14:paraId="01EAB317" w14:textId="7C8157DB" w:rsidR="000F256F" w:rsidRPr="00BF3D02" w:rsidRDefault="000F256F" w:rsidP="00105A4B">
      <w:pPr>
        <w:pStyle w:val="Heading4"/>
      </w:pPr>
      <w:r w:rsidRPr="00BF3D02">
        <w:t>Withholding tax</w:t>
      </w:r>
    </w:p>
    <w:p w14:paraId="311105F6" w14:textId="77777777" w:rsidR="00F24D98" w:rsidRDefault="0038204D" w:rsidP="007C216B">
      <w:pPr>
        <w:pStyle w:val="base-text-paragraph"/>
        <w:numPr>
          <w:ilvl w:val="1"/>
          <w:numId w:val="20"/>
        </w:numPr>
      </w:pPr>
      <w:r w:rsidRPr="0038204D">
        <w:t>The amendments expand the provisions that apply to withholding MITs by inserting the concept of a ‘withholding AIV’</w:t>
      </w:r>
      <w:r w:rsidR="00F24D98">
        <w:t xml:space="preserve">. A </w:t>
      </w:r>
      <w:r w:rsidR="00F24D98" w:rsidRPr="0038204D">
        <w:t>withholding AIV</w:t>
      </w:r>
      <w:r w:rsidRPr="0038204D">
        <w:t xml:space="preserve"> is either</w:t>
      </w:r>
      <w:r w:rsidR="00F24D98">
        <w:t>:</w:t>
      </w:r>
    </w:p>
    <w:p w14:paraId="1B82C732" w14:textId="728C114F" w:rsidR="00F24D98" w:rsidRDefault="0038204D" w:rsidP="00F24D98">
      <w:pPr>
        <w:pStyle w:val="dotpoint"/>
      </w:pPr>
      <w:r w:rsidRPr="0038204D">
        <w:t>an AMIT that is a withholding MIT</w:t>
      </w:r>
      <w:r w:rsidR="00F24D98">
        <w:t>; or</w:t>
      </w:r>
    </w:p>
    <w:p w14:paraId="2B76B7CE" w14:textId="68E9F5EA" w:rsidR="00F24D98" w:rsidRPr="00F24D98" w:rsidRDefault="0038204D" w:rsidP="00F24D98">
      <w:pPr>
        <w:pStyle w:val="dotpoint"/>
      </w:pPr>
      <w:r w:rsidRPr="0038204D">
        <w:t>a withholding ACCIV</w:t>
      </w:r>
      <w:r w:rsidRPr="00E851CE">
        <w:t>.</w:t>
      </w:r>
      <w:r w:rsidRPr="007C216B">
        <w:rPr>
          <w:b/>
          <w:i/>
        </w:rPr>
        <w:t xml:space="preserve"> </w:t>
      </w:r>
    </w:p>
    <w:p w14:paraId="4D89AC66" w14:textId="04761782" w:rsidR="0038204D" w:rsidRPr="00F24D98" w:rsidRDefault="0038204D" w:rsidP="00F24D98">
      <w:pPr>
        <w:pStyle w:val="base-text-paragraphnonumbers"/>
        <w:rPr>
          <w:rStyle w:val="Referencingstyle"/>
        </w:rPr>
      </w:pPr>
      <w:r w:rsidRPr="00F24D98">
        <w:rPr>
          <w:rStyle w:val="Referencingstyle"/>
        </w:rPr>
        <w:t>[Schedu</w:t>
      </w:r>
      <w:r w:rsidR="002E7056" w:rsidRPr="00F24D98">
        <w:rPr>
          <w:rStyle w:val="Referencingstyle"/>
        </w:rPr>
        <w:t>le #, item 389</w:t>
      </w:r>
      <w:r w:rsidR="000D79D8" w:rsidRPr="00F24D98">
        <w:rPr>
          <w:rStyle w:val="Referencingstyle"/>
        </w:rPr>
        <w:t>, section 12A-207 in</w:t>
      </w:r>
      <w:r w:rsidRPr="00F24D98">
        <w:rPr>
          <w:rStyle w:val="Referencingstyle"/>
        </w:rPr>
        <w:t xml:space="preserve"> Schedule 1 to the TAA 1953]</w:t>
      </w:r>
    </w:p>
    <w:p w14:paraId="31EEBF0B" w14:textId="2DC842D5" w:rsidR="0038204D" w:rsidRPr="007C216B" w:rsidRDefault="0038204D" w:rsidP="007C216B">
      <w:pPr>
        <w:pStyle w:val="base-text-paragraph"/>
        <w:numPr>
          <w:ilvl w:val="1"/>
          <w:numId w:val="20"/>
        </w:numPr>
      </w:pPr>
      <w:r w:rsidRPr="007C216B">
        <w:t>The amendments apply the withholding provisions under the AMIT attribution model to wit</w:t>
      </w:r>
      <w:r w:rsidR="00BE5145">
        <w:t>hholding AIVs, by inserting new terminology. F</w:t>
      </w:r>
      <w:r w:rsidRPr="007C216B">
        <w:t>or example ‘AIV DIR</w:t>
      </w:r>
      <w:r w:rsidR="009334C7" w:rsidRPr="007C216B">
        <w:t xml:space="preserve"> </w:t>
      </w:r>
      <w:r w:rsidRPr="007C216B">
        <w:t xml:space="preserve">payment’ </w:t>
      </w:r>
      <w:r w:rsidR="00BE5145">
        <w:t xml:space="preserve">replaces </w:t>
      </w:r>
      <w:r w:rsidRPr="007C216B">
        <w:t xml:space="preserve">‘AMIT DIR payment’ and ‘AIVMA statement’ </w:t>
      </w:r>
      <w:r w:rsidR="00BE5145">
        <w:t>replaces</w:t>
      </w:r>
      <w:r w:rsidRPr="007C216B">
        <w:t xml:space="preserve"> ‘AMMA statement’</w:t>
      </w:r>
      <w:r w:rsidR="00BE5145">
        <w:t>. Further</w:t>
      </w:r>
      <w:r w:rsidR="009E6F4F">
        <w:t>,</w:t>
      </w:r>
      <w:r w:rsidR="00BE5145">
        <w:t xml:space="preserve"> the amendments make</w:t>
      </w:r>
      <w:r w:rsidRPr="007C216B">
        <w:t xml:space="preserve"> consequential adjustments </w:t>
      </w:r>
      <w:r w:rsidR="00BE5145">
        <w:t>(</w:t>
      </w:r>
      <w:r w:rsidRPr="007C216B">
        <w:t>as required</w:t>
      </w:r>
      <w:r w:rsidR="00BE5145">
        <w:t>)</w:t>
      </w:r>
      <w:r w:rsidRPr="007C216B">
        <w:t xml:space="preserve"> to broaden the provisions to apply to withholding AIVs. </w:t>
      </w:r>
      <w:r w:rsidR="00D96E51">
        <w:rPr>
          <w:b/>
          <w:i/>
          <w:sz w:val="18"/>
          <w:szCs w:val="18"/>
        </w:rPr>
        <w:t>[Schedule #, items 263 to 412</w:t>
      </w:r>
      <w:r w:rsidR="00BE4FF6">
        <w:rPr>
          <w:b/>
          <w:i/>
          <w:sz w:val="18"/>
          <w:szCs w:val="18"/>
        </w:rPr>
        <w:t xml:space="preserve">, subsection 128AF(1A) of the ITAA 1936, sections 840-800 to 840-815 </w:t>
      </w:r>
      <w:r w:rsidR="000D79D8">
        <w:rPr>
          <w:b/>
          <w:i/>
          <w:sz w:val="18"/>
          <w:szCs w:val="18"/>
        </w:rPr>
        <w:t xml:space="preserve">of the ITAA 1997, and </w:t>
      </w:r>
      <w:r w:rsidR="00BE4FF6">
        <w:rPr>
          <w:b/>
          <w:i/>
          <w:sz w:val="18"/>
          <w:szCs w:val="18"/>
        </w:rPr>
        <w:t xml:space="preserve">sections 12-375 to </w:t>
      </w:r>
      <w:r w:rsidR="000D79D8">
        <w:rPr>
          <w:b/>
          <w:i/>
          <w:sz w:val="18"/>
          <w:szCs w:val="18"/>
        </w:rPr>
        <w:t>12-395 and 12A-1 to 12A-220 in</w:t>
      </w:r>
      <w:r w:rsidR="00594CAC">
        <w:rPr>
          <w:b/>
          <w:i/>
          <w:sz w:val="18"/>
          <w:szCs w:val="18"/>
        </w:rPr>
        <w:t xml:space="preserve"> Schedule 1 to the TAA 1953]</w:t>
      </w:r>
    </w:p>
    <w:p w14:paraId="529466CF" w14:textId="2863C146" w:rsidR="0038204D" w:rsidRPr="007C216B" w:rsidRDefault="0038204D" w:rsidP="007C216B">
      <w:pPr>
        <w:pStyle w:val="base-text-paragraph"/>
        <w:numPr>
          <w:ilvl w:val="1"/>
          <w:numId w:val="20"/>
        </w:numPr>
      </w:pPr>
      <w:r w:rsidRPr="00BF3D02">
        <w:t xml:space="preserve">The definition of a ‘withholding ACCIV’ mirrors the definition of a withholding MIT, with appropriate adjustments for the ACCIV structure. That is, the test relating to the investment management activities that are carried out in Australia applies in relation to </w:t>
      </w:r>
      <w:r w:rsidRPr="007C216B">
        <w:t>each sub</w:t>
      </w:r>
      <w:r w:rsidRPr="007C216B">
        <w:noBreakHyphen/>
        <w:t>fund</w:t>
      </w:r>
      <w:r w:rsidRPr="00BF3D02">
        <w:t xml:space="preserve"> of the ACCIV. Each sub</w:t>
      </w:r>
      <w:r w:rsidRPr="00BF3D02">
        <w:noBreakHyphen/>
        <w:t xml:space="preserve">fund must satisfy this test in order for the ACCIV to be a withholding ACCIV. </w:t>
      </w:r>
      <w:r w:rsidRPr="007C216B">
        <w:rPr>
          <w:b/>
          <w:i/>
          <w:sz w:val="18"/>
          <w:szCs w:val="18"/>
        </w:rPr>
        <w:t>[Sched</w:t>
      </w:r>
      <w:r w:rsidR="00EC6333">
        <w:rPr>
          <w:b/>
          <w:i/>
          <w:sz w:val="18"/>
          <w:szCs w:val="18"/>
        </w:rPr>
        <w:t>ule #, item 291</w:t>
      </w:r>
      <w:r w:rsidR="006D5C5C">
        <w:rPr>
          <w:b/>
          <w:i/>
          <w:sz w:val="18"/>
          <w:szCs w:val="18"/>
        </w:rPr>
        <w:t>, section 12</w:t>
      </w:r>
      <w:r w:rsidR="006D5C5C">
        <w:rPr>
          <w:b/>
          <w:i/>
          <w:sz w:val="18"/>
          <w:szCs w:val="18"/>
        </w:rPr>
        <w:noBreakHyphen/>
        <w:t>384 in</w:t>
      </w:r>
      <w:r w:rsidRPr="007C216B">
        <w:rPr>
          <w:b/>
          <w:i/>
          <w:sz w:val="18"/>
          <w:szCs w:val="18"/>
        </w:rPr>
        <w:t xml:space="preserve"> Schedule 1 to the TAA</w:t>
      </w:r>
      <w:r w:rsidR="00DD6921">
        <w:rPr>
          <w:b/>
          <w:i/>
          <w:sz w:val="18"/>
          <w:szCs w:val="18"/>
        </w:rPr>
        <w:t> </w:t>
      </w:r>
      <w:r w:rsidRPr="007C216B">
        <w:rPr>
          <w:b/>
          <w:i/>
          <w:sz w:val="18"/>
          <w:szCs w:val="18"/>
        </w:rPr>
        <w:t>1953]</w:t>
      </w:r>
    </w:p>
    <w:p w14:paraId="009CD77C" w14:textId="77777777" w:rsidR="0038204D" w:rsidRDefault="0038204D" w:rsidP="007C216B">
      <w:pPr>
        <w:pStyle w:val="base-text-paragraph"/>
        <w:numPr>
          <w:ilvl w:val="1"/>
          <w:numId w:val="20"/>
        </w:numPr>
      </w:pPr>
      <w:r w:rsidRPr="00BF3D02">
        <w:t xml:space="preserve">The circumstances in which a withholding tax liability arises for </w:t>
      </w:r>
      <w:r>
        <w:t xml:space="preserve">a withholding ACCIV and a member (and a custodian, as applicable) are the same as the existing circumstances that apply to </w:t>
      </w:r>
      <w:r w:rsidRPr="00BF3D02">
        <w:t>the trustee of a withholding AMIT and a member (and a custodian, as applicable)</w:t>
      </w:r>
      <w:r>
        <w:t xml:space="preserve">. These circumstances include: </w:t>
      </w:r>
    </w:p>
    <w:p w14:paraId="228375C4" w14:textId="465B20DE" w:rsidR="0038204D" w:rsidRPr="00BF3D02" w:rsidRDefault="0038204D" w:rsidP="0038204D">
      <w:pPr>
        <w:pStyle w:val="dotpoint"/>
      </w:pPr>
      <w:r w:rsidRPr="00BF3D02">
        <w:t>a payment of Australian sourced income (other than dividends, interest and royalties) if the payment is made to an entity whose address, or place for payment, is outside Au</w:t>
      </w:r>
      <w:r w:rsidR="006D5C5C">
        <w:t>stralia (see Subdivision 12</w:t>
      </w:r>
      <w:r w:rsidR="006D5C5C">
        <w:noBreakHyphen/>
        <w:t>H in</w:t>
      </w:r>
      <w:r w:rsidRPr="00BF3D02">
        <w:t xml:space="preserve"> Schedule 1 to the TAA</w:t>
      </w:r>
      <w:r w:rsidR="00DD6921">
        <w:t> </w:t>
      </w:r>
      <w:r w:rsidRPr="00BF3D02">
        <w:t>1953 and Subdivision 840</w:t>
      </w:r>
      <w:r w:rsidRPr="00BF3D02">
        <w:noBreakHyphen/>
        <w:t>M of the ITAA 1997);</w:t>
      </w:r>
    </w:p>
    <w:p w14:paraId="5E4AC9D3" w14:textId="58B8C045" w:rsidR="0038204D" w:rsidRPr="00BF3D02" w:rsidRDefault="0038204D" w:rsidP="0038204D">
      <w:pPr>
        <w:pStyle w:val="dotpoint"/>
      </w:pPr>
      <w:r w:rsidRPr="00BF3D02">
        <w:t>a payment relating to dividends, interest or royalty made to a recipient who</w:t>
      </w:r>
      <w:r w:rsidR="00C4327A">
        <w:t>se</w:t>
      </w:r>
      <w:r w:rsidRPr="00BF3D02">
        <w:t xml:space="preserve"> address, or place for payment, is outside Au</w:t>
      </w:r>
      <w:r w:rsidR="006D5C5C">
        <w:t>stralia (see Subdivision 12</w:t>
      </w:r>
      <w:r w:rsidR="006D5C5C">
        <w:noBreakHyphen/>
        <w:t>F in</w:t>
      </w:r>
      <w:r w:rsidRPr="00BF3D02">
        <w:t xml:space="preserve"> Schedule 1 to the TAA</w:t>
      </w:r>
      <w:r w:rsidR="00DD6921">
        <w:t> </w:t>
      </w:r>
      <w:r w:rsidRPr="00BF3D02">
        <w:t>1953);</w:t>
      </w:r>
    </w:p>
    <w:p w14:paraId="52766EA4" w14:textId="4432B544" w:rsidR="0038204D" w:rsidRPr="00BF3D02" w:rsidRDefault="0038204D" w:rsidP="0038204D">
      <w:pPr>
        <w:pStyle w:val="dotpoint"/>
      </w:pPr>
      <w:r w:rsidRPr="00BF3D02">
        <w:lastRenderedPageBreak/>
        <w:t>a payment deemed to be made by giving a member an AIVMA sta</w:t>
      </w:r>
      <w:r w:rsidR="006D5C5C">
        <w:t>tement (see Subdivision 12A</w:t>
      </w:r>
      <w:r w:rsidR="006D5C5C">
        <w:noBreakHyphen/>
        <w:t>C in</w:t>
      </w:r>
      <w:r w:rsidRPr="00BF3D02">
        <w:t xml:space="preserve"> Schedule 1 to the TAA 1953).</w:t>
      </w:r>
    </w:p>
    <w:p w14:paraId="6DDB7C1A" w14:textId="6FDF3145" w:rsidR="0038204D" w:rsidRPr="00BF3D02" w:rsidRDefault="0038204D" w:rsidP="007C216B">
      <w:pPr>
        <w:pStyle w:val="base-text-paragraph"/>
        <w:numPr>
          <w:ilvl w:val="1"/>
          <w:numId w:val="20"/>
        </w:numPr>
      </w:pPr>
      <w:r w:rsidRPr="00BF3D02">
        <w:t xml:space="preserve">The withholding provisions also continue to apply to a withholding MIT that is </w:t>
      </w:r>
      <w:r w:rsidRPr="007C216B">
        <w:t>not</w:t>
      </w:r>
      <w:r w:rsidRPr="00BF3D02">
        <w:t xml:space="preserve"> an AMIT to ensure that such a MIT continues t</w:t>
      </w:r>
      <w:r w:rsidR="0026150D">
        <w:t>o have withholding obligations.</w:t>
      </w:r>
    </w:p>
    <w:p w14:paraId="6EAD6F9A" w14:textId="4A25BF91" w:rsidR="0094337E" w:rsidRPr="00BF3D02" w:rsidRDefault="00C5792A" w:rsidP="00105A4B">
      <w:pPr>
        <w:pStyle w:val="Heading4"/>
      </w:pPr>
      <w:r w:rsidRPr="00BF3D02">
        <w:t>Income t</w:t>
      </w:r>
      <w:r w:rsidR="0094337E" w:rsidRPr="00BF3D02">
        <w:t>ax</w:t>
      </w:r>
    </w:p>
    <w:p w14:paraId="7B052B4D" w14:textId="0E148F20" w:rsidR="00DB1C86" w:rsidRDefault="00620A6D" w:rsidP="007C216B">
      <w:pPr>
        <w:pStyle w:val="base-text-paragraph"/>
        <w:numPr>
          <w:ilvl w:val="1"/>
          <w:numId w:val="20"/>
        </w:numPr>
      </w:pPr>
      <w:r w:rsidRPr="00BF3D02">
        <w:t xml:space="preserve">Under the </w:t>
      </w:r>
      <w:r w:rsidR="00DB1C86">
        <w:t xml:space="preserve">ACCIV attribution model, the ACCIV will be liable to tax: </w:t>
      </w:r>
    </w:p>
    <w:p w14:paraId="112CC14C" w14:textId="77777777" w:rsidR="0028358F" w:rsidRPr="00BF3D02" w:rsidRDefault="00620A6D" w:rsidP="0028358F">
      <w:pPr>
        <w:pStyle w:val="dotpoint"/>
      </w:pPr>
      <w:r w:rsidRPr="00BF3D02">
        <w:t xml:space="preserve">if a discrepancy occurs in attributing </w:t>
      </w:r>
      <w:r w:rsidR="0058130E" w:rsidRPr="00BF3D02">
        <w:t xml:space="preserve">component </w:t>
      </w:r>
      <w:r w:rsidRPr="00BF3D02">
        <w:t xml:space="preserve">amounts </w:t>
      </w:r>
      <w:r w:rsidR="0058130E" w:rsidRPr="00BF3D02">
        <w:t>to</w:t>
      </w:r>
      <w:r w:rsidRPr="00BF3D02">
        <w:t xml:space="preserve"> members in som</w:t>
      </w:r>
      <w:r w:rsidR="0028358F" w:rsidRPr="00BF3D02">
        <w:t>e circumstances;</w:t>
      </w:r>
    </w:p>
    <w:p w14:paraId="6D872E43" w14:textId="197F92EB" w:rsidR="0028358F" w:rsidRPr="00BF3D02" w:rsidRDefault="00572831" w:rsidP="0028358F">
      <w:pPr>
        <w:pStyle w:val="dotpoint"/>
      </w:pPr>
      <w:r w:rsidRPr="00BF3D02">
        <w:t xml:space="preserve">on </w:t>
      </w:r>
      <w:r w:rsidR="0028358F" w:rsidRPr="00BF3D02">
        <w:t>amounts attributed to a foreign resident member in some circumstances; and</w:t>
      </w:r>
    </w:p>
    <w:p w14:paraId="7C5A1D98" w14:textId="4E33F585" w:rsidR="0028358F" w:rsidRPr="00BF3D02" w:rsidRDefault="00572831" w:rsidP="0028358F">
      <w:pPr>
        <w:pStyle w:val="dotpoint"/>
      </w:pPr>
      <w:r w:rsidRPr="00BF3D02">
        <w:t xml:space="preserve">on </w:t>
      </w:r>
      <w:r w:rsidR="0028358F" w:rsidRPr="00BF3D02">
        <w:t>non</w:t>
      </w:r>
      <w:r w:rsidR="0028358F" w:rsidRPr="00BF3D02">
        <w:noBreakHyphen/>
        <w:t>arm’s length income.</w:t>
      </w:r>
    </w:p>
    <w:p w14:paraId="0D045DAB" w14:textId="062ECFB4" w:rsidR="00572831" w:rsidRPr="00BF3D02" w:rsidRDefault="00572831" w:rsidP="00B637FF">
      <w:pPr>
        <w:pStyle w:val="Heading5"/>
      </w:pPr>
      <w:r w:rsidRPr="00BF3D02">
        <w:t xml:space="preserve">Discrepancy </w:t>
      </w:r>
      <w:r w:rsidR="00F817A0" w:rsidRPr="00BF3D02">
        <w:t>in component attribution</w:t>
      </w:r>
    </w:p>
    <w:p w14:paraId="6FEEA380" w14:textId="7BC3CE6A" w:rsidR="00CF52D0" w:rsidRDefault="0096070B" w:rsidP="00CF52D0">
      <w:pPr>
        <w:pStyle w:val="base-text-paragraph"/>
        <w:numPr>
          <w:ilvl w:val="1"/>
          <w:numId w:val="20"/>
        </w:numPr>
      </w:pPr>
      <w:r w:rsidRPr="00A90C5E">
        <w:t xml:space="preserve">The amendments adjust the current provisions </w:t>
      </w:r>
      <w:r>
        <w:t xml:space="preserve">which apply to AMITs and ensure that the same </w:t>
      </w:r>
      <w:r w:rsidRPr="00A90C5E">
        <w:t xml:space="preserve">principles and outcomes </w:t>
      </w:r>
      <w:r>
        <w:t>apply for AIVs.</w:t>
      </w:r>
      <w:r w:rsidR="00CF52D0" w:rsidRPr="00CF52D0">
        <w:t xml:space="preserve"> </w:t>
      </w:r>
      <w:r w:rsidR="00EC6333">
        <w:rPr>
          <w:rStyle w:val="Referencingstyle"/>
        </w:rPr>
        <w:t>[Schedule #, items 182 to 219</w:t>
      </w:r>
      <w:r w:rsidR="00F24D98">
        <w:rPr>
          <w:rStyle w:val="Referencingstyle"/>
        </w:rPr>
        <w:t>, sections 276</w:t>
      </w:r>
      <w:r w:rsidR="00F24D98">
        <w:rPr>
          <w:rStyle w:val="Referencingstyle"/>
        </w:rPr>
        <w:noBreakHyphen/>
      </w:r>
      <w:r w:rsidR="00CF52D0" w:rsidRPr="00CF52D0">
        <w:rPr>
          <w:rStyle w:val="Referencingstyle"/>
        </w:rPr>
        <w:t>400 to 276-425]</w:t>
      </w:r>
    </w:p>
    <w:p w14:paraId="154F7458" w14:textId="00F9F6D8" w:rsidR="0096070B" w:rsidRDefault="0096070B" w:rsidP="0096070B">
      <w:pPr>
        <w:pStyle w:val="base-text-paragraph"/>
        <w:numPr>
          <w:ilvl w:val="1"/>
          <w:numId w:val="20"/>
        </w:numPr>
      </w:pPr>
      <w:r>
        <w:t xml:space="preserve">That is: </w:t>
      </w:r>
    </w:p>
    <w:p w14:paraId="242F1A54" w14:textId="77777777" w:rsidR="0096070B" w:rsidRDefault="0096070B" w:rsidP="0096070B">
      <w:pPr>
        <w:pStyle w:val="dotpoint"/>
      </w:pPr>
      <w:r w:rsidRPr="00A90C5E">
        <w:t xml:space="preserve">if the AIV is an ACCIV, </w:t>
      </w:r>
      <w:r>
        <w:t>the ACCIV is liable to tax; and</w:t>
      </w:r>
    </w:p>
    <w:p w14:paraId="3E11D17F" w14:textId="77777777" w:rsidR="0096070B" w:rsidRDefault="0096070B" w:rsidP="0096070B">
      <w:pPr>
        <w:pStyle w:val="dotpoint"/>
      </w:pPr>
      <w:r w:rsidRPr="00A90C5E">
        <w:t xml:space="preserve">if the AIV is an AMIT, the trustee of the AMIT is liable to tax. </w:t>
      </w:r>
    </w:p>
    <w:p w14:paraId="6EC39DD6" w14:textId="6D6A03A2" w:rsidR="0096070B" w:rsidRDefault="0096070B" w:rsidP="0096070B">
      <w:pPr>
        <w:pStyle w:val="base-text-paragraph"/>
        <w:numPr>
          <w:ilvl w:val="1"/>
          <w:numId w:val="20"/>
        </w:numPr>
      </w:pPr>
      <w:r w:rsidRPr="00BF3D02">
        <w:t xml:space="preserve">It is appropriate to tax the </w:t>
      </w:r>
      <w:r>
        <w:t xml:space="preserve">ACCIV </w:t>
      </w:r>
      <w:r w:rsidRPr="00BF3D02">
        <w:t xml:space="preserve">in these circumstances so that taxable income derived by the </w:t>
      </w:r>
      <w:r>
        <w:t>ACCIV</w:t>
      </w:r>
      <w:r w:rsidRPr="00BF3D02">
        <w:t xml:space="preserve"> for an income year does not escape taxation </w:t>
      </w:r>
      <w:r w:rsidR="00F24D98">
        <w:t>—</w:t>
      </w:r>
      <w:r w:rsidRPr="00BF3D02">
        <w:t xml:space="preserve"> that is, where the income is not attributed to members and taxed at the member level, it should </w:t>
      </w:r>
      <w:r w:rsidR="00EB5628">
        <w:t xml:space="preserve">generally </w:t>
      </w:r>
      <w:r w:rsidRPr="00BF3D02">
        <w:t xml:space="preserve">be taxed at the </w:t>
      </w:r>
      <w:r w:rsidR="00C4327A">
        <w:t>A</w:t>
      </w:r>
      <w:r>
        <w:t>CCIV</w:t>
      </w:r>
      <w:r w:rsidRPr="00BF3D02">
        <w:t xml:space="preserve"> level. </w:t>
      </w:r>
    </w:p>
    <w:p w14:paraId="4C9ECBD4" w14:textId="5BEBCD5C" w:rsidR="0096070B" w:rsidRPr="00BF3D02" w:rsidRDefault="0096070B" w:rsidP="0096070B">
      <w:pPr>
        <w:pStyle w:val="base-text-paragraph"/>
        <w:numPr>
          <w:ilvl w:val="1"/>
          <w:numId w:val="20"/>
        </w:numPr>
      </w:pPr>
      <w:r w:rsidRPr="00BF3D02">
        <w:t>The Commissioner may also remit</w:t>
      </w:r>
      <w:r w:rsidR="007500F0">
        <w:t>,</w:t>
      </w:r>
      <w:r w:rsidRPr="00BF3D02">
        <w:t xml:space="preserve"> in whole or </w:t>
      </w:r>
      <w:r w:rsidR="009E6F4F">
        <w:t>in</w:t>
      </w:r>
      <w:r w:rsidR="009E6F4F" w:rsidRPr="00BF3D02">
        <w:t xml:space="preserve"> </w:t>
      </w:r>
      <w:r w:rsidRPr="00BF3D02">
        <w:t>part</w:t>
      </w:r>
      <w:r w:rsidR="007500F0">
        <w:t>,</w:t>
      </w:r>
      <w:r w:rsidRPr="00BF3D02">
        <w:t xml:space="preserve"> an inc</w:t>
      </w:r>
      <w:r w:rsidR="00450418">
        <w:t xml:space="preserve">ome tax liability that arises from </w:t>
      </w:r>
      <w:r w:rsidRPr="00BF3D02">
        <w:t>these types of discrepancies, if the Commissioner is satisfied that the remission would not result in a detriment to the revenue</w:t>
      </w:r>
      <w:r>
        <w:t xml:space="preserve"> (see section 276-430)</w:t>
      </w:r>
      <w:r w:rsidRPr="00BF3D02">
        <w:t>.</w:t>
      </w:r>
    </w:p>
    <w:p w14:paraId="595A8898" w14:textId="2BB37747" w:rsidR="00F817A0" w:rsidRPr="00BF3D02" w:rsidRDefault="00F817A0" w:rsidP="007C216B">
      <w:pPr>
        <w:pStyle w:val="base-text-paragraph"/>
        <w:numPr>
          <w:ilvl w:val="1"/>
          <w:numId w:val="20"/>
        </w:numPr>
      </w:pPr>
      <w:r w:rsidRPr="00BF3D02">
        <w:t xml:space="preserve">Under the </w:t>
      </w:r>
      <w:r w:rsidR="00A90C5E">
        <w:t>ACCIV</w:t>
      </w:r>
      <w:r w:rsidRPr="00BF3D02">
        <w:t xml:space="preserve"> attribution model, the </w:t>
      </w:r>
      <w:r w:rsidR="00A90C5E">
        <w:t xml:space="preserve">ACCIV </w:t>
      </w:r>
      <w:r w:rsidRPr="00BF3D02">
        <w:t>may be liable to income tax where:</w:t>
      </w:r>
    </w:p>
    <w:p w14:paraId="713BB3EF" w14:textId="2443DA85" w:rsidR="00F817A0" w:rsidRPr="00BF3D02" w:rsidRDefault="00F817A0" w:rsidP="00F817A0">
      <w:pPr>
        <w:pStyle w:val="dotpoint"/>
      </w:pPr>
      <w:r w:rsidRPr="00BF3D02">
        <w:lastRenderedPageBreak/>
        <w:t>a shortfall arises in the determined member component of a particular character that relates to assessable income;</w:t>
      </w:r>
    </w:p>
    <w:p w14:paraId="5A22D597" w14:textId="77777777" w:rsidR="00F817A0" w:rsidRPr="00BF3D02" w:rsidRDefault="00F817A0" w:rsidP="00F817A0">
      <w:pPr>
        <w:pStyle w:val="dotpoint"/>
      </w:pPr>
      <w:r w:rsidRPr="00BF3D02">
        <w:t>an excess arises in the determined member component of a particular character that relates to a tax offset;</w:t>
      </w:r>
    </w:p>
    <w:p w14:paraId="3FEE1549" w14:textId="126C4AB3" w:rsidR="00F817A0" w:rsidRPr="00BF3D02" w:rsidRDefault="00F817A0" w:rsidP="00F817A0">
      <w:pPr>
        <w:pStyle w:val="dotpoint"/>
      </w:pPr>
      <w:r w:rsidRPr="00BF3D02">
        <w:t>the determined member component of a particular character that relate</w:t>
      </w:r>
      <w:r w:rsidR="00405150">
        <w:t>s</w:t>
      </w:r>
      <w:r w:rsidRPr="00BF3D02">
        <w:t xml:space="preserve"> to assessable income is less than the determined </w:t>
      </w:r>
      <w:r w:rsidR="00A240AE">
        <w:t>AIV</w:t>
      </w:r>
      <w:r w:rsidRPr="00BF3D02">
        <w:t xml:space="preserve"> component;</w:t>
      </w:r>
    </w:p>
    <w:p w14:paraId="60747248" w14:textId="7053C0D2" w:rsidR="00F817A0" w:rsidRPr="00BF3D02" w:rsidRDefault="00450418" w:rsidP="00F817A0">
      <w:pPr>
        <w:pStyle w:val="dotpoint"/>
      </w:pPr>
      <w:r>
        <w:t>‘</w:t>
      </w:r>
      <w:r w:rsidR="00F817A0" w:rsidRPr="00BF3D02">
        <w:t>unders</w:t>
      </w:r>
      <w:r>
        <w:t>’</w:t>
      </w:r>
      <w:r w:rsidR="00F817A0" w:rsidRPr="00BF3D02">
        <w:t xml:space="preserve"> of a particular character that relate to assessable income are not properly carried forward; and</w:t>
      </w:r>
    </w:p>
    <w:p w14:paraId="2202844E" w14:textId="5E4068F4" w:rsidR="004B3D77" w:rsidRDefault="00450418" w:rsidP="004B3D77">
      <w:pPr>
        <w:pStyle w:val="dotpoint"/>
      </w:pPr>
      <w:r>
        <w:t>‘</w:t>
      </w:r>
      <w:r w:rsidR="00F817A0" w:rsidRPr="00BF3D02">
        <w:t>overs</w:t>
      </w:r>
      <w:r>
        <w:t>’</w:t>
      </w:r>
      <w:r w:rsidR="00F817A0" w:rsidRPr="00BF3D02">
        <w:t xml:space="preserve"> of a particular character that relate to a tax offset ar</w:t>
      </w:r>
      <w:r w:rsidR="004B3D77">
        <w:t>e not properly carried forward.</w:t>
      </w:r>
    </w:p>
    <w:p w14:paraId="02BCF03F" w14:textId="049ACCBB" w:rsidR="00572831" w:rsidRPr="00BF3D02" w:rsidRDefault="00DE2175" w:rsidP="00B637FF">
      <w:pPr>
        <w:pStyle w:val="Heading5"/>
      </w:pPr>
      <w:r w:rsidRPr="00BF3D02">
        <w:t>Amounts attributed to a foreign resident member</w:t>
      </w:r>
    </w:p>
    <w:p w14:paraId="236569DB" w14:textId="57144293" w:rsidR="00DE2175" w:rsidRPr="00BF3D02" w:rsidRDefault="00DC20CE" w:rsidP="00693BAB">
      <w:pPr>
        <w:pStyle w:val="base-text-paragraph"/>
        <w:numPr>
          <w:ilvl w:val="1"/>
          <w:numId w:val="20"/>
        </w:numPr>
      </w:pPr>
      <w:r w:rsidRPr="00BF3D02">
        <w:t xml:space="preserve">Under the AMIT attribution model, </w:t>
      </w:r>
      <w:r w:rsidR="009C604B" w:rsidRPr="00BF3D02">
        <w:t>the trustee of a</w:t>
      </w:r>
      <w:r w:rsidR="008B02E2" w:rsidRPr="00BF3D02">
        <w:t xml:space="preserve">n AMIT that is </w:t>
      </w:r>
      <w:r w:rsidR="008B02E2" w:rsidRPr="00693BAB">
        <w:t>not</w:t>
      </w:r>
      <w:r w:rsidR="008B02E2" w:rsidRPr="00BF3D02">
        <w:t xml:space="preserve"> a withholding MIT is liable </w:t>
      </w:r>
      <w:r w:rsidR="00821767" w:rsidRPr="00BF3D02">
        <w:t xml:space="preserve">for </w:t>
      </w:r>
      <w:r w:rsidR="008B02E2" w:rsidRPr="00BF3D02">
        <w:t xml:space="preserve">income tax </w:t>
      </w:r>
      <w:r w:rsidR="00821767" w:rsidRPr="00BF3D02">
        <w:t>on</w:t>
      </w:r>
      <w:r w:rsidR="008B02E2" w:rsidRPr="00BF3D02">
        <w:t xml:space="preserve"> certain amounts attributed to a foreign resident member. The applicable rate depends on</w:t>
      </w:r>
      <w:r w:rsidR="00C4327A">
        <w:t xml:space="preserve"> what type of entity the member is</w:t>
      </w:r>
      <w:r w:rsidR="00D05AFD">
        <w:t>. I</w:t>
      </w:r>
      <w:r w:rsidR="00821767" w:rsidRPr="00BF3D02">
        <w:t xml:space="preserve">f the member is not a trustee, they are entitled to receive a refundable tax offset for the amount of tax paid by the trustee of the AMIT. </w:t>
      </w:r>
    </w:p>
    <w:p w14:paraId="3602AFD0" w14:textId="478CA396" w:rsidR="00F15377" w:rsidRPr="00BF3D02" w:rsidRDefault="00821767" w:rsidP="00693BAB">
      <w:pPr>
        <w:pStyle w:val="base-text-paragraph"/>
        <w:numPr>
          <w:ilvl w:val="1"/>
          <w:numId w:val="20"/>
        </w:numPr>
      </w:pPr>
      <w:r w:rsidRPr="00BF3D02">
        <w:t xml:space="preserve">The amendments </w:t>
      </w:r>
      <w:r w:rsidR="00B477F2" w:rsidRPr="00BF3D02">
        <w:t xml:space="preserve">expand this rule to </w:t>
      </w:r>
      <w:r w:rsidRPr="00BF3D02">
        <w:t xml:space="preserve">apply </w:t>
      </w:r>
      <w:r w:rsidR="00D05AFD">
        <w:t xml:space="preserve">to </w:t>
      </w:r>
      <w:r w:rsidR="00B477F2" w:rsidRPr="00BF3D02">
        <w:t>AIVs, that is, the ACCIV or the trustee of an AMIT is liable to income tax where certain amounts are attributed to a foreign resident member.</w:t>
      </w:r>
      <w:r w:rsidRPr="00693BAB">
        <w:rPr>
          <w:rStyle w:val="Referencingstyle"/>
        </w:rPr>
        <w:t xml:space="preserve"> </w:t>
      </w:r>
      <w:r w:rsidR="001E3C25" w:rsidRPr="00693BAB">
        <w:rPr>
          <w:rStyle w:val="Referencingstyle"/>
        </w:rPr>
        <w:t>[Sch</w:t>
      </w:r>
      <w:r w:rsidR="00F24D98">
        <w:rPr>
          <w:rStyle w:val="Referencingstyle"/>
        </w:rPr>
        <w:t>edule #, items 37 to </w:t>
      </w:r>
      <w:r w:rsidR="00EC6333">
        <w:rPr>
          <w:rStyle w:val="Referencingstyle"/>
        </w:rPr>
        <w:t>47</w:t>
      </w:r>
      <w:r w:rsidR="00693BAB" w:rsidRPr="00693BAB">
        <w:rPr>
          <w:rStyle w:val="Referencingstyle"/>
        </w:rPr>
        <w:t>, section</w:t>
      </w:r>
      <w:r w:rsidR="00EC6333">
        <w:rPr>
          <w:rStyle w:val="Referencingstyle"/>
        </w:rPr>
        <w:t>s</w:t>
      </w:r>
      <w:r w:rsidR="00693BAB" w:rsidRPr="00693BAB">
        <w:rPr>
          <w:rStyle w:val="Referencingstyle"/>
        </w:rPr>
        <w:t xml:space="preserve"> 276</w:t>
      </w:r>
      <w:r w:rsidR="00693BAB" w:rsidRPr="00693BAB">
        <w:rPr>
          <w:rStyle w:val="Referencingstyle"/>
        </w:rPr>
        <w:noBreakHyphen/>
        <w:t>105</w:t>
      </w:r>
      <w:r w:rsidR="00EC6333">
        <w:rPr>
          <w:rStyle w:val="Referencingstyle"/>
        </w:rPr>
        <w:t xml:space="preserve"> and </w:t>
      </w:r>
      <w:r w:rsidR="00A420B8">
        <w:rPr>
          <w:rStyle w:val="Referencingstyle"/>
        </w:rPr>
        <w:t>276-110</w:t>
      </w:r>
      <w:r w:rsidR="002E2A08" w:rsidRPr="00693BAB">
        <w:rPr>
          <w:rStyle w:val="Referencingstyle"/>
        </w:rPr>
        <w:t>]</w:t>
      </w:r>
    </w:p>
    <w:p w14:paraId="5AE8B1ED" w14:textId="77777777" w:rsidR="00572831" w:rsidRPr="00BF3D02" w:rsidRDefault="00572831" w:rsidP="00B637FF">
      <w:pPr>
        <w:pStyle w:val="Heading5"/>
      </w:pPr>
      <w:r w:rsidRPr="00BF3D02">
        <w:t>Non</w:t>
      </w:r>
      <w:r w:rsidRPr="00BF3D02">
        <w:noBreakHyphen/>
        <w:t>arm’s length income</w:t>
      </w:r>
    </w:p>
    <w:p w14:paraId="11736FDC" w14:textId="4E005086" w:rsidR="001D020A" w:rsidRPr="008C026C" w:rsidRDefault="001D020A" w:rsidP="008C026C">
      <w:pPr>
        <w:pStyle w:val="base-text-paragraph"/>
        <w:numPr>
          <w:ilvl w:val="1"/>
          <w:numId w:val="20"/>
        </w:numPr>
      </w:pPr>
      <w:r>
        <w:t xml:space="preserve">The amendments introduce an </w:t>
      </w:r>
      <w:r w:rsidRPr="00BF3D02">
        <w:t xml:space="preserve">AIV specific arm’s length income rule </w:t>
      </w:r>
      <w:r>
        <w:t xml:space="preserve">which </w:t>
      </w:r>
      <w:r w:rsidR="00C4327A">
        <w:t>operates in the same way as</w:t>
      </w:r>
      <w:r w:rsidRPr="00BF3D02">
        <w:t xml:space="preserve"> the existing arm</w:t>
      </w:r>
      <w:r w:rsidR="00C4327A">
        <w:t>’s length income rule for MITs,</w:t>
      </w:r>
      <w:r>
        <w:t xml:space="preserve"> including amounts specifically excluded from the rule</w:t>
      </w:r>
      <w:r w:rsidRPr="00BF3D02">
        <w:t xml:space="preserve"> (see Subdivision 275</w:t>
      </w:r>
      <w:r w:rsidRPr="00BF3D02">
        <w:noBreakHyphen/>
        <w:t xml:space="preserve">L). </w:t>
      </w:r>
      <w:r>
        <w:t>T</w:t>
      </w:r>
      <w:r w:rsidRPr="00BF3D02">
        <w:t>he Commissioner may make a determination in writing that specifies an amount of non</w:t>
      </w:r>
      <w:r w:rsidRPr="00BF3D02">
        <w:noBreakHyphen/>
        <w:t>arm’s length income for a specific AIV in relation to a specified income year. The ACCIV, or the trustee of the AMIT, is liable to pay tax o</w:t>
      </w:r>
      <w:r w:rsidR="00C5299F">
        <w:t>n the non</w:t>
      </w:r>
      <w:r w:rsidR="00C5299F">
        <w:noBreakHyphen/>
        <w:t xml:space="preserve">arm’s length income. </w:t>
      </w:r>
      <w:r w:rsidR="007E56FF">
        <w:rPr>
          <w:rStyle w:val="Referencingstyle"/>
        </w:rPr>
        <w:t xml:space="preserve">[Schedule #, </w:t>
      </w:r>
      <w:r w:rsidR="00A4031C">
        <w:rPr>
          <w:rStyle w:val="Referencingstyle"/>
        </w:rPr>
        <w:t xml:space="preserve">items 421 and </w:t>
      </w:r>
      <w:r w:rsidR="007E56FF">
        <w:rPr>
          <w:rStyle w:val="Referencingstyle"/>
        </w:rPr>
        <w:t>422, sections 276-437 to 276-443</w:t>
      </w:r>
      <w:r w:rsidRPr="008C026C">
        <w:rPr>
          <w:rStyle w:val="Referencingstyle"/>
        </w:rPr>
        <w:t>]</w:t>
      </w:r>
    </w:p>
    <w:p w14:paraId="7FA92329" w14:textId="563CBF4B" w:rsidR="001D020A" w:rsidRPr="00BF3D02" w:rsidRDefault="001D020A" w:rsidP="008C026C">
      <w:pPr>
        <w:pStyle w:val="base-text-paragraph"/>
        <w:numPr>
          <w:ilvl w:val="1"/>
          <w:numId w:val="20"/>
        </w:numPr>
      </w:pPr>
      <w:r w:rsidRPr="00BF3D02">
        <w:t>An amount of non</w:t>
      </w:r>
      <w:r w:rsidRPr="00BF3D02">
        <w:noBreakHyphen/>
        <w:t>arm’s length income is, broadly, an amount that is derived from a scheme where the parties were not dealing with each other at arm’s length in relation to the scheme, and the amount exceeds the amount that the entity might have been expected to derive if the parties had been dealing with each other at arm’s length.</w:t>
      </w:r>
      <w:r w:rsidR="00C5299F" w:rsidRPr="008C026C">
        <w:rPr>
          <w:b/>
          <w:i/>
        </w:rPr>
        <w:t xml:space="preserve"> </w:t>
      </w:r>
      <w:r w:rsidR="007E56FF">
        <w:rPr>
          <w:rStyle w:val="Referencingstyle"/>
        </w:rPr>
        <w:t>[Schedule #, item 422</w:t>
      </w:r>
      <w:r w:rsidR="00C5299F" w:rsidRPr="008C026C">
        <w:rPr>
          <w:rStyle w:val="Referencingstyle"/>
        </w:rPr>
        <w:t>, section 276-441]</w:t>
      </w:r>
    </w:p>
    <w:p w14:paraId="1497067E" w14:textId="7004803E" w:rsidR="001D020A" w:rsidRPr="00BF3D02" w:rsidRDefault="001D020A" w:rsidP="008C026C">
      <w:pPr>
        <w:pStyle w:val="base-text-paragraph"/>
        <w:numPr>
          <w:ilvl w:val="1"/>
          <w:numId w:val="20"/>
        </w:numPr>
      </w:pPr>
      <w:r w:rsidRPr="00BF3D02">
        <w:lastRenderedPageBreak/>
        <w:t>As a consequence of inserting the separate arm’s length income rule that applies to AIVs</w:t>
      </w:r>
      <w:r w:rsidR="00C5299F">
        <w:t xml:space="preserve"> (including both ACCIVs and AMITs)</w:t>
      </w:r>
      <w:r w:rsidRPr="00BF3D02">
        <w:t xml:space="preserve">, other amendments ensure that the current arm’s length income rules continue to apply to MITs only. </w:t>
      </w:r>
      <w:r w:rsidR="00C5299F" w:rsidRPr="008C026C">
        <w:rPr>
          <w:rStyle w:val="Referencingstyle"/>
        </w:rPr>
        <w:t>[Schedule #</w:t>
      </w:r>
      <w:r w:rsidR="00F41173">
        <w:rPr>
          <w:rStyle w:val="Referencingstyle"/>
        </w:rPr>
        <w:t>, items 413</w:t>
      </w:r>
      <w:r w:rsidRPr="008C026C">
        <w:rPr>
          <w:rStyle w:val="Referencingstyle"/>
        </w:rPr>
        <w:t xml:space="preserve"> t</w:t>
      </w:r>
      <w:r w:rsidR="00F41173">
        <w:rPr>
          <w:rStyle w:val="Referencingstyle"/>
        </w:rPr>
        <w:t>o 421</w:t>
      </w:r>
      <w:r w:rsidR="00C5299F" w:rsidRPr="008C026C">
        <w:rPr>
          <w:rStyle w:val="Referencingstyle"/>
        </w:rPr>
        <w:t>, sections 275-600 to 275-615</w:t>
      </w:r>
      <w:r w:rsidRPr="008C026C">
        <w:rPr>
          <w:rStyle w:val="Referencingstyle"/>
        </w:rPr>
        <w:t>]</w:t>
      </w:r>
      <w:r w:rsidRPr="00BF3D02">
        <w:t xml:space="preserve"> </w:t>
      </w:r>
    </w:p>
    <w:p w14:paraId="2F8CB96D" w14:textId="0EC9AFD0" w:rsidR="002960FE" w:rsidRPr="002960FE" w:rsidRDefault="002960FE" w:rsidP="002960FE">
      <w:pPr>
        <w:pStyle w:val="Heading3"/>
      </w:pPr>
      <w:r>
        <w:t>Failur</w:t>
      </w:r>
      <w:r w:rsidR="00A20F77">
        <w:t>e to meet the ACCIV criteria</w:t>
      </w:r>
    </w:p>
    <w:p w14:paraId="26C6AAA7" w14:textId="261A86BA" w:rsidR="009D4476" w:rsidRPr="00BF3D02" w:rsidRDefault="00005B8B" w:rsidP="00582E0E">
      <w:pPr>
        <w:pStyle w:val="base-text-paragraph"/>
        <w:numPr>
          <w:ilvl w:val="1"/>
          <w:numId w:val="20"/>
        </w:numPr>
      </w:pPr>
      <w:r w:rsidRPr="00BF3D02">
        <w:t xml:space="preserve">A CCIV that does not satisfy the ACCIV criteria </w:t>
      </w:r>
      <w:r w:rsidR="006F2921" w:rsidRPr="00BF3D02">
        <w:t>is</w:t>
      </w:r>
      <w:r w:rsidRPr="00BF3D02">
        <w:t xml:space="preserve"> subject to</w:t>
      </w:r>
      <w:r w:rsidR="00C4327A">
        <w:t xml:space="preserve"> </w:t>
      </w:r>
      <w:r w:rsidRPr="00BF3D02">
        <w:t>taxation</w:t>
      </w:r>
      <w:r w:rsidR="00C4327A">
        <w:t xml:space="preserve"> at the corporate rate and is</w:t>
      </w:r>
      <w:r w:rsidR="00EF691F" w:rsidRPr="00BF3D02">
        <w:t xml:space="preserve"> not able to distribute franking credits to </w:t>
      </w:r>
      <w:r w:rsidR="00CF4E02">
        <w:t xml:space="preserve">its </w:t>
      </w:r>
      <w:r w:rsidR="00EF691F" w:rsidRPr="00BF3D02">
        <w:t>members</w:t>
      </w:r>
      <w:r w:rsidR="00C4327A">
        <w:t xml:space="preserve"> as</w:t>
      </w:r>
      <w:r w:rsidR="00C4327A" w:rsidRPr="00BF3D02">
        <w:t xml:space="preserve"> </w:t>
      </w:r>
      <w:r w:rsidR="00C4327A">
        <w:t xml:space="preserve">it </w:t>
      </w:r>
      <w:r w:rsidR="00C4327A" w:rsidRPr="00BF3D02">
        <w:t xml:space="preserve">is not </w:t>
      </w:r>
      <w:r w:rsidR="00C4327A">
        <w:t xml:space="preserve">a franking entity. </w:t>
      </w:r>
      <w:r w:rsidR="008D2120">
        <w:t xml:space="preserve">The distributions to </w:t>
      </w:r>
      <w:r w:rsidR="00C24908">
        <w:br/>
      </w:r>
      <w:r w:rsidR="008D2120">
        <w:t>non-resident investors will be non-assessable non-exempt income.</w:t>
      </w:r>
      <w:r w:rsidR="00EF691F" w:rsidRPr="00BF3D02">
        <w:t xml:space="preserve"> </w:t>
      </w:r>
      <w:r w:rsidR="001E5285" w:rsidRPr="008C026C">
        <w:rPr>
          <w:rStyle w:val="Referencingstyle"/>
        </w:rPr>
        <w:t>[Schedule #</w:t>
      </w:r>
      <w:r w:rsidR="009F463B">
        <w:rPr>
          <w:rStyle w:val="Referencingstyle"/>
        </w:rPr>
        <w:t>, item 427</w:t>
      </w:r>
      <w:r w:rsidR="001E5285">
        <w:rPr>
          <w:rStyle w:val="Referencingstyle"/>
        </w:rPr>
        <w:t>, paragraph 202-15(ba)</w:t>
      </w:r>
      <w:r w:rsidR="001E5285" w:rsidRPr="008C026C">
        <w:rPr>
          <w:rStyle w:val="Referencingstyle"/>
        </w:rPr>
        <w:t>]</w:t>
      </w:r>
    </w:p>
    <w:p w14:paraId="692ACD5C" w14:textId="784E2749" w:rsidR="003F391D" w:rsidRPr="00BF3D02" w:rsidRDefault="005352C5" w:rsidP="00582E0E">
      <w:pPr>
        <w:pStyle w:val="base-text-paragraph"/>
        <w:numPr>
          <w:ilvl w:val="1"/>
          <w:numId w:val="20"/>
        </w:numPr>
      </w:pPr>
      <w:r w:rsidRPr="00BF3D02">
        <w:t>This approach</w:t>
      </w:r>
      <w:r w:rsidR="00DB59C3" w:rsidRPr="00BF3D02">
        <w:t xml:space="preserve"> is consistent with the policy intent of the </w:t>
      </w:r>
      <w:r w:rsidR="00C4327A">
        <w:t>A</w:t>
      </w:r>
      <w:r w:rsidR="00DB59C3" w:rsidRPr="00BF3D02">
        <w:t xml:space="preserve">CCIV </w:t>
      </w:r>
      <w:r w:rsidR="00C4327A">
        <w:t>regime</w:t>
      </w:r>
      <w:r w:rsidR="00B310D9">
        <w:t>,</w:t>
      </w:r>
      <w:r w:rsidR="00C4327A">
        <w:t xml:space="preserve"> </w:t>
      </w:r>
      <w:r w:rsidR="00DB59C3" w:rsidRPr="00BF3D02">
        <w:t xml:space="preserve">which is to introduce a tax framework for a </w:t>
      </w:r>
      <w:r w:rsidR="008051DF" w:rsidRPr="00BF3D02">
        <w:t xml:space="preserve">more internationally recognisable </w:t>
      </w:r>
      <w:r w:rsidR="00DB59C3" w:rsidRPr="00BF3D02">
        <w:t xml:space="preserve">primarily passive investment </w:t>
      </w:r>
      <w:r w:rsidR="008051DF" w:rsidRPr="00BF3D02">
        <w:t xml:space="preserve">vehicle that provides </w:t>
      </w:r>
      <w:r w:rsidR="00EF691F" w:rsidRPr="00BF3D02">
        <w:t>flow</w:t>
      </w:r>
      <w:r w:rsidR="00EF691F" w:rsidRPr="00BF3D02">
        <w:noBreakHyphen/>
        <w:t>through taxation treatment</w:t>
      </w:r>
      <w:r w:rsidR="008051DF" w:rsidRPr="00BF3D02">
        <w:t xml:space="preserve"> and delivers tax neutral outcomes for investors in CIVs. </w:t>
      </w:r>
    </w:p>
    <w:p w14:paraId="7E9B0B62" w14:textId="72D16595" w:rsidR="00DB59C3" w:rsidRPr="00BF3D02" w:rsidRDefault="000B2308" w:rsidP="00582E0E">
      <w:pPr>
        <w:pStyle w:val="base-text-paragraph"/>
        <w:numPr>
          <w:ilvl w:val="1"/>
          <w:numId w:val="20"/>
        </w:numPr>
      </w:pPr>
      <w:r w:rsidRPr="00BF3D02">
        <w:t>T</w:t>
      </w:r>
      <w:r w:rsidR="00DB59C3" w:rsidRPr="00BF3D02">
        <w:t>o the extent a CCIV fails to meet the ACCIV eligibili</w:t>
      </w:r>
      <w:r w:rsidR="00874CBA">
        <w:t>ty (i.e. it is not a flow-</w:t>
      </w:r>
      <w:r w:rsidR="00DB59C3" w:rsidRPr="00BF3D02">
        <w:t>through vehicle), it is not appropriate to have a corporate entity (i.e. the CCIV) being taxed like a trust.</w:t>
      </w:r>
    </w:p>
    <w:p w14:paraId="570AB1D5" w14:textId="54932F4B" w:rsidR="002C072D" w:rsidRDefault="00DB59C3" w:rsidP="00582E0E">
      <w:pPr>
        <w:pStyle w:val="base-text-paragraph"/>
        <w:numPr>
          <w:ilvl w:val="1"/>
          <w:numId w:val="20"/>
        </w:numPr>
      </w:pPr>
      <w:r w:rsidRPr="00BF3D02">
        <w:t>In this c</w:t>
      </w:r>
      <w:r w:rsidR="000B2308" w:rsidRPr="00BF3D02">
        <w:t xml:space="preserve">ircumstance, the CCIV </w:t>
      </w:r>
      <w:r w:rsidR="00D0343F">
        <w:t>will be</w:t>
      </w:r>
      <w:r w:rsidRPr="00BF3D02">
        <w:t xml:space="preserve"> subject to </w:t>
      </w:r>
      <w:r w:rsidR="00C4327A">
        <w:t>taxation at the corporate tax rate</w:t>
      </w:r>
      <w:r w:rsidRPr="00BF3D02">
        <w:t xml:space="preserve">. </w:t>
      </w:r>
      <w:r w:rsidR="005352C5" w:rsidRPr="00BF3D02">
        <w:t xml:space="preserve">Denying the entity the ability to distribute franked dividends is intended to be a disincentive </w:t>
      </w:r>
      <w:r w:rsidR="0014465B">
        <w:t>for</w:t>
      </w:r>
      <w:r w:rsidR="005352C5" w:rsidRPr="00BF3D02">
        <w:t xml:space="preserve"> funds</w:t>
      </w:r>
      <w:r w:rsidRPr="00BF3D02">
        <w:t xml:space="preserve"> register</w:t>
      </w:r>
      <w:r w:rsidR="005352C5" w:rsidRPr="00BF3D02">
        <w:t>ing</w:t>
      </w:r>
      <w:r w:rsidRPr="00BF3D02">
        <w:t xml:space="preserve"> as a CCIV</w:t>
      </w:r>
      <w:r w:rsidR="005352C5" w:rsidRPr="00BF3D02">
        <w:t xml:space="preserve">, without ever having the </w:t>
      </w:r>
      <w:r w:rsidRPr="00BF3D02">
        <w:t>intention of electing into the ACCIV tax regime</w:t>
      </w:r>
      <w:r w:rsidR="00CF4E02">
        <w:t>. This aligns with the purpose</w:t>
      </w:r>
      <w:r w:rsidR="000A7397">
        <w:t xml:space="preserve"> of the regime t</w:t>
      </w:r>
      <w:r w:rsidR="00CF4E02">
        <w:t>o</w:t>
      </w:r>
      <w:r w:rsidR="000A7397">
        <w:t xml:space="preserve"> provide a framework for ACCIVs</w:t>
      </w:r>
      <w:r w:rsidRPr="00BF3D02">
        <w:t>.</w:t>
      </w:r>
    </w:p>
    <w:p w14:paraId="2BC0DEA9" w14:textId="5055198F" w:rsidR="00DB59C3" w:rsidRPr="00BF3D02" w:rsidRDefault="00C4327A" w:rsidP="00582E0E">
      <w:pPr>
        <w:pStyle w:val="base-text-paragraph"/>
        <w:numPr>
          <w:ilvl w:val="1"/>
          <w:numId w:val="20"/>
        </w:numPr>
      </w:pPr>
      <w:r>
        <w:t>A CCIV must</w:t>
      </w:r>
      <w:r w:rsidR="008D2120">
        <w:t xml:space="preserve"> deregister from being a CCIV if it ultimately does not elect into the regime or fails to meet the eligibility requirements.</w:t>
      </w:r>
    </w:p>
    <w:p w14:paraId="1E850638" w14:textId="32FCFF7B" w:rsidR="00BF3D57" w:rsidRPr="00784576" w:rsidRDefault="001E0807" w:rsidP="00A94B4B">
      <w:pPr>
        <w:pStyle w:val="Heading3"/>
      </w:pPr>
      <w:r w:rsidRPr="00784576">
        <w:t>R</w:t>
      </w:r>
      <w:r w:rsidR="00BF3D57" w:rsidRPr="00784576">
        <w:t>oll</w:t>
      </w:r>
      <w:r w:rsidR="00983015">
        <w:t>-</w:t>
      </w:r>
      <w:r w:rsidR="00BF3D57" w:rsidRPr="00784576">
        <w:t xml:space="preserve">over relief for </w:t>
      </w:r>
      <w:r w:rsidR="00177EF1" w:rsidRPr="00784576">
        <w:t xml:space="preserve">AMITs </w:t>
      </w:r>
      <w:r w:rsidR="00BF3D57" w:rsidRPr="00784576">
        <w:t xml:space="preserve">that transition </w:t>
      </w:r>
      <w:r w:rsidRPr="00784576">
        <w:t>to a</w:t>
      </w:r>
      <w:r w:rsidR="00E03C17">
        <w:t>n</w:t>
      </w:r>
      <w:r w:rsidRPr="00784576">
        <w:t xml:space="preserve"> </w:t>
      </w:r>
      <w:r w:rsidR="00784576">
        <w:t>A</w:t>
      </w:r>
      <w:r w:rsidRPr="00784576">
        <w:t>CCIV</w:t>
      </w:r>
    </w:p>
    <w:p w14:paraId="573FAFFC" w14:textId="6E535B6E" w:rsidR="00784576" w:rsidRPr="00C66341" w:rsidRDefault="00784576" w:rsidP="00C66341">
      <w:pPr>
        <w:pStyle w:val="base-text-paragraph"/>
        <w:numPr>
          <w:ilvl w:val="1"/>
          <w:numId w:val="20"/>
        </w:numPr>
      </w:pPr>
      <w:r w:rsidRPr="00784576">
        <w:t>AMITs that choose to transition to a</w:t>
      </w:r>
      <w:r w:rsidR="00DF023A">
        <w:t>n</w:t>
      </w:r>
      <w:r w:rsidRPr="00784576">
        <w:t xml:space="preserve"> </w:t>
      </w:r>
      <w:r>
        <w:t>A</w:t>
      </w:r>
      <w:r w:rsidRPr="00784576">
        <w:t xml:space="preserve">CCIV </w:t>
      </w:r>
      <w:r w:rsidR="00DF023A">
        <w:t>will have access</w:t>
      </w:r>
      <w:r w:rsidR="00DF023A" w:rsidRPr="00DF023A">
        <w:t xml:space="preserve"> </w:t>
      </w:r>
      <w:r w:rsidR="00DF023A" w:rsidRPr="00784576">
        <w:t>to roll</w:t>
      </w:r>
      <w:r w:rsidR="00983015">
        <w:t>-</w:t>
      </w:r>
      <w:r w:rsidR="00DF023A" w:rsidRPr="00784576">
        <w:t>over relief at both the entity level (for assets) and the investor level (for members’ units).</w:t>
      </w:r>
      <w:r w:rsidR="00DF023A">
        <w:t xml:space="preserve"> This is achieved by adapting </w:t>
      </w:r>
      <w:r>
        <w:t xml:space="preserve">the existing </w:t>
      </w:r>
      <w:r w:rsidR="0085712D">
        <w:t>CGT roll</w:t>
      </w:r>
      <w:r w:rsidR="00DD6921">
        <w:noBreakHyphen/>
      </w:r>
      <w:r w:rsidR="0085712D">
        <w:t xml:space="preserve">over </w:t>
      </w:r>
      <w:r>
        <w:t xml:space="preserve">provisions </w:t>
      </w:r>
      <w:r w:rsidR="0085712D">
        <w:t xml:space="preserve">for trust restructures </w:t>
      </w:r>
      <w:r>
        <w:t xml:space="preserve">under </w:t>
      </w:r>
      <w:r w:rsidR="00DF023A">
        <w:t xml:space="preserve">subdivision </w:t>
      </w:r>
      <w:r>
        <w:t>124-N</w:t>
      </w:r>
      <w:r w:rsidR="00DF023A">
        <w:t xml:space="preserve"> for the purposes of </w:t>
      </w:r>
      <w:r w:rsidR="0085712D">
        <w:t xml:space="preserve">AMITs and </w:t>
      </w:r>
      <w:r w:rsidR="00DF023A">
        <w:t>ACCIV</w:t>
      </w:r>
      <w:r w:rsidR="0085712D">
        <w:t xml:space="preserve">s. </w:t>
      </w:r>
      <w:r w:rsidR="00F451B2" w:rsidRPr="00BF3D02">
        <w:rPr>
          <w:rStyle w:val="Referencingstyle"/>
        </w:rPr>
        <w:t>[Schedule #, item</w:t>
      </w:r>
      <w:r w:rsidR="008E4303">
        <w:rPr>
          <w:rStyle w:val="Referencingstyle"/>
        </w:rPr>
        <w:t>s</w:t>
      </w:r>
      <w:r w:rsidR="009B2B48">
        <w:rPr>
          <w:rStyle w:val="Referencingstyle"/>
        </w:rPr>
        <w:t xml:space="preserve"> 251 to 253</w:t>
      </w:r>
      <w:r w:rsidR="00F451B2" w:rsidRPr="00BF3D02">
        <w:rPr>
          <w:rStyle w:val="Referencingstyle"/>
        </w:rPr>
        <w:t xml:space="preserve">, </w:t>
      </w:r>
      <w:r w:rsidR="00930A3A">
        <w:rPr>
          <w:rStyle w:val="Referencingstyle"/>
        </w:rPr>
        <w:t>section</w:t>
      </w:r>
      <w:r w:rsidR="009B2B48">
        <w:rPr>
          <w:rStyle w:val="Referencingstyle"/>
        </w:rPr>
        <w:t xml:space="preserve">s 124-850 </w:t>
      </w:r>
      <w:r w:rsidR="00930A3A">
        <w:rPr>
          <w:rStyle w:val="Referencingstyle"/>
        </w:rPr>
        <w:t>and paragraph</w:t>
      </w:r>
      <w:r w:rsidR="009B2B48">
        <w:rPr>
          <w:rStyle w:val="Referencingstyle"/>
        </w:rPr>
        <w:t xml:space="preserve">s </w:t>
      </w:r>
      <w:r w:rsidR="00F451B2">
        <w:rPr>
          <w:rStyle w:val="Referencingstyle"/>
        </w:rPr>
        <w:t>124</w:t>
      </w:r>
      <w:r w:rsidR="00F451B2">
        <w:rPr>
          <w:rStyle w:val="Referencingstyle"/>
        </w:rPr>
        <w:noBreakHyphen/>
        <w:t>855(1</w:t>
      </w:r>
      <w:r w:rsidR="00930A3A">
        <w:rPr>
          <w:rStyle w:val="Referencingstyle"/>
        </w:rPr>
        <w:t>)</w:t>
      </w:r>
      <w:r w:rsidR="009B2B48">
        <w:rPr>
          <w:rStyle w:val="Referencingstyle"/>
        </w:rPr>
        <w:t xml:space="preserve">(b) and </w:t>
      </w:r>
      <w:r w:rsidR="00930A3A">
        <w:rPr>
          <w:rStyle w:val="Referencingstyle"/>
        </w:rPr>
        <w:t>(ba</w:t>
      </w:r>
      <w:r w:rsidR="00F451B2">
        <w:rPr>
          <w:rStyle w:val="Referencingstyle"/>
        </w:rPr>
        <w:t>)</w:t>
      </w:r>
      <w:r w:rsidR="00F451B2" w:rsidRPr="00BF3D02">
        <w:rPr>
          <w:rStyle w:val="Referencingstyle"/>
        </w:rPr>
        <w:t>]</w:t>
      </w:r>
    </w:p>
    <w:p w14:paraId="4A40E774" w14:textId="1483B383" w:rsidR="00595CA1" w:rsidRDefault="00595CA1" w:rsidP="00C66341">
      <w:pPr>
        <w:pStyle w:val="base-text-paragraph"/>
        <w:numPr>
          <w:ilvl w:val="1"/>
          <w:numId w:val="20"/>
        </w:numPr>
      </w:pPr>
      <w:r>
        <w:t>A CGT roll</w:t>
      </w:r>
      <w:r w:rsidR="00983015">
        <w:t>-</w:t>
      </w:r>
      <w:r>
        <w:t>over provides relief on certain capital gains events, to ensure that funds and investors do not incur an income tax lia</w:t>
      </w:r>
      <w:r w:rsidR="00D05AFD">
        <w:t>bility at the time of transfer and</w:t>
      </w:r>
      <w:r>
        <w:t xml:space="preserve"> defers tax consequences for members.</w:t>
      </w:r>
    </w:p>
    <w:p w14:paraId="4A53FECE" w14:textId="04FEC19D" w:rsidR="00BB08B1" w:rsidRDefault="00CC1F4F" w:rsidP="00C66341">
      <w:pPr>
        <w:pStyle w:val="base-text-paragraph"/>
        <w:numPr>
          <w:ilvl w:val="1"/>
          <w:numId w:val="20"/>
        </w:numPr>
      </w:pPr>
      <w:r>
        <w:lastRenderedPageBreak/>
        <w:t>The roll</w:t>
      </w:r>
      <w:r w:rsidR="00983015">
        <w:t>-</w:t>
      </w:r>
      <w:r>
        <w:t xml:space="preserve">over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in proportion to their holdings of the extinguished units in the AMIT.</w:t>
      </w:r>
      <w:r w:rsidR="00BB08B1">
        <w:t xml:space="preserve"> This ensures that the </w:t>
      </w:r>
      <w:r>
        <w:t xml:space="preserve">tax </w:t>
      </w:r>
      <w:r w:rsidR="00EB5628">
        <w:t>status</w:t>
      </w:r>
      <w:r w:rsidR="00450418">
        <w:t xml:space="preserve"> of members’ investments are</w:t>
      </w:r>
      <w:r>
        <w:t xml:space="preserve"> retained</w:t>
      </w:r>
      <w:r w:rsidR="00FE2A27">
        <w:t>.</w:t>
      </w:r>
      <w:r>
        <w:t xml:space="preserve"> </w:t>
      </w:r>
      <w:r w:rsidR="00FE2A27">
        <w:t>This includes</w:t>
      </w:r>
      <w:r>
        <w:t xml:space="preserve"> the asset cost base</w:t>
      </w:r>
      <w:r w:rsidR="00FE2A27">
        <w:t>,</w:t>
      </w:r>
      <w:r>
        <w:t xml:space="preserve"> the acquisition date and the member’s tax history (including </w:t>
      </w:r>
      <w:r w:rsidR="00106269">
        <w:t xml:space="preserve">unrealised </w:t>
      </w:r>
      <w:r>
        <w:t>tax losses).</w:t>
      </w:r>
    </w:p>
    <w:p w14:paraId="069B089C" w14:textId="4905F94C" w:rsidR="00DF023A" w:rsidRDefault="00DF023A" w:rsidP="00C66341">
      <w:pPr>
        <w:pStyle w:val="base-text-paragraph"/>
        <w:numPr>
          <w:ilvl w:val="1"/>
          <w:numId w:val="20"/>
        </w:numPr>
      </w:pPr>
      <w:r>
        <w:t>In general terms, the CGT roll-over is provided wher</w:t>
      </w:r>
      <w:r w:rsidRPr="00C66341">
        <w:t>e</w:t>
      </w:r>
      <w:r w:rsidR="00D02999" w:rsidRPr="00C66341">
        <w:t>:</w:t>
      </w:r>
      <w:r w:rsidRPr="00C66341">
        <w:t xml:space="preserve"> </w:t>
      </w:r>
    </w:p>
    <w:p w14:paraId="1723F9FC" w14:textId="52BC3594" w:rsidR="00DF023A" w:rsidRDefault="00DF023A" w:rsidP="00DF023A">
      <w:pPr>
        <w:pStyle w:val="dotpoint"/>
      </w:pPr>
      <w:r>
        <w:t>an AMIT disposes of all of its CGT assets to an ACCIV</w:t>
      </w:r>
      <w:r w:rsidR="00101CA1">
        <w:t xml:space="preserve"> within the trust restructuring period; </w:t>
      </w:r>
    </w:p>
    <w:p w14:paraId="38F38925" w14:textId="1E3B6F12" w:rsidR="00101CA1" w:rsidRDefault="00101CA1" w:rsidP="00DF023A">
      <w:pPr>
        <w:pStyle w:val="dotpoint"/>
      </w:pPr>
      <w:r>
        <w:t xml:space="preserve">the ACCIV meets certain requirements; </w:t>
      </w:r>
    </w:p>
    <w:p w14:paraId="066484EA" w14:textId="3984C3AC" w:rsidR="00DF023A" w:rsidRDefault="00DF023A" w:rsidP="00DF023A">
      <w:pPr>
        <w:pStyle w:val="dotpoint"/>
      </w:pPr>
      <w:r>
        <w:t xml:space="preserve">all </w:t>
      </w:r>
      <w:r w:rsidR="0085712D">
        <w:t xml:space="preserve">interests in the AMIT are exchanged for </w:t>
      </w:r>
      <w:r w:rsidR="00D02999">
        <w:t>interests</w:t>
      </w:r>
      <w:r w:rsidR="0085712D">
        <w:t xml:space="preserve"> </w:t>
      </w:r>
      <w:r w:rsidR="00D02999">
        <w:t xml:space="preserve">in an </w:t>
      </w:r>
      <w:r w:rsidR="0085712D">
        <w:t>ACCIV</w:t>
      </w:r>
      <w:r w:rsidR="00D02999">
        <w:t xml:space="preserve"> (through its sub-funds) in equivalent proportions; </w:t>
      </w:r>
      <w:r w:rsidR="00E705E9">
        <w:t>and</w:t>
      </w:r>
    </w:p>
    <w:p w14:paraId="7BAD117C" w14:textId="411BA994" w:rsidR="00E705E9" w:rsidRDefault="00E705E9" w:rsidP="00DF023A">
      <w:pPr>
        <w:pStyle w:val="dotpoint"/>
      </w:pPr>
      <w:r>
        <w:t xml:space="preserve">both the AMIT and ACCIV choose to apply the roll-over relief. </w:t>
      </w:r>
    </w:p>
    <w:p w14:paraId="09DB0E44" w14:textId="390E1668" w:rsidR="00A83A93" w:rsidRPr="00C66341" w:rsidRDefault="00A83A93" w:rsidP="00C66341">
      <w:pPr>
        <w:pStyle w:val="base-text-paragraph"/>
        <w:numPr>
          <w:ilvl w:val="1"/>
          <w:numId w:val="20"/>
        </w:numPr>
      </w:pPr>
      <w:r>
        <w:t>It is also a condition of the roll-over that CGT event M1 (AIV</w:t>
      </w:r>
      <w:r w:rsidR="00DD6921">
        <w:t> </w:t>
      </w:r>
      <w:r>
        <w:t xml:space="preserve">– cost base reduction exceeds cost base) must be capable of applying to all of the interests in the </w:t>
      </w:r>
      <w:r w:rsidR="00106269">
        <w:t>AMIT</w:t>
      </w:r>
      <w:r>
        <w:t xml:space="preserve">. </w:t>
      </w:r>
      <w:r w:rsidR="00166A9F">
        <w:rPr>
          <w:rStyle w:val="Referencingstyle"/>
        </w:rPr>
        <w:t>[Schedule #, item 252</w:t>
      </w:r>
      <w:r w:rsidRPr="00BF3D02">
        <w:rPr>
          <w:rStyle w:val="Referencingstyle"/>
        </w:rPr>
        <w:t xml:space="preserve">, </w:t>
      </w:r>
      <w:r w:rsidR="00930A3A">
        <w:rPr>
          <w:rStyle w:val="Referencingstyle"/>
        </w:rPr>
        <w:t>paragraph</w:t>
      </w:r>
      <w:r w:rsidR="00DD6921">
        <w:rPr>
          <w:rStyle w:val="Referencingstyle"/>
        </w:rPr>
        <w:t> </w:t>
      </w:r>
      <w:r>
        <w:rPr>
          <w:rStyle w:val="Referencingstyle"/>
        </w:rPr>
        <w:t>124</w:t>
      </w:r>
      <w:r>
        <w:rPr>
          <w:rStyle w:val="Referencingstyle"/>
        </w:rPr>
        <w:noBreakHyphen/>
        <w:t>855(</w:t>
      </w:r>
      <w:r w:rsidR="00930A3A">
        <w:rPr>
          <w:rStyle w:val="Referencingstyle"/>
        </w:rPr>
        <w:t>1)</w:t>
      </w:r>
      <w:r w:rsidR="00E9175E" w:rsidRPr="00C66341">
        <w:rPr>
          <w:rStyle w:val="Referencingstyle"/>
        </w:rPr>
        <w:t>(</w:t>
      </w:r>
      <w:r w:rsidR="00E9175E">
        <w:rPr>
          <w:rStyle w:val="Referencingstyle"/>
        </w:rPr>
        <w:t>b</w:t>
      </w:r>
      <w:r>
        <w:rPr>
          <w:rStyle w:val="Referencingstyle"/>
        </w:rPr>
        <w:t>)</w:t>
      </w:r>
      <w:r w:rsidRPr="00BF3D02">
        <w:rPr>
          <w:rStyle w:val="Referencingstyle"/>
        </w:rPr>
        <w:t>]</w:t>
      </w:r>
    </w:p>
    <w:p w14:paraId="0C451C49" w14:textId="4E948C23" w:rsidR="004E49AB" w:rsidRDefault="00AB1EE6" w:rsidP="00C66341">
      <w:pPr>
        <w:pStyle w:val="base-text-paragraph"/>
        <w:numPr>
          <w:ilvl w:val="1"/>
          <w:numId w:val="20"/>
        </w:numPr>
      </w:pPr>
      <w:r>
        <w:t xml:space="preserve">The CGT roll-over is </w:t>
      </w:r>
      <w:r w:rsidR="003B62F8">
        <w:t xml:space="preserve">also </w:t>
      </w:r>
      <w:r>
        <w:t xml:space="preserve">available where two or more AMITs restructure into a single </w:t>
      </w:r>
      <w:r w:rsidR="003B62F8">
        <w:t>A</w:t>
      </w:r>
      <w:r w:rsidR="00CA7A37">
        <w:t>CCIV</w:t>
      </w:r>
      <w:r w:rsidR="004E49AB">
        <w:t xml:space="preserve">, subject to the following additional requirements: </w:t>
      </w:r>
    </w:p>
    <w:p w14:paraId="5B47D742" w14:textId="0547DE70" w:rsidR="004E49AB" w:rsidRDefault="004E49AB" w:rsidP="004E49AB">
      <w:pPr>
        <w:pStyle w:val="dotpoint"/>
      </w:pPr>
      <w:r>
        <w:t>if more than one AMIT restructures into a single ACCIV, each AMIT must not hold an interest in another AMIT that is also entering into the same restructure</w:t>
      </w:r>
      <w:r w:rsidR="003F61FC">
        <w:t>;</w:t>
      </w:r>
    </w:p>
    <w:p w14:paraId="0D502618" w14:textId="0098366E" w:rsidR="004E49AB" w:rsidRDefault="004E49AB" w:rsidP="004E49AB">
      <w:pPr>
        <w:pStyle w:val="dotpoint"/>
      </w:pPr>
      <w:r>
        <w:t xml:space="preserve">a separate sub-fund </w:t>
      </w:r>
      <w:r w:rsidR="0064338A">
        <w:t xml:space="preserve">must be </w:t>
      </w:r>
      <w:r>
        <w:t xml:space="preserve">created in the ACCIV for each </w:t>
      </w:r>
      <w:r w:rsidR="0064338A">
        <w:t xml:space="preserve">separate </w:t>
      </w:r>
      <w:r>
        <w:t>AMIT that restructures into the ACCIV</w:t>
      </w:r>
      <w:r w:rsidR="00B310D9">
        <w:t>,</w:t>
      </w:r>
      <w:r w:rsidR="00C83D1C">
        <w:t xml:space="preserve"> which means that the assets within each separate AMIT must be the same as the assets in the sub-fund that relates to those separate AMITs</w:t>
      </w:r>
      <w:r>
        <w:t xml:space="preserve">; </w:t>
      </w:r>
      <w:r w:rsidR="0064338A">
        <w:t xml:space="preserve">and </w:t>
      </w:r>
    </w:p>
    <w:p w14:paraId="50BE6CA5" w14:textId="6BA7D933" w:rsidR="0064338A" w:rsidRDefault="0064338A" w:rsidP="0064338A">
      <w:pPr>
        <w:pStyle w:val="dotpoint"/>
      </w:pPr>
      <w:r>
        <w:t xml:space="preserve">the </w:t>
      </w:r>
      <w:r w:rsidR="00C83D1C">
        <w:t xml:space="preserve">interests in each of the </w:t>
      </w:r>
      <w:r>
        <w:t>sub-funds must be owned by</w:t>
      </w:r>
      <w:r w:rsidR="00C83D1C">
        <w:t xml:space="preserve"> the same beneficiaries of the related </w:t>
      </w:r>
      <w:r>
        <w:t xml:space="preserve">AMIT in the same proportions. </w:t>
      </w:r>
    </w:p>
    <w:p w14:paraId="28B392FF" w14:textId="26CEFAE1" w:rsidR="00976F07" w:rsidRPr="00075944" w:rsidRDefault="00166A9F" w:rsidP="00DD6921">
      <w:pPr>
        <w:pStyle w:val="base-text-paragraphnonumbers"/>
        <w:rPr>
          <w:rStyle w:val="Referencingstyle"/>
        </w:rPr>
      </w:pPr>
      <w:r>
        <w:rPr>
          <w:rStyle w:val="Referencingstyle"/>
        </w:rPr>
        <w:t>[Schedule #, item 254</w:t>
      </w:r>
      <w:r w:rsidR="00976F07" w:rsidRPr="00075944">
        <w:rPr>
          <w:rStyle w:val="Referencingstyle"/>
        </w:rPr>
        <w:t>, subsection 124</w:t>
      </w:r>
      <w:r w:rsidR="00976F07" w:rsidRPr="00075944">
        <w:rPr>
          <w:rStyle w:val="Referencingstyle"/>
        </w:rPr>
        <w:noBreakHyphen/>
        <w:t>855(2)]</w:t>
      </w:r>
    </w:p>
    <w:p w14:paraId="5EAA6930" w14:textId="77A62BEC" w:rsidR="005B51F1" w:rsidRDefault="005B51F1" w:rsidP="00FA4ED6">
      <w:pPr>
        <w:pStyle w:val="base-text-paragraph"/>
        <w:numPr>
          <w:ilvl w:val="1"/>
          <w:numId w:val="23"/>
        </w:numPr>
      </w:pPr>
      <w:r>
        <w:lastRenderedPageBreak/>
        <w:t>In this regard, there are limitations to applying the relief as the roll</w:t>
      </w:r>
      <w:r w:rsidR="00983015">
        <w:t>-</w:t>
      </w:r>
      <w:r>
        <w:t>over does not permit the combining of different pools of assets from multiple AMITs in</w:t>
      </w:r>
      <w:r w:rsidR="00D05AFD">
        <w:t>to</w:t>
      </w:r>
      <w:r>
        <w:t xml:space="preserve"> the one sub-fund.</w:t>
      </w:r>
    </w:p>
    <w:p w14:paraId="7709B8CC" w14:textId="6F5370AB" w:rsidR="003B62F8" w:rsidRDefault="00B2774E" w:rsidP="00A94B4B">
      <w:pPr>
        <w:pStyle w:val="Heading4"/>
      </w:pPr>
      <w:r>
        <w:t>D</w:t>
      </w:r>
      <w:r w:rsidR="003B62F8">
        <w:t>isposal of trust assets</w:t>
      </w:r>
    </w:p>
    <w:p w14:paraId="76960B94" w14:textId="1821D4BA" w:rsidR="00DD6921" w:rsidRPr="00DD6921" w:rsidRDefault="003B62F8" w:rsidP="00C83D1C">
      <w:pPr>
        <w:pStyle w:val="base-text-paragraph"/>
        <w:numPr>
          <w:ilvl w:val="1"/>
          <w:numId w:val="20"/>
        </w:numPr>
      </w:pPr>
      <w:r>
        <w:t>All of the CGT assets of the AMIT must be disposed of to the ACCIV during</w:t>
      </w:r>
      <w:r w:rsidR="005735B5">
        <w:t xml:space="preserve"> the trust restructuring period</w:t>
      </w:r>
      <w:r w:rsidR="00F058B9">
        <w:t xml:space="preserve"> (see subsection</w:t>
      </w:r>
      <w:r w:rsidR="00F058B9" w:rsidRPr="00F058B9">
        <w:t xml:space="preserve"> 124</w:t>
      </w:r>
      <w:r w:rsidR="00F058B9" w:rsidRPr="00F058B9">
        <w:noBreakHyphen/>
        <w:t>860(1))</w:t>
      </w:r>
      <w:r w:rsidR="00B2774E" w:rsidRPr="00F058B9">
        <w:t>.</w:t>
      </w:r>
      <w:r w:rsidR="00B2774E">
        <w:t xml:space="preserve"> This allows for a staggered transfer of the assets or a single transfer of all of the assets of the AMIT.</w:t>
      </w:r>
      <w:r w:rsidR="005735B5">
        <w:t xml:space="preserve"> </w:t>
      </w:r>
      <w:r w:rsidR="00B2774E">
        <w:t>However, assets that are specifically retained in the AMIT for the purposes of discharging existing or expected debts of the AMIT can be ignored</w:t>
      </w:r>
      <w:r w:rsidR="004B1AEA">
        <w:t>.</w:t>
      </w:r>
    </w:p>
    <w:p w14:paraId="7BBF7BBE" w14:textId="193D9859" w:rsidR="00B2774E" w:rsidRPr="00B2774E" w:rsidRDefault="00B2774E" w:rsidP="00A94B4B">
      <w:pPr>
        <w:pStyle w:val="Heading4"/>
      </w:pPr>
      <w:r w:rsidRPr="00B2774E">
        <w:t>The trust restructuring period</w:t>
      </w:r>
    </w:p>
    <w:p w14:paraId="4B035FBF" w14:textId="60F1FF74" w:rsidR="003B62F8" w:rsidRDefault="003B62F8" w:rsidP="00C83D1C">
      <w:pPr>
        <w:pStyle w:val="base-text-paragraph"/>
        <w:numPr>
          <w:ilvl w:val="1"/>
          <w:numId w:val="23"/>
        </w:numPr>
      </w:pPr>
      <w:r>
        <w:t xml:space="preserve">The trust restructuring period starts just before the first asset is disposed of to the </w:t>
      </w:r>
      <w:r w:rsidR="00B2774E">
        <w:t xml:space="preserve">ACCIV </w:t>
      </w:r>
      <w:r w:rsidR="00D05AFD">
        <w:t xml:space="preserve">and ends at the time the last asset is </w:t>
      </w:r>
      <w:r>
        <w:t xml:space="preserve">disposed </w:t>
      </w:r>
      <w:r w:rsidR="00D05AFD">
        <w:t xml:space="preserve">of </w:t>
      </w:r>
      <w:r w:rsidR="00B2774E">
        <w:t>under the</w:t>
      </w:r>
      <w:r>
        <w:t xml:space="preserve"> restructure</w:t>
      </w:r>
      <w:r w:rsidR="00F058B9">
        <w:t xml:space="preserve"> (see subsection 124-860(2))</w:t>
      </w:r>
      <w:r>
        <w:t xml:space="preserve">. Therefore the assets that must be disposed of are all the assets owned by the </w:t>
      </w:r>
      <w:r w:rsidR="005735B5">
        <w:t>AMIT</w:t>
      </w:r>
      <w:r>
        <w:t xml:space="preserve"> just before the disp</w:t>
      </w:r>
      <w:r w:rsidR="005735B5">
        <w:t>osal of the first asset to the ACCIV</w:t>
      </w:r>
      <w:r>
        <w:t xml:space="preserve">, including any assets acquired by the </w:t>
      </w:r>
      <w:r w:rsidR="005735B5">
        <w:t xml:space="preserve">AMIT </w:t>
      </w:r>
      <w:r>
        <w:t xml:space="preserve">up to and until the last asset is disposed of to the </w:t>
      </w:r>
      <w:r w:rsidR="005735B5">
        <w:t>ACCIV</w:t>
      </w:r>
      <w:r w:rsidR="004B1AEA">
        <w:t>.</w:t>
      </w:r>
    </w:p>
    <w:p w14:paraId="363D2F94" w14:textId="224FEDFB" w:rsidR="003B62F8" w:rsidRPr="00F60C45" w:rsidRDefault="00E95D14" w:rsidP="00A94B4B">
      <w:pPr>
        <w:pStyle w:val="Heading4"/>
      </w:pPr>
      <w:r>
        <w:t>Additional requirements of the ACCIV</w:t>
      </w:r>
    </w:p>
    <w:p w14:paraId="4590C70F" w14:textId="58CD7924" w:rsidR="00F60C45" w:rsidRDefault="00F52849" w:rsidP="00FA4ED6">
      <w:pPr>
        <w:pStyle w:val="base-text-paragraph"/>
        <w:numPr>
          <w:ilvl w:val="1"/>
          <w:numId w:val="23"/>
        </w:numPr>
      </w:pPr>
      <w:r>
        <w:t xml:space="preserve">The </w:t>
      </w:r>
      <w:r w:rsidR="00F058B9">
        <w:t>amendment</w:t>
      </w:r>
      <w:r w:rsidR="00EB5628">
        <w:t>s adapt</w:t>
      </w:r>
      <w:r w:rsidR="00F058B9">
        <w:t xml:space="preserve"> </w:t>
      </w:r>
      <w:r w:rsidR="00982358">
        <w:t xml:space="preserve">certain </w:t>
      </w:r>
      <w:r w:rsidR="00F058B9">
        <w:t xml:space="preserve">existing requirements for the transferee company (see subsections 124-860(3), (4) and (5)) </w:t>
      </w:r>
      <w:r w:rsidR="002F2A44">
        <w:t>to</w:t>
      </w:r>
      <w:r w:rsidR="00F058B9">
        <w:t xml:space="preserve"> ACCIVs </w:t>
      </w:r>
      <w:r w:rsidR="002F2A44">
        <w:t>and</w:t>
      </w:r>
      <w:r w:rsidR="00982358">
        <w:t xml:space="preserve"> appl</w:t>
      </w:r>
      <w:r w:rsidR="002F2A44">
        <w:t>ies</w:t>
      </w:r>
      <w:r>
        <w:t xml:space="preserve"> certain tests </w:t>
      </w:r>
      <w:r w:rsidR="00F058B9">
        <w:t>to the sub-fund of the ACCIV.</w:t>
      </w:r>
      <w:r w:rsidR="00982358">
        <w:t xml:space="preserve"> As a result, the ACCIV must</w:t>
      </w:r>
      <w:r w:rsidR="00F60C45">
        <w:t xml:space="preserve"> satisfy the following requirements:</w:t>
      </w:r>
    </w:p>
    <w:p w14:paraId="5E3174D9" w14:textId="50C6884E" w:rsidR="00F60C45" w:rsidRDefault="00F60C45" w:rsidP="00F60C45">
      <w:pPr>
        <w:pStyle w:val="dotpoint"/>
      </w:pPr>
      <w:r>
        <w:t>it is not a</w:t>
      </w:r>
      <w:r w:rsidR="00FC23FB">
        <w:t xml:space="preserve">n entity </w:t>
      </w:r>
      <w:r w:rsidR="00D05AFD">
        <w:t xml:space="preserve">that is </w:t>
      </w:r>
      <w:r w:rsidR="00FC23FB">
        <w:t>exempt from income tax;</w:t>
      </w:r>
    </w:p>
    <w:p w14:paraId="2A5C7FFA" w14:textId="489B7B88" w:rsidR="00F60C45" w:rsidRDefault="00F60C45" w:rsidP="00F60C45">
      <w:pPr>
        <w:pStyle w:val="dotpoint"/>
      </w:pPr>
      <w:r>
        <w:t>it has never carried on any commercial activities</w:t>
      </w:r>
      <w:r w:rsidR="00FC23FB">
        <w:t>;</w:t>
      </w:r>
    </w:p>
    <w:p w14:paraId="39A656D0" w14:textId="265EC54B" w:rsidR="00F60C45" w:rsidRDefault="00D05AFD" w:rsidP="00F60C45">
      <w:pPr>
        <w:pStyle w:val="dotpoint"/>
      </w:pPr>
      <w:r>
        <w:t>it</w:t>
      </w:r>
      <w:r w:rsidR="00CE1536">
        <w:t xml:space="preserve">s sub-fund that relates to the restructuring AMIT </w:t>
      </w:r>
      <w:r w:rsidR="00F60C45">
        <w:t xml:space="preserve">has no CGT assets other than small amounts of cash, </w:t>
      </w:r>
      <w:r w:rsidR="00663830">
        <w:t>or rights under an arrangement that only facilitate</w:t>
      </w:r>
      <w:r w:rsidR="00065CE9">
        <w:t>s</w:t>
      </w:r>
      <w:r w:rsidR="00663830">
        <w:t xml:space="preserve"> the transfer of assets to the ACCIV from the AMI</w:t>
      </w:r>
      <w:r w:rsidR="00A861DB">
        <w:t>T; and</w:t>
      </w:r>
    </w:p>
    <w:p w14:paraId="3D5D3DDB" w14:textId="2BF859E2" w:rsidR="00F60C45" w:rsidRDefault="00FC23FB" w:rsidP="00F60C45">
      <w:pPr>
        <w:pStyle w:val="dotpoint"/>
      </w:pPr>
      <w:r>
        <w:t>it has no losses of any kind.</w:t>
      </w:r>
    </w:p>
    <w:p w14:paraId="3D4652D9" w14:textId="03C5274A" w:rsidR="0049282B" w:rsidRPr="0049282B" w:rsidRDefault="00166A9F" w:rsidP="00DD6921">
      <w:pPr>
        <w:pStyle w:val="base-text-paragraphnonumbers"/>
        <w:rPr>
          <w:rStyle w:val="Referencingstyle"/>
        </w:rPr>
      </w:pPr>
      <w:r>
        <w:rPr>
          <w:rStyle w:val="Referencingstyle"/>
        </w:rPr>
        <w:t>[Schedule #, item 256</w:t>
      </w:r>
      <w:r w:rsidR="0049282B" w:rsidRPr="0049282B">
        <w:rPr>
          <w:rStyle w:val="Referencingstyle"/>
        </w:rPr>
        <w:t xml:space="preserve">, subsection 124-860(5A)] </w:t>
      </w:r>
    </w:p>
    <w:p w14:paraId="2D9672AA" w14:textId="2893175C" w:rsidR="00F60C45" w:rsidRDefault="003427A8" w:rsidP="007A2424">
      <w:pPr>
        <w:pStyle w:val="base-text-paragraph"/>
        <w:numPr>
          <w:ilvl w:val="1"/>
          <w:numId w:val="20"/>
        </w:numPr>
      </w:pPr>
      <w:r w:rsidRPr="0099461D">
        <w:tab/>
        <w:t xml:space="preserve">As distinct from other trusts that restructure into a company, the requirement that there are no CGT assets other than something nominal also applies to the trustee of the restructuring AMIT. </w:t>
      </w:r>
      <w:r w:rsidR="00166A9F">
        <w:rPr>
          <w:rStyle w:val="Referencingstyle"/>
        </w:rPr>
        <w:t>[Schedule #, item 255</w:t>
      </w:r>
      <w:r w:rsidRPr="003427A8">
        <w:rPr>
          <w:rStyle w:val="Referencingstyle"/>
        </w:rPr>
        <w:t>, subsection 124-860(5</w:t>
      </w:r>
      <w:r w:rsidR="00166A9F">
        <w:rPr>
          <w:rStyle w:val="Referencingstyle"/>
        </w:rPr>
        <w:t>)</w:t>
      </w:r>
      <w:r w:rsidR="007D106F">
        <w:rPr>
          <w:rStyle w:val="Referencingstyle"/>
        </w:rPr>
        <w:t>]</w:t>
      </w:r>
    </w:p>
    <w:p w14:paraId="526667BE" w14:textId="4357C4F2" w:rsidR="00FC23FB" w:rsidRDefault="00FC23FB" w:rsidP="00FE7017">
      <w:pPr>
        <w:pStyle w:val="Heading4"/>
      </w:pPr>
      <w:r>
        <w:lastRenderedPageBreak/>
        <w:t>Proportional interest must be maintained</w:t>
      </w:r>
    </w:p>
    <w:p w14:paraId="1F83E79F" w14:textId="566878A3" w:rsidR="00B251E8" w:rsidRDefault="00B251E8" w:rsidP="00821367">
      <w:pPr>
        <w:pStyle w:val="base-text-paragraph"/>
        <w:numPr>
          <w:ilvl w:val="1"/>
          <w:numId w:val="20"/>
        </w:numPr>
      </w:pPr>
      <w:r>
        <w:t xml:space="preserve">The requirement that entities own their interests in the same proportions ensures that a roll-over is only available where an entity’s economic ownership in the assets of the AMIT remains unchanged on the completion of the restructuring of the AMIT into an ACCIV. </w:t>
      </w:r>
    </w:p>
    <w:p w14:paraId="60C090FD" w14:textId="73D18014" w:rsidR="0049282B" w:rsidRDefault="00FC23FB" w:rsidP="00821367">
      <w:pPr>
        <w:pStyle w:val="base-text-paragraph"/>
        <w:numPr>
          <w:ilvl w:val="1"/>
          <w:numId w:val="20"/>
        </w:numPr>
      </w:pPr>
      <w:r>
        <w:t>At the end of the trust restructuring period, each entity that owned interests in an AMIT must own replacement intere</w:t>
      </w:r>
      <w:r w:rsidR="00F52849">
        <w:t>sts of</w:t>
      </w:r>
      <w:r>
        <w:t xml:space="preserve"> the sub</w:t>
      </w:r>
      <w:r w:rsidR="00DD6921">
        <w:noBreakHyphen/>
      </w:r>
      <w:r>
        <w:t>fund</w:t>
      </w:r>
      <w:r w:rsidR="00F52849">
        <w:t xml:space="preserve"> in the ACCIV relating to that AMIT</w:t>
      </w:r>
      <w:r w:rsidR="00E03C17">
        <w:t xml:space="preserve">. Further, these replacement interests must be in the </w:t>
      </w:r>
      <w:r w:rsidR="0030049B">
        <w:t xml:space="preserve">same proportion as the entity </w:t>
      </w:r>
      <w:r w:rsidR="00D5347A">
        <w:t xml:space="preserve">had </w:t>
      </w:r>
      <w:r w:rsidR="0030049B">
        <w:t>owned those interests in that AMIT before the restructure</w:t>
      </w:r>
      <w:r w:rsidR="00D5347A">
        <w:t xml:space="preserve"> occurred</w:t>
      </w:r>
      <w:r w:rsidR="0030049B" w:rsidRPr="00821367">
        <w:t>.</w:t>
      </w:r>
      <w:r w:rsidR="0049282B">
        <w:t xml:space="preserve"> </w:t>
      </w:r>
      <w:r w:rsidR="0049282B" w:rsidRPr="0049282B">
        <w:rPr>
          <w:rStyle w:val="Referencingstyle"/>
        </w:rPr>
        <w:t>[Schedule #, i</w:t>
      </w:r>
      <w:r w:rsidR="00C11CB5">
        <w:rPr>
          <w:rStyle w:val="Referencingstyle"/>
        </w:rPr>
        <w:t>tem 257</w:t>
      </w:r>
      <w:r w:rsidR="00E03C17">
        <w:rPr>
          <w:rStyle w:val="Referencingstyle"/>
        </w:rPr>
        <w:t>, paragraph 124-860(6)(a)]</w:t>
      </w:r>
    </w:p>
    <w:p w14:paraId="53C0B40D" w14:textId="39BAABC1" w:rsidR="00D5347A" w:rsidRDefault="00CA7A37" w:rsidP="00821367">
      <w:pPr>
        <w:pStyle w:val="base-text-paragraph"/>
        <w:numPr>
          <w:ilvl w:val="1"/>
          <w:numId w:val="20"/>
        </w:numPr>
      </w:pPr>
      <w:r>
        <w:t xml:space="preserve">If more than one AMIT restructures into the same ACCIV, the interests in each of the AMITs must be owned by the same entities in the same proportions. </w:t>
      </w:r>
      <w:r w:rsidR="00D5347A">
        <w:t xml:space="preserve">For example, where two or more AMITs restructure into a single ACCIV, </w:t>
      </w:r>
      <w:r w:rsidR="001A4775">
        <w:t>an entity</w:t>
      </w:r>
      <w:r w:rsidR="00D5347A">
        <w:t xml:space="preserve"> </w:t>
      </w:r>
      <w:r w:rsidR="00BC20BD">
        <w:t>with</w:t>
      </w:r>
      <w:r w:rsidR="00D5347A">
        <w:t xml:space="preserve"> interests in </w:t>
      </w:r>
      <w:r w:rsidR="00BC20BD">
        <w:t xml:space="preserve">a specific </w:t>
      </w:r>
      <w:r w:rsidR="002724CD">
        <w:t>AMIT</w:t>
      </w:r>
      <w:r w:rsidR="00D5347A">
        <w:t xml:space="preserve"> will own the sa</w:t>
      </w:r>
      <w:r w:rsidR="00BC20BD">
        <w:t xml:space="preserve">me proportional interest in a </w:t>
      </w:r>
      <w:r w:rsidR="00D5347A">
        <w:t xml:space="preserve">new sub-fund of the ACCIV </w:t>
      </w:r>
      <w:r w:rsidR="001A4775">
        <w:t>that</w:t>
      </w:r>
      <w:r w:rsidR="00BC20BD">
        <w:t xml:space="preserve"> </w:t>
      </w:r>
      <w:r w:rsidR="00D5347A">
        <w:t xml:space="preserve">relates to </w:t>
      </w:r>
      <w:r w:rsidR="00BC20BD">
        <w:t xml:space="preserve">that </w:t>
      </w:r>
      <w:r w:rsidR="00D5347A">
        <w:t>specific AMIT.</w:t>
      </w:r>
    </w:p>
    <w:p w14:paraId="5F151B04" w14:textId="76524BE2" w:rsidR="0049282B" w:rsidRPr="002F2A44" w:rsidRDefault="00E95D14" w:rsidP="00821367">
      <w:pPr>
        <w:pStyle w:val="base-text-paragraph"/>
        <w:numPr>
          <w:ilvl w:val="1"/>
          <w:numId w:val="20"/>
        </w:numPr>
        <w:rPr>
          <w:rStyle w:val="Referencingstyle"/>
          <w:b w:val="0"/>
          <w:i w:val="0"/>
          <w:sz w:val="22"/>
        </w:rPr>
      </w:pPr>
      <w:r>
        <w:t>In addition, the market value of the interests in the sub-fund just after the trust restructuring period must be at least substantially the same as the market value of the interests in the AMIT just before the start of the trust restructuring period.</w:t>
      </w:r>
      <w:r w:rsidR="0049282B">
        <w:t xml:space="preserve"> </w:t>
      </w:r>
      <w:r w:rsidR="00C11CB5">
        <w:rPr>
          <w:rStyle w:val="Referencingstyle"/>
        </w:rPr>
        <w:t>[Schedule #, item 258</w:t>
      </w:r>
      <w:r w:rsidR="0049282B" w:rsidRPr="0049282B">
        <w:rPr>
          <w:rStyle w:val="Referencingstyle"/>
        </w:rPr>
        <w:t>, paragraph 124-860(6)(b)]</w:t>
      </w:r>
    </w:p>
    <w:p w14:paraId="6550A126" w14:textId="77777777" w:rsidR="00FC3E66" w:rsidRPr="00FC3E66" w:rsidRDefault="002F2A44" w:rsidP="002F2A44">
      <w:pPr>
        <w:pStyle w:val="ExampleHeading"/>
        <w:rPr>
          <w:b w:val="0"/>
        </w:rPr>
      </w:pPr>
      <w:r>
        <w:rPr>
          <w:rStyle w:val="Referencingstyle"/>
          <w:b/>
          <w:i w:val="0"/>
          <w:sz w:val="22"/>
        </w:rPr>
        <w:t xml:space="preserve">: </w:t>
      </w:r>
      <w:r>
        <w:t xml:space="preserve">Multiple AMITs </w:t>
      </w:r>
      <w:r w:rsidR="00FC3E66">
        <w:t>restructuring</w:t>
      </w:r>
      <w:r>
        <w:t xml:space="preserve"> into an ACCIV</w:t>
      </w:r>
    </w:p>
    <w:p w14:paraId="6F96EB17" w14:textId="77777777" w:rsidR="00FE7017" w:rsidRDefault="00FC3E66" w:rsidP="00FE7017">
      <w:pPr>
        <w:pStyle w:val="exampletext"/>
        <w:keepNext/>
      </w:pPr>
      <w:r w:rsidRPr="00FC3E66">
        <w:rPr>
          <w:u w:val="single"/>
        </w:rPr>
        <w:t xml:space="preserve">Before </w:t>
      </w:r>
      <w:r w:rsidR="00C512AB">
        <w:rPr>
          <w:u w:val="single"/>
        </w:rPr>
        <w:t>restructure</w:t>
      </w:r>
      <w:r w:rsidR="00C512AB">
        <w:t xml:space="preserve"> </w:t>
      </w:r>
    </w:p>
    <w:p w14:paraId="35AD12A0" w14:textId="77777777" w:rsidR="00FE7017" w:rsidRDefault="002F2A44" w:rsidP="002F2A44">
      <w:pPr>
        <w:pStyle w:val="exampletext"/>
        <w:rPr>
          <w:rStyle w:val="Referencingstyle"/>
          <w:b w:val="0"/>
          <w:i w:val="0"/>
          <w:sz w:val="20"/>
          <w:u w:val="single"/>
        </w:rPr>
      </w:pPr>
      <w:r>
        <w:rPr>
          <w:noProof/>
        </w:rPr>
        <w:drawing>
          <wp:inline distT="0" distB="0" distL="0" distR="0" wp14:anchorId="2FC3F0A4" wp14:editId="49C80453">
            <wp:extent cx="2361538" cy="2317637"/>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6261" cy="2322272"/>
                    </a:xfrm>
                    <a:prstGeom prst="rect">
                      <a:avLst/>
                    </a:prstGeom>
                    <a:noFill/>
                    <a:ln>
                      <a:noFill/>
                    </a:ln>
                  </pic:spPr>
                </pic:pic>
              </a:graphicData>
            </a:graphic>
          </wp:inline>
        </w:drawing>
      </w:r>
      <w:r w:rsidR="00FC3E66">
        <w:rPr>
          <w:rStyle w:val="Referencingstyle"/>
          <w:b w:val="0"/>
          <w:i w:val="0"/>
          <w:sz w:val="22"/>
        </w:rPr>
        <w:br/>
      </w:r>
    </w:p>
    <w:p w14:paraId="7DB807D7" w14:textId="77777777" w:rsidR="00A4031C" w:rsidRDefault="00A4031C" w:rsidP="002F2A44">
      <w:pPr>
        <w:pStyle w:val="exampletext"/>
        <w:rPr>
          <w:rStyle w:val="Referencingstyle"/>
          <w:b w:val="0"/>
          <w:i w:val="0"/>
          <w:sz w:val="20"/>
          <w:u w:val="single"/>
        </w:rPr>
      </w:pPr>
    </w:p>
    <w:p w14:paraId="5A20BD85" w14:textId="4BB05C17" w:rsidR="00FE7017" w:rsidRDefault="00FC3E66" w:rsidP="002F2A44">
      <w:pPr>
        <w:pStyle w:val="exampletext"/>
        <w:rPr>
          <w:rStyle w:val="Referencingstyle"/>
          <w:b w:val="0"/>
          <w:i w:val="0"/>
          <w:sz w:val="20"/>
          <w:u w:val="single"/>
        </w:rPr>
      </w:pPr>
      <w:r w:rsidRPr="00FC3E66">
        <w:rPr>
          <w:rStyle w:val="Referencingstyle"/>
          <w:b w:val="0"/>
          <w:i w:val="0"/>
          <w:sz w:val="20"/>
          <w:u w:val="single"/>
        </w:rPr>
        <w:lastRenderedPageBreak/>
        <w:t xml:space="preserve">After </w:t>
      </w:r>
      <w:r w:rsidR="00C512AB">
        <w:rPr>
          <w:rStyle w:val="Referencingstyle"/>
          <w:b w:val="0"/>
          <w:i w:val="0"/>
          <w:sz w:val="20"/>
          <w:u w:val="single"/>
        </w:rPr>
        <w:t>restructure</w:t>
      </w:r>
    </w:p>
    <w:p w14:paraId="132033B5" w14:textId="20B20DCB" w:rsidR="002F2A44" w:rsidRDefault="002F2A44" w:rsidP="002F2A44">
      <w:pPr>
        <w:pStyle w:val="exampletext"/>
        <w:rPr>
          <w:rStyle w:val="Referencingstyle"/>
          <w:b w:val="0"/>
          <w:i w:val="0"/>
          <w:sz w:val="22"/>
        </w:rPr>
      </w:pPr>
      <w:r>
        <w:rPr>
          <w:noProof/>
          <w:sz w:val="22"/>
        </w:rPr>
        <w:drawing>
          <wp:inline distT="0" distB="0" distL="0" distR="0" wp14:anchorId="223470CC" wp14:editId="79DE00C6">
            <wp:extent cx="2361538" cy="2296238"/>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7761" cy="2312012"/>
                    </a:xfrm>
                    <a:prstGeom prst="rect">
                      <a:avLst/>
                    </a:prstGeom>
                    <a:noFill/>
                    <a:ln>
                      <a:noFill/>
                    </a:ln>
                  </pic:spPr>
                </pic:pic>
              </a:graphicData>
            </a:graphic>
          </wp:inline>
        </w:drawing>
      </w:r>
    </w:p>
    <w:p w14:paraId="10250345" w14:textId="01B75E19" w:rsidR="002F2A44" w:rsidRDefault="002F2A44" w:rsidP="002F2A44">
      <w:pPr>
        <w:pStyle w:val="exampletext"/>
      </w:pPr>
      <w:r>
        <w:t xml:space="preserve">AMIT 1 (which owns </w:t>
      </w:r>
      <w:r w:rsidR="00446F9C">
        <w:t>A</w:t>
      </w:r>
      <w:r>
        <w:t xml:space="preserve">ssets 1) and AMIT 2 (which owns </w:t>
      </w:r>
      <w:r w:rsidR="00446F9C">
        <w:t>A</w:t>
      </w:r>
      <w:r>
        <w:t xml:space="preserve">ssets 2) </w:t>
      </w:r>
      <w:r w:rsidR="00FC3E66">
        <w:t xml:space="preserve">both </w:t>
      </w:r>
      <w:r>
        <w:t xml:space="preserve">choose to </w:t>
      </w:r>
      <w:r w:rsidR="00FC3E66">
        <w:t>restructure</w:t>
      </w:r>
      <w:r>
        <w:t xml:space="preserve"> into an ACCIV. </w:t>
      </w:r>
    </w:p>
    <w:p w14:paraId="1D9D6507" w14:textId="77777777" w:rsidR="00A4031C" w:rsidRDefault="00FC3E66" w:rsidP="002F2A44">
      <w:pPr>
        <w:pStyle w:val="exampletext"/>
      </w:pPr>
      <w:r>
        <w:t>At the end of the restructuring period</w:t>
      </w:r>
      <w:r w:rsidR="00A4031C">
        <w:t>:</w:t>
      </w:r>
    </w:p>
    <w:p w14:paraId="26415F30" w14:textId="5E92FE7C" w:rsidR="00A4031C" w:rsidRDefault="00FC3E66" w:rsidP="00A4031C">
      <w:pPr>
        <w:pStyle w:val="exampledotpoint1"/>
      </w:pPr>
      <w:r>
        <w:t>AMIT 1 (and its assets) form</w:t>
      </w:r>
      <w:r w:rsidR="002724CD">
        <w:t xml:space="preserve"> S</w:t>
      </w:r>
      <w:r>
        <w:t>ub-fund 1 of the new ACCIV</w:t>
      </w:r>
      <w:r w:rsidR="00A4031C">
        <w:t>; and</w:t>
      </w:r>
    </w:p>
    <w:p w14:paraId="6B4A1E33" w14:textId="77777777" w:rsidR="00A4031C" w:rsidRDefault="00FC3E66" w:rsidP="00A4031C">
      <w:pPr>
        <w:pStyle w:val="exampledotpoint1"/>
      </w:pPr>
      <w:r>
        <w:t>A</w:t>
      </w:r>
      <w:r w:rsidR="00BF41C0">
        <w:t>MIT 2 (and its assets) forms</w:t>
      </w:r>
      <w:r w:rsidR="002724CD">
        <w:t xml:space="preserve"> S</w:t>
      </w:r>
      <w:r>
        <w:t xml:space="preserve">ub-fund 2 of the new ACCIV. </w:t>
      </w:r>
    </w:p>
    <w:p w14:paraId="5B4C9E06" w14:textId="1575827E" w:rsidR="00FC3E66" w:rsidRDefault="00FC3E66" w:rsidP="00A4031C">
      <w:pPr>
        <w:pStyle w:val="exampletext"/>
      </w:pPr>
      <w:r>
        <w:t>Further, unit holders in AMIT 1 and AMIT 2 now own</w:t>
      </w:r>
      <w:r w:rsidR="002724CD">
        <w:t xml:space="preserve"> shares that are referrable to S</w:t>
      </w:r>
      <w:r w:rsidR="00F0583D">
        <w:t>ub-fund 1 and S</w:t>
      </w:r>
      <w:r>
        <w:t>ub-fund 2 respectively.</w:t>
      </w:r>
    </w:p>
    <w:p w14:paraId="3526C0BB" w14:textId="7BF8E5D2" w:rsidR="00BF41C0" w:rsidRDefault="00BF41C0" w:rsidP="002F2A44">
      <w:pPr>
        <w:pStyle w:val="exampletext"/>
      </w:pPr>
      <w:r>
        <w:t>E</w:t>
      </w:r>
      <w:r w:rsidR="00FC3E66">
        <w:t xml:space="preserve">ach entity </w:t>
      </w:r>
      <w:r>
        <w:t>that owned</w:t>
      </w:r>
      <w:r w:rsidR="00FC3E66">
        <w:t xml:space="preserve"> interests in AMIT 1 and AMIT 2 now </w:t>
      </w:r>
      <w:r w:rsidR="0016583F">
        <w:t xml:space="preserve">own </w:t>
      </w:r>
      <w:r w:rsidR="00FC3E66">
        <w:t>replacement interests in the sub-fund relating to t</w:t>
      </w:r>
      <w:r w:rsidR="0016583F">
        <w:t>he</w:t>
      </w:r>
      <w:r w:rsidR="00FC3E66">
        <w:t xml:space="preserve"> specific AMIT in the same proportion </w:t>
      </w:r>
      <w:r w:rsidR="0031531E">
        <w:t>prior to the restructure</w:t>
      </w:r>
      <w:r>
        <w:t xml:space="preserve">. </w:t>
      </w:r>
    </w:p>
    <w:p w14:paraId="736E755C" w14:textId="77777777" w:rsidR="00A4031C" w:rsidRDefault="00BF41C0" w:rsidP="002F2A44">
      <w:pPr>
        <w:pStyle w:val="exampletext"/>
      </w:pPr>
      <w:r>
        <w:t xml:space="preserve">Consequently, </w:t>
      </w:r>
      <w:r w:rsidR="00A4031C">
        <w:t xml:space="preserve">provided that other requirements are satisfied, </w:t>
      </w:r>
      <w:r>
        <w:t>r</w:t>
      </w:r>
      <w:r w:rsidR="00FC3E66">
        <w:t xml:space="preserve">oll-over relief is </w:t>
      </w:r>
      <w:r w:rsidR="0031531E">
        <w:t>available t</w:t>
      </w:r>
      <w:r w:rsidR="00A81FDC">
        <w:t>o</w:t>
      </w:r>
      <w:r w:rsidR="00A4031C">
        <w:t>:</w:t>
      </w:r>
    </w:p>
    <w:p w14:paraId="5AEB8D2A" w14:textId="77777777" w:rsidR="00A4031C" w:rsidRDefault="00A81FDC" w:rsidP="00A4031C">
      <w:pPr>
        <w:pStyle w:val="exampledotpoint1"/>
      </w:pPr>
      <w:r>
        <w:t>AMIT 1</w:t>
      </w:r>
      <w:r w:rsidR="00A4031C">
        <w:t>;</w:t>
      </w:r>
    </w:p>
    <w:p w14:paraId="4EDBF349" w14:textId="77777777" w:rsidR="00A4031C" w:rsidRDefault="00A81FDC" w:rsidP="00A4031C">
      <w:pPr>
        <w:pStyle w:val="exampledotpoint1"/>
      </w:pPr>
      <w:r>
        <w:t>AMIT 2</w:t>
      </w:r>
      <w:r w:rsidR="00A4031C">
        <w:t>;</w:t>
      </w:r>
      <w:r>
        <w:t xml:space="preserve"> and </w:t>
      </w:r>
    </w:p>
    <w:p w14:paraId="018C8557" w14:textId="71019B4B" w:rsidR="00FC3E66" w:rsidRDefault="00A81FDC" w:rsidP="00A4031C">
      <w:pPr>
        <w:pStyle w:val="exampledotpoint1"/>
      </w:pPr>
      <w:r>
        <w:t xml:space="preserve">the </w:t>
      </w:r>
      <w:r w:rsidR="00682CC9">
        <w:t>entities that owned interests in AMIT 1 and AMIT 2</w:t>
      </w:r>
      <w:r>
        <w:t>.</w:t>
      </w:r>
    </w:p>
    <w:p w14:paraId="4FC04C3A" w14:textId="77777777" w:rsidR="001A4775" w:rsidRDefault="001A4775" w:rsidP="00FE7017">
      <w:pPr>
        <w:pStyle w:val="Heading4"/>
      </w:pPr>
      <w:r>
        <w:t>Exception to proportionate interest tests</w:t>
      </w:r>
    </w:p>
    <w:p w14:paraId="57DD35CC" w14:textId="3CC57A35" w:rsidR="001A4775" w:rsidRPr="001A4775" w:rsidRDefault="005034ED" w:rsidP="005034ED">
      <w:pPr>
        <w:pStyle w:val="base-text-paragraph"/>
        <w:numPr>
          <w:ilvl w:val="1"/>
          <w:numId w:val="20"/>
        </w:numPr>
      </w:pPr>
      <w:r>
        <w:t xml:space="preserve">The existing exceptions to the proportionate interest tests (see subsection 124-860(7)) will also apply to ACCIVs. </w:t>
      </w:r>
      <w:r w:rsidR="001A4775">
        <w:t xml:space="preserve">As the ACCIV may be a shelf company, a nominal number of shares may be owned by entities other than the entities with interests in the AMIT before the first asset is </w:t>
      </w:r>
      <w:r w:rsidR="001A4775">
        <w:lastRenderedPageBreak/>
        <w:t xml:space="preserve">disposed of to the ACCIV. It is also a requirement that the entities that own shares in the ACCIV just before the start of the trust restructuring period only own up to </w:t>
      </w:r>
      <w:r w:rsidR="00A4031C">
        <w:t>five</w:t>
      </w:r>
      <w:r w:rsidR="001A4775">
        <w:t xml:space="preserve"> sh</w:t>
      </w:r>
      <w:r w:rsidR="00423617">
        <w:t>ares collectively at that time</w:t>
      </w:r>
      <w:r w:rsidR="00AB53E6">
        <w:t>.</w:t>
      </w:r>
    </w:p>
    <w:p w14:paraId="1F393346" w14:textId="7D667A6E" w:rsidR="001A4775" w:rsidRDefault="001A4775" w:rsidP="005034ED">
      <w:pPr>
        <w:pStyle w:val="base-text-paragraph"/>
        <w:numPr>
          <w:ilvl w:val="1"/>
          <w:numId w:val="20"/>
        </w:numPr>
      </w:pPr>
      <w:r>
        <w:t>Those shares initially issued in the shelf company may be ignored for the purposes of the proportionate interest tests where the market value of the shares owned in the ACCIV before the trust restructuring period is so insignificant that it would be reasonable to treat the other entities with interests in the AMIT as if they own</w:t>
      </w:r>
      <w:r w:rsidR="00423617">
        <w:t>ed all the shares in the ACCIV.</w:t>
      </w:r>
    </w:p>
    <w:p w14:paraId="7063E512" w14:textId="6A8EE7E9" w:rsidR="00FC23FB" w:rsidRPr="00FC23FB" w:rsidRDefault="001A4775" w:rsidP="00FE7017">
      <w:pPr>
        <w:pStyle w:val="Heading4"/>
      </w:pPr>
      <w:r>
        <w:t>Choosing the roll-over</w:t>
      </w:r>
    </w:p>
    <w:p w14:paraId="3EC2F116" w14:textId="371B2D20" w:rsidR="00784576" w:rsidRPr="00FA1254" w:rsidRDefault="005B3C53" w:rsidP="00EF6197">
      <w:pPr>
        <w:pStyle w:val="base-text-paragraph"/>
        <w:numPr>
          <w:ilvl w:val="1"/>
          <w:numId w:val="20"/>
        </w:numPr>
      </w:pPr>
      <w:r>
        <w:t>R</w:t>
      </w:r>
      <w:r w:rsidR="00784576" w:rsidRPr="00784576">
        <w:t>oll</w:t>
      </w:r>
      <w:r w:rsidR="00FA1254">
        <w:t>-</w:t>
      </w:r>
      <w:r w:rsidR="00784576" w:rsidRPr="00784576">
        <w:t>over relief will</w:t>
      </w:r>
      <w:r>
        <w:t xml:space="preserve"> only be available for t</w:t>
      </w:r>
      <w:r w:rsidR="00B316AD">
        <w:t xml:space="preserve">he AMIT and the ACCIV if both </w:t>
      </w:r>
      <w:r w:rsidR="00EB5628">
        <w:t xml:space="preserve">the </w:t>
      </w:r>
      <w:r w:rsidR="00B316AD">
        <w:t>AMIT and the operator of the ACCIV (the corporate director)</w:t>
      </w:r>
      <w:r>
        <w:t xml:space="preserve"> have elected to apply it. However, </w:t>
      </w:r>
      <w:r w:rsidR="00D02999">
        <w:t xml:space="preserve">to the extent </w:t>
      </w:r>
      <w:r w:rsidR="00FA1254">
        <w:t>that the</w:t>
      </w:r>
      <w:r w:rsidR="00D02999">
        <w:t xml:space="preserve"> AMIT and </w:t>
      </w:r>
      <w:r w:rsidR="00FA1254">
        <w:t xml:space="preserve">the </w:t>
      </w:r>
      <w:r w:rsidR="00D02999">
        <w:t>ACCIV</w:t>
      </w:r>
      <w:r w:rsidR="00FA1254">
        <w:t xml:space="preserve"> both apply</w:t>
      </w:r>
      <w:r w:rsidR="00784576" w:rsidRPr="00784576">
        <w:t xml:space="preserve"> for roll</w:t>
      </w:r>
      <w:r w:rsidR="00983015">
        <w:t>-</w:t>
      </w:r>
      <w:r w:rsidR="00784576" w:rsidRPr="00784576">
        <w:t>over relief</w:t>
      </w:r>
      <w:r w:rsidR="00D02999">
        <w:t>,</w:t>
      </w:r>
      <w:r w:rsidR="00784576" w:rsidRPr="00784576">
        <w:t xml:space="preserve"> it will be mandatory </w:t>
      </w:r>
      <w:r>
        <w:t>on</w:t>
      </w:r>
      <w:r w:rsidR="00FA1254">
        <w:t xml:space="preserve"> entities that own units or interests in the AMIT</w:t>
      </w:r>
      <w:r>
        <w:t xml:space="preserve">. </w:t>
      </w:r>
      <w:r w:rsidR="00784576" w:rsidRPr="00784576">
        <w:t>This will minimise income risks that may arise from the selective treatment of roll</w:t>
      </w:r>
      <w:r w:rsidR="00983015">
        <w:t>-</w:t>
      </w:r>
      <w:r w:rsidR="00784576" w:rsidRPr="00784576">
        <w:t xml:space="preserve">over relief (i.e. the crystallising of losses and rolling over of gains). </w:t>
      </w:r>
      <w:r w:rsidR="00FA1254">
        <w:rPr>
          <w:rStyle w:val="Referencingstyle"/>
        </w:rPr>
        <w:t>[Schedule #, item</w:t>
      </w:r>
      <w:r w:rsidR="007569BC">
        <w:rPr>
          <w:rStyle w:val="Referencingstyle"/>
        </w:rPr>
        <w:t>s</w:t>
      </w:r>
      <w:r w:rsidR="00A4031C">
        <w:rPr>
          <w:rStyle w:val="Referencingstyle"/>
        </w:rPr>
        <w:t> </w:t>
      </w:r>
      <w:r w:rsidR="00C11CB5">
        <w:rPr>
          <w:rStyle w:val="Referencingstyle"/>
        </w:rPr>
        <w:t>259 to 261</w:t>
      </w:r>
      <w:r w:rsidR="00FA1254">
        <w:rPr>
          <w:rStyle w:val="Referencingstyle"/>
        </w:rPr>
        <w:t xml:space="preserve">, </w:t>
      </w:r>
      <w:r w:rsidR="00FA1254" w:rsidRPr="00EF6197">
        <w:rPr>
          <w:rStyle w:val="Referencingstyle"/>
        </w:rPr>
        <w:t>sections 124</w:t>
      </w:r>
      <w:r w:rsidR="00FA1254" w:rsidRPr="00EF6197">
        <w:rPr>
          <w:rStyle w:val="Referencingstyle"/>
        </w:rPr>
        <w:noBreakHyphen/>
        <w:t>865</w:t>
      </w:r>
      <w:r w:rsidR="00FA1254">
        <w:rPr>
          <w:rStyle w:val="Referencingstyle"/>
        </w:rPr>
        <w:t xml:space="preserve"> </w:t>
      </w:r>
      <w:r w:rsidR="00FA1254" w:rsidRPr="00EF6197">
        <w:rPr>
          <w:rStyle w:val="Referencingstyle"/>
        </w:rPr>
        <w:t xml:space="preserve">and </w:t>
      </w:r>
      <w:r w:rsidR="00C11CB5">
        <w:rPr>
          <w:rStyle w:val="Referencingstyle"/>
        </w:rPr>
        <w:t xml:space="preserve">subsection </w:t>
      </w:r>
      <w:r w:rsidRPr="00EF6197">
        <w:rPr>
          <w:rStyle w:val="Referencingstyle"/>
        </w:rPr>
        <w:t>124-870(2A)]</w:t>
      </w:r>
    </w:p>
    <w:p w14:paraId="2B769FAE" w14:textId="154FA7F5" w:rsidR="00FA1254" w:rsidRPr="00FA1254" w:rsidRDefault="00EF6197" w:rsidP="0031531E">
      <w:pPr>
        <w:pStyle w:val="base-text-paragraph"/>
        <w:numPr>
          <w:ilvl w:val="1"/>
          <w:numId w:val="20"/>
        </w:numPr>
        <w:rPr>
          <w:szCs w:val="22"/>
        </w:rPr>
      </w:pPr>
      <w:r w:rsidRPr="0031531E">
        <w:t xml:space="preserve">In relation </w:t>
      </w:r>
      <w:r w:rsidR="00FA1254">
        <w:rPr>
          <w:szCs w:val="22"/>
        </w:rPr>
        <w:t xml:space="preserve">to </w:t>
      </w:r>
      <w:r w:rsidR="00FA1254" w:rsidRPr="00FA1254">
        <w:rPr>
          <w:szCs w:val="22"/>
        </w:rPr>
        <w:t xml:space="preserve">non-resident </w:t>
      </w:r>
      <w:r w:rsidRPr="0031531E">
        <w:t>entities</w:t>
      </w:r>
      <w:r w:rsidR="00FA1254">
        <w:rPr>
          <w:szCs w:val="22"/>
        </w:rPr>
        <w:t xml:space="preserve"> that </w:t>
      </w:r>
      <w:r w:rsidRPr="0031531E">
        <w:t>own</w:t>
      </w:r>
      <w:r w:rsidR="00FA1254">
        <w:rPr>
          <w:szCs w:val="22"/>
        </w:rPr>
        <w:t xml:space="preserve"> units or interests in the AMIT</w:t>
      </w:r>
      <w:r w:rsidRPr="0031531E">
        <w:t xml:space="preserve">, </w:t>
      </w:r>
      <w:r w:rsidR="00CA6A0C" w:rsidRPr="0031531E">
        <w:t>roll-over relief will only</w:t>
      </w:r>
      <w:r w:rsidR="00FA1254" w:rsidRPr="0031531E">
        <w:t xml:space="preserve"> apply </w:t>
      </w:r>
      <w:r w:rsidR="00FA1254" w:rsidRPr="00FA1254">
        <w:rPr>
          <w:szCs w:val="22"/>
        </w:rPr>
        <w:t xml:space="preserve">if the replacement </w:t>
      </w:r>
      <w:r w:rsidR="005B3C53">
        <w:rPr>
          <w:szCs w:val="22"/>
        </w:rPr>
        <w:t>interests</w:t>
      </w:r>
      <w:r w:rsidR="00FA1254">
        <w:rPr>
          <w:szCs w:val="22"/>
        </w:rPr>
        <w:t xml:space="preserve"> in the ACCIV</w:t>
      </w:r>
      <w:r w:rsidR="00FA1254" w:rsidRPr="00FA1254">
        <w:rPr>
          <w:szCs w:val="22"/>
        </w:rPr>
        <w:t xml:space="preserve"> </w:t>
      </w:r>
      <w:r w:rsidRPr="0031531E">
        <w:t>the non-resident entities</w:t>
      </w:r>
      <w:r w:rsidR="00FA1254" w:rsidRPr="00FA1254">
        <w:rPr>
          <w:szCs w:val="22"/>
        </w:rPr>
        <w:t xml:space="preserve"> receive in exchange </w:t>
      </w:r>
      <w:r w:rsidR="00CA6A0C">
        <w:rPr>
          <w:szCs w:val="22"/>
        </w:rPr>
        <w:t>are taxable</w:t>
      </w:r>
      <w:r w:rsidR="00FA1254">
        <w:rPr>
          <w:szCs w:val="22"/>
        </w:rPr>
        <w:t xml:space="preserve"> Australian </w:t>
      </w:r>
      <w:r w:rsidR="005B3C53">
        <w:rPr>
          <w:szCs w:val="22"/>
        </w:rPr>
        <w:t>p</w:t>
      </w:r>
      <w:r w:rsidR="00FA1254">
        <w:rPr>
          <w:szCs w:val="22"/>
        </w:rPr>
        <w:t xml:space="preserve">roperty. </w:t>
      </w:r>
      <w:r w:rsidR="00C11CB5">
        <w:rPr>
          <w:rStyle w:val="Referencingstyle"/>
        </w:rPr>
        <w:t>[Schedule #, item 261</w:t>
      </w:r>
      <w:r w:rsidR="005B3C53" w:rsidRPr="0031531E">
        <w:rPr>
          <w:rStyle w:val="Referencingstyle"/>
        </w:rPr>
        <w:t>, subsections 124-870(2A)]</w:t>
      </w:r>
    </w:p>
    <w:p w14:paraId="5CDB3DC4" w14:textId="7BE40DCF" w:rsidR="00683C15" w:rsidRDefault="00683C15" w:rsidP="00FE7017">
      <w:pPr>
        <w:pStyle w:val="Heading4"/>
      </w:pPr>
      <w:r>
        <w:t xml:space="preserve">Consequences of </w:t>
      </w:r>
      <w:r w:rsidR="00377372">
        <w:t xml:space="preserve">the </w:t>
      </w:r>
      <w:r>
        <w:t>roll-over</w:t>
      </w:r>
    </w:p>
    <w:p w14:paraId="24E79C2B" w14:textId="39EF49AE" w:rsidR="00683C15" w:rsidRPr="00683C15" w:rsidRDefault="006D1E72" w:rsidP="00E047A5">
      <w:pPr>
        <w:pStyle w:val="base-text-paragraph"/>
        <w:numPr>
          <w:ilvl w:val="1"/>
          <w:numId w:val="20"/>
        </w:numPr>
      </w:pPr>
      <w:r>
        <w:t xml:space="preserve">The consequences </w:t>
      </w:r>
      <w:r w:rsidR="00676C73">
        <w:t xml:space="preserve">of the roll-over </w:t>
      </w:r>
      <w:r>
        <w:t>for the AMIT</w:t>
      </w:r>
      <w:r w:rsidR="00676C73">
        <w:t xml:space="preserve"> (transferor) and</w:t>
      </w:r>
      <w:r>
        <w:t xml:space="preserve"> ACCIV </w:t>
      </w:r>
      <w:r w:rsidR="00676C73">
        <w:t>(transferee)</w:t>
      </w:r>
      <w:r>
        <w:t xml:space="preserve"> in </w:t>
      </w:r>
      <w:r w:rsidR="00676C73">
        <w:t>relation to disregarding capital gains and losses</w:t>
      </w:r>
      <w:r>
        <w:t xml:space="preserve"> will be consistent with the existing operation of subsections 124-</w:t>
      </w:r>
      <w:r w:rsidR="007569BC">
        <w:t>8</w:t>
      </w:r>
      <w:r>
        <w:t>70 and 124-</w:t>
      </w:r>
      <w:r w:rsidR="007569BC">
        <w:t>8</w:t>
      </w:r>
      <w:r w:rsidR="00A4031C">
        <w:t>75 in S</w:t>
      </w:r>
      <w:r>
        <w:t>ubdivision 124-N.</w:t>
      </w:r>
    </w:p>
    <w:p w14:paraId="127C7D06" w14:textId="13C05640" w:rsidR="00EA75FC" w:rsidRPr="00BF3D02" w:rsidRDefault="00EB5628" w:rsidP="00FE7017">
      <w:pPr>
        <w:pStyle w:val="Heading3"/>
      </w:pPr>
      <w:r>
        <w:t>Administrative penalties</w:t>
      </w:r>
      <w:r w:rsidR="00B01B4B">
        <w:t xml:space="preserve"> for AIV</w:t>
      </w:r>
      <w:r>
        <w:t>s</w:t>
      </w:r>
    </w:p>
    <w:p w14:paraId="242F890F" w14:textId="7DAE3894" w:rsidR="00EA75FC" w:rsidRPr="00BF3D02" w:rsidRDefault="00EA75FC" w:rsidP="00F30445">
      <w:pPr>
        <w:pStyle w:val="base-text-paragraph"/>
        <w:numPr>
          <w:ilvl w:val="1"/>
          <w:numId w:val="20"/>
        </w:numPr>
      </w:pPr>
      <w:r w:rsidRPr="00BF3D02">
        <w:t xml:space="preserve">Under the AMIT attribution model, the trustee of an AMIT is liable to an administrative penalty if it has an </w:t>
      </w:r>
      <w:r w:rsidR="00211A56">
        <w:t>‘</w:t>
      </w:r>
      <w:r w:rsidRPr="00BF3D02">
        <w:t>under</w:t>
      </w:r>
      <w:r w:rsidR="00894DD3">
        <w:t>’</w:t>
      </w:r>
      <w:r w:rsidRPr="00BF3D02">
        <w:t xml:space="preserve"> or an </w:t>
      </w:r>
      <w:r w:rsidR="00211A56">
        <w:t>‘</w:t>
      </w:r>
      <w:r w:rsidRPr="00BF3D02">
        <w:t>over</w:t>
      </w:r>
      <w:r w:rsidR="00211A56">
        <w:t>’</w:t>
      </w:r>
      <w:r w:rsidRPr="00BF3D02">
        <w:t xml:space="preserve"> for the base year whic</w:t>
      </w:r>
      <w:r w:rsidR="00211A56">
        <w:t xml:space="preserve">h resulted from intentional </w:t>
      </w:r>
      <w:r w:rsidRPr="00BF3D02">
        <w:t xml:space="preserve">disregard </w:t>
      </w:r>
      <w:r w:rsidR="00211A56">
        <w:t xml:space="preserve">or recklessness </w:t>
      </w:r>
      <w:r w:rsidRPr="00BF3D02">
        <w:t>of the law by the trustee.</w:t>
      </w:r>
      <w:r w:rsidR="00923033" w:rsidRPr="00BF3D02">
        <w:t xml:space="preserve"> The penalty amount that applies is based on the </w:t>
      </w:r>
      <w:r w:rsidR="00612451" w:rsidRPr="00BF3D02">
        <w:t xml:space="preserve">existing framework for administrative penalties </w:t>
      </w:r>
      <w:r w:rsidR="009D4476" w:rsidRPr="00BF3D02">
        <w:t>that arise to an individual taxpayer in relation to their own income tax affairs (see</w:t>
      </w:r>
      <w:r w:rsidR="00612451" w:rsidRPr="00BF3D02">
        <w:t xml:space="preserve"> </w:t>
      </w:r>
      <w:r w:rsidR="006D5C5C">
        <w:t>Division 284 in</w:t>
      </w:r>
      <w:r w:rsidR="00612451" w:rsidRPr="00BF3D02">
        <w:t xml:space="preserve"> Schedule 1 to the</w:t>
      </w:r>
      <w:r w:rsidR="00DA7DF2">
        <w:t xml:space="preserve"> TAA 1953</w:t>
      </w:r>
      <w:r w:rsidR="009D4476" w:rsidRPr="00BF3D02">
        <w:t xml:space="preserve">). </w:t>
      </w:r>
    </w:p>
    <w:p w14:paraId="5B5E1885" w14:textId="0E839B52" w:rsidR="00EA75FC" w:rsidRPr="00BF3D02" w:rsidRDefault="00923033" w:rsidP="00F30445">
      <w:pPr>
        <w:pStyle w:val="base-text-paragraph"/>
        <w:numPr>
          <w:ilvl w:val="1"/>
          <w:numId w:val="20"/>
        </w:numPr>
      </w:pPr>
      <w:r w:rsidRPr="00BF3D02">
        <w:t>The amendments broaden out the administrative penalty regime</w:t>
      </w:r>
      <w:r w:rsidR="00EB5628">
        <w:t xml:space="preserve"> so that it applies</w:t>
      </w:r>
      <w:r w:rsidRPr="00BF3D02">
        <w:t xml:space="preserve"> to </w:t>
      </w:r>
      <w:r w:rsidR="006D175A" w:rsidRPr="00BF3D02">
        <w:t xml:space="preserve">operators of </w:t>
      </w:r>
      <w:r w:rsidRPr="00BF3D02">
        <w:t>AIVs</w:t>
      </w:r>
      <w:r w:rsidR="006D175A" w:rsidRPr="00BF3D02">
        <w:t xml:space="preserve"> (or the operator’s agent)</w:t>
      </w:r>
      <w:r w:rsidR="00EB5628">
        <w:t>. It also</w:t>
      </w:r>
      <w:r w:rsidRPr="00BF3D02">
        <w:t xml:space="preserve"> insert</w:t>
      </w:r>
      <w:r w:rsidR="00EB5628">
        <w:t>s</w:t>
      </w:r>
      <w:r w:rsidRPr="00BF3D02">
        <w:t xml:space="preserve"> an administrative penalty for an AIV </w:t>
      </w:r>
      <w:r w:rsidR="00211A56">
        <w:t>‘</w:t>
      </w:r>
      <w:r w:rsidRPr="00BF3D02">
        <w:t>over</w:t>
      </w:r>
      <w:r w:rsidR="00211A56">
        <w:t>’</w:t>
      </w:r>
      <w:r w:rsidRPr="00BF3D02">
        <w:t xml:space="preserve"> or </w:t>
      </w:r>
      <w:r w:rsidR="00211A56">
        <w:t>‘</w:t>
      </w:r>
      <w:r w:rsidRPr="00BF3D02">
        <w:t>under</w:t>
      </w:r>
      <w:r w:rsidR="00211A56">
        <w:t>’</w:t>
      </w:r>
      <w:r w:rsidRPr="00BF3D02">
        <w:t xml:space="preserve"> resulting </w:t>
      </w:r>
      <w:r w:rsidRPr="00BF3D02">
        <w:lastRenderedPageBreak/>
        <w:t xml:space="preserve">from failure to take reasonable care to comply with a taxation law. This aligns the AIV administrative penalty regime with </w:t>
      </w:r>
      <w:r w:rsidR="006D175A" w:rsidRPr="00BF3D02">
        <w:t>the general administrative penalty scale.</w:t>
      </w:r>
    </w:p>
    <w:p w14:paraId="6C635426" w14:textId="31DAF451" w:rsidR="006D175A" w:rsidRPr="00BF3D02" w:rsidRDefault="006D175A" w:rsidP="00F30445">
      <w:pPr>
        <w:pStyle w:val="base-text-paragraph"/>
        <w:numPr>
          <w:ilvl w:val="1"/>
          <w:numId w:val="20"/>
        </w:numPr>
      </w:pPr>
      <w:r w:rsidRPr="00BF3D02">
        <w:t xml:space="preserve">In the case of an </w:t>
      </w:r>
      <w:r w:rsidR="00211A56">
        <w:t>‘</w:t>
      </w:r>
      <w:r w:rsidRPr="00BF3D02">
        <w:t>under</w:t>
      </w:r>
      <w:r w:rsidR="00211A56">
        <w:t>’</w:t>
      </w:r>
      <w:r w:rsidRPr="00BF3D02">
        <w:t xml:space="preserve"> of a character relating to assessable income, exempt income, non</w:t>
      </w:r>
      <w:r w:rsidRPr="00BF3D02">
        <w:noBreakHyphen/>
        <w:t>assessable non</w:t>
      </w:r>
      <w:r w:rsidRPr="00BF3D02">
        <w:noBreakHyphen/>
        <w:t xml:space="preserve">exempt income, or of an over of a character relating to a tax offset, the amount of the </w:t>
      </w:r>
      <w:r w:rsidR="00612451" w:rsidRPr="00BF3D02">
        <w:t xml:space="preserve">administrative </w:t>
      </w:r>
      <w:r w:rsidRPr="00BF3D02">
        <w:t>penalty is:</w:t>
      </w:r>
    </w:p>
    <w:p w14:paraId="39E6B64D" w14:textId="405439F9" w:rsidR="006D175A" w:rsidRPr="00BF3D02" w:rsidRDefault="00612451" w:rsidP="00612451">
      <w:pPr>
        <w:pStyle w:val="dotpoint"/>
      </w:pPr>
      <w:r w:rsidRPr="00BF3D02">
        <w:t>w</w:t>
      </w:r>
      <w:r w:rsidR="00840E40">
        <w:t xml:space="preserve">here the </w:t>
      </w:r>
      <w:r w:rsidR="00211A56">
        <w:t>‘</w:t>
      </w:r>
      <w:r w:rsidR="00840E40">
        <w:t>under</w:t>
      </w:r>
      <w:r w:rsidR="00211A56">
        <w:t>’</w:t>
      </w:r>
      <w:r w:rsidR="00840E40">
        <w:t xml:space="preserve"> or</w:t>
      </w:r>
      <w:r w:rsidR="006D175A" w:rsidRPr="00BF3D02">
        <w:t xml:space="preserve"> </w:t>
      </w:r>
      <w:r w:rsidR="00211A56">
        <w:t>‘</w:t>
      </w:r>
      <w:r w:rsidR="006D175A" w:rsidRPr="00BF3D02">
        <w:t>over</w:t>
      </w:r>
      <w:r w:rsidR="00211A56">
        <w:t>’</w:t>
      </w:r>
      <w:r w:rsidR="006D175A" w:rsidRPr="00BF3D02">
        <w:t xml:space="preserve"> resulted from </w:t>
      </w:r>
      <w:r w:rsidR="006D175A" w:rsidRPr="00BF3D02">
        <w:rPr>
          <w:i/>
        </w:rPr>
        <w:t>intentional disregard</w:t>
      </w:r>
      <w:r w:rsidR="006D175A" w:rsidRPr="00BF3D02">
        <w:t xml:space="preserve"> of a taxation law (</w:t>
      </w:r>
      <w:r w:rsidR="00090A72">
        <w:t xml:space="preserve">other than the Excise Acts, within the meaning of the </w:t>
      </w:r>
      <w:r w:rsidR="00090A72" w:rsidRPr="00090A72">
        <w:rPr>
          <w:i/>
        </w:rPr>
        <w:t>Excise Act 1901</w:t>
      </w:r>
      <w:r w:rsidR="006D175A" w:rsidRPr="00BF3D02">
        <w:t xml:space="preserve">) by the operator of the AIV or the operator’s agent </w:t>
      </w:r>
      <w:r w:rsidR="00A4031C">
        <w:t>—</w:t>
      </w:r>
      <w:r w:rsidR="006D175A" w:rsidRPr="00BF3D02">
        <w:t xml:space="preserve"> </w:t>
      </w:r>
      <w:r w:rsidR="00FA1865">
        <w:t xml:space="preserve">the highest marginal tax rate plus Medicare levy </w:t>
      </w:r>
      <w:r w:rsidR="006D175A" w:rsidRPr="00BF3D02">
        <w:t xml:space="preserve">of the amount of the </w:t>
      </w:r>
      <w:r w:rsidR="00211A56">
        <w:t>‘</w:t>
      </w:r>
      <w:r w:rsidR="006D175A" w:rsidRPr="00BF3D02">
        <w:t>under</w:t>
      </w:r>
      <w:r w:rsidR="00211A56">
        <w:t>’</w:t>
      </w:r>
      <w:r w:rsidR="006D175A" w:rsidRPr="00BF3D02">
        <w:t xml:space="preserve"> or </w:t>
      </w:r>
      <w:r w:rsidR="00211A56">
        <w:t>‘</w:t>
      </w:r>
      <w:r w:rsidR="006D175A" w:rsidRPr="00BF3D02">
        <w:t>over</w:t>
      </w:r>
      <w:r w:rsidR="00211A56">
        <w:t>’</w:t>
      </w:r>
      <w:r w:rsidR="006D175A" w:rsidRPr="00BF3D02">
        <w:t xml:space="preserve"> multiplied by 75 per cent;</w:t>
      </w:r>
    </w:p>
    <w:p w14:paraId="23D6250C" w14:textId="50EC82A2" w:rsidR="00923033" w:rsidRPr="00BF3D02" w:rsidRDefault="00612451" w:rsidP="00612451">
      <w:pPr>
        <w:pStyle w:val="dotpoint"/>
      </w:pPr>
      <w:r w:rsidRPr="00BF3D02">
        <w:t>w</w:t>
      </w:r>
      <w:r w:rsidR="006D175A" w:rsidRPr="00BF3D02">
        <w:t xml:space="preserve">here the </w:t>
      </w:r>
      <w:r w:rsidR="00211A56">
        <w:t>‘</w:t>
      </w:r>
      <w:r w:rsidR="006D175A" w:rsidRPr="00BF3D02">
        <w:t>under</w:t>
      </w:r>
      <w:r w:rsidR="00211A56">
        <w:t>’</w:t>
      </w:r>
      <w:r w:rsidR="006D175A" w:rsidRPr="00BF3D02">
        <w:t xml:space="preserve"> or </w:t>
      </w:r>
      <w:r w:rsidR="00211A56">
        <w:t>‘</w:t>
      </w:r>
      <w:r w:rsidR="006D175A" w:rsidRPr="00BF3D02">
        <w:t>over</w:t>
      </w:r>
      <w:r w:rsidR="00211A56">
        <w:t>’</w:t>
      </w:r>
      <w:r w:rsidR="006D175A" w:rsidRPr="00BF3D02">
        <w:t xml:space="preserve"> resulted from </w:t>
      </w:r>
      <w:r w:rsidR="006D175A" w:rsidRPr="00BF3D02">
        <w:rPr>
          <w:i/>
        </w:rPr>
        <w:t>recklessness</w:t>
      </w:r>
      <w:r w:rsidR="006D175A" w:rsidRPr="00BF3D02">
        <w:t xml:space="preserve"> by the operator of the AIV or the operator’s agent </w:t>
      </w:r>
      <w:r w:rsidRPr="00BF3D02">
        <w:t xml:space="preserve">as to the operation of a taxation law </w:t>
      </w:r>
      <w:r w:rsidR="00A4031C">
        <w:t>—</w:t>
      </w:r>
      <w:r w:rsidR="006D175A" w:rsidRPr="00BF3D02">
        <w:t xml:space="preserve"> </w:t>
      </w:r>
      <w:r w:rsidR="00FA1865">
        <w:t xml:space="preserve">the highest marginal tax rate plus Medicare levy </w:t>
      </w:r>
      <w:r w:rsidR="006D175A" w:rsidRPr="00BF3D02">
        <w:t xml:space="preserve">of the amount of the </w:t>
      </w:r>
      <w:r w:rsidR="00211A56">
        <w:t>‘</w:t>
      </w:r>
      <w:r w:rsidR="006D175A" w:rsidRPr="00BF3D02">
        <w:t>under</w:t>
      </w:r>
      <w:r w:rsidR="00211A56">
        <w:t>’</w:t>
      </w:r>
      <w:r w:rsidR="006D175A" w:rsidRPr="00BF3D02">
        <w:t xml:space="preserve"> or </w:t>
      </w:r>
      <w:r w:rsidR="00211A56">
        <w:t xml:space="preserve">‘over’ </w:t>
      </w:r>
      <w:r w:rsidR="006D175A" w:rsidRPr="00BF3D02">
        <w:t>multiplied by 50 per cent;</w:t>
      </w:r>
    </w:p>
    <w:p w14:paraId="7CB12180" w14:textId="3B5E9629" w:rsidR="00FE7017" w:rsidRDefault="00612451" w:rsidP="006D5C5C">
      <w:pPr>
        <w:pStyle w:val="dotpoint"/>
      </w:pPr>
      <w:r w:rsidRPr="00BF3D02">
        <w:t>w</w:t>
      </w:r>
      <w:r w:rsidR="006D175A" w:rsidRPr="00BF3D02">
        <w:t xml:space="preserve">here the </w:t>
      </w:r>
      <w:r w:rsidR="00211A56">
        <w:t>‘</w:t>
      </w:r>
      <w:r w:rsidR="006D175A" w:rsidRPr="00BF3D02">
        <w:t>under</w:t>
      </w:r>
      <w:r w:rsidR="00211A56">
        <w:t>’</w:t>
      </w:r>
      <w:r w:rsidR="006D175A" w:rsidRPr="00BF3D02">
        <w:t xml:space="preserve"> or </w:t>
      </w:r>
      <w:r w:rsidR="00211A56">
        <w:t>‘</w:t>
      </w:r>
      <w:r w:rsidR="006D175A" w:rsidRPr="00BF3D02">
        <w:t>over</w:t>
      </w:r>
      <w:r w:rsidR="00211A56">
        <w:t>’</w:t>
      </w:r>
      <w:r w:rsidR="006D175A" w:rsidRPr="00BF3D02">
        <w:t xml:space="preserve"> resulted from </w:t>
      </w:r>
      <w:r w:rsidRPr="00BF3D02">
        <w:rPr>
          <w:i/>
        </w:rPr>
        <w:t>failure to take reasonable care</w:t>
      </w:r>
      <w:r w:rsidRPr="00BF3D02">
        <w:t xml:space="preserve"> </w:t>
      </w:r>
      <w:r w:rsidR="006D175A" w:rsidRPr="00BF3D02">
        <w:t xml:space="preserve">by the operator of the AIV or the operator’s agent </w:t>
      </w:r>
      <w:r w:rsidR="00A4031C">
        <w:t>—</w:t>
      </w:r>
      <w:r w:rsidR="006D175A" w:rsidRPr="00BF3D02">
        <w:t xml:space="preserve"> </w:t>
      </w:r>
      <w:r w:rsidR="00FA1865">
        <w:t xml:space="preserve">the highest marginal tax rate plus Medicare levy </w:t>
      </w:r>
      <w:r w:rsidR="006D175A" w:rsidRPr="00BF3D02">
        <w:t xml:space="preserve">of the amount of the </w:t>
      </w:r>
      <w:r w:rsidR="00211A56">
        <w:t>‘</w:t>
      </w:r>
      <w:r w:rsidR="006D175A" w:rsidRPr="00BF3D02">
        <w:t>under</w:t>
      </w:r>
      <w:r w:rsidR="00211A56">
        <w:t>’</w:t>
      </w:r>
      <w:r w:rsidR="006D175A" w:rsidRPr="00BF3D02">
        <w:t xml:space="preserve"> or </w:t>
      </w:r>
      <w:r w:rsidR="00211A56">
        <w:t>‘</w:t>
      </w:r>
      <w:r w:rsidR="006D175A" w:rsidRPr="00BF3D02">
        <w:t>over</w:t>
      </w:r>
      <w:r w:rsidR="00211A56">
        <w:t>’</w:t>
      </w:r>
      <w:r w:rsidR="006D175A" w:rsidRPr="00BF3D02">
        <w:t xml:space="preserve"> multiplied by 25 per cent.</w:t>
      </w:r>
    </w:p>
    <w:p w14:paraId="72F699DB" w14:textId="3014328F" w:rsidR="006D5C5C" w:rsidRPr="00BF3D02" w:rsidRDefault="006D5C5C" w:rsidP="00FE7017">
      <w:pPr>
        <w:pStyle w:val="base-text-paragraphnonumbers"/>
      </w:pPr>
      <w:r w:rsidRPr="00BF3D02">
        <w:rPr>
          <w:rStyle w:val="Referencingstyle"/>
        </w:rPr>
        <w:t>[Schedule</w:t>
      </w:r>
      <w:r w:rsidR="00AF08DB">
        <w:rPr>
          <w:rStyle w:val="Referencingstyle"/>
        </w:rPr>
        <w:t xml:space="preserve"> #, item 443</w:t>
      </w:r>
      <w:r>
        <w:rPr>
          <w:rStyle w:val="Referencingstyle"/>
        </w:rPr>
        <w:t xml:space="preserve">, </w:t>
      </w:r>
      <w:r w:rsidR="00850263">
        <w:rPr>
          <w:rStyle w:val="Referencingstyle"/>
        </w:rPr>
        <w:t xml:space="preserve">table item 3 in </w:t>
      </w:r>
      <w:r>
        <w:rPr>
          <w:rStyle w:val="Referencingstyle"/>
        </w:rPr>
        <w:t>subsection 288</w:t>
      </w:r>
      <w:r>
        <w:rPr>
          <w:rStyle w:val="Referencingstyle"/>
        </w:rPr>
        <w:noBreakHyphen/>
        <w:t>115(3) in</w:t>
      </w:r>
      <w:r w:rsidR="00FE7017">
        <w:rPr>
          <w:rStyle w:val="Referencingstyle"/>
        </w:rPr>
        <w:t xml:space="preserve"> Schedule 1 to the TAA </w:t>
      </w:r>
      <w:r w:rsidRPr="00BF3D02">
        <w:rPr>
          <w:rStyle w:val="Referencingstyle"/>
        </w:rPr>
        <w:t>1953]</w:t>
      </w:r>
    </w:p>
    <w:p w14:paraId="4158903A" w14:textId="197C270E" w:rsidR="006D175A" w:rsidRPr="00BF3D02" w:rsidRDefault="006D175A" w:rsidP="00F30445">
      <w:pPr>
        <w:pStyle w:val="base-text-paragraph"/>
        <w:numPr>
          <w:ilvl w:val="1"/>
          <w:numId w:val="20"/>
        </w:numPr>
      </w:pPr>
      <w:r w:rsidRPr="00BF3D02">
        <w:t xml:space="preserve">In the case of an </w:t>
      </w:r>
      <w:r w:rsidR="00090A72">
        <w:t>‘</w:t>
      </w:r>
      <w:r w:rsidRPr="00BF3D02">
        <w:t>over</w:t>
      </w:r>
      <w:r w:rsidR="00090A72">
        <w:t>’</w:t>
      </w:r>
      <w:r w:rsidRPr="00BF3D02">
        <w:t xml:space="preserve"> of a character relating to assessable income, exempt income, non</w:t>
      </w:r>
      <w:r w:rsidRPr="00BF3D02">
        <w:noBreakHyphen/>
        <w:t>assessable non</w:t>
      </w:r>
      <w:r w:rsidRPr="00BF3D02">
        <w:noBreakHyphen/>
        <w:t xml:space="preserve">exempt income, or of an </w:t>
      </w:r>
      <w:r w:rsidR="00090A72">
        <w:t>‘</w:t>
      </w:r>
      <w:r w:rsidRPr="00BF3D02">
        <w:t>under</w:t>
      </w:r>
      <w:r w:rsidR="00090A72">
        <w:t>’</w:t>
      </w:r>
      <w:r w:rsidRPr="00BF3D02">
        <w:t xml:space="preserve"> of a character relating to a tax offset, the amount of the </w:t>
      </w:r>
      <w:r w:rsidR="00612451" w:rsidRPr="00BF3D02">
        <w:t xml:space="preserve">administrative </w:t>
      </w:r>
      <w:r w:rsidRPr="00BF3D02">
        <w:t>penalty is:</w:t>
      </w:r>
    </w:p>
    <w:p w14:paraId="76E85AF3" w14:textId="5FBA20A6" w:rsidR="006D175A" w:rsidRPr="00BF3D02" w:rsidRDefault="00612451" w:rsidP="00612451">
      <w:pPr>
        <w:pStyle w:val="dotpoint"/>
      </w:pPr>
      <w:r w:rsidRPr="00BF3D02">
        <w:t>w</w:t>
      </w:r>
      <w:r w:rsidR="006D175A" w:rsidRPr="00BF3D02">
        <w:t xml:space="preserve">here the </w:t>
      </w:r>
      <w:r w:rsidR="00090A72">
        <w:t>‘</w:t>
      </w:r>
      <w:r w:rsidR="006D175A" w:rsidRPr="00BF3D02">
        <w:t>under</w:t>
      </w:r>
      <w:r w:rsidR="00090A72">
        <w:t>’</w:t>
      </w:r>
      <w:r w:rsidR="006D175A" w:rsidRPr="00BF3D02">
        <w:t xml:space="preserve"> or </w:t>
      </w:r>
      <w:r w:rsidR="00090A72">
        <w:t>‘</w:t>
      </w:r>
      <w:r w:rsidR="006D175A" w:rsidRPr="00BF3D02">
        <w:t>over</w:t>
      </w:r>
      <w:r w:rsidR="00090A72">
        <w:t>’</w:t>
      </w:r>
      <w:r w:rsidR="006D175A" w:rsidRPr="00BF3D02">
        <w:t xml:space="preserve"> resulted from intentional disregard </w:t>
      </w:r>
      <w:r w:rsidRPr="00BF3D02">
        <w:t>of a taxation</w:t>
      </w:r>
      <w:r w:rsidR="00090A72">
        <w:t xml:space="preserve"> law (other than the Excise Acts, within the meaning of the </w:t>
      </w:r>
      <w:r w:rsidR="00090A72" w:rsidRPr="00090A72">
        <w:rPr>
          <w:i/>
        </w:rPr>
        <w:t>Excise Act 1901</w:t>
      </w:r>
      <w:r w:rsidRPr="00BF3D02">
        <w:t xml:space="preserve">) by the operator of the AIV or the operator’s agent </w:t>
      </w:r>
      <w:r w:rsidR="00A4031C">
        <w:t>—</w:t>
      </w:r>
      <w:r w:rsidRPr="00BF3D02">
        <w:t xml:space="preserve"> the greater of:</w:t>
      </w:r>
    </w:p>
    <w:p w14:paraId="7F1DD91A" w14:textId="67AC5A07" w:rsidR="00612451" w:rsidRPr="00BF3D02" w:rsidRDefault="00FA1865" w:rsidP="00C83D1C">
      <w:pPr>
        <w:pStyle w:val="dotpoint"/>
        <w:numPr>
          <w:ilvl w:val="1"/>
          <w:numId w:val="1"/>
        </w:numPr>
      </w:pPr>
      <w:r>
        <w:t xml:space="preserve">the highest marginal tax rate plus Medicare levy </w:t>
      </w:r>
      <w:r w:rsidR="00612451" w:rsidRPr="00BF3D02">
        <w:t xml:space="preserve">of the amount of the </w:t>
      </w:r>
      <w:r w:rsidR="00090A72">
        <w:t>‘</w:t>
      </w:r>
      <w:r w:rsidR="00612451" w:rsidRPr="00BF3D02">
        <w:t>under</w:t>
      </w:r>
      <w:r w:rsidR="00090A72">
        <w:t>’</w:t>
      </w:r>
      <w:r w:rsidR="00612451" w:rsidRPr="00BF3D02">
        <w:t xml:space="preserve"> or </w:t>
      </w:r>
      <w:r w:rsidR="00090A72">
        <w:t>‘</w:t>
      </w:r>
      <w:r w:rsidR="00612451" w:rsidRPr="00BF3D02">
        <w:t>over</w:t>
      </w:r>
      <w:r w:rsidR="00090A72">
        <w:t>’</w:t>
      </w:r>
      <w:r w:rsidR="001308C2">
        <w:t xml:space="preserve"> multiplied by 30 per cent; or</w:t>
      </w:r>
    </w:p>
    <w:p w14:paraId="45782DD6" w14:textId="55DE447F" w:rsidR="00612451" w:rsidRPr="00BF3D02" w:rsidRDefault="00612451" w:rsidP="00C83D1C">
      <w:pPr>
        <w:pStyle w:val="dotpoint"/>
        <w:numPr>
          <w:ilvl w:val="1"/>
          <w:numId w:val="1"/>
        </w:numPr>
      </w:pPr>
      <w:r w:rsidRPr="00BF3D02">
        <w:t>60 penalty units;</w:t>
      </w:r>
    </w:p>
    <w:p w14:paraId="4BAC2F3A" w14:textId="5EDA7BD4" w:rsidR="00612451" w:rsidRPr="00BF3D02" w:rsidRDefault="00612451" w:rsidP="00612451">
      <w:pPr>
        <w:pStyle w:val="dotpoint"/>
      </w:pPr>
      <w:r w:rsidRPr="00BF3D02">
        <w:lastRenderedPageBreak/>
        <w:t xml:space="preserve">where the </w:t>
      </w:r>
      <w:r w:rsidR="005A44A4">
        <w:t>‘</w:t>
      </w:r>
      <w:r w:rsidRPr="00BF3D02">
        <w:t>under</w:t>
      </w:r>
      <w:r w:rsidR="005A44A4">
        <w:t>’</w:t>
      </w:r>
      <w:r w:rsidRPr="00BF3D02">
        <w:t xml:space="preserve"> or </w:t>
      </w:r>
      <w:r w:rsidR="005A44A4">
        <w:t>‘</w:t>
      </w:r>
      <w:r w:rsidRPr="00BF3D02">
        <w:t>over</w:t>
      </w:r>
      <w:r w:rsidR="005A44A4">
        <w:t>’</w:t>
      </w:r>
      <w:r w:rsidRPr="00BF3D02">
        <w:t xml:space="preserve"> resulted from recklessness by the operator of the AIV or the operator’s agent as to the operation of a taxation law </w:t>
      </w:r>
      <w:r w:rsidR="00A4031C">
        <w:t>—</w:t>
      </w:r>
      <w:r w:rsidRPr="00BF3D02">
        <w:t xml:space="preserve"> the greater of:</w:t>
      </w:r>
    </w:p>
    <w:p w14:paraId="3F9C1738" w14:textId="038F56BD" w:rsidR="00612451" w:rsidRPr="00BF3D02" w:rsidRDefault="00FA1865" w:rsidP="00C83D1C">
      <w:pPr>
        <w:pStyle w:val="dotpoint"/>
        <w:numPr>
          <w:ilvl w:val="1"/>
          <w:numId w:val="1"/>
        </w:numPr>
      </w:pPr>
      <w:r>
        <w:t xml:space="preserve">the highest marginal tax rate plus Medicare levy </w:t>
      </w:r>
      <w:r w:rsidR="00612451" w:rsidRPr="00BF3D02">
        <w:t xml:space="preserve">of the amount of the </w:t>
      </w:r>
      <w:r w:rsidR="005A44A4">
        <w:t>‘</w:t>
      </w:r>
      <w:r w:rsidR="00612451" w:rsidRPr="00BF3D02">
        <w:t>under</w:t>
      </w:r>
      <w:r w:rsidR="005A44A4">
        <w:t>’</w:t>
      </w:r>
      <w:r w:rsidR="00612451" w:rsidRPr="00BF3D02">
        <w:t xml:space="preserve"> or</w:t>
      </w:r>
      <w:r w:rsidR="005A44A4">
        <w:t xml:space="preserve"> ‘</w:t>
      </w:r>
      <w:r w:rsidR="00612451" w:rsidRPr="00BF3D02">
        <w:t>over</w:t>
      </w:r>
      <w:r w:rsidR="005A44A4">
        <w:t>’</w:t>
      </w:r>
      <w:r w:rsidR="001308C2">
        <w:t xml:space="preserve"> multiplied by 20 per cent; or</w:t>
      </w:r>
    </w:p>
    <w:p w14:paraId="72237F40" w14:textId="77777777" w:rsidR="00612451" w:rsidRPr="00BF3D02" w:rsidRDefault="00612451" w:rsidP="00C83D1C">
      <w:pPr>
        <w:pStyle w:val="dotpoint"/>
        <w:numPr>
          <w:ilvl w:val="1"/>
          <w:numId w:val="1"/>
        </w:numPr>
      </w:pPr>
      <w:r w:rsidRPr="00BF3D02">
        <w:t>40 penalty units;</w:t>
      </w:r>
    </w:p>
    <w:p w14:paraId="5CAC379C" w14:textId="1C4F6C44" w:rsidR="00612451" w:rsidRPr="00BF3D02" w:rsidRDefault="00612451" w:rsidP="00612451">
      <w:pPr>
        <w:pStyle w:val="dotpoint"/>
      </w:pPr>
      <w:r w:rsidRPr="00BF3D02">
        <w:t xml:space="preserve">where the </w:t>
      </w:r>
      <w:r w:rsidR="005A44A4">
        <w:t>‘</w:t>
      </w:r>
      <w:r w:rsidRPr="00BF3D02">
        <w:t>under</w:t>
      </w:r>
      <w:r w:rsidR="005A44A4">
        <w:t>’</w:t>
      </w:r>
      <w:r w:rsidRPr="00BF3D02">
        <w:t xml:space="preserve"> or </w:t>
      </w:r>
      <w:r w:rsidR="005A44A4">
        <w:t>‘</w:t>
      </w:r>
      <w:r w:rsidRPr="00BF3D02">
        <w:t>over</w:t>
      </w:r>
      <w:r w:rsidR="005A44A4">
        <w:t>’</w:t>
      </w:r>
      <w:r w:rsidRPr="00BF3D02">
        <w:t xml:space="preserve"> resulted from </w:t>
      </w:r>
      <w:r w:rsidRPr="00BF3D02">
        <w:rPr>
          <w:i/>
        </w:rPr>
        <w:t>failure to take reasonable care</w:t>
      </w:r>
      <w:r w:rsidRPr="00BF3D02">
        <w:t xml:space="preserve"> by the operator  of the AIV or the operator’s agent </w:t>
      </w:r>
      <w:r w:rsidR="00A4031C">
        <w:t>—</w:t>
      </w:r>
      <w:r w:rsidRPr="00BF3D02">
        <w:t xml:space="preserve"> the greater of:</w:t>
      </w:r>
    </w:p>
    <w:p w14:paraId="4F5A6786" w14:textId="4C4BB03D" w:rsidR="00612451" w:rsidRPr="00BF3D02" w:rsidRDefault="00FA1865" w:rsidP="00C83D1C">
      <w:pPr>
        <w:pStyle w:val="dotpoint"/>
        <w:numPr>
          <w:ilvl w:val="1"/>
          <w:numId w:val="1"/>
        </w:numPr>
      </w:pPr>
      <w:r>
        <w:t xml:space="preserve">the highest marginal tax rate plus Medicare levy </w:t>
      </w:r>
      <w:r w:rsidR="00612451" w:rsidRPr="00BF3D02">
        <w:t xml:space="preserve">of the amount of the </w:t>
      </w:r>
      <w:r w:rsidR="008F6D12">
        <w:t>‘</w:t>
      </w:r>
      <w:r w:rsidR="00612451" w:rsidRPr="00BF3D02">
        <w:t>under</w:t>
      </w:r>
      <w:r w:rsidR="008F6D12">
        <w:t>’</w:t>
      </w:r>
      <w:r w:rsidR="00612451" w:rsidRPr="00BF3D02">
        <w:t xml:space="preserve"> or </w:t>
      </w:r>
      <w:r w:rsidR="008F6D12">
        <w:t>‘</w:t>
      </w:r>
      <w:r w:rsidR="00612451" w:rsidRPr="00BF3D02">
        <w:t>ove</w:t>
      </w:r>
      <w:r w:rsidR="001308C2">
        <w:t>r</w:t>
      </w:r>
      <w:r w:rsidR="008F6D12">
        <w:t>’</w:t>
      </w:r>
      <w:r w:rsidR="001308C2">
        <w:t xml:space="preserve"> multiplied by 10 per cent; or</w:t>
      </w:r>
    </w:p>
    <w:p w14:paraId="189DD3C3" w14:textId="7BC1F16B" w:rsidR="00612451" w:rsidRDefault="00612451" w:rsidP="00C83D1C">
      <w:pPr>
        <w:pStyle w:val="dotpoint"/>
        <w:numPr>
          <w:ilvl w:val="1"/>
          <w:numId w:val="1"/>
        </w:numPr>
      </w:pPr>
      <w:r w:rsidRPr="00BF3D02">
        <w:t>20 penalty units.</w:t>
      </w:r>
    </w:p>
    <w:p w14:paraId="4B55DF19" w14:textId="686728B5" w:rsidR="006D5C5C" w:rsidRPr="00BF3D02" w:rsidRDefault="006D5C5C" w:rsidP="00DD6921">
      <w:pPr>
        <w:pStyle w:val="base-text-paragraphnonumbers"/>
      </w:pPr>
      <w:r w:rsidRPr="00BF3D02">
        <w:rPr>
          <w:rStyle w:val="Referencingstyle"/>
        </w:rPr>
        <w:t>[Schedule</w:t>
      </w:r>
      <w:r>
        <w:rPr>
          <w:rStyle w:val="Referencingstyle"/>
        </w:rPr>
        <w:t xml:space="preserve"> #, item</w:t>
      </w:r>
      <w:r w:rsidR="00840E40">
        <w:rPr>
          <w:rStyle w:val="Referencingstyle"/>
        </w:rPr>
        <w:t>s</w:t>
      </w:r>
      <w:r w:rsidR="00AF08DB">
        <w:rPr>
          <w:rStyle w:val="Referencingstyle"/>
        </w:rPr>
        <w:t xml:space="preserve"> 433 and 434</w:t>
      </w:r>
      <w:r>
        <w:rPr>
          <w:rStyle w:val="Referencingstyle"/>
        </w:rPr>
        <w:t xml:space="preserve">, </w:t>
      </w:r>
      <w:r w:rsidR="00850263">
        <w:rPr>
          <w:rStyle w:val="Referencingstyle"/>
        </w:rPr>
        <w:t>table item 3</w:t>
      </w:r>
      <w:r w:rsidR="000A0A5D">
        <w:rPr>
          <w:rStyle w:val="Referencingstyle"/>
        </w:rPr>
        <w:t xml:space="preserve"> in </w:t>
      </w:r>
      <w:r>
        <w:rPr>
          <w:rStyle w:val="Referencingstyle"/>
        </w:rPr>
        <w:t>subsection 288</w:t>
      </w:r>
      <w:r>
        <w:rPr>
          <w:rStyle w:val="Referencingstyle"/>
        </w:rPr>
        <w:noBreakHyphen/>
        <w:t>115(3)</w:t>
      </w:r>
      <w:r w:rsidR="000A0A5D">
        <w:rPr>
          <w:rStyle w:val="Referencingstyle"/>
        </w:rPr>
        <w:t xml:space="preserve"> and </w:t>
      </w:r>
      <w:r w:rsidR="00850263">
        <w:rPr>
          <w:rStyle w:val="Referencingstyle"/>
        </w:rPr>
        <w:t>paragraph</w:t>
      </w:r>
      <w:r w:rsidR="00DD6921">
        <w:rPr>
          <w:rStyle w:val="Referencingstyle"/>
        </w:rPr>
        <w:t> </w:t>
      </w:r>
      <w:r w:rsidR="00850263">
        <w:rPr>
          <w:rStyle w:val="Referencingstyle"/>
        </w:rPr>
        <w:t>288</w:t>
      </w:r>
      <w:r w:rsidR="00DD6921">
        <w:rPr>
          <w:rStyle w:val="Referencingstyle"/>
        </w:rPr>
        <w:noBreakHyphen/>
      </w:r>
      <w:r w:rsidR="00850263">
        <w:rPr>
          <w:rStyle w:val="Referencingstyle"/>
        </w:rPr>
        <w:t>115</w:t>
      </w:r>
      <w:r w:rsidR="000A0A5D">
        <w:rPr>
          <w:rStyle w:val="Referencingstyle"/>
        </w:rPr>
        <w:t>(4)</w:t>
      </w:r>
      <w:r w:rsidR="00850263">
        <w:rPr>
          <w:rStyle w:val="Referencingstyle"/>
        </w:rPr>
        <w:t>(c)</w:t>
      </w:r>
      <w:r>
        <w:rPr>
          <w:rStyle w:val="Referencingstyle"/>
        </w:rPr>
        <w:t xml:space="preserve"> in</w:t>
      </w:r>
      <w:r w:rsidRPr="00BF3D02">
        <w:rPr>
          <w:rStyle w:val="Referencingstyle"/>
        </w:rPr>
        <w:t xml:space="preserve"> Schedule 1 to the TAA 1953]</w:t>
      </w:r>
    </w:p>
    <w:p w14:paraId="0790040C" w14:textId="3AC60F7F" w:rsidR="006D175A" w:rsidRPr="00F30445" w:rsidRDefault="00612451" w:rsidP="00F30445">
      <w:pPr>
        <w:pStyle w:val="base-text-paragraph"/>
        <w:numPr>
          <w:ilvl w:val="1"/>
          <w:numId w:val="20"/>
        </w:numPr>
      </w:pPr>
      <w:r w:rsidRPr="00182626">
        <w:t xml:space="preserve">If multiple penalties apply to an </w:t>
      </w:r>
      <w:r w:rsidR="00130D0D">
        <w:t>‘</w:t>
      </w:r>
      <w:r w:rsidRPr="00182626">
        <w:t>under</w:t>
      </w:r>
      <w:r w:rsidR="00130D0D">
        <w:t>’</w:t>
      </w:r>
      <w:r w:rsidRPr="00182626">
        <w:t xml:space="preserve"> or</w:t>
      </w:r>
      <w:r w:rsidRPr="00BF3D02">
        <w:t xml:space="preserve"> </w:t>
      </w:r>
      <w:r w:rsidR="00130D0D">
        <w:t>‘</w:t>
      </w:r>
      <w:r w:rsidRPr="00BF3D02">
        <w:t>over</w:t>
      </w:r>
      <w:r w:rsidR="00130D0D">
        <w:t>’</w:t>
      </w:r>
      <w:r w:rsidRPr="00BF3D02">
        <w:t>, the penalty that produces the greatest penalty will apply.</w:t>
      </w:r>
      <w:r w:rsidR="008D2120">
        <w:t xml:space="preserve"> These penalties are consistent with other tax penalties outlined in the</w:t>
      </w:r>
      <w:r w:rsidR="00E92C52">
        <w:t xml:space="preserve"> TAA 1953</w:t>
      </w:r>
      <w:r w:rsidR="008D2120">
        <w:t xml:space="preserve">. </w:t>
      </w:r>
      <w:r w:rsidRPr="00BF3D02">
        <w:rPr>
          <w:rStyle w:val="Referencingstyle"/>
        </w:rPr>
        <w:t xml:space="preserve">[Schedule #, </w:t>
      </w:r>
      <w:r w:rsidR="00AF08DB">
        <w:rPr>
          <w:rStyle w:val="Referencingstyle"/>
        </w:rPr>
        <w:t>item 435</w:t>
      </w:r>
      <w:r w:rsidR="006D5C5C">
        <w:rPr>
          <w:rStyle w:val="Referencingstyle"/>
        </w:rPr>
        <w:t>, subsection 288</w:t>
      </w:r>
      <w:r w:rsidR="006D5C5C">
        <w:rPr>
          <w:rStyle w:val="Referencingstyle"/>
        </w:rPr>
        <w:noBreakHyphen/>
        <w:t>115(7) in</w:t>
      </w:r>
      <w:r w:rsidRPr="00BF3D02">
        <w:rPr>
          <w:rStyle w:val="Referencingstyle"/>
        </w:rPr>
        <w:t xml:space="preserve"> Schedule 1 to the TAA 1953]</w:t>
      </w:r>
    </w:p>
    <w:p w14:paraId="7E13A7AF" w14:textId="77777777" w:rsidR="008E77D5" w:rsidRDefault="008E77D5" w:rsidP="0076113E">
      <w:pPr>
        <w:pStyle w:val="Heading2"/>
      </w:pPr>
      <w:r w:rsidRPr="00BF3D02">
        <w:t>Consequential amendments</w:t>
      </w:r>
    </w:p>
    <w:p w14:paraId="707DD7BD" w14:textId="36E22A2E" w:rsidR="00E95ECC" w:rsidRPr="00E95ECC" w:rsidRDefault="00A9168B" w:rsidP="00E95ECC">
      <w:pPr>
        <w:pStyle w:val="Heading4"/>
      </w:pPr>
      <w:r>
        <w:t>Amounts attributed</w:t>
      </w:r>
      <w:r w:rsidR="00E95ECC">
        <w:t xml:space="preserve"> by an ACCIV are not dividends</w:t>
      </w:r>
    </w:p>
    <w:p w14:paraId="0095DD09" w14:textId="7943C53B" w:rsidR="00BA0C81" w:rsidRDefault="00F62274" w:rsidP="007B225F">
      <w:pPr>
        <w:pStyle w:val="base-text-paragraph"/>
        <w:numPr>
          <w:ilvl w:val="1"/>
          <w:numId w:val="26"/>
        </w:numPr>
      </w:pPr>
      <w:r>
        <w:t>A</w:t>
      </w:r>
      <w:r w:rsidRPr="00130D7B">
        <w:t>mounts derived or receiv</w:t>
      </w:r>
      <w:r w:rsidR="00E95ECC">
        <w:t>ed by an</w:t>
      </w:r>
      <w:r>
        <w:t xml:space="preserve"> ACCIV</w:t>
      </w:r>
      <w:r w:rsidRPr="00130D7B">
        <w:t xml:space="preserve"> that are a</w:t>
      </w:r>
      <w:r>
        <w:t xml:space="preserve">ttributed to members retain their original </w:t>
      </w:r>
      <w:r w:rsidRPr="00130D7B">
        <w:t>character</w:t>
      </w:r>
      <w:r>
        <w:t xml:space="preserve"> and therefore will not be treated as a dividend</w:t>
      </w:r>
      <w:r w:rsidR="00BA0C81">
        <w:t xml:space="preserve"> from the ACCIV</w:t>
      </w:r>
      <w:r>
        <w:t>.</w:t>
      </w:r>
      <w:r w:rsidR="00BA0C81">
        <w:t xml:space="preserve"> This is also reflected for the purposes of </w:t>
      </w:r>
      <w:r w:rsidR="00A4031C">
        <w:t xml:space="preserve">applying </w:t>
      </w:r>
      <w:r w:rsidR="00BA0C81">
        <w:t>Australia’s double tax agreements.</w:t>
      </w:r>
      <w:r w:rsidR="00BA0C81" w:rsidRPr="00BA0C81">
        <w:rPr>
          <w:rStyle w:val="Referencingstyle"/>
        </w:rPr>
        <w:t xml:space="preserve"> </w:t>
      </w:r>
      <w:r w:rsidR="00BA0C81" w:rsidRPr="00BF3D02">
        <w:rPr>
          <w:rStyle w:val="Referencingstyle"/>
        </w:rPr>
        <w:t xml:space="preserve">[Schedule #, </w:t>
      </w:r>
      <w:r w:rsidR="00856B04">
        <w:rPr>
          <w:rStyle w:val="Referencingstyle"/>
        </w:rPr>
        <w:t>items 436 and 446</w:t>
      </w:r>
      <w:r w:rsidR="00BA0C81">
        <w:rPr>
          <w:rStyle w:val="Referencingstyle"/>
        </w:rPr>
        <w:t xml:space="preserve">, </w:t>
      </w:r>
      <w:r w:rsidR="00BA0C81" w:rsidRPr="00BA0C81">
        <w:rPr>
          <w:rStyle w:val="Referencingstyle"/>
        </w:rPr>
        <w:t>su</w:t>
      </w:r>
      <w:r w:rsidR="00A4031C">
        <w:rPr>
          <w:rStyle w:val="Referencingstyle"/>
        </w:rPr>
        <w:t>bsection </w:t>
      </w:r>
      <w:r w:rsidR="00BA0C81">
        <w:rPr>
          <w:rStyle w:val="Referencingstyle"/>
        </w:rPr>
        <w:t>6(1) of the ITAA 1936 and subsection 3(2B) of the International Tax Agreements Act 1953</w:t>
      </w:r>
      <w:r w:rsidR="00BA0C81" w:rsidRPr="00BF3D02">
        <w:rPr>
          <w:rStyle w:val="Referencingstyle"/>
        </w:rPr>
        <w:t>]</w:t>
      </w:r>
      <w:bookmarkStart w:id="2" w:name="_GoBack"/>
      <w:bookmarkEnd w:id="2"/>
    </w:p>
    <w:p w14:paraId="2AD45F2A" w14:textId="1F7EE4C2" w:rsidR="00A4031C" w:rsidRPr="00E95ECC" w:rsidRDefault="00A4031C" w:rsidP="00F62274">
      <w:pPr>
        <w:pStyle w:val="base-text-paragraph"/>
        <w:numPr>
          <w:ilvl w:val="1"/>
          <w:numId w:val="26"/>
        </w:numPr>
        <w:rPr>
          <w:rStyle w:val="Referencingstyle"/>
          <w:b w:val="0"/>
          <w:i w:val="0"/>
          <w:sz w:val="22"/>
        </w:rPr>
      </w:pPr>
      <w:r>
        <w:t>Where the ACCIV holds assets that are shares which pay franked dividends, both the dividend and the franking credit will retain their character as they flow through the ACCIV to the member.</w:t>
      </w:r>
      <w:r w:rsidRPr="00BA0C81">
        <w:rPr>
          <w:rStyle w:val="Referencingstyle"/>
        </w:rPr>
        <w:t xml:space="preserve"> </w:t>
      </w:r>
      <w:r>
        <w:rPr>
          <w:rStyle w:val="Referencingstyle"/>
        </w:rPr>
        <w:t>[Schedule #, item 436</w:t>
      </w:r>
      <w:r w:rsidRPr="00BA0C81">
        <w:rPr>
          <w:rStyle w:val="Referencingstyle"/>
        </w:rPr>
        <w:t>, su</w:t>
      </w:r>
      <w:r>
        <w:rPr>
          <w:rStyle w:val="Referencingstyle"/>
        </w:rPr>
        <w:t>bsection 6(1) of the ITAA 1936]</w:t>
      </w:r>
    </w:p>
    <w:p w14:paraId="37F26D0F" w14:textId="5EF9F363" w:rsidR="00E95ECC" w:rsidRDefault="00E95ECC" w:rsidP="00E95ECC">
      <w:pPr>
        <w:pStyle w:val="Heading4"/>
      </w:pPr>
      <w:r>
        <w:lastRenderedPageBreak/>
        <w:t>Interaction with consolidation</w:t>
      </w:r>
    </w:p>
    <w:p w14:paraId="0DF90BE2" w14:textId="7BFAE79E" w:rsidR="00975CFF" w:rsidRPr="00E95ECC" w:rsidRDefault="00C41F9B" w:rsidP="00F62274">
      <w:pPr>
        <w:pStyle w:val="base-text-paragraph"/>
        <w:numPr>
          <w:ilvl w:val="1"/>
          <w:numId w:val="26"/>
        </w:numPr>
        <w:rPr>
          <w:rStyle w:val="Referencingstyle"/>
          <w:b w:val="0"/>
          <w:i w:val="0"/>
          <w:sz w:val="22"/>
        </w:rPr>
      </w:pPr>
      <w:r>
        <w:t>The amendments ensure that a</w:t>
      </w:r>
      <w:r w:rsidR="00975CFF">
        <w:t xml:space="preserve"> company that is a CCIV cannot be a member of a consolidated group. </w:t>
      </w:r>
      <w:r w:rsidR="00A4031C">
        <w:rPr>
          <w:rStyle w:val="Referencingstyle"/>
        </w:rPr>
        <w:t>[Schedule </w:t>
      </w:r>
      <w:r w:rsidR="00975CFF" w:rsidRPr="00BF3D02">
        <w:rPr>
          <w:rStyle w:val="Referencingstyle"/>
        </w:rPr>
        <w:t xml:space="preserve">#, </w:t>
      </w:r>
      <w:r w:rsidR="00856B04">
        <w:rPr>
          <w:rStyle w:val="Referencingstyle"/>
        </w:rPr>
        <w:t>item 430</w:t>
      </w:r>
      <w:r w:rsidR="00975CFF">
        <w:rPr>
          <w:rStyle w:val="Referencingstyle"/>
        </w:rPr>
        <w:t>, table item 4 in subsection 703-20(2)]</w:t>
      </w:r>
    </w:p>
    <w:p w14:paraId="072459A2" w14:textId="12C68889" w:rsidR="00E95ECC" w:rsidRDefault="00E95ECC" w:rsidP="00E95ECC">
      <w:pPr>
        <w:pStyle w:val="Heading4"/>
      </w:pPr>
      <w:r>
        <w:t>Minor consequential amendments</w:t>
      </w:r>
    </w:p>
    <w:p w14:paraId="7E13A7B0" w14:textId="1AB625D7" w:rsidR="008E77D5" w:rsidRPr="007B11C5" w:rsidRDefault="00163743" w:rsidP="009D6CDD">
      <w:pPr>
        <w:pStyle w:val="base-text-paragraph"/>
        <w:numPr>
          <w:ilvl w:val="1"/>
          <w:numId w:val="20"/>
        </w:numPr>
        <w:rPr>
          <w:rStyle w:val="Referencingstyle"/>
          <w:b w:val="0"/>
          <w:i w:val="0"/>
          <w:sz w:val="22"/>
        </w:rPr>
      </w:pPr>
      <w:r>
        <w:t>Schedule # also makes a number of minor consequential amendments to the ITAA 1936, ITAA 1997 and the TAA 1953</w:t>
      </w:r>
      <w:r w:rsidR="000646F6">
        <w:t xml:space="preserve"> to reflect the principal amendments, including updating guidance </w:t>
      </w:r>
      <w:r w:rsidR="007B11C5">
        <w:t xml:space="preserve">material. </w:t>
      </w:r>
      <w:r w:rsidR="00DD6921">
        <w:rPr>
          <w:rStyle w:val="Referencingstyle"/>
        </w:rPr>
        <w:t>[Schedule </w:t>
      </w:r>
      <w:r w:rsidR="000646F6" w:rsidRPr="00BF3D02">
        <w:rPr>
          <w:rStyle w:val="Referencingstyle"/>
        </w:rPr>
        <w:t xml:space="preserve">#, </w:t>
      </w:r>
      <w:r w:rsidR="00856B04">
        <w:rPr>
          <w:rStyle w:val="Referencingstyle"/>
        </w:rPr>
        <w:t xml:space="preserve">items </w:t>
      </w:r>
      <w:r w:rsidR="001D0A0C">
        <w:rPr>
          <w:rStyle w:val="Referencingstyle"/>
        </w:rPr>
        <w:t xml:space="preserve">238 to 242, </w:t>
      </w:r>
      <w:r w:rsidR="00AC00A0">
        <w:rPr>
          <w:rStyle w:val="Referencingstyle"/>
        </w:rPr>
        <w:t xml:space="preserve">425 to 426, 428 to 429, </w:t>
      </w:r>
      <w:r w:rsidR="00856B04">
        <w:rPr>
          <w:rStyle w:val="Referencingstyle"/>
        </w:rPr>
        <w:t>437 to 445 and 447 to 461</w:t>
      </w:r>
      <w:r w:rsidR="00DD6921">
        <w:rPr>
          <w:rStyle w:val="Referencingstyle"/>
        </w:rPr>
        <w:t xml:space="preserve">, </w:t>
      </w:r>
      <w:r w:rsidR="000646F6">
        <w:rPr>
          <w:rStyle w:val="Referencingstyle"/>
        </w:rPr>
        <w:t>section</w:t>
      </w:r>
      <w:r w:rsidR="001F2EC8">
        <w:rPr>
          <w:rStyle w:val="Referencingstyle"/>
        </w:rPr>
        <w:t>s </w:t>
      </w:r>
      <w:r w:rsidR="00AC00A0">
        <w:rPr>
          <w:rStyle w:val="Referencingstyle"/>
        </w:rPr>
        <w:t xml:space="preserve">128B, 128D, </w:t>
      </w:r>
      <w:r w:rsidR="00DD6921">
        <w:rPr>
          <w:rStyle w:val="Referencingstyle"/>
        </w:rPr>
        <w:t xml:space="preserve">170, </w:t>
      </w:r>
      <w:r w:rsidR="000646F6">
        <w:rPr>
          <w:rStyle w:val="Referencingstyle"/>
        </w:rPr>
        <w:t>251S</w:t>
      </w:r>
      <w:r w:rsidR="00DD6921">
        <w:rPr>
          <w:rStyle w:val="Referencingstyle"/>
        </w:rPr>
        <w:t xml:space="preserve"> and </w:t>
      </w:r>
      <w:r w:rsidR="000646F6">
        <w:rPr>
          <w:rStyle w:val="Referencingstyle"/>
        </w:rPr>
        <w:t xml:space="preserve">255(2A) </w:t>
      </w:r>
      <w:r w:rsidR="00DD6921">
        <w:rPr>
          <w:rStyle w:val="Referencingstyle"/>
        </w:rPr>
        <w:t>of the ITAA 1936, sections 11</w:t>
      </w:r>
      <w:r w:rsidR="00DD6921">
        <w:rPr>
          <w:rStyle w:val="Referencingstyle"/>
        </w:rPr>
        <w:noBreakHyphen/>
      </w:r>
      <w:r w:rsidR="00840682" w:rsidRPr="00230341">
        <w:rPr>
          <w:rStyle w:val="Referencingstyle"/>
        </w:rPr>
        <w:t>55</w:t>
      </w:r>
      <w:r w:rsidR="001F2EC8">
        <w:rPr>
          <w:rStyle w:val="Referencingstyle"/>
        </w:rPr>
        <w:t>, 13</w:t>
      </w:r>
      <w:r w:rsidR="001F2EC8">
        <w:rPr>
          <w:rStyle w:val="Referencingstyle"/>
        </w:rPr>
        <w:noBreakHyphen/>
      </w:r>
      <w:r w:rsidR="00DD6921">
        <w:rPr>
          <w:rStyle w:val="Referencingstyle"/>
        </w:rPr>
        <w:t xml:space="preserve">1, </w:t>
      </w:r>
      <w:r w:rsidR="000646F6" w:rsidRPr="00230341">
        <w:rPr>
          <w:rStyle w:val="Referencingstyle"/>
        </w:rPr>
        <w:t>6</w:t>
      </w:r>
      <w:r w:rsidR="001F2EC8">
        <w:rPr>
          <w:rStyle w:val="Referencingstyle"/>
        </w:rPr>
        <w:t>7</w:t>
      </w:r>
      <w:r w:rsidR="001F2EC8">
        <w:rPr>
          <w:rStyle w:val="Referencingstyle"/>
        </w:rPr>
        <w:noBreakHyphen/>
      </w:r>
      <w:r w:rsidR="000646F6" w:rsidRPr="00230341">
        <w:rPr>
          <w:rStyle w:val="Referencingstyle"/>
        </w:rPr>
        <w:t>23</w:t>
      </w:r>
      <w:r w:rsidR="007B11C5" w:rsidRPr="00230341">
        <w:rPr>
          <w:rStyle w:val="Referencingstyle"/>
        </w:rPr>
        <w:t xml:space="preserve">, </w:t>
      </w:r>
      <w:r w:rsidR="000646F6" w:rsidRPr="00230341">
        <w:rPr>
          <w:rStyle w:val="Referencingstyle"/>
        </w:rPr>
        <w:t>112-46</w:t>
      </w:r>
      <w:r w:rsidR="001F2EC8">
        <w:rPr>
          <w:rStyle w:val="Referencingstyle"/>
        </w:rPr>
        <w:t xml:space="preserve"> and </w:t>
      </w:r>
      <w:r w:rsidR="00AC00A0">
        <w:rPr>
          <w:rStyle w:val="Referencingstyle"/>
        </w:rPr>
        <w:t>276-80</w:t>
      </w:r>
      <w:r w:rsidR="000646F6" w:rsidRPr="00230341">
        <w:rPr>
          <w:rStyle w:val="Referencingstyle"/>
        </w:rPr>
        <w:t xml:space="preserve"> </w:t>
      </w:r>
      <w:r w:rsidR="00DD6921">
        <w:rPr>
          <w:rStyle w:val="Referencingstyle"/>
        </w:rPr>
        <w:t xml:space="preserve">of </w:t>
      </w:r>
      <w:r w:rsidR="000646F6" w:rsidRPr="00230341">
        <w:rPr>
          <w:rStyle w:val="Referencingstyle"/>
        </w:rPr>
        <w:t xml:space="preserve">the ITAA 1997, </w:t>
      </w:r>
      <w:r w:rsidR="00DD6921">
        <w:rPr>
          <w:rStyle w:val="Referencingstyle"/>
        </w:rPr>
        <w:t>s</w:t>
      </w:r>
      <w:r w:rsidR="00BF3950" w:rsidRPr="00230341">
        <w:rPr>
          <w:rStyle w:val="Referencingstyle"/>
        </w:rPr>
        <w:t>ection</w:t>
      </w:r>
      <w:r w:rsidR="000E6F17">
        <w:rPr>
          <w:rStyle w:val="Referencingstyle"/>
        </w:rPr>
        <w:t>s</w:t>
      </w:r>
      <w:r w:rsidR="000646F6" w:rsidRPr="00230341">
        <w:rPr>
          <w:rStyle w:val="Referencingstyle"/>
        </w:rPr>
        <w:t xml:space="preserve"> 10-5,</w:t>
      </w:r>
      <w:r w:rsidR="00BF3950" w:rsidRPr="00230341">
        <w:rPr>
          <w:rStyle w:val="Referencingstyle"/>
        </w:rPr>
        <w:t xml:space="preserve"> </w:t>
      </w:r>
      <w:r w:rsidR="000E6F17">
        <w:rPr>
          <w:rStyle w:val="Referencingstyle"/>
        </w:rPr>
        <w:t>12</w:t>
      </w:r>
      <w:r w:rsidR="000E6F17">
        <w:rPr>
          <w:rStyle w:val="Referencingstyle"/>
        </w:rPr>
        <w:noBreakHyphen/>
      </w:r>
      <w:r w:rsidR="000646F6" w:rsidRPr="00230341">
        <w:rPr>
          <w:rStyle w:val="Referencingstyle"/>
        </w:rPr>
        <w:t>5,</w:t>
      </w:r>
      <w:r w:rsidR="00BF3950" w:rsidRPr="00230341">
        <w:rPr>
          <w:rStyle w:val="Referencingstyle"/>
        </w:rPr>
        <w:t xml:space="preserve"> </w:t>
      </w:r>
      <w:r w:rsidR="000646F6" w:rsidRPr="00230341">
        <w:rPr>
          <w:rStyle w:val="Referencingstyle"/>
        </w:rPr>
        <w:t>15-15</w:t>
      </w:r>
      <w:r w:rsidR="000E6F17">
        <w:rPr>
          <w:rStyle w:val="Referencingstyle"/>
        </w:rPr>
        <w:t>,</w:t>
      </w:r>
      <w:r w:rsidR="00BF3950" w:rsidRPr="00230341">
        <w:rPr>
          <w:rStyle w:val="Referencingstyle"/>
        </w:rPr>
        <w:t xml:space="preserve"> </w:t>
      </w:r>
      <w:r w:rsidR="000646F6" w:rsidRPr="00230341">
        <w:rPr>
          <w:rStyle w:val="Referencingstyle"/>
        </w:rPr>
        <w:t>16-153</w:t>
      </w:r>
      <w:r w:rsidR="00BF3950" w:rsidRPr="00230341">
        <w:rPr>
          <w:rStyle w:val="Referencingstyle"/>
        </w:rPr>
        <w:t>, 16-157, 16-170</w:t>
      </w:r>
      <w:r w:rsidR="000E6F17">
        <w:rPr>
          <w:rStyle w:val="Referencingstyle"/>
        </w:rPr>
        <w:t>,</w:t>
      </w:r>
      <w:r w:rsidR="00BF3950" w:rsidRPr="00230341">
        <w:rPr>
          <w:rStyle w:val="Referencingstyle"/>
        </w:rPr>
        <w:t xml:space="preserve"> 16-195</w:t>
      </w:r>
      <w:r w:rsidR="000E6F17">
        <w:rPr>
          <w:rStyle w:val="Referencingstyle"/>
        </w:rPr>
        <w:t>,</w:t>
      </w:r>
      <w:r w:rsidR="00BF3950" w:rsidRPr="00230341">
        <w:rPr>
          <w:rStyle w:val="Referencingstyle"/>
        </w:rPr>
        <w:t xml:space="preserve"> 18-10</w:t>
      </w:r>
      <w:r w:rsidR="000E6F17">
        <w:rPr>
          <w:rStyle w:val="Referencingstyle"/>
        </w:rPr>
        <w:t>,</w:t>
      </w:r>
      <w:r w:rsidR="00BF3950" w:rsidRPr="00230341">
        <w:rPr>
          <w:rStyle w:val="Referencingstyle"/>
        </w:rPr>
        <w:t xml:space="preserve"> 18-3</w:t>
      </w:r>
      <w:r w:rsidR="000E6F17">
        <w:rPr>
          <w:rStyle w:val="Referencingstyle"/>
        </w:rPr>
        <w:t>0</w:t>
      </w:r>
      <w:r w:rsidR="001D0A0C">
        <w:rPr>
          <w:rStyle w:val="Referencingstyle"/>
        </w:rPr>
        <w:t>,</w:t>
      </w:r>
      <w:r w:rsidR="001F2EC8">
        <w:rPr>
          <w:rStyle w:val="Referencingstyle"/>
        </w:rPr>
        <w:t xml:space="preserve"> </w:t>
      </w:r>
      <w:r w:rsidR="001D0A0C">
        <w:rPr>
          <w:rStyle w:val="Referencingstyle"/>
        </w:rPr>
        <w:t xml:space="preserve">18-65, </w:t>
      </w:r>
      <w:r w:rsidR="00BF3950" w:rsidRPr="00230341">
        <w:rPr>
          <w:rStyle w:val="Referencingstyle"/>
        </w:rPr>
        <w:t>18-70</w:t>
      </w:r>
      <w:r w:rsidR="001D0A0C">
        <w:rPr>
          <w:rStyle w:val="Referencingstyle"/>
        </w:rPr>
        <w:t>, 286-75 and 288-115</w:t>
      </w:r>
      <w:r w:rsidR="000E6F17">
        <w:rPr>
          <w:rStyle w:val="Referencingstyle"/>
        </w:rPr>
        <w:t xml:space="preserve"> in Schedule </w:t>
      </w:r>
      <w:r w:rsidR="00BF3950" w:rsidRPr="00230341">
        <w:rPr>
          <w:rStyle w:val="Referencingstyle"/>
        </w:rPr>
        <w:t>1 to the TA</w:t>
      </w:r>
      <w:r w:rsidR="007212D8" w:rsidRPr="00230341">
        <w:rPr>
          <w:rStyle w:val="Referencingstyle"/>
        </w:rPr>
        <w:t>A 1953]</w:t>
      </w:r>
    </w:p>
    <w:p w14:paraId="5B72C3BA" w14:textId="21AA7E7A" w:rsidR="00620EAC" w:rsidRPr="00AC00A0" w:rsidRDefault="007B11C5" w:rsidP="009D6CDD">
      <w:pPr>
        <w:pStyle w:val="base-text-paragraph"/>
        <w:numPr>
          <w:ilvl w:val="1"/>
          <w:numId w:val="20"/>
        </w:numPr>
        <w:rPr>
          <w:rStyle w:val="Referencingstyle"/>
          <w:b w:val="0"/>
          <w:i w:val="0"/>
          <w:sz w:val="22"/>
        </w:rPr>
      </w:pPr>
      <w:r>
        <w:t xml:space="preserve">Schedule # also updates the definitions in the ITAA 1936 and ITAA 1997. </w:t>
      </w:r>
      <w:r w:rsidR="00620EAC" w:rsidRPr="00BF3D02">
        <w:rPr>
          <w:rStyle w:val="Referencingstyle"/>
        </w:rPr>
        <w:t xml:space="preserve">[Schedule #, </w:t>
      </w:r>
      <w:r w:rsidR="00856B04">
        <w:rPr>
          <w:rStyle w:val="Referencingstyle"/>
        </w:rPr>
        <w:t xml:space="preserve">items </w:t>
      </w:r>
      <w:r w:rsidR="00AC00A0">
        <w:rPr>
          <w:rStyle w:val="Referencingstyle"/>
        </w:rPr>
        <w:t xml:space="preserve">423 and </w:t>
      </w:r>
      <w:r w:rsidR="00856B04">
        <w:rPr>
          <w:rStyle w:val="Referencingstyle"/>
        </w:rPr>
        <w:t>465 to 486</w:t>
      </w:r>
      <w:r w:rsidR="00620EAC">
        <w:rPr>
          <w:rStyle w:val="Referencingstyle"/>
        </w:rPr>
        <w:t xml:space="preserve">, definitions of </w:t>
      </w:r>
      <w:r w:rsidR="00AC00A0">
        <w:rPr>
          <w:rStyle w:val="Referencingstyle"/>
        </w:rPr>
        <w:t xml:space="preserve">‘corporate collective investment vehicle’, </w:t>
      </w:r>
      <w:r w:rsidR="000E6F17">
        <w:rPr>
          <w:rStyle w:val="Referencingstyle"/>
        </w:rPr>
        <w:t>‘</w:t>
      </w:r>
      <w:r w:rsidR="00620EAC">
        <w:rPr>
          <w:rStyle w:val="Referencingstyle"/>
        </w:rPr>
        <w:t>ACCIV</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w:t>
      </w:r>
      <w:r w:rsidR="000E6F17">
        <w:rPr>
          <w:rStyle w:val="Referencingstyle"/>
        </w:rPr>
        <w:t>’</w:t>
      </w:r>
      <w:r w:rsidR="00620EAC">
        <w:rPr>
          <w:rStyle w:val="Referencingstyle"/>
        </w:rPr>
        <w:t xml:space="preserve"> and </w:t>
      </w:r>
      <w:r w:rsidR="000E6F17">
        <w:rPr>
          <w:rStyle w:val="Referencingstyle"/>
        </w:rPr>
        <w:t>‘</w:t>
      </w:r>
      <w:r w:rsidR="00620EAC">
        <w:rPr>
          <w:rStyle w:val="Referencingstyle"/>
        </w:rPr>
        <w:t>assessment</w:t>
      </w:r>
      <w:r w:rsidR="000E6F17">
        <w:rPr>
          <w:rStyle w:val="Referencingstyle"/>
        </w:rPr>
        <w:t>’</w:t>
      </w:r>
      <w:r w:rsidR="001F2EC8">
        <w:rPr>
          <w:rStyle w:val="Referencingstyle"/>
        </w:rPr>
        <w:t xml:space="preserve"> in subsection 6(1) of the ITAA </w:t>
      </w:r>
      <w:r w:rsidR="00620EAC">
        <w:rPr>
          <w:rStyle w:val="Referencingstyle"/>
        </w:rPr>
        <w:t xml:space="preserve">1936 and definitions of </w:t>
      </w:r>
      <w:r w:rsidR="000E6F17">
        <w:rPr>
          <w:rStyle w:val="Referencingstyle"/>
        </w:rPr>
        <w:t>‘</w:t>
      </w:r>
      <w:r w:rsidR="00620EAC">
        <w:rPr>
          <w:rStyle w:val="Referencingstyle"/>
        </w:rPr>
        <w:t>ACCIV</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w:t>
      </w:r>
      <w:r w:rsidR="000E6F17">
        <w:rPr>
          <w:rStyle w:val="Referencingstyle"/>
        </w:rPr>
        <w:t>’</w:t>
      </w:r>
      <w:r w:rsidR="00620EAC">
        <w:rPr>
          <w:rStyle w:val="Referencingstyle"/>
        </w:rPr>
        <w:t xml:space="preserve">, </w:t>
      </w:r>
      <w:r w:rsidR="000E6F17">
        <w:rPr>
          <w:rStyle w:val="Referencingstyle"/>
        </w:rPr>
        <w:t>‘AIV </w:t>
      </w:r>
      <w:r w:rsidR="00620EAC">
        <w:rPr>
          <w:rStyle w:val="Referencingstyle"/>
        </w:rPr>
        <w:t>component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component deficit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cost base increase amount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cost base net amount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cost base reduction amount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DIR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dividend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interest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AIVMA statement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member annual statement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AIV royalty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attribution corporate collective investment vehicle</w:t>
      </w:r>
      <w:r w:rsidR="000E6F17">
        <w:rPr>
          <w:rStyle w:val="Referencingstyle"/>
        </w:rPr>
        <w:t>’</w:t>
      </w:r>
      <w:r w:rsidR="00620EAC">
        <w:rPr>
          <w:rStyle w:val="Referencingstyle"/>
        </w:rPr>
        <w:t xml:space="preserve">, </w:t>
      </w:r>
      <w:r w:rsidR="000E6F17">
        <w:rPr>
          <w:rStyle w:val="Referencingstyle"/>
        </w:rPr>
        <w:t>‘</w:t>
      </w:r>
      <w:r w:rsidR="00620EAC">
        <w:rPr>
          <w:rStyle w:val="Referencingstyle"/>
        </w:rPr>
        <w:t>attribution investment vehicle</w:t>
      </w:r>
      <w:r w:rsidR="000E6F17">
        <w:rPr>
          <w:rStyle w:val="Referencingstyle"/>
        </w:rPr>
        <w:t>’</w:t>
      </w:r>
      <w:r w:rsidR="00620EAC">
        <w:rPr>
          <w:rStyle w:val="Referencingstyle"/>
        </w:rPr>
        <w:t xml:space="preserve">, </w:t>
      </w:r>
      <w:r w:rsidR="000E6F17">
        <w:rPr>
          <w:rStyle w:val="Referencingstyle"/>
        </w:rPr>
        <w:t>‘</w:t>
      </w:r>
      <w:r w:rsidR="00620EAC">
        <w:rPr>
          <w:rStyle w:val="Referencingstyle"/>
        </w:rPr>
        <w:t>carry-forward AIV component deficit</w:t>
      </w:r>
      <w:r w:rsidR="000E6F17">
        <w:rPr>
          <w:rStyle w:val="Referencingstyle"/>
        </w:rPr>
        <w:t>’</w:t>
      </w:r>
      <w:r w:rsidR="00620EAC">
        <w:rPr>
          <w:rStyle w:val="Referencingstyle"/>
        </w:rPr>
        <w:t xml:space="preserve">, </w:t>
      </w:r>
      <w:r w:rsidR="000E6F17">
        <w:rPr>
          <w:rStyle w:val="Referencingstyle"/>
        </w:rPr>
        <w:t>‘</w:t>
      </w:r>
      <w:r w:rsidR="00620EAC">
        <w:rPr>
          <w:rStyle w:val="Referencingstyle"/>
        </w:rPr>
        <w:t>corporate collective investment vehicle</w:t>
      </w:r>
      <w:r w:rsidR="000E6F17">
        <w:rPr>
          <w:rStyle w:val="Referencingstyle"/>
        </w:rPr>
        <w:t>’</w:t>
      </w:r>
      <w:r w:rsidR="00620EAC">
        <w:rPr>
          <w:rStyle w:val="Referencingstyle"/>
        </w:rPr>
        <w:t xml:space="preserve">, </w:t>
      </w:r>
      <w:r w:rsidR="000E6F17">
        <w:rPr>
          <w:rStyle w:val="Referencingstyle"/>
        </w:rPr>
        <w:t>‘</w:t>
      </w:r>
      <w:r w:rsidR="00620EAC">
        <w:rPr>
          <w:rStyle w:val="Referencingstyle"/>
        </w:rPr>
        <w:t>corporate director</w:t>
      </w:r>
      <w:r w:rsidR="000E6F17">
        <w:rPr>
          <w:rStyle w:val="Referencingstyle"/>
        </w:rPr>
        <w:t>’</w:t>
      </w:r>
      <w:r w:rsidR="00620EAC">
        <w:rPr>
          <w:rStyle w:val="Referencingstyle"/>
        </w:rPr>
        <w:t xml:space="preserve">, </w:t>
      </w:r>
      <w:r w:rsidR="000E6F17">
        <w:rPr>
          <w:rStyle w:val="Referencingstyle"/>
        </w:rPr>
        <w:t>‘</w:t>
      </w:r>
      <w:r w:rsidR="00620EAC">
        <w:rPr>
          <w:rStyle w:val="Referencingstyle"/>
        </w:rPr>
        <w:t>determined AIV component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depositary</w:t>
      </w:r>
      <w:r w:rsidR="000D7123">
        <w:rPr>
          <w:rStyle w:val="Referencingstyle"/>
        </w:rPr>
        <w:t>’</w:t>
      </w:r>
      <w:r w:rsidR="00620EAC">
        <w:rPr>
          <w:rStyle w:val="Referencingstyle"/>
        </w:rPr>
        <w:t xml:space="preserve">, </w:t>
      </w:r>
      <w:r w:rsidR="000D7123">
        <w:rPr>
          <w:rStyle w:val="Referencingstyle"/>
        </w:rPr>
        <w:t>‘</w:t>
      </w:r>
      <w:r w:rsidR="00620EAC">
        <w:rPr>
          <w:rStyle w:val="Referencingstyle"/>
        </w:rPr>
        <w:t>income tax law</w:t>
      </w:r>
      <w:r w:rsidR="000E6F17">
        <w:rPr>
          <w:rStyle w:val="Referencingstyle"/>
        </w:rPr>
        <w:t>’</w:t>
      </w:r>
      <w:r w:rsidR="00620EAC">
        <w:rPr>
          <w:rStyle w:val="Referencingstyle"/>
        </w:rPr>
        <w:t xml:space="preserve">, </w:t>
      </w:r>
      <w:r w:rsidR="000E6F17">
        <w:rPr>
          <w:rStyle w:val="Referencingstyle"/>
        </w:rPr>
        <w:t>‘</w:t>
      </w:r>
      <w:r w:rsidR="00620EAC">
        <w:rPr>
          <w:rStyle w:val="Referencingstyle"/>
        </w:rPr>
        <w:t>investment vehicle withholding tax</w:t>
      </w:r>
      <w:r w:rsidR="000E6F17">
        <w:rPr>
          <w:rStyle w:val="Referencingstyle"/>
        </w:rPr>
        <w:t>’</w:t>
      </w:r>
      <w:r w:rsidR="00620EAC">
        <w:rPr>
          <w:rStyle w:val="Referencingstyle"/>
        </w:rPr>
        <w:t xml:space="preserve">, </w:t>
      </w:r>
      <w:r w:rsidR="000E6F17">
        <w:rPr>
          <w:rStyle w:val="Referencingstyle"/>
        </w:rPr>
        <w:t>‘</w:t>
      </w:r>
      <w:r w:rsidR="00620EAC">
        <w:rPr>
          <w:rStyle w:val="Referencingstyle"/>
        </w:rPr>
        <w:t>member</w:t>
      </w:r>
      <w:r w:rsidR="000D7123">
        <w:rPr>
          <w:rStyle w:val="Referencingstyle"/>
        </w:rPr>
        <w:t>’</w:t>
      </w:r>
      <w:r w:rsidR="00620EAC">
        <w:rPr>
          <w:rStyle w:val="Referencingstyle"/>
        </w:rPr>
        <w:t>, non-arm’s length income</w:t>
      </w:r>
      <w:r w:rsidR="000E6F17">
        <w:rPr>
          <w:rStyle w:val="Referencingstyle"/>
        </w:rPr>
        <w:t>’</w:t>
      </w:r>
      <w:r w:rsidR="00620EAC">
        <w:rPr>
          <w:rStyle w:val="Referencingstyle"/>
        </w:rPr>
        <w:t xml:space="preserve">, </w:t>
      </w:r>
      <w:r w:rsidR="000E6F17">
        <w:rPr>
          <w:rStyle w:val="Referencingstyle"/>
        </w:rPr>
        <w:t>‘</w:t>
      </w:r>
      <w:r w:rsidR="00620EAC">
        <w:rPr>
          <w:rStyle w:val="Referencingstyle"/>
        </w:rPr>
        <w:t>operator</w:t>
      </w:r>
      <w:r w:rsidR="000E6F17">
        <w:rPr>
          <w:rStyle w:val="Referencingstyle"/>
        </w:rPr>
        <w:t>’</w:t>
      </w:r>
      <w:r w:rsidR="00620EAC">
        <w:rPr>
          <w:rStyle w:val="Referencingstyle"/>
        </w:rPr>
        <w:t xml:space="preserve">, </w:t>
      </w:r>
      <w:r w:rsidR="000E6F17">
        <w:rPr>
          <w:rStyle w:val="Referencingstyle"/>
        </w:rPr>
        <w:t>‘</w:t>
      </w:r>
      <w:r w:rsidR="00620EAC">
        <w:rPr>
          <w:rStyle w:val="Referencingstyle"/>
        </w:rPr>
        <w:t>post-AIVMA actual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pre-AIVMA actual payment</w:t>
      </w:r>
      <w:r w:rsidR="000E6F17">
        <w:rPr>
          <w:rStyle w:val="Referencingstyle"/>
        </w:rPr>
        <w:t>’</w:t>
      </w:r>
      <w:r w:rsidR="00620EAC">
        <w:rPr>
          <w:rStyle w:val="Referencingstyle"/>
        </w:rPr>
        <w:t xml:space="preserve">, </w:t>
      </w:r>
      <w:r w:rsidR="000E6F17">
        <w:rPr>
          <w:rStyle w:val="Referencingstyle"/>
        </w:rPr>
        <w:t>‘</w:t>
      </w:r>
      <w:r w:rsidR="00620EAC">
        <w:rPr>
          <w:rStyle w:val="Referencingstyle"/>
        </w:rPr>
        <w:t>sub</w:t>
      </w:r>
      <w:r w:rsidR="000E6F17">
        <w:rPr>
          <w:rStyle w:val="Referencingstyle"/>
        </w:rPr>
        <w:noBreakHyphen/>
      </w:r>
      <w:r w:rsidR="00620EAC">
        <w:rPr>
          <w:rStyle w:val="Referencingstyle"/>
        </w:rPr>
        <w:t>fund</w:t>
      </w:r>
      <w:r w:rsidR="000E6F17">
        <w:rPr>
          <w:rStyle w:val="Referencingstyle"/>
        </w:rPr>
        <w:t>’</w:t>
      </w:r>
      <w:r w:rsidR="00620EAC">
        <w:rPr>
          <w:rStyle w:val="Referencingstyle"/>
        </w:rPr>
        <w:t xml:space="preserve">, </w:t>
      </w:r>
      <w:r w:rsidR="000E6F17">
        <w:rPr>
          <w:rStyle w:val="Referencingstyle"/>
        </w:rPr>
        <w:t>‘</w:t>
      </w:r>
      <w:r w:rsidR="00620EAC">
        <w:rPr>
          <w:rStyle w:val="Referencingstyle"/>
        </w:rPr>
        <w:t>sub-fund participation interest</w:t>
      </w:r>
      <w:r w:rsidR="000E6F17">
        <w:rPr>
          <w:rStyle w:val="Referencingstyle"/>
        </w:rPr>
        <w:t>’</w:t>
      </w:r>
      <w:r w:rsidR="00620EAC">
        <w:rPr>
          <w:rStyle w:val="Referencingstyle"/>
        </w:rPr>
        <w:t xml:space="preserve">, </w:t>
      </w:r>
      <w:r w:rsidR="000E6F17">
        <w:rPr>
          <w:rStyle w:val="Referencingstyle"/>
        </w:rPr>
        <w:t>‘</w:t>
      </w:r>
      <w:r w:rsidR="00620EAC">
        <w:rPr>
          <w:rStyle w:val="Referencingstyle"/>
        </w:rPr>
        <w:t>withholding ACCIV</w:t>
      </w:r>
      <w:r w:rsidR="000E6F17">
        <w:rPr>
          <w:rStyle w:val="Referencingstyle"/>
        </w:rPr>
        <w:t>’</w:t>
      </w:r>
      <w:r w:rsidR="00620EAC">
        <w:rPr>
          <w:rStyle w:val="Referencingstyle"/>
        </w:rPr>
        <w:t xml:space="preserve">, </w:t>
      </w:r>
      <w:r w:rsidR="000E6F17">
        <w:rPr>
          <w:rStyle w:val="Referencingstyle"/>
        </w:rPr>
        <w:t>‘</w:t>
      </w:r>
      <w:r w:rsidR="00620EAC">
        <w:rPr>
          <w:rStyle w:val="Referencingstyle"/>
        </w:rPr>
        <w:t>withholding AIV</w:t>
      </w:r>
      <w:r w:rsidR="000E6F17">
        <w:rPr>
          <w:rStyle w:val="Referencingstyle"/>
        </w:rPr>
        <w:t>’</w:t>
      </w:r>
      <w:r w:rsidR="00620EAC">
        <w:rPr>
          <w:rStyle w:val="Referencingstyle"/>
        </w:rPr>
        <w:t xml:space="preserve"> and </w:t>
      </w:r>
      <w:r w:rsidR="000E6F17">
        <w:rPr>
          <w:rStyle w:val="Referencingstyle"/>
        </w:rPr>
        <w:t>‘</w:t>
      </w:r>
      <w:r w:rsidR="00620EAC">
        <w:rPr>
          <w:rStyle w:val="Referencingstyle"/>
        </w:rPr>
        <w:t>withholding tax</w:t>
      </w:r>
      <w:r w:rsidR="000E6F17">
        <w:rPr>
          <w:rStyle w:val="Referencingstyle"/>
        </w:rPr>
        <w:t>’</w:t>
      </w:r>
      <w:r w:rsidR="00620EAC">
        <w:rPr>
          <w:rStyle w:val="Referencingstyle"/>
        </w:rPr>
        <w:t xml:space="preserve"> in subsection 995-1(1) of the ITAA 1997]</w:t>
      </w:r>
    </w:p>
    <w:p w14:paraId="5D258821" w14:textId="22A6154D" w:rsidR="00AC00A0" w:rsidRPr="00AC00A0" w:rsidRDefault="00AC00A0" w:rsidP="00AC00A0">
      <w:pPr>
        <w:pStyle w:val="base-text-paragraph"/>
        <w:numPr>
          <w:ilvl w:val="1"/>
          <w:numId w:val="20"/>
        </w:numPr>
      </w:pPr>
      <w:r w:rsidRPr="00AC00A0">
        <w:t xml:space="preserve">Schedule </w:t>
      </w:r>
      <w:r>
        <w:t xml:space="preserve"># also makes a number of minor consequential amendments to the </w:t>
      </w:r>
      <w:r w:rsidRPr="00AC00A0">
        <w:rPr>
          <w:i/>
        </w:rPr>
        <w:t>Income Tax Rates Act 1986</w:t>
      </w:r>
      <w:r>
        <w:t xml:space="preserve">. </w:t>
      </w:r>
      <w:r w:rsidRPr="00BF3D02">
        <w:rPr>
          <w:rStyle w:val="Referencingstyle"/>
        </w:rPr>
        <w:t xml:space="preserve">[Schedule #, </w:t>
      </w:r>
      <w:r w:rsidR="001F2EC8">
        <w:rPr>
          <w:rStyle w:val="Referencingstyle"/>
        </w:rPr>
        <w:t>items 430 and </w:t>
      </w:r>
      <w:r>
        <w:rPr>
          <w:rStyle w:val="Referencingstyle"/>
        </w:rPr>
        <w:t>431, subsection 3(1) and paragraph 23(2)(a) of the Income Tax Rates Act 1986]</w:t>
      </w:r>
    </w:p>
    <w:p w14:paraId="3BDBD6DE" w14:textId="507D7D12" w:rsidR="009D6CDD" w:rsidRDefault="00204A47" w:rsidP="00FF2000">
      <w:pPr>
        <w:pStyle w:val="Heading2"/>
      </w:pPr>
      <w:r>
        <w:t>Changes in t</w:t>
      </w:r>
      <w:r w:rsidR="00FF2000" w:rsidRPr="00BF3D02">
        <w:t xml:space="preserve">erminology </w:t>
      </w:r>
    </w:p>
    <w:p w14:paraId="0D2B6747" w14:textId="67C8DB8F" w:rsidR="00574F5B" w:rsidRDefault="009D6CDD" w:rsidP="009D6CDD">
      <w:pPr>
        <w:pStyle w:val="base-text-paragraph"/>
        <w:numPr>
          <w:ilvl w:val="1"/>
          <w:numId w:val="20"/>
        </w:numPr>
      </w:pPr>
      <w:r>
        <w:t xml:space="preserve">Table </w:t>
      </w:r>
      <w:r w:rsidR="00FE7017">
        <w:t xml:space="preserve">1.1 </w:t>
      </w:r>
      <w:r w:rsidR="00D676E7">
        <w:t>outlines</w:t>
      </w:r>
      <w:r w:rsidR="00FE7017">
        <w:t xml:space="preserve"> changes </w:t>
      </w:r>
      <w:r>
        <w:t xml:space="preserve">to terminology </w:t>
      </w:r>
      <w:r w:rsidR="00D676E7">
        <w:t>as a result of modifying the AMIT regime so that it applies to CCIVs.</w:t>
      </w:r>
      <w:r>
        <w:t xml:space="preserve"> </w:t>
      </w:r>
    </w:p>
    <w:p w14:paraId="450E38CF" w14:textId="01E9A89C" w:rsidR="00FF2000" w:rsidRDefault="00D676E7" w:rsidP="00FE7017">
      <w:pPr>
        <w:pStyle w:val="TableHeadingoutsidetable"/>
      </w:pPr>
      <w:r>
        <w:t>: Changes in terminology</w:t>
      </w:r>
    </w:p>
    <w:tbl>
      <w:tblPr>
        <w:tblStyle w:val="TableGrid"/>
        <w:tblW w:w="0" w:type="auto"/>
        <w:tblInd w:w="1134" w:type="dxa"/>
        <w:tblLook w:val="04A0" w:firstRow="1" w:lastRow="0" w:firstColumn="1" w:lastColumn="0" w:noHBand="0" w:noVBand="1"/>
      </w:tblPr>
      <w:tblGrid>
        <w:gridCol w:w="1923"/>
        <w:gridCol w:w="2835"/>
        <w:gridCol w:w="2034"/>
      </w:tblGrid>
      <w:tr w:rsidR="00FF2000" w:rsidRPr="00BF3D02" w14:paraId="317270A9" w14:textId="77777777" w:rsidTr="00D676E7">
        <w:tc>
          <w:tcPr>
            <w:tcW w:w="1923" w:type="dxa"/>
          </w:tcPr>
          <w:p w14:paraId="4DA6438D" w14:textId="77777777" w:rsidR="00FF2000" w:rsidRPr="00BF3D02" w:rsidRDefault="00FF2000" w:rsidP="00C51C14">
            <w:pPr>
              <w:pStyle w:val="tableheaderwithintable"/>
            </w:pPr>
            <w:r w:rsidRPr="00BF3D02">
              <w:t>Existing terminology</w:t>
            </w:r>
          </w:p>
        </w:tc>
        <w:tc>
          <w:tcPr>
            <w:tcW w:w="2835" w:type="dxa"/>
          </w:tcPr>
          <w:p w14:paraId="7E7A56B4" w14:textId="77777777" w:rsidR="00FF2000" w:rsidRPr="00BF3D02" w:rsidRDefault="00FF2000" w:rsidP="00C51C14">
            <w:pPr>
              <w:pStyle w:val="tableheaderwithintable"/>
            </w:pPr>
            <w:r w:rsidRPr="00BF3D02">
              <w:t>New terminology</w:t>
            </w:r>
          </w:p>
        </w:tc>
        <w:tc>
          <w:tcPr>
            <w:tcW w:w="2034" w:type="dxa"/>
          </w:tcPr>
          <w:p w14:paraId="365D3978" w14:textId="7BF62270" w:rsidR="00FF2000" w:rsidRPr="00BF3D02" w:rsidRDefault="00FF2000" w:rsidP="00C51C14">
            <w:pPr>
              <w:pStyle w:val="tableheaderwithintable"/>
            </w:pPr>
            <w:r w:rsidRPr="00BF3D02">
              <w:t xml:space="preserve">Provision </w:t>
            </w:r>
          </w:p>
        </w:tc>
      </w:tr>
      <w:tr w:rsidR="00FF2000" w:rsidRPr="00BF3D02" w14:paraId="19C89563" w14:textId="77777777" w:rsidTr="00D676E7">
        <w:tc>
          <w:tcPr>
            <w:tcW w:w="1923" w:type="dxa"/>
          </w:tcPr>
          <w:p w14:paraId="0E58C27D" w14:textId="77777777" w:rsidR="00FF2000" w:rsidRPr="00BF3D02" w:rsidRDefault="00FF2000" w:rsidP="00FE7017">
            <w:pPr>
              <w:pStyle w:val="tabletext"/>
              <w:ind w:left="0"/>
            </w:pPr>
            <w:r w:rsidRPr="00BF3D02">
              <w:t>AMIT</w:t>
            </w:r>
          </w:p>
        </w:tc>
        <w:tc>
          <w:tcPr>
            <w:tcW w:w="2835" w:type="dxa"/>
          </w:tcPr>
          <w:p w14:paraId="7E29E6A2" w14:textId="77777777" w:rsidR="00FF2000" w:rsidRPr="00BF3D02" w:rsidRDefault="00FF2000" w:rsidP="00FE7017">
            <w:pPr>
              <w:pStyle w:val="tabletext"/>
              <w:ind w:left="0"/>
            </w:pPr>
            <w:r w:rsidRPr="00BF3D02">
              <w:t>AIV: refers to an AMIT or an ACCIV</w:t>
            </w:r>
          </w:p>
        </w:tc>
        <w:tc>
          <w:tcPr>
            <w:tcW w:w="2034" w:type="dxa"/>
          </w:tcPr>
          <w:p w14:paraId="2881E205" w14:textId="77777777" w:rsidR="00FF2000" w:rsidRPr="00BF3D02" w:rsidRDefault="00FF2000" w:rsidP="00FE7017">
            <w:pPr>
              <w:pStyle w:val="tabletext"/>
              <w:ind w:left="0"/>
            </w:pPr>
            <w:r w:rsidRPr="00BF3D02">
              <w:t>Section 276</w:t>
            </w:r>
            <w:r w:rsidRPr="00BF3D02">
              <w:noBreakHyphen/>
              <w:t>7</w:t>
            </w:r>
          </w:p>
        </w:tc>
      </w:tr>
      <w:tr w:rsidR="00FF2000" w:rsidRPr="00BF3D02" w14:paraId="00A3B1C9" w14:textId="77777777" w:rsidTr="00D676E7">
        <w:tc>
          <w:tcPr>
            <w:tcW w:w="1923" w:type="dxa"/>
          </w:tcPr>
          <w:p w14:paraId="3F17B9F3" w14:textId="77777777" w:rsidR="00FF2000" w:rsidRPr="00BF3D02" w:rsidRDefault="00FF2000" w:rsidP="00FE7017">
            <w:pPr>
              <w:pStyle w:val="tabletext"/>
              <w:ind w:left="0"/>
            </w:pPr>
            <w:r w:rsidRPr="00BF3D02">
              <w:t>Trustee</w:t>
            </w:r>
          </w:p>
        </w:tc>
        <w:tc>
          <w:tcPr>
            <w:tcW w:w="2835" w:type="dxa"/>
          </w:tcPr>
          <w:p w14:paraId="0C4587F5" w14:textId="77777777" w:rsidR="00FF2000" w:rsidRPr="00BF3D02" w:rsidRDefault="00FF2000" w:rsidP="00FE7017">
            <w:pPr>
              <w:pStyle w:val="tabletext"/>
              <w:ind w:left="0"/>
            </w:pPr>
            <w:r w:rsidRPr="00BF3D02">
              <w:t xml:space="preserve">Operator: refers to either the trustee of an AMIT or the </w:t>
            </w:r>
            <w:r w:rsidRPr="00BF3D02">
              <w:lastRenderedPageBreak/>
              <w:t>corporate director of an ACCIV</w:t>
            </w:r>
          </w:p>
        </w:tc>
        <w:tc>
          <w:tcPr>
            <w:tcW w:w="2034" w:type="dxa"/>
          </w:tcPr>
          <w:p w14:paraId="627D6BF6" w14:textId="77777777" w:rsidR="00FF2000" w:rsidRPr="00BF3D02" w:rsidRDefault="00FF2000" w:rsidP="00FE7017">
            <w:pPr>
              <w:pStyle w:val="tabletext"/>
              <w:ind w:left="0"/>
            </w:pPr>
            <w:r w:rsidRPr="00BF3D02">
              <w:lastRenderedPageBreak/>
              <w:t>Section 276</w:t>
            </w:r>
            <w:r w:rsidRPr="00BF3D02">
              <w:noBreakHyphen/>
              <w:t>7</w:t>
            </w:r>
          </w:p>
        </w:tc>
      </w:tr>
      <w:tr w:rsidR="00FF2000" w:rsidRPr="00BF3D02" w14:paraId="596016F1" w14:textId="77777777" w:rsidTr="00D676E7">
        <w:tc>
          <w:tcPr>
            <w:tcW w:w="1923" w:type="dxa"/>
          </w:tcPr>
          <w:p w14:paraId="22E81156" w14:textId="77777777" w:rsidR="00FF2000" w:rsidRPr="00BF3D02" w:rsidRDefault="00FF2000" w:rsidP="00FE7017">
            <w:pPr>
              <w:pStyle w:val="tabletext"/>
              <w:ind w:left="0"/>
            </w:pPr>
            <w:r w:rsidRPr="00BF3D02">
              <w:lastRenderedPageBreak/>
              <w:t>Trust component</w:t>
            </w:r>
          </w:p>
        </w:tc>
        <w:tc>
          <w:tcPr>
            <w:tcW w:w="2835" w:type="dxa"/>
          </w:tcPr>
          <w:p w14:paraId="3BEDD541" w14:textId="77777777" w:rsidR="00FF2000" w:rsidRPr="00BF3D02" w:rsidRDefault="00FF2000" w:rsidP="00FE7017">
            <w:pPr>
              <w:pStyle w:val="tabletext"/>
              <w:ind w:left="0"/>
            </w:pPr>
            <w:r w:rsidRPr="00BF3D02">
              <w:t>AIV component</w:t>
            </w:r>
          </w:p>
        </w:tc>
        <w:tc>
          <w:tcPr>
            <w:tcW w:w="2034" w:type="dxa"/>
          </w:tcPr>
          <w:p w14:paraId="2E1AE8C2" w14:textId="77777777" w:rsidR="00FF2000" w:rsidRPr="00BF3D02" w:rsidRDefault="00FF2000" w:rsidP="00FE7017">
            <w:pPr>
              <w:pStyle w:val="tabletext"/>
              <w:ind w:left="0"/>
            </w:pPr>
            <w:r w:rsidRPr="00BF3D02">
              <w:t>Section 276</w:t>
            </w:r>
            <w:r w:rsidRPr="00BF3D02">
              <w:noBreakHyphen/>
              <w:t>260</w:t>
            </w:r>
          </w:p>
        </w:tc>
      </w:tr>
      <w:tr w:rsidR="00FF2000" w:rsidRPr="00BF3D02" w14:paraId="7141D32E" w14:textId="77777777" w:rsidTr="00D676E7">
        <w:tc>
          <w:tcPr>
            <w:tcW w:w="1923" w:type="dxa"/>
          </w:tcPr>
          <w:p w14:paraId="565D0BCB" w14:textId="77777777" w:rsidR="00FF2000" w:rsidRPr="00BF3D02" w:rsidRDefault="00FF2000" w:rsidP="00FE7017">
            <w:pPr>
              <w:pStyle w:val="tabletext"/>
              <w:ind w:left="0"/>
            </w:pPr>
            <w:r w:rsidRPr="00BF3D02">
              <w:t>Determined trust component</w:t>
            </w:r>
          </w:p>
        </w:tc>
        <w:tc>
          <w:tcPr>
            <w:tcW w:w="2835" w:type="dxa"/>
          </w:tcPr>
          <w:p w14:paraId="4A9A4855" w14:textId="77777777" w:rsidR="00FF2000" w:rsidRPr="00BF3D02" w:rsidRDefault="00FF2000" w:rsidP="00FE7017">
            <w:pPr>
              <w:pStyle w:val="tabletext"/>
              <w:ind w:left="0"/>
            </w:pPr>
            <w:r w:rsidRPr="00BF3D02">
              <w:t>Determined AIV component</w:t>
            </w:r>
          </w:p>
        </w:tc>
        <w:tc>
          <w:tcPr>
            <w:tcW w:w="2034" w:type="dxa"/>
          </w:tcPr>
          <w:p w14:paraId="1BD5B9B3" w14:textId="77777777" w:rsidR="00FF2000" w:rsidRPr="00BF3D02" w:rsidRDefault="00FF2000" w:rsidP="00FE7017">
            <w:pPr>
              <w:pStyle w:val="tabletext"/>
              <w:ind w:left="0"/>
            </w:pPr>
            <w:r w:rsidRPr="00BF3D02">
              <w:t>Section 276</w:t>
            </w:r>
            <w:r w:rsidRPr="00BF3D02">
              <w:noBreakHyphen/>
              <w:t>255</w:t>
            </w:r>
          </w:p>
        </w:tc>
      </w:tr>
      <w:tr w:rsidR="00FF2000" w:rsidRPr="00BF3D02" w14:paraId="0099229F" w14:textId="77777777" w:rsidTr="00D676E7">
        <w:tc>
          <w:tcPr>
            <w:tcW w:w="1923" w:type="dxa"/>
          </w:tcPr>
          <w:p w14:paraId="054F6CAC" w14:textId="77777777" w:rsidR="00FF2000" w:rsidRPr="00BF3D02" w:rsidRDefault="00FF2000" w:rsidP="00FE7017">
            <w:pPr>
              <w:pStyle w:val="tabletext"/>
              <w:ind w:left="0"/>
            </w:pPr>
            <w:r w:rsidRPr="00BF3D02">
              <w:t>Member component</w:t>
            </w:r>
          </w:p>
        </w:tc>
        <w:tc>
          <w:tcPr>
            <w:tcW w:w="2835" w:type="dxa"/>
          </w:tcPr>
          <w:p w14:paraId="5308B79C" w14:textId="77777777" w:rsidR="00FF2000" w:rsidRPr="00BF3D02" w:rsidRDefault="00FF2000" w:rsidP="00FE7017">
            <w:pPr>
              <w:pStyle w:val="tabletext"/>
              <w:ind w:left="0"/>
            </w:pPr>
            <w:r w:rsidRPr="00BF3D02">
              <w:t>No change</w:t>
            </w:r>
          </w:p>
        </w:tc>
        <w:tc>
          <w:tcPr>
            <w:tcW w:w="2034" w:type="dxa"/>
          </w:tcPr>
          <w:p w14:paraId="1078AD32" w14:textId="77777777" w:rsidR="00FF2000" w:rsidRPr="00BF3D02" w:rsidRDefault="00FF2000" w:rsidP="00FE7017">
            <w:pPr>
              <w:pStyle w:val="tabletext"/>
              <w:ind w:left="0"/>
            </w:pPr>
            <w:r w:rsidRPr="00BF3D02">
              <w:t>Section 276</w:t>
            </w:r>
            <w:r w:rsidRPr="00BF3D02">
              <w:noBreakHyphen/>
              <w:t>210</w:t>
            </w:r>
          </w:p>
        </w:tc>
      </w:tr>
      <w:tr w:rsidR="00FF2000" w:rsidRPr="00BF3D02" w14:paraId="01D46CDB" w14:textId="77777777" w:rsidTr="00D676E7">
        <w:tc>
          <w:tcPr>
            <w:tcW w:w="1923" w:type="dxa"/>
          </w:tcPr>
          <w:p w14:paraId="0DD1DDDE" w14:textId="77777777" w:rsidR="00FF2000" w:rsidRPr="00BF3D02" w:rsidRDefault="00FF2000" w:rsidP="00FE7017">
            <w:pPr>
              <w:pStyle w:val="tabletext"/>
              <w:ind w:left="0"/>
            </w:pPr>
            <w:r w:rsidRPr="00BF3D02">
              <w:t>Determined member component</w:t>
            </w:r>
          </w:p>
        </w:tc>
        <w:tc>
          <w:tcPr>
            <w:tcW w:w="2835" w:type="dxa"/>
          </w:tcPr>
          <w:p w14:paraId="473958A7" w14:textId="77777777" w:rsidR="00FF2000" w:rsidRPr="00BF3D02" w:rsidRDefault="00FF2000" w:rsidP="00FE7017">
            <w:pPr>
              <w:pStyle w:val="tabletext"/>
              <w:ind w:left="0"/>
            </w:pPr>
            <w:r w:rsidRPr="00BF3D02">
              <w:t>No change</w:t>
            </w:r>
          </w:p>
        </w:tc>
        <w:tc>
          <w:tcPr>
            <w:tcW w:w="2034" w:type="dxa"/>
          </w:tcPr>
          <w:p w14:paraId="7E0ADD30" w14:textId="77777777" w:rsidR="00FF2000" w:rsidRPr="00BF3D02" w:rsidRDefault="00FF2000" w:rsidP="00FE7017">
            <w:pPr>
              <w:pStyle w:val="tabletext"/>
              <w:ind w:left="0"/>
            </w:pPr>
            <w:r w:rsidRPr="00BF3D02">
              <w:t>Section 276</w:t>
            </w:r>
            <w:r w:rsidRPr="00BF3D02">
              <w:noBreakHyphen/>
              <w:t>250</w:t>
            </w:r>
          </w:p>
        </w:tc>
      </w:tr>
      <w:tr w:rsidR="00FF2000" w:rsidRPr="00BF3D02" w14:paraId="65C86731" w14:textId="77777777" w:rsidTr="00D676E7">
        <w:tc>
          <w:tcPr>
            <w:tcW w:w="1923" w:type="dxa"/>
          </w:tcPr>
          <w:p w14:paraId="4D60CF1F" w14:textId="77777777" w:rsidR="00FF2000" w:rsidRPr="00BF3D02" w:rsidRDefault="00FF2000" w:rsidP="00FE7017">
            <w:pPr>
              <w:pStyle w:val="tabletext"/>
              <w:ind w:left="0"/>
            </w:pPr>
            <w:r w:rsidRPr="00BF3D02">
              <w:t>AMMA (AMIT member annual) statement</w:t>
            </w:r>
          </w:p>
        </w:tc>
        <w:tc>
          <w:tcPr>
            <w:tcW w:w="2835" w:type="dxa"/>
          </w:tcPr>
          <w:p w14:paraId="15F6AFA2" w14:textId="77777777" w:rsidR="00FF2000" w:rsidRPr="00BF3D02" w:rsidRDefault="00FF2000" w:rsidP="00FE7017">
            <w:pPr>
              <w:pStyle w:val="tabletext"/>
              <w:ind w:left="0"/>
            </w:pPr>
            <w:r w:rsidRPr="00BF3D02">
              <w:t>AIVMA (AIV member annual) statement</w:t>
            </w:r>
          </w:p>
        </w:tc>
        <w:tc>
          <w:tcPr>
            <w:tcW w:w="2034" w:type="dxa"/>
          </w:tcPr>
          <w:p w14:paraId="33BC9C64" w14:textId="77777777" w:rsidR="00FF2000" w:rsidRPr="00BF3D02" w:rsidRDefault="00FF2000" w:rsidP="00FE7017">
            <w:pPr>
              <w:pStyle w:val="tabletext"/>
              <w:ind w:left="0"/>
            </w:pPr>
            <w:r w:rsidRPr="00BF3D02">
              <w:t>Subdivision 276</w:t>
            </w:r>
            <w:r w:rsidRPr="00BF3D02">
              <w:noBreakHyphen/>
              <w:t>H</w:t>
            </w:r>
          </w:p>
        </w:tc>
      </w:tr>
      <w:tr w:rsidR="00FF2000" w:rsidRPr="00BF3D02" w14:paraId="761703F6" w14:textId="77777777" w:rsidTr="00D676E7">
        <w:tc>
          <w:tcPr>
            <w:tcW w:w="1923" w:type="dxa"/>
          </w:tcPr>
          <w:p w14:paraId="542BABD9" w14:textId="77777777" w:rsidR="00FF2000" w:rsidRPr="00BF3D02" w:rsidRDefault="00FF2000" w:rsidP="00FE7017">
            <w:pPr>
              <w:pStyle w:val="tabletext"/>
              <w:ind w:left="0"/>
            </w:pPr>
            <w:r w:rsidRPr="00BF3D02">
              <w:t>AMIT DIR payment</w:t>
            </w:r>
          </w:p>
        </w:tc>
        <w:tc>
          <w:tcPr>
            <w:tcW w:w="2835" w:type="dxa"/>
          </w:tcPr>
          <w:p w14:paraId="2A6C9700" w14:textId="77777777" w:rsidR="00FF2000" w:rsidRPr="00BF3D02" w:rsidRDefault="00FF2000" w:rsidP="00FE7017">
            <w:pPr>
              <w:pStyle w:val="tabletext"/>
              <w:ind w:left="0"/>
            </w:pPr>
            <w:r w:rsidRPr="00BF3D02">
              <w:t>AIV DIR payment</w:t>
            </w:r>
          </w:p>
        </w:tc>
        <w:tc>
          <w:tcPr>
            <w:tcW w:w="2034" w:type="dxa"/>
          </w:tcPr>
          <w:p w14:paraId="22E99572" w14:textId="16DF85E4" w:rsidR="00FF2000" w:rsidRPr="00BF3D02" w:rsidRDefault="00897B01" w:rsidP="00FE7017">
            <w:pPr>
              <w:pStyle w:val="tabletext"/>
              <w:ind w:left="0"/>
            </w:pPr>
            <w:r>
              <w:t xml:space="preserve">Section 12A-25 in Schedule 1 to </w:t>
            </w:r>
            <w:r w:rsidR="00FE7017">
              <w:t>the TAA </w:t>
            </w:r>
            <w:r>
              <w:t>1953</w:t>
            </w:r>
          </w:p>
        </w:tc>
      </w:tr>
      <w:tr w:rsidR="00FF2000" w:rsidRPr="00BF3D02" w14:paraId="524BA21E" w14:textId="77777777" w:rsidTr="00D676E7">
        <w:tc>
          <w:tcPr>
            <w:tcW w:w="1923" w:type="dxa"/>
          </w:tcPr>
          <w:p w14:paraId="6BFFF47E" w14:textId="1B4CFA84" w:rsidR="00FF2000" w:rsidRPr="00BF3D02" w:rsidRDefault="00FE7017" w:rsidP="00C51C14">
            <w:pPr>
              <w:pStyle w:val="tabletext"/>
              <w:ind w:left="0"/>
              <w:jc w:val="center"/>
            </w:pPr>
            <w:r>
              <w:rPr>
                <w:rFonts w:ascii="Calibri" w:hAnsi="Calibri"/>
              </w:rPr>
              <w:t>—</w:t>
            </w:r>
          </w:p>
        </w:tc>
        <w:tc>
          <w:tcPr>
            <w:tcW w:w="2835" w:type="dxa"/>
          </w:tcPr>
          <w:p w14:paraId="555376D7" w14:textId="120B09DD" w:rsidR="00FF2000" w:rsidRPr="00BF3D02" w:rsidRDefault="00FF2000" w:rsidP="00FE7017">
            <w:pPr>
              <w:pStyle w:val="tabletext"/>
              <w:ind w:left="0"/>
            </w:pPr>
            <w:r w:rsidRPr="00BF3D02">
              <w:t>ACCIV</w:t>
            </w:r>
          </w:p>
        </w:tc>
        <w:tc>
          <w:tcPr>
            <w:tcW w:w="2034" w:type="dxa"/>
          </w:tcPr>
          <w:p w14:paraId="7E02F3B0" w14:textId="77777777" w:rsidR="00FF2000" w:rsidRPr="00BF3D02" w:rsidRDefault="00FF2000" w:rsidP="00FE7017">
            <w:pPr>
              <w:pStyle w:val="tabletext"/>
              <w:ind w:left="0"/>
            </w:pPr>
            <w:r w:rsidRPr="00BF3D02">
              <w:t>Section 276</w:t>
            </w:r>
            <w:r w:rsidRPr="00BF3D02">
              <w:noBreakHyphen/>
              <w:t>20</w:t>
            </w:r>
          </w:p>
        </w:tc>
      </w:tr>
      <w:tr w:rsidR="00FF2000" w:rsidRPr="00BF3D02" w14:paraId="5ABEE15D" w14:textId="77777777" w:rsidTr="00D676E7">
        <w:tc>
          <w:tcPr>
            <w:tcW w:w="1923" w:type="dxa"/>
          </w:tcPr>
          <w:p w14:paraId="3A974A6A" w14:textId="130CAD2B" w:rsidR="00FF2000" w:rsidRPr="00BF3D02" w:rsidRDefault="00FE7017" w:rsidP="00FE7017">
            <w:pPr>
              <w:pStyle w:val="tabletext"/>
              <w:ind w:left="0"/>
              <w:jc w:val="center"/>
            </w:pPr>
            <w:r>
              <w:rPr>
                <w:rFonts w:ascii="Calibri" w:hAnsi="Calibri"/>
              </w:rPr>
              <w:t>—</w:t>
            </w:r>
          </w:p>
        </w:tc>
        <w:tc>
          <w:tcPr>
            <w:tcW w:w="2835" w:type="dxa"/>
          </w:tcPr>
          <w:p w14:paraId="590EA577" w14:textId="681C135A" w:rsidR="00FF2000" w:rsidRPr="00BF3D02" w:rsidRDefault="00FF2000" w:rsidP="00FE7017">
            <w:pPr>
              <w:pStyle w:val="tabletext"/>
              <w:ind w:left="0"/>
            </w:pPr>
            <w:r w:rsidRPr="00BF3D02">
              <w:t>CCIV</w:t>
            </w:r>
          </w:p>
        </w:tc>
        <w:tc>
          <w:tcPr>
            <w:tcW w:w="2034" w:type="dxa"/>
          </w:tcPr>
          <w:p w14:paraId="21EEA1B8" w14:textId="77777777" w:rsidR="00FF2000" w:rsidRPr="00BF3D02" w:rsidRDefault="00FF2000" w:rsidP="00FE7017">
            <w:pPr>
              <w:pStyle w:val="tabletext"/>
              <w:ind w:left="0"/>
              <w:rPr>
                <w:i/>
              </w:rPr>
            </w:pPr>
            <w:r w:rsidRPr="00BF3D02">
              <w:rPr>
                <w:i/>
              </w:rPr>
              <w:t>Corporations Act 2001</w:t>
            </w:r>
          </w:p>
        </w:tc>
      </w:tr>
      <w:tr w:rsidR="00FF2000" w:rsidRPr="00BF3D02" w14:paraId="1BD91DB0" w14:textId="77777777" w:rsidTr="00D676E7">
        <w:tc>
          <w:tcPr>
            <w:tcW w:w="1923" w:type="dxa"/>
          </w:tcPr>
          <w:p w14:paraId="67D89E99" w14:textId="62967DBE" w:rsidR="00FF2000" w:rsidRPr="00BF3D02" w:rsidRDefault="00FE7017" w:rsidP="00C51C14">
            <w:pPr>
              <w:pStyle w:val="tabletext"/>
              <w:ind w:left="0"/>
              <w:jc w:val="center"/>
            </w:pPr>
            <w:r>
              <w:rPr>
                <w:rFonts w:ascii="Calibri" w:hAnsi="Calibri"/>
              </w:rPr>
              <w:t>—</w:t>
            </w:r>
          </w:p>
        </w:tc>
        <w:tc>
          <w:tcPr>
            <w:tcW w:w="2835" w:type="dxa"/>
          </w:tcPr>
          <w:p w14:paraId="7C495069" w14:textId="443903FB" w:rsidR="00FF2000" w:rsidRPr="00BF3D02" w:rsidRDefault="00FF2000" w:rsidP="00FE7017">
            <w:pPr>
              <w:pStyle w:val="tabletext"/>
              <w:ind w:left="0"/>
            </w:pPr>
            <w:r w:rsidRPr="00BF3D02">
              <w:t>Sub</w:t>
            </w:r>
            <w:r w:rsidRPr="00BF3D02">
              <w:noBreakHyphen/>
              <w:t>fund of a CCIV</w:t>
            </w:r>
          </w:p>
        </w:tc>
        <w:tc>
          <w:tcPr>
            <w:tcW w:w="2034" w:type="dxa"/>
          </w:tcPr>
          <w:p w14:paraId="239EBD83" w14:textId="6F684DBC" w:rsidR="00FF2000" w:rsidRPr="00BF3D02" w:rsidRDefault="00FF2000" w:rsidP="00FE7017">
            <w:pPr>
              <w:pStyle w:val="tabletext"/>
              <w:ind w:left="0"/>
              <w:rPr>
                <w:i/>
              </w:rPr>
            </w:pPr>
            <w:r w:rsidRPr="00BF3D02">
              <w:rPr>
                <w:i/>
              </w:rPr>
              <w:t>Corporations Act 2001</w:t>
            </w:r>
          </w:p>
        </w:tc>
      </w:tr>
      <w:tr w:rsidR="00FF2000" w:rsidRPr="00BF3D02" w14:paraId="7A7A7729" w14:textId="77777777" w:rsidTr="00D676E7">
        <w:tc>
          <w:tcPr>
            <w:tcW w:w="1923" w:type="dxa"/>
          </w:tcPr>
          <w:p w14:paraId="7354AD45" w14:textId="4AC42A91" w:rsidR="00FF2000" w:rsidRPr="00BF3D02" w:rsidRDefault="00FE7017" w:rsidP="00C51C14">
            <w:pPr>
              <w:pStyle w:val="tabletext"/>
              <w:ind w:left="0"/>
              <w:jc w:val="center"/>
            </w:pPr>
            <w:r>
              <w:rPr>
                <w:rFonts w:ascii="Calibri" w:hAnsi="Calibri"/>
              </w:rPr>
              <w:t>—</w:t>
            </w:r>
          </w:p>
        </w:tc>
        <w:tc>
          <w:tcPr>
            <w:tcW w:w="2835" w:type="dxa"/>
          </w:tcPr>
          <w:p w14:paraId="12882316" w14:textId="77777777" w:rsidR="00FF2000" w:rsidRPr="00BF3D02" w:rsidRDefault="00FF2000" w:rsidP="00FE7017">
            <w:pPr>
              <w:pStyle w:val="tabletext"/>
              <w:ind w:left="0"/>
            </w:pPr>
            <w:r w:rsidRPr="00BF3D02">
              <w:t>Sub</w:t>
            </w:r>
            <w:r w:rsidRPr="00BF3D02">
              <w:noBreakHyphen/>
              <w:t>fund participation interest</w:t>
            </w:r>
          </w:p>
        </w:tc>
        <w:tc>
          <w:tcPr>
            <w:tcW w:w="2034" w:type="dxa"/>
          </w:tcPr>
          <w:p w14:paraId="0BB6AF94" w14:textId="77777777" w:rsidR="00FF2000" w:rsidRPr="00BF3D02" w:rsidRDefault="00FF2000" w:rsidP="00FE7017">
            <w:pPr>
              <w:pStyle w:val="tabletext"/>
              <w:ind w:left="0"/>
            </w:pPr>
            <w:r w:rsidRPr="00BF3D02">
              <w:t>Section 276</w:t>
            </w:r>
            <w:r w:rsidRPr="00BF3D02">
              <w:noBreakHyphen/>
              <w:t>40</w:t>
            </w:r>
          </w:p>
        </w:tc>
      </w:tr>
      <w:tr w:rsidR="00FF2000" w:rsidRPr="00BF3D02" w14:paraId="4A996099" w14:textId="77777777" w:rsidTr="00D676E7">
        <w:tc>
          <w:tcPr>
            <w:tcW w:w="1923" w:type="dxa"/>
          </w:tcPr>
          <w:p w14:paraId="473A5B27" w14:textId="77777777" w:rsidR="00FF2000" w:rsidRPr="00BF3D02" w:rsidRDefault="00FF2000" w:rsidP="00FE7017">
            <w:pPr>
              <w:pStyle w:val="tabletext"/>
              <w:ind w:left="0"/>
            </w:pPr>
            <w:r w:rsidRPr="00BF3D02">
              <w:t>AMIT cost base net amount</w:t>
            </w:r>
          </w:p>
        </w:tc>
        <w:tc>
          <w:tcPr>
            <w:tcW w:w="2835" w:type="dxa"/>
          </w:tcPr>
          <w:p w14:paraId="24C7B95E" w14:textId="77777777" w:rsidR="00FF2000" w:rsidRPr="00BF3D02" w:rsidRDefault="00FF2000" w:rsidP="00FE7017">
            <w:pPr>
              <w:pStyle w:val="tabletext"/>
              <w:ind w:left="0"/>
            </w:pPr>
            <w:r w:rsidRPr="00BF3D02">
              <w:t>AIV cost base next amount</w:t>
            </w:r>
          </w:p>
        </w:tc>
        <w:tc>
          <w:tcPr>
            <w:tcW w:w="2034" w:type="dxa"/>
          </w:tcPr>
          <w:p w14:paraId="1D1F0898" w14:textId="77777777" w:rsidR="00FF2000" w:rsidRPr="00BF3D02" w:rsidRDefault="00FF2000" w:rsidP="00FE7017">
            <w:pPr>
              <w:pStyle w:val="tabletext"/>
              <w:ind w:left="0"/>
            </w:pPr>
            <w:r w:rsidRPr="00BF3D02">
              <w:t>Section 104</w:t>
            </w:r>
            <w:r w:rsidRPr="00BF3D02">
              <w:noBreakHyphen/>
              <w:t>107C</w:t>
            </w:r>
          </w:p>
        </w:tc>
      </w:tr>
      <w:tr w:rsidR="00FF2000" w:rsidRPr="00BF3D02" w14:paraId="63EED18E" w14:textId="77777777" w:rsidTr="00D676E7">
        <w:tc>
          <w:tcPr>
            <w:tcW w:w="1923" w:type="dxa"/>
          </w:tcPr>
          <w:p w14:paraId="791B9BF4" w14:textId="77777777" w:rsidR="00FF2000" w:rsidRPr="00BF3D02" w:rsidRDefault="00FF2000" w:rsidP="00FE7017">
            <w:pPr>
              <w:pStyle w:val="tabletext"/>
              <w:ind w:left="0"/>
            </w:pPr>
            <w:r w:rsidRPr="00BF3D02">
              <w:t>AMIT cost base reduction amount</w:t>
            </w:r>
          </w:p>
        </w:tc>
        <w:tc>
          <w:tcPr>
            <w:tcW w:w="2835" w:type="dxa"/>
          </w:tcPr>
          <w:p w14:paraId="333ADFB2" w14:textId="77777777" w:rsidR="00FF2000" w:rsidRPr="00BF3D02" w:rsidRDefault="00FF2000" w:rsidP="00FE7017">
            <w:pPr>
              <w:pStyle w:val="tabletext"/>
              <w:ind w:left="0"/>
            </w:pPr>
            <w:r w:rsidRPr="00BF3D02">
              <w:t>AIV cost base reduction amount</w:t>
            </w:r>
          </w:p>
        </w:tc>
        <w:tc>
          <w:tcPr>
            <w:tcW w:w="2034" w:type="dxa"/>
          </w:tcPr>
          <w:p w14:paraId="74A47379" w14:textId="77777777" w:rsidR="00FF2000" w:rsidRPr="00BF3D02" w:rsidRDefault="00FF2000" w:rsidP="00FE7017">
            <w:pPr>
              <w:pStyle w:val="tabletext"/>
              <w:ind w:left="0"/>
            </w:pPr>
            <w:r w:rsidRPr="00BF3D02">
              <w:t>Section 104</w:t>
            </w:r>
            <w:r w:rsidRPr="00BF3D02">
              <w:noBreakHyphen/>
              <w:t>107D</w:t>
            </w:r>
          </w:p>
        </w:tc>
      </w:tr>
      <w:tr w:rsidR="00FF2000" w:rsidRPr="00BF3D02" w14:paraId="3FE726F0" w14:textId="77777777" w:rsidTr="00D676E7">
        <w:tc>
          <w:tcPr>
            <w:tcW w:w="1923" w:type="dxa"/>
          </w:tcPr>
          <w:p w14:paraId="5BEA244D" w14:textId="77777777" w:rsidR="00FF2000" w:rsidRPr="00BF3D02" w:rsidRDefault="00FF2000" w:rsidP="00FE7017">
            <w:pPr>
              <w:pStyle w:val="tabletext"/>
              <w:ind w:left="0"/>
            </w:pPr>
            <w:r w:rsidRPr="00BF3D02">
              <w:t>AMIT cost base increase amount</w:t>
            </w:r>
          </w:p>
        </w:tc>
        <w:tc>
          <w:tcPr>
            <w:tcW w:w="2835" w:type="dxa"/>
          </w:tcPr>
          <w:p w14:paraId="407F9782" w14:textId="77777777" w:rsidR="00FF2000" w:rsidRPr="00BF3D02" w:rsidRDefault="00FF2000" w:rsidP="00FE7017">
            <w:pPr>
              <w:pStyle w:val="tabletext"/>
              <w:ind w:left="0"/>
            </w:pPr>
            <w:r w:rsidRPr="00BF3D02">
              <w:t>AIV cost base increase amount</w:t>
            </w:r>
          </w:p>
        </w:tc>
        <w:tc>
          <w:tcPr>
            <w:tcW w:w="2034" w:type="dxa"/>
          </w:tcPr>
          <w:p w14:paraId="79E42187" w14:textId="77777777" w:rsidR="00FF2000" w:rsidRPr="00BF3D02" w:rsidRDefault="00FF2000" w:rsidP="00FE7017">
            <w:pPr>
              <w:pStyle w:val="tabletext"/>
              <w:ind w:left="0"/>
            </w:pPr>
            <w:r w:rsidRPr="00BF3D02">
              <w:t>Section 104</w:t>
            </w:r>
            <w:r w:rsidRPr="00BF3D02">
              <w:noBreakHyphen/>
              <w:t>107E</w:t>
            </w:r>
          </w:p>
        </w:tc>
      </w:tr>
    </w:tbl>
    <w:p w14:paraId="7E13A7B1" w14:textId="77777777" w:rsidR="008E77D5" w:rsidRPr="00BF3D02" w:rsidRDefault="008E77D5" w:rsidP="0076113E">
      <w:pPr>
        <w:pStyle w:val="Heading2"/>
      </w:pPr>
      <w:r w:rsidRPr="00BF3D02">
        <w:t>Application and transitional provisions</w:t>
      </w:r>
    </w:p>
    <w:p w14:paraId="6AFF52B2" w14:textId="4A8ED8B5" w:rsidR="00FC2A7A" w:rsidRPr="00E92C52" w:rsidRDefault="00E92C52" w:rsidP="009D6CDD">
      <w:pPr>
        <w:pStyle w:val="base-text-paragraph"/>
        <w:numPr>
          <w:ilvl w:val="1"/>
          <w:numId w:val="20"/>
        </w:numPr>
        <w:rPr>
          <w:rStyle w:val="Referencingstyle"/>
          <w:b w:val="0"/>
          <w:i w:val="0"/>
          <w:sz w:val="22"/>
        </w:rPr>
      </w:pPr>
      <w:r>
        <w:t xml:space="preserve">Schedule # to this Bill commences on the first day of the next quarter following the day of Royal Assent. </w:t>
      </w:r>
      <w:r w:rsidRPr="00BF3D02">
        <w:rPr>
          <w:rStyle w:val="Referencingstyle"/>
        </w:rPr>
        <w:t>[</w:t>
      </w:r>
      <w:r w:rsidR="001F2EC8">
        <w:rPr>
          <w:rStyle w:val="Referencingstyle"/>
        </w:rPr>
        <w:t>Section 2</w:t>
      </w:r>
      <w:r w:rsidRPr="00BF3D02">
        <w:rPr>
          <w:rStyle w:val="Referencingstyle"/>
        </w:rPr>
        <w:t>]</w:t>
      </w:r>
    </w:p>
    <w:p w14:paraId="01D6F0D0" w14:textId="5746A204" w:rsidR="00E92C52" w:rsidRPr="009D758D" w:rsidRDefault="009D758D" w:rsidP="009D6CDD">
      <w:pPr>
        <w:pStyle w:val="base-text-paragraph"/>
        <w:numPr>
          <w:ilvl w:val="1"/>
          <w:numId w:val="20"/>
        </w:numPr>
        <w:rPr>
          <w:rStyle w:val="Referencingstyle"/>
          <w:b w:val="0"/>
          <w:i w:val="0"/>
          <w:sz w:val="22"/>
        </w:rPr>
      </w:pPr>
      <w:r>
        <w:t xml:space="preserve">The amendments apply to assessments for income years </w:t>
      </w:r>
      <w:r w:rsidR="00455716">
        <w:t>starting on or after 1 July 2018</w:t>
      </w:r>
      <w:r>
        <w:t xml:space="preserve">. </w:t>
      </w:r>
      <w:r w:rsidRPr="00BF3D02">
        <w:rPr>
          <w:rStyle w:val="Referencingstyle"/>
        </w:rPr>
        <w:t>[</w:t>
      </w:r>
      <w:r w:rsidR="003F2595">
        <w:rPr>
          <w:rStyle w:val="Referencingstyle"/>
        </w:rPr>
        <w:t>Schedule #, item 462</w:t>
      </w:r>
      <w:r w:rsidRPr="00BF3D02">
        <w:rPr>
          <w:rStyle w:val="Referencingstyle"/>
        </w:rPr>
        <w:t>]</w:t>
      </w:r>
    </w:p>
    <w:p w14:paraId="22C555D2" w14:textId="11198190" w:rsidR="009D758D" w:rsidRPr="00483640" w:rsidRDefault="00483640" w:rsidP="009D758D">
      <w:pPr>
        <w:pStyle w:val="base-text-paragraph"/>
        <w:numPr>
          <w:ilvl w:val="1"/>
          <w:numId w:val="20"/>
        </w:numPr>
        <w:rPr>
          <w:rStyle w:val="Referencingstyle"/>
          <w:b w:val="0"/>
          <w:i w:val="0"/>
          <w:sz w:val="22"/>
        </w:rPr>
      </w:pPr>
      <w:r>
        <w:t xml:space="preserve">The amendments also </w:t>
      </w:r>
      <w:r w:rsidR="009D758D">
        <w:t xml:space="preserve">update the relevant parts of the </w:t>
      </w:r>
      <w:r w:rsidR="009D758D" w:rsidRPr="009D758D">
        <w:rPr>
          <w:i/>
        </w:rPr>
        <w:t>Income Tax (Tr</w:t>
      </w:r>
      <w:r w:rsidR="009D758D">
        <w:rPr>
          <w:i/>
        </w:rPr>
        <w:t xml:space="preserve">ansitional Provisions) Act 1997. </w:t>
      </w:r>
      <w:r w:rsidR="009D758D" w:rsidRPr="00BF3D02">
        <w:rPr>
          <w:rStyle w:val="Referencingstyle"/>
        </w:rPr>
        <w:t>[</w:t>
      </w:r>
      <w:r w:rsidR="009D758D">
        <w:rPr>
          <w:rStyle w:val="Referencingstyle"/>
        </w:rPr>
        <w:t>Sch</w:t>
      </w:r>
      <w:r w:rsidR="003F2595">
        <w:rPr>
          <w:rStyle w:val="Referencingstyle"/>
        </w:rPr>
        <w:t>edule #, item 463</w:t>
      </w:r>
      <w:r w:rsidR="001F2EC8">
        <w:rPr>
          <w:rStyle w:val="Referencingstyle"/>
        </w:rPr>
        <w:t>, subsection </w:t>
      </w:r>
      <w:r w:rsidR="002F261C">
        <w:rPr>
          <w:rStyle w:val="Referencingstyle"/>
        </w:rPr>
        <w:t>275</w:t>
      </w:r>
      <w:r w:rsidR="002F261C">
        <w:rPr>
          <w:rStyle w:val="Referencingstyle"/>
        </w:rPr>
        <w:noBreakHyphen/>
      </w:r>
      <w:r w:rsidR="009D758D">
        <w:rPr>
          <w:rStyle w:val="Referencingstyle"/>
        </w:rPr>
        <w:t>605(2) of the Income Tax (Transitional Provisions) Act 1997</w:t>
      </w:r>
      <w:r w:rsidR="009D758D" w:rsidRPr="00BF3D02">
        <w:rPr>
          <w:rStyle w:val="Referencingstyle"/>
        </w:rPr>
        <w:t>]</w:t>
      </w:r>
    </w:p>
    <w:p w14:paraId="4CD3E76F" w14:textId="59BA3929" w:rsidR="00483640" w:rsidRPr="009D758D" w:rsidRDefault="00483640" w:rsidP="009D758D">
      <w:pPr>
        <w:pStyle w:val="base-text-paragraph"/>
        <w:numPr>
          <w:ilvl w:val="1"/>
          <w:numId w:val="20"/>
        </w:numPr>
        <w:rPr>
          <w:rStyle w:val="Referencingstyle"/>
          <w:b w:val="0"/>
          <w:i w:val="0"/>
          <w:sz w:val="22"/>
        </w:rPr>
      </w:pPr>
      <w:r>
        <w:rPr>
          <w:rStyle w:val="Referencingstyle"/>
          <w:b w:val="0"/>
          <w:i w:val="0"/>
          <w:sz w:val="22"/>
        </w:rPr>
        <w:t xml:space="preserve">If a choice is made under section 276-20 of the ITAA 1997 before the repeal of that section by the </w:t>
      </w:r>
      <w:r w:rsidRPr="00483640">
        <w:rPr>
          <w:rStyle w:val="Referencingstyle"/>
          <w:b w:val="0"/>
          <w:sz w:val="22"/>
        </w:rPr>
        <w:t>Treasury Laws Amendment (Corporate Collective Investment Vehicle) Act 2017</w:t>
      </w:r>
      <w:r>
        <w:rPr>
          <w:rStyle w:val="Referencingstyle"/>
          <w:b w:val="0"/>
          <w:sz w:val="22"/>
        </w:rPr>
        <w:t xml:space="preserve"> (the amending Act)</w:t>
      </w:r>
      <w:r w:rsidR="001F2EC8">
        <w:rPr>
          <w:rStyle w:val="Referencingstyle"/>
          <w:b w:val="0"/>
          <w:i w:val="0"/>
          <w:sz w:val="22"/>
        </w:rPr>
        <w:t>,</w:t>
      </w:r>
      <w:r w:rsidR="002F261C">
        <w:rPr>
          <w:rStyle w:val="Referencingstyle"/>
          <w:b w:val="0"/>
          <w:sz w:val="22"/>
        </w:rPr>
        <w:t xml:space="preserve"> </w:t>
      </w:r>
      <w:r>
        <w:rPr>
          <w:rStyle w:val="Referencingstyle"/>
          <w:b w:val="0"/>
          <w:i w:val="0"/>
          <w:sz w:val="22"/>
        </w:rPr>
        <w:t xml:space="preserve">the choice </w:t>
      </w:r>
      <w:r w:rsidR="006E1102">
        <w:rPr>
          <w:rStyle w:val="Referencingstyle"/>
          <w:b w:val="0"/>
          <w:i w:val="0"/>
          <w:sz w:val="22"/>
        </w:rPr>
        <w:t xml:space="preserve">continues in effect after the repeal as if the choice had been made under section 276-48 of that Act as </w:t>
      </w:r>
      <w:r w:rsidR="00B8350B">
        <w:rPr>
          <w:rStyle w:val="Referencingstyle"/>
          <w:b w:val="0"/>
          <w:i w:val="0"/>
          <w:sz w:val="22"/>
        </w:rPr>
        <w:t>a</w:t>
      </w:r>
      <w:r w:rsidR="006E1102">
        <w:rPr>
          <w:rStyle w:val="Referencingstyle"/>
          <w:b w:val="0"/>
          <w:i w:val="0"/>
          <w:sz w:val="22"/>
        </w:rPr>
        <w:t xml:space="preserve">mended by the amending Act. </w:t>
      </w:r>
      <w:r w:rsidR="006E1102" w:rsidRPr="00BF3D02">
        <w:rPr>
          <w:rStyle w:val="Referencingstyle"/>
        </w:rPr>
        <w:lastRenderedPageBreak/>
        <w:t>[</w:t>
      </w:r>
      <w:r w:rsidR="003F2595">
        <w:rPr>
          <w:rStyle w:val="Referencingstyle"/>
        </w:rPr>
        <w:t>Schedule #, item 464</w:t>
      </w:r>
      <w:r w:rsidR="008B1728">
        <w:rPr>
          <w:rStyle w:val="Referencingstyle"/>
        </w:rPr>
        <w:t xml:space="preserve">, </w:t>
      </w:r>
      <w:r w:rsidR="006E1102">
        <w:rPr>
          <w:rStyle w:val="Referencingstyle"/>
        </w:rPr>
        <w:t>section 276-10 of the Incom</w:t>
      </w:r>
      <w:r w:rsidR="009C24BA">
        <w:rPr>
          <w:rStyle w:val="Referencingstyle"/>
        </w:rPr>
        <w:t xml:space="preserve">e Tax (Transitional Provisions) </w:t>
      </w:r>
      <w:r w:rsidR="001F2EC8">
        <w:rPr>
          <w:rStyle w:val="Referencingstyle"/>
        </w:rPr>
        <w:t>Act </w:t>
      </w:r>
      <w:r w:rsidR="006E1102">
        <w:rPr>
          <w:rStyle w:val="Referencingstyle"/>
        </w:rPr>
        <w:t>1997</w:t>
      </w:r>
      <w:r w:rsidR="006E1102" w:rsidRPr="00BF3D02">
        <w:rPr>
          <w:rStyle w:val="Referencingstyle"/>
        </w:rPr>
        <w:t>]</w:t>
      </w:r>
    </w:p>
    <w:p w14:paraId="7E13A7B5" w14:textId="77777777" w:rsidR="00D85BEA" w:rsidRPr="00BF3D02" w:rsidRDefault="00D85BEA" w:rsidP="00005CFC"/>
    <w:sectPr w:rsidR="00D85BEA" w:rsidRPr="00BF3D02"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582E1" w14:textId="77777777" w:rsidR="00EB5628" w:rsidRDefault="00EB5628">
      <w:r>
        <w:separator/>
      </w:r>
    </w:p>
  </w:endnote>
  <w:endnote w:type="continuationSeparator" w:id="0">
    <w:p w14:paraId="42BAFA72" w14:textId="77777777" w:rsidR="00EB5628" w:rsidRDefault="00EB5628">
      <w:r>
        <w:continuationSeparator/>
      </w:r>
    </w:p>
  </w:endnote>
  <w:endnote w:type="continuationNotice" w:id="1">
    <w:p w14:paraId="5AD97768" w14:textId="77777777" w:rsidR="00EB5628" w:rsidRDefault="00EB56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BC" w14:textId="77777777" w:rsidR="00EB5628" w:rsidRDefault="00EB5628" w:rsidP="007611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D2" w14:textId="77777777" w:rsidR="00EB5628" w:rsidRDefault="00EB5628" w:rsidP="005A76CC">
    <w:pPr>
      <w:pStyle w:val="rightfooter"/>
    </w:pPr>
    <w:r>
      <w:fldChar w:fldCharType="begin"/>
    </w:r>
    <w:r>
      <w:instrText xml:space="preserve"> PAGE   \* MERGEFORMAT </w:instrText>
    </w:r>
    <w:r>
      <w:fldChar w:fldCharType="separate"/>
    </w:r>
    <w:r w:rsidR="00A9168B">
      <w:rPr>
        <w:noProof/>
      </w:rPr>
      <w:t>33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D3" w14:textId="77777777" w:rsidR="00EB5628" w:rsidRDefault="00EB5628" w:rsidP="005A76CC">
    <w:pPr>
      <w:pStyle w:val="rightfooter"/>
    </w:pPr>
    <w:r>
      <w:fldChar w:fldCharType="begin"/>
    </w:r>
    <w:r>
      <w:instrText xml:space="preserve"> PAGE  \* Arabic  \* MERGEFORMAT </w:instrText>
    </w:r>
    <w:r>
      <w:fldChar w:fldCharType="separate"/>
    </w:r>
    <w:r w:rsidR="00B6760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BD" w14:textId="77777777" w:rsidR="00EB5628" w:rsidRDefault="00EB5628" w:rsidP="0076113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1" w14:textId="77777777" w:rsidR="00EB5628" w:rsidRDefault="00EB5628" w:rsidP="0076113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2" w14:textId="77777777" w:rsidR="00EB5628" w:rsidRDefault="00EB5628" w:rsidP="0076113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4" w14:textId="77777777" w:rsidR="00EB5628" w:rsidRPr="00B2068E" w:rsidRDefault="00EB5628" w:rsidP="0076113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7" w14:textId="77777777" w:rsidR="00EB5628" w:rsidRDefault="00EB5628" w:rsidP="0076113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8" w14:textId="77777777" w:rsidR="00EB5628" w:rsidRDefault="00EB5628" w:rsidP="0076113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9" w14:textId="77777777" w:rsidR="00EB5628" w:rsidRDefault="00EB5628" w:rsidP="0076113E">
    <w:pPr>
      <w:pStyle w:val="rightfooter"/>
    </w:pPr>
    <w:r>
      <w:fldChar w:fldCharType="begin"/>
    </w:r>
    <w:r>
      <w:instrText xml:space="preserve"> PAGE  \* Arabic  \* MERGEFORMAT </w:instrText>
    </w:r>
    <w:r>
      <w:fldChar w:fldCharType="separate"/>
    </w:r>
    <w:r w:rsidR="00377372">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D1" w14:textId="77777777" w:rsidR="00EB5628" w:rsidRDefault="00EB5628" w:rsidP="005A76CC">
    <w:pPr>
      <w:pStyle w:val="leftfooter"/>
    </w:pPr>
    <w:r>
      <w:fldChar w:fldCharType="begin"/>
    </w:r>
    <w:r>
      <w:instrText xml:space="preserve"> PAGE   \* MERGEFORMAT </w:instrText>
    </w:r>
    <w:r>
      <w:fldChar w:fldCharType="separate"/>
    </w:r>
    <w:r w:rsidR="00A9168B">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50CB4" w14:textId="77777777" w:rsidR="00EB5628" w:rsidRDefault="00EB5628">
      <w:r>
        <w:separator/>
      </w:r>
    </w:p>
  </w:footnote>
  <w:footnote w:type="continuationSeparator" w:id="0">
    <w:p w14:paraId="6716AE99" w14:textId="77777777" w:rsidR="00EB5628" w:rsidRDefault="00EB5628">
      <w:r>
        <w:continuationSeparator/>
      </w:r>
    </w:p>
  </w:footnote>
  <w:footnote w:type="continuationNotice" w:id="1">
    <w:p w14:paraId="49ED72C2" w14:textId="77777777" w:rsidR="00EB5628" w:rsidRDefault="00EB562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BA" w14:textId="77777777" w:rsidR="00EB5628" w:rsidRDefault="00EB5628" w:rsidP="0076113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BB" w14:textId="77777777" w:rsidR="00EB5628" w:rsidRDefault="00EB5628" w:rsidP="0076113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BF" w14:textId="77777777" w:rsidR="00EB5628" w:rsidRDefault="00EB5628" w:rsidP="0076113E">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0" w14:textId="77777777" w:rsidR="00EB5628" w:rsidRDefault="00EB5628" w:rsidP="0076113E">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3" w14:textId="77777777" w:rsidR="00EB5628" w:rsidRDefault="00EB56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5" w14:textId="77777777" w:rsidR="00EB5628" w:rsidRDefault="00EB5628" w:rsidP="0076113E">
    <w:pPr>
      <w:pStyle w:val="leftheader"/>
    </w:pPr>
    <w:r>
      <w:fldChar w:fldCharType="begin"/>
    </w:r>
    <w:r>
      <w:instrText xml:space="preserve"> macrobutton nomacro [Click here and insert the name of the Bill] </w:instrTex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6" w14:textId="77777777" w:rsidR="00EB5628" w:rsidRDefault="00EB5628" w:rsidP="0076113E">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CF" w14:textId="09FF2CB8" w:rsidR="00EB5628" w:rsidRPr="00F4093A" w:rsidRDefault="00EB5628" w:rsidP="005A76CC">
    <w:pPr>
      <w:pStyle w:val="leftheader"/>
    </w:pPr>
    <w:r w:rsidRPr="00F4093A">
      <w:t>Treasury Laws Amendment (Corporate</w:t>
    </w:r>
    <w:r>
      <w:t xml:space="preserve"> Collective Investment Vehicle</w:t>
    </w:r>
    <w:r w:rsidRPr="00F4093A">
      <w:t>) Bill 2017</w:t>
    </w:r>
    <w:r>
      <w:t xml:space="preserve">: </w:t>
    </w:r>
    <w:r w:rsidRPr="00F4093A">
      <w:t>Tax Treatment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A7D0" w14:textId="712362E6" w:rsidR="00EB5628" w:rsidRDefault="00EB5628" w:rsidP="005A76CC">
    <w:pPr>
      <w:pStyle w:val="rightheader"/>
    </w:pPr>
    <w:r w:rsidRPr="00F4093A">
      <w:t>Tax treatment of corporate collective investment vehicles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6D98FC9A"/>
    <w:numStyleLink w:val="TableDotPointList"/>
  </w:abstractNum>
  <w:abstractNum w:abstractNumId="14">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2"/>
  </w:num>
  <w:num w:numId="14">
    <w:abstractNumId w:val="23"/>
  </w:num>
  <w:num w:numId="15">
    <w:abstractNumId w:val="16"/>
  </w:num>
  <w:num w:numId="16">
    <w:abstractNumId w:val="19"/>
  </w:num>
  <w:num w:numId="17">
    <w:abstractNumId w:val="20"/>
  </w:num>
  <w:num w:numId="18">
    <w:abstractNumId w:val="11"/>
  </w:num>
  <w:num w:numId="19">
    <w:abstractNumId w:val="13"/>
  </w:num>
  <w:num w:numId="2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269"/>
          </w:tabs>
          <w:ind w:left="1418"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D5"/>
    <w:rsid w:val="00004739"/>
    <w:rsid w:val="00004FDC"/>
    <w:rsid w:val="00005B8B"/>
    <w:rsid w:val="00005CFC"/>
    <w:rsid w:val="00006DBE"/>
    <w:rsid w:val="00010387"/>
    <w:rsid w:val="000114C0"/>
    <w:rsid w:val="00011A79"/>
    <w:rsid w:val="00012443"/>
    <w:rsid w:val="00012F66"/>
    <w:rsid w:val="00014FC2"/>
    <w:rsid w:val="000163E3"/>
    <w:rsid w:val="000176AF"/>
    <w:rsid w:val="00022C73"/>
    <w:rsid w:val="00026FF4"/>
    <w:rsid w:val="0003016C"/>
    <w:rsid w:val="000304A0"/>
    <w:rsid w:val="0003079B"/>
    <w:rsid w:val="00030C30"/>
    <w:rsid w:val="000313CE"/>
    <w:rsid w:val="00031C45"/>
    <w:rsid w:val="000327A2"/>
    <w:rsid w:val="0003305A"/>
    <w:rsid w:val="000334CA"/>
    <w:rsid w:val="00033E2B"/>
    <w:rsid w:val="00034BE8"/>
    <w:rsid w:val="000359A7"/>
    <w:rsid w:val="000364CC"/>
    <w:rsid w:val="00040471"/>
    <w:rsid w:val="00041B67"/>
    <w:rsid w:val="000437CF"/>
    <w:rsid w:val="00050170"/>
    <w:rsid w:val="000506AD"/>
    <w:rsid w:val="00051742"/>
    <w:rsid w:val="0005313A"/>
    <w:rsid w:val="00055330"/>
    <w:rsid w:val="00055EB5"/>
    <w:rsid w:val="0005600E"/>
    <w:rsid w:val="00056132"/>
    <w:rsid w:val="00060758"/>
    <w:rsid w:val="00061094"/>
    <w:rsid w:val="000614AF"/>
    <w:rsid w:val="00063B27"/>
    <w:rsid w:val="000646F6"/>
    <w:rsid w:val="00065198"/>
    <w:rsid w:val="00065AD4"/>
    <w:rsid w:val="00065CE9"/>
    <w:rsid w:val="00067E1D"/>
    <w:rsid w:val="000705A5"/>
    <w:rsid w:val="00071C3F"/>
    <w:rsid w:val="00071F6A"/>
    <w:rsid w:val="000725C0"/>
    <w:rsid w:val="00073E6B"/>
    <w:rsid w:val="00075250"/>
    <w:rsid w:val="00075418"/>
    <w:rsid w:val="00075944"/>
    <w:rsid w:val="00076543"/>
    <w:rsid w:val="00076E86"/>
    <w:rsid w:val="0007735B"/>
    <w:rsid w:val="00077602"/>
    <w:rsid w:val="00077CE4"/>
    <w:rsid w:val="00080275"/>
    <w:rsid w:val="00080E31"/>
    <w:rsid w:val="00081C85"/>
    <w:rsid w:val="00081E9A"/>
    <w:rsid w:val="0008270A"/>
    <w:rsid w:val="00082E0F"/>
    <w:rsid w:val="00082F6B"/>
    <w:rsid w:val="000835C7"/>
    <w:rsid w:val="0008397C"/>
    <w:rsid w:val="00083F41"/>
    <w:rsid w:val="00084014"/>
    <w:rsid w:val="000842CF"/>
    <w:rsid w:val="000852ED"/>
    <w:rsid w:val="00085C5D"/>
    <w:rsid w:val="000876B8"/>
    <w:rsid w:val="0009055D"/>
    <w:rsid w:val="00090A72"/>
    <w:rsid w:val="00094615"/>
    <w:rsid w:val="00094F2C"/>
    <w:rsid w:val="00095C26"/>
    <w:rsid w:val="000960B7"/>
    <w:rsid w:val="00097B25"/>
    <w:rsid w:val="00097EB4"/>
    <w:rsid w:val="000A0A5D"/>
    <w:rsid w:val="000A0AFD"/>
    <w:rsid w:val="000A0ED0"/>
    <w:rsid w:val="000A2094"/>
    <w:rsid w:val="000A283D"/>
    <w:rsid w:val="000A341E"/>
    <w:rsid w:val="000A4A1A"/>
    <w:rsid w:val="000A566F"/>
    <w:rsid w:val="000A5B26"/>
    <w:rsid w:val="000A603A"/>
    <w:rsid w:val="000A6DBE"/>
    <w:rsid w:val="000A7397"/>
    <w:rsid w:val="000A73EB"/>
    <w:rsid w:val="000A74B3"/>
    <w:rsid w:val="000B0416"/>
    <w:rsid w:val="000B0BEC"/>
    <w:rsid w:val="000B2308"/>
    <w:rsid w:val="000B28D0"/>
    <w:rsid w:val="000B2C95"/>
    <w:rsid w:val="000B40D6"/>
    <w:rsid w:val="000B4C5C"/>
    <w:rsid w:val="000B5085"/>
    <w:rsid w:val="000B5C34"/>
    <w:rsid w:val="000B6791"/>
    <w:rsid w:val="000B7591"/>
    <w:rsid w:val="000B7BDF"/>
    <w:rsid w:val="000B7ED8"/>
    <w:rsid w:val="000B7FBA"/>
    <w:rsid w:val="000C04CA"/>
    <w:rsid w:val="000C06D9"/>
    <w:rsid w:val="000C244F"/>
    <w:rsid w:val="000C2FAA"/>
    <w:rsid w:val="000C32D5"/>
    <w:rsid w:val="000D03F2"/>
    <w:rsid w:val="000D0B74"/>
    <w:rsid w:val="000D17A3"/>
    <w:rsid w:val="000D17AC"/>
    <w:rsid w:val="000D52F6"/>
    <w:rsid w:val="000D54A6"/>
    <w:rsid w:val="000D69DE"/>
    <w:rsid w:val="000D7123"/>
    <w:rsid w:val="000D782A"/>
    <w:rsid w:val="000D79D8"/>
    <w:rsid w:val="000E015D"/>
    <w:rsid w:val="000E04CB"/>
    <w:rsid w:val="000E089D"/>
    <w:rsid w:val="000E3267"/>
    <w:rsid w:val="000E331E"/>
    <w:rsid w:val="000E4C75"/>
    <w:rsid w:val="000E54AE"/>
    <w:rsid w:val="000E5B9A"/>
    <w:rsid w:val="000E645A"/>
    <w:rsid w:val="000E6592"/>
    <w:rsid w:val="000E6F17"/>
    <w:rsid w:val="000F1E21"/>
    <w:rsid w:val="000F256F"/>
    <w:rsid w:val="000F3CBB"/>
    <w:rsid w:val="000F5D6F"/>
    <w:rsid w:val="000F701B"/>
    <w:rsid w:val="000F76D9"/>
    <w:rsid w:val="0010094B"/>
    <w:rsid w:val="001017C1"/>
    <w:rsid w:val="00101CA1"/>
    <w:rsid w:val="0010314D"/>
    <w:rsid w:val="00103EBF"/>
    <w:rsid w:val="00104F90"/>
    <w:rsid w:val="0010578C"/>
    <w:rsid w:val="00105A4B"/>
    <w:rsid w:val="00106269"/>
    <w:rsid w:val="001114E6"/>
    <w:rsid w:val="00112B52"/>
    <w:rsid w:val="00113896"/>
    <w:rsid w:val="00113E19"/>
    <w:rsid w:val="00113FDF"/>
    <w:rsid w:val="0011468A"/>
    <w:rsid w:val="00114693"/>
    <w:rsid w:val="00114C33"/>
    <w:rsid w:val="001156F7"/>
    <w:rsid w:val="00117F73"/>
    <w:rsid w:val="001201E4"/>
    <w:rsid w:val="00121EB0"/>
    <w:rsid w:val="001220ED"/>
    <w:rsid w:val="00122157"/>
    <w:rsid w:val="0012224C"/>
    <w:rsid w:val="00123D26"/>
    <w:rsid w:val="00123D96"/>
    <w:rsid w:val="00123F04"/>
    <w:rsid w:val="0012405D"/>
    <w:rsid w:val="00124E15"/>
    <w:rsid w:val="001269A7"/>
    <w:rsid w:val="001308C2"/>
    <w:rsid w:val="00130D0D"/>
    <w:rsid w:val="00131E0C"/>
    <w:rsid w:val="00132AAA"/>
    <w:rsid w:val="00133917"/>
    <w:rsid w:val="001345BF"/>
    <w:rsid w:val="001357FF"/>
    <w:rsid w:val="001360BD"/>
    <w:rsid w:val="00136609"/>
    <w:rsid w:val="001369A5"/>
    <w:rsid w:val="001412D1"/>
    <w:rsid w:val="0014197C"/>
    <w:rsid w:val="00141FF3"/>
    <w:rsid w:val="00142116"/>
    <w:rsid w:val="00142881"/>
    <w:rsid w:val="00143E79"/>
    <w:rsid w:val="0014465B"/>
    <w:rsid w:val="001471AB"/>
    <w:rsid w:val="00147843"/>
    <w:rsid w:val="001521B2"/>
    <w:rsid w:val="00152C48"/>
    <w:rsid w:val="0015344A"/>
    <w:rsid w:val="00156C7F"/>
    <w:rsid w:val="001578E0"/>
    <w:rsid w:val="0016141E"/>
    <w:rsid w:val="001628F5"/>
    <w:rsid w:val="001629DC"/>
    <w:rsid w:val="00163743"/>
    <w:rsid w:val="00163903"/>
    <w:rsid w:val="0016583F"/>
    <w:rsid w:val="00165CEE"/>
    <w:rsid w:val="001664CA"/>
    <w:rsid w:val="001666C7"/>
    <w:rsid w:val="00166A9F"/>
    <w:rsid w:val="00167CC7"/>
    <w:rsid w:val="001701D4"/>
    <w:rsid w:val="0017053A"/>
    <w:rsid w:val="00172B03"/>
    <w:rsid w:val="00172F13"/>
    <w:rsid w:val="00174284"/>
    <w:rsid w:val="00174294"/>
    <w:rsid w:val="00174A29"/>
    <w:rsid w:val="001757E2"/>
    <w:rsid w:val="00175B0E"/>
    <w:rsid w:val="00176DAE"/>
    <w:rsid w:val="00176DF0"/>
    <w:rsid w:val="00177EF1"/>
    <w:rsid w:val="00180242"/>
    <w:rsid w:val="00180621"/>
    <w:rsid w:val="001812C0"/>
    <w:rsid w:val="00182626"/>
    <w:rsid w:val="001828B5"/>
    <w:rsid w:val="001830B8"/>
    <w:rsid w:val="001844C8"/>
    <w:rsid w:val="001856DC"/>
    <w:rsid w:val="00187705"/>
    <w:rsid w:val="00191348"/>
    <w:rsid w:val="00191539"/>
    <w:rsid w:val="001933AD"/>
    <w:rsid w:val="00193892"/>
    <w:rsid w:val="0019485C"/>
    <w:rsid w:val="001950A2"/>
    <w:rsid w:val="00195B05"/>
    <w:rsid w:val="00195DD0"/>
    <w:rsid w:val="00196AEF"/>
    <w:rsid w:val="001A0EF1"/>
    <w:rsid w:val="001A1997"/>
    <w:rsid w:val="001A4775"/>
    <w:rsid w:val="001A4F70"/>
    <w:rsid w:val="001A7A18"/>
    <w:rsid w:val="001A7BDD"/>
    <w:rsid w:val="001B0875"/>
    <w:rsid w:val="001B0968"/>
    <w:rsid w:val="001B1F2E"/>
    <w:rsid w:val="001B22CC"/>
    <w:rsid w:val="001B236A"/>
    <w:rsid w:val="001B2E6D"/>
    <w:rsid w:val="001B3714"/>
    <w:rsid w:val="001B44D9"/>
    <w:rsid w:val="001B48EE"/>
    <w:rsid w:val="001B565D"/>
    <w:rsid w:val="001B67A3"/>
    <w:rsid w:val="001B6C9F"/>
    <w:rsid w:val="001B703C"/>
    <w:rsid w:val="001B737E"/>
    <w:rsid w:val="001B7646"/>
    <w:rsid w:val="001B7B7D"/>
    <w:rsid w:val="001C1325"/>
    <w:rsid w:val="001C23D8"/>
    <w:rsid w:val="001C2868"/>
    <w:rsid w:val="001C31E0"/>
    <w:rsid w:val="001C3D56"/>
    <w:rsid w:val="001C518A"/>
    <w:rsid w:val="001C53E9"/>
    <w:rsid w:val="001C6007"/>
    <w:rsid w:val="001C7624"/>
    <w:rsid w:val="001C7FEF"/>
    <w:rsid w:val="001D020A"/>
    <w:rsid w:val="001D082A"/>
    <w:rsid w:val="001D084D"/>
    <w:rsid w:val="001D0A0C"/>
    <w:rsid w:val="001D0FA3"/>
    <w:rsid w:val="001D118B"/>
    <w:rsid w:val="001D2894"/>
    <w:rsid w:val="001D5436"/>
    <w:rsid w:val="001D7317"/>
    <w:rsid w:val="001E0807"/>
    <w:rsid w:val="001E0AA6"/>
    <w:rsid w:val="001E1507"/>
    <w:rsid w:val="001E23FA"/>
    <w:rsid w:val="001E2B38"/>
    <w:rsid w:val="001E3B48"/>
    <w:rsid w:val="001E3C25"/>
    <w:rsid w:val="001E5285"/>
    <w:rsid w:val="001E5EB6"/>
    <w:rsid w:val="001E6545"/>
    <w:rsid w:val="001E7114"/>
    <w:rsid w:val="001F2EA7"/>
    <w:rsid w:val="001F2EC8"/>
    <w:rsid w:val="001F6E84"/>
    <w:rsid w:val="001F7D56"/>
    <w:rsid w:val="0020055B"/>
    <w:rsid w:val="00200C32"/>
    <w:rsid w:val="00200DC1"/>
    <w:rsid w:val="00200E96"/>
    <w:rsid w:val="00201036"/>
    <w:rsid w:val="00201B36"/>
    <w:rsid w:val="002023AA"/>
    <w:rsid w:val="002039D3"/>
    <w:rsid w:val="0020490F"/>
    <w:rsid w:val="002049B5"/>
    <w:rsid w:val="00204A47"/>
    <w:rsid w:val="00204BB7"/>
    <w:rsid w:val="00206E8C"/>
    <w:rsid w:val="002110D7"/>
    <w:rsid w:val="0021115E"/>
    <w:rsid w:val="0021116D"/>
    <w:rsid w:val="00211A56"/>
    <w:rsid w:val="002123A5"/>
    <w:rsid w:val="00214E76"/>
    <w:rsid w:val="002155C6"/>
    <w:rsid w:val="00216764"/>
    <w:rsid w:val="00216B71"/>
    <w:rsid w:val="002173CF"/>
    <w:rsid w:val="00217B82"/>
    <w:rsid w:val="00220D6C"/>
    <w:rsid w:val="00221525"/>
    <w:rsid w:val="00221586"/>
    <w:rsid w:val="00222D57"/>
    <w:rsid w:val="00230341"/>
    <w:rsid w:val="00230393"/>
    <w:rsid w:val="00231CBA"/>
    <w:rsid w:val="002321D9"/>
    <w:rsid w:val="00232B66"/>
    <w:rsid w:val="002344F6"/>
    <w:rsid w:val="00234C07"/>
    <w:rsid w:val="00234C74"/>
    <w:rsid w:val="00236A1C"/>
    <w:rsid w:val="00237559"/>
    <w:rsid w:val="00237A3D"/>
    <w:rsid w:val="00237B51"/>
    <w:rsid w:val="002402E4"/>
    <w:rsid w:val="002420B7"/>
    <w:rsid w:val="002427F3"/>
    <w:rsid w:val="002432F0"/>
    <w:rsid w:val="00243A86"/>
    <w:rsid w:val="002447BF"/>
    <w:rsid w:val="002475AF"/>
    <w:rsid w:val="0024767C"/>
    <w:rsid w:val="002479F7"/>
    <w:rsid w:val="00250154"/>
    <w:rsid w:val="00250672"/>
    <w:rsid w:val="00251DE9"/>
    <w:rsid w:val="00252653"/>
    <w:rsid w:val="002534A9"/>
    <w:rsid w:val="00253E01"/>
    <w:rsid w:val="00253E12"/>
    <w:rsid w:val="00254842"/>
    <w:rsid w:val="00256F87"/>
    <w:rsid w:val="0025700B"/>
    <w:rsid w:val="002576C7"/>
    <w:rsid w:val="0026150D"/>
    <w:rsid w:val="0026210D"/>
    <w:rsid w:val="00262C34"/>
    <w:rsid w:val="002634DB"/>
    <w:rsid w:val="00263F1B"/>
    <w:rsid w:val="002645CD"/>
    <w:rsid w:val="002649FE"/>
    <w:rsid w:val="002658A0"/>
    <w:rsid w:val="00266048"/>
    <w:rsid w:val="00266371"/>
    <w:rsid w:val="002669CE"/>
    <w:rsid w:val="00270BC3"/>
    <w:rsid w:val="002724CD"/>
    <w:rsid w:val="00272FD3"/>
    <w:rsid w:val="00273915"/>
    <w:rsid w:val="00273DB6"/>
    <w:rsid w:val="002748EB"/>
    <w:rsid w:val="00274BED"/>
    <w:rsid w:val="00274E9D"/>
    <w:rsid w:val="00276964"/>
    <w:rsid w:val="00282823"/>
    <w:rsid w:val="0028358F"/>
    <w:rsid w:val="00283B86"/>
    <w:rsid w:val="00283FA3"/>
    <w:rsid w:val="002857E2"/>
    <w:rsid w:val="00286047"/>
    <w:rsid w:val="00287B02"/>
    <w:rsid w:val="00290B19"/>
    <w:rsid w:val="002960FE"/>
    <w:rsid w:val="002A4722"/>
    <w:rsid w:val="002A4EF6"/>
    <w:rsid w:val="002A4F1C"/>
    <w:rsid w:val="002A4FBC"/>
    <w:rsid w:val="002A60DA"/>
    <w:rsid w:val="002A64A2"/>
    <w:rsid w:val="002A749B"/>
    <w:rsid w:val="002B2C5B"/>
    <w:rsid w:val="002B3821"/>
    <w:rsid w:val="002B406D"/>
    <w:rsid w:val="002B4145"/>
    <w:rsid w:val="002B460C"/>
    <w:rsid w:val="002B5D13"/>
    <w:rsid w:val="002B6ABD"/>
    <w:rsid w:val="002B6B55"/>
    <w:rsid w:val="002B74DA"/>
    <w:rsid w:val="002C072D"/>
    <w:rsid w:val="002C1384"/>
    <w:rsid w:val="002C205D"/>
    <w:rsid w:val="002C233C"/>
    <w:rsid w:val="002C340B"/>
    <w:rsid w:val="002C388A"/>
    <w:rsid w:val="002C43E8"/>
    <w:rsid w:val="002C4C9A"/>
    <w:rsid w:val="002C5C4B"/>
    <w:rsid w:val="002D005A"/>
    <w:rsid w:val="002D1C83"/>
    <w:rsid w:val="002D2436"/>
    <w:rsid w:val="002D35CE"/>
    <w:rsid w:val="002D3FB3"/>
    <w:rsid w:val="002D463D"/>
    <w:rsid w:val="002D6164"/>
    <w:rsid w:val="002D6555"/>
    <w:rsid w:val="002E1B4D"/>
    <w:rsid w:val="002E1E20"/>
    <w:rsid w:val="002E2A08"/>
    <w:rsid w:val="002E33A8"/>
    <w:rsid w:val="002E3A4D"/>
    <w:rsid w:val="002E4EAF"/>
    <w:rsid w:val="002E5FD3"/>
    <w:rsid w:val="002E6A13"/>
    <w:rsid w:val="002E7056"/>
    <w:rsid w:val="002E709F"/>
    <w:rsid w:val="002F0AE0"/>
    <w:rsid w:val="002F0F10"/>
    <w:rsid w:val="002F146B"/>
    <w:rsid w:val="002F1BA1"/>
    <w:rsid w:val="002F1CD4"/>
    <w:rsid w:val="002F1D58"/>
    <w:rsid w:val="002F2244"/>
    <w:rsid w:val="002F261C"/>
    <w:rsid w:val="002F2A44"/>
    <w:rsid w:val="002F3991"/>
    <w:rsid w:val="002F4366"/>
    <w:rsid w:val="002F511D"/>
    <w:rsid w:val="002F548D"/>
    <w:rsid w:val="002F5657"/>
    <w:rsid w:val="002F75B0"/>
    <w:rsid w:val="002F796B"/>
    <w:rsid w:val="0030049B"/>
    <w:rsid w:val="00300A81"/>
    <w:rsid w:val="00301217"/>
    <w:rsid w:val="0030256C"/>
    <w:rsid w:val="0030258D"/>
    <w:rsid w:val="003061B3"/>
    <w:rsid w:val="00310C0A"/>
    <w:rsid w:val="00311087"/>
    <w:rsid w:val="00311CEF"/>
    <w:rsid w:val="003137B1"/>
    <w:rsid w:val="00315060"/>
    <w:rsid w:val="0031531E"/>
    <w:rsid w:val="0031576E"/>
    <w:rsid w:val="003168D5"/>
    <w:rsid w:val="00316965"/>
    <w:rsid w:val="00316A04"/>
    <w:rsid w:val="00316BF5"/>
    <w:rsid w:val="00316FD8"/>
    <w:rsid w:val="00317AD1"/>
    <w:rsid w:val="003202BA"/>
    <w:rsid w:val="00320374"/>
    <w:rsid w:val="003206B5"/>
    <w:rsid w:val="003212E9"/>
    <w:rsid w:val="00321450"/>
    <w:rsid w:val="003214A0"/>
    <w:rsid w:val="00322875"/>
    <w:rsid w:val="00325BF0"/>
    <w:rsid w:val="00326EA3"/>
    <w:rsid w:val="003272F4"/>
    <w:rsid w:val="00330578"/>
    <w:rsid w:val="003316DC"/>
    <w:rsid w:val="003321C0"/>
    <w:rsid w:val="0033282F"/>
    <w:rsid w:val="003329ED"/>
    <w:rsid w:val="003356CA"/>
    <w:rsid w:val="00335CE7"/>
    <w:rsid w:val="00336948"/>
    <w:rsid w:val="00336984"/>
    <w:rsid w:val="00336A5B"/>
    <w:rsid w:val="00337057"/>
    <w:rsid w:val="00337312"/>
    <w:rsid w:val="00342175"/>
    <w:rsid w:val="003427A8"/>
    <w:rsid w:val="00342B20"/>
    <w:rsid w:val="00343691"/>
    <w:rsid w:val="00344900"/>
    <w:rsid w:val="00344D25"/>
    <w:rsid w:val="003455BD"/>
    <w:rsid w:val="00345CCB"/>
    <w:rsid w:val="00346BEB"/>
    <w:rsid w:val="003501C2"/>
    <w:rsid w:val="003505E3"/>
    <w:rsid w:val="00351991"/>
    <w:rsid w:val="003521AA"/>
    <w:rsid w:val="00353F5A"/>
    <w:rsid w:val="003549E4"/>
    <w:rsid w:val="003558C9"/>
    <w:rsid w:val="00356FB4"/>
    <w:rsid w:val="0036126B"/>
    <w:rsid w:val="00361526"/>
    <w:rsid w:val="00362482"/>
    <w:rsid w:val="003630E4"/>
    <w:rsid w:val="0036433E"/>
    <w:rsid w:val="00365D14"/>
    <w:rsid w:val="0036622D"/>
    <w:rsid w:val="00366490"/>
    <w:rsid w:val="00366C1D"/>
    <w:rsid w:val="0036787F"/>
    <w:rsid w:val="00370AB1"/>
    <w:rsid w:val="00370AE1"/>
    <w:rsid w:val="00370CF4"/>
    <w:rsid w:val="00370CFD"/>
    <w:rsid w:val="003718FE"/>
    <w:rsid w:val="003719A4"/>
    <w:rsid w:val="00372907"/>
    <w:rsid w:val="00374C70"/>
    <w:rsid w:val="0037531F"/>
    <w:rsid w:val="003753B2"/>
    <w:rsid w:val="00375719"/>
    <w:rsid w:val="00376FAF"/>
    <w:rsid w:val="00377372"/>
    <w:rsid w:val="00377CD4"/>
    <w:rsid w:val="003805CE"/>
    <w:rsid w:val="0038086B"/>
    <w:rsid w:val="0038204D"/>
    <w:rsid w:val="003822B1"/>
    <w:rsid w:val="003825A4"/>
    <w:rsid w:val="00385522"/>
    <w:rsid w:val="00385668"/>
    <w:rsid w:val="00386A6F"/>
    <w:rsid w:val="00387BAB"/>
    <w:rsid w:val="00387F3A"/>
    <w:rsid w:val="003909B5"/>
    <w:rsid w:val="00390E94"/>
    <w:rsid w:val="00391824"/>
    <w:rsid w:val="0039225F"/>
    <w:rsid w:val="00393F14"/>
    <w:rsid w:val="0039400F"/>
    <w:rsid w:val="003954AA"/>
    <w:rsid w:val="0039572A"/>
    <w:rsid w:val="00397317"/>
    <w:rsid w:val="003A06AA"/>
    <w:rsid w:val="003A0DBA"/>
    <w:rsid w:val="003A1C83"/>
    <w:rsid w:val="003A2F29"/>
    <w:rsid w:val="003A311E"/>
    <w:rsid w:val="003A3473"/>
    <w:rsid w:val="003A492A"/>
    <w:rsid w:val="003A5A84"/>
    <w:rsid w:val="003A5D7E"/>
    <w:rsid w:val="003A695B"/>
    <w:rsid w:val="003A6F28"/>
    <w:rsid w:val="003A74C9"/>
    <w:rsid w:val="003B0E51"/>
    <w:rsid w:val="003B0F05"/>
    <w:rsid w:val="003B0F28"/>
    <w:rsid w:val="003B2C77"/>
    <w:rsid w:val="003B2DEC"/>
    <w:rsid w:val="003B335D"/>
    <w:rsid w:val="003B3DED"/>
    <w:rsid w:val="003B4556"/>
    <w:rsid w:val="003B550D"/>
    <w:rsid w:val="003B59F1"/>
    <w:rsid w:val="003B6237"/>
    <w:rsid w:val="003B62F8"/>
    <w:rsid w:val="003B64C5"/>
    <w:rsid w:val="003C00D7"/>
    <w:rsid w:val="003C1301"/>
    <w:rsid w:val="003C2945"/>
    <w:rsid w:val="003C4793"/>
    <w:rsid w:val="003C5BA3"/>
    <w:rsid w:val="003C6FA3"/>
    <w:rsid w:val="003C7C84"/>
    <w:rsid w:val="003D0413"/>
    <w:rsid w:val="003D1E62"/>
    <w:rsid w:val="003D2FAF"/>
    <w:rsid w:val="003D303F"/>
    <w:rsid w:val="003D4016"/>
    <w:rsid w:val="003D6FD9"/>
    <w:rsid w:val="003D734D"/>
    <w:rsid w:val="003D76B2"/>
    <w:rsid w:val="003D7F02"/>
    <w:rsid w:val="003E0028"/>
    <w:rsid w:val="003E0794"/>
    <w:rsid w:val="003E08B6"/>
    <w:rsid w:val="003E0DD1"/>
    <w:rsid w:val="003E1E78"/>
    <w:rsid w:val="003E23E7"/>
    <w:rsid w:val="003E31AB"/>
    <w:rsid w:val="003E3BBE"/>
    <w:rsid w:val="003E3E5D"/>
    <w:rsid w:val="003E54E9"/>
    <w:rsid w:val="003E565D"/>
    <w:rsid w:val="003E5851"/>
    <w:rsid w:val="003E596D"/>
    <w:rsid w:val="003E598C"/>
    <w:rsid w:val="003E5EE9"/>
    <w:rsid w:val="003E68F7"/>
    <w:rsid w:val="003E6FEF"/>
    <w:rsid w:val="003E76B6"/>
    <w:rsid w:val="003F096C"/>
    <w:rsid w:val="003F09D2"/>
    <w:rsid w:val="003F12AD"/>
    <w:rsid w:val="003F17E8"/>
    <w:rsid w:val="003F21C7"/>
    <w:rsid w:val="003F2595"/>
    <w:rsid w:val="003F2B72"/>
    <w:rsid w:val="003F30EA"/>
    <w:rsid w:val="003F391D"/>
    <w:rsid w:val="003F474F"/>
    <w:rsid w:val="003F4BD0"/>
    <w:rsid w:val="003F61FC"/>
    <w:rsid w:val="003F6465"/>
    <w:rsid w:val="003F6CE8"/>
    <w:rsid w:val="00402E98"/>
    <w:rsid w:val="0040319D"/>
    <w:rsid w:val="00405150"/>
    <w:rsid w:val="004070FB"/>
    <w:rsid w:val="00411A0A"/>
    <w:rsid w:val="00411C02"/>
    <w:rsid w:val="0041259C"/>
    <w:rsid w:val="00412C71"/>
    <w:rsid w:val="0041594E"/>
    <w:rsid w:val="00415F74"/>
    <w:rsid w:val="00421D4D"/>
    <w:rsid w:val="00421EC4"/>
    <w:rsid w:val="004229A5"/>
    <w:rsid w:val="00423617"/>
    <w:rsid w:val="0042555B"/>
    <w:rsid w:val="00425A3A"/>
    <w:rsid w:val="00427EF8"/>
    <w:rsid w:val="00430375"/>
    <w:rsid w:val="00430E8C"/>
    <w:rsid w:val="00430F9B"/>
    <w:rsid w:val="00431328"/>
    <w:rsid w:val="00431A86"/>
    <w:rsid w:val="00432D6B"/>
    <w:rsid w:val="00433000"/>
    <w:rsid w:val="0043363A"/>
    <w:rsid w:val="0043366C"/>
    <w:rsid w:val="00433B1D"/>
    <w:rsid w:val="00433F4C"/>
    <w:rsid w:val="00433FD9"/>
    <w:rsid w:val="0043441B"/>
    <w:rsid w:val="00435F6F"/>
    <w:rsid w:val="00436054"/>
    <w:rsid w:val="004378A9"/>
    <w:rsid w:val="00437A9C"/>
    <w:rsid w:val="00437EC5"/>
    <w:rsid w:val="004401BC"/>
    <w:rsid w:val="00440215"/>
    <w:rsid w:val="004405B4"/>
    <w:rsid w:val="00440619"/>
    <w:rsid w:val="004417C2"/>
    <w:rsid w:val="00441D38"/>
    <w:rsid w:val="004424A4"/>
    <w:rsid w:val="00442D6D"/>
    <w:rsid w:val="00442E3E"/>
    <w:rsid w:val="00442FB9"/>
    <w:rsid w:val="0044391B"/>
    <w:rsid w:val="00445367"/>
    <w:rsid w:val="00446F9C"/>
    <w:rsid w:val="00447B92"/>
    <w:rsid w:val="00450418"/>
    <w:rsid w:val="00450635"/>
    <w:rsid w:val="004506BB"/>
    <w:rsid w:val="0045182F"/>
    <w:rsid w:val="00451BB3"/>
    <w:rsid w:val="00452387"/>
    <w:rsid w:val="0045241E"/>
    <w:rsid w:val="0045252E"/>
    <w:rsid w:val="004551F0"/>
    <w:rsid w:val="00455716"/>
    <w:rsid w:val="0045770A"/>
    <w:rsid w:val="00457BC3"/>
    <w:rsid w:val="00460019"/>
    <w:rsid w:val="00461D44"/>
    <w:rsid w:val="0046466E"/>
    <w:rsid w:val="00465A34"/>
    <w:rsid w:val="00467325"/>
    <w:rsid w:val="00467D21"/>
    <w:rsid w:val="00470181"/>
    <w:rsid w:val="004710EB"/>
    <w:rsid w:val="004718F2"/>
    <w:rsid w:val="00472D9B"/>
    <w:rsid w:val="0047414C"/>
    <w:rsid w:val="00474673"/>
    <w:rsid w:val="0047482F"/>
    <w:rsid w:val="00474D6B"/>
    <w:rsid w:val="00475D9F"/>
    <w:rsid w:val="00476F5D"/>
    <w:rsid w:val="00477A81"/>
    <w:rsid w:val="00480C91"/>
    <w:rsid w:val="00480D70"/>
    <w:rsid w:val="00481746"/>
    <w:rsid w:val="004822EA"/>
    <w:rsid w:val="00483640"/>
    <w:rsid w:val="004836D2"/>
    <w:rsid w:val="00483A94"/>
    <w:rsid w:val="00484EFB"/>
    <w:rsid w:val="0048523E"/>
    <w:rsid w:val="00485EC8"/>
    <w:rsid w:val="00490930"/>
    <w:rsid w:val="0049124F"/>
    <w:rsid w:val="00491584"/>
    <w:rsid w:val="0049174B"/>
    <w:rsid w:val="0049282B"/>
    <w:rsid w:val="00492F6E"/>
    <w:rsid w:val="0049367B"/>
    <w:rsid w:val="00494997"/>
    <w:rsid w:val="00494BF2"/>
    <w:rsid w:val="004A0055"/>
    <w:rsid w:val="004A0745"/>
    <w:rsid w:val="004A18C0"/>
    <w:rsid w:val="004A20BF"/>
    <w:rsid w:val="004A25D9"/>
    <w:rsid w:val="004A37FD"/>
    <w:rsid w:val="004A3BF3"/>
    <w:rsid w:val="004B0C08"/>
    <w:rsid w:val="004B13F0"/>
    <w:rsid w:val="004B1AEA"/>
    <w:rsid w:val="004B3D77"/>
    <w:rsid w:val="004B624C"/>
    <w:rsid w:val="004B6767"/>
    <w:rsid w:val="004B7407"/>
    <w:rsid w:val="004B755A"/>
    <w:rsid w:val="004B7818"/>
    <w:rsid w:val="004C025C"/>
    <w:rsid w:val="004C06B2"/>
    <w:rsid w:val="004C0730"/>
    <w:rsid w:val="004C1468"/>
    <w:rsid w:val="004C19B6"/>
    <w:rsid w:val="004C4A95"/>
    <w:rsid w:val="004C56EF"/>
    <w:rsid w:val="004C59EE"/>
    <w:rsid w:val="004C692E"/>
    <w:rsid w:val="004C736C"/>
    <w:rsid w:val="004D27DB"/>
    <w:rsid w:val="004D5E5B"/>
    <w:rsid w:val="004D61DA"/>
    <w:rsid w:val="004D6875"/>
    <w:rsid w:val="004D6B85"/>
    <w:rsid w:val="004D759E"/>
    <w:rsid w:val="004E0048"/>
    <w:rsid w:val="004E09B9"/>
    <w:rsid w:val="004E161F"/>
    <w:rsid w:val="004E1BC6"/>
    <w:rsid w:val="004E49AB"/>
    <w:rsid w:val="004E4A9B"/>
    <w:rsid w:val="004E6082"/>
    <w:rsid w:val="004E6233"/>
    <w:rsid w:val="004E647A"/>
    <w:rsid w:val="004F2540"/>
    <w:rsid w:val="004F2D5F"/>
    <w:rsid w:val="004F472B"/>
    <w:rsid w:val="004F47F4"/>
    <w:rsid w:val="004F4EEF"/>
    <w:rsid w:val="004F5DB5"/>
    <w:rsid w:val="004F7048"/>
    <w:rsid w:val="00502551"/>
    <w:rsid w:val="00502664"/>
    <w:rsid w:val="005030EA"/>
    <w:rsid w:val="005034ED"/>
    <w:rsid w:val="005038A5"/>
    <w:rsid w:val="005046F0"/>
    <w:rsid w:val="00504D4A"/>
    <w:rsid w:val="005052B0"/>
    <w:rsid w:val="00506188"/>
    <w:rsid w:val="0050629F"/>
    <w:rsid w:val="0050652E"/>
    <w:rsid w:val="00506835"/>
    <w:rsid w:val="00510A18"/>
    <w:rsid w:val="00510C2C"/>
    <w:rsid w:val="00511076"/>
    <w:rsid w:val="0051125B"/>
    <w:rsid w:val="00511C0F"/>
    <w:rsid w:val="00511F94"/>
    <w:rsid w:val="005120DA"/>
    <w:rsid w:val="005140D1"/>
    <w:rsid w:val="00515E69"/>
    <w:rsid w:val="00516521"/>
    <w:rsid w:val="005177DF"/>
    <w:rsid w:val="00517B68"/>
    <w:rsid w:val="00520F71"/>
    <w:rsid w:val="0052268F"/>
    <w:rsid w:val="00522B62"/>
    <w:rsid w:val="00523617"/>
    <w:rsid w:val="005255AF"/>
    <w:rsid w:val="005255EA"/>
    <w:rsid w:val="00527537"/>
    <w:rsid w:val="00527774"/>
    <w:rsid w:val="005302DF"/>
    <w:rsid w:val="00530482"/>
    <w:rsid w:val="00530C44"/>
    <w:rsid w:val="00531327"/>
    <w:rsid w:val="005352C5"/>
    <w:rsid w:val="00535B95"/>
    <w:rsid w:val="00540222"/>
    <w:rsid w:val="005408E6"/>
    <w:rsid w:val="00541060"/>
    <w:rsid w:val="0054172D"/>
    <w:rsid w:val="00541ECA"/>
    <w:rsid w:val="00542070"/>
    <w:rsid w:val="0054284D"/>
    <w:rsid w:val="0054363F"/>
    <w:rsid w:val="00543A07"/>
    <w:rsid w:val="00544373"/>
    <w:rsid w:val="00546F33"/>
    <w:rsid w:val="0054722F"/>
    <w:rsid w:val="00552A83"/>
    <w:rsid w:val="00554C23"/>
    <w:rsid w:val="0055560B"/>
    <w:rsid w:val="00555D38"/>
    <w:rsid w:val="00560922"/>
    <w:rsid w:val="00560C14"/>
    <w:rsid w:val="005625B3"/>
    <w:rsid w:val="00562D2D"/>
    <w:rsid w:val="0056379F"/>
    <w:rsid w:val="00564158"/>
    <w:rsid w:val="00564642"/>
    <w:rsid w:val="00564A09"/>
    <w:rsid w:val="0056533E"/>
    <w:rsid w:val="00565CE2"/>
    <w:rsid w:val="00565E6E"/>
    <w:rsid w:val="0056625C"/>
    <w:rsid w:val="00567B62"/>
    <w:rsid w:val="00572831"/>
    <w:rsid w:val="00572F2A"/>
    <w:rsid w:val="005733FE"/>
    <w:rsid w:val="005735B5"/>
    <w:rsid w:val="00573CC5"/>
    <w:rsid w:val="00573CD6"/>
    <w:rsid w:val="00574270"/>
    <w:rsid w:val="00574420"/>
    <w:rsid w:val="00574947"/>
    <w:rsid w:val="005749AE"/>
    <w:rsid w:val="00574F5B"/>
    <w:rsid w:val="00577437"/>
    <w:rsid w:val="005802C6"/>
    <w:rsid w:val="005803EA"/>
    <w:rsid w:val="00580C19"/>
    <w:rsid w:val="00580DA2"/>
    <w:rsid w:val="0058130E"/>
    <w:rsid w:val="00581890"/>
    <w:rsid w:val="00581D4D"/>
    <w:rsid w:val="00582E0E"/>
    <w:rsid w:val="00583312"/>
    <w:rsid w:val="00585AFF"/>
    <w:rsid w:val="00586755"/>
    <w:rsid w:val="00586CF5"/>
    <w:rsid w:val="00587783"/>
    <w:rsid w:val="00587876"/>
    <w:rsid w:val="00590061"/>
    <w:rsid w:val="0059197A"/>
    <w:rsid w:val="00594CAC"/>
    <w:rsid w:val="005954FB"/>
    <w:rsid w:val="005956DA"/>
    <w:rsid w:val="00595AAE"/>
    <w:rsid w:val="00595CA1"/>
    <w:rsid w:val="005A087D"/>
    <w:rsid w:val="005A142B"/>
    <w:rsid w:val="005A1F3C"/>
    <w:rsid w:val="005A44A4"/>
    <w:rsid w:val="005A4C20"/>
    <w:rsid w:val="005A4D86"/>
    <w:rsid w:val="005A51CA"/>
    <w:rsid w:val="005A52E8"/>
    <w:rsid w:val="005A5348"/>
    <w:rsid w:val="005A5BB3"/>
    <w:rsid w:val="005A76CC"/>
    <w:rsid w:val="005A7E14"/>
    <w:rsid w:val="005B0AAA"/>
    <w:rsid w:val="005B14E2"/>
    <w:rsid w:val="005B174D"/>
    <w:rsid w:val="005B22C7"/>
    <w:rsid w:val="005B3C53"/>
    <w:rsid w:val="005B3E22"/>
    <w:rsid w:val="005B51F1"/>
    <w:rsid w:val="005B546F"/>
    <w:rsid w:val="005B5484"/>
    <w:rsid w:val="005B6A4D"/>
    <w:rsid w:val="005C0067"/>
    <w:rsid w:val="005C0343"/>
    <w:rsid w:val="005C0475"/>
    <w:rsid w:val="005C1B59"/>
    <w:rsid w:val="005C2B1A"/>
    <w:rsid w:val="005C5008"/>
    <w:rsid w:val="005C54CE"/>
    <w:rsid w:val="005C6344"/>
    <w:rsid w:val="005C66D1"/>
    <w:rsid w:val="005C68E7"/>
    <w:rsid w:val="005C6FB4"/>
    <w:rsid w:val="005C7C4E"/>
    <w:rsid w:val="005D0646"/>
    <w:rsid w:val="005D0B7B"/>
    <w:rsid w:val="005D0F90"/>
    <w:rsid w:val="005D1B35"/>
    <w:rsid w:val="005D203D"/>
    <w:rsid w:val="005D5BDC"/>
    <w:rsid w:val="005D5FB1"/>
    <w:rsid w:val="005D7FB0"/>
    <w:rsid w:val="005E0A2A"/>
    <w:rsid w:val="005E1713"/>
    <w:rsid w:val="005E2486"/>
    <w:rsid w:val="005E4197"/>
    <w:rsid w:val="005E5976"/>
    <w:rsid w:val="005E646C"/>
    <w:rsid w:val="005E6B81"/>
    <w:rsid w:val="005E741D"/>
    <w:rsid w:val="005E77E1"/>
    <w:rsid w:val="005E7E6C"/>
    <w:rsid w:val="005F0B48"/>
    <w:rsid w:val="005F0DC8"/>
    <w:rsid w:val="005F0DDD"/>
    <w:rsid w:val="005F121B"/>
    <w:rsid w:val="005F133F"/>
    <w:rsid w:val="005F3366"/>
    <w:rsid w:val="005F3856"/>
    <w:rsid w:val="005F49A5"/>
    <w:rsid w:val="005F55D5"/>
    <w:rsid w:val="005F6DC9"/>
    <w:rsid w:val="00600937"/>
    <w:rsid w:val="00600BA9"/>
    <w:rsid w:val="00601D14"/>
    <w:rsid w:val="00601EA2"/>
    <w:rsid w:val="0060211C"/>
    <w:rsid w:val="006044DE"/>
    <w:rsid w:val="0060460B"/>
    <w:rsid w:val="00604886"/>
    <w:rsid w:val="00604BFD"/>
    <w:rsid w:val="00606CD4"/>
    <w:rsid w:val="006071CA"/>
    <w:rsid w:val="006071E9"/>
    <w:rsid w:val="006108A8"/>
    <w:rsid w:val="00611234"/>
    <w:rsid w:val="00611B84"/>
    <w:rsid w:val="00612357"/>
    <w:rsid w:val="00612451"/>
    <w:rsid w:val="0061287A"/>
    <w:rsid w:val="00613E73"/>
    <w:rsid w:val="006169E8"/>
    <w:rsid w:val="0061712C"/>
    <w:rsid w:val="00620751"/>
    <w:rsid w:val="0062086A"/>
    <w:rsid w:val="00620A6D"/>
    <w:rsid w:val="00620EAC"/>
    <w:rsid w:val="00621923"/>
    <w:rsid w:val="00622AE7"/>
    <w:rsid w:val="00622CFF"/>
    <w:rsid w:val="006242D5"/>
    <w:rsid w:val="00625468"/>
    <w:rsid w:val="006255C1"/>
    <w:rsid w:val="006257ED"/>
    <w:rsid w:val="00625A0F"/>
    <w:rsid w:val="006262BC"/>
    <w:rsid w:val="00626F42"/>
    <w:rsid w:val="00627F13"/>
    <w:rsid w:val="006315CE"/>
    <w:rsid w:val="00631C66"/>
    <w:rsid w:val="006321BC"/>
    <w:rsid w:val="0063281B"/>
    <w:rsid w:val="0063397B"/>
    <w:rsid w:val="006346D0"/>
    <w:rsid w:val="00634B3F"/>
    <w:rsid w:val="00635C70"/>
    <w:rsid w:val="006360A2"/>
    <w:rsid w:val="006369F3"/>
    <w:rsid w:val="006412C3"/>
    <w:rsid w:val="00641CD2"/>
    <w:rsid w:val="0064338A"/>
    <w:rsid w:val="006434A7"/>
    <w:rsid w:val="00643A02"/>
    <w:rsid w:val="00643DBC"/>
    <w:rsid w:val="00645AFA"/>
    <w:rsid w:val="006468B5"/>
    <w:rsid w:val="00646CED"/>
    <w:rsid w:val="006475D9"/>
    <w:rsid w:val="00647622"/>
    <w:rsid w:val="00650F78"/>
    <w:rsid w:val="00650F9F"/>
    <w:rsid w:val="00652975"/>
    <w:rsid w:val="00652A56"/>
    <w:rsid w:val="00653DA2"/>
    <w:rsid w:val="006556BE"/>
    <w:rsid w:val="006571B6"/>
    <w:rsid w:val="006573D3"/>
    <w:rsid w:val="0065796C"/>
    <w:rsid w:val="00660340"/>
    <w:rsid w:val="00661250"/>
    <w:rsid w:val="00661818"/>
    <w:rsid w:val="00661B1C"/>
    <w:rsid w:val="00663830"/>
    <w:rsid w:val="006655F9"/>
    <w:rsid w:val="00667350"/>
    <w:rsid w:val="00667F94"/>
    <w:rsid w:val="0067065C"/>
    <w:rsid w:val="006712FD"/>
    <w:rsid w:val="00671BA3"/>
    <w:rsid w:val="00672357"/>
    <w:rsid w:val="00674794"/>
    <w:rsid w:val="00675A3C"/>
    <w:rsid w:val="00675BD4"/>
    <w:rsid w:val="00676AC8"/>
    <w:rsid w:val="00676C73"/>
    <w:rsid w:val="0068081F"/>
    <w:rsid w:val="00682CC9"/>
    <w:rsid w:val="0068329D"/>
    <w:rsid w:val="00683C15"/>
    <w:rsid w:val="00684536"/>
    <w:rsid w:val="006857AE"/>
    <w:rsid w:val="00686660"/>
    <w:rsid w:val="006869CD"/>
    <w:rsid w:val="0069083D"/>
    <w:rsid w:val="00690D74"/>
    <w:rsid w:val="00690FD6"/>
    <w:rsid w:val="006916A8"/>
    <w:rsid w:val="00691F55"/>
    <w:rsid w:val="00693A66"/>
    <w:rsid w:val="00693BAB"/>
    <w:rsid w:val="00694709"/>
    <w:rsid w:val="00694791"/>
    <w:rsid w:val="00697C3B"/>
    <w:rsid w:val="00697F9F"/>
    <w:rsid w:val="006A1218"/>
    <w:rsid w:val="006A21F0"/>
    <w:rsid w:val="006A269C"/>
    <w:rsid w:val="006A27CE"/>
    <w:rsid w:val="006A2B8D"/>
    <w:rsid w:val="006A2BBD"/>
    <w:rsid w:val="006A3765"/>
    <w:rsid w:val="006A4718"/>
    <w:rsid w:val="006A4C70"/>
    <w:rsid w:val="006A6337"/>
    <w:rsid w:val="006A6C1A"/>
    <w:rsid w:val="006A7191"/>
    <w:rsid w:val="006B1D93"/>
    <w:rsid w:val="006B5BF5"/>
    <w:rsid w:val="006C1189"/>
    <w:rsid w:val="006C1BEA"/>
    <w:rsid w:val="006C26E1"/>
    <w:rsid w:val="006C3CEB"/>
    <w:rsid w:val="006C624F"/>
    <w:rsid w:val="006C7E4B"/>
    <w:rsid w:val="006D01A1"/>
    <w:rsid w:val="006D175A"/>
    <w:rsid w:val="006D1E72"/>
    <w:rsid w:val="006D1EF2"/>
    <w:rsid w:val="006D2AEF"/>
    <w:rsid w:val="006D32B3"/>
    <w:rsid w:val="006D37F6"/>
    <w:rsid w:val="006D3B07"/>
    <w:rsid w:val="006D4184"/>
    <w:rsid w:val="006D468B"/>
    <w:rsid w:val="006D4CA4"/>
    <w:rsid w:val="006D50E6"/>
    <w:rsid w:val="006D5C5C"/>
    <w:rsid w:val="006D6ED9"/>
    <w:rsid w:val="006D737B"/>
    <w:rsid w:val="006E01A2"/>
    <w:rsid w:val="006E08FB"/>
    <w:rsid w:val="006E0FC2"/>
    <w:rsid w:val="006E1102"/>
    <w:rsid w:val="006E18C7"/>
    <w:rsid w:val="006E1A4E"/>
    <w:rsid w:val="006E2771"/>
    <w:rsid w:val="006E2857"/>
    <w:rsid w:val="006E392B"/>
    <w:rsid w:val="006E5464"/>
    <w:rsid w:val="006E60FD"/>
    <w:rsid w:val="006F2921"/>
    <w:rsid w:val="006F2A34"/>
    <w:rsid w:val="006F2A41"/>
    <w:rsid w:val="006F3F8E"/>
    <w:rsid w:val="006F5CBE"/>
    <w:rsid w:val="006F6A22"/>
    <w:rsid w:val="006F7AFB"/>
    <w:rsid w:val="007001D0"/>
    <w:rsid w:val="00703358"/>
    <w:rsid w:val="00703C25"/>
    <w:rsid w:val="00704F19"/>
    <w:rsid w:val="00707867"/>
    <w:rsid w:val="00707D39"/>
    <w:rsid w:val="00710171"/>
    <w:rsid w:val="007111CD"/>
    <w:rsid w:val="00711792"/>
    <w:rsid w:val="00711C7A"/>
    <w:rsid w:val="00713280"/>
    <w:rsid w:val="00713D2E"/>
    <w:rsid w:val="007155B4"/>
    <w:rsid w:val="00717395"/>
    <w:rsid w:val="00717D52"/>
    <w:rsid w:val="00720107"/>
    <w:rsid w:val="007208C7"/>
    <w:rsid w:val="007212D8"/>
    <w:rsid w:val="0072230B"/>
    <w:rsid w:val="00722B4E"/>
    <w:rsid w:val="00723925"/>
    <w:rsid w:val="00723D25"/>
    <w:rsid w:val="00724508"/>
    <w:rsid w:val="00724D1B"/>
    <w:rsid w:val="00725B4F"/>
    <w:rsid w:val="00725FDD"/>
    <w:rsid w:val="00730430"/>
    <w:rsid w:val="00730BE4"/>
    <w:rsid w:val="00731C7E"/>
    <w:rsid w:val="007329C5"/>
    <w:rsid w:val="00736240"/>
    <w:rsid w:val="0073671E"/>
    <w:rsid w:val="0073696F"/>
    <w:rsid w:val="0074096E"/>
    <w:rsid w:val="007411CF"/>
    <w:rsid w:val="00742685"/>
    <w:rsid w:val="007435E8"/>
    <w:rsid w:val="007439D0"/>
    <w:rsid w:val="00744C25"/>
    <w:rsid w:val="0074503B"/>
    <w:rsid w:val="007454F8"/>
    <w:rsid w:val="0074605D"/>
    <w:rsid w:val="0074608C"/>
    <w:rsid w:val="007500F0"/>
    <w:rsid w:val="00750415"/>
    <w:rsid w:val="0075189F"/>
    <w:rsid w:val="0075310C"/>
    <w:rsid w:val="00753239"/>
    <w:rsid w:val="007534C5"/>
    <w:rsid w:val="00753FB6"/>
    <w:rsid w:val="00754470"/>
    <w:rsid w:val="00755A21"/>
    <w:rsid w:val="007569BC"/>
    <w:rsid w:val="00756B68"/>
    <w:rsid w:val="0075711E"/>
    <w:rsid w:val="0076113E"/>
    <w:rsid w:val="00762425"/>
    <w:rsid w:val="007629C4"/>
    <w:rsid w:val="00762AAE"/>
    <w:rsid w:val="00762D28"/>
    <w:rsid w:val="00763ACE"/>
    <w:rsid w:val="007652BC"/>
    <w:rsid w:val="00766249"/>
    <w:rsid w:val="00766B32"/>
    <w:rsid w:val="007728E4"/>
    <w:rsid w:val="00772C1D"/>
    <w:rsid w:val="00772D52"/>
    <w:rsid w:val="00774214"/>
    <w:rsid w:val="00777575"/>
    <w:rsid w:val="007775BE"/>
    <w:rsid w:val="007776B4"/>
    <w:rsid w:val="007778F6"/>
    <w:rsid w:val="0078032A"/>
    <w:rsid w:val="007813AC"/>
    <w:rsid w:val="00782E29"/>
    <w:rsid w:val="00783C3A"/>
    <w:rsid w:val="007844BC"/>
    <w:rsid w:val="00784576"/>
    <w:rsid w:val="00784688"/>
    <w:rsid w:val="007849A0"/>
    <w:rsid w:val="007850B7"/>
    <w:rsid w:val="007871CD"/>
    <w:rsid w:val="00787B37"/>
    <w:rsid w:val="00790410"/>
    <w:rsid w:val="007904E1"/>
    <w:rsid w:val="00790795"/>
    <w:rsid w:val="00792ECD"/>
    <w:rsid w:val="00793412"/>
    <w:rsid w:val="00793A50"/>
    <w:rsid w:val="00793F75"/>
    <w:rsid w:val="007945F9"/>
    <w:rsid w:val="007948B0"/>
    <w:rsid w:val="00794AD9"/>
    <w:rsid w:val="00794C16"/>
    <w:rsid w:val="007955E6"/>
    <w:rsid w:val="00795979"/>
    <w:rsid w:val="007966EF"/>
    <w:rsid w:val="00797016"/>
    <w:rsid w:val="007A1BCB"/>
    <w:rsid w:val="007A2424"/>
    <w:rsid w:val="007A3C6B"/>
    <w:rsid w:val="007A3E14"/>
    <w:rsid w:val="007A4C99"/>
    <w:rsid w:val="007A5399"/>
    <w:rsid w:val="007A57D9"/>
    <w:rsid w:val="007A5B04"/>
    <w:rsid w:val="007A7A1E"/>
    <w:rsid w:val="007B0FAF"/>
    <w:rsid w:val="007B11C5"/>
    <w:rsid w:val="007B188B"/>
    <w:rsid w:val="007B225F"/>
    <w:rsid w:val="007B23EE"/>
    <w:rsid w:val="007B2B3C"/>
    <w:rsid w:val="007B408C"/>
    <w:rsid w:val="007B5E31"/>
    <w:rsid w:val="007B667F"/>
    <w:rsid w:val="007B6DE8"/>
    <w:rsid w:val="007C216B"/>
    <w:rsid w:val="007C2E0D"/>
    <w:rsid w:val="007C35F6"/>
    <w:rsid w:val="007C5BA8"/>
    <w:rsid w:val="007C69EA"/>
    <w:rsid w:val="007C77D5"/>
    <w:rsid w:val="007C7A20"/>
    <w:rsid w:val="007D030C"/>
    <w:rsid w:val="007D0D3B"/>
    <w:rsid w:val="007D0E86"/>
    <w:rsid w:val="007D106F"/>
    <w:rsid w:val="007D1821"/>
    <w:rsid w:val="007D1CB6"/>
    <w:rsid w:val="007D3205"/>
    <w:rsid w:val="007D427F"/>
    <w:rsid w:val="007D4758"/>
    <w:rsid w:val="007D6E36"/>
    <w:rsid w:val="007E08D3"/>
    <w:rsid w:val="007E25E0"/>
    <w:rsid w:val="007E3C31"/>
    <w:rsid w:val="007E4B4E"/>
    <w:rsid w:val="007E56FF"/>
    <w:rsid w:val="007E5EB0"/>
    <w:rsid w:val="007E62A7"/>
    <w:rsid w:val="007E6375"/>
    <w:rsid w:val="007F0B01"/>
    <w:rsid w:val="007F374B"/>
    <w:rsid w:val="007F44A6"/>
    <w:rsid w:val="007F59E6"/>
    <w:rsid w:val="007F5B1F"/>
    <w:rsid w:val="00801FE3"/>
    <w:rsid w:val="00803742"/>
    <w:rsid w:val="00804E8D"/>
    <w:rsid w:val="008051DF"/>
    <w:rsid w:val="00806C9F"/>
    <w:rsid w:val="0081006C"/>
    <w:rsid w:val="00810BAF"/>
    <w:rsid w:val="008112B1"/>
    <w:rsid w:val="00813210"/>
    <w:rsid w:val="00813318"/>
    <w:rsid w:val="008147F1"/>
    <w:rsid w:val="00814C58"/>
    <w:rsid w:val="00814CDF"/>
    <w:rsid w:val="0082090F"/>
    <w:rsid w:val="008209DB"/>
    <w:rsid w:val="00820DBA"/>
    <w:rsid w:val="008212B5"/>
    <w:rsid w:val="00821367"/>
    <w:rsid w:val="00821379"/>
    <w:rsid w:val="00821581"/>
    <w:rsid w:val="00821767"/>
    <w:rsid w:val="0082311E"/>
    <w:rsid w:val="008231EC"/>
    <w:rsid w:val="0082372F"/>
    <w:rsid w:val="00826F6C"/>
    <w:rsid w:val="00827930"/>
    <w:rsid w:val="008305A5"/>
    <w:rsid w:val="00830A28"/>
    <w:rsid w:val="008314C7"/>
    <w:rsid w:val="00831520"/>
    <w:rsid w:val="00831788"/>
    <w:rsid w:val="00832743"/>
    <w:rsid w:val="00832949"/>
    <w:rsid w:val="00832DC5"/>
    <w:rsid w:val="00833817"/>
    <w:rsid w:val="00833B2D"/>
    <w:rsid w:val="008348EC"/>
    <w:rsid w:val="00835001"/>
    <w:rsid w:val="0083526E"/>
    <w:rsid w:val="00837F13"/>
    <w:rsid w:val="008405E8"/>
    <w:rsid w:val="00840682"/>
    <w:rsid w:val="0084085C"/>
    <w:rsid w:val="00840E40"/>
    <w:rsid w:val="00841271"/>
    <w:rsid w:val="00841CB8"/>
    <w:rsid w:val="00841E61"/>
    <w:rsid w:val="00842D53"/>
    <w:rsid w:val="00844299"/>
    <w:rsid w:val="00844687"/>
    <w:rsid w:val="00850263"/>
    <w:rsid w:val="0085108A"/>
    <w:rsid w:val="00851A02"/>
    <w:rsid w:val="00851E43"/>
    <w:rsid w:val="00852174"/>
    <w:rsid w:val="008534F6"/>
    <w:rsid w:val="00854513"/>
    <w:rsid w:val="00855D57"/>
    <w:rsid w:val="00856B04"/>
    <w:rsid w:val="0085712D"/>
    <w:rsid w:val="008574C4"/>
    <w:rsid w:val="008648A3"/>
    <w:rsid w:val="00864987"/>
    <w:rsid w:val="008661D3"/>
    <w:rsid w:val="00867B80"/>
    <w:rsid w:val="00867F0F"/>
    <w:rsid w:val="008732FE"/>
    <w:rsid w:val="00873F31"/>
    <w:rsid w:val="00874433"/>
    <w:rsid w:val="00874CBA"/>
    <w:rsid w:val="008752F1"/>
    <w:rsid w:val="00880041"/>
    <w:rsid w:val="0088022F"/>
    <w:rsid w:val="00880732"/>
    <w:rsid w:val="00881059"/>
    <w:rsid w:val="00881B5C"/>
    <w:rsid w:val="0088226F"/>
    <w:rsid w:val="008837BB"/>
    <w:rsid w:val="008839AD"/>
    <w:rsid w:val="00885B93"/>
    <w:rsid w:val="00885BE8"/>
    <w:rsid w:val="00885C52"/>
    <w:rsid w:val="0088659E"/>
    <w:rsid w:val="00890245"/>
    <w:rsid w:val="00891993"/>
    <w:rsid w:val="008923A4"/>
    <w:rsid w:val="00892492"/>
    <w:rsid w:val="008932A9"/>
    <w:rsid w:val="008942B0"/>
    <w:rsid w:val="00894DD3"/>
    <w:rsid w:val="008957E7"/>
    <w:rsid w:val="008965A3"/>
    <w:rsid w:val="008965D1"/>
    <w:rsid w:val="00897B01"/>
    <w:rsid w:val="008A009C"/>
    <w:rsid w:val="008A0C46"/>
    <w:rsid w:val="008A149B"/>
    <w:rsid w:val="008A15F6"/>
    <w:rsid w:val="008A1841"/>
    <w:rsid w:val="008A1A49"/>
    <w:rsid w:val="008A1CC0"/>
    <w:rsid w:val="008A235F"/>
    <w:rsid w:val="008A2AD4"/>
    <w:rsid w:val="008A38CE"/>
    <w:rsid w:val="008A3A32"/>
    <w:rsid w:val="008A3FE6"/>
    <w:rsid w:val="008A5F28"/>
    <w:rsid w:val="008A7B85"/>
    <w:rsid w:val="008B02E2"/>
    <w:rsid w:val="008B0747"/>
    <w:rsid w:val="008B088D"/>
    <w:rsid w:val="008B095D"/>
    <w:rsid w:val="008B1728"/>
    <w:rsid w:val="008B1822"/>
    <w:rsid w:val="008B2951"/>
    <w:rsid w:val="008B2F52"/>
    <w:rsid w:val="008B31CE"/>
    <w:rsid w:val="008B4E79"/>
    <w:rsid w:val="008B5035"/>
    <w:rsid w:val="008B56B5"/>
    <w:rsid w:val="008B7F8B"/>
    <w:rsid w:val="008C026C"/>
    <w:rsid w:val="008C1395"/>
    <w:rsid w:val="008C1506"/>
    <w:rsid w:val="008C1874"/>
    <w:rsid w:val="008C1A4E"/>
    <w:rsid w:val="008C359D"/>
    <w:rsid w:val="008C51F4"/>
    <w:rsid w:val="008C6076"/>
    <w:rsid w:val="008C68A9"/>
    <w:rsid w:val="008D0AE4"/>
    <w:rsid w:val="008D2120"/>
    <w:rsid w:val="008D4C40"/>
    <w:rsid w:val="008D5873"/>
    <w:rsid w:val="008D75E9"/>
    <w:rsid w:val="008E019A"/>
    <w:rsid w:val="008E068B"/>
    <w:rsid w:val="008E20FF"/>
    <w:rsid w:val="008E2D47"/>
    <w:rsid w:val="008E3113"/>
    <w:rsid w:val="008E4303"/>
    <w:rsid w:val="008E4379"/>
    <w:rsid w:val="008E77D5"/>
    <w:rsid w:val="008F0D8A"/>
    <w:rsid w:val="008F0E00"/>
    <w:rsid w:val="008F0E1C"/>
    <w:rsid w:val="008F1681"/>
    <w:rsid w:val="008F1A67"/>
    <w:rsid w:val="008F1A7E"/>
    <w:rsid w:val="008F1D53"/>
    <w:rsid w:val="008F25A1"/>
    <w:rsid w:val="008F43B5"/>
    <w:rsid w:val="008F43C8"/>
    <w:rsid w:val="008F5612"/>
    <w:rsid w:val="008F6098"/>
    <w:rsid w:val="008F69E0"/>
    <w:rsid w:val="008F6D12"/>
    <w:rsid w:val="008F726E"/>
    <w:rsid w:val="00900B6A"/>
    <w:rsid w:val="00901197"/>
    <w:rsid w:val="00901ED2"/>
    <w:rsid w:val="009029B9"/>
    <w:rsid w:val="00902EA2"/>
    <w:rsid w:val="00903C31"/>
    <w:rsid w:val="00903D96"/>
    <w:rsid w:val="00905081"/>
    <w:rsid w:val="00905DD6"/>
    <w:rsid w:val="009073D3"/>
    <w:rsid w:val="00907A3F"/>
    <w:rsid w:val="009118B2"/>
    <w:rsid w:val="009125BB"/>
    <w:rsid w:val="009129DC"/>
    <w:rsid w:val="0091426A"/>
    <w:rsid w:val="009149F4"/>
    <w:rsid w:val="00914A57"/>
    <w:rsid w:val="009150E8"/>
    <w:rsid w:val="00915FA5"/>
    <w:rsid w:val="0091687E"/>
    <w:rsid w:val="00917DED"/>
    <w:rsid w:val="009212C6"/>
    <w:rsid w:val="009213E5"/>
    <w:rsid w:val="0092227E"/>
    <w:rsid w:val="00922787"/>
    <w:rsid w:val="00923033"/>
    <w:rsid w:val="0092525A"/>
    <w:rsid w:val="00926E36"/>
    <w:rsid w:val="009277CD"/>
    <w:rsid w:val="00927C13"/>
    <w:rsid w:val="009301C5"/>
    <w:rsid w:val="00930809"/>
    <w:rsid w:val="00930A3A"/>
    <w:rsid w:val="00932384"/>
    <w:rsid w:val="00932722"/>
    <w:rsid w:val="009334C7"/>
    <w:rsid w:val="0093418D"/>
    <w:rsid w:val="00935C6B"/>
    <w:rsid w:val="00935E75"/>
    <w:rsid w:val="00937B71"/>
    <w:rsid w:val="00937C6B"/>
    <w:rsid w:val="00937CCD"/>
    <w:rsid w:val="00940BFD"/>
    <w:rsid w:val="00940D70"/>
    <w:rsid w:val="00941E9D"/>
    <w:rsid w:val="009425C1"/>
    <w:rsid w:val="0094337E"/>
    <w:rsid w:val="009447B1"/>
    <w:rsid w:val="00944FDE"/>
    <w:rsid w:val="00945310"/>
    <w:rsid w:val="00945348"/>
    <w:rsid w:val="009467BF"/>
    <w:rsid w:val="009506C7"/>
    <w:rsid w:val="009508D0"/>
    <w:rsid w:val="0095290C"/>
    <w:rsid w:val="009529A7"/>
    <w:rsid w:val="009530DE"/>
    <w:rsid w:val="00953BC5"/>
    <w:rsid w:val="00953F17"/>
    <w:rsid w:val="0095407D"/>
    <w:rsid w:val="009540E0"/>
    <w:rsid w:val="00954FA1"/>
    <w:rsid w:val="00956BEB"/>
    <w:rsid w:val="009602A8"/>
    <w:rsid w:val="009604AE"/>
    <w:rsid w:val="0096070B"/>
    <w:rsid w:val="00960F24"/>
    <w:rsid w:val="00961409"/>
    <w:rsid w:val="009615B2"/>
    <w:rsid w:val="0096411E"/>
    <w:rsid w:val="009662A1"/>
    <w:rsid w:val="0096666F"/>
    <w:rsid w:val="009675F0"/>
    <w:rsid w:val="00971D7A"/>
    <w:rsid w:val="00972FD5"/>
    <w:rsid w:val="00973550"/>
    <w:rsid w:val="009759C8"/>
    <w:rsid w:val="00975CFF"/>
    <w:rsid w:val="00976BCA"/>
    <w:rsid w:val="00976F07"/>
    <w:rsid w:val="00980CC9"/>
    <w:rsid w:val="009817CE"/>
    <w:rsid w:val="00981C04"/>
    <w:rsid w:val="00982358"/>
    <w:rsid w:val="00983015"/>
    <w:rsid w:val="009848EB"/>
    <w:rsid w:val="009859F1"/>
    <w:rsid w:val="00986EA3"/>
    <w:rsid w:val="009909F7"/>
    <w:rsid w:val="0099219F"/>
    <w:rsid w:val="00992B0B"/>
    <w:rsid w:val="0099360D"/>
    <w:rsid w:val="00994F21"/>
    <w:rsid w:val="009953EE"/>
    <w:rsid w:val="00995F6C"/>
    <w:rsid w:val="009966E2"/>
    <w:rsid w:val="00996978"/>
    <w:rsid w:val="009973BE"/>
    <w:rsid w:val="009977B4"/>
    <w:rsid w:val="00997812"/>
    <w:rsid w:val="009A0AF6"/>
    <w:rsid w:val="009A2B11"/>
    <w:rsid w:val="009A3063"/>
    <w:rsid w:val="009A3A9A"/>
    <w:rsid w:val="009A3B27"/>
    <w:rsid w:val="009A4908"/>
    <w:rsid w:val="009A4CCD"/>
    <w:rsid w:val="009A4E74"/>
    <w:rsid w:val="009A579E"/>
    <w:rsid w:val="009A65A4"/>
    <w:rsid w:val="009A7A81"/>
    <w:rsid w:val="009B0AB7"/>
    <w:rsid w:val="009B2AD6"/>
    <w:rsid w:val="009B2B48"/>
    <w:rsid w:val="009B3657"/>
    <w:rsid w:val="009B38EC"/>
    <w:rsid w:val="009B49BD"/>
    <w:rsid w:val="009B53F7"/>
    <w:rsid w:val="009B5657"/>
    <w:rsid w:val="009B5C63"/>
    <w:rsid w:val="009B7EE0"/>
    <w:rsid w:val="009C14C5"/>
    <w:rsid w:val="009C24BA"/>
    <w:rsid w:val="009C380E"/>
    <w:rsid w:val="009C3B01"/>
    <w:rsid w:val="009C3B4D"/>
    <w:rsid w:val="009C3FFB"/>
    <w:rsid w:val="009C604B"/>
    <w:rsid w:val="009C6181"/>
    <w:rsid w:val="009C6214"/>
    <w:rsid w:val="009D2B24"/>
    <w:rsid w:val="009D4476"/>
    <w:rsid w:val="009D4AC4"/>
    <w:rsid w:val="009D50ED"/>
    <w:rsid w:val="009D5CC0"/>
    <w:rsid w:val="009D5D62"/>
    <w:rsid w:val="009D6CDD"/>
    <w:rsid w:val="009D758D"/>
    <w:rsid w:val="009E1C79"/>
    <w:rsid w:val="009E26E1"/>
    <w:rsid w:val="009E3BB7"/>
    <w:rsid w:val="009E45CB"/>
    <w:rsid w:val="009E5508"/>
    <w:rsid w:val="009E567B"/>
    <w:rsid w:val="009E5ACA"/>
    <w:rsid w:val="009E6441"/>
    <w:rsid w:val="009E698B"/>
    <w:rsid w:val="009E6C76"/>
    <w:rsid w:val="009E6F4F"/>
    <w:rsid w:val="009F463B"/>
    <w:rsid w:val="009F4B8F"/>
    <w:rsid w:val="009F5A09"/>
    <w:rsid w:val="009F5FFB"/>
    <w:rsid w:val="009F76CB"/>
    <w:rsid w:val="009F7E3F"/>
    <w:rsid w:val="00A00DAC"/>
    <w:rsid w:val="00A01492"/>
    <w:rsid w:val="00A014C2"/>
    <w:rsid w:val="00A0184F"/>
    <w:rsid w:val="00A03E30"/>
    <w:rsid w:val="00A04A9F"/>
    <w:rsid w:val="00A04C05"/>
    <w:rsid w:val="00A05543"/>
    <w:rsid w:val="00A07DDF"/>
    <w:rsid w:val="00A103DE"/>
    <w:rsid w:val="00A1128B"/>
    <w:rsid w:val="00A1233E"/>
    <w:rsid w:val="00A123C6"/>
    <w:rsid w:val="00A137D0"/>
    <w:rsid w:val="00A13B44"/>
    <w:rsid w:val="00A14992"/>
    <w:rsid w:val="00A15174"/>
    <w:rsid w:val="00A1684B"/>
    <w:rsid w:val="00A17EE9"/>
    <w:rsid w:val="00A201F1"/>
    <w:rsid w:val="00A20F77"/>
    <w:rsid w:val="00A22C72"/>
    <w:rsid w:val="00A23754"/>
    <w:rsid w:val="00A240AE"/>
    <w:rsid w:val="00A25416"/>
    <w:rsid w:val="00A25939"/>
    <w:rsid w:val="00A270C2"/>
    <w:rsid w:val="00A27485"/>
    <w:rsid w:val="00A27486"/>
    <w:rsid w:val="00A27B13"/>
    <w:rsid w:val="00A27B94"/>
    <w:rsid w:val="00A309D4"/>
    <w:rsid w:val="00A31795"/>
    <w:rsid w:val="00A32143"/>
    <w:rsid w:val="00A332EA"/>
    <w:rsid w:val="00A3484C"/>
    <w:rsid w:val="00A35E27"/>
    <w:rsid w:val="00A372C5"/>
    <w:rsid w:val="00A37F77"/>
    <w:rsid w:val="00A4031C"/>
    <w:rsid w:val="00A40D26"/>
    <w:rsid w:val="00A41F9F"/>
    <w:rsid w:val="00A420B8"/>
    <w:rsid w:val="00A429E3"/>
    <w:rsid w:val="00A4399E"/>
    <w:rsid w:val="00A44E9C"/>
    <w:rsid w:val="00A45496"/>
    <w:rsid w:val="00A46B7F"/>
    <w:rsid w:val="00A51413"/>
    <w:rsid w:val="00A5145D"/>
    <w:rsid w:val="00A516CB"/>
    <w:rsid w:val="00A51795"/>
    <w:rsid w:val="00A53B33"/>
    <w:rsid w:val="00A53EB2"/>
    <w:rsid w:val="00A548F6"/>
    <w:rsid w:val="00A54CD3"/>
    <w:rsid w:val="00A560B6"/>
    <w:rsid w:val="00A569D7"/>
    <w:rsid w:val="00A575AE"/>
    <w:rsid w:val="00A57970"/>
    <w:rsid w:val="00A61078"/>
    <w:rsid w:val="00A63C6B"/>
    <w:rsid w:val="00A645A1"/>
    <w:rsid w:val="00A65766"/>
    <w:rsid w:val="00A65D09"/>
    <w:rsid w:val="00A6753D"/>
    <w:rsid w:val="00A67ABE"/>
    <w:rsid w:val="00A704FE"/>
    <w:rsid w:val="00A70B64"/>
    <w:rsid w:val="00A722B0"/>
    <w:rsid w:val="00A72328"/>
    <w:rsid w:val="00A75CC0"/>
    <w:rsid w:val="00A80AB9"/>
    <w:rsid w:val="00A81FDC"/>
    <w:rsid w:val="00A82A2E"/>
    <w:rsid w:val="00A831C3"/>
    <w:rsid w:val="00A834B8"/>
    <w:rsid w:val="00A83618"/>
    <w:rsid w:val="00A83A93"/>
    <w:rsid w:val="00A84937"/>
    <w:rsid w:val="00A861DB"/>
    <w:rsid w:val="00A86B0B"/>
    <w:rsid w:val="00A86F1A"/>
    <w:rsid w:val="00A8736B"/>
    <w:rsid w:val="00A90242"/>
    <w:rsid w:val="00A90C5E"/>
    <w:rsid w:val="00A9159F"/>
    <w:rsid w:val="00A9168B"/>
    <w:rsid w:val="00A91EC3"/>
    <w:rsid w:val="00A9275F"/>
    <w:rsid w:val="00A93921"/>
    <w:rsid w:val="00A94B4B"/>
    <w:rsid w:val="00A95D5B"/>
    <w:rsid w:val="00A96026"/>
    <w:rsid w:val="00A96322"/>
    <w:rsid w:val="00AA02A5"/>
    <w:rsid w:val="00AA16DE"/>
    <w:rsid w:val="00AA1954"/>
    <w:rsid w:val="00AA20C9"/>
    <w:rsid w:val="00AA2141"/>
    <w:rsid w:val="00AA2877"/>
    <w:rsid w:val="00AA4538"/>
    <w:rsid w:val="00AA50D8"/>
    <w:rsid w:val="00AA5524"/>
    <w:rsid w:val="00AA7673"/>
    <w:rsid w:val="00AB0D86"/>
    <w:rsid w:val="00AB15E7"/>
    <w:rsid w:val="00AB1EE6"/>
    <w:rsid w:val="00AB2936"/>
    <w:rsid w:val="00AB37E6"/>
    <w:rsid w:val="00AB4CBF"/>
    <w:rsid w:val="00AB4DFB"/>
    <w:rsid w:val="00AB53E6"/>
    <w:rsid w:val="00AC00A0"/>
    <w:rsid w:val="00AC038D"/>
    <w:rsid w:val="00AC0FDA"/>
    <w:rsid w:val="00AC24A9"/>
    <w:rsid w:val="00AC26A8"/>
    <w:rsid w:val="00AC2D20"/>
    <w:rsid w:val="00AC318B"/>
    <w:rsid w:val="00AC361B"/>
    <w:rsid w:val="00AC4766"/>
    <w:rsid w:val="00AC4F71"/>
    <w:rsid w:val="00AC5854"/>
    <w:rsid w:val="00AC588C"/>
    <w:rsid w:val="00AC6AEA"/>
    <w:rsid w:val="00AC7EBE"/>
    <w:rsid w:val="00AD0B00"/>
    <w:rsid w:val="00AD0FB0"/>
    <w:rsid w:val="00AD18D5"/>
    <w:rsid w:val="00AD1AAD"/>
    <w:rsid w:val="00AD20A8"/>
    <w:rsid w:val="00AD23A9"/>
    <w:rsid w:val="00AD46BF"/>
    <w:rsid w:val="00AD4ABE"/>
    <w:rsid w:val="00AD4BCD"/>
    <w:rsid w:val="00AD5C15"/>
    <w:rsid w:val="00AD687A"/>
    <w:rsid w:val="00AD6DC4"/>
    <w:rsid w:val="00AD6E17"/>
    <w:rsid w:val="00AE01E7"/>
    <w:rsid w:val="00AE0454"/>
    <w:rsid w:val="00AE0E40"/>
    <w:rsid w:val="00AE23F9"/>
    <w:rsid w:val="00AE3435"/>
    <w:rsid w:val="00AE3E2D"/>
    <w:rsid w:val="00AE54F2"/>
    <w:rsid w:val="00AE66AF"/>
    <w:rsid w:val="00AF036C"/>
    <w:rsid w:val="00AF08DB"/>
    <w:rsid w:val="00AF0A9F"/>
    <w:rsid w:val="00AF0EB2"/>
    <w:rsid w:val="00AF1469"/>
    <w:rsid w:val="00AF21BB"/>
    <w:rsid w:val="00AF260C"/>
    <w:rsid w:val="00AF2A05"/>
    <w:rsid w:val="00AF3340"/>
    <w:rsid w:val="00AF346B"/>
    <w:rsid w:val="00AF488E"/>
    <w:rsid w:val="00AF5745"/>
    <w:rsid w:val="00AF6EDF"/>
    <w:rsid w:val="00AF7201"/>
    <w:rsid w:val="00B00AE9"/>
    <w:rsid w:val="00B00C37"/>
    <w:rsid w:val="00B019C4"/>
    <w:rsid w:val="00B01B4B"/>
    <w:rsid w:val="00B021D9"/>
    <w:rsid w:val="00B07898"/>
    <w:rsid w:val="00B078CE"/>
    <w:rsid w:val="00B11358"/>
    <w:rsid w:val="00B1165F"/>
    <w:rsid w:val="00B13DE4"/>
    <w:rsid w:val="00B206C1"/>
    <w:rsid w:val="00B21049"/>
    <w:rsid w:val="00B21A56"/>
    <w:rsid w:val="00B22461"/>
    <w:rsid w:val="00B22817"/>
    <w:rsid w:val="00B24EB0"/>
    <w:rsid w:val="00B251E8"/>
    <w:rsid w:val="00B25800"/>
    <w:rsid w:val="00B25AE5"/>
    <w:rsid w:val="00B26E0D"/>
    <w:rsid w:val="00B27460"/>
    <w:rsid w:val="00B2774E"/>
    <w:rsid w:val="00B2776F"/>
    <w:rsid w:val="00B30393"/>
    <w:rsid w:val="00B304A5"/>
    <w:rsid w:val="00B310D9"/>
    <w:rsid w:val="00B31641"/>
    <w:rsid w:val="00B316AD"/>
    <w:rsid w:val="00B320FC"/>
    <w:rsid w:val="00B321BE"/>
    <w:rsid w:val="00B32972"/>
    <w:rsid w:val="00B32E36"/>
    <w:rsid w:val="00B33948"/>
    <w:rsid w:val="00B3403E"/>
    <w:rsid w:val="00B342CB"/>
    <w:rsid w:val="00B3500B"/>
    <w:rsid w:val="00B3661C"/>
    <w:rsid w:val="00B36CB6"/>
    <w:rsid w:val="00B40DA8"/>
    <w:rsid w:val="00B412DA"/>
    <w:rsid w:val="00B41755"/>
    <w:rsid w:val="00B420EF"/>
    <w:rsid w:val="00B43A02"/>
    <w:rsid w:val="00B46487"/>
    <w:rsid w:val="00B477F2"/>
    <w:rsid w:val="00B5040C"/>
    <w:rsid w:val="00B50577"/>
    <w:rsid w:val="00B524C7"/>
    <w:rsid w:val="00B54696"/>
    <w:rsid w:val="00B5490C"/>
    <w:rsid w:val="00B56FC6"/>
    <w:rsid w:val="00B575A3"/>
    <w:rsid w:val="00B57693"/>
    <w:rsid w:val="00B607F2"/>
    <w:rsid w:val="00B60E13"/>
    <w:rsid w:val="00B61746"/>
    <w:rsid w:val="00B62280"/>
    <w:rsid w:val="00B6273D"/>
    <w:rsid w:val="00B62992"/>
    <w:rsid w:val="00B637FF"/>
    <w:rsid w:val="00B63DED"/>
    <w:rsid w:val="00B64794"/>
    <w:rsid w:val="00B64EA6"/>
    <w:rsid w:val="00B6527E"/>
    <w:rsid w:val="00B654ED"/>
    <w:rsid w:val="00B67600"/>
    <w:rsid w:val="00B67604"/>
    <w:rsid w:val="00B710BB"/>
    <w:rsid w:val="00B711DA"/>
    <w:rsid w:val="00B71C56"/>
    <w:rsid w:val="00B725B1"/>
    <w:rsid w:val="00B72A7A"/>
    <w:rsid w:val="00B72BD4"/>
    <w:rsid w:val="00B7388C"/>
    <w:rsid w:val="00B7408F"/>
    <w:rsid w:val="00B75AB4"/>
    <w:rsid w:val="00B75DB6"/>
    <w:rsid w:val="00B760BF"/>
    <w:rsid w:val="00B76903"/>
    <w:rsid w:val="00B779EF"/>
    <w:rsid w:val="00B8144D"/>
    <w:rsid w:val="00B81594"/>
    <w:rsid w:val="00B81B9D"/>
    <w:rsid w:val="00B8350B"/>
    <w:rsid w:val="00B85763"/>
    <w:rsid w:val="00B85ADA"/>
    <w:rsid w:val="00B86F5A"/>
    <w:rsid w:val="00B86FC0"/>
    <w:rsid w:val="00B8705E"/>
    <w:rsid w:val="00B87173"/>
    <w:rsid w:val="00B87737"/>
    <w:rsid w:val="00B92CC4"/>
    <w:rsid w:val="00B93631"/>
    <w:rsid w:val="00B946C6"/>
    <w:rsid w:val="00B94871"/>
    <w:rsid w:val="00B94FB4"/>
    <w:rsid w:val="00B964EF"/>
    <w:rsid w:val="00B96BFA"/>
    <w:rsid w:val="00BA0C81"/>
    <w:rsid w:val="00BA1D9A"/>
    <w:rsid w:val="00BA2235"/>
    <w:rsid w:val="00BA2354"/>
    <w:rsid w:val="00BA2903"/>
    <w:rsid w:val="00BA5EAA"/>
    <w:rsid w:val="00BA728F"/>
    <w:rsid w:val="00BA7CBE"/>
    <w:rsid w:val="00BB024E"/>
    <w:rsid w:val="00BB08B1"/>
    <w:rsid w:val="00BB4D08"/>
    <w:rsid w:val="00BB6B0D"/>
    <w:rsid w:val="00BB7246"/>
    <w:rsid w:val="00BB7816"/>
    <w:rsid w:val="00BC1744"/>
    <w:rsid w:val="00BC178B"/>
    <w:rsid w:val="00BC20BD"/>
    <w:rsid w:val="00BC25C5"/>
    <w:rsid w:val="00BC33C9"/>
    <w:rsid w:val="00BC3DB1"/>
    <w:rsid w:val="00BC40A1"/>
    <w:rsid w:val="00BC4555"/>
    <w:rsid w:val="00BC5662"/>
    <w:rsid w:val="00BC6622"/>
    <w:rsid w:val="00BC6F15"/>
    <w:rsid w:val="00BC7F54"/>
    <w:rsid w:val="00BD0590"/>
    <w:rsid w:val="00BD078E"/>
    <w:rsid w:val="00BD3F70"/>
    <w:rsid w:val="00BD4007"/>
    <w:rsid w:val="00BD4513"/>
    <w:rsid w:val="00BD469A"/>
    <w:rsid w:val="00BD55D2"/>
    <w:rsid w:val="00BD72B7"/>
    <w:rsid w:val="00BE03B6"/>
    <w:rsid w:val="00BE328F"/>
    <w:rsid w:val="00BE336E"/>
    <w:rsid w:val="00BE4103"/>
    <w:rsid w:val="00BE413C"/>
    <w:rsid w:val="00BE4FF6"/>
    <w:rsid w:val="00BE5145"/>
    <w:rsid w:val="00BE5AAA"/>
    <w:rsid w:val="00BE681A"/>
    <w:rsid w:val="00BE78AA"/>
    <w:rsid w:val="00BF09F7"/>
    <w:rsid w:val="00BF0A96"/>
    <w:rsid w:val="00BF1C59"/>
    <w:rsid w:val="00BF1FE9"/>
    <w:rsid w:val="00BF3950"/>
    <w:rsid w:val="00BF3D02"/>
    <w:rsid w:val="00BF3D57"/>
    <w:rsid w:val="00BF41C0"/>
    <w:rsid w:val="00BF556E"/>
    <w:rsid w:val="00BF5CC3"/>
    <w:rsid w:val="00BF6040"/>
    <w:rsid w:val="00BF638C"/>
    <w:rsid w:val="00C0136A"/>
    <w:rsid w:val="00C015A1"/>
    <w:rsid w:val="00C02CCF"/>
    <w:rsid w:val="00C03AF3"/>
    <w:rsid w:val="00C040EF"/>
    <w:rsid w:val="00C050B4"/>
    <w:rsid w:val="00C0539F"/>
    <w:rsid w:val="00C05595"/>
    <w:rsid w:val="00C0570E"/>
    <w:rsid w:val="00C10400"/>
    <w:rsid w:val="00C11719"/>
    <w:rsid w:val="00C11B6A"/>
    <w:rsid w:val="00C11CB5"/>
    <w:rsid w:val="00C13478"/>
    <w:rsid w:val="00C1738A"/>
    <w:rsid w:val="00C17C31"/>
    <w:rsid w:val="00C2086D"/>
    <w:rsid w:val="00C208BC"/>
    <w:rsid w:val="00C20FBF"/>
    <w:rsid w:val="00C21E5B"/>
    <w:rsid w:val="00C24908"/>
    <w:rsid w:val="00C24BC0"/>
    <w:rsid w:val="00C26982"/>
    <w:rsid w:val="00C26C8E"/>
    <w:rsid w:val="00C26CB0"/>
    <w:rsid w:val="00C27414"/>
    <w:rsid w:val="00C3195B"/>
    <w:rsid w:val="00C32240"/>
    <w:rsid w:val="00C33068"/>
    <w:rsid w:val="00C35E18"/>
    <w:rsid w:val="00C371AC"/>
    <w:rsid w:val="00C37814"/>
    <w:rsid w:val="00C37837"/>
    <w:rsid w:val="00C41F9B"/>
    <w:rsid w:val="00C42F91"/>
    <w:rsid w:val="00C4327A"/>
    <w:rsid w:val="00C43905"/>
    <w:rsid w:val="00C44D85"/>
    <w:rsid w:val="00C45644"/>
    <w:rsid w:val="00C512AB"/>
    <w:rsid w:val="00C51C14"/>
    <w:rsid w:val="00C5299F"/>
    <w:rsid w:val="00C52A24"/>
    <w:rsid w:val="00C52EA2"/>
    <w:rsid w:val="00C5369E"/>
    <w:rsid w:val="00C55D39"/>
    <w:rsid w:val="00C55E78"/>
    <w:rsid w:val="00C56AB6"/>
    <w:rsid w:val="00C577C0"/>
    <w:rsid w:val="00C5792A"/>
    <w:rsid w:val="00C61B9A"/>
    <w:rsid w:val="00C62332"/>
    <w:rsid w:val="00C632A7"/>
    <w:rsid w:val="00C63F4A"/>
    <w:rsid w:val="00C643DF"/>
    <w:rsid w:val="00C65357"/>
    <w:rsid w:val="00C66299"/>
    <w:rsid w:val="00C66341"/>
    <w:rsid w:val="00C70C87"/>
    <w:rsid w:val="00C713ED"/>
    <w:rsid w:val="00C716D4"/>
    <w:rsid w:val="00C71E9F"/>
    <w:rsid w:val="00C73B12"/>
    <w:rsid w:val="00C744BC"/>
    <w:rsid w:val="00C746C4"/>
    <w:rsid w:val="00C74959"/>
    <w:rsid w:val="00C75021"/>
    <w:rsid w:val="00C750B2"/>
    <w:rsid w:val="00C756CE"/>
    <w:rsid w:val="00C758CA"/>
    <w:rsid w:val="00C768F6"/>
    <w:rsid w:val="00C77BE5"/>
    <w:rsid w:val="00C80A62"/>
    <w:rsid w:val="00C810BD"/>
    <w:rsid w:val="00C838AA"/>
    <w:rsid w:val="00C83D1C"/>
    <w:rsid w:val="00C85691"/>
    <w:rsid w:val="00C8602D"/>
    <w:rsid w:val="00C8648B"/>
    <w:rsid w:val="00C92F85"/>
    <w:rsid w:val="00C930B7"/>
    <w:rsid w:val="00C93931"/>
    <w:rsid w:val="00C947E7"/>
    <w:rsid w:val="00C94B69"/>
    <w:rsid w:val="00C95451"/>
    <w:rsid w:val="00C964D3"/>
    <w:rsid w:val="00C96D8F"/>
    <w:rsid w:val="00C978EF"/>
    <w:rsid w:val="00CA0738"/>
    <w:rsid w:val="00CA2533"/>
    <w:rsid w:val="00CA333B"/>
    <w:rsid w:val="00CA48F1"/>
    <w:rsid w:val="00CA5F63"/>
    <w:rsid w:val="00CA679A"/>
    <w:rsid w:val="00CA6A07"/>
    <w:rsid w:val="00CA6A0C"/>
    <w:rsid w:val="00CA7A37"/>
    <w:rsid w:val="00CA7CDA"/>
    <w:rsid w:val="00CB007F"/>
    <w:rsid w:val="00CB0424"/>
    <w:rsid w:val="00CB1762"/>
    <w:rsid w:val="00CB3A51"/>
    <w:rsid w:val="00CB408E"/>
    <w:rsid w:val="00CB5474"/>
    <w:rsid w:val="00CB5F44"/>
    <w:rsid w:val="00CB6473"/>
    <w:rsid w:val="00CB6892"/>
    <w:rsid w:val="00CB6F3A"/>
    <w:rsid w:val="00CB7945"/>
    <w:rsid w:val="00CC09C5"/>
    <w:rsid w:val="00CC1022"/>
    <w:rsid w:val="00CC14AB"/>
    <w:rsid w:val="00CC1F4F"/>
    <w:rsid w:val="00CC2FB4"/>
    <w:rsid w:val="00CC39D9"/>
    <w:rsid w:val="00CC5713"/>
    <w:rsid w:val="00CC5A10"/>
    <w:rsid w:val="00CC5D20"/>
    <w:rsid w:val="00CC68C1"/>
    <w:rsid w:val="00CD1226"/>
    <w:rsid w:val="00CD1FA8"/>
    <w:rsid w:val="00CD3D4B"/>
    <w:rsid w:val="00CE02E0"/>
    <w:rsid w:val="00CE0F8E"/>
    <w:rsid w:val="00CE124B"/>
    <w:rsid w:val="00CE13E1"/>
    <w:rsid w:val="00CE1536"/>
    <w:rsid w:val="00CE19ED"/>
    <w:rsid w:val="00CE1CB4"/>
    <w:rsid w:val="00CE402B"/>
    <w:rsid w:val="00CE4136"/>
    <w:rsid w:val="00CE5590"/>
    <w:rsid w:val="00CE6F61"/>
    <w:rsid w:val="00CE7237"/>
    <w:rsid w:val="00CF100F"/>
    <w:rsid w:val="00CF18EA"/>
    <w:rsid w:val="00CF1936"/>
    <w:rsid w:val="00CF1A23"/>
    <w:rsid w:val="00CF218D"/>
    <w:rsid w:val="00CF2FA9"/>
    <w:rsid w:val="00CF32A4"/>
    <w:rsid w:val="00CF3392"/>
    <w:rsid w:val="00CF3913"/>
    <w:rsid w:val="00CF4E02"/>
    <w:rsid w:val="00CF4F7A"/>
    <w:rsid w:val="00CF5226"/>
    <w:rsid w:val="00CF52D0"/>
    <w:rsid w:val="00CF5CA3"/>
    <w:rsid w:val="00CF5EE9"/>
    <w:rsid w:val="00CF5EF2"/>
    <w:rsid w:val="00CF6278"/>
    <w:rsid w:val="00CF670E"/>
    <w:rsid w:val="00CF6A5B"/>
    <w:rsid w:val="00CF6E1D"/>
    <w:rsid w:val="00CF7530"/>
    <w:rsid w:val="00CF7ACD"/>
    <w:rsid w:val="00D0103B"/>
    <w:rsid w:val="00D01826"/>
    <w:rsid w:val="00D01829"/>
    <w:rsid w:val="00D01E95"/>
    <w:rsid w:val="00D02999"/>
    <w:rsid w:val="00D02A47"/>
    <w:rsid w:val="00D0343F"/>
    <w:rsid w:val="00D03E70"/>
    <w:rsid w:val="00D04EF1"/>
    <w:rsid w:val="00D05AFD"/>
    <w:rsid w:val="00D06DC7"/>
    <w:rsid w:val="00D07525"/>
    <w:rsid w:val="00D07A8F"/>
    <w:rsid w:val="00D11277"/>
    <w:rsid w:val="00D11D73"/>
    <w:rsid w:val="00D1238E"/>
    <w:rsid w:val="00D129DC"/>
    <w:rsid w:val="00D13C05"/>
    <w:rsid w:val="00D15430"/>
    <w:rsid w:val="00D16069"/>
    <w:rsid w:val="00D1641E"/>
    <w:rsid w:val="00D203F4"/>
    <w:rsid w:val="00D21DA5"/>
    <w:rsid w:val="00D22202"/>
    <w:rsid w:val="00D22699"/>
    <w:rsid w:val="00D23185"/>
    <w:rsid w:val="00D23334"/>
    <w:rsid w:val="00D23688"/>
    <w:rsid w:val="00D26647"/>
    <w:rsid w:val="00D26A10"/>
    <w:rsid w:val="00D306E4"/>
    <w:rsid w:val="00D312B5"/>
    <w:rsid w:val="00D321D1"/>
    <w:rsid w:val="00D34684"/>
    <w:rsid w:val="00D363E1"/>
    <w:rsid w:val="00D372B4"/>
    <w:rsid w:val="00D37988"/>
    <w:rsid w:val="00D4029F"/>
    <w:rsid w:val="00D420B3"/>
    <w:rsid w:val="00D46FF4"/>
    <w:rsid w:val="00D51FFB"/>
    <w:rsid w:val="00D522E9"/>
    <w:rsid w:val="00D52EDC"/>
    <w:rsid w:val="00D5347A"/>
    <w:rsid w:val="00D534B8"/>
    <w:rsid w:val="00D534D6"/>
    <w:rsid w:val="00D56DFC"/>
    <w:rsid w:val="00D61CFA"/>
    <w:rsid w:val="00D62303"/>
    <w:rsid w:val="00D6463B"/>
    <w:rsid w:val="00D6692E"/>
    <w:rsid w:val="00D66BB8"/>
    <w:rsid w:val="00D66F0C"/>
    <w:rsid w:val="00D676E7"/>
    <w:rsid w:val="00D67ADC"/>
    <w:rsid w:val="00D67D72"/>
    <w:rsid w:val="00D70C0D"/>
    <w:rsid w:val="00D71CB0"/>
    <w:rsid w:val="00D725C5"/>
    <w:rsid w:val="00D72805"/>
    <w:rsid w:val="00D72DB2"/>
    <w:rsid w:val="00D74670"/>
    <w:rsid w:val="00D75480"/>
    <w:rsid w:val="00D75D04"/>
    <w:rsid w:val="00D75DE1"/>
    <w:rsid w:val="00D75FB3"/>
    <w:rsid w:val="00D76E5D"/>
    <w:rsid w:val="00D7725B"/>
    <w:rsid w:val="00D77457"/>
    <w:rsid w:val="00D774F1"/>
    <w:rsid w:val="00D77ABE"/>
    <w:rsid w:val="00D808E0"/>
    <w:rsid w:val="00D82DF7"/>
    <w:rsid w:val="00D83E28"/>
    <w:rsid w:val="00D84CF9"/>
    <w:rsid w:val="00D850B0"/>
    <w:rsid w:val="00D85B38"/>
    <w:rsid w:val="00D85BEA"/>
    <w:rsid w:val="00D860E6"/>
    <w:rsid w:val="00D86867"/>
    <w:rsid w:val="00D86D06"/>
    <w:rsid w:val="00D8765A"/>
    <w:rsid w:val="00D90D9C"/>
    <w:rsid w:val="00D912C4"/>
    <w:rsid w:val="00D91962"/>
    <w:rsid w:val="00D91C36"/>
    <w:rsid w:val="00D9231B"/>
    <w:rsid w:val="00D931F5"/>
    <w:rsid w:val="00D93657"/>
    <w:rsid w:val="00D944FC"/>
    <w:rsid w:val="00D95BC2"/>
    <w:rsid w:val="00D96134"/>
    <w:rsid w:val="00D96329"/>
    <w:rsid w:val="00D963F2"/>
    <w:rsid w:val="00D9684F"/>
    <w:rsid w:val="00D96E51"/>
    <w:rsid w:val="00D97722"/>
    <w:rsid w:val="00D97F76"/>
    <w:rsid w:val="00DA3888"/>
    <w:rsid w:val="00DA3A28"/>
    <w:rsid w:val="00DA72C6"/>
    <w:rsid w:val="00DA77A1"/>
    <w:rsid w:val="00DA7C3A"/>
    <w:rsid w:val="00DA7DF2"/>
    <w:rsid w:val="00DB094E"/>
    <w:rsid w:val="00DB1AC9"/>
    <w:rsid w:val="00DB1C86"/>
    <w:rsid w:val="00DB1F26"/>
    <w:rsid w:val="00DB36FF"/>
    <w:rsid w:val="00DB4106"/>
    <w:rsid w:val="00DB45BE"/>
    <w:rsid w:val="00DB59C3"/>
    <w:rsid w:val="00DB6F9C"/>
    <w:rsid w:val="00DC0075"/>
    <w:rsid w:val="00DC12E6"/>
    <w:rsid w:val="00DC20CE"/>
    <w:rsid w:val="00DC23B7"/>
    <w:rsid w:val="00DC29D1"/>
    <w:rsid w:val="00DC557F"/>
    <w:rsid w:val="00DC5648"/>
    <w:rsid w:val="00DC663D"/>
    <w:rsid w:val="00DD0186"/>
    <w:rsid w:val="00DD08A8"/>
    <w:rsid w:val="00DD12F3"/>
    <w:rsid w:val="00DD2A16"/>
    <w:rsid w:val="00DD2AE8"/>
    <w:rsid w:val="00DD2EC4"/>
    <w:rsid w:val="00DD3623"/>
    <w:rsid w:val="00DD3F05"/>
    <w:rsid w:val="00DD595F"/>
    <w:rsid w:val="00DD59DF"/>
    <w:rsid w:val="00DD61AF"/>
    <w:rsid w:val="00DD6306"/>
    <w:rsid w:val="00DD6921"/>
    <w:rsid w:val="00DD70D3"/>
    <w:rsid w:val="00DD74F5"/>
    <w:rsid w:val="00DD75BF"/>
    <w:rsid w:val="00DD79B7"/>
    <w:rsid w:val="00DE0DC6"/>
    <w:rsid w:val="00DE2175"/>
    <w:rsid w:val="00DE2E40"/>
    <w:rsid w:val="00DE3278"/>
    <w:rsid w:val="00DE5435"/>
    <w:rsid w:val="00DF023A"/>
    <w:rsid w:val="00DF080E"/>
    <w:rsid w:val="00DF0C91"/>
    <w:rsid w:val="00DF30AF"/>
    <w:rsid w:val="00DF38A7"/>
    <w:rsid w:val="00DF4DBA"/>
    <w:rsid w:val="00DF5D42"/>
    <w:rsid w:val="00DF644C"/>
    <w:rsid w:val="00DF6578"/>
    <w:rsid w:val="00DF65F9"/>
    <w:rsid w:val="00DF6B07"/>
    <w:rsid w:val="00DF754C"/>
    <w:rsid w:val="00DF7767"/>
    <w:rsid w:val="00E0162D"/>
    <w:rsid w:val="00E01A29"/>
    <w:rsid w:val="00E0325E"/>
    <w:rsid w:val="00E035A7"/>
    <w:rsid w:val="00E03775"/>
    <w:rsid w:val="00E03C17"/>
    <w:rsid w:val="00E047A5"/>
    <w:rsid w:val="00E0695B"/>
    <w:rsid w:val="00E06EA7"/>
    <w:rsid w:val="00E07AC1"/>
    <w:rsid w:val="00E110EE"/>
    <w:rsid w:val="00E119E9"/>
    <w:rsid w:val="00E12324"/>
    <w:rsid w:val="00E129EC"/>
    <w:rsid w:val="00E12E0C"/>
    <w:rsid w:val="00E1308E"/>
    <w:rsid w:val="00E1377B"/>
    <w:rsid w:val="00E138C6"/>
    <w:rsid w:val="00E16818"/>
    <w:rsid w:val="00E16A53"/>
    <w:rsid w:val="00E2061C"/>
    <w:rsid w:val="00E21E12"/>
    <w:rsid w:val="00E233B8"/>
    <w:rsid w:val="00E2426B"/>
    <w:rsid w:val="00E2442C"/>
    <w:rsid w:val="00E2457F"/>
    <w:rsid w:val="00E24AD4"/>
    <w:rsid w:val="00E25E69"/>
    <w:rsid w:val="00E260A5"/>
    <w:rsid w:val="00E2735F"/>
    <w:rsid w:val="00E303AA"/>
    <w:rsid w:val="00E30EE2"/>
    <w:rsid w:val="00E3139E"/>
    <w:rsid w:val="00E31916"/>
    <w:rsid w:val="00E31964"/>
    <w:rsid w:val="00E31B34"/>
    <w:rsid w:val="00E33716"/>
    <w:rsid w:val="00E33E86"/>
    <w:rsid w:val="00E3489D"/>
    <w:rsid w:val="00E358E9"/>
    <w:rsid w:val="00E35AB0"/>
    <w:rsid w:val="00E3738A"/>
    <w:rsid w:val="00E373F5"/>
    <w:rsid w:val="00E4041B"/>
    <w:rsid w:val="00E411CC"/>
    <w:rsid w:val="00E42068"/>
    <w:rsid w:val="00E43C52"/>
    <w:rsid w:val="00E4684C"/>
    <w:rsid w:val="00E46AED"/>
    <w:rsid w:val="00E46CC7"/>
    <w:rsid w:val="00E47DF5"/>
    <w:rsid w:val="00E506CD"/>
    <w:rsid w:val="00E509B6"/>
    <w:rsid w:val="00E50D67"/>
    <w:rsid w:val="00E520B9"/>
    <w:rsid w:val="00E53386"/>
    <w:rsid w:val="00E53F58"/>
    <w:rsid w:val="00E54185"/>
    <w:rsid w:val="00E61FD6"/>
    <w:rsid w:val="00E62276"/>
    <w:rsid w:val="00E62E8C"/>
    <w:rsid w:val="00E63F25"/>
    <w:rsid w:val="00E64545"/>
    <w:rsid w:val="00E66CC9"/>
    <w:rsid w:val="00E66D11"/>
    <w:rsid w:val="00E672F7"/>
    <w:rsid w:val="00E705E9"/>
    <w:rsid w:val="00E71A74"/>
    <w:rsid w:val="00E731AC"/>
    <w:rsid w:val="00E7365D"/>
    <w:rsid w:val="00E74BDE"/>
    <w:rsid w:val="00E76A55"/>
    <w:rsid w:val="00E7783C"/>
    <w:rsid w:val="00E80C57"/>
    <w:rsid w:val="00E80E27"/>
    <w:rsid w:val="00E819BB"/>
    <w:rsid w:val="00E83D08"/>
    <w:rsid w:val="00E83DDC"/>
    <w:rsid w:val="00E84201"/>
    <w:rsid w:val="00E851CE"/>
    <w:rsid w:val="00E85785"/>
    <w:rsid w:val="00E87729"/>
    <w:rsid w:val="00E87FEC"/>
    <w:rsid w:val="00E90026"/>
    <w:rsid w:val="00E9175E"/>
    <w:rsid w:val="00E91A7C"/>
    <w:rsid w:val="00E92879"/>
    <w:rsid w:val="00E92C52"/>
    <w:rsid w:val="00E9542D"/>
    <w:rsid w:val="00E95D14"/>
    <w:rsid w:val="00E95ECC"/>
    <w:rsid w:val="00E9655C"/>
    <w:rsid w:val="00E96DDE"/>
    <w:rsid w:val="00E97DB0"/>
    <w:rsid w:val="00EA036E"/>
    <w:rsid w:val="00EA23F4"/>
    <w:rsid w:val="00EA2BED"/>
    <w:rsid w:val="00EA2DEF"/>
    <w:rsid w:val="00EA4A33"/>
    <w:rsid w:val="00EA5DB0"/>
    <w:rsid w:val="00EA6EFC"/>
    <w:rsid w:val="00EA75FC"/>
    <w:rsid w:val="00EB1316"/>
    <w:rsid w:val="00EB20CC"/>
    <w:rsid w:val="00EB3D81"/>
    <w:rsid w:val="00EB5628"/>
    <w:rsid w:val="00EB6B24"/>
    <w:rsid w:val="00EC2AEE"/>
    <w:rsid w:val="00EC3DE5"/>
    <w:rsid w:val="00EC3EBC"/>
    <w:rsid w:val="00EC428E"/>
    <w:rsid w:val="00EC4DF7"/>
    <w:rsid w:val="00EC6333"/>
    <w:rsid w:val="00EC6E80"/>
    <w:rsid w:val="00EC71E0"/>
    <w:rsid w:val="00ED03A3"/>
    <w:rsid w:val="00ED1725"/>
    <w:rsid w:val="00ED50A3"/>
    <w:rsid w:val="00ED6B8C"/>
    <w:rsid w:val="00ED73CE"/>
    <w:rsid w:val="00EE20DB"/>
    <w:rsid w:val="00EE22FF"/>
    <w:rsid w:val="00EE2C12"/>
    <w:rsid w:val="00EE357C"/>
    <w:rsid w:val="00EE453C"/>
    <w:rsid w:val="00EE5EE3"/>
    <w:rsid w:val="00EE6020"/>
    <w:rsid w:val="00EE6CA0"/>
    <w:rsid w:val="00EE76CD"/>
    <w:rsid w:val="00EE7884"/>
    <w:rsid w:val="00EF2D1B"/>
    <w:rsid w:val="00EF2F23"/>
    <w:rsid w:val="00EF521D"/>
    <w:rsid w:val="00EF5315"/>
    <w:rsid w:val="00EF5445"/>
    <w:rsid w:val="00EF6197"/>
    <w:rsid w:val="00EF691F"/>
    <w:rsid w:val="00EF789C"/>
    <w:rsid w:val="00F00F4A"/>
    <w:rsid w:val="00F022DC"/>
    <w:rsid w:val="00F053A1"/>
    <w:rsid w:val="00F05754"/>
    <w:rsid w:val="00F0583D"/>
    <w:rsid w:val="00F058B9"/>
    <w:rsid w:val="00F066CE"/>
    <w:rsid w:val="00F073A2"/>
    <w:rsid w:val="00F1275C"/>
    <w:rsid w:val="00F127E3"/>
    <w:rsid w:val="00F132B4"/>
    <w:rsid w:val="00F14312"/>
    <w:rsid w:val="00F14D73"/>
    <w:rsid w:val="00F15377"/>
    <w:rsid w:val="00F1601D"/>
    <w:rsid w:val="00F17A07"/>
    <w:rsid w:val="00F20769"/>
    <w:rsid w:val="00F21041"/>
    <w:rsid w:val="00F216EB"/>
    <w:rsid w:val="00F21B65"/>
    <w:rsid w:val="00F22A5D"/>
    <w:rsid w:val="00F22B28"/>
    <w:rsid w:val="00F22D34"/>
    <w:rsid w:val="00F24D98"/>
    <w:rsid w:val="00F2562F"/>
    <w:rsid w:val="00F25C7E"/>
    <w:rsid w:val="00F30445"/>
    <w:rsid w:val="00F3223C"/>
    <w:rsid w:val="00F3289F"/>
    <w:rsid w:val="00F32957"/>
    <w:rsid w:val="00F32961"/>
    <w:rsid w:val="00F32CFA"/>
    <w:rsid w:val="00F33960"/>
    <w:rsid w:val="00F374A9"/>
    <w:rsid w:val="00F37EAC"/>
    <w:rsid w:val="00F4093A"/>
    <w:rsid w:val="00F40E42"/>
    <w:rsid w:val="00F41173"/>
    <w:rsid w:val="00F451B2"/>
    <w:rsid w:val="00F45847"/>
    <w:rsid w:val="00F4769C"/>
    <w:rsid w:val="00F47D4F"/>
    <w:rsid w:val="00F51A71"/>
    <w:rsid w:val="00F51F5D"/>
    <w:rsid w:val="00F5261C"/>
    <w:rsid w:val="00F52849"/>
    <w:rsid w:val="00F539D7"/>
    <w:rsid w:val="00F57410"/>
    <w:rsid w:val="00F5758F"/>
    <w:rsid w:val="00F605D2"/>
    <w:rsid w:val="00F606A0"/>
    <w:rsid w:val="00F60C45"/>
    <w:rsid w:val="00F6200D"/>
    <w:rsid w:val="00F62274"/>
    <w:rsid w:val="00F63BF0"/>
    <w:rsid w:val="00F6524C"/>
    <w:rsid w:val="00F65546"/>
    <w:rsid w:val="00F70439"/>
    <w:rsid w:val="00F71A29"/>
    <w:rsid w:val="00F73A1B"/>
    <w:rsid w:val="00F73ED0"/>
    <w:rsid w:val="00F74EBF"/>
    <w:rsid w:val="00F759CF"/>
    <w:rsid w:val="00F767FE"/>
    <w:rsid w:val="00F76B1A"/>
    <w:rsid w:val="00F80349"/>
    <w:rsid w:val="00F817A0"/>
    <w:rsid w:val="00F829D2"/>
    <w:rsid w:val="00F853D1"/>
    <w:rsid w:val="00F85755"/>
    <w:rsid w:val="00F857E0"/>
    <w:rsid w:val="00F86732"/>
    <w:rsid w:val="00F87253"/>
    <w:rsid w:val="00F87F97"/>
    <w:rsid w:val="00F918CE"/>
    <w:rsid w:val="00F92FE2"/>
    <w:rsid w:val="00F948DB"/>
    <w:rsid w:val="00F956C6"/>
    <w:rsid w:val="00F95B90"/>
    <w:rsid w:val="00F95E26"/>
    <w:rsid w:val="00F96994"/>
    <w:rsid w:val="00FA1254"/>
    <w:rsid w:val="00FA129E"/>
    <w:rsid w:val="00FA1865"/>
    <w:rsid w:val="00FA2F1F"/>
    <w:rsid w:val="00FA2F84"/>
    <w:rsid w:val="00FA3792"/>
    <w:rsid w:val="00FA3DC4"/>
    <w:rsid w:val="00FA4ED6"/>
    <w:rsid w:val="00FA5E87"/>
    <w:rsid w:val="00FA6358"/>
    <w:rsid w:val="00FB0304"/>
    <w:rsid w:val="00FB0AF9"/>
    <w:rsid w:val="00FB106D"/>
    <w:rsid w:val="00FB20D4"/>
    <w:rsid w:val="00FB24B3"/>
    <w:rsid w:val="00FB29E2"/>
    <w:rsid w:val="00FB3A32"/>
    <w:rsid w:val="00FB3C24"/>
    <w:rsid w:val="00FB518A"/>
    <w:rsid w:val="00FB53AE"/>
    <w:rsid w:val="00FB6923"/>
    <w:rsid w:val="00FB7CB1"/>
    <w:rsid w:val="00FC1516"/>
    <w:rsid w:val="00FC192B"/>
    <w:rsid w:val="00FC23FB"/>
    <w:rsid w:val="00FC2A7A"/>
    <w:rsid w:val="00FC3E66"/>
    <w:rsid w:val="00FC45D1"/>
    <w:rsid w:val="00FC604E"/>
    <w:rsid w:val="00FC7B01"/>
    <w:rsid w:val="00FD1227"/>
    <w:rsid w:val="00FD351D"/>
    <w:rsid w:val="00FD410C"/>
    <w:rsid w:val="00FD4B4B"/>
    <w:rsid w:val="00FD4B5C"/>
    <w:rsid w:val="00FD4FE9"/>
    <w:rsid w:val="00FD5584"/>
    <w:rsid w:val="00FD5CEF"/>
    <w:rsid w:val="00FD67E4"/>
    <w:rsid w:val="00FD6E21"/>
    <w:rsid w:val="00FD72BB"/>
    <w:rsid w:val="00FD7F34"/>
    <w:rsid w:val="00FE2A27"/>
    <w:rsid w:val="00FE2ED4"/>
    <w:rsid w:val="00FE3FB5"/>
    <w:rsid w:val="00FE4340"/>
    <w:rsid w:val="00FE5A29"/>
    <w:rsid w:val="00FE5F4E"/>
    <w:rsid w:val="00FE63E9"/>
    <w:rsid w:val="00FE7017"/>
    <w:rsid w:val="00FF0747"/>
    <w:rsid w:val="00FF0E4B"/>
    <w:rsid w:val="00FF0F3D"/>
    <w:rsid w:val="00FF2000"/>
    <w:rsid w:val="00FF2040"/>
    <w:rsid w:val="00FF2437"/>
    <w:rsid w:val="00FF400E"/>
    <w:rsid w:val="00FF6A43"/>
    <w:rsid w:val="00FF6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1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4"/>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4"/>
      </w:numPr>
      <w:tabs>
        <w:tab w:val="num" w:pos="360"/>
      </w:tabs>
    </w:pPr>
    <w:rPr>
      <w:i w:val="0"/>
    </w:rPr>
  </w:style>
  <w:style w:type="paragraph" w:customStyle="1" w:styleId="base-text-paragraph">
    <w:name w:val="base-text-paragraph"/>
    <w:basedOn w:val="Normal"/>
    <w:link w:val="base-text-paragraphChar"/>
    <w:rsid w:val="00D85BEA"/>
    <w:pPr>
      <w:numPr>
        <w:ilvl w:val="1"/>
        <w:numId w:val="24"/>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4"/>
      </w:numPr>
      <w:tabs>
        <w:tab w:val="num" w:pos="360"/>
      </w:tabs>
      <w:ind w:left="0"/>
    </w:pPr>
    <w:rPr>
      <w:b/>
    </w:rPr>
  </w:style>
  <w:style w:type="paragraph" w:customStyle="1" w:styleId="Diagram">
    <w:name w:val="Diagram"/>
    <w:basedOn w:val="Normal"/>
    <w:next w:val="base-text-paragraphnonumbers"/>
    <w:rsid w:val="0036787F"/>
    <w:pPr>
      <w:keepNext/>
      <w:numPr>
        <w:ilvl w:val="2"/>
        <w:numId w:val="24"/>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semiHidden/>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25800"/>
    <w:pPr>
      <w:spacing w:before="0" w:after="0"/>
    </w:pPr>
    <w:rPr>
      <w:rFonts w:ascii="Tahoma" w:hAnsi="Tahoma" w:cs="Tahoma"/>
      <w:sz w:val="16"/>
      <w:szCs w:val="16"/>
    </w:rPr>
  </w:style>
  <w:style w:type="character" w:customStyle="1" w:styleId="BalloonTextChar">
    <w:name w:val="Balloon Text Char"/>
    <w:basedOn w:val="DefaultParagraphFont"/>
    <w:link w:val="BalloonText"/>
    <w:rsid w:val="00B25800"/>
    <w:rPr>
      <w:rFonts w:ascii="Tahoma" w:hAnsi="Tahoma" w:cs="Tahoma"/>
      <w:sz w:val="16"/>
      <w:szCs w:val="16"/>
    </w:rPr>
  </w:style>
  <w:style w:type="character" w:styleId="FootnoteReference">
    <w:name w:val="footnote reference"/>
    <w:basedOn w:val="DefaultParagraphFont"/>
    <w:rsid w:val="005038A5"/>
    <w:rPr>
      <w:vertAlign w:val="superscript"/>
    </w:rPr>
  </w:style>
  <w:style w:type="character" w:styleId="CommentReference">
    <w:name w:val="annotation reference"/>
    <w:basedOn w:val="DefaultParagraphFont"/>
    <w:rsid w:val="00AD46BF"/>
    <w:rPr>
      <w:sz w:val="16"/>
      <w:szCs w:val="16"/>
    </w:rPr>
  </w:style>
  <w:style w:type="paragraph" w:styleId="CommentText">
    <w:name w:val="annotation text"/>
    <w:basedOn w:val="Normal"/>
    <w:link w:val="CommentTextChar"/>
    <w:rsid w:val="00AD46BF"/>
    <w:rPr>
      <w:sz w:val="20"/>
    </w:rPr>
  </w:style>
  <w:style w:type="character" w:customStyle="1" w:styleId="CommentTextChar">
    <w:name w:val="Comment Text Char"/>
    <w:basedOn w:val="DefaultParagraphFont"/>
    <w:link w:val="CommentText"/>
    <w:rsid w:val="00AD46BF"/>
  </w:style>
  <w:style w:type="paragraph" w:styleId="CommentSubject">
    <w:name w:val="annotation subject"/>
    <w:basedOn w:val="CommentText"/>
    <w:next w:val="CommentText"/>
    <w:link w:val="CommentSubjectChar"/>
    <w:rsid w:val="00AD46BF"/>
    <w:rPr>
      <w:b/>
      <w:bCs/>
    </w:rPr>
  </w:style>
  <w:style w:type="character" w:customStyle="1" w:styleId="CommentSubjectChar">
    <w:name w:val="Comment Subject Char"/>
    <w:basedOn w:val="CommentTextChar"/>
    <w:link w:val="CommentSubject"/>
    <w:rsid w:val="00AD46BF"/>
    <w:rPr>
      <w:b/>
      <w:bCs/>
    </w:rPr>
  </w:style>
  <w:style w:type="paragraph" w:customStyle="1" w:styleId="Bullet">
    <w:name w:val="Bullet"/>
    <w:basedOn w:val="Normal"/>
    <w:rsid w:val="00723D25"/>
    <w:pPr>
      <w:numPr>
        <w:numId w:val="22"/>
      </w:numPr>
      <w:spacing w:before="280" w:after="200"/>
    </w:pPr>
    <w:rPr>
      <w:sz w:val="24"/>
    </w:rPr>
  </w:style>
  <w:style w:type="character" w:customStyle="1" w:styleId="DashChar">
    <w:name w:val="Dash Char"/>
    <w:basedOn w:val="DefaultParagraphFont"/>
    <w:link w:val="Dash"/>
    <w:locked/>
    <w:rsid w:val="00723D25"/>
    <w:rPr>
      <w:sz w:val="24"/>
    </w:rPr>
  </w:style>
  <w:style w:type="paragraph" w:customStyle="1" w:styleId="Dash">
    <w:name w:val="Dash"/>
    <w:basedOn w:val="Normal"/>
    <w:link w:val="DashChar"/>
    <w:rsid w:val="00723D25"/>
    <w:pPr>
      <w:numPr>
        <w:ilvl w:val="1"/>
        <w:numId w:val="22"/>
      </w:numPr>
      <w:spacing w:before="0" w:after="200"/>
    </w:pPr>
    <w:rPr>
      <w:sz w:val="24"/>
    </w:rPr>
  </w:style>
  <w:style w:type="paragraph" w:customStyle="1" w:styleId="DoubleDot">
    <w:name w:val="Double Dot"/>
    <w:basedOn w:val="Normal"/>
    <w:rsid w:val="00723D25"/>
    <w:pPr>
      <w:numPr>
        <w:ilvl w:val="2"/>
        <w:numId w:val="22"/>
      </w:numPr>
      <w:spacing w:before="0" w:after="200"/>
    </w:pPr>
    <w:rPr>
      <w:sz w:val="24"/>
    </w:rPr>
  </w:style>
  <w:style w:type="paragraph" w:styleId="Revision">
    <w:name w:val="Revision"/>
    <w:hidden/>
    <w:uiPriority w:val="99"/>
    <w:semiHidden/>
    <w:rsid w:val="007435E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4"/>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4"/>
      </w:numPr>
      <w:tabs>
        <w:tab w:val="num" w:pos="360"/>
      </w:tabs>
    </w:pPr>
    <w:rPr>
      <w:i w:val="0"/>
    </w:rPr>
  </w:style>
  <w:style w:type="paragraph" w:customStyle="1" w:styleId="base-text-paragraph">
    <w:name w:val="base-text-paragraph"/>
    <w:basedOn w:val="Normal"/>
    <w:link w:val="base-text-paragraphChar"/>
    <w:rsid w:val="00D85BEA"/>
    <w:pPr>
      <w:numPr>
        <w:ilvl w:val="1"/>
        <w:numId w:val="24"/>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4"/>
      </w:numPr>
      <w:tabs>
        <w:tab w:val="num" w:pos="360"/>
      </w:tabs>
      <w:ind w:left="0"/>
    </w:pPr>
    <w:rPr>
      <w:b/>
    </w:rPr>
  </w:style>
  <w:style w:type="paragraph" w:customStyle="1" w:styleId="Diagram">
    <w:name w:val="Diagram"/>
    <w:basedOn w:val="Normal"/>
    <w:next w:val="base-text-paragraphnonumbers"/>
    <w:rsid w:val="0036787F"/>
    <w:pPr>
      <w:keepNext/>
      <w:numPr>
        <w:ilvl w:val="2"/>
        <w:numId w:val="24"/>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semiHidden/>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25800"/>
    <w:pPr>
      <w:spacing w:before="0" w:after="0"/>
    </w:pPr>
    <w:rPr>
      <w:rFonts w:ascii="Tahoma" w:hAnsi="Tahoma" w:cs="Tahoma"/>
      <w:sz w:val="16"/>
      <w:szCs w:val="16"/>
    </w:rPr>
  </w:style>
  <w:style w:type="character" w:customStyle="1" w:styleId="BalloonTextChar">
    <w:name w:val="Balloon Text Char"/>
    <w:basedOn w:val="DefaultParagraphFont"/>
    <w:link w:val="BalloonText"/>
    <w:rsid w:val="00B25800"/>
    <w:rPr>
      <w:rFonts w:ascii="Tahoma" w:hAnsi="Tahoma" w:cs="Tahoma"/>
      <w:sz w:val="16"/>
      <w:szCs w:val="16"/>
    </w:rPr>
  </w:style>
  <w:style w:type="character" w:styleId="FootnoteReference">
    <w:name w:val="footnote reference"/>
    <w:basedOn w:val="DefaultParagraphFont"/>
    <w:rsid w:val="005038A5"/>
    <w:rPr>
      <w:vertAlign w:val="superscript"/>
    </w:rPr>
  </w:style>
  <w:style w:type="character" w:styleId="CommentReference">
    <w:name w:val="annotation reference"/>
    <w:basedOn w:val="DefaultParagraphFont"/>
    <w:rsid w:val="00AD46BF"/>
    <w:rPr>
      <w:sz w:val="16"/>
      <w:szCs w:val="16"/>
    </w:rPr>
  </w:style>
  <w:style w:type="paragraph" w:styleId="CommentText">
    <w:name w:val="annotation text"/>
    <w:basedOn w:val="Normal"/>
    <w:link w:val="CommentTextChar"/>
    <w:rsid w:val="00AD46BF"/>
    <w:rPr>
      <w:sz w:val="20"/>
    </w:rPr>
  </w:style>
  <w:style w:type="character" w:customStyle="1" w:styleId="CommentTextChar">
    <w:name w:val="Comment Text Char"/>
    <w:basedOn w:val="DefaultParagraphFont"/>
    <w:link w:val="CommentText"/>
    <w:rsid w:val="00AD46BF"/>
  </w:style>
  <w:style w:type="paragraph" w:styleId="CommentSubject">
    <w:name w:val="annotation subject"/>
    <w:basedOn w:val="CommentText"/>
    <w:next w:val="CommentText"/>
    <w:link w:val="CommentSubjectChar"/>
    <w:rsid w:val="00AD46BF"/>
    <w:rPr>
      <w:b/>
      <w:bCs/>
    </w:rPr>
  </w:style>
  <w:style w:type="character" w:customStyle="1" w:styleId="CommentSubjectChar">
    <w:name w:val="Comment Subject Char"/>
    <w:basedOn w:val="CommentTextChar"/>
    <w:link w:val="CommentSubject"/>
    <w:rsid w:val="00AD46BF"/>
    <w:rPr>
      <w:b/>
      <w:bCs/>
    </w:rPr>
  </w:style>
  <w:style w:type="paragraph" w:customStyle="1" w:styleId="Bullet">
    <w:name w:val="Bullet"/>
    <w:basedOn w:val="Normal"/>
    <w:rsid w:val="00723D25"/>
    <w:pPr>
      <w:numPr>
        <w:numId w:val="22"/>
      </w:numPr>
      <w:spacing w:before="280" w:after="200"/>
    </w:pPr>
    <w:rPr>
      <w:sz w:val="24"/>
    </w:rPr>
  </w:style>
  <w:style w:type="character" w:customStyle="1" w:styleId="DashChar">
    <w:name w:val="Dash Char"/>
    <w:basedOn w:val="DefaultParagraphFont"/>
    <w:link w:val="Dash"/>
    <w:locked/>
    <w:rsid w:val="00723D25"/>
    <w:rPr>
      <w:sz w:val="24"/>
    </w:rPr>
  </w:style>
  <w:style w:type="paragraph" w:customStyle="1" w:styleId="Dash">
    <w:name w:val="Dash"/>
    <w:basedOn w:val="Normal"/>
    <w:link w:val="DashChar"/>
    <w:rsid w:val="00723D25"/>
    <w:pPr>
      <w:numPr>
        <w:ilvl w:val="1"/>
        <w:numId w:val="22"/>
      </w:numPr>
      <w:spacing w:before="0" w:after="200"/>
    </w:pPr>
    <w:rPr>
      <w:sz w:val="24"/>
    </w:rPr>
  </w:style>
  <w:style w:type="paragraph" w:customStyle="1" w:styleId="DoubleDot">
    <w:name w:val="Double Dot"/>
    <w:basedOn w:val="Normal"/>
    <w:rsid w:val="00723D25"/>
    <w:pPr>
      <w:numPr>
        <w:ilvl w:val="2"/>
        <w:numId w:val="22"/>
      </w:numPr>
      <w:spacing w:before="0" w:after="200"/>
    </w:pPr>
    <w:rPr>
      <w:sz w:val="24"/>
    </w:rPr>
  </w:style>
  <w:style w:type="paragraph" w:styleId="Revision">
    <w:name w:val="Revision"/>
    <w:hidden/>
    <w:uiPriority w:val="99"/>
    <w:semiHidden/>
    <w:rsid w:val="007435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7096">
      <w:bodyDiv w:val="1"/>
      <w:marLeft w:val="0"/>
      <w:marRight w:val="0"/>
      <w:marTop w:val="0"/>
      <w:marBottom w:val="0"/>
      <w:divBdr>
        <w:top w:val="none" w:sz="0" w:space="0" w:color="auto"/>
        <w:left w:val="none" w:sz="0" w:space="0" w:color="auto"/>
        <w:bottom w:val="none" w:sz="0" w:space="0" w:color="auto"/>
        <w:right w:val="none" w:sz="0" w:space="0" w:color="auto"/>
      </w:divBdr>
    </w:div>
    <w:div w:id="170678805">
      <w:bodyDiv w:val="1"/>
      <w:marLeft w:val="0"/>
      <w:marRight w:val="0"/>
      <w:marTop w:val="0"/>
      <w:marBottom w:val="0"/>
      <w:divBdr>
        <w:top w:val="none" w:sz="0" w:space="0" w:color="auto"/>
        <w:left w:val="none" w:sz="0" w:space="0" w:color="auto"/>
        <w:bottom w:val="none" w:sz="0" w:space="0" w:color="auto"/>
        <w:right w:val="none" w:sz="0" w:space="0" w:color="auto"/>
      </w:divBdr>
    </w:div>
    <w:div w:id="318046757">
      <w:bodyDiv w:val="1"/>
      <w:marLeft w:val="0"/>
      <w:marRight w:val="0"/>
      <w:marTop w:val="0"/>
      <w:marBottom w:val="0"/>
      <w:divBdr>
        <w:top w:val="none" w:sz="0" w:space="0" w:color="auto"/>
        <w:left w:val="none" w:sz="0" w:space="0" w:color="auto"/>
        <w:bottom w:val="none" w:sz="0" w:space="0" w:color="auto"/>
        <w:right w:val="none" w:sz="0" w:space="0" w:color="auto"/>
      </w:divBdr>
    </w:div>
    <w:div w:id="416288058">
      <w:bodyDiv w:val="1"/>
      <w:marLeft w:val="0"/>
      <w:marRight w:val="0"/>
      <w:marTop w:val="0"/>
      <w:marBottom w:val="0"/>
      <w:divBdr>
        <w:top w:val="none" w:sz="0" w:space="0" w:color="auto"/>
        <w:left w:val="none" w:sz="0" w:space="0" w:color="auto"/>
        <w:bottom w:val="none" w:sz="0" w:space="0" w:color="auto"/>
        <w:right w:val="none" w:sz="0" w:space="0" w:color="auto"/>
      </w:divBdr>
    </w:div>
    <w:div w:id="533888851">
      <w:bodyDiv w:val="1"/>
      <w:marLeft w:val="0"/>
      <w:marRight w:val="0"/>
      <w:marTop w:val="0"/>
      <w:marBottom w:val="0"/>
      <w:divBdr>
        <w:top w:val="none" w:sz="0" w:space="0" w:color="auto"/>
        <w:left w:val="none" w:sz="0" w:space="0" w:color="auto"/>
        <w:bottom w:val="none" w:sz="0" w:space="0" w:color="auto"/>
        <w:right w:val="none" w:sz="0" w:space="0" w:color="auto"/>
      </w:divBdr>
    </w:div>
    <w:div w:id="685181819">
      <w:bodyDiv w:val="1"/>
      <w:marLeft w:val="0"/>
      <w:marRight w:val="0"/>
      <w:marTop w:val="0"/>
      <w:marBottom w:val="0"/>
      <w:divBdr>
        <w:top w:val="none" w:sz="0" w:space="0" w:color="auto"/>
        <w:left w:val="none" w:sz="0" w:space="0" w:color="auto"/>
        <w:bottom w:val="none" w:sz="0" w:space="0" w:color="auto"/>
        <w:right w:val="none" w:sz="0" w:space="0" w:color="auto"/>
      </w:divBdr>
      <w:divsChild>
        <w:div w:id="536699455">
          <w:marLeft w:val="0"/>
          <w:marRight w:val="0"/>
          <w:marTop w:val="0"/>
          <w:marBottom w:val="0"/>
          <w:divBdr>
            <w:top w:val="none" w:sz="0" w:space="0" w:color="auto"/>
            <w:left w:val="none" w:sz="0" w:space="0" w:color="auto"/>
            <w:bottom w:val="none" w:sz="0" w:space="0" w:color="auto"/>
            <w:right w:val="none" w:sz="0" w:space="0" w:color="auto"/>
          </w:divBdr>
          <w:divsChild>
            <w:div w:id="907375792">
              <w:marLeft w:val="0"/>
              <w:marRight w:val="0"/>
              <w:marTop w:val="0"/>
              <w:marBottom w:val="0"/>
              <w:divBdr>
                <w:top w:val="none" w:sz="0" w:space="0" w:color="auto"/>
                <w:left w:val="none" w:sz="0" w:space="0" w:color="auto"/>
                <w:bottom w:val="none" w:sz="0" w:space="0" w:color="auto"/>
                <w:right w:val="none" w:sz="0" w:space="0" w:color="auto"/>
              </w:divBdr>
              <w:divsChild>
                <w:div w:id="1257328947">
                  <w:marLeft w:val="0"/>
                  <w:marRight w:val="0"/>
                  <w:marTop w:val="0"/>
                  <w:marBottom w:val="0"/>
                  <w:divBdr>
                    <w:top w:val="none" w:sz="0" w:space="0" w:color="auto"/>
                    <w:left w:val="none" w:sz="0" w:space="0" w:color="auto"/>
                    <w:bottom w:val="none" w:sz="0" w:space="0" w:color="auto"/>
                    <w:right w:val="none" w:sz="0" w:space="0" w:color="auto"/>
                  </w:divBdr>
                  <w:divsChild>
                    <w:div w:id="176777342">
                      <w:marLeft w:val="0"/>
                      <w:marRight w:val="0"/>
                      <w:marTop w:val="0"/>
                      <w:marBottom w:val="0"/>
                      <w:divBdr>
                        <w:top w:val="none" w:sz="0" w:space="0" w:color="auto"/>
                        <w:left w:val="none" w:sz="0" w:space="0" w:color="auto"/>
                        <w:bottom w:val="none" w:sz="0" w:space="0" w:color="auto"/>
                        <w:right w:val="none" w:sz="0" w:space="0" w:color="auto"/>
                      </w:divBdr>
                      <w:divsChild>
                        <w:div w:id="1822117447">
                          <w:marLeft w:val="0"/>
                          <w:marRight w:val="0"/>
                          <w:marTop w:val="0"/>
                          <w:marBottom w:val="0"/>
                          <w:divBdr>
                            <w:top w:val="none" w:sz="0" w:space="0" w:color="auto"/>
                            <w:left w:val="none" w:sz="0" w:space="0" w:color="auto"/>
                            <w:bottom w:val="none" w:sz="0" w:space="0" w:color="auto"/>
                            <w:right w:val="none" w:sz="0" w:space="0" w:color="auto"/>
                          </w:divBdr>
                          <w:divsChild>
                            <w:div w:id="243151485">
                              <w:marLeft w:val="0"/>
                              <w:marRight w:val="0"/>
                              <w:marTop w:val="0"/>
                              <w:marBottom w:val="0"/>
                              <w:divBdr>
                                <w:top w:val="none" w:sz="0" w:space="0" w:color="auto"/>
                                <w:left w:val="none" w:sz="0" w:space="0" w:color="auto"/>
                                <w:bottom w:val="none" w:sz="0" w:space="0" w:color="auto"/>
                                <w:right w:val="none" w:sz="0" w:space="0" w:color="auto"/>
                              </w:divBdr>
                              <w:divsChild>
                                <w:div w:id="1077361345">
                                  <w:marLeft w:val="-225"/>
                                  <w:marRight w:val="-225"/>
                                  <w:marTop w:val="0"/>
                                  <w:marBottom w:val="0"/>
                                  <w:divBdr>
                                    <w:top w:val="none" w:sz="0" w:space="0" w:color="auto"/>
                                    <w:left w:val="none" w:sz="0" w:space="0" w:color="auto"/>
                                    <w:bottom w:val="none" w:sz="0" w:space="0" w:color="auto"/>
                                    <w:right w:val="none" w:sz="0" w:space="0" w:color="auto"/>
                                  </w:divBdr>
                                  <w:divsChild>
                                    <w:div w:id="989485641">
                                      <w:marLeft w:val="0"/>
                                      <w:marRight w:val="0"/>
                                      <w:marTop w:val="0"/>
                                      <w:marBottom w:val="0"/>
                                      <w:divBdr>
                                        <w:top w:val="none" w:sz="0" w:space="0" w:color="auto"/>
                                        <w:left w:val="none" w:sz="0" w:space="0" w:color="auto"/>
                                        <w:bottom w:val="none" w:sz="0" w:space="0" w:color="auto"/>
                                        <w:right w:val="none" w:sz="0" w:space="0" w:color="auto"/>
                                      </w:divBdr>
                                      <w:divsChild>
                                        <w:div w:id="1195731139">
                                          <w:marLeft w:val="0"/>
                                          <w:marRight w:val="0"/>
                                          <w:marTop w:val="0"/>
                                          <w:marBottom w:val="0"/>
                                          <w:divBdr>
                                            <w:top w:val="none" w:sz="0" w:space="0" w:color="auto"/>
                                            <w:left w:val="none" w:sz="0" w:space="0" w:color="auto"/>
                                            <w:bottom w:val="none" w:sz="0" w:space="0" w:color="auto"/>
                                            <w:right w:val="none" w:sz="0" w:space="0" w:color="auto"/>
                                          </w:divBdr>
                                          <w:divsChild>
                                            <w:div w:id="14108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920696">
      <w:bodyDiv w:val="1"/>
      <w:marLeft w:val="0"/>
      <w:marRight w:val="0"/>
      <w:marTop w:val="0"/>
      <w:marBottom w:val="0"/>
      <w:divBdr>
        <w:top w:val="none" w:sz="0" w:space="0" w:color="auto"/>
        <w:left w:val="none" w:sz="0" w:space="0" w:color="auto"/>
        <w:bottom w:val="none" w:sz="0" w:space="0" w:color="auto"/>
        <w:right w:val="none" w:sz="0" w:space="0" w:color="auto"/>
      </w:divBdr>
    </w:div>
    <w:div w:id="1632443465">
      <w:bodyDiv w:val="1"/>
      <w:marLeft w:val="30"/>
      <w:marRight w:val="30"/>
      <w:marTop w:val="0"/>
      <w:marBottom w:val="0"/>
      <w:divBdr>
        <w:top w:val="none" w:sz="0" w:space="0" w:color="auto"/>
        <w:left w:val="none" w:sz="0" w:space="0" w:color="auto"/>
        <w:bottom w:val="none" w:sz="0" w:space="0" w:color="auto"/>
        <w:right w:val="none" w:sz="0" w:space="0" w:color="auto"/>
      </w:divBdr>
      <w:divsChild>
        <w:div w:id="2100442488">
          <w:marLeft w:val="0"/>
          <w:marRight w:val="0"/>
          <w:marTop w:val="0"/>
          <w:marBottom w:val="0"/>
          <w:divBdr>
            <w:top w:val="none" w:sz="0" w:space="0" w:color="auto"/>
            <w:left w:val="none" w:sz="0" w:space="0" w:color="auto"/>
            <w:bottom w:val="none" w:sz="0" w:space="0" w:color="auto"/>
            <w:right w:val="none" w:sz="0" w:space="0" w:color="auto"/>
          </w:divBdr>
          <w:divsChild>
            <w:div w:id="978147718">
              <w:marLeft w:val="0"/>
              <w:marRight w:val="0"/>
              <w:marTop w:val="0"/>
              <w:marBottom w:val="0"/>
              <w:divBdr>
                <w:top w:val="none" w:sz="0" w:space="0" w:color="auto"/>
                <w:left w:val="none" w:sz="0" w:space="0" w:color="auto"/>
                <w:bottom w:val="none" w:sz="0" w:space="0" w:color="auto"/>
                <w:right w:val="none" w:sz="0" w:space="0" w:color="auto"/>
              </w:divBdr>
              <w:divsChild>
                <w:div w:id="454639742">
                  <w:marLeft w:val="180"/>
                  <w:marRight w:val="0"/>
                  <w:marTop w:val="0"/>
                  <w:marBottom w:val="0"/>
                  <w:divBdr>
                    <w:top w:val="none" w:sz="0" w:space="0" w:color="auto"/>
                    <w:left w:val="none" w:sz="0" w:space="0" w:color="auto"/>
                    <w:bottom w:val="none" w:sz="0" w:space="0" w:color="auto"/>
                    <w:right w:val="none" w:sz="0" w:space="0" w:color="auto"/>
                  </w:divBdr>
                  <w:divsChild>
                    <w:div w:id="2127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631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image" Target="media/image2.png"/><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E470B666EC05A4393A1E2F77EF10187" ma:contentTypeVersion="7742" ma:contentTypeDescription=" " ma:contentTypeScope="" ma:versionID="8c32fabed3d9282150aab585674ef739">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2f58bb8f2da60fa339209642b474d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9f7bc583-7cbe-45b9-a2bd-8bbb6543b37e">2017RG-93-11566</_dlc_DocId>
    <TaxCatchAll xmlns="9f7bc583-7cbe-45b9-a2bd-8bbb6543b37e">
      <Value>24</Value>
    </TaxCatchAll>
    <_dlc_DocIdUrl xmlns="9f7bc583-7cbe-45b9-a2bd-8bbb6543b37e">
      <Url>http://tweb/sites/rg/citd/_layouts/15/DocIdRedir.aspx?ID=2017RG-93-11566</Url>
      <Description>2017RG-93-11566</Description>
    </_dlc_DocIdUrl>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876B-B001-4856-9690-6CABCEB7EC33}">
  <ds:schemaRefs>
    <ds:schemaRef ds:uri="http://schemas.microsoft.com/sharepoint/v3/contenttype/forms"/>
  </ds:schemaRefs>
</ds:datastoreItem>
</file>

<file path=customXml/itemProps2.xml><?xml version="1.0" encoding="utf-8"?>
<ds:datastoreItem xmlns:ds="http://schemas.openxmlformats.org/officeDocument/2006/customXml" ds:itemID="{7CC681B7-E624-43D7-9801-440B27CEDDDC}"/>
</file>

<file path=customXml/itemProps3.xml><?xml version="1.0" encoding="utf-8"?>
<ds:datastoreItem xmlns:ds="http://schemas.openxmlformats.org/officeDocument/2006/customXml" ds:itemID="{88AB91D0-1EE8-41DC-BD2B-E8F89A164FE0}">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9f7bc583-7cbe-45b9-a2bd-8bbb6543b37e"/>
    <ds:schemaRef ds:uri="http://schemas.microsoft.com/office/infopath/2007/PartnerControls"/>
    <ds:schemaRef ds:uri="http://schemas.openxmlformats.org/package/2006/metadata/core-properties"/>
    <ds:schemaRef ds:uri="http://schemas.microsoft.com/sharepoint/v4"/>
    <ds:schemaRef ds:uri="507a8a59-704d-43cf-b103-02b0cd527a9d"/>
    <ds:schemaRef ds:uri="http://schemas.microsoft.com/sharepoint/v3"/>
    <ds:schemaRef ds:uri="http://purl.org/dc/terms/"/>
  </ds:schemaRefs>
</ds:datastoreItem>
</file>

<file path=customXml/itemProps4.xml><?xml version="1.0" encoding="utf-8"?>
<ds:datastoreItem xmlns:ds="http://schemas.openxmlformats.org/officeDocument/2006/customXml" ds:itemID="{8F83B3D1-6440-4BA3-9749-007B14B27327}">
  <ds:schemaRefs>
    <ds:schemaRef ds:uri="office.server.policy"/>
  </ds:schemaRefs>
</ds:datastoreItem>
</file>

<file path=customXml/itemProps5.xml><?xml version="1.0" encoding="utf-8"?>
<ds:datastoreItem xmlns:ds="http://schemas.openxmlformats.org/officeDocument/2006/customXml" ds:itemID="{AA805000-8D7A-4F61-B788-939E6D13845D}"/>
</file>

<file path=customXml/itemProps6.xml><?xml version="1.0" encoding="utf-8"?>
<ds:datastoreItem xmlns:ds="http://schemas.openxmlformats.org/officeDocument/2006/customXml" ds:itemID="{450E794B-CC21-444B-89C7-B3506955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1434</TotalTime>
  <Pages>40</Pages>
  <Words>9533</Words>
  <Characters>54340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63746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Beresford, Laurel</dc:creator>
  <cp:lastModifiedBy>Li, Simon</cp:lastModifiedBy>
  <cp:revision>204</cp:revision>
  <cp:lastPrinted>2017-12-14T06:30:00Z</cp:lastPrinted>
  <dcterms:created xsi:type="dcterms:W3CDTF">2017-12-11T10:34:00Z</dcterms:created>
  <dcterms:modified xsi:type="dcterms:W3CDTF">2017-12-19T05:29:00Z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0x01010036BB8DE7EC542E42A8B2E98CC20CB697001E470B666EC05A4393A1E2F77EF10187</vt:lpwstr>
  </property>
  <property fmtid="{D5CDD505-2E9C-101B-9397-08002B2CF9AE}" pid="3" name="TSYRecordClass">
    <vt:lpwstr>24;#TSY RA-9072 - Retain as national archives|d71911a4-1e32-4fc6-834f-26c4fc33e217</vt:lpwstr>
  </property>
  <property fmtid="{D5CDD505-2E9C-101B-9397-08002B2CF9AE}" pid="4" name="_dlc_DocIdItemGuid">
    <vt:lpwstr>30d46d6e-6c60-4ee3-8a1c-4771ea1e4584</vt:lpwstr>
  </property>
  <property fmtid="{D5CDD505-2E9C-101B-9397-08002B2CF9AE}" pid="5" name="RecordPoint_WorkflowType">
    <vt:lpwstr>ActiveSubmitStub</vt:lpwstr>
  </property>
  <property fmtid="{D5CDD505-2E9C-101B-9397-08002B2CF9AE}" pid="6" name="RecordPoint_ActiveItemListId">
    <vt:lpwstr>{507a8a59-704d-43cf-b103-02b0cd527a9d}</vt:lpwstr>
  </property>
  <property fmtid="{D5CDD505-2E9C-101B-9397-08002B2CF9AE}" pid="7" name="RecordPoint_ActiveItemUniqueId">
    <vt:lpwstr>{44f3fd0b-e2a9-463f-aab0-f83f56767b66}</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R0001520109</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2017-12-19T11:16:00.0637604+11:00</vt:lpwstr>
  </property>
  <property fmtid="{D5CDD505-2E9C-101B-9397-08002B2CF9AE}" pid="15" name="_AdHocReviewCycleID">
    <vt:i4>-386701759</vt:i4>
  </property>
  <property fmtid="{D5CDD505-2E9C-101B-9397-08002B2CF9AE}" pid="16" name="_NewReviewCycle">
    <vt:lpwstr/>
  </property>
  <property fmtid="{D5CDD505-2E9C-101B-9397-08002B2CF9AE}" pid="17" name="_EmailSubject">
    <vt:lpwstr>Updated CCIVs EM</vt:lpwstr>
  </property>
  <property fmtid="{D5CDD505-2E9C-101B-9397-08002B2CF9AE}" pid="18" name="_AuthorEmail">
    <vt:lpwstr>Simon.Li@treasury.gov.au</vt:lpwstr>
  </property>
  <property fmtid="{D5CDD505-2E9C-101B-9397-08002B2CF9AE}" pid="19" name="_AuthorEmailDisplayName">
    <vt:lpwstr>Li, Simon</vt:lpwstr>
  </property>
</Properties>
</file>