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E2DAC" w14:textId="77777777" w:rsidR="00F109D4" w:rsidRPr="00647BB7" w:rsidRDefault="00F109D4" w:rsidP="00647BB7">
      <w:pPr>
        <w:pStyle w:val="Heading1"/>
        <w:spacing w:after="360"/>
        <w:rPr>
          <w:rFonts w:ascii="Times New Roman" w:hAnsi="Times New Roman"/>
          <w:u w:val="none"/>
        </w:rPr>
      </w:pPr>
      <w:bookmarkStart w:id="0" w:name="_GoBack"/>
      <w:bookmarkEnd w:id="0"/>
      <w:r w:rsidRPr="00647BB7">
        <w:rPr>
          <w:rFonts w:ascii="Times New Roman" w:hAnsi="Times New Roman"/>
          <w:u w:val="none"/>
        </w:rPr>
        <w:t>EXPLANATORY STATEMENT</w:t>
      </w:r>
    </w:p>
    <w:p w14:paraId="693AC47F" w14:textId="7C128154" w:rsidR="007662C7" w:rsidRPr="003E1CE3" w:rsidRDefault="00F109D4" w:rsidP="003E1CE3">
      <w:pPr>
        <w:pStyle w:val="Heading2"/>
        <w:jc w:val="center"/>
      </w:pPr>
      <w:r w:rsidRPr="00503E44">
        <w:t xml:space="preserve">Issued by authority of the </w:t>
      </w:r>
      <w:r w:rsidR="000C56F2">
        <w:t>Treasurer</w:t>
      </w:r>
    </w:p>
    <w:p w14:paraId="0E913201" w14:textId="12F4D94C" w:rsidR="00F109D4" w:rsidRPr="00503E44" w:rsidRDefault="00F7601B" w:rsidP="00AA1689">
      <w:pPr>
        <w:spacing w:before="0" w:after="240"/>
        <w:jc w:val="center"/>
        <w:rPr>
          <w:i/>
        </w:rPr>
      </w:pPr>
      <w:r>
        <w:rPr>
          <w:i/>
        </w:rPr>
        <w:t>Corporations Act 2001</w:t>
      </w:r>
    </w:p>
    <w:p w14:paraId="73381020" w14:textId="0155CF94" w:rsidR="00F109D4" w:rsidRPr="00503E44" w:rsidRDefault="000C56F2" w:rsidP="00AA1689">
      <w:pPr>
        <w:tabs>
          <w:tab w:val="left" w:pos="1418"/>
        </w:tabs>
        <w:spacing w:before="0" w:after="240"/>
        <w:jc w:val="center"/>
        <w:rPr>
          <w:i/>
        </w:rPr>
      </w:pPr>
      <w:r>
        <w:rPr>
          <w:i/>
        </w:rPr>
        <w:t>Corporations</w:t>
      </w:r>
      <w:r w:rsidR="00FE5441">
        <w:rPr>
          <w:i/>
        </w:rPr>
        <w:t xml:space="preserve"> </w:t>
      </w:r>
      <w:r w:rsidR="00FE5441" w:rsidRPr="00F65AD8">
        <w:rPr>
          <w:i/>
        </w:rPr>
        <w:t>Amendment</w:t>
      </w:r>
      <w:r w:rsidRPr="00F65AD8">
        <w:rPr>
          <w:i/>
        </w:rPr>
        <w:t xml:space="preserve"> (</w:t>
      </w:r>
      <w:r w:rsidR="00FE5441" w:rsidRPr="00F65AD8">
        <w:rPr>
          <w:i/>
        </w:rPr>
        <w:t xml:space="preserve">Crowd-sourced </w:t>
      </w:r>
      <w:r w:rsidR="007D2122" w:rsidRPr="00F65AD8">
        <w:rPr>
          <w:i/>
        </w:rPr>
        <w:t>F</w:t>
      </w:r>
      <w:r w:rsidR="00FE5441" w:rsidRPr="00F65AD8">
        <w:rPr>
          <w:i/>
        </w:rPr>
        <w:t>unding</w:t>
      </w:r>
      <w:r w:rsidRPr="00F65AD8">
        <w:rPr>
          <w:i/>
        </w:rPr>
        <w:t>)</w:t>
      </w:r>
      <w:r>
        <w:rPr>
          <w:i/>
        </w:rPr>
        <w:t xml:space="preserve"> Regulations </w:t>
      </w:r>
      <w:r w:rsidR="00F55D43">
        <w:rPr>
          <w:i/>
        </w:rPr>
        <w:t>2018</w:t>
      </w:r>
    </w:p>
    <w:p w14:paraId="48CF8B91" w14:textId="7BB4C883" w:rsidR="00F109D4" w:rsidRDefault="00C55D29" w:rsidP="00647BB7">
      <w:pPr>
        <w:spacing w:before="240"/>
      </w:pPr>
      <w:r w:rsidRPr="00503E44">
        <w:t xml:space="preserve">Section </w:t>
      </w:r>
      <w:r w:rsidR="00F7601B">
        <w:t>1364</w:t>
      </w:r>
      <w:r w:rsidR="005E4BAC">
        <w:t xml:space="preserve"> </w:t>
      </w:r>
      <w:r w:rsidR="00F109D4" w:rsidRPr="00503E44">
        <w:t xml:space="preserve">of the </w:t>
      </w:r>
      <w:r w:rsidR="00F7601B" w:rsidRPr="00F7601B">
        <w:rPr>
          <w:i/>
        </w:rPr>
        <w:t>Corporations Act 2001</w:t>
      </w:r>
      <w:r w:rsidR="00F109D4" w:rsidRPr="00503E44">
        <w:t xml:space="preserve"> (the Act) provides that the Governor</w:t>
      </w:r>
      <w:r w:rsidR="00BD551E">
        <w:noBreakHyphen/>
      </w:r>
      <w:r w:rsidR="00F109D4" w:rsidRPr="00503E44">
        <w:t>General may make regulations prescribing matters required or permitted by the Act to be prescribed, or necessary or convenient to be prescribed for carrying out or giving effect to the Act.</w:t>
      </w:r>
    </w:p>
    <w:p w14:paraId="586DCF42" w14:textId="441A82C7" w:rsidR="00F52B5E" w:rsidRDefault="002C3EEA" w:rsidP="00647BB7">
      <w:pPr>
        <w:spacing w:before="240"/>
      </w:pPr>
      <w:r>
        <w:t>The</w:t>
      </w:r>
      <w:r w:rsidR="00F52B5E">
        <w:t xml:space="preserve"> purpose of the</w:t>
      </w:r>
      <w:r>
        <w:t xml:space="preserve"> </w:t>
      </w:r>
      <w:r w:rsidR="00FE5441" w:rsidRPr="00F65AD8">
        <w:rPr>
          <w:i/>
        </w:rPr>
        <w:t xml:space="preserve">Corporations Amendment (Crowd-sourced </w:t>
      </w:r>
      <w:r w:rsidR="007D2122" w:rsidRPr="00F65AD8">
        <w:rPr>
          <w:i/>
        </w:rPr>
        <w:t>F</w:t>
      </w:r>
      <w:r w:rsidR="00FE5441" w:rsidRPr="00F65AD8">
        <w:rPr>
          <w:i/>
        </w:rPr>
        <w:t>unding)</w:t>
      </w:r>
      <w:r w:rsidRPr="00F65AD8">
        <w:rPr>
          <w:i/>
        </w:rPr>
        <w:t xml:space="preserve"> Regulations</w:t>
      </w:r>
      <w:r w:rsidR="006B0358">
        <w:rPr>
          <w:i/>
        </w:rPr>
        <w:t> </w:t>
      </w:r>
      <w:r w:rsidR="00F55D43" w:rsidRPr="00F65AD8">
        <w:rPr>
          <w:i/>
        </w:rPr>
        <w:t>2018</w:t>
      </w:r>
      <w:r w:rsidR="00F55D43" w:rsidRPr="00F65AD8">
        <w:t xml:space="preserve"> </w:t>
      </w:r>
      <w:r w:rsidR="00F52B5E" w:rsidRPr="00F65AD8">
        <w:t xml:space="preserve">(the Regulations) is to amend the </w:t>
      </w:r>
      <w:r w:rsidR="00F52B5E" w:rsidRPr="00F65AD8">
        <w:rPr>
          <w:i/>
        </w:rPr>
        <w:t>Corporations Regulations</w:t>
      </w:r>
      <w:r w:rsidR="00F52B5E" w:rsidRPr="00F65AD8">
        <w:t xml:space="preserve"> </w:t>
      </w:r>
      <w:r w:rsidR="00F52B5E" w:rsidRPr="00F65AD8">
        <w:rPr>
          <w:i/>
        </w:rPr>
        <w:t>2001</w:t>
      </w:r>
      <w:r w:rsidR="00581108" w:rsidRPr="00F65AD8">
        <w:t xml:space="preserve"> to</w:t>
      </w:r>
      <w:r w:rsidR="00F52B5E" w:rsidRPr="00F65AD8">
        <w:t>:</w:t>
      </w:r>
    </w:p>
    <w:p w14:paraId="0165A856" w14:textId="3A743048" w:rsidR="00581108" w:rsidRDefault="00F52B5E" w:rsidP="00F52B5E">
      <w:pPr>
        <w:pStyle w:val="Bullet"/>
      </w:pPr>
      <w:r>
        <w:t xml:space="preserve">prescribe </w:t>
      </w:r>
      <w:r w:rsidR="00581108">
        <w:t>that proprietary companies with</w:t>
      </w:r>
      <w:r w:rsidR="001C0027">
        <w:t xml:space="preserve"> one or more</w:t>
      </w:r>
      <w:r w:rsidR="00581108">
        <w:t xml:space="preserve"> CSF shareholders are only exempt from the takeover rules in section 606 of the</w:t>
      </w:r>
      <w:r w:rsidR="00C05471">
        <w:t xml:space="preserve"> Act </w:t>
      </w:r>
      <w:r w:rsidR="00581108">
        <w:t xml:space="preserve">while </w:t>
      </w:r>
      <w:r w:rsidR="00C05471">
        <w:t>the company is</w:t>
      </w:r>
      <w:r w:rsidR="00581108">
        <w:t xml:space="preserve"> eligible to make a CSF offer; </w:t>
      </w:r>
    </w:p>
    <w:p w14:paraId="528AEC18" w14:textId="687FAC85" w:rsidR="00581108" w:rsidRPr="00A60368" w:rsidRDefault="00842AC3" w:rsidP="00F52B5E">
      <w:pPr>
        <w:pStyle w:val="Bullet"/>
      </w:pPr>
      <w:r>
        <w:t xml:space="preserve">modify the application of the unsolicited offer provisions in Division 5A of Part 7.9 of the Act in relation to </w:t>
      </w:r>
      <w:r w:rsidR="00AF5F7E">
        <w:t>any securities of a proprietary company</w:t>
      </w:r>
      <w:r w:rsidR="00F658E0">
        <w:t xml:space="preserve"> that is an eligible CSF company and has one or more </w:t>
      </w:r>
      <w:r w:rsidR="00AF5F7E">
        <w:t>CSF shareholder</w:t>
      </w:r>
      <w:r w:rsidR="00785142">
        <w:t>s</w:t>
      </w:r>
      <w:r w:rsidR="00F658E0">
        <w:t xml:space="preserve"> </w:t>
      </w:r>
      <w:r w:rsidR="00AF5F7E">
        <w:t xml:space="preserve">to provide greater commercial flexibility; </w:t>
      </w:r>
    </w:p>
    <w:p w14:paraId="1F069573" w14:textId="3D187439" w:rsidR="00C05471" w:rsidRDefault="00C05471" w:rsidP="00F52B5E">
      <w:pPr>
        <w:pStyle w:val="Bullet"/>
      </w:pPr>
      <w:r>
        <w:t>simplify and add flexibility to the structure and content of CSF offer documents</w:t>
      </w:r>
      <w:r w:rsidR="00B548A9">
        <w:t xml:space="preserve"> for proprietary and public companies</w:t>
      </w:r>
      <w:r>
        <w:t xml:space="preserve">; </w:t>
      </w:r>
    </w:p>
    <w:p w14:paraId="149349C3" w14:textId="264F3250" w:rsidR="000F4B62" w:rsidRDefault="00C05471" w:rsidP="00F03568">
      <w:pPr>
        <w:pStyle w:val="Bullet"/>
      </w:pPr>
      <w:r>
        <w:t>prescribe additional content requirements for CSF offer documents</w:t>
      </w:r>
      <w:r w:rsidR="000F4B62">
        <w:t xml:space="preserve"> relating </w:t>
      </w:r>
      <w:r w:rsidR="00785142">
        <w:t xml:space="preserve">to </w:t>
      </w:r>
      <w:r w:rsidR="000F4B62">
        <w:t>proprietary companies; and</w:t>
      </w:r>
    </w:p>
    <w:p w14:paraId="00C7F0DB" w14:textId="6FF588F3" w:rsidR="005E33BA" w:rsidRDefault="00D53638" w:rsidP="00F03568">
      <w:pPr>
        <w:pStyle w:val="Bullet"/>
      </w:pPr>
      <w:r>
        <w:t>r</w:t>
      </w:r>
      <w:r w:rsidR="000F4B62">
        <w:t>equire CSF intermediaries to check identification documents for all the directors</w:t>
      </w:r>
      <w:r w:rsidR="001C0027">
        <w:t xml:space="preserve"> and senior managers</w:t>
      </w:r>
      <w:r w:rsidR="000F4B62">
        <w:t xml:space="preserve"> of </w:t>
      </w:r>
      <w:r w:rsidR="00B548A9">
        <w:t>proprietary and public companies</w:t>
      </w:r>
      <w:r w:rsidR="000F4B62">
        <w:t xml:space="preserve"> making</w:t>
      </w:r>
      <w:r w:rsidR="0039665D">
        <w:t xml:space="preserve"> CSF offer</w:t>
      </w:r>
      <w:r w:rsidR="00B548A9">
        <w:t>s</w:t>
      </w:r>
      <w:r w:rsidR="000F4B62">
        <w:t xml:space="preserve">. </w:t>
      </w:r>
    </w:p>
    <w:p w14:paraId="513325A5" w14:textId="2295FD08" w:rsidR="000A7FDF" w:rsidRDefault="000A7FDF" w:rsidP="000A7FDF">
      <w:pPr>
        <w:pStyle w:val="Bullet"/>
        <w:numPr>
          <w:ilvl w:val="0"/>
          <w:numId w:val="0"/>
        </w:numPr>
      </w:pPr>
      <w:r>
        <w:t xml:space="preserve">Details of the Regulations are set out in </w:t>
      </w:r>
      <w:r w:rsidRPr="003931E3">
        <w:rPr>
          <w:u w:val="single"/>
        </w:rPr>
        <w:t>Attachment</w:t>
      </w:r>
      <w:r>
        <w:rPr>
          <w:u w:val="single"/>
        </w:rPr>
        <w:t xml:space="preserve"> A</w:t>
      </w:r>
      <w:r>
        <w:t xml:space="preserve">. </w:t>
      </w:r>
    </w:p>
    <w:p w14:paraId="58E0ECD6" w14:textId="77777777" w:rsidR="000A7FDF" w:rsidRDefault="00824D9E" w:rsidP="000A7FDF">
      <w:pPr>
        <w:pStyle w:val="Bullet"/>
        <w:numPr>
          <w:ilvl w:val="0"/>
          <w:numId w:val="0"/>
        </w:numPr>
      </w:pPr>
      <w:r>
        <w:t xml:space="preserve">The Regulations are a legislative instrument for the purposes of the </w:t>
      </w:r>
      <w:r w:rsidRPr="005E33BA">
        <w:rPr>
          <w:i/>
        </w:rPr>
        <w:t>Legislation Act 2003</w:t>
      </w:r>
      <w:r>
        <w:t>.</w:t>
      </w:r>
    </w:p>
    <w:p w14:paraId="73D8223B" w14:textId="60D5D047" w:rsidR="000A7FDF" w:rsidRDefault="000A7FDF" w:rsidP="000A7FDF">
      <w:pPr>
        <w:pStyle w:val="Bullet"/>
        <w:numPr>
          <w:ilvl w:val="0"/>
          <w:numId w:val="0"/>
        </w:numPr>
      </w:pPr>
      <w:r w:rsidRPr="00503E44">
        <w:t>The Regulations c</w:t>
      </w:r>
      <w:r>
        <w:t>ommence</w:t>
      </w:r>
      <w:r w:rsidRPr="00503E44">
        <w:t xml:space="preserve"> </w:t>
      </w:r>
      <w:r>
        <w:t xml:space="preserve">at the later of the day after the Regulations are registered or the </w:t>
      </w:r>
      <w:r w:rsidRPr="005E33BA">
        <w:rPr>
          <w:i/>
        </w:rPr>
        <w:t>Corporations Amendment (Crowd-sourced Funding for Proprietary Companies) Act 2017</w:t>
      </w:r>
      <w:r>
        <w:rPr>
          <w:i/>
        </w:rPr>
        <w:t xml:space="preserve"> </w:t>
      </w:r>
      <w:r>
        <w:t xml:space="preserve">commences. </w:t>
      </w:r>
    </w:p>
    <w:p w14:paraId="09841D5B" w14:textId="77777777" w:rsidR="00824D9E" w:rsidRDefault="00824D9E" w:rsidP="00824D9E">
      <w:pPr>
        <w:pStyle w:val="Bullet"/>
        <w:numPr>
          <w:ilvl w:val="0"/>
          <w:numId w:val="0"/>
        </w:numPr>
      </w:pPr>
    </w:p>
    <w:p w14:paraId="4FB7122C" w14:textId="77352F97" w:rsidR="00824D9E" w:rsidRPr="00446643" w:rsidRDefault="00824D9E" w:rsidP="00824D9E">
      <w:pPr>
        <w:pStyle w:val="Bullet"/>
        <w:pageBreakBefore/>
        <w:numPr>
          <w:ilvl w:val="0"/>
          <w:numId w:val="0"/>
        </w:numPr>
        <w:jc w:val="right"/>
        <w:rPr>
          <w:b/>
        </w:rPr>
      </w:pPr>
      <w:r w:rsidRPr="00446643">
        <w:rPr>
          <w:b/>
        </w:rPr>
        <w:lastRenderedPageBreak/>
        <w:t>Attachment A</w:t>
      </w:r>
    </w:p>
    <w:p w14:paraId="4104D159" w14:textId="47BBF2A0" w:rsidR="00824D9E" w:rsidRDefault="00446643" w:rsidP="00824D9E">
      <w:pPr>
        <w:pStyle w:val="Bullet"/>
        <w:numPr>
          <w:ilvl w:val="0"/>
          <w:numId w:val="0"/>
        </w:numPr>
        <w:rPr>
          <w:u w:val="single"/>
        </w:rPr>
      </w:pPr>
      <w:r w:rsidRPr="00446643">
        <w:rPr>
          <w:lang w:val="en-US"/>
        </w:rPr>
        <w:t xml:space="preserve">This Attachment sets out </w:t>
      </w:r>
      <w:r>
        <w:rPr>
          <w:lang w:val="en-US"/>
        </w:rPr>
        <w:t>the</w:t>
      </w:r>
      <w:r w:rsidRPr="00446643">
        <w:rPr>
          <w:lang w:val="en-US"/>
        </w:rPr>
        <w:t xml:space="preserve"> details of </w:t>
      </w:r>
      <w:r w:rsidR="007C71C5">
        <w:rPr>
          <w:lang w:val="en-US"/>
        </w:rPr>
        <w:t xml:space="preserve">the </w:t>
      </w:r>
      <w:r w:rsidRPr="00446643">
        <w:rPr>
          <w:i/>
          <w:lang w:val="en-US"/>
        </w:rPr>
        <w:t xml:space="preserve">Corporations Amendment (Crowd-sourced </w:t>
      </w:r>
      <w:r w:rsidR="007D2122">
        <w:rPr>
          <w:i/>
          <w:lang w:val="en-US"/>
        </w:rPr>
        <w:t>F</w:t>
      </w:r>
      <w:r w:rsidRPr="00446643">
        <w:rPr>
          <w:i/>
          <w:lang w:val="en-US"/>
        </w:rPr>
        <w:t>unding) Regulations 2017</w:t>
      </w:r>
      <w:r>
        <w:rPr>
          <w:i/>
          <w:lang w:val="en-US"/>
        </w:rPr>
        <w:t>.</w:t>
      </w:r>
    </w:p>
    <w:p w14:paraId="39599F00" w14:textId="3993C392" w:rsidR="00797110" w:rsidRPr="00797110" w:rsidRDefault="00797110" w:rsidP="00824D9E">
      <w:pPr>
        <w:pStyle w:val="Bullet"/>
        <w:numPr>
          <w:ilvl w:val="0"/>
          <w:numId w:val="0"/>
        </w:numPr>
        <w:rPr>
          <w:u w:val="single"/>
        </w:rPr>
      </w:pPr>
      <w:r w:rsidRPr="00797110">
        <w:rPr>
          <w:u w:val="single"/>
        </w:rPr>
        <w:t xml:space="preserve">Conditions for the exemption from the takeover rules </w:t>
      </w:r>
      <w:r w:rsidR="00B548A9">
        <w:rPr>
          <w:u w:val="single"/>
        </w:rPr>
        <w:t>for proprietary companies with one or more CSF shareholders</w:t>
      </w:r>
    </w:p>
    <w:p w14:paraId="3F15EEA6" w14:textId="2A849729" w:rsidR="00A51263" w:rsidRDefault="007B796F" w:rsidP="00A51263">
      <w:pPr>
        <w:pStyle w:val="Bullet"/>
        <w:numPr>
          <w:ilvl w:val="0"/>
          <w:numId w:val="0"/>
        </w:numPr>
      </w:pPr>
      <w:r>
        <w:t xml:space="preserve">The </w:t>
      </w:r>
      <w:r w:rsidR="00DC6D7A">
        <w:t>Corporations Amendment (Crowd-sourced Funding</w:t>
      </w:r>
      <w:r w:rsidR="00053F51">
        <w:t xml:space="preserve"> for </w:t>
      </w:r>
      <w:r w:rsidR="004A0DBD">
        <w:t>P</w:t>
      </w:r>
      <w:r w:rsidR="00053F51">
        <w:t xml:space="preserve">roprietary </w:t>
      </w:r>
      <w:r w:rsidR="004A0DBD">
        <w:t>C</w:t>
      </w:r>
      <w:r w:rsidR="00053F51">
        <w:t>ompanies</w:t>
      </w:r>
      <w:r w:rsidR="00DC6D7A">
        <w:t xml:space="preserve">) Bill 2017 </w:t>
      </w:r>
      <w:r w:rsidR="00204D9C">
        <w:t xml:space="preserve">(the Bill) </w:t>
      </w:r>
      <w:r w:rsidR="00DC6D7A">
        <w:t>provides that proprietary companies with</w:t>
      </w:r>
      <w:r w:rsidR="001C0027">
        <w:t xml:space="preserve"> one or more</w:t>
      </w:r>
      <w:r w:rsidR="00DC6D7A">
        <w:t xml:space="preserve"> CSF shareholders are exempt from the takeover rules in section 606 of the Act as long as the conditions in the regulations are satisfied. </w:t>
      </w:r>
      <w:r w:rsidR="00A51263">
        <w:t>The exemption from the takeover rules was provided to proprietary companies with</w:t>
      </w:r>
      <w:r w:rsidR="001C0027">
        <w:t xml:space="preserve"> one or more</w:t>
      </w:r>
      <w:r w:rsidR="00A51263">
        <w:t xml:space="preserve"> CSF shareholders to reduce compliance costs and avoid unduly restricting companies from adjusting their capital structure as they use CSF to grow their business. However, as companies grow and engage in more sophisticated activities, it will no longer be appropriate for them to be exempt from the takeover rules in section 606 of the Act. </w:t>
      </w:r>
    </w:p>
    <w:p w14:paraId="749A02E5" w14:textId="7B1C8207" w:rsidR="00DC6D7A" w:rsidRDefault="00DC6D7A" w:rsidP="005E33BA">
      <w:pPr>
        <w:pStyle w:val="Bullet"/>
        <w:numPr>
          <w:ilvl w:val="0"/>
          <w:numId w:val="0"/>
        </w:numPr>
      </w:pPr>
      <w:r>
        <w:t xml:space="preserve">The </w:t>
      </w:r>
      <w:r w:rsidR="00053F51">
        <w:t>R</w:t>
      </w:r>
      <w:r>
        <w:t xml:space="preserve">egulations </w:t>
      </w:r>
      <w:r w:rsidR="00A51263">
        <w:t xml:space="preserve">therefore </w:t>
      </w:r>
      <w:r>
        <w:t>prescribe that the exemption will only apply while a company is still an eligible CSF company under section 738H of the Act. As such, a proprietary company with</w:t>
      </w:r>
      <w:r w:rsidR="001C0027">
        <w:t xml:space="preserve"> one or more</w:t>
      </w:r>
      <w:r>
        <w:t xml:space="preserve"> CSF shareholder</w:t>
      </w:r>
      <w:r w:rsidR="00B837C2">
        <w:t>s</w:t>
      </w:r>
      <w:r>
        <w:t xml:space="preserve"> will only be exempt from the takeover rules in section 606 of the Act if:</w:t>
      </w:r>
    </w:p>
    <w:p w14:paraId="55E4DAD2" w14:textId="2BF5BD4E" w:rsidR="007B796F" w:rsidRDefault="00DC6D7A" w:rsidP="00DC6D7A">
      <w:pPr>
        <w:pStyle w:val="Bullet"/>
      </w:pPr>
      <w:r>
        <w:t xml:space="preserve">its consolidated assets and turnover are under $25 million;   </w:t>
      </w:r>
    </w:p>
    <w:p w14:paraId="197EE824" w14:textId="0D6C1488" w:rsidR="00DC6D7A" w:rsidRDefault="00DC6D7A" w:rsidP="00DC6D7A">
      <w:pPr>
        <w:pStyle w:val="Bullet"/>
      </w:pPr>
      <w:r>
        <w:t xml:space="preserve">its principal place of business is in Australia; </w:t>
      </w:r>
    </w:p>
    <w:p w14:paraId="79CBE1F0" w14:textId="1CC921F0" w:rsidR="00DC6D7A" w:rsidRDefault="00DC6D7A" w:rsidP="0063188A">
      <w:pPr>
        <w:pStyle w:val="Bullet"/>
      </w:pPr>
      <w:r>
        <w:t>a majority of its directors ordinarily reside in Australia; and</w:t>
      </w:r>
    </w:p>
    <w:p w14:paraId="22A4C6ED" w14:textId="0E8DD3AA" w:rsidR="00DC6D7A" w:rsidRDefault="00204D9C" w:rsidP="00DC6D7A">
      <w:pPr>
        <w:pStyle w:val="Bullet"/>
      </w:pPr>
      <w:r>
        <w:t xml:space="preserve">it and its related parties do not have a principal purpose of investing in securities or interests in other entities or schemes. </w:t>
      </w:r>
    </w:p>
    <w:p w14:paraId="3D8E0CE6" w14:textId="55B4F17F" w:rsidR="00A51263" w:rsidRDefault="00A51263" w:rsidP="005E33BA">
      <w:pPr>
        <w:pStyle w:val="Bullet"/>
        <w:numPr>
          <w:ilvl w:val="0"/>
          <w:numId w:val="0"/>
        </w:numPr>
      </w:pPr>
      <w:r>
        <w:t xml:space="preserve">This approach has been adopted because </w:t>
      </w:r>
      <w:r w:rsidR="00193E51">
        <w:t xml:space="preserve">it would be inappropriate for </w:t>
      </w:r>
      <w:r>
        <w:t xml:space="preserve">proprietary companies that </w:t>
      </w:r>
      <w:r w:rsidR="00193E51">
        <w:t xml:space="preserve">out-grow the CSF framework to continue to be exempt from the </w:t>
      </w:r>
      <w:r>
        <w:t xml:space="preserve">takeover rules in section 606 of the Act </w:t>
      </w:r>
      <w:r w:rsidR="00193E51">
        <w:t>in perpetuity.</w:t>
      </w:r>
      <w:r>
        <w:t xml:space="preserve"> </w:t>
      </w:r>
      <w:r w:rsidR="00F817EE">
        <w:t xml:space="preserve">Linking eligibility for the </w:t>
      </w:r>
      <w:r w:rsidR="00C74F7D">
        <w:t xml:space="preserve">takeovers </w:t>
      </w:r>
      <w:r w:rsidR="00F817EE">
        <w:t xml:space="preserve">exemption </w:t>
      </w:r>
      <w:r w:rsidR="00C74F7D">
        <w:t>in this way avoids establishing multiple thresholds and recognises that companies over</w:t>
      </w:r>
      <w:r w:rsidR="00F817EE">
        <w:t xml:space="preserve"> this size </w:t>
      </w:r>
      <w:r w:rsidR="00C74F7D">
        <w:t xml:space="preserve">are better placed to </w:t>
      </w:r>
      <w:r w:rsidR="00471CBF">
        <w:t>understand</w:t>
      </w:r>
      <w:r w:rsidR="006C38BA">
        <w:t>,</w:t>
      </w:r>
      <w:r w:rsidR="00471CBF">
        <w:t xml:space="preserve"> and have the resources to comply</w:t>
      </w:r>
      <w:r w:rsidR="00C74F7D">
        <w:t xml:space="preserve"> with</w:t>
      </w:r>
      <w:r w:rsidR="006C38BA">
        <w:t>, the</w:t>
      </w:r>
      <w:r w:rsidR="00471CBF">
        <w:t xml:space="preserve"> takeovers rules.</w:t>
      </w:r>
      <w:r w:rsidR="00C74F7D">
        <w:t xml:space="preserve"> </w:t>
      </w:r>
      <w:r>
        <w:t>Similarly, proprietary companies that do not have their principal place of business in Australia</w:t>
      </w:r>
      <w:r w:rsidR="0063188A">
        <w:t xml:space="preserve"> or </w:t>
      </w:r>
      <w:r>
        <w:t xml:space="preserve">have a principal purpose of investing in securities or interests in other schemes or entities are sophisticated enough that </w:t>
      </w:r>
      <w:r w:rsidR="007C71C5">
        <w:t xml:space="preserve">it </w:t>
      </w:r>
      <w:r>
        <w:t xml:space="preserve">is appropriate for the takeover rules to apply to them. </w:t>
      </w:r>
    </w:p>
    <w:p w14:paraId="3BC90C98" w14:textId="6394E26B" w:rsidR="00A60368" w:rsidRDefault="00847091" w:rsidP="005E33BA">
      <w:pPr>
        <w:pStyle w:val="Bullet"/>
        <w:numPr>
          <w:ilvl w:val="0"/>
          <w:numId w:val="0"/>
        </w:numPr>
        <w:rPr>
          <w:u w:val="single"/>
        </w:rPr>
      </w:pPr>
      <w:r>
        <w:rPr>
          <w:u w:val="single"/>
        </w:rPr>
        <w:t xml:space="preserve">Modifications </w:t>
      </w:r>
      <w:r w:rsidR="00F658E0">
        <w:rPr>
          <w:u w:val="single"/>
        </w:rPr>
        <w:t xml:space="preserve">to the unsolicited offer provisions </w:t>
      </w:r>
      <w:r w:rsidR="00B548A9">
        <w:rPr>
          <w:u w:val="single"/>
        </w:rPr>
        <w:t>for proprietary companies with one or more CSF shareholders</w:t>
      </w:r>
    </w:p>
    <w:p w14:paraId="1FC0D433" w14:textId="30CFC0B2" w:rsidR="0068033E" w:rsidRDefault="00FD12DC" w:rsidP="00F20F62">
      <w:pPr>
        <w:pStyle w:val="Bullet"/>
        <w:numPr>
          <w:ilvl w:val="0"/>
          <w:numId w:val="0"/>
        </w:numPr>
      </w:pPr>
      <w:r>
        <w:t xml:space="preserve">The Regulations </w:t>
      </w:r>
      <w:r w:rsidR="00F658E0">
        <w:t>modify the application of the</w:t>
      </w:r>
      <w:r w:rsidR="00F20F62" w:rsidRPr="00475077">
        <w:t xml:space="preserve"> unsolicited offer</w:t>
      </w:r>
      <w:r w:rsidR="00F658E0">
        <w:t xml:space="preserve"> provisions </w:t>
      </w:r>
      <w:r w:rsidR="00F20F62" w:rsidRPr="00475077">
        <w:t xml:space="preserve"> </w:t>
      </w:r>
      <w:r w:rsidR="00F658E0">
        <w:t>in</w:t>
      </w:r>
      <w:r w:rsidR="00F20F62" w:rsidRPr="00475077">
        <w:t xml:space="preserve"> </w:t>
      </w:r>
      <w:r w:rsidR="00F20F62">
        <w:t>D</w:t>
      </w:r>
      <w:r w:rsidR="00F20F62" w:rsidRPr="009236CD">
        <w:t>iv</w:t>
      </w:r>
      <w:r w:rsidR="00F20F62">
        <w:t>ision 5A of Part 7.9 of the Act</w:t>
      </w:r>
      <w:r w:rsidR="00415F79">
        <w:t xml:space="preserve"> </w:t>
      </w:r>
      <w:r w:rsidR="00F658E0">
        <w:t>in relation to proprietary companies that are eligible CSF companies and have one or more CSF shareholders.</w:t>
      </w:r>
      <w:r w:rsidR="0068033E">
        <w:t xml:space="preserve"> The modifications include:</w:t>
      </w:r>
    </w:p>
    <w:p w14:paraId="78B7CF5A" w14:textId="77777777" w:rsidR="0068033E" w:rsidRDefault="0068033E" w:rsidP="006B0358">
      <w:pPr>
        <w:pStyle w:val="Bullet"/>
      </w:pPr>
      <w:r>
        <w:lastRenderedPageBreak/>
        <w:t xml:space="preserve">reducing the minimum amount of time an offer has to be open from 1 month to 14 days; and </w:t>
      </w:r>
    </w:p>
    <w:p w14:paraId="76111C52" w14:textId="3C297EF2" w:rsidR="00601439" w:rsidRDefault="0068033E" w:rsidP="006B0358">
      <w:pPr>
        <w:pStyle w:val="Bullet"/>
      </w:pPr>
      <w:r>
        <w:t xml:space="preserve">allowing variations to the terms and consideration offered.  </w:t>
      </w:r>
    </w:p>
    <w:p w14:paraId="7D58CC87" w14:textId="25B3B0AF" w:rsidR="000514A8" w:rsidRDefault="00F62F61" w:rsidP="00F20F62">
      <w:pPr>
        <w:pStyle w:val="Bullet"/>
        <w:numPr>
          <w:ilvl w:val="0"/>
          <w:numId w:val="0"/>
        </w:numPr>
      </w:pPr>
      <w:r>
        <w:t>The reduction of the minimum offer period to 14</w:t>
      </w:r>
      <w:r w:rsidR="00785142">
        <w:t xml:space="preserve"> </w:t>
      </w:r>
      <w:r>
        <w:t xml:space="preserve">days will </w:t>
      </w:r>
      <w:r w:rsidR="00B837C2">
        <w:t>allow</w:t>
      </w:r>
      <w:r>
        <w:t xml:space="preserve"> offers to be made while still providing adequate time for shareholders to consider an offer and get appropriate advice.</w:t>
      </w:r>
      <w:r w:rsidR="000514A8">
        <w:t xml:space="preserve"> </w:t>
      </w:r>
    </w:p>
    <w:p w14:paraId="0E34B7EA" w14:textId="098B37B0" w:rsidR="00856373" w:rsidRDefault="00856373" w:rsidP="00856373">
      <w:pPr>
        <w:pStyle w:val="Bullet"/>
        <w:numPr>
          <w:ilvl w:val="0"/>
          <w:numId w:val="0"/>
        </w:numPr>
      </w:pPr>
      <w:r>
        <w:t>As proprietary companies with one or more CSF shareholders are exempt from the takeover rules,</w:t>
      </w:r>
      <w:r w:rsidRPr="00856373">
        <w:t xml:space="preserve"> </w:t>
      </w:r>
      <w:r>
        <w:t xml:space="preserve">more offers to buy out shareholders of these companies are likely it be caught by the unsolicited offer provisions.  Allowing variations to the terms of an offer is necessary to provide additional commercial flexibility </w:t>
      </w:r>
      <w:r w:rsidR="005814D6">
        <w:t xml:space="preserve">to facilitate the offers and provide exit opportunities for CSF shareholders. </w:t>
      </w:r>
    </w:p>
    <w:p w14:paraId="17E7045A" w14:textId="7F264A02" w:rsidR="00E24FEB" w:rsidRDefault="000514A8" w:rsidP="000514A8">
      <w:pPr>
        <w:pStyle w:val="Bullet"/>
        <w:numPr>
          <w:ilvl w:val="0"/>
          <w:numId w:val="0"/>
        </w:numPr>
      </w:pPr>
      <w:r>
        <w:t xml:space="preserve">Variations </w:t>
      </w:r>
      <w:r w:rsidR="00A329C9">
        <w:t xml:space="preserve">can include an </w:t>
      </w:r>
      <w:r w:rsidR="009236CD" w:rsidRPr="009236CD">
        <w:t xml:space="preserve">increase </w:t>
      </w:r>
      <w:r w:rsidR="00A329C9">
        <w:t xml:space="preserve">in </w:t>
      </w:r>
      <w:r w:rsidR="009236CD" w:rsidRPr="009236CD">
        <w:t xml:space="preserve">the price and/or consideration </w:t>
      </w:r>
      <w:r>
        <w:t>and extend the offer (but not beyond 12 months). Variations</w:t>
      </w:r>
      <w:r w:rsidR="00D307ED">
        <w:t xml:space="preserve"> may only be made by sending a supplementary offer document that </w:t>
      </w:r>
      <w:r>
        <w:t>identifies the original offer</w:t>
      </w:r>
      <w:r w:rsidR="00D307ED">
        <w:t>,</w:t>
      </w:r>
      <w:r>
        <w:t xml:space="preserve"> describes the variation</w:t>
      </w:r>
      <w:r w:rsidR="00D307ED">
        <w:t xml:space="preserve"> and</w:t>
      </w:r>
      <w:r>
        <w:t xml:space="preserve"> must</w:t>
      </w:r>
      <w:r w:rsidR="00D307ED">
        <w:t xml:space="preserve"> be worded clearly, concisely and in an effective manner. </w:t>
      </w:r>
      <w:r w:rsidR="00D31B35">
        <w:t xml:space="preserve">Variations can only be made in relation to offers that have not already been accepted and include the same rights applying to the offer (for example, in relation to misleading and deceptive conduct). </w:t>
      </w:r>
      <w:r w:rsidR="00D52642">
        <w:t xml:space="preserve">However if the only change is the period of offer, then the supplementary offer document </w:t>
      </w:r>
      <w:r w:rsidR="005814D6">
        <w:t xml:space="preserve">is only required to be sent to anyone who has not accepted the offer. </w:t>
      </w:r>
    </w:p>
    <w:p w14:paraId="19484D0C" w14:textId="24668FE5" w:rsidR="00797110" w:rsidRPr="00797110" w:rsidRDefault="00797110" w:rsidP="005E33BA">
      <w:pPr>
        <w:pStyle w:val="Bullet"/>
        <w:numPr>
          <w:ilvl w:val="0"/>
          <w:numId w:val="0"/>
        </w:numPr>
        <w:rPr>
          <w:u w:val="single"/>
        </w:rPr>
      </w:pPr>
      <w:r w:rsidRPr="00797110">
        <w:rPr>
          <w:u w:val="single"/>
        </w:rPr>
        <w:t xml:space="preserve">Simplifying the content and structure requirements for CSF offer documents </w:t>
      </w:r>
      <w:r w:rsidR="00B548A9">
        <w:rPr>
          <w:u w:val="single"/>
        </w:rPr>
        <w:t>for proprietary and public companies</w:t>
      </w:r>
    </w:p>
    <w:p w14:paraId="2287B435" w14:textId="5EE325A6" w:rsidR="00A51263" w:rsidRDefault="00CA1E91" w:rsidP="005E33BA">
      <w:pPr>
        <w:pStyle w:val="Bullet"/>
        <w:numPr>
          <w:ilvl w:val="0"/>
          <w:numId w:val="0"/>
        </w:numPr>
      </w:pPr>
      <w:r>
        <w:t>The content and structure requirements for a CSF</w:t>
      </w:r>
      <w:r w:rsidR="00785142">
        <w:t xml:space="preserve"> offer</w:t>
      </w:r>
      <w:r>
        <w:t xml:space="preserve"> document have been simplified to provide additional flexibility and reduce duplication. The changes include:</w:t>
      </w:r>
    </w:p>
    <w:p w14:paraId="09EBE1B7" w14:textId="70FEA322" w:rsidR="009D3598" w:rsidRDefault="009D3598" w:rsidP="009D3598">
      <w:pPr>
        <w:pStyle w:val="Bullet"/>
      </w:pPr>
      <w:r>
        <w:t xml:space="preserve">allowing some required information to be presented in a summary format within a relevant section with the rest of the details to be included in any of the other required sections or an additional section or appendix; </w:t>
      </w:r>
    </w:p>
    <w:p w14:paraId="587C9767" w14:textId="4815F8F1" w:rsidR="00CA1E91" w:rsidRDefault="00CA1E91" w:rsidP="00CA1E91">
      <w:pPr>
        <w:pStyle w:val="Bullet"/>
      </w:pPr>
      <w:r>
        <w:t xml:space="preserve">clarifying that information </w:t>
      </w:r>
      <w:r w:rsidR="009701EA">
        <w:t xml:space="preserve">can be presented in any </w:t>
      </w:r>
      <w:r w:rsidR="009D3598">
        <w:t>order</w:t>
      </w:r>
      <w:r w:rsidR="009701EA">
        <w:t xml:space="preserve"> within each of the required sections of a CSF offer document; </w:t>
      </w:r>
    </w:p>
    <w:p w14:paraId="4E3A16AE" w14:textId="768EB89E" w:rsidR="009D3598" w:rsidRDefault="009D3598" w:rsidP="00CA1E91">
      <w:pPr>
        <w:pStyle w:val="Bullet"/>
      </w:pPr>
      <w:r>
        <w:t xml:space="preserve">clarifying that </w:t>
      </w:r>
      <w:r w:rsidR="007C71C5">
        <w:t xml:space="preserve">a </w:t>
      </w:r>
      <w:r>
        <w:t>CSF offer document can be presented online in commonly used digital formats</w:t>
      </w:r>
      <w:r w:rsidR="00454F7B">
        <w:t>, so that it can be easily accessed, downloaded and saved</w:t>
      </w:r>
      <w:r>
        <w:t xml:space="preserve">; </w:t>
      </w:r>
      <w:r w:rsidR="00824D9E">
        <w:t>and</w:t>
      </w:r>
    </w:p>
    <w:p w14:paraId="0BCB20B4" w14:textId="1C1C09D4" w:rsidR="00B542B4" w:rsidRDefault="009D3598" w:rsidP="00B542B4">
      <w:pPr>
        <w:pStyle w:val="Bullet"/>
      </w:pPr>
      <w:r>
        <w:t>clarifying that CSF offer documents can include additional information beyond what is required and that the additional information may be included in any of the required sections or in an additional section or appendix</w:t>
      </w:r>
      <w:r w:rsidR="00511C41">
        <w:t xml:space="preserve"> and</w:t>
      </w:r>
      <w:r w:rsidR="00005F82">
        <w:t xml:space="preserve"> that it</w:t>
      </w:r>
      <w:r w:rsidR="00511C41">
        <w:t xml:space="preserve"> forms part of the CSF offer document. </w:t>
      </w:r>
    </w:p>
    <w:p w14:paraId="2FDF9DFB" w14:textId="441EC7D4" w:rsidR="00282DB5" w:rsidRDefault="00282DB5" w:rsidP="005E33BA">
      <w:pPr>
        <w:pStyle w:val="Bullet"/>
        <w:numPr>
          <w:ilvl w:val="0"/>
          <w:numId w:val="0"/>
        </w:numPr>
      </w:pPr>
      <w:r>
        <w:t>The requirement for section 2 of the CSF offer document to include details of a company’s capital structure</w:t>
      </w:r>
      <w:r w:rsidR="00565FBD">
        <w:t xml:space="preserve"> is likely to be lengthy and will partially overlap with the requirement for section 3 of the CSF offer document to include a description of the securities on issue. To allow additional flexibility and further simplify CSF offer documents, the Regulations provide for this information to be summarised in the relevant sections of </w:t>
      </w:r>
      <w:r w:rsidR="00CB0B8A">
        <w:t xml:space="preserve">a </w:t>
      </w:r>
      <w:r w:rsidR="00565FBD">
        <w:t xml:space="preserve">CSF offer document with full details to be available either in </w:t>
      </w:r>
      <w:r w:rsidR="00565FBD">
        <w:lastRenderedPageBreak/>
        <w:t xml:space="preserve">another required section or an additional section or appendix. The summary would however also need to identify where in the CSF offer document the full information is presented. </w:t>
      </w:r>
      <w:r w:rsidR="00A60368">
        <w:t xml:space="preserve">Any information presented in the appendix forms part of the offer document and must </w:t>
      </w:r>
      <w:r w:rsidR="00CB0B8A">
        <w:t>be presented clearly and concisely</w:t>
      </w:r>
      <w:r w:rsidR="00A60368">
        <w:t xml:space="preserve">. </w:t>
      </w:r>
    </w:p>
    <w:p w14:paraId="4838127E" w14:textId="10A779E5" w:rsidR="00282DB5" w:rsidRDefault="00565FBD" w:rsidP="005E33BA">
      <w:pPr>
        <w:pStyle w:val="Bullet"/>
        <w:numPr>
          <w:ilvl w:val="0"/>
          <w:numId w:val="0"/>
        </w:numPr>
      </w:pPr>
      <w:r>
        <w:t>Similarly, the copy of the company’s financial statement</w:t>
      </w:r>
      <w:r w:rsidR="00C035B8">
        <w:t>s</w:t>
      </w:r>
      <w:r>
        <w:t xml:space="preserve"> i</w:t>
      </w:r>
      <w:r w:rsidR="00785142">
        <w:t>n</w:t>
      </w:r>
      <w:r>
        <w:t xml:space="preserve"> section 2 of the CSF offer document can be summarised within the section and the full document included either in another required section of the offer document or an additional section or appendix. </w:t>
      </w:r>
      <w:r w:rsidR="00EF4DAF">
        <w:t xml:space="preserve">The summary </w:t>
      </w:r>
      <w:r w:rsidR="00824D9E">
        <w:t>will</w:t>
      </w:r>
      <w:r w:rsidR="00EF4DAF">
        <w:t xml:space="preserve"> have to identify where in the CSF offer document the full financial statement</w:t>
      </w:r>
      <w:r w:rsidR="003E645F">
        <w:t>s</w:t>
      </w:r>
      <w:r w:rsidR="00EF4DAF">
        <w:t xml:space="preserve"> </w:t>
      </w:r>
      <w:r w:rsidR="003E645F">
        <w:t>are</w:t>
      </w:r>
      <w:r w:rsidR="00EF4DAF">
        <w:t xml:space="preserve"> included. </w:t>
      </w:r>
    </w:p>
    <w:p w14:paraId="5EF4D0CB" w14:textId="03FBFD45" w:rsidR="00EF4DAF" w:rsidRDefault="00EF4DAF" w:rsidP="00565FBD">
      <w:pPr>
        <w:pStyle w:val="Bullet"/>
        <w:numPr>
          <w:ilvl w:val="0"/>
          <w:numId w:val="0"/>
        </w:numPr>
      </w:pPr>
      <w:r>
        <w:t xml:space="preserve">Where information is summarised, an offering company must ensure that the summary </w:t>
      </w:r>
      <w:r w:rsidR="00824D9E">
        <w:t>is</w:t>
      </w:r>
      <w:r>
        <w:t xml:space="preserve"> not misleading or deceptive. </w:t>
      </w:r>
    </w:p>
    <w:p w14:paraId="62341153" w14:textId="0541667A" w:rsidR="00EF4DAF" w:rsidRDefault="00565FBD" w:rsidP="00565FBD">
      <w:pPr>
        <w:pStyle w:val="Bullet"/>
        <w:numPr>
          <w:ilvl w:val="0"/>
          <w:numId w:val="0"/>
        </w:numPr>
      </w:pPr>
      <w:r>
        <w:t xml:space="preserve">All </w:t>
      </w:r>
      <w:r w:rsidR="00EF4DAF">
        <w:t xml:space="preserve">the </w:t>
      </w:r>
      <w:r>
        <w:t xml:space="preserve">other </w:t>
      </w:r>
      <w:r w:rsidR="00EF4DAF">
        <w:t>details</w:t>
      </w:r>
      <w:r>
        <w:t xml:space="preserve"> required in a CSF offer </w:t>
      </w:r>
      <w:r w:rsidR="00EF4DAF">
        <w:t>document are</w:t>
      </w:r>
      <w:r>
        <w:t xml:space="preserve"> either factual details that cannot be summarised (for example, the details of the company) or descriptions of circumstances that are applicable / relevant to the company (for example, descriptions of relevant offences</w:t>
      </w:r>
      <w:r w:rsidR="00824D9E">
        <w:t xml:space="preserve"> and risks</w:t>
      </w:r>
      <w:r>
        <w:t>).</w:t>
      </w:r>
    </w:p>
    <w:p w14:paraId="6F58BBC4" w14:textId="34CD8EB5" w:rsidR="0092725B" w:rsidRPr="00FE1192" w:rsidRDefault="00EF4DAF" w:rsidP="00565FBD">
      <w:pPr>
        <w:pStyle w:val="Bullet"/>
        <w:numPr>
          <w:ilvl w:val="0"/>
          <w:numId w:val="0"/>
        </w:numPr>
        <w:rPr>
          <w:u w:val="single"/>
        </w:rPr>
      </w:pPr>
      <w:r w:rsidRPr="00FE1192">
        <w:rPr>
          <w:u w:val="single"/>
        </w:rPr>
        <w:t xml:space="preserve">Additional disclosure requirements </w:t>
      </w:r>
      <w:r w:rsidR="00B548A9" w:rsidRPr="00FE1192">
        <w:rPr>
          <w:u w:val="single"/>
        </w:rPr>
        <w:t>for proprietary companies</w:t>
      </w:r>
    </w:p>
    <w:p w14:paraId="041564A8" w14:textId="24A0AC38" w:rsidR="00D53638" w:rsidRDefault="0092725B" w:rsidP="00565FBD">
      <w:pPr>
        <w:pStyle w:val="Bullet"/>
        <w:numPr>
          <w:ilvl w:val="0"/>
          <w:numId w:val="0"/>
        </w:numPr>
      </w:pPr>
      <w:r>
        <w:t>As the Bill extend</w:t>
      </w:r>
      <w:r w:rsidR="00457901">
        <w:t>s</w:t>
      </w:r>
      <w:r>
        <w:t xml:space="preserve"> the CSF regime to proprietary companies, the R</w:t>
      </w:r>
      <w:r w:rsidRPr="00481285">
        <w:t>egulations prescribe additional disclosure requirements for proprietary companies accessing the CSF regime. The additional disclosure requirements ensure proprietary companies appropriate</w:t>
      </w:r>
      <w:r w:rsidR="00824D9E">
        <w:t>ly</w:t>
      </w:r>
      <w:r w:rsidRPr="00481285">
        <w:t xml:space="preserve"> </w:t>
      </w:r>
      <w:r>
        <w:t>describe the impact of the</w:t>
      </w:r>
      <w:r w:rsidRPr="00481285">
        <w:t xml:space="preserve"> </w:t>
      </w:r>
      <w:r>
        <w:t xml:space="preserve">regulatory concessions and </w:t>
      </w:r>
      <w:r w:rsidRPr="00481285">
        <w:t>investor protection measures that apply to them</w:t>
      </w:r>
      <w:r>
        <w:t>.</w:t>
      </w:r>
      <w:r w:rsidR="00D53638">
        <w:t xml:space="preserve"> Under the new requirements, proprietary companies accessing CSF will have</w:t>
      </w:r>
      <w:r w:rsidR="00785142">
        <w:t xml:space="preserve"> to</w:t>
      </w:r>
      <w:r w:rsidR="00D53638">
        <w:t xml:space="preserve"> outline the effect of:   </w:t>
      </w:r>
    </w:p>
    <w:p w14:paraId="12DD5B8A" w14:textId="5C4D7E2E" w:rsidR="00D53638" w:rsidRDefault="00D53638" w:rsidP="00D53638">
      <w:pPr>
        <w:pStyle w:val="Bullet"/>
      </w:pPr>
      <w:r>
        <w:t>the requirement for proprietary companies with CSF shareholder</w:t>
      </w:r>
      <w:r w:rsidR="007C71C5">
        <w:t>s</w:t>
      </w:r>
      <w:r>
        <w:t xml:space="preserve"> to obtain shareholder approval for related part</w:t>
      </w:r>
      <w:r w:rsidR="00824D9E">
        <w:t>y</w:t>
      </w:r>
      <w:r>
        <w:t xml:space="preserve"> transactions</w:t>
      </w:r>
      <w:r w:rsidR="001C0027">
        <w:t xml:space="preserve"> under Chapter 2E of the Act</w:t>
      </w:r>
      <w:r>
        <w:t>;</w:t>
      </w:r>
    </w:p>
    <w:p w14:paraId="0FAE48E2" w14:textId="1D88DAC9" w:rsidR="00D53638" w:rsidRDefault="00D53638" w:rsidP="00D53638">
      <w:pPr>
        <w:pStyle w:val="Bullet"/>
      </w:pPr>
      <w:r>
        <w:t xml:space="preserve">the exemption for proprietary companies  with </w:t>
      </w:r>
      <w:r w:rsidR="001C0027">
        <w:t xml:space="preserve">one or more </w:t>
      </w:r>
      <w:r>
        <w:t xml:space="preserve">CSF shareholders from the takeover rules in section 606 of the Act; </w:t>
      </w:r>
    </w:p>
    <w:p w14:paraId="6F522968" w14:textId="046B4491" w:rsidR="00D53638" w:rsidRDefault="00D53638" w:rsidP="00D53638">
      <w:pPr>
        <w:pStyle w:val="Bullet"/>
      </w:pPr>
      <w:r>
        <w:t>the requirement for proprietary companies with</w:t>
      </w:r>
      <w:r w:rsidR="001C0027">
        <w:t xml:space="preserve"> one or more</w:t>
      </w:r>
      <w:r>
        <w:t xml:space="preserve"> CSF shareholders to have their financial statements audited once $3 million or more is raised from CSF</w:t>
      </w:r>
      <w:r w:rsidR="001C0027">
        <w:t xml:space="preserve"> offers</w:t>
      </w:r>
      <w:r>
        <w:t xml:space="preserve">; and </w:t>
      </w:r>
    </w:p>
    <w:p w14:paraId="4704D779" w14:textId="437C2389" w:rsidR="00D53638" w:rsidRDefault="00D53638" w:rsidP="00D53638">
      <w:pPr>
        <w:pStyle w:val="Bullet"/>
      </w:pPr>
      <w:r>
        <w:t>the requirement for proprietary companies with</w:t>
      </w:r>
      <w:r w:rsidR="001C0027">
        <w:t xml:space="preserve"> one or more</w:t>
      </w:r>
      <w:r>
        <w:t xml:space="preserve"> CSF shareholder</w:t>
      </w:r>
      <w:r w:rsidR="007C71C5">
        <w:t>s</w:t>
      </w:r>
      <w:r>
        <w:t xml:space="preserve"> to provide their annual financial statements online. </w:t>
      </w:r>
    </w:p>
    <w:p w14:paraId="1B9B0582" w14:textId="2A10170B" w:rsidR="0092725B" w:rsidRDefault="00D53638" w:rsidP="00D53638">
      <w:pPr>
        <w:pStyle w:val="Bullet"/>
        <w:numPr>
          <w:ilvl w:val="0"/>
          <w:numId w:val="0"/>
        </w:numPr>
      </w:pPr>
      <w:r>
        <w:t xml:space="preserve">The Regulations also clarify that the description of the </w:t>
      </w:r>
      <w:r w:rsidR="00DC02DC">
        <w:t>rights attaching to a company’s securities also covers rights</w:t>
      </w:r>
      <w:r w:rsidR="001C0027">
        <w:t xml:space="preserve"> and liabilities</w:t>
      </w:r>
      <w:r w:rsidR="00DC02DC">
        <w:t xml:space="preserve"> arising out of the company’s constitution and shareholder agreements and there must be disclosure of any restrictions that apply to the company in relation to the off-market transfer of shares</w:t>
      </w:r>
      <w:r w:rsidR="00697B0C">
        <w:t xml:space="preserve">, including </w:t>
      </w:r>
      <w:r w:rsidR="009B162B">
        <w:t>any</w:t>
      </w:r>
      <w:r w:rsidR="00697B0C">
        <w:t xml:space="preserve"> rights of the directors to refuse to register a transfer of shares in the company, including where such a transfer would breach the 50 shareholder cap. </w:t>
      </w:r>
      <w:r w:rsidR="00DC02DC">
        <w:t xml:space="preserve"> </w:t>
      </w:r>
    </w:p>
    <w:p w14:paraId="7EE139B3" w14:textId="14182998" w:rsidR="00053F51" w:rsidRDefault="00053F51" w:rsidP="00D53638">
      <w:pPr>
        <w:pStyle w:val="Bullet"/>
        <w:numPr>
          <w:ilvl w:val="0"/>
          <w:numId w:val="0"/>
        </w:numPr>
      </w:pPr>
      <w:r>
        <w:t xml:space="preserve">The </w:t>
      </w:r>
      <w:r w:rsidR="00457901">
        <w:t>requirement</w:t>
      </w:r>
      <w:r w:rsidR="009B0CCE">
        <w:t xml:space="preserve"> to summarise </w:t>
      </w:r>
      <w:r w:rsidR="00457901">
        <w:t xml:space="preserve">the </w:t>
      </w:r>
      <w:r w:rsidR="009B0CCE">
        <w:t xml:space="preserve">key terms of </w:t>
      </w:r>
      <w:r w:rsidR="00457901">
        <w:t>a company’s</w:t>
      </w:r>
      <w:r w:rsidR="009B0CCE">
        <w:t xml:space="preserve"> constitution</w:t>
      </w:r>
      <w:r w:rsidR="00457901">
        <w:t xml:space="preserve"> applies to both public and proprietary companies</w:t>
      </w:r>
      <w:r w:rsidR="009B0CCE">
        <w:t xml:space="preserve">. </w:t>
      </w:r>
    </w:p>
    <w:p w14:paraId="2A2A4A1C" w14:textId="2C0EDC35" w:rsidR="00282DB5" w:rsidRPr="00DC02DC" w:rsidRDefault="00DC02DC" w:rsidP="005E33BA">
      <w:pPr>
        <w:pStyle w:val="Bullet"/>
        <w:numPr>
          <w:ilvl w:val="0"/>
          <w:numId w:val="0"/>
        </w:numPr>
        <w:rPr>
          <w:u w:val="single"/>
        </w:rPr>
      </w:pPr>
      <w:r w:rsidRPr="00DC02DC">
        <w:rPr>
          <w:u w:val="single"/>
        </w:rPr>
        <w:t>Checking of the director identities</w:t>
      </w:r>
      <w:r w:rsidR="00B548A9">
        <w:rPr>
          <w:u w:val="single"/>
        </w:rPr>
        <w:t xml:space="preserve"> for proprietary and public companies making CSF offers</w:t>
      </w:r>
      <w:r w:rsidRPr="00DC02DC">
        <w:rPr>
          <w:u w:val="single"/>
        </w:rPr>
        <w:t xml:space="preserve">  </w:t>
      </w:r>
    </w:p>
    <w:p w14:paraId="595666B5" w14:textId="0E7362CC" w:rsidR="00282DB5" w:rsidRDefault="00DC02DC" w:rsidP="005E33BA">
      <w:pPr>
        <w:pStyle w:val="Bullet"/>
        <w:numPr>
          <w:ilvl w:val="0"/>
          <w:numId w:val="0"/>
        </w:numPr>
      </w:pPr>
      <w:r>
        <w:t>The Regulations provide that a CSF intermediary must verify the identity of all directors and intended directors of a company making a CSF offer in addition to checking ASIC’s register</w:t>
      </w:r>
      <w:r w:rsidR="00824D9E">
        <w:t>s</w:t>
      </w:r>
      <w:r>
        <w:t xml:space="preserve">. </w:t>
      </w:r>
      <w:r w:rsidR="009B0CCE">
        <w:t>The Regulations provide flexibility allowing</w:t>
      </w:r>
      <w:r w:rsidR="00CB0B8A">
        <w:t xml:space="preserve"> an intermediary to check a director or intended director’s identification </w:t>
      </w:r>
      <w:r w:rsidR="009B0CCE">
        <w:t xml:space="preserve">against </w:t>
      </w:r>
      <w:r w:rsidR="00CB0B8A">
        <w:t xml:space="preserve">authenticated </w:t>
      </w:r>
      <w:r w:rsidR="009B0CCE">
        <w:t xml:space="preserve">electronic </w:t>
      </w:r>
      <w:r w:rsidR="00CB0B8A">
        <w:t>records</w:t>
      </w:r>
      <w:r w:rsidR="009B0CCE">
        <w:t xml:space="preserve">.  </w:t>
      </w:r>
    </w:p>
    <w:p w14:paraId="17D584A2" w14:textId="7AFB2E1C" w:rsidR="00A60368" w:rsidRDefault="00A60368" w:rsidP="005E33BA">
      <w:pPr>
        <w:pStyle w:val="Bullet"/>
        <w:numPr>
          <w:ilvl w:val="0"/>
          <w:numId w:val="0"/>
        </w:numPr>
      </w:pPr>
    </w:p>
    <w:p w14:paraId="1BC21853" w14:textId="07818B5C" w:rsidR="006B734A" w:rsidRDefault="006B734A" w:rsidP="006B734A">
      <w:pPr>
        <w:pStyle w:val="Heading2"/>
        <w:spacing w:before="360" w:after="120"/>
        <w:jc w:val="right"/>
        <w:rPr>
          <w:sz w:val="24"/>
          <w:szCs w:val="24"/>
        </w:rPr>
      </w:pPr>
    </w:p>
    <w:p w14:paraId="2BE2197E" w14:textId="77777777" w:rsidR="006B734A" w:rsidRDefault="006B734A" w:rsidP="00033CE0">
      <w:pPr>
        <w:pStyle w:val="Heading2"/>
        <w:spacing w:before="360" w:after="120"/>
        <w:jc w:val="right"/>
        <w:rPr>
          <w:sz w:val="24"/>
          <w:szCs w:val="24"/>
        </w:rPr>
      </w:pPr>
    </w:p>
    <w:p w14:paraId="20176822" w14:textId="77777777" w:rsidR="002227E9" w:rsidRPr="00647BB7" w:rsidRDefault="002227E9" w:rsidP="00647BB7">
      <w:pPr>
        <w:spacing w:before="240"/>
        <w:rPr>
          <w:i/>
        </w:rPr>
      </w:pPr>
    </w:p>
    <w:sectPr w:rsidR="002227E9" w:rsidRPr="00647BB7" w:rsidSect="00392BBA">
      <w:footerReference w:type="defaul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9C450" w14:textId="77777777" w:rsidR="00D31B35" w:rsidRDefault="00D31B35" w:rsidP="00954679">
      <w:pPr>
        <w:spacing w:before="0" w:after="0"/>
      </w:pPr>
      <w:r>
        <w:separator/>
      </w:r>
    </w:p>
  </w:endnote>
  <w:endnote w:type="continuationSeparator" w:id="0">
    <w:p w14:paraId="6F762639" w14:textId="77777777" w:rsidR="00D31B35" w:rsidRDefault="00D31B35" w:rsidP="00954679">
      <w:pPr>
        <w:spacing w:before="0" w:after="0"/>
      </w:pPr>
      <w:r>
        <w:continuationSeparator/>
      </w:r>
    </w:p>
  </w:endnote>
  <w:endnote w:type="continuationNotice" w:id="1">
    <w:p w14:paraId="3AA74788" w14:textId="77777777" w:rsidR="00D31B35" w:rsidRDefault="00D31B3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D4B1A02" w14:textId="77777777" w:rsidR="00D31B35" w:rsidRDefault="00D31B35"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5C37DA">
              <w:rPr>
                <w:bCs/>
                <w:noProof/>
              </w:rPr>
              <w:t>2</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5C37DA">
              <w:rPr>
                <w:bCs/>
                <w:noProof/>
              </w:rPr>
              <w:t>5</w:t>
            </w:r>
            <w:r w:rsidRPr="00954679">
              <w:rPr>
                <w:bCs/>
                <w:szCs w:val="24"/>
              </w:rPr>
              <w:fldChar w:fldCharType="end"/>
            </w:r>
          </w:p>
        </w:sdtContent>
      </w:sdt>
    </w:sdtContent>
  </w:sdt>
  <w:p w14:paraId="55319857" w14:textId="77777777" w:rsidR="00D31B35" w:rsidRDefault="00D31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576EBD" w14:textId="77777777" w:rsidR="00D31B35" w:rsidRDefault="00D31B35" w:rsidP="00954679">
      <w:pPr>
        <w:spacing w:before="0" w:after="0"/>
      </w:pPr>
      <w:r>
        <w:separator/>
      </w:r>
    </w:p>
  </w:footnote>
  <w:footnote w:type="continuationSeparator" w:id="0">
    <w:p w14:paraId="6D88BFD8" w14:textId="77777777" w:rsidR="00D31B35" w:rsidRDefault="00D31B35" w:rsidP="00954679">
      <w:pPr>
        <w:spacing w:before="0" w:after="0"/>
      </w:pPr>
      <w:r>
        <w:continuationSeparator/>
      </w:r>
    </w:p>
  </w:footnote>
  <w:footnote w:type="continuationNotice" w:id="1">
    <w:p w14:paraId="2A53338D" w14:textId="77777777" w:rsidR="00D31B35" w:rsidRDefault="00D31B35">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5FBC7E8D"/>
    <w:multiLevelType w:val="singleLevel"/>
    <w:tmpl w:val="FFFCF7D0"/>
    <w:name w:val="BaseTextParagraphList"/>
    <w:lvl w:ilvl="0">
      <w:start w:val="1"/>
      <w:numFmt w:val="decimal"/>
      <w:lvlRestart w:val="0"/>
      <w:lvlText w:val="%1."/>
      <w:lvlJc w:val="left"/>
      <w:pPr>
        <w:tabs>
          <w:tab w:val="num" w:pos="3113"/>
        </w:tabs>
        <w:ind w:left="2269" w:firstLine="0"/>
      </w:pPr>
      <w:rPr>
        <w:b w:val="0"/>
        <w:i w:val="0"/>
        <w:color w:val="000000"/>
      </w:rPr>
    </w:lvl>
  </w:abstractNum>
  <w:abstractNum w:abstractNumId="3">
    <w:nsid w:val="67A43C0B"/>
    <w:multiLevelType w:val="multilevel"/>
    <w:tmpl w:val="1E04C3E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3"/>
  </w:num>
  <w:num w:numId="3">
    <w:abstractNumId w:val="0"/>
  </w:num>
  <w:num w:numId="4">
    <w:abstractNumId w:val="2"/>
  </w:num>
  <w:num w:numId="5">
    <w:abstractNumId w:val="3"/>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99D"/>
    <w:rsid w:val="00003492"/>
    <w:rsid w:val="00005F82"/>
    <w:rsid w:val="00007790"/>
    <w:rsid w:val="00013428"/>
    <w:rsid w:val="00016EA2"/>
    <w:rsid w:val="0002191D"/>
    <w:rsid w:val="00023056"/>
    <w:rsid w:val="00033CE0"/>
    <w:rsid w:val="00035572"/>
    <w:rsid w:val="0004460A"/>
    <w:rsid w:val="000514A8"/>
    <w:rsid w:val="00053F51"/>
    <w:rsid w:val="00061E78"/>
    <w:rsid w:val="00075665"/>
    <w:rsid w:val="00084949"/>
    <w:rsid w:val="0008726F"/>
    <w:rsid w:val="000920CC"/>
    <w:rsid w:val="00093359"/>
    <w:rsid w:val="00095211"/>
    <w:rsid w:val="000A7FDF"/>
    <w:rsid w:val="000C10DF"/>
    <w:rsid w:val="000C56F2"/>
    <w:rsid w:val="000C66BD"/>
    <w:rsid w:val="000E3804"/>
    <w:rsid w:val="000F4B62"/>
    <w:rsid w:val="000F754F"/>
    <w:rsid w:val="000F7A79"/>
    <w:rsid w:val="00100807"/>
    <w:rsid w:val="001120E2"/>
    <w:rsid w:val="00113B45"/>
    <w:rsid w:val="0012487E"/>
    <w:rsid w:val="0013088C"/>
    <w:rsid w:val="00130BDC"/>
    <w:rsid w:val="00141DC3"/>
    <w:rsid w:val="0016429D"/>
    <w:rsid w:val="00172E11"/>
    <w:rsid w:val="00180B77"/>
    <w:rsid w:val="001863FC"/>
    <w:rsid w:val="001917BE"/>
    <w:rsid w:val="00193E51"/>
    <w:rsid w:val="001A328E"/>
    <w:rsid w:val="001C0027"/>
    <w:rsid w:val="001C74A8"/>
    <w:rsid w:val="001E6A74"/>
    <w:rsid w:val="001E7531"/>
    <w:rsid w:val="001F41D0"/>
    <w:rsid w:val="00204D9C"/>
    <w:rsid w:val="00220F16"/>
    <w:rsid w:val="002227E9"/>
    <w:rsid w:val="0022492D"/>
    <w:rsid w:val="00226DCC"/>
    <w:rsid w:val="0023397F"/>
    <w:rsid w:val="00253709"/>
    <w:rsid w:val="00254C5B"/>
    <w:rsid w:val="00267B96"/>
    <w:rsid w:val="00282DB5"/>
    <w:rsid w:val="0029063D"/>
    <w:rsid w:val="002C0293"/>
    <w:rsid w:val="002C3EEA"/>
    <w:rsid w:val="002C521F"/>
    <w:rsid w:val="002D273A"/>
    <w:rsid w:val="002F5ECF"/>
    <w:rsid w:val="003342CD"/>
    <w:rsid w:val="00334346"/>
    <w:rsid w:val="00335042"/>
    <w:rsid w:val="003405AD"/>
    <w:rsid w:val="00362B70"/>
    <w:rsid w:val="00384D5B"/>
    <w:rsid w:val="00392BBA"/>
    <w:rsid w:val="003954FD"/>
    <w:rsid w:val="0039665D"/>
    <w:rsid w:val="003B5BD4"/>
    <w:rsid w:val="003E1CE3"/>
    <w:rsid w:val="003E645F"/>
    <w:rsid w:val="004061B4"/>
    <w:rsid w:val="00415F79"/>
    <w:rsid w:val="004268FA"/>
    <w:rsid w:val="00433771"/>
    <w:rsid w:val="00446643"/>
    <w:rsid w:val="0045246F"/>
    <w:rsid w:val="00454F7B"/>
    <w:rsid w:val="00456BDD"/>
    <w:rsid w:val="00457901"/>
    <w:rsid w:val="00462095"/>
    <w:rsid w:val="00464BE1"/>
    <w:rsid w:val="00471CBF"/>
    <w:rsid w:val="004738E4"/>
    <w:rsid w:val="00475077"/>
    <w:rsid w:val="00481285"/>
    <w:rsid w:val="004A0DBD"/>
    <w:rsid w:val="004B3C0F"/>
    <w:rsid w:val="004C05E4"/>
    <w:rsid w:val="004C1833"/>
    <w:rsid w:val="004D121E"/>
    <w:rsid w:val="004D3A01"/>
    <w:rsid w:val="004E1405"/>
    <w:rsid w:val="004E2A41"/>
    <w:rsid w:val="004E39E1"/>
    <w:rsid w:val="004F36C2"/>
    <w:rsid w:val="00503E44"/>
    <w:rsid w:val="00511C41"/>
    <w:rsid w:val="00515283"/>
    <w:rsid w:val="005154AF"/>
    <w:rsid w:val="00533926"/>
    <w:rsid w:val="00535DE4"/>
    <w:rsid w:val="00547213"/>
    <w:rsid w:val="00554669"/>
    <w:rsid w:val="0055675D"/>
    <w:rsid w:val="00565FBD"/>
    <w:rsid w:val="00566E8F"/>
    <w:rsid w:val="00577466"/>
    <w:rsid w:val="00581108"/>
    <w:rsid w:val="005814D6"/>
    <w:rsid w:val="00581787"/>
    <w:rsid w:val="005833BE"/>
    <w:rsid w:val="00597197"/>
    <w:rsid w:val="005A5966"/>
    <w:rsid w:val="005B7500"/>
    <w:rsid w:val="005C37DA"/>
    <w:rsid w:val="005C68FD"/>
    <w:rsid w:val="005D1612"/>
    <w:rsid w:val="005D5A3A"/>
    <w:rsid w:val="005D7D5A"/>
    <w:rsid w:val="005E0461"/>
    <w:rsid w:val="005E33BA"/>
    <w:rsid w:val="005E3BA4"/>
    <w:rsid w:val="005E4BAC"/>
    <w:rsid w:val="005F2C05"/>
    <w:rsid w:val="0060130D"/>
    <w:rsid w:val="00601439"/>
    <w:rsid w:val="00627806"/>
    <w:rsid w:val="0063188A"/>
    <w:rsid w:val="00634495"/>
    <w:rsid w:val="0064129F"/>
    <w:rsid w:val="00643D77"/>
    <w:rsid w:val="00647BB7"/>
    <w:rsid w:val="00653C9A"/>
    <w:rsid w:val="00657053"/>
    <w:rsid w:val="00666675"/>
    <w:rsid w:val="006704B2"/>
    <w:rsid w:val="00670ACB"/>
    <w:rsid w:val="0068033E"/>
    <w:rsid w:val="00697B0C"/>
    <w:rsid w:val="006A0786"/>
    <w:rsid w:val="006A539E"/>
    <w:rsid w:val="006B0358"/>
    <w:rsid w:val="006B23B3"/>
    <w:rsid w:val="006B734A"/>
    <w:rsid w:val="006C38BA"/>
    <w:rsid w:val="006E0FAA"/>
    <w:rsid w:val="006F6E12"/>
    <w:rsid w:val="00706B3F"/>
    <w:rsid w:val="0072536C"/>
    <w:rsid w:val="007258BA"/>
    <w:rsid w:val="00730AD4"/>
    <w:rsid w:val="00732926"/>
    <w:rsid w:val="00736F61"/>
    <w:rsid w:val="0073711D"/>
    <w:rsid w:val="007407DD"/>
    <w:rsid w:val="007662C7"/>
    <w:rsid w:val="00776306"/>
    <w:rsid w:val="00785142"/>
    <w:rsid w:val="00797110"/>
    <w:rsid w:val="007B1F10"/>
    <w:rsid w:val="007B618D"/>
    <w:rsid w:val="007B796F"/>
    <w:rsid w:val="007C71C5"/>
    <w:rsid w:val="007D1C77"/>
    <w:rsid w:val="007D2122"/>
    <w:rsid w:val="007E018D"/>
    <w:rsid w:val="007E6037"/>
    <w:rsid w:val="007E6AD4"/>
    <w:rsid w:val="007F1B71"/>
    <w:rsid w:val="007F3CFA"/>
    <w:rsid w:val="008011EB"/>
    <w:rsid w:val="00807E7D"/>
    <w:rsid w:val="00824D9E"/>
    <w:rsid w:val="00826425"/>
    <w:rsid w:val="00831675"/>
    <w:rsid w:val="008320D1"/>
    <w:rsid w:val="00842AC3"/>
    <w:rsid w:val="00847091"/>
    <w:rsid w:val="008520D2"/>
    <w:rsid w:val="00856373"/>
    <w:rsid w:val="00865E96"/>
    <w:rsid w:val="008732AA"/>
    <w:rsid w:val="008839E8"/>
    <w:rsid w:val="0088467C"/>
    <w:rsid w:val="00894579"/>
    <w:rsid w:val="008A5B67"/>
    <w:rsid w:val="008B3EC3"/>
    <w:rsid w:val="008B7C2C"/>
    <w:rsid w:val="008D0B56"/>
    <w:rsid w:val="008D16F7"/>
    <w:rsid w:val="008D59DF"/>
    <w:rsid w:val="008F3501"/>
    <w:rsid w:val="009021AB"/>
    <w:rsid w:val="009143A0"/>
    <w:rsid w:val="009236CD"/>
    <w:rsid w:val="00925157"/>
    <w:rsid w:val="0092725B"/>
    <w:rsid w:val="00927CE2"/>
    <w:rsid w:val="0093694B"/>
    <w:rsid w:val="00954679"/>
    <w:rsid w:val="009701EA"/>
    <w:rsid w:val="00970D6E"/>
    <w:rsid w:val="009811B1"/>
    <w:rsid w:val="009976B3"/>
    <w:rsid w:val="009B06D9"/>
    <w:rsid w:val="009B0CCE"/>
    <w:rsid w:val="009B162B"/>
    <w:rsid w:val="009B3D86"/>
    <w:rsid w:val="009D3598"/>
    <w:rsid w:val="009E2F86"/>
    <w:rsid w:val="009F57C4"/>
    <w:rsid w:val="00A12209"/>
    <w:rsid w:val="00A15BFE"/>
    <w:rsid w:val="00A30F3A"/>
    <w:rsid w:val="00A329C9"/>
    <w:rsid w:val="00A36DF3"/>
    <w:rsid w:val="00A42A8A"/>
    <w:rsid w:val="00A43888"/>
    <w:rsid w:val="00A51263"/>
    <w:rsid w:val="00A51C4B"/>
    <w:rsid w:val="00A532DD"/>
    <w:rsid w:val="00A5519F"/>
    <w:rsid w:val="00A60368"/>
    <w:rsid w:val="00A60C61"/>
    <w:rsid w:val="00A80BCF"/>
    <w:rsid w:val="00A8369C"/>
    <w:rsid w:val="00A83C64"/>
    <w:rsid w:val="00A94A90"/>
    <w:rsid w:val="00AA0CD3"/>
    <w:rsid w:val="00AA1689"/>
    <w:rsid w:val="00AA62F4"/>
    <w:rsid w:val="00AB7829"/>
    <w:rsid w:val="00AC1D15"/>
    <w:rsid w:val="00AC3DC3"/>
    <w:rsid w:val="00AC7A93"/>
    <w:rsid w:val="00AF5F7E"/>
    <w:rsid w:val="00B005E8"/>
    <w:rsid w:val="00B07B0C"/>
    <w:rsid w:val="00B25563"/>
    <w:rsid w:val="00B25875"/>
    <w:rsid w:val="00B26D48"/>
    <w:rsid w:val="00B40DEC"/>
    <w:rsid w:val="00B42EE1"/>
    <w:rsid w:val="00B542B4"/>
    <w:rsid w:val="00B548A9"/>
    <w:rsid w:val="00B550F1"/>
    <w:rsid w:val="00B717C6"/>
    <w:rsid w:val="00B71F46"/>
    <w:rsid w:val="00B837C2"/>
    <w:rsid w:val="00B84831"/>
    <w:rsid w:val="00B91573"/>
    <w:rsid w:val="00B92478"/>
    <w:rsid w:val="00BB6150"/>
    <w:rsid w:val="00BD375F"/>
    <w:rsid w:val="00BD4BA8"/>
    <w:rsid w:val="00BD551E"/>
    <w:rsid w:val="00BD61A2"/>
    <w:rsid w:val="00BE484D"/>
    <w:rsid w:val="00BF5F4E"/>
    <w:rsid w:val="00C035B8"/>
    <w:rsid w:val="00C05471"/>
    <w:rsid w:val="00C15976"/>
    <w:rsid w:val="00C3441B"/>
    <w:rsid w:val="00C36766"/>
    <w:rsid w:val="00C379B7"/>
    <w:rsid w:val="00C37E05"/>
    <w:rsid w:val="00C47D29"/>
    <w:rsid w:val="00C549FC"/>
    <w:rsid w:val="00C55D29"/>
    <w:rsid w:val="00C74F7D"/>
    <w:rsid w:val="00C85A96"/>
    <w:rsid w:val="00C8702D"/>
    <w:rsid w:val="00CA0BE9"/>
    <w:rsid w:val="00CA138D"/>
    <w:rsid w:val="00CA1E91"/>
    <w:rsid w:val="00CB0B8A"/>
    <w:rsid w:val="00CC53BC"/>
    <w:rsid w:val="00CC7641"/>
    <w:rsid w:val="00D13794"/>
    <w:rsid w:val="00D24052"/>
    <w:rsid w:val="00D307ED"/>
    <w:rsid w:val="00D31575"/>
    <w:rsid w:val="00D31B35"/>
    <w:rsid w:val="00D34626"/>
    <w:rsid w:val="00D3583B"/>
    <w:rsid w:val="00D4257A"/>
    <w:rsid w:val="00D5099D"/>
    <w:rsid w:val="00D52642"/>
    <w:rsid w:val="00D533B7"/>
    <w:rsid w:val="00D53638"/>
    <w:rsid w:val="00D62665"/>
    <w:rsid w:val="00D70187"/>
    <w:rsid w:val="00DA001C"/>
    <w:rsid w:val="00DA6F4E"/>
    <w:rsid w:val="00DC02DC"/>
    <w:rsid w:val="00DC0CDE"/>
    <w:rsid w:val="00DC4D72"/>
    <w:rsid w:val="00DC6D7A"/>
    <w:rsid w:val="00DD2B6B"/>
    <w:rsid w:val="00DF136F"/>
    <w:rsid w:val="00E0624D"/>
    <w:rsid w:val="00E24FEB"/>
    <w:rsid w:val="00E31A39"/>
    <w:rsid w:val="00E37B70"/>
    <w:rsid w:val="00E43132"/>
    <w:rsid w:val="00E4438C"/>
    <w:rsid w:val="00E457F3"/>
    <w:rsid w:val="00E47405"/>
    <w:rsid w:val="00E62F9A"/>
    <w:rsid w:val="00E810A9"/>
    <w:rsid w:val="00EB7E71"/>
    <w:rsid w:val="00EC38FD"/>
    <w:rsid w:val="00EC5D2D"/>
    <w:rsid w:val="00EE3502"/>
    <w:rsid w:val="00EE70B1"/>
    <w:rsid w:val="00EF2F4F"/>
    <w:rsid w:val="00EF4DAF"/>
    <w:rsid w:val="00F03568"/>
    <w:rsid w:val="00F07A94"/>
    <w:rsid w:val="00F109D4"/>
    <w:rsid w:val="00F11F5E"/>
    <w:rsid w:val="00F20F62"/>
    <w:rsid w:val="00F21446"/>
    <w:rsid w:val="00F415BA"/>
    <w:rsid w:val="00F47585"/>
    <w:rsid w:val="00F52B5E"/>
    <w:rsid w:val="00F55D43"/>
    <w:rsid w:val="00F62F61"/>
    <w:rsid w:val="00F658E0"/>
    <w:rsid w:val="00F65AD8"/>
    <w:rsid w:val="00F7601B"/>
    <w:rsid w:val="00F77DCC"/>
    <w:rsid w:val="00F80161"/>
    <w:rsid w:val="00F817EE"/>
    <w:rsid w:val="00F8659C"/>
    <w:rsid w:val="00FA319E"/>
    <w:rsid w:val="00FA4016"/>
    <w:rsid w:val="00FD12DC"/>
    <w:rsid w:val="00FE04E4"/>
    <w:rsid w:val="00FE1192"/>
    <w:rsid w:val="00FE4DFD"/>
    <w:rsid w:val="00FE5441"/>
    <w:rsid w:val="00FE73F9"/>
    <w:rsid w:val="00FF1057"/>
    <w:rsid w:val="00FF20B1"/>
    <w:rsid w:val="00FF3E25"/>
    <w:rsid w:val="00FF55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1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customStyle="1" w:styleId="base-text-paragraphChar">
    <w:name w:val="base-text-paragraph Char"/>
    <w:basedOn w:val="DefaultParagraphFont"/>
    <w:link w:val="base-text-paragraph"/>
    <w:rsid w:val="00BD375F"/>
    <w:rPr>
      <w:sz w:val="24"/>
    </w:rPr>
  </w:style>
  <w:style w:type="paragraph" w:styleId="Revision">
    <w:name w:val="Revision"/>
    <w:hidden/>
    <w:uiPriority w:val="99"/>
    <w:semiHidden/>
    <w:rsid w:val="00670AC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customStyle="1" w:styleId="base-text-paragraphChar">
    <w:name w:val="base-text-paragraph Char"/>
    <w:basedOn w:val="DefaultParagraphFont"/>
    <w:link w:val="base-text-paragraph"/>
    <w:rsid w:val="00BD375F"/>
    <w:rPr>
      <w:sz w:val="24"/>
    </w:rPr>
  </w:style>
  <w:style w:type="paragraph" w:styleId="Revision">
    <w:name w:val="Revision"/>
    <w:hidden/>
    <w:uiPriority w:val="99"/>
    <w:semiHidden/>
    <w:rsid w:val="00670AC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744766362">
      <w:bodyDiv w:val="1"/>
      <w:marLeft w:val="0"/>
      <w:marRight w:val="0"/>
      <w:marTop w:val="0"/>
      <w:marBottom w:val="0"/>
      <w:divBdr>
        <w:top w:val="none" w:sz="0" w:space="0" w:color="auto"/>
        <w:left w:val="none" w:sz="0" w:space="0" w:color="auto"/>
        <w:bottom w:val="none" w:sz="0" w:space="0" w:color="auto"/>
        <w:right w:val="none" w:sz="0" w:space="0" w:color="auto"/>
      </w:divBdr>
    </w:div>
    <w:div w:id="1285960634">
      <w:bodyDiv w:val="1"/>
      <w:marLeft w:val="0"/>
      <w:marRight w:val="0"/>
      <w:marTop w:val="0"/>
      <w:marBottom w:val="0"/>
      <w:divBdr>
        <w:top w:val="none" w:sz="0" w:space="0" w:color="auto"/>
        <w:left w:val="none" w:sz="0" w:space="0" w:color="auto"/>
        <w:bottom w:val="none" w:sz="0" w:space="0" w:color="auto"/>
        <w:right w:val="none" w:sz="0" w:space="0" w:color="auto"/>
      </w:divBdr>
    </w:div>
    <w:div w:id="191589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TaxCatchAll xmlns="d4dd4adf-ddb3-46a3-8d7c-fab3fb2a6bc7">
      <Value>7</Value>
    </TaxCatchAll>
    <_dlc_DocId xmlns="d4dd4adf-ddb3-46a3-8d7c-fab3fb2a6bc7">2017MG-93-28487</_dlc_DocId>
    <_dlc_DocIdUrl xmlns="d4dd4adf-ddb3-46a3-8d7c-fab3fb2a6bc7">
      <Url>http://tweb/sites/mg/fsd/_layouts/15/DocIdRedir.aspx?ID=2017MG-93-28487</Url>
      <Description>2017MG-93-28487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7530" ma:contentTypeDescription=" " ma:contentTypeScope="" ma:versionID="ca8551819679dbcfab076b343993ca1d">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c503b9868a9c7fd64df2468f502cf846"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78533-3486-40E5-9013-DD26FD164D39}">
  <ds:schemaRefs>
    <ds:schemaRef ds:uri="http://schemas.microsoft.com/office/infopath/2007/PartnerControls"/>
    <ds:schemaRef ds:uri="http://www.w3.org/XML/1998/namespace"/>
    <ds:schemaRef ds:uri="d4dd4adf-ddb3-46a3-8d7c-fab3fb2a6bc7"/>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schemas.microsoft.com/sharepoint/v4"/>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377B74E4-32B8-4625-B004-416270FD1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B066F5-72E0-4EE3-9611-52BF24E5A751}">
  <ds:schemaRefs>
    <ds:schemaRef ds:uri="http://schemas.microsoft.com/sharepoint/events"/>
  </ds:schemaRefs>
</ds:datastoreItem>
</file>

<file path=customXml/itemProps5.xml><?xml version="1.0" encoding="utf-8"?>
<ds:datastoreItem xmlns:ds="http://schemas.openxmlformats.org/officeDocument/2006/customXml" ds:itemID="{F9F82C47-3BDB-4B0E-BDEC-60D1DB023A59}">
  <ds:schemaRefs>
    <ds:schemaRef ds:uri="http://schemas.microsoft.com/sharepoint/events"/>
  </ds:schemaRefs>
</ds:datastoreItem>
</file>

<file path=customXml/itemProps6.xml><?xml version="1.0" encoding="utf-8"?>
<ds:datastoreItem xmlns:ds="http://schemas.openxmlformats.org/officeDocument/2006/customXml" ds:itemID="{35870547-28C3-4346-8984-05350DF03B69}">
  <ds:schemaRefs>
    <ds:schemaRef ds:uri="office.server.policy"/>
  </ds:schemaRefs>
</ds:datastoreItem>
</file>

<file path=customXml/itemProps7.xml><?xml version="1.0" encoding="utf-8"?>
<ds:datastoreItem xmlns:ds="http://schemas.openxmlformats.org/officeDocument/2006/customXml" ds:itemID="{2AEB071B-4EE9-4805-92AB-5101BB20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4</TotalTime>
  <Pages>5</Pages>
  <Words>1641</Words>
  <Characters>8945</Characters>
  <Application>Microsoft Office Word</Application>
  <DocSecurity>0</DocSecurity>
  <Lines>162</Lines>
  <Paragraphs>60</Paragraphs>
  <ScaleCrop>false</ScaleCrop>
  <HeadingPairs>
    <vt:vector size="2" baseType="variant">
      <vt:variant>
        <vt:lpstr>Title</vt:lpstr>
      </vt:variant>
      <vt:variant>
        <vt:i4>1</vt:i4>
      </vt:variant>
    </vt:vector>
  </HeadingPairs>
  <TitlesOfParts>
    <vt:vector size="1" baseType="lpstr">
      <vt:lpstr>Corporations Amendment (Crowd-sourced Funding) Regulations 2018 - Expanatory Statement</vt:lpstr>
    </vt:vector>
  </TitlesOfParts>
  <Company>ATO</Company>
  <LinksUpToDate>false</LinksUpToDate>
  <CharactersWithSpaces>10526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Corporations Amendment (Crowd-sourced Funding) Regulations 2018 - Expanatory Statement</dc:title>
  <dc:creator>The Treasury</dc:creator>
  <cp:lastModifiedBy>Hill, Christine</cp:lastModifiedBy>
  <cp:revision>6</cp:revision>
  <cp:lastPrinted>2017-12-11T03:33:00Z</cp:lastPrinted>
  <dcterms:created xsi:type="dcterms:W3CDTF">2017-12-01T05:31:00Z</dcterms:created>
  <dcterms:modified xsi:type="dcterms:W3CDTF">2017-12-11T04:16:00Z</dcterms:modified>
</cp:coreProperties>
</file>