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7BAFB" w14:textId="77777777" w:rsidR="00CC700E" w:rsidRDefault="00F33036" w:rsidP="00F933DB">
      <w:pPr>
        <w:spacing w:before="1200"/>
        <w:ind w:right="229"/>
        <w:jc w:val="right"/>
      </w:pPr>
      <w:bookmarkStart w:id="0" w:name="_GoBack"/>
      <w:bookmarkEnd w:id="0"/>
      <w:r>
        <w:t xml:space="preserve"> </w:t>
      </w:r>
      <w:r w:rsidR="00045A23">
        <w:rPr>
          <w:noProof/>
          <w:lang w:eastAsia="en-AU"/>
        </w:rPr>
        <w:drawing>
          <wp:inline distT="0" distB="0" distL="0" distR="0" wp14:anchorId="68004B7F" wp14:editId="6E5D45C3">
            <wp:extent cx="2894330" cy="5784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4330" cy="578485"/>
                    </a:xfrm>
                    <a:prstGeom prst="rect">
                      <a:avLst/>
                    </a:prstGeom>
                    <a:noFill/>
                  </pic:spPr>
                </pic:pic>
              </a:graphicData>
            </a:graphic>
          </wp:inline>
        </w:drawing>
      </w:r>
    </w:p>
    <w:p w14:paraId="451D329C" w14:textId="77777777" w:rsidR="00CC700E" w:rsidRDefault="00CC700E" w:rsidP="00670690">
      <w:pPr>
        <w:spacing w:before="3480"/>
        <w:ind w:right="229"/>
      </w:pPr>
    </w:p>
    <w:p w14:paraId="0C2B553B" w14:textId="77777777" w:rsidR="00F933DB" w:rsidRPr="00F933DB" w:rsidRDefault="00F933DB" w:rsidP="00F933DB">
      <w:pPr>
        <w:pStyle w:val="Title"/>
        <w:ind w:right="229"/>
        <w:rPr>
          <w:color w:val="808080" w:themeColor="background1" w:themeShade="80"/>
          <w:sz w:val="44"/>
          <w:szCs w:val="44"/>
        </w:rPr>
      </w:pPr>
      <w:r w:rsidRPr="00F933DB">
        <w:rPr>
          <w:color w:val="808080" w:themeColor="background1" w:themeShade="80"/>
          <w:sz w:val="44"/>
          <w:szCs w:val="44"/>
        </w:rPr>
        <w:t>Submission by the</w:t>
      </w:r>
      <w:r w:rsidRPr="00F933DB">
        <w:rPr>
          <w:color w:val="808080" w:themeColor="background1" w:themeShade="80"/>
          <w:sz w:val="44"/>
          <w:szCs w:val="44"/>
        </w:rPr>
        <w:br/>
        <w:t>Commonwealth Ombudsman</w:t>
      </w:r>
    </w:p>
    <w:p w14:paraId="757161A4" w14:textId="77777777" w:rsidR="00CC700E" w:rsidRPr="00CC3824" w:rsidRDefault="00725FDE" w:rsidP="00CC3824">
      <w:pPr>
        <w:pStyle w:val="Title"/>
        <w:ind w:right="229"/>
        <w:rPr>
          <w:bCs/>
          <w:lang w:val="en"/>
        </w:rPr>
      </w:pPr>
      <w:r>
        <w:rPr>
          <w:bCs/>
          <w:lang w:val="en"/>
        </w:rPr>
        <w:t>Treasury r</w:t>
      </w:r>
      <w:r w:rsidRPr="00CE32E7">
        <w:rPr>
          <w:bCs/>
          <w:lang w:val="en"/>
        </w:rPr>
        <w:t>eview of the early release of superannuation benefits</w:t>
      </w:r>
    </w:p>
    <w:p w14:paraId="19BBCD09" w14:textId="77777777" w:rsidR="00036009" w:rsidRDefault="00CE32E7" w:rsidP="00036009">
      <w:pPr>
        <w:pStyle w:val="Heading6"/>
        <w:spacing w:after="0"/>
        <w:ind w:right="227"/>
        <w:jc w:val="right"/>
        <w:rPr>
          <w:rStyle w:val="SubtitleChar"/>
          <w:b/>
        </w:rPr>
      </w:pPr>
      <w:r>
        <w:rPr>
          <w:rStyle w:val="SubtitleChar"/>
          <w:b/>
        </w:rPr>
        <w:t>EARLY RELEASE OF SUPERANNUATION BENEFITS UNDER FINANCIAL HARDSHIP GROUNDS AND FOR VICTIMS OF CRIME COMPENSATION</w:t>
      </w:r>
    </w:p>
    <w:p w14:paraId="54B5A0DE" w14:textId="77777777" w:rsidR="00036009" w:rsidRPr="00036009" w:rsidRDefault="00036009" w:rsidP="00036009">
      <w:pPr>
        <w:pStyle w:val="Heading6"/>
        <w:spacing w:after="0"/>
        <w:ind w:right="227"/>
        <w:jc w:val="right"/>
        <w:rPr>
          <w:rFonts w:ascii="Calibri" w:hAnsi="Calibri"/>
          <w:color w:val="808080"/>
          <w:sz w:val="32"/>
        </w:rPr>
      </w:pPr>
      <w:r>
        <w:rPr>
          <w:rStyle w:val="SubtitleChar"/>
          <w:b/>
        </w:rPr>
        <w:t xml:space="preserve">CONSULTATION PAPER </w:t>
      </w:r>
    </w:p>
    <w:p w14:paraId="56E9533E" w14:textId="45EACEFF" w:rsidR="00EC055E" w:rsidRDefault="00DA5BD2" w:rsidP="00EC055E">
      <w:pPr>
        <w:pStyle w:val="Heading6"/>
        <w:spacing w:after="0"/>
        <w:ind w:right="227"/>
        <w:jc w:val="right"/>
        <w:rPr>
          <w:rStyle w:val="SubtitleChar"/>
          <w:b/>
        </w:rPr>
      </w:pPr>
      <w:r>
        <w:rPr>
          <w:rStyle w:val="SubtitleChar"/>
          <w:b/>
        </w:rPr>
        <w:t>DECEMBER 2017</w:t>
      </w:r>
    </w:p>
    <w:p w14:paraId="502B4F42" w14:textId="77777777" w:rsidR="00EC055E" w:rsidRDefault="00EC055E" w:rsidP="00EC055E">
      <w:pPr>
        <w:pStyle w:val="Heading6"/>
        <w:spacing w:after="0"/>
        <w:ind w:right="227"/>
        <w:jc w:val="right"/>
        <w:rPr>
          <w:rStyle w:val="SubtitleChar"/>
          <w:b/>
        </w:rPr>
      </w:pPr>
    </w:p>
    <w:p w14:paraId="288C79BC" w14:textId="77777777" w:rsidR="00EC055E" w:rsidRDefault="00EC055E" w:rsidP="00EC055E">
      <w:pPr>
        <w:pStyle w:val="Heading6"/>
        <w:spacing w:after="0"/>
        <w:ind w:right="227"/>
        <w:jc w:val="right"/>
        <w:rPr>
          <w:rStyle w:val="SubtitleChar"/>
          <w:b/>
        </w:rPr>
      </w:pPr>
    </w:p>
    <w:p w14:paraId="3026E436" w14:textId="77777777" w:rsidR="00EC055E" w:rsidRDefault="00EC055E" w:rsidP="00EC055E">
      <w:pPr>
        <w:pStyle w:val="Heading6"/>
        <w:spacing w:after="0"/>
        <w:ind w:right="227"/>
        <w:jc w:val="right"/>
        <w:rPr>
          <w:rStyle w:val="SubtitleChar"/>
          <w:b/>
        </w:rPr>
      </w:pPr>
    </w:p>
    <w:p w14:paraId="5F0DA6F5" w14:textId="77777777" w:rsidR="00EC055E" w:rsidRDefault="00EC055E" w:rsidP="00EC055E">
      <w:pPr>
        <w:pStyle w:val="Heading6"/>
        <w:spacing w:after="0"/>
        <w:ind w:right="227"/>
        <w:jc w:val="right"/>
        <w:rPr>
          <w:rStyle w:val="SubtitleChar"/>
          <w:b/>
        </w:rPr>
      </w:pPr>
    </w:p>
    <w:p w14:paraId="29CAFFD0" w14:textId="77777777" w:rsidR="00422973" w:rsidRPr="00422973" w:rsidRDefault="00422973" w:rsidP="00422973"/>
    <w:p w14:paraId="6BC49D3C" w14:textId="77777777" w:rsidR="00CC700E" w:rsidRPr="00EC055E" w:rsidRDefault="00F933DB" w:rsidP="00EC055E">
      <w:pPr>
        <w:pStyle w:val="Heading6"/>
        <w:spacing w:after="0"/>
        <w:ind w:right="227"/>
        <w:jc w:val="right"/>
        <w:rPr>
          <w:rFonts w:ascii="Calibri" w:hAnsi="Calibri"/>
          <w:b w:val="0"/>
          <w:color w:val="808080"/>
          <w:sz w:val="32"/>
        </w:rPr>
      </w:pPr>
      <w:r w:rsidRPr="00EC055E">
        <w:rPr>
          <w:rFonts w:ascii="Calibri" w:hAnsi="Calibri"/>
          <w:b w:val="0"/>
        </w:rPr>
        <w:t>Submission by the Commonwealth Ombudsman, Michael Manthorpe</w:t>
      </w:r>
    </w:p>
    <w:p w14:paraId="70D0FC5B" w14:textId="77777777" w:rsidR="00F933DB" w:rsidRPr="00F933DB" w:rsidRDefault="004C2430" w:rsidP="00F933DB">
      <w:pPr>
        <w:ind w:left="720" w:right="229"/>
        <w:jc w:val="right"/>
        <w:rPr>
          <w:rFonts w:cs="Arial"/>
          <w:b/>
          <w:color w:val="000000" w:themeColor="text1"/>
          <w:sz w:val="32"/>
          <w:szCs w:val="32"/>
        </w:rPr>
      </w:pPr>
      <w:r>
        <w:rPr>
          <w:rFonts w:cs="Arial"/>
          <w:b/>
          <w:color w:val="000000" w:themeColor="text1"/>
          <w:sz w:val="32"/>
          <w:szCs w:val="32"/>
        </w:rPr>
        <w:t>February 2018</w:t>
      </w:r>
    </w:p>
    <w:p w14:paraId="1C6E2F1D" w14:textId="77777777" w:rsidR="00B4367E" w:rsidRPr="00B4367E" w:rsidRDefault="00B4367E" w:rsidP="00B4367E"/>
    <w:p w14:paraId="4A122F58" w14:textId="77777777" w:rsidR="00B4367E" w:rsidRDefault="00B4367E">
      <w:pPr>
        <w:ind w:left="720"/>
        <w:jc w:val="right"/>
        <w:rPr>
          <w:rFonts w:cs="Arial"/>
          <w:b/>
          <w:sz w:val="28"/>
        </w:rPr>
        <w:sectPr w:rsidR="00B4367E">
          <w:headerReference w:type="default" r:id="rId15"/>
          <w:footerReference w:type="even" r:id="rId16"/>
          <w:footerReference w:type="default" r:id="rId17"/>
          <w:type w:val="continuous"/>
          <w:pgSz w:w="11894" w:h="16834" w:code="9"/>
          <w:pgMar w:top="1440" w:right="1580" w:bottom="1140" w:left="1580" w:header="706" w:footer="706" w:gutter="0"/>
          <w:cols w:space="709"/>
          <w:titlePg/>
        </w:sectPr>
      </w:pPr>
    </w:p>
    <w:p w14:paraId="36AF2B92" w14:textId="77777777" w:rsidR="00CC700E" w:rsidRDefault="00F933DB" w:rsidP="00F933DB">
      <w:pPr>
        <w:pStyle w:val="Heading1"/>
      </w:pPr>
      <w:r>
        <w:lastRenderedPageBreak/>
        <w:t>Introduction and summary</w:t>
      </w:r>
    </w:p>
    <w:p w14:paraId="79274964" w14:textId="77777777" w:rsidR="00201AAB" w:rsidRDefault="00201AAB" w:rsidP="00201AAB">
      <w:pPr>
        <w:rPr>
          <w:rFonts w:asciiTheme="minorHAnsi" w:hAnsiTheme="minorHAnsi"/>
          <w:szCs w:val="22"/>
        </w:rPr>
      </w:pPr>
      <w:r>
        <w:t xml:space="preserve">The </w:t>
      </w:r>
      <w:r w:rsidRPr="003322CD">
        <w:rPr>
          <w:rFonts w:asciiTheme="minorHAnsi" w:hAnsiTheme="minorHAnsi"/>
          <w:szCs w:val="22"/>
        </w:rPr>
        <w:t>Superannuation Industry (Supervision) Regulations 1994</w:t>
      </w:r>
      <w:r>
        <w:rPr>
          <w:rFonts w:asciiTheme="minorHAnsi" w:hAnsiTheme="minorHAnsi"/>
          <w:szCs w:val="22"/>
        </w:rPr>
        <w:t xml:space="preserve"> allow a person to access their superannuation early on two specified grounds: severe financial hardship and compassionate grounds. </w:t>
      </w:r>
    </w:p>
    <w:p w14:paraId="73377ADC" w14:textId="3D947502" w:rsidR="00201AAB" w:rsidRDefault="00201AAB" w:rsidP="00201AAB">
      <w:pPr>
        <w:rPr>
          <w:rFonts w:asciiTheme="minorHAnsi" w:hAnsiTheme="minorHAnsi"/>
          <w:szCs w:val="22"/>
        </w:rPr>
      </w:pPr>
      <w:r>
        <w:rPr>
          <w:rFonts w:asciiTheme="minorHAnsi" w:hAnsiTheme="minorHAnsi"/>
          <w:szCs w:val="22"/>
        </w:rPr>
        <w:t xml:space="preserve">This submission focuses primarily on </w:t>
      </w:r>
      <w:r w:rsidR="00F75FC8">
        <w:rPr>
          <w:rFonts w:asciiTheme="minorHAnsi" w:hAnsiTheme="minorHAnsi"/>
          <w:szCs w:val="22"/>
        </w:rPr>
        <w:t>the trends</w:t>
      </w:r>
      <w:r>
        <w:rPr>
          <w:rFonts w:asciiTheme="minorHAnsi" w:hAnsiTheme="minorHAnsi"/>
          <w:szCs w:val="22"/>
        </w:rPr>
        <w:t xml:space="preserve"> we have identified through complaints </w:t>
      </w:r>
      <w:r w:rsidR="0043424E">
        <w:rPr>
          <w:rFonts w:asciiTheme="minorHAnsi" w:hAnsiTheme="minorHAnsi"/>
          <w:szCs w:val="22"/>
        </w:rPr>
        <w:t>this</w:t>
      </w:r>
      <w:r>
        <w:rPr>
          <w:rFonts w:asciiTheme="minorHAnsi" w:hAnsiTheme="minorHAnsi"/>
          <w:szCs w:val="22"/>
        </w:rPr>
        <w:t xml:space="preserve"> Office has received</w:t>
      </w:r>
      <w:r w:rsidR="00406878">
        <w:rPr>
          <w:rFonts w:asciiTheme="minorHAnsi" w:hAnsiTheme="minorHAnsi"/>
          <w:szCs w:val="22"/>
        </w:rPr>
        <w:t xml:space="preserve"> about the Department of Human Services’ (DHS) administration of early release of superannuation applications</w:t>
      </w:r>
      <w:r>
        <w:rPr>
          <w:rFonts w:asciiTheme="minorHAnsi" w:hAnsiTheme="minorHAnsi"/>
          <w:szCs w:val="22"/>
        </w:rPr>
        <w:t xml:space="preserve">. </w:t>
      </w:r>
    </w:p>
    <w:p w14:paraId="32713BBD" w14:textId="77777777" w:rsidR="00201AAB" w:rsidRDefault="00201AAB" w:rsidP="00201AAB">
      <w:r>
        <w:rPr>
          <w:rFonts w:asciiTheme="minorHAnsi" w:hAnsiTheme="minorHAnsi"/>
          <w:szCs w:val="22"/>
        </w:rPr>
        <w:t xml:space="preserve">In relation to Treasury’s proposal for a new ground for early release of superannuation for victims of crime compensation, we believe other submitters will be better placed to provide comment on this proposal. </w:t>
      </w:r>
    </w:p>
    <w:p w14:paraId="3D0D9834" w14:textId="77777777" w:rsidR="00F933DB" w:rsidRPr="00F933DB" w:rsidRDefault="00F933DB" w:rsidP="00F933DB">
      <w:pPr>
        <w:pStyle w:val="Heading1"/>
      </w:pPr>
      <w:r>
        <w:t>Background</w:t>
      </w:r>
    </w:p>
    <w:p w14:paraId="4D94D4DD" w14:textId="77777777" w:rsidR="00F933DB" w:rsidRPr="006868E8" w:rsidRDefault="00F933DB" w:rsidP="00F933DB">
      <w:pPr>
        <w:spacing w:after="120"/>
      </w:pPr>
      <w:r w:rsidRPr="006868E8">
        <w:t>The Commonwealth Ombudsman safeguards the community in its dealings with Australian Government agencies by:</w:t>
      </w:r>
    </w:p>
    <w:p w14:paraId="61B6F12F" w14:textId="77777777" w:rsidR="00F933DB" w:rsidRPr="00F933DB" w:rsidRDefault="00F933DB" w:rsidP="00F933DB">
      <w:pPr>
        <w:pStyle w:val="Bullets"/>
      </w:pPr>
      <w:r w:rsidRPr="00F933DB">
        <w:t>correcting administrative deficiencies through independent review of complaints about Australian Government administrative action</w:t>
      </w:r>
    </w:p>
    <w:p w14:paraId="424F7C2E" w14:textId="77777777" w:rsidR="00F933DB" w:rsidRPr="00F933DB" w:rsidRDefault="00F933DB" w:rsidP="00F933DB">
      <w:pPr>
        <w:pStyle w:val="Bullets"/>
      </w:pPr>
      <w:r w:rsidRPr="00F933DB">
        <w:t>fostering good public administration that is accountable, lawful, fair, transparent and responsive</w:t>
      </w:r>
    </w:p>
    <w:p w14:paraId="7E5BBDF5" w14:textId="77777777" w:rsidR="00F933DB" w:rsidRPr="00F933DB" w:rsidRDefault="00F933DB" w:rsidP="00F933DB">
      <w:pPr>
        <w:pStyle w:val="Bullets"/>
      </w:pPr>
      <w:r w:rsidRPr="00F933DB">
        <w:t>assisting people to resolve complaints about government administrative action</w:t>
      </w:r>
    </w:p>
    <w:p w14:paraId="20936AA0" w14:textId="77777777" w:rsidR="00F933DB" w:rsidRPr="00F933DB" w:rsidRDefault="00F933DB" w:rsidP="00F933DB">
      <w:pPr>
        <w:pStyle w:val="Bullets"/>
      </w:pPr>
      <w:r w:rsidRPr="00F933DB">
        <w:t>developing policies and principles for accountability, and</w:t>
      </w:r>
    </w:p>
    <w:p w14:paraId="526E3119" w14:textId="77777777" w:rsidR="00F933DB" w:rsidRPr="00F933DB" w:rsidRDefault="00F933DB" w:rsidP="00F933DB">
      <w:pPr>
        <w:pStyle w:val="Bullets"/>
        <w:spacing w:after="240"/>
      </w:pPr>
      <w:r w:rsidRPr="00F933DB">
        <w:t>reviewing statutory compliance by law enforcement agencies with record keeping requirements applying to telephone interception, electronic surveillance and like powers.</w:t>
      </w:r>
    </w:p>
    <w:p w14:paraId="685E7607" w14:textId="252FB108" w:rsidR="00AB1B2B" w:rsidRDefault="00AB1B2B" w:rsidP="00F933DB">
      <w:pPr>
        <w:rPr>
          <w:rFonts w:cs="Arial"/>
          <w:szCs w:val="22"/>
        </w:rPr>
      </w:pPr>
      <w:r>
        <w:rPr>
          <w:rFonts w:cs="Arial"/>
          <w:szCs w:val="22"/>
        </w:rPr>
        <w:t>The Commonwealth Ombudsman</w:t>
      </w:r>
      <w:r w:rsidR="006C5D7F">
        <w:rPr>
          <w:rFonts w:cs="Arial"/>
          <w:szCs w:val="22"/>
        </w:rPr>
        <w:t xml:space="preserve">’s </w:t>
      </w:r>
      <w:r>
        <w:rPr>
          <w:rFonts w:cs="Arial"/>
          <w:szCs w:val="22"/>
        </w:rPr>
        <w:t xml:space="preserve">unique position in the Australian administrative law landscape provides my Office with an understanding of individual experiences from members of the public, who are dissatisfied with the way the government has dealt with their issue. Over time, through investigating individual complaints about the actions of a particular Commonwealth department or agency, the Ombudsman’s Office is able to build up a detailed picture of an agency’s operations and to observe what happens when legislation has unintended consequences. </w:t>
      </w:r>
    </w:p>
    <w:p w14:paraId="0AE2E49B" w14:textId="77777777" w:rsidR="00F933DB" w:rsidRDefault="00AB1B2B" w:rsidP="00F933DB">
      <w:pPr>
        <w:rPr>
          <w:rFonts w:cs="Arial"/>
          <w:szCs w:val="22"/>
        </w:rPr>
      </w:pPr>
      <w:r>
        <w:rPr>
          <w:rFonts w:cs="Arial"/>
          <w:szCs w:val="22"/>
        </w:rPr>
        <w:t xml:space="preserve">Treasury has invited submissions in response to its review of the </w:t>
      </w:r>
      <w:r w:rsidR="006143D1">
        <w:rPr>
          <w:rFonts w:cs="Arial"/>
          <w:szCs w:val="22"/>
        </w:rPr>
        <w:t xml:space="preserve">current grounds for </w:t>
      </w:r>
      <w:r w:rsidR="00F55397">
        <w:rPr>
          <w:rFonts w:cs="Arial"/>
          <w:szCs w:val="22"/>
        </w:rPr>
        <w:t xml:space="preserve">access to </w:t>
      </w:r>
      <w:r>
        <w:rPr>
          <w:rFonts w:cs="Arial"/>
          <w:szCs w:val="22"/>
        </w:rPr>
        <w:t xml:space="preserve">early release of superannuation benefits and for victims of crime compensation. </w:t>
      </w:r>
    </w:p>
    <w:p w14:paraId="3D68BDAA" w14:textId="55560FC1" w:rsidR="00AB1B2B" w:rsidRPr="006868E8" w:rsidRDefault="00AB1B2B" w:rsidP="00F933DB">
      <w:pPr>
        <w:rPr>
          <w:rFonts w:cs="Arial"/>
          <w:szCs w:val="22"/>
        </w:rPr>
      </w:pPr>
      <w:r>
        <w:rPr>
          <w:rFonts w:cs="Arial"/>
          <w:szCs w:val="22"/>
        </w:rPr>
        <w:t xml:space="preserve">We welcome this opportunity to contribute to this </w:t>
      </w:r>
      <w:r w:rsidR="00D47F1A">
        <w:rPr>
          <w:rFonts w:cs="Arial"/>
          <w:szCs w:val="22"/>
        </w:rPr>
        <w:t>consultation paper</w:t>
      </w:r>
      <w:r w:rsidR="008534AE">
        <w:rPr>
          <w:rFonts w:cs="Arial"/>
          <w:szCs w:val="22"/>
        </w:rPr>
        <w:t xml:space="preserve"> </w:t>
      </w:r>
      <w:r>
        <w:rPr>
          <w:rFonts w:cs="Arial"/>
          <w:szCs w:val="22"/>
        </w:rPr>
        <w:t xml:space="preserve">and hope that our submission may usefully inform Treasury’s response to </w:t>
      </w:r>
      <w:r w:rsidR="00931E95">
        <w:rPr>
          <w:rFonts w:cs="Arial"/>
          <w:szCs w:val="22"/>
        </w:rPr>
        <w:t>the Government</w:t>
      </w:r>
      <w:r>
        <w:rPr>
          <w:rFonts w:cs="Arial"/>
          <w:szCs w:val="22"/>
        </w:rPr>
        <w:t xml:space="preserve">. </w:t>
      </w:r>
    </w:p>
    <w:p w14:paraId="7640F4CD" w14:textId="77777777" w:rsidR="00F933DB" w:rsidRPr="006868E8" w:rsidRDefault="00F933DB" w:rsidP="00F933DB">
      <w:pPr>
        <w:pStyle w:val="Heading1"/>
      </w:pPr>
      <w:r w:rsidRPr="006868E8">
        <w:t xml:space="preserve">Response to Terms of Reference </w:t>
      </w:r>
    </w:p>
    <w:p w14:paraId="5DD10B55" w14:textId="77777777" w:rsidR="003D3E6D" w:rsidRDefault="00DA5BD2" w:rsidP="00DA5BD2">
      <w:pPr>
        <w:spacing w:after="0"/>
      </w:pPr>
      <w:r>
        <w:t xml:space="preserve">This submission provides our responses to Questions 1.16, 1.17 and 2.1 in Treasury’s Consultation Paper. In summary, we </w:t>
      </w:r>
      <w:r w:rsidR="00842908">
        <w:t>support</w:t>
      </w:r>
      <w:r w:rsidR="003D3E6D">
        <w:t>:</w:t>
      </w:r>
    </w:p>
    <w:p w14:paraId="31A7461E" w14:textId="77777777" w:rsidR="006C5D7F" w:rsidRDefault="006C5D7F" w:rsidP="00DA5BD2">
      <w:pPr>
        <w:spacing w:after="0"/>
      </w:pPr>
    </w:p>
    <w:p w14:paraId="1BBA2D74" w14:textId="61A72FE2" w:rsidR="003D3E6D" w:rsidRDefault="00DA5BD2" w:rsidP="00C01A48">
      <w:pPr>
        <w:pStyle w:val="ListParagraph"/>
        <w:numPr>
          <w:ilvl w:val="0"/>
          <w:numId w:val="8"/>
        </w:numPr>
        <w:spacing w:after="0"/>
      </w:pPr>
      <w:r>
        <w:t xml:space="preserve">the </w:t>
      </w:r>
      <w:r w:rsidR="00842908">
        <w:t>proposal</w:t>
      </w:r>
      <w:r w:rsidR="003D3E6D">
        <w:t xml:space="preserve"> to b</w:t>
      </w:r>
      <w:r w:rsidR="00283920">
        <w:t>roaden</w:t>
      </w:r>
      <w:r w:rsidR="00842908">
        <w:t xml:space="preserve"> </w:t>
      </w:r>
      <w:r w:rsidR="00FB254A">
        <w:t>the</w:t>
      </w:r>
      <w:r w:rsidR="00A21DF5">
        <w:t xml:space="preserve"> </w:t>
      </w:r>
      <w:r w:rsidR="004A23B4">
        <w:t xml:space="preserve">current mortgage </w:t>
      </w:r>
      <w:r w:rsidR="00FB254A">
        <w:t>gr</w:t>
      </w:r>
      <w:r w:rsidR="00283920">
        <w:t>ound</w:t>
      </w:r>
      <w:r w:rsidR="00FB254A">
        <w:t xml:space="preserve"> to </w:t>
      </w:r>
      <w:r w:rsidR="00842908">
        <w:t xml:space="preserve">include spouses whose name </w:t>
      </w:r>
      <w:r w:rsidR="004A23B4">
        <w:t xml:space="preserve">is not </w:t>
      </w:r>
      <w:r w:rsidR="00FB254A">
        <w:t>o</w:t>
      </w:r>
      <w:r w:rsidR="00F55397">
        <w:t>n the title</w:t>
      </w:r>
      <w:r w:rsidR="00A21DF5">
        <w:t xml:space="preserve"> of the property</w:t>
      </w:r>
    </w:p>
    <w:p w14:paraId="53D107C6" w14:textId="65E4E9F5" w:rsidR="003D3E6D" w:rsidRDefault="00201AAB" w:rsidP="003D3E6D">
      <w:pPr>
        <w:pStyle w:val="ListParagraph"/>
        <w:numPr>
          <w:ilvl w:val="0"/>
          <w:numId w:val="8"/>
        </w:numPr>
        <w:spacing w:after="0"/>
      </w:pPr>
      <w:r>
        <w:t>includ</w:t>
      </w:r>
      <w:r w:rsidR="003D3E6D">
        <w:t xml:space="preserve">ing </w:t>
      </w:r>
      <w:r>
        <w:t>‘rent to buy’ agreements</w:t>
      </w:r>
      <w:r w:rsidR="003D3E6D">
        <w:t xml:space="preserve"> in the grounds for early release</w:t>
      </w:r>
    </w:p>
    <w:p w14:paraId="19913D7A" w14:textId="77777777" w:rsidR="003D3E6D" w:rsidRDefault="00AC44AA" w:rsidP="003D3E6D">
      <w:pPr>
        <w:pStyle w:val="ListParagraph"/>
        <w:numPr>
          <w:ilvl w:val="0"/>
          <w:numId w:val="8"/>
        </w:numPr>
        <w:spacing w:after="0"/>
      </w:pPr>
      <w:r>
        <w:lastRenderedPageBreak/>
        <w:t>amend</w:t>
      </w:r>
      <w:r w:rsidR="004A23B4">
        <w:t>ing</w:t>
      </w:r>
      <w:r>
        <w:t xml:space="preserve"> the </w:t>
      </w:r>
      <w:r w:rsidR="004A23B4">
        <w:t xml:space="preserve">criteria </w:t>
      </w:r>
      <w:r w:rsidR="003D3E6D">
        <w:t xml:space="preserve">under the </w:t>
      </w:r>
      <w:r w:rsidR="004A23B4" w:rsidRPr="003D3E6D">
        <w:rPr>
          <w:i/>
        </w:rPr>
        <w:t>severe financial hardship</w:t>
      </w:r>
      <w:r w:rsidR="004A23B4">
        <w:t xml:space="preserve"> ground</w:t>
      </w:r>
      <w:r w:rsidR="003D3E6D">
        <w:t xml:space="preserve">. </w:t>
      </w:r>
    </w:p>
    <w:p w14:paraId="33D96C04" w14:textId="04C23BB5" w:rsidR="00BE6DC3" w:rsidRPr="005E185A" w:rsidRDefault="005E185A" w:rsidP="003D3E6D">
      <w:pPr>
        <w:spacing w:after="0"/>
        <w:ind w:left="415"/>
      </w:pPr>
      <w:r>
        <w:t xml:space="preserve"> </w:t>
      </w:r>
    </w:p>
    <w:p w14:paraId="37119CDC" w14:textId="77777777" w:rsidR="00760CDE" w:rsidRPr="00201AAB" w:rsidRDefault="00E65393">
      <w:pPr>
        <w:rPr>
          <w:rFonts w:eastAsia="Times"/>
          <w:b/>
          <w:sz w:val="32"/>
          <w:szCs w:val="20"/>
        </w:rPr>
      </w:pPr>
      <w:r>
        <w:rPr>
          <w:rFonts w:eastAsia="Times"/>
          <w:b/>
          <w:sz w:val="32"/>
          <w:szCs w:val="20"/>
        </w:rPr>
        <w:t>Part</w:t>
      </w:r>
      <w:r w:rsidR="005D7757" w:rsidRPr="005D7757">
        <w:rPr>
          <w:rFonts w:eastAsia="Times"/>
          <w:b/>
          <w:sz w:val="32"/>
          <w:szCs w:val="20"/>
        </w:rPr>
        <w:t xml:space="preserve"> 1 </w:t>
      </w:r>
      <w:r w:rsidR="00201AAB">
        <w:rPr>
          <w:rFonts w:eastAsia="Times"/>
          <w:b/>
          <w:sz w:val="32"/>
          <w:szCs w:val="20"/>
        </w:rPr>
        <w:t>–</w:t>
      </w:r>
      <w:r w:rsidR="005D7757" w:rsidRPr="005D7757">
        <w:rPr>
          <w:rFonts w:eastAsia="Times"/>
          <w:b/>
          <w:sz w:val="32"/>
          <w:szCs w:val="20"/>
        </w:rPr>
        <w:t xml:space="preserve"> </w:t>
      </w:r>
      <w:r w:rsidR="00C038D1">
        <w:rPr>
          <w:rFonts w:eastAsia="Times"/>
          <w:b/>
          <w:sz w:val="32"/>
          <w:szCs w:val="20"/>
        </w:rPr>
        <w:t>C</w:t>
      </w:r>
      <w:r w:rsidR="00201AAB">
        <w:rPr>
          <w:rFonts w:eastAsia="Times"/>
          <w:b/>
          <w:sz w:val="32"/>
          <w:szCs w:val="20"/>
        </w:rPr>
        <w:t>ompassionate grounds</w:t>
      </w:r>
    </w:p>
    <w:p w14:paraId="39BB81BC" w14:textId="77777777" w:rsidR="00E17D0D" w:rsidRDefault="00577FFB" w:rsidP="00201AAB">
      <w:pPr>
        <w:tabs>
          <w:tab w:val="num" w:pos="720"/>
        </w:tabs>
        <w:rPr>
          <w:rFonts w:asciiTheme="minorHAnsi" w:hAnsiTheme="minorHAnsi"/>
          <w:szCs w:val="22"/>
        </w:rPr>
      </w:pPr>
      <w:r>
        <w:rPr>
          <w:lang w:val="en"/>
        </w:rPr>
        <w:t xml:space="preserve">Regulation 6.19A(1) </w:t>
      </w:r>
      <w:r w:rsidR="00E17D0D">
        <w:rPr>
          <w:lang w:val="en"/>
        </w:rPr>
        <w:t xml:space="preserve">of the </w:t>
      </w:r>
      <w:r w:rsidR="00E17D0D" w:rsidRPr="00DC2E07">
        <w:rPr>
          <w:rFonts w:asciiTheme="minorHAnsi" w:hAnsiTheme="minorHAnsi"/>
          <w:szCs w:val="22"/>
        </w:rPr>
        <w:t>Superannuation Industry (Supervision) Regulations 1994</w:t>
      </w:r>
      <w:r w:rsidR="00E17D0D">
        <w:rPr>
          <w:rFonts w:asciiTheme="minorHAnsi" w:hAnsiTheme="minorHAnsi"/>
          <w:szCs w:val="22"/>
        </w:rPr>
        <w:t xml:space="preserve"> allows a person to access their superannuation early under five compassionate grounds</w:t>
      </w:r>
      <w:r w:rsidR="008F214E" w:rsidRPr="008F214E">
        <w:rPr>
          <w:rFonts w:asciiTheme="minorHAnsi" w:hAnsiTheme="minorHAnsi"/>
          <w:szCs w:val="22"/>
        </w:rPr>
        <w:t xml:space="preserve"> </w:t>
      </w:r>
      <w:r w:rsidR="008F214E">
        <w:rPr>
          <w:rFonts w:asciiTheme="minorHAnsi" w:hAnsiTheme="minorHAnsi"/>
          <w:szCs w:val="22"/>
        </w:rPr>
        <w:t>specified in subsections (a) to (e)</w:t>
      </w:r>
      <w:r w:rsidR="00E17D0D">
        <w:rPr>
          <w:rFonts w:asciiTheme="minorHAnsi" w:hAnsiTheme="minorHAnsi"/>
          <w:szCs w:val="22"/>
        </w:rPr>
        <w:t xml:space="preserve">: </w:t>
      </w:r>
    </w:p>
    <w:p w14:paraId="696CCCA8" w14:textId="34FA0FD5" w:rsidR="00E17D0D" w:rsidRPr="00C6164E" w:rsidRDefault="00E17D0D" w:rsidP="00C6164E">
      <w:pPr>
        <w:pStyle w:val="ListParagraph"/>
        <w:numPr>
          <w:ilvl w:val="0"/>
          <w:numId w:val="10"/>
        </w:numPr>
        <w:tabs>
          <w:tab w:val="num" w:pos="720"/>
        </w:tabs>
        <w:rPr>
          <w:lang w:val="en"/>
        </w:rPr>
      </w:pPr>
      <w:r w:rsidRPr="00C6164E">
        <w:rPr>
          <w:lang w:val="en"/>
        </w:rPr>
        <w:t xml:space="preserve">to pay for certain </w:t>
      </w:r>
      <w:r w:rsidR="00201AAB" w:rsidRPr="00C6164E">
        <w:rPr>
          <w:lang w:val="en"/>
        </w:rPr>
        <w:t>medical treatment</w:t>
      </w:r>
      <w:r w:rsidRPr="00C6164E">
        <w:rPr>
          <w:lang w:val="en"/>
        </w:rPr>
        <w:t xml:space="preserve"> and or medical transport </w:t>
      </w:r>
      <w:r w:rsidR="00201AAB" w:rsidRPr="00C6164E">
        <w:rPr>
          <w:lang w:val="en"/>
        </w:rPr>
        <w:t xml:space="preserve">for the person </w:t>
      </w:r>
      <w:r w:rsidR="00C6164E" w:rsidRPr="00C6164E">
        <w:rPr>
          <w:lang w:val="en"/>
        </w:rPr>
        <w:t>or their dependant</w:t>
      </w:r>
    </w:p>
    <w:p w14:paraId="0DF42E30" w14:textId="77777777" w:rsidR="00E17D0D" w:rsidRPr="00C6164E" w:rsidRDefault="00201AAB" w:rsidP="00C6164E">
      <w:pPr>
        <w:pStyle w:val="ListParagraph"/>
        <w:numPr>
          <w:ilvl w:val="0"/>
          <w:numId w:val="10"/>
        </w:numPr>
        <w:rPr>
          <w:lang w:val="en"/>
        </w:rPr>
      </w:pPr>
      <w:r w:rsidRPr="00C6164E">
        <w:rPr>
          <w:lang w:val="en"/>
        </w:rPr>
        <w:t xml:space="preserve">to prevent </w:t>
      </w:r>
      <w:r w:rsidR="00E17D0D" w:rsidRPr="00C6164E">
        <w:rPr>
          <w:lang w:val="en"/>
        </w:rPr>
        <w:t xml:space="preserve">foreclosure of a mortgage or sale by a mortgagee on a person’s principal place of residence </w:t>
      </w:r>
    </w:p>
    <w:p w14:paraId="6B9CA327" w14:textId="77777777" w:rsidR="00E17D0D" w:rsidRPr="00C6164E" w:rsidRDefault="00E17D0D" w:rsidP="00C6164E">
      <w:pPr>
        <w:pStyle w:val="ListParagraph"/>
        <w:numPr>
          <w:ilvl w:val="0"/>
          <w:numId w:val="10"/>
        </w:numPr>
        <w:rPr>
          <w:lang w:val="en"/>
        </w:rPr>
      </w:pPr>
      <w:r w:rsidRPr="00C6164E">
        <w:rPr>
          <w:lang w:val="en"/>
        </w:rPr>
        <w:t xml:space="preserve">to pay for </w:t>
      </w:r>
      <w:r w:rsidR="00201AAB" w:rsidRPr="00C6164E">
        <w:rPr>
          <w:lang w:val="en"/>
        </w:rPr>
        <w:t xml:space="preserve">modifications to a home or vehicle to accommodate </w:t>
      </w:r>
      <w:r w:rsidRPr="00C6164E">
        <w:rPr>
          <w:lang w:val="en"/>
        </w:rPr>
        <w:t>a</w:t>
      </w:r>
      <w:r w:rsidR="00201AAB" w:rsidRPr="00C6164E">
        <w:rPr>
          <w:lang w:val="en"/>
        </w:rPr>
        <w:t xml:space="preserve"> person</w:t>
      </w:r>
      <w:r w:rsidRPr="00C6164E">
        <w:rPr>
          <w:lang w:val="en"/>
        </w:rPr>
        <w:t>’s, or their dependant’s, special needs arising from a severe disability</w:t>
      </w:r>
    </w:p>
    <w:p w14:paraId="732C0673" w14:textId="272B3A18" w:rsidR="008F214E" w:rsidRDefault="00E17D0D" w:rsidP="00C6164E">
      <w:pPr>
        <w:pStyle w:val="ListParagraph"/>
        <w:numPr>
          <w:ilvl w:val="0"/>
          <w:numId w:val="10"/>
        </w:numPr>
        <w:rPr>
          <w:lang w:val="en"/>
        </w:rPr>
      </w:pPr>
      <w:r w:rsidRPr="00C6164E">
        <w:rPr>
          <w:lang w:val="en"/>
        </w:rPr>
        <w:t xml:space="preserve">to pay for expenses associated with a person’s </w:t>
      </w:r>
      <w:r w:rsidR="00201AAB" w:rsidRPr="00C6164E">
        <w:rPr>
          <w:lang w:val="en"/>
        </w:rPr>
        <w:t>palliative care</w:t>
      </w:r>
    </w:p>
    <w:p w14:paraId="4060841C" w14:textId="56E52099" w:rsidR="00270153" w:rsidRPr="00C6164E" w:rsidRDefault="00270153" w:rsidP="00C6164E">
      <w:pPr>
        <w:pStyle w:val="ListParagraph"/>
        <w:numPr>
          <w:ilvl w:val="0"/>
          <w:numId w:val="10"/>
        </w:numPr>
        <w:rPr>
          <w:lang w:val="en"/>
        </w:rPr>
      </w:pPr>
      <w:r w:rsidRPr="00C6164E">
        <w:rPr>
          <w:lang w:val="en"/>
        </w:rPr>
        <w:t>to pay for expenses associated</w:t>
      </w:r>
      <w:r>
        <w:rPr>
          <w:lang w:val="en"/>
        </w:rPr>
        <w:t xml:space="preserve"> with a</w:t>
      </w:r>
      <w:r w:rsidRPr="00C6164E">
        <w:rPr>
          <w:lang w:val="en"/>
        </w:rPr>
        <w:t xml:space="preserve"> dependant’s</w:t>
      </w:r>
      <w:r>
        <w:rPr>
          <w:lang w:val="en"/>
        </w:rPr>
        <w:t xml:space="preserve"> palliative care or funeral.</w:t>
      </w:r>
    </w:p>
    <w:p w14:paraId="7B007092" w14:textId="77777777" w:rsidR="00201AAB" w:rsidRDefault="008F214E" w:rsidP="008F214E">
      <w:pPr>
        <w:tabs>
          <w:tab w:val="num" w:pos="720"/>
        </w:tabs>
        <w:rPr>
          <w:lang w:val="en"/>
        </w:rPr>
      </w:pPr>
      <w:r>
        <w:rPr>
          <w:lang w:val="en"/>
        </w:rPr>
        <w:t xml:space="preserve">Under subsection (f), a </w:t>
      </w:r>
      <w:r w:rsidR="00201AAB" w:rsidRPr="008F214E">
        <w:rPr>
          <w:lang w:val="en"/>
        </w:rPr>
        <w:t xml:space="preserve">release may also be granted for grounds ‘consistent with’ </w:t>
      </w:r>
      <w:r>
        <w:rPr>
          <w:lang w:val="en"/>
        </w:rPr>
        <w:t xml:space="preserve">the specified grounds. </w:t>
      </w:r>
      <w:r w:rsidR="00201AAB" w:rsidRPr="008F214E">
        <w:rPr>
          <w:lang w:val="en"/>
        </w:rPr>
        <w:t xml:space="preserve"> </w:t>
      </w:r>
    </w:p>
    <w:p w14:paraId="5AEB888C" w14:textId="77777777" w:rsidR="00577FFB" w:rsidRPr="008F214E" w:rsidRDefault="00577FFB" w:rsidP="008F214E">
      <w:pPr>
        <w:tabs>
          <w:tab w:val="num" w:pos="720"/>
        </w:tabs>
        <w:rPr>
          <w:lang w:val="en"/>
        </w:rPr>
      </w:pPr>
      <w:r>
        <w:rPr>
          <w:lang w:val="en"/>
        </w:rPr>
        <w:t xml:space="preserve">In addition to meeting a ground, the person must also demonstrate they lack the financial capacity to pay the expenses any other way. </w:t>
      </w:r>
    </w:p>
    <w:p w14:paraId="18E25846" w14:textId="6A62D5DF" w:rsidR="001C015B" w:rsidRPr="00577FFB" w:rsidRDefault="001C015B" w:rsidP="00EB3C5D">
      <w:pPr>
        <w:rPr>
          <w:b/>
          <w:i/>
        </w:rPr>
      </w:pPr>
      <w:r w:rsidRPr="00577FFB">
        <w:rPr>
          <w:b/>
          <w:i/>
        </w:rPr>
        <w:t>Mortgage ground</w:t>
      </w:r>
    </w:p>
    <w:p w14:paraId="3E61411C" w14:textId="6CB3C099" w:rsidR="00F91BD0" w:rsidRPr="00FB645D" w:rsidRDefault="00A32211" w:rsidP="00F91BD0">
      <w:pPr>
        <w:rPr>
          <w:rFonts w:asciiTheme="minorHAnsi" w:hAnsiTheme="minorHAnsi"/>
          <w:i/>
          <w:szCs w:val="22"/>
        </w:rPr>
      </w:pPr>
      <w:r>
        <w:rPr>
          <w:rFonts w:asciiTheme="minorHAnsi" w:hAnsiTheme="minorHAnsi"/>
          <w:i/>
          <w:szCs w:val="22"/>
        </w:rPr>
        <w:t xml:space="preserve">Question </w:t>
      </w:r>
      <w:r w:rsidR="00F91BD0" w:rsidRPr="00FB645D">
        <w:rPr>
          <w:rFonts w:asciiTheme="minorHAnsi" w:hAnsiTheme="minorHAnsi"/>
          <w:i/>
          <w:szCs w:val="22"/>
        </w:rPr>
        <w:t xml:space="preserve">1.16 </w:t>
      </w:r>
      <w:r w:rsidR="00406878">
        <w:rPr>
          <w:rFonts w:asciiTheme="minorHAnsi" w:hAnsiTheme="minorHAnsi"/>
          <w:i/>
          <w:szCs w:val="22"/>
        </w:rPr>
        <w:t>- S</w:t>
      </w:r>
      <w:r w:rsidR="00406878" w:rsidRPr="00FB645D">
        <w:rPr>
          <w:rFonts w:asciiTheme="minorHAnsi" w:hAnsiTheme="minorHAnsi"/>
          <w:i/>
          <w:szCs w:val="22"/>
        </w:rPr>
        <w:t xml:space="preserve">hould </w:t>
      </w:r>
      <w:r w:rsidR="00F91BD0" w:rsidRPr="00FB645D">
        <w:rPr>
          <w:rFonts w:asciiTheme="minorHAnsi" w:hAnsiTheme="minorHAnsi"/>
          <w:i/>
          <w:szCs w:val="22"/>
        </w:rPr>
        <w:t xml:space="preserve">early release of </w:t>
      </w:r>
      <w:r w:rsidR="00F41532" w:rsidRPr="00FB645D">
        <w:rPr>
          <w:rFonts w:asciiTheme="minorHAnsi" w:hAnsiTheme="minorHAnsi"/>
          <w:i/>
          <w:szCs w:val="22"/>
        </w:rPr>
        <w:t>superannuation benefits</w:t>
      </w:r>
      <w:r w:rsidR="00F91BD0" w:rsidRPr="00FB645D">
        <w:rPr>
          <w:rFonts w:asciiTheme="minorHAnsi" w:hAnsiTheme="minorHAnsi"/>
          <w:i/>
          <w:szCs w:val="22"/>
        </w:rPr>
        <w:t xml:space="preserve"> be available to meet mortgage repayments regardless of whether a person’s name is on the mortgage title for their principal place of residence? What might be the implications of broadening the provisions in this way and what additional limitations may be required? For example, should release be limited to dependants or spouses or partners? </w:t>
      </w:r>
    </w:p>
    <w:p w14:paraId="340B942F" w14:textId="182B6215" w:rsidR="00F91BD0" w:rsidRPr="00F91BD0" w:rsidRDefault="00F91BD0" w:rsidP="00EB3C5D">
      <w:pPr>
        <w:rPr>
          <w:rFonts w:asciiTheme="minorHAnsi" w:hAnsiTheme="minorHAnsi"/>
          <w:szCs w:val="22"/>
        </w:rPr>
      </w:pPr>
      <w:r w:rsidRPr="00984352">
        <w:rPr>
          <w:rFonts w:asciiTheme="minorHAnsi" w:hAnsiTheme="minorHAnsi"/>
          <w:szCs w:val="22"/>
        </w:rPr>
        <w:t xml:space="preserve">Under the </w:t>
      </w:r>
      <w:r w:rsidR="0034485F">
        <w:rPr>
          <w:rFonts w:asciiTheme="minorHAnsi" w:hAnsiTheme="minorHAnsi"/>
          <w:szCs w:val="22"/>
        </w:rPr>
        <w:t xml:space="preserve">current law, </w:t>
      </w:r>
      <w:r w:rsidRPr="00984352">
        <w:rPr>
          <w:rFonts w:asciiTheme="minorHAnsi" w:hAnsiTheme="minorHAnsi"/>
          <w:szCs w:val="22"/>
        </w:rPr>
        <w:t xml:space="preserve">an early release may be made to enable the person to make </w:t>
      </w:r>
      <w:r>
        <w:rPr>
          <w:rFonts w:asciiTheme="minorHAnsi" w:hAnsiTheme="minorHAnsi"/>
          <w:szCs w:val="22"/>
        </w:rPr>
        <w:t xml:space="preserve">a payment on a loan, to prevent </w:t>
      </w:r>
      <w:r w:rsidRPr="00984352">
        <w:rPr>
          <w:rFonts w:asciiTheme="minorHAnsi" w:hAnsiTheme="minorHAnsi"/>
          <w:szCs w:val="22"/>
        </w:rPr>
        <w:t>foreclosure of a mortgage on the person’s principal place of residence; or</w:t>
      </w:r>
      <w:r>
        <w:rPr>
          <w:rFonts w:asciiTheme="minorHAnsi" w:hAnsiTheme="minorHAnsi"/>
          <w:szCs w:val="22"/>
        </w:rPr>
        <w:t xml:space="preserve"> </w:t>
      </w:r>
      <w:r w:rsidRPr="00984352">
        <w:rPr>
          <w:rFonts w:asciiTheme="minorHAnsi" w:hAnsiTheme="minorHAnsi"/>
          <w:szCs w:val="22"/>
        </w:rPr>
        <w:t xml:space="preserve">exercise by the mortgagee of an express or statutory power of sale over the person’s </w:t>
      </w:r>
      <w:r w:rsidR="002E601E">
        <w:rPr>
          <w:rFonts w:asciiTheme="minorHAnsi" w:hAnsiTheme="minorHAnsi"/>
          <w:szCs w:val="22"/>
        </w:rPr>
        <w:t>principal place of residence (the mortgage ground).</w:t>
      </w:r>
    </w:p>
    <w:p w14:paraId="3B408DB7" w14:textId="77777777" w:rsidR="005118A1" w:rsidRDefault="00D210DF" w:rsidP="00EB3C5D">
      <w:r>
        <w:t>D</w:t>
      </w:r>
      <w:r w:rsidR="00F42636">
        <w:t xml:space="preserve">HS’s </w:t>
      </w:r>
      <w:r w:rsidR="008F214E">
        <w:t xml:space="preserve">current </w:t>
      </w:r>
      <w:r w:rsidR="00F42636">
        <w:t xml:space="preserve">policy </w:t>
      </w:r>
      <w:r w:rsidR="005320B4">
        <w:t>is to allow a release only where a</w:t>
      </w:r>
      <w:r w:rsidR="00506C37" w:rsidRPr="00506C37">
        <w:t xml:space="preserve"> person is considered legally responsible for repayments of the mortgage</w:t>
      </w:r>
      <w:r w:rsidR="00163BD7">
        <w:t>. DHS officers assess this by considering if the applicant is</w:t>
      </w:r>
      <w:r w:rsidR="00506C37" w:rsidRPr="00506C37">
        <w:t xml:space="preserve"> listed on the </w:t>
      </w:r>
      <w:r>
        <w:t>title of the mortgage</w:t>
      </w:r>
      <w:r w:rsidR="00506C37" w:rsidRPr="00506C37">
        <w:t>.</w:t>
      </w:r>
    </w:p>
    <w:p w14:paraId="368979A0" w14:textId="33ECA77C" w:rsidR="00861FC7" w:rsidRDefault="003E5E4A" w:rsidP="00861FC7">
      <w:pPr>
        <w:spacing w:after="0"/>
      </w:pPr>
      <w:r>
        <w:t>In our view, t</w:t>
      </w:r>
      <w:r w:rsidR="00D118E7">
        <w:t>his requirement may</w:t>
      </w:r>
      <w:r w:rsidR="00B84875">
        <w:t xml:space="preserve"> disadvantage people who live at a property </w:t>
      </w:r>
      <w:r w:rsidR="0034485F">
        <w:t xml:space="preserve">that is clearly </w:t>
      </w:r>
      <w:r w:rsidR="00912B25">
        <w:t>their</w:t>
      </w:r>
      <w:r w:rsidR="0034485F">
        <w:t xml:space="preserve"> princip</w:t>
      </w:r>
      <w:r w:rsidR="009408E3">
        <w:t>al</w:t>
      </w:r>
      <w:r w:rsidR="006C5D7F">
        <w:t xml:space="preserve"> place of residence,</w:t>
      </w:r>
      <w:r w:rsidR="0034485F">
        <w:t xml:space="preserve"> </w:t>
      </w:r>
      <w:r w:rsidR="00DD477C">
        <w:t>but for whatever reason, they</w:t>
      </w:r>
      <w:r w:rsidR="00B84875">
        <w:t xml:space="preserve"> </w:t>
      </w:r>
      <w:r w:rsidR="000713FF">
        <w:t>do not have their name on the</w:t>
      </w:r>
      <w:r w:rsidR="00B84875">
        <w:t xml:space="preserve"> title </w:t>
      </w:r>
      <w:r w:rsidR="000713FF">
        <w:t>of the property</w:t>
      </w:r>
      <w:r>
        <w:t xml:space="preserve">. This issue is </w:t>
      </w:r>
      <w:r w:rsidR="00F04068">
        <w:t>illustrated by the case study below</w:t>
      </w:r>
      <w:r w:rsidR="00BF49E2">
        <w:t xml:space="preserve"> received by </w:t>
      </w:r>
      <w:r w:rsidR="00C116D4">
        <w:t>this O</w:t>
      </w:r>
      <w:r w:rsidR="00BF49E2">
        <w:t>ffice in 2017</w:t>
      </w:r>
      <w:r w:rsidR="00F04068">
        <w:t>.</w:t>
      </w:r>
    </w:p>
    <w:p w14:paraId="530BC84A" w14:textId="77777777" w:rsidR="00861FC7" w:rsidRDefault="00DC73B5" w:rsidP="00861FC7">
      <w:pPr>
        <w:spacing w:after="0"/>
      </w:pPr>
      <w:r w:rsidRPr="003D73B5">
        <w:rPr>
          <w:b/>
          <w:i/>
          <w:noProof/>
          <w:lang w:eastAsia="en-AU"/>
        </w:rPr>
        <mc:AlternateContent>
          <mc:Choice Requires="wps">
            <w:drawing>
              <wp:anchor distT="45720" distB="45720" distL="114300" distR="114300" simplePos="0" relativeHeight="251665408" behindDoc="0" locked="0" layoutInCell="1" allowOverlap="1" wp14:anchorId="0B4A48FF" wp14:editId="3BDF1B8E">
                <wp:simplePos x="0" y="0"/>
                <wp:positionH relativeFrom="column">
                  <wp:posOffset>40640</wp:posOffset>
                </wp:positionH>
                <wp:positionV relativeFrom="paragraph">
                  <wp:posOffset>254635</wp:posOffset>
                </wp:positionV>
                <wp:extent cx="5425440" cy="1501140"/>
                <wp:effectExtent l="0" t="0" r="2286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501140"/>
                        </a:xfrm>
                        <a:prstGeom prst="rect">
                          <a:avLst/>
                        </a:prstGeom>
                        <a:solidFill>
                          <a:srgbClr val="FFFFFF"/>
                        </a:solidFill>
                        <a:ln w="9525">
                          <a:solidFill>
                            <a:srgbClr val="000000"/>
                          </a:solidFill>
                          <a:miter lim="800000"/>
                          <a:headEnd/>
                          <a:tailEnd/>
                        </a:ln>
                      </wps:spPr>
                      <wps:txbx>
                        <w:txbxContent>
                          <w:p w14:paraId="35E90CD2" w14:textId="264328AF" w:rsidR="003D73B5" w:rsidRPr="00362B07" w:rsidRDefault="003D73B5" w:rsidP="003D73B5">
                            <w:pPr>
                              <w:rPr>
                                <w:b/>
                                <w:i/>
                              </w:rPr>
                            </w:pPr>
                            <w:r w:rsidRPr="00362B07">
                              <w:rPr>
                                <w:b/>
                                <w:i/>
                              </w:rPr>
                              <w:t xml:space="preserve">Case Study </w:t>
                            </w:r>
                            <w:r w:rsidR="00861433">
                              <w:rPr>
                                <w:b/>
                                <w:i/>
                              </w:rPr>
                              <w:t>– mortgage title</w:t>
                            </w:r>
                            <w:r w:rsidR="00B94336">
                              <w:rPr>
                                <w:b/>
                                <w:i/>
                              </w:rPr>
                              <w:t xml:space="preserve"> </w:t>
                            </w:r>
                          </w:p>
                          <w:p w14:paraId="489DA476" w14:textId="35D6E1D3" w:rsidR="003D73B5" w:rsidRPr="006B7BF3" w:rsidRDefault="003D73B5" w:rsidP="003D73B5">
                            <w:pPr>
                              <w:rPr>
                                <w:b/>
                                <w:i/>
                              </w:rPr>
                            </w:pPr>
                            <w:r w:rsidRPr="00362B07">
                              <w:rPr>
                                <w:b/>
                                <w:i/>
                              </w:rPr>
                              <w:t>Ms A complained to us that DHS had declined her application for early release of her superannuation to pay her mortgage</w:t>
                            </w:r>
                            <w:r w:rsidR="0025307D">
                              <w:rPr>
                                <w:b/>
                                <w:i/>
                              </w:rPr>
                              <w:t xml:space="preserve"> arrears</w:t>
                            </w:r>
                            <w:r w:rsidR="007E5917">
                              <w:rPr>
                                <w:b/>
                                <w:i/>
                              </w:rPr>
                              <w:t>,</w:t>
                            </w:r>
                            <w:r w:rsidR="0025307D">
                              <w:rPr>
                                <w:b/>
                                <w:i/>
                              </w:rPr>
                              <w:t xml:space="preserve"> as she was not listed on the title of the property</w:t>
                            </w:r>
                            <w:r w:rsidRPr="00362B07">
                              <w:rPr>
                                <w:b/>
                                <w:i/>
                              </w:rPr>
                              <w:t xml:space="preserve">. </w:t>
                            </w:r>
                            <w:r w:rsidR="0025307D">
                              <w:rPr>
                                <w:b/>
                                <w:i/>
                              </w:rPr>
                              <w:t>Ms A</w:t>
                            </w:r>
                            <w:r w:rsidRPr="00362B07">
                              <w:rPr>
                                <w:b/>
                                <w:i/>
                              </w:rPr>
                              <w:t xml:space="preserve"> told us the property was her principal place of residence, </w:t>
                            </w:r>
                            <w:r w:rsidR="00D23EEF">
                              <w:rPr>
                                <w:b/>
                                <w:i/>
                              </w:rPr>
                              <w:t xml:space="preserve">and she had lived there for nearly 30 years. She said the </w:t>
                            </w:r>
                            <w:r w:rsidRPr="00362B07">
                              <w:rPr>
                                <w:b/>
                                <w:i/>
                              </w:rPr>
                              <w:t>title was in her husband’s name</w:t>
                            </w:r>
                            <w:r w:rsidR="00D23EEF">
                              <w:rPr>
                                <w:b/>
                                <w:i/>
                              </w:rPr>
                              <w:t>, as they had done this when they got married</w:t>
                            </w:r>
                            <w:r>
                              <w:rPr>
                                <w:b/>
                                <w:i/>
                              </w:rPr>
                              <w:t xml:space="preserve">. She </w:t>
                            </w:r>
                            <w:r w:rsidR="00D16DCD">
                              <w:rPr>
                                <w:b/>
                                <w:i/>
                              </w:rPr>
                              <w:t xml:space="preserve">also </w:t>
                            </w:r>
                            <w:r>
                              <w:rPr>
                                <w:b/>
                                <w:i/>
                              </w:rPr>
                              <w:t xml:space="preserve">told us </w:t>
                            </w:r>
                            <w:r w:rsidR="00D55355">
                              <w:rPr>
                                <w:b/>
                                <w:i/>
                              </w:rPr>
                              <w:t>the rates and bills</w:t>
                            </w:r>
                            <w:r w:rsidR="00D23EEF">
                              <w:rPr>
                                <w:b/>
                                <w:i/>
                              </w:rPr>
                              <w:t xml:space="preserve"> for the property</w:t>
                            </w:r>
                            <w:r w:rsidR="00D55355">
                              <w:rPr>
                                <w:b/>
                                <w:i/>
                              </w:rPr>
                              <w:t xml:space="preserve"> were in her name</w:t>
                            </w:r>
                            <w:r w:rsidR="00AF2E55">
                              <w:rPr>
                                <w:b/>
                                <w:i/>
                              </w:rPr>
                              <w:t xml:space="preserve">. </w:t>
                            </w:r>
                          </w:p>
                          <w:p w14:paraId="62BB2A57" w14:textId="77777777" w:rsidR="003D73B5" w:rsidRDefault="003D7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pt;margin-top:20.05pt;width:427.2pt;height:11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6WMIAIAAEUEAAAOAAAAZHJzL2Uyb0RvYy54bWysU9tuGyEQfa/Uf0C813uRt01WWUepU1eV&#10;0rRS0g9gWdaLCgwF7F336zuwjuPeXqrygBhmOJw5M3N1PWlF9sJ5CaahxSKnRBgOnTTbhn553Ly6&#10;oMQHZjqmwIiGHoSn16uXL65GW4sSBlCdcARBjK9H29AhBFtnmeeD0MwvwAqDzh6cZgFNt806x0ZE&#10;1yor8/x1NoLrrAMuvMfb29lJVwm/7wUPn/rei0BUQ5FbSLtLexv3bHXF6q1jdpD8SIP9AwvNpMFP&#10;T1C3LDCyc/I3KC25Aw99WHDQGfS95CLlgNkU+S/ZPAzMipQLiuPtSSb//2D5/f6zI7JraEWJYRpL&#10;9CimQN7CRMqozmh9jUEPFsPChNdY5ZSpt3fAv3piYD0wsxU3zsE4CNYhuyK+zM6ezjg+grTjR+jw&#10;G7YLkICm3ukoHYpBEB2rdDhVJlLheFkty2q5RBdHX1HlRYFG/IPVT8+t8+G9AE3ioaEOS5/g2f7O&#10;hzn0KST+5kHJbiOVSobbtmvlyJ5hm2zSOqL/FKYMGRt6WZXVrMBfIfK0/gShZcB+V1I39OIUxOqo&#10;2zvTIU1WBybVfMbslDkKGbWbVQxTO2FgVLeF7oCSOpj7GucQDwO475SM2NMN9d92zAlK1AeDZbks&#10;koYhGcvqTYmCunNPe+5hhiNUQwMl83Ed0uBEjgZusHy9TMI+MzlyxV5NpTnOVRyGcztFPU//6gcA&#10;AAD//wMAUEsDBBQABgAIAAAAIQCb4rsB3wAAAAgBAAAPAAAAZHJzL2Rvd25yZXYueG1sTI/NTsMw&#10;EITvSLyDtUhcUGu3hDSEOBVCAtEbtAiubrxNIvwTbDcNb89yguNoRjPfVOvJGjZiiL13EhZzAQxd&#10;43XvWglvu8dZASwm5bQy3qGEb4ywrs/PKlVqf3KvOG5Ty6jExVJJ6FIaSs5j06FVce4HdOQdfLAq&#10;kQwt10GdqNwavhQi51b1jhY6NeBDh83n9mglFNnz+BE31y/vTX4wt+lqNT59BSkvL6b7O2AJp/QX&#10;hl98QoeamPb+6HRkRkKeUVBCJhbAyC5yQU/2Epar/AZ4XfH/B+ofAAAA//8DAFBLAQItABQABgAI&#10;AAAAIQC2gziS/gAAAOEBAAATAAAAAAAAAAAAAAAAAAAAAABbQ29udGVudF9UeXBlc10ueG1sUEsB&#10;Ai0AFAAGAAgAAAAhADj9If/WAAAAlAEAAAsAAAAAAAAAAAAAAAAALwEAAF9yZWxzLy5yZWxzUEsB&#10;Ai0AFAAGAAgAAAAhAHTfpYwgAgAARQQAAA4AAAAAAAAAAAAAAAAALgIAAGRycy9lMm9Eb2MueG1s&#10;UEsBAi0AFAAGAAgAAAAhAJviuwHfAAAACAEAAA8AAAAAAAAAAAAAAAAAegQAAGRycy9kb3ducmV2&#10;LnhtbFBLBQYAAAAABAAEAPMAAACGBQAAAAA=&#10;">
                <v:textbox>
                  <w:txbxContent>
                    <w:p w14:paraId="35E90CD2" w14:textId="264328AF" w:rsidR="003D73B5" w:rsidRPr="00362B07" w:rsidRDefault="003D73B5" w:rsidP="003D73B5">
                      <w:pPr>
                        <w:rPr>
                          <w:b/>
                          <w:i/>
                        </w:rPr>
                      </w:pPr>
                      <w:r w:rsidRPr="00362B07">
                        <w:rPr>
                          <w:b/>
                          <w:i/>
                        </w:rPr>
                        <w:t xml:space="preserve">Case Study </w:t>
                      </w:r>
                      <w:r w:rsidR="00861433">
                        <w:rPr>
                          <w:b/>
                          <w:i/>
                        </w:rPr>
                        <w:t>– mortgage title</w:t>
                      </w:r>
                      <w:r w:rsidR="00B94336">
                        <w:rPr>
                          <w:b/>
                          <w:i/>
                        </w:rPr>
                        <w:t xml:space="preserve"> </w:t>
                      </w:r>
                    </w:p>
                    <w:p w14:paraId="489DA476" w14:textId="35D6E1D3" w:rsidR="003D73B5" w:rsidRPr="006B7BF3" w:rsidRDefault="003D73B5" w:rsidP="003D73B5">
                      <w:pPr>
                        <w:rPr>
                          <w:b/>
                          <w:i/>
                        </w:rPr>
                      </w:pPr>
                      <w:r w:rsidRPr="00362B07">
                        <w:rPr>
                          <w:b/>
                          <w:i/>
                        </w:rPr>
                        <w:t>Ms A complained to us that DHS had declined her application for early release of her superannuation to pay her mortgage</w:t>
                      </w:r>
                      <w:r w:rsidR="0025307D">
                        <w:rPr>
                          <w:b/>
                          <w:i/>
                        </w:rPr>
                        <w:t xml:space="preserve"> arrears</w:t>
                      </w:r>
                      <w:r w:rsidR="007E5917">
                        <w:rPr>
                          <w:b/>
                          <w:i/>
                        </w:rPr>
                        <w:t>,</w:t>
                      </w:r>
                      <w:r w:rsidR="0025307D">
                        <w:rPr>
                          <w:b/>
                          <w:i/>
                        </w:rPr>
                        <w:t xml:space="preserve"> as she was not listed on the title of the property</w:t>
                      </w:r>
                      <w:r w:rsidRPr="00362B07">
                        <w:rPr>
                          <w:b/>
                          <w:i/>
                        </w:rPr>
                        <w:t xml:space="preserve">. </w:t>
                      </w:r>
                      <w:r w:rsidR="0025307D">
                        <w:rPr>
                          <w:b/>
                          <w:i/>
                        </w:rPr>
                        <w:t>Ms A</w:t>
                      </w:r>
                      <w:r w:rsidRPr="00362B07">
                        <w:rPr>
                          <w:b/>
                          <w:i/>
                        </w:rPr>
                        <w:t xml:space="preserve"> told us the property was her principal place of residence, </w:t>
                      </w:r>
                      <w:r w:rsidR="00D23EEF">
                        <w:rPr>
                          <w:b/>
                          <w:i/>
                        </w:rPr>
                        <w:t xml:space="preserve">and she had lived there for nearly 30 years. She said the </w:t>
                      </w:r>
                      <w:r w:rsidRPr="00362B07">
                        <w:rPr>
                          <w:b/>
                          <w:i/>
                        </w:rPr>
                        <w:t>title was in her husband’s name</w:t>
                      </w:r>
                      <w:r w:rsidR="00D23EEF">
                        <w:rPr>
                          <w:b/>
                          <w:i/>
                        </w:rPr>
                        <w:t>, as they had done this when they got married</w:t>
                      </w:r>
                      <w:r>
                        <w:rPr>
                          <w:b/>
                          <w:i/>
                        </w:rPr>
                        <w:t xml:space="preserve">. She </w:t>
                      </w:r>
                      <w:r w:rsidR="00D16DCD">
                        <w:rPr>
                          <w:b/>
                          <w:i/>
                        </w:rPr>
                        <w:t xml:space="preserve">also </w:t>
                      </w:r>
                      <w:r>
                        <w:rPr>
                          <w:b/>
                          <w:i/>
                        </w:rPr>
                        <w:t xml:space="preserve">told us </w:t>
                      </w:r>
                      <w:r w:rsidR="00D55355">
                        <w:rPr>
                          <w:b/>
                          <w:i/>
                        </w:rPr>
                        <w:t>the rates and bills</w:t>
                      </w:r>
                      <w:r w:rsidR="00D23EEF">
                        <w:rPr>
                          <w:b/>
                          <w:i/>
                        </w:rPr>
                        <w:t xml:space="preserve"> for the property</w:t>
                      </w:r>
                      <w:r w:rsidR="00D55355">
                        <w:rPr>
                          <w:b/>
                          <w:i/>
                        </w:rPr>
                        <w:t xml:space="preserve"> were in her name</w:t>
                      </w:r>
                      <w:r w:rsidR="00AF2E55">
                        <w:rPr>
                          <w:b/>
                          <w:i/>
                        </w:rPr>
                        <w:t xml:space="preserve">. </w:t>
                      </w:r>
                    </w:p>
                    <w:p w14:paraId="62BB2A57" w14:textId="77777777" w:rsidR="003D73B5" w:rsidRDefault="003D73B5"/>
                  </w:txbxContent>
                </v:textbox>
                <w10:wrap type="square"/>
              </v:shape>
            </w:pict>
          </mc:Fallback>
        </mc:AlternateContent>
      </w:r>
    </w:p>
    <w:p w14:paraId="060F9E92" w14:textId="77777777" w:rsidR="00CC345F" w:rsidRDefault="00CC345F" w:rsidP="00861FC7">
      <w:pPr>
        <w:spacing w:after="0"/>
      </w:pPr>
    </w:p>
    <w:p w14:paraId="2042F8CB" w14:textId="09BD716D" w:rsidR="003319C5" w:rsidRDefault="00D8136F" w:rsidP="00861FC7">
      <w:pPr>
        <w:spacing w:after="0"/>
      </w:pPr>
      <w:r>
        <w:t xml:space="preserve">While we accepted DHS’s decision </w:t>
      </w:r>
      <w:r w:rsidR="00DD477C">
        <w:t xml:space="preserve">not to approve the application was </w:t>
      </w:r>
      <w:r>
        <w:t>in line with its policy, i</w:t>
      </w:r>
      <w:r w:rsidR="00884E6F">
        <w:t>n our view, this resulted in a disadvantage for the complainant</w:t>
      </w:r>
      <w:r w:rsidR="008F214E">
        <w:t xml:space="preserve"> and may have been an outcome that was not intended by the legislation</w:t>
      </w:r>
      <w:r w:rsidR="00F16764">
        <w:t>. A</w:t>
      </w:r>
      <w:r w:rsidR="0079280E">
        <w:t xml:space="preserve">s </w:t>
      </w:r>
      <w:r w:rsidR="008F214E">
        <w:t>the complainant’s</w:t>
      </w:r>
      <w:r w:rsidR="0079280E">
        <w:t xml:space="preserve"> name was n</w:t>
      </w:r>
      <w:r w:rsidR="00F16764">
        <w:t>ot on the title of the property</w:t>
      </w:r>
      <w:r w:rsidR="0079280E">
        <w:t xml:space="preserve">, </w:t>
      </w:r>
      <w:r w:rsidR="006C5D7F">
        <w:t>Ms A was</w:t>
      </w:r>
      <w:r w:rsidR="008F214E">
        <w:t xml:space="preserve"> </w:t>
      </w:r>
      <w:r w:rsidR="0079280E">
        <w:t xml:space="preserve">unable to access an early release of her superannuation to prevent foreclosure of </w:t>
      </w:r>
      <w:r w:rsidR="008F214E">
        <w:t>her</w:t>
      </w:r>
      <w:r w:rsidR="0079280E">
        <w:t xml:space="preserve"> </w:t>
      </w:r>
      <w:r w:rsidR="00DD477C">
        <w:t>princip</w:t>
      </w:r>
      <w:r w:rsidR="009408E3">
        <w:t>al</w:t>
      </w:r>
      <w:r w:rsidR="00DD477C">
        <w:t xml:space="preserve"> place of residence</w:t>
      </w:r>
      <w:r w:rsidR="0079280E">
        <w:t>.</w:t>
      </w:r>
    </w:p>
    <w:p w14:paraId="444F4E99" w14:textId="77777777" w:rsidR="003319C5" w:rsidRDefault="003319C5" w:rsidP="00861FC7">
      <w:pPr>
        <w:spacing w:after="0"/>
      </w:pPr>
    </w:p>
    <w:p w14:paraId="31872F08" w14:textId="2384A4C3" w:rsidR="00861FC7" w:rsidRDefault="006C5D7F" w:rsidP="00861FC7">
      <w:pPr>
        <w:spacing w:after="0"/>
      </w:pPr>
      <w:r>
        <w:t>T</w:t>
      </w:r>
      <w:r w:rsidR="007A0DB7">
        <w:t>his</w:t>
      </w:r>
      <w:r w:rsidR="00CC345F">
        <w:t xml:space="preserve"> Office </w:t>
      </w:r>
      <w:r w:rsidR="004E2E71">
        <w:t>supports</w:t>
      </w:r>
      <w:r w:rsidR="00DD477C">
        <w:t xml:space="preserve"> the</w:t>
      </w:r>
      <w:r w:rsidR="00227EFF">
        <w:t xml:space="preserve"> recommendation to</w:t>
      </w:r>
      <w:r w:rsidR="004E2E71">
        <w:t xml:space="preserve"> broaden</w:t>
      </w:r>
      <w:r w:rsidR="00CC345F">
        <w:t xml:space="preserve"> the mortgage ground for early release of superannuation to include spouses </w:t>
      </w:r>
      <w:r w:rsidR="008F214E">
        <w:t>or</w:t>
      </w:r>
      <w:r w:rsidR="00CC345F">
        <w:t xml:space="preserve"> partners who</w:t>
      </w:r>
      <w:r w:rsidR="00B06DAD">
        <w:t>se</w:t>
      </w:r>
      <w:r w:rsidR="00CC345F">
        <w:t xml:space="preserve"> name may not appear on the title, but who</w:t>
      </w:r>
      <w:r w:rsidR="00DD477C">
        <w:t xml:space="preserve"> can demonstrate the property is their </w:t>
      </w:r>
      <w:r w:rsidR="00CC345F">
        <w:t xml:space="preserve">principal place of residence. </w:t>
      </w:r>
      <w:r w:rsidR="00BB2106">
        <w:t>Should Treasury recommend this</w:t>
      </w:r>
      <w:r w:rsidR="005D4FA0">
        <w:t xml:space="preserve">, </w:t>
      </w:r>
      <w:r w:rsidR="00797F9C">
        <w:t>we</w:t>
      </w:r>
      <w:r w:rsidR="00BB2106">
        <w:t xml:space="preserve"> would </w:t>
      </w:r>
      <w:r w:rsidR="00406878">
        <w:t>suggest</w:t>
      </w:r>
      <w:r w:rsidR="00BB2106">
        <w:t xml:space="preserve"> careful consideration </w:t>
      </w:r>
      <w:r w:rsidR="002A4F65">
        <w:t>be</w:t>
      </w:r>
      <w:r w:rsidR="00BB2106">
        <w:t xml:space="preserve"> given to</w:t>
      </w:r>
      <w:r w:rsidR="005D4FA0">
        <w:t xml:space="preserve"> </w:t>
      </w:r>
      <w:r w:rsidR="00CC345F">
        <w:t xml:space="preserve">alternative means </w:t>
      </w:r>
      <w:r w:rsidR="00F84735">
        <w:t>available to an</w:t>
      </w:r>
      <w:r w:rsidR="00BB2106">
        <w:t xml:space="preserve"> applicant to</w:t>
      </w:r>
      <w:r w:rsidR="00CC345F">
        <w:t xml:space="preserve"> </w:t>
      </w:r>
      <w:r w:rsidR="00BB2106">
        <w:t xml:space="preserve">prove </w:t>
      </w:r>
      <w:r w:rsidR="00CC345F">
        <w:t xml:space="preserve">their interest in </w:t>
      </w:r>
      <w:r w:rsidR="00BB2106">
        <w:t>the principal place of residence</w:t>
      </w:r>
      <w:r w:rsidR="00CC345F">
        <w:t xml:space="preserve"> (</w:t>
      </w:r>
      <w:r>
        <w:t>for example,</w:t>
      </w:r>
      <w:r w:rsidR="00CC345F">
        <w:t xml:space="preserve"> rates notice</w:t>
      </w:r>
      <w:r w:rsidR="00406878">
        <w:t xml:space="preserve">s and </w:t>
      </w:r>
      <w:r w:rsidR="00BB4E33">
        <w:t>phone</w:t>
      </w:r>
      <w:r w:rsidR="000A5444">
        <w:t xml:space="preserve"> bill</w:t>
      </w:r>
      <w:r w:rsidR="00BB4E33">
        <w:t>s</w:t>
      </w:r>
      <w:r w:rsidR="00CC345F" w:rsidRPr="007B1582">
        <w:t>).</w:t>
      </w:r>
      <w:r w:rsidR="00A6550C" w:rsidRPr="007B1582">
        <w:t xml:space="preserve"> </w:t>
      </w:r>
      <w:r w:rsidR="003B6348" w:rsidRPr="007B1582">
        <w:t>We also suggest c</w:t>
      </w:r>
      <w:r w:rsidR="00A6550C" w:rsidRPr="007B1582">
        <w:t xml:space="preserve">areful consideration be given to </w:t>
      </w:r>
      <w:r w:rsidR="003B6348" w:rsidRPr="007B1582">
        <w:t xml:space="preserve">including appropriate safeguards in </w:t>
      </w:r>
      <w:r w:rsidR="00A6550C" w:rsidRPr="007B1582">
        <w:t xml:space="preserve">situations </w:t>
      </w:r>
      <w:r w:rsidR="003B6348" w:rsidRPr="007B1582">
        <w:t>where a request for early release may arise from economic and financial abuse between spouses or partners.</w:t>
      </w:r>
    </w:p>
    <w:p w14:paraId="2A240B84" w14:textId="77777777" w:rsidR="00CC345F" w:rsidRPr="003D73B5" w:rsidRDefault="00CC345F" w:rsidP="00861FC7">
      <w:pPr>
        <w:spacing w:after="0"/>
      </w:pPr>
    </w:p>
    <w:p w14:paraId="43DA96FA" w14:textId="3D37A6CC" w:rsidR="00EB3C5D" w:rsidRPr="00577FFB" w:rsidRDefault="000E2845" w:rsidP="00861FC7">
      <w:pPr>
        <w:spacing w:after="0"/>
        <w:rPr>
          <w:b/>
          <w:i/>
        </w:rPr>
      </w:pPr>
      <w:r w:rsidRPr="00577FFB">
        <w:rPr>
          <w:b/>
          <w:i/>
        </w:rPr>
        <w:t>‘Consistent with’ mortgage grounds</w:t>
      </w:r>
    </w:p>
    <w:p w14:paraId="33DECE5C" w14:textId="7DCEAA76" w:rsidR="00230F0B" w:rsidRPr="00230F0B" w:rsidRDefault="00EF738B" w:rsidP="00984352">
      <w:pPr>
        <w:pStyle w:val="paragraph"/>
        <w:shd w:val="clear" w:color="auto" w:fill="FFFFFF"/>
        <w:rPr>
          <w:rFonts w:asciiTheme="minorHAnsi" w:hAnsiTheme="minorHAnsi"/>
          <w:i/>
          <w:sz w:val="22"/>
          <w:szCs w:val="22"/>
        </w:rPr>
      </w:pPr>
      <w:r>
        <w:rPr>
          <w:rFonts w:asciiTheme="minorHAnsi" w:hAnsiTheme="minorHAnsi"/>
          <w:i/>
          <w:sz w:val="22"/>
          <w:szCs w:val="22"/>
        </w:rPr>
        <w:t xml:space="preserve">Question </w:t>
      </w:r>
      <w:r w:rsidR="00230F0B" w:rsidRPr="00230F0B">
        <w:rPr>
          <w:rFonts w:asciiTheme="minorHAnsi" w:hAnsiTheme="minorHAnsi"/>
          <w:i/>
          <w:sz w:val="22"/>
          <w:szCs w:val="22"/>
        </w:rPr>
        <w:t xml:space="preserve">1.17 </w:t>
      </w:r>
      <w:r w:rsidR="00707665" w:rsidRPr="004D05BE">
        <w:rPr>
          <w:i/>
        </w:rPr>
        <w:t xml:space="preserve">– </w:t>
      </w:r>
      <w:r w:rsidR="00406878">
        <w:rPr>
          <w:rFonts w:asciiTheme="minorHAnsi" w:hAnsiTheme="minorHAnsi"/>
          <w:i/>
          <w:sz w:val="22"/>
          <w:szCs w:val="22"/>
        </w:rPr>
        <w:t>I</w:t>
      </w:r>
      <w:r w:rsidR="00230F0B" w:rsidRPr="00230F0B">
        <w:rPr>
          <w:rFonts w:asciiTheme="minorHAnsi" w:hAnsiTheme="minorHAnsi"/>
          <w:i/>
          <w:sz w:val="22"/>
          <w:szCs w:val="22"/>
        </w:rPr>
        <w:t>s there a fundamental difference between meeting mortgage payments and meeting rental payments which would warrant a difference in treatment? (for example</w:t>
      </w:r>
      <w:r w:rsidR="006C5D7F">
        <w:rPr>
          <w:rFonts w:asciiTheme="minorHAnsi" w:hAnsiTheme="minorHAnsi"/>
          <w:i/>
          <w:sz w:val="22"/>
          <w:szCs w:val="22"/>
        </w:rPr>
        <w:t>,</w:t>
      </w:r>
      <w:r w:rsidR="00230F0B" w:rsidRPr="00230F0B">
        <w:rPr>
          <w:rFonts w:asciiTheme="minorHAnsi" w:hAnsiTheme="minorHAnsi"/>
          <w:i/>
          <w:sz w:val="22"/>
          <w:szCs w:val="22"/>
        </w:rPr>
        <w:t xml:space="preserve"> in respect of the asset available to mortgagees once all repayments have been made</w:t>
      </w:r>
      <w:r w:rsidR="006C5D7F">
        <w:rPr>
          <w:rFonts w:asciiTheme="minorHAnsi" w:hAnsiTheme="minorHAnsi"/>
          <w:i/>
          <w:sz w:val="22"/>
          <w:szCs w:val="22"/>
        </w:rPr>
        <w:t>?</w:t>
      </w:r>
      <w:r w:rsidR="00230F0B" w:rsidRPr="00230F0B">
        <w:rPr>
          <w:rFonts w:asciiTheme="minorHAnsi" w:hAnsiTheme="minorHAnsi"/>
          <w:i/>
          <w:sz w:val="22"/>
          <w:szCs w:val="22"/>
        </w:rPr>
        <w:t xml:space="preserve">) </w:t>
      </w:r>
      <w:r w:rsidR="00406878">
        <w:rPr>
          <w:rFonts w:asciiTheme="minorHAnsi" w:hAnsiTheme="minorHAnsi"/>
          <w:i/>
          <w:sz w:val="22"/>
          <w:szCs w:val="22"/>
        </w:rPr>
        <w:t>O</w:t>
      </w:r>
      <w:r w:rsidR="00406878" w:rsidRPr="00FC225E">
        <w:rPr>
          <w:rFonts w:asciiTheme="minorHAnsi" w:hAnsiTheme="minorHAnsi"/>
          <w:i/>
          <w:sz w:val="22"/>
          <w:szCs w:val="22"/>
        </w:rPr>
        <w:t xml:space="preserve">r </w:t>
      </w:r>
      <w:r w:rsidR="00FF3218" w:rsidRPr="00FC225E">
        <w:rPr>
          <w:rFonts w:asciiTheme="minorHAnsi" w:hAnsiTheme="minorHAnsi"/>
          <w:i/>
          <w:sz w:val="22"/>
          <w:szCs w:val="22"/>
        </w:rPr>
        <w:t>should early release on compassionate grounds be extended to include individuals who are unable to meet rental payments. If so, what evidence should be required and what should be the threshold for release (for example, in rental arrears or rental eviction notice</w:t>
      </w:r>
      <w:r w:rsidR="00230F0B" w:rsidRPr="00FC225E">
        <w:rPr>
          <w:rFonts w:asciiTheme="minorHAnsi" w:hAnsiTheme="minorHAnsi"/>
          <w:i/>
          <w:sz w:val="22"/>
          <w:szCs w:val="22"/>
        </w:rPr>
        <w:t>)</w:t>
      </w:r>
      <w:r w:rsidR="00406878">
        <w:rPr>
          <w:rFonts w:asciiTheme="minorHAnsi" w:hAnsiTheme="minorHAnsi"/>
          <w:i/>
          <w:sz w:val="22"/>
          <w:szCs w:val="22"/>
        </w:rPr>
        <w:t>?</w:t>
      </w:r>
    </w:p>
    <w:p w14:paraId="059F7B96" w14:textId="03372B41" w:rsidR="00984352" w:rsidRDefault="00406878" w:rsidP="00984352">
      <w:pPr>
        <w:pStyle w:val="paragraph"/>
        <w:shd w:val="clear" w:color="auto" w:fill="FFFFFF"/>
        <w:rPr>
          <w:rFonts w:asciiTheme="minorHAnsi" w:hAnsiTheme="minorHAnsi"/>
          <w:sz w:val="22"/>
          <w:szCs w:val="22"/>
        </w:rPr>
      </w:pPr>
      <w:r>
        <w:rPr>
          <w:rFonts w:asciiTheme="minorHAnsi" w:hAnsiTheme="minorHAnsi"/>
          <w:sz w:val="22"/>
          <w:szCs w:val="22"/>
        </w:rPr>
        <w:t>Regulation 6.19A(1)(f) of the</w:t>
      </w:r>
      <w:r w:rsidR="00F82263" w:rsidRPr="00F82263">
        <w:rPr>
          <w:rFonts w:asciiTheme="minorHAnsi" w:hAnsiTheme="minorHAnsi"/>
          <w:sz w:val="22"/>
          <w:szCs w:val="22"/>
        </w:rPr>
        <w:t xml:space="preserve"> </w:t>
      </w:r>
      <w:r w:rsidR="00AB7CF6" w:rsidRPr="00DC2E07">
        <w:rPr>
          <w:rFonts w:asciiTheme="minorHAnsi" w:hAnsiTheme="minorHAnsi"/>
          <w:sz w:val="22"/>
          <w:szCs w:val="22"/>
        </w:rPr>
        <w:t>Superannuation Industry (Supervision) Regulations 1994</w:t>
      </w:r>
      <w:r w:rsidR="00AB7CF6" w:rsidRPr="00AB7CF6">
        <w:rPr>
          <w:rFonts w:asciiTheme="minorHAnsi" w:hAnsiTheme="minorHAnsi"/>
          <w:sz w:val="22"/>
          <w:szCs w:val="22"/>
        </w:rPr>
        <w:t xml:space="preserve"> </w:t>
      </w:r>
      <w:r w:rsidR="00F82263" w:rsidRPr="00F82263">
        <w:rPr>
          <w:rFonts w:asciiTheme="minorHAnsi" w:hAnsiTheme="minorHAnsi"/>
          <w:sz w:val="22"/>
          <w:szCs w:val="22"/>
        </w:rPr>
        <w:t>allow</w:t>
      </w:r>
      <w:r>
        <w:rPr>
          <w:rFonts w:asciiTheme="minorHAnsi" w:hAnsiTheme="minorHAnsi"/>
          <w:sz w:val="22"/>
          <w:szCs w:val="22"/>
        </w:rPr>
        <w:t>s</w:t>
      </w:r>
      <w:r w:rsidR="00F82263" w:rsidRPr="00F82263">
        <w:rPr>
          <w:rFonts w:asciiTheme="minorHAnsi" w:hAnsiTheme="minorHAnsi"/>
          <w:sz w:val="22"/>
          <w:szCs w:val="22"/>
        </w:rPr>
        <w:t xml:space="preserve"> </w:t>
      </w:r>
      <w:r>
        <w:rPr>
          <w:rFonts w:asciiTheme="minorHAnsi" w:hAnsiTheme="minorHAnsi"/>
          <w:sz w:val="22"/>
          <w:szCs w:val="22"/>
        </w:rPr>
        <w:t>the</w:t>
      </w:r>
      <w:r w:rsidRPr="00F82263">
        <w:rPr>
          <w:rFonts w:asciiTheme="minorHAnsi" w:hAnsiTheme="minorHAnsi"/>
          <w:sz w:val="22"/>
          <w:szCs w:val="22"/>
        </w:rPr>
        <w:t xml:space="preserve"> </w:t>
      </w:r>
      <w:r w:rsidR="006235B9">
        <w:rPr>
          <w:rFonts w:asciiTheme="minorHAnsi" w:hAnsiTheme="minorHAnsi"/>
          <w:sz w:val="22"/>
          <w:szCs w:val="22"/>
        </w:rPr>
        <w:t xml:space="preserve">early release of superannuation for </w:t>
      </w:r>
      <w:r w:rsidR="00F82263" w:rsidRPr="00F82263">
        <w:rPr>
          <w:rFonts w:asciiTheme="minorHAnsi" w:hAnsiTheme="minorHAnsi"/>
          <w:sz w:val="22"/>
          <w:szCs w:val="22"/>
        </w:rPr>
        <w:t>instances considered ‘consistent wit</w:t>
      </w:r>
      <w:r w:rsidR="00A831C0">
        <w:rPr>
          <w:rFonts w:asciiTheme="minorHAnsi" w:hAnsiTheme="minorHAnsi"/>
          <w:sz w:val="22"/>
          <w:szCs w:val="22"/>
        </w:rPr>
        <w:t xml:space="preserve">h’ a release </w:t>
      </w:r>
      <w:r w:rsidR="008F6A53">
        <w:rPr>
          <w:rFonts w:asciiTheme="minorHAnsi" w:hAnsiTheme="minorHAnsi"/>
          <w:sz w:val="22"/>
          <w:szCs w:val="22"/>
        </w:rPr>
        <w:t>of benefits on</w:t>
      </w:r>
      <w:r w:rsidR="00CF653B">
        <w:rPr>
          <w:rFonts w:asciiTheme="minorHAnsi" w:hAnsiTheme="minorHAnsi"/>
          <w:sz w:val="22"/>
          <w:szCs w:val="22"/>
        </w:rPr>
        <w:t xml:space="preserve"> compassionate grounds, including the mortgage ground.</w:t>
      </w:r>
    </w:p>
    <w:p w14:paraId="5254ED00" w14:textId="35937C1D" w:rsidR="00C7306F" w:rsidRDefault="00687D5D" w:rsidP="00181DB1">
      <w:pPr>
        <w:pStyle w:val="paragraph"/>
        <w:shd w:val="clear" w:color="auto" w:fill="FFFFFF"/>
        <w:rPr>
          <w:rFonts w:asciiTheme="minorHAnsi" w:hAnsiTheme="minorHAnsi"/>
          <w:sz w:val="22"/>
          <w:szCs w:val="22"/>
        </w:rPr>
      </w:pPr>
      <w:r>
        <w:rPr>
          <w:rFonts w:asciiTheme="minorHAnsi" w:hAnsiTheme="minorHAnsi"/>
          <w:sz w:val="22"/>
          <w:szCs w:val="22"/>
        </w:rPr>
        <w:t xml:space="preserve">A typical example of this is </w:t>
      </w:r>
      <w:r w:rsidR="008F214E">
        <w:rPr>
          <w:rFonts w:asciiTheme="minorHAnsi" w:hAnsiTheme="minorHAnsi"/>
          <w:sz w:val="22"/>
          <w:szCs w:val="22"/>
        </w:rPr>
        <w:t>outstanding council rates. Under State and Territory laws, a local council generally ha</w:t>
      </w:r>
      <w:r w:rsidR="000361F4">
        <w:rPr>
          <w:rFonts w:asciiTheme="minorHAnsi" w:hAnsiTheme="minorHAnsi"/>
          <w:sz w:val="22"/>
          <w:szCs w:val="22"/>
        </w:rPr>
        <w:t>s</w:t>
      </w:r>
      <w:r w:rsidR="008F214E">
        <w:rPr>
          <w:rFonts w:asciiTheme="minorHAnsi" w:hAnsiTheme="minorHAnsi"/>
          <w:sz w:val="22"/>
          <w:szCs w:val="22"/>
        </w:rPr>
        <w:t xml:space="preserve"> the power to seize and sell a property for unpaid council rates. </w:t>
      </w:r>
      <w:r w:rsidR="00B85B4B">
        <w:rPr>
          <w:rFonts w:asciiTheme="minorHAnsi" w:hAnsiTheme="minorHAnsi"/>
          <w:sz w:val="22"/>
          <w:szCs w:val="22"/>
        </w:rPr>
        <w:t xml:space="preserve">In this situation, </w:t>
      </w:r>
      <w:r w:rsidR="00383649">
        <w:rPr>
          <w:rFonts w:asciiTheme="minorHAnsi" w:hAnsiTheme="minorHAnsi"/>
          <w:sz w:val="22"/>
          <w:szCs w:val="22"/>
        </w:rPr>
        <w:t>an</w:t>
      </w:r>
      <w:r w:rsidR="00B85B4B">
        <w:rPr>
          <w:rFonts w:asciiTheme="minorHAnsi" w:hAnsiTheme="minorHAnsi"/>
          <w:sz w:val="22"/>
          <w:szCs w:val="22"/>
        </w:rPr>
        <w:t xml:space="preserve"> </w:t>
      </w:r>
      <w:r w:rsidR="003775A1">
        <w:rPr>
          <w:rFonts w:asciiTheme="minorHAnsi" w:hAnsiTheme="minorHAnsi"/>
          <w:sz w:val="22"/>
          <w:szCs w:val="22"/>
        </w:rPr>
        <w:t xml:space="preserve">early release </w:t>
      </w:r>
      <w:r w:rsidR="005B6F2C">
        <w:rPr>
          <w:rFonts w:asciiTheme="minorHAnsi" w:hAnsiTheme="minorHAnsi"/>
          <w:sz w:val="22"/>
          <w:szCs w:val="22"/>
        </w:rPr>
        <w:t xml:space="preserve">can be granted, as it is considered ‘consistent with’ the mortgage ground. </w:t>
      </w:r>
      <w:r w:rsidR="00B85B4B">
        <w:rPr>
          <w:rFonts w:asciiTheme="minorHAnsi" w:hAnsiTheme="minorHAnsi"/>
          <w:sz w:val="22"/>
          <w:szCs w:val="22"/>
        </w:rPr>
        <w:t xml:space="preserve"> </w:t>
      </w:r>
    </w:p>
    <w:p w14:paraId="1F150C18" w14:textId="19E39504" w:rsidR="00BB7F1D" w:rsidRDefault="00BB7F1D" w:rsidP="00BB7F1D">
      <w:pPr>
        <w:pStyle w:val="paragraph"/>
        <w:shd w:val="clear" w:color="auto" w:fill="FFFFFF"/>
        <w:rPr>
          <w:rFonts w:asciiTheme="minorHAnsi" w:hAnsiTheme="minorHAnsi"/>
          <w:sz w:val="22"/>
          <w:szCs w:val="22"/>
        </w:rPr>
      </w:pPr>
      <w:r>
        <w:rPr>
          <w:rFonts w:asciiTheme="minorHAnsi" w:hAnsiTheme="minorHAnsi"/>
          <w:sz w:val="22"/>
          <w:szCs w:val="22"/>
        </w:rPr>
        <w:t xml:space="preserve">In our view, rent to buy agreements would also meet the </w:t>
      </w:r>
      <w:r w:rsidR="004F3CB7">
        <w:rPr>
          <w:rFonts w:asciiTheme="minorHAnsi" w:hAnsiTheme="minorHAnsi"/>
          <w:sz w:val="22"/>
          <w:szCs w:val="22"/>
        </w:rPr>
        <w:t>‘</w:t>
      </w:r>
      <w:r>
        <w:rPr>
          <w:rFonts w:asciiTheme="minorHAnsi" w:hAnsiTheme="minorHAnsi"/>
          <w:sz w:val="22"/>
          <w:szCs w:val="22"/>
        </w:rPr>
        <w:t>consistent with</w:t>
      </w:r>
      <w:r w:rsidR="004F3CB7">
        <w:rPr>
          <w:rFonts w:asciiTheme="minorHAnsi" w:hAnsiTheme="minorHAnsi"/>
          <w:sz w:val="22"/>
          <w:szCs w:val="22"/>
        </w:rPr>
        <w:t>’</w:t>
      </w:r>
      <w:r>
        <w:rPr>
          <w:rFonts w:asciiTheme="minorHAnsi" w:hAnsiTheme="minorHAnsi"/>
          <w:sz w:val="22"/>
          <w:szCs w:val="22"/>
        </w:rPr>
        <w:t xml:space="preserve"> ground. Rent to buy agreements can be used where a person may not have the means to pay </w:t>
      </w:r>
      <w:r w:rsidR="000361F4">
        <w:rPr>
          <w:rFonts w:asciiTheme="minorHAnsi" w:hAnsiTheme="minorHAnsi"/>
          <w:sz w:val="22"/>
          <w:szCs w:val="22"/>
        </w:rPr>
        <w:t>the</w:t>
      </w:r>
      <w:r>
        <w:rPr>
          <w:rFonts w:asciiTheme="minorHAnsi" w:hAnsiTheme="minorHAnsi"/>
          <w:sz w:val="22"/>
          <w:szCs w:val="22"/>
        </w:rPr>
        <w:t xml:space="preserve"> deposit </w:t>
      </w:r>
      <w:r w:rsidR="000361F4">
        <w:rPr>
          <w:rFonts w:asciiTheme="minorHAnsi" w:hAnsiTheme="minorHAnsi"/>
          <w:sz w:val="22"/>
          <w:szCs w:val="22"/>
        </w:rPr>
        <w:t xml:space="preserve">that </w:t>
      </w:r>
      <w:r>
        <w:rPr>
          <w:rFonts w:asciiTheme="minorHAnsi" w:hAnsiTheme="minorHAnsi"/>
          <w:sz w:val="22"/>
          <w:szCs w:val="22"/>
        </w:rPr>
        <w:t xml:space="preserve">a bank would require to grant a mortgage. Under rent to buy agreements, the usual situation is a person signs a contract with the current owner of a house, to make specified payments for a specified period, after which, the title is transferred and the person becomes the registered owner of the property. </w:t>
      </w:r>
    </w:p>
    <w:p w14:paraId="61F88621" w14:textId="03DC8B2F" w:rsidR="001C3B24" w:rsidRDefault="00BB7F1D" w:rsidP="001C3B24">
      <w:pPr>
        <w:pStyle w:val="paragraph"/>
        <w:shd w:val="clear" w:color="auto" w:fill="FFFFFF"/>
        <w:rPr>
          <w:rFonts w:asciiTheme="minorHAnsi" w:hAnsiTheme="minorHAnsi"/>
          <w:sz w:val="22"/>
          <w:szCs w:val="22"/>
        </w:rPr>
      </w:pPr>
      <w:r>
        <w:rPr>
          <w:rFonts w:asciiTheme="minorHAnsi" w:hAnsiTheme="minorHAnsi"/>
          <w:sz w:val="22"/>
          <w:szCs w:val="22"/>
        </w:rPr>
        <w:t>However</w:t>
      </w:r>
      <w:r w:rsidR="001C3B24">
        <w:rPr>
          <w:rFonts w:asciiTheme="minorHAnsi" w:hAnsiTheme="minorHAnsi"/>
          <w:sz w:val="22"/>
          <w:szCs w:val="22"/>
        </w:rPr>
        <w:t xml:space="preserve">, DHS does not </w:t>
      </w:r>
      <w:r w:rsidR="00406878">
        <w:rPr>
          <w:rFonts w:asciiTheme="minorHAnsi" w:hAnsiTheme="minorHAnsi"/>
          <w:sz w:val="22"/>
          <w:szCs w:val="22"/>
        </w:rPr>
        <w:t xml:space="preserve">currently </w:t>
      </w:r>
      <w:r w:rsidR="001C3B24">
        <w:rPr>
          <w:rFonts w:asciiTheme="minorHAnsi" w:hAnsiTheme="minorHAnsi"/>
          <w:sz w:val="22"/>
          <w:szCs w:val="22"/>
        </w:rPr>
        <w:t xml:space="preserve">consider rent to buy agreements to be ‘consistent with’ the mortgage grounds as the applicant’s name is not on the title of the property. </w:t>
      </w:r>
    </w:p>
    <w:p w14:paraId="79D6BD84" w14:textId="2CD40F05" w:rsidR="00CF38A5" w:rsidRPr="00181DB1" w:rsidRDefault="000361F4" w:rsidP="00181DB1">
      <w:pPr>
        <w:pStyle w:val="paragraph"/>
        <w:shd w:val="clear" w:color="auto" w:fill="FFFFFF"/>
        <w:rPr>
          <w:rFonts w:asciiTheme="minorHAnsi" w:hAnsiTheme="minorHAnsi"/>
          <w:sz w:val="22"/>
          <w:szCs w:val="22"/>
        </w:rPr>
      </w:pPr>
      <w:r w:rsidRPr="00946A18">
        <w:rPr>
          <w:b/>
          <w:i/>
          <w:noProof/>
        </w:rPr>
        <mc:AlternateContent>
          <mc:Choice Requires="wps">
            <w:drawing>
              <wp:anchor distT="45720" distB="45720" distL="114300" distR="114300" simplePos="0" relativeHeight="251667456" behindDoc="0" locked="0" layoutInCell="1" allowOverlap="1" wp14:anchorId="7930E3E9" wp14:editId="0CD904B3">
                <wp:simplePos x="0" y="0"/>
                <wp:positionH relativeFrom="column">
                  <wp:posOffset>-31115</wp:posOffset>
                </wp:positionH>
                <wp:positionV relativeFrom="paragraph">
                  <wp:posOffset>299085</wp:posOffset>
                </wp:positionV>
                <wp:extent cx="5547360" cy="1582420"/>
                <wp:effectExtent l="0" t="0" r="152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582420"/>
                        </a:xfrm>
                        <a:prstGeom prst="rect">
                          <a:avLst/>
                        </a:prstGeom>
                        <a:solidFill>
                          <a:srgbClr val="FFFFFF"/>
                        </a:solidFill>
                        <a:ln w="9525">
                          <a:solidFill>
                            <a:srgbClr val="000000"/>
                          </a:solidFill>
                          <a:miter lim="800000"/>
                          <a:headEnd/>
                          <a:tailEnd/>
                        </a:ln>
                      </wps:spPr>
                      <wps:txbx>
                        <w:txbxContent>
                          <w:p w14:paraId="590A0016" w14:textId="715204C8" w:rsidR="00A66624" w:rsidRPr="00D174E7" w:rsidRDefault="00A66624" w:rsidP="00A66624">
                            <w:pPr>
                              <w:rPr>
                                <w:b/>
                                <w:i/>
                              </w:rPr>
                            </w:pPr>
                            <w:r w:rsidRPr="00D174E7">
                              <w:rPr>
                                <w:b/>
                                <w:i/>
                              </w:rPr>
                              <w:t xml:space="preserve">Case Study – rent </w:t>
                            </w:r>
                            <w:r>
                              <w:rPr>
                                <w:b/>
                                <w:i/>
                              </w:rPr>
                              <w:t>to buy agreements</w:t>
                            </w:r>
                            <w:r w:rsidR="00B94336">
                              <w:rPr>
                                <w:b/>
                                <w:i/>
                              </w:rPr>
                              <w:t xml:space="preserve"> </w:t>
                            </w:r>
                          </w:p>
                          <w:p w14:paraId="6FB23809" w14:textId="4A4644BA" w:rsidR="00A66624" w:rsidRDefault="00A66624" w:rsidP="00A66624">
                            <w:pPr>
                              <w:rPr>
                                <w:b/>
                                <w:i/>
                              </w:rPr>
                            </w:pPr>
                            <w:r w:rsidRPr="00D174E7">
                              <w:rPr>
                                <w:b/>
                                <w:i/>
                              </w:rPr>
                              <w:t xml:space="preserve">Mr A </w:t>
                            </w:r>
                            <w:r w:rsidR="00DD477C">
                              <w:rPr>
                                <w:b/>
                                <w:i/>
                              </w:rPr>
                              <w:t xml:space="preserve">told </w:t>
                            </w:r>
                            <w:r w:rsidRPr="00D174E7">
                              <w:rPr>
                                <w:b/>
                                <w:i/>
                              </w:rPr>
                              <w:t>our Office that he entered into a rent to buy agreement for his property</w:t>
                            </w:r>
                            <w:r>
                              <w:rPr>
                                <w:b/>
                                <w:i/>
                              </w:rPr>
                              <w:t xml:space="preserve"> and he had been paying rent for the past </w:t>
                            </w:r>
                            <w:r w:rsidR="00B731A7">
                              <w:rPr>
                                <w:b/>
                                <w:i/>
                              </w:rPr>
                              <w:t xml:space="preserve">three </w:t>
                            </w:r>
                            <w:r>
                              <w:rPr>
                                <w:b/>
                                <w:i/>
                              </w:rPr>
                              <w:t>and a half years</w:t>
                            </w:r>
                            <w:r w:rsidRPr="00D174E7">
                              <w:rPr>
                                <w:b/>
                                <w:i/>
                              </w:rPr>
                              <w:t>. He applied for early release of his superannuation to pay the final instalment</w:t>
                            </w:r>
                            <w:r>
                              <w:rPr>
                                <w:b/>
                                <w:i/>
                              </w:rPr>
                              <w:t xml:space="preserve"> for the property</w:t>
                            </w:r>
                            <w:r w:rsidR="00DD477C">
                              <w:rPr>
                                <w:b/>
                                <w:i/>
                              </w:rPr>
                              <w:t xml:space="preserve">, after which, </w:t>
                            </w:r>
                            <w:r>
                              <w:rPr>
                                <w:b/>
                                <w:i/>
                              </w:rPr>
                              <w:t>he would become the registered owner</w:t>
                            </w:r>
                            <w:r w:rsidR="001D4BF8">
                              <w:rPr>
                                <w:b/>
                                <w:i/>
                              </w:rPr>
                              <w:t xml:space="preserve"> of the property</w:t>
                            </w:r>
                            <w:r w:rsidR="00DD477C">
                              <w:rPr>
                                <w:b/>
                                <w:i/>
                              </w:rPr>
                              <w:t xml:space="preserve"> under the rent to buy agreement</w:t>
                            </w:r>
                            <w:r>
                              <w:rPr>
                                <w:b/>
                                <w:i/>
                              </w:rPr>
                              <w:t>.</w:t>
                            </w:r>
                            <w:r w:rsidRPr="00D174E7">
                              <w:rPr>
                                <w:b/>
                                <w:i/>
                              </w:rPr>
                              <w:t xml:space="preserve"> </w:t>
                            </w:r>
                            <w:r>
                              <w:rPr>
                                <w:b/>
                                <w:i/>
                              </w:rPr>
                              <w:t>DHS</w:t>
                            </w:r>
                            <w:r w:rsidR="00315F83">
                              <w:rPr>
                                <w:b/>
                                <w:i/>
                              </w:rPr>
                              <w:t xml:space="preserve"> refused Mr A’s application as it said he was n</w:t>
                            </w:r>
                            <w:r w:rsidRPr="00D174E7">
                              <w:rPr>
                                <w:b/>
                                <w:i/>
                              </w:rPr>
                              <w:t xml:space="preserve">ot </w:t>
                            </w:r>
                            <w:r w:rsidR="00315F83">
                              <w:rPr>
                                <w:b/>
                                <w:i/>
                              </w:rPr>
                              <w:t xml:space="preserve">the </w:t>
                            </w:r>
                            <w:r w:rsidRPr="00D174E7">
                              <w:rPr>
                                <w:b/>
                                <w:i/>
                              </w:rPr>
                              <w:t>registered owner of the property</w:t>
                            </w:r>
                            <w:r>
                              <w:rPr>
                                <w:b/>
                                <w:i/>
                              </w:rPr>
                              <w:t xml:space="preserve"> and </w:t>
                            </w:r>
                            <w:r w:rsidR="00A844BF">
                              <w:rPr>
                                <w:b/>
                                <w:i/>
                              </w:rPr>
                              <w:t xml:space="preserve">therefore </w:t>
                            </w:r>
                            <w:r>
                              <w:rPr>
                                <w:b/>
                                <w:i/>
                              </w:rPr>
                              <w:t xml:space="preserve">it did not consider the matter to be ‘consistent with’ </w:t>
                            </w:r>
                            <w:r w:rsidR="00A844BF">
                              <w:rPr>
                                <w:b/>
                                <w:i/>
                              </w:rPr>
                              <w:t xml:space="preserve">mortgage grounds. </w:t>
                            </w:r>
                          </w:p>
                          <w:p w14:paraId="231CAEA0" w14:textId="77777777" w:rsidR="00A66624" w:rsidRPr="00946A18" w:rsidRDefault="00A66624" w:rsidP="00A66624">
                            <w:pPr>
                              <w:rPr>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pt;margin-top:23.55pt;width:436.8pt;height:12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qKAIAAE4EAAAOAAAAZHJzL2Uyb0RvYy54bWysVNtu2zAMfR+wfxD0vjj2kiY14hRdugwD&#10;ugvQ7gNkWY6FSaImKbGzrx8lp2nQbS/D/CCIInV0eEh6dTNoRQ7CeQmmovlkSokwHBppdhX99rh9&#10;s6TEB2YapsCIih6Fpzfr169WvS1FAR2oRjiCIMaXva1oF4Its8zzTmjmJ2CFQWcLTrOApttljWM9&#10;omuVFdPpVdaDa6wDLrzH07vRSdcJv20FD1/a1otAVEWRW0irS2sd12y9YuXOMdtJfqLB/oGFZtLg&#10;o2eoOxYY2Tv5G5SW3IGHNkw46AzaVnKRcsBs8umLbB46ZkXKBcXx9iyT/3+w/PPhqyOyqWiRLygx&#10;TGORHsUQyDsYSBH16a0vMezBYmAY8BjrnHL19h74d08MbDpmduLWOeg7wRrkl8eb2cXVEcdHkLr/&#10;BA0+w/YBEtDQOh3FQzkIomOdjufaRCocD+fz2eLtFbo4+vL5spgVqXoZK5+uW+fDBwGaxE1FHRY/&#10;wbPDvQ+RDiufQuJrHpRstlKpZLhdvVGOHBg2yjZ9KYMXYcqQvqLX82I+KvBXiGn6/gShZcCOV1JX&#10;dHkOYmXU7b1pUj8GJtW4R8rKnISM2o0qhqEeUs2SylHkGpojKutgbHAcSNx04H5S0mNzV9T/2DMn&#10;KFEfDVbnOp/N4jQkYzZfoJTEXXrqSw8zHKEqGigZt5uQJijqZuAWq9jKpO8zkxNlbNok+2nA4lRc&#10;2inq+Tew/gUAAP//AwBQSwMEFAAGAAgAAAAhACC6QF/fAAAACQEAAA8AAABkcnMvZG93bnJldi54&#10;bWxMj8tOwzAURPdI/IN1kdig1mkb5UVuKoQEgl0pCLZufJtE+BFsNw1/j1nBcjSjmTP1dtaKTeT8&#10;YA3CapkAI9NaOZgO4e31YVEA80EYKZQ1hPBNHrbN5UUtKmnP5oWmfehYLDG+Egh9CGPFuW970sIv&#10;7UgmekfrtAhRuo5LJ86xXCu+TpKMazGYuNCLke57aj/3J41QpE/Th3/e7N7b7KjKcJNPj18O8fpq&#10;vrsFFmgOf2H4xY/o0ESmgz0Z6ZlCWKRlTCKk+QpY9IusyIEdENZltgHe1Pz/g+YHAAD//wMAUEsB&#10;Ai0AFAAGAAgAAAAhALaDOJL+AAAA4QEAABMAAAAAAAAAAAAAAAAAAAAAAFtDb250ZW50X1R5cGVz&#10;XS54bWxQSwECLQAUAAYACAAAACEAOP0h/9YAAACUAQAACwAAAAAAAAAAAAAAAAAvAQAAX3JlbHMv&#10;LnJlbHNQSwECLQAUAAYACAAAACEAGAvjaigCAABOBAAADgAAAAAAAAAAAAAAAAAuAgAAZHJzL2Uy&#10;b0RvYy54bWxQSwECLQAUAAYACAAAACEAILpAX98AAAAJAQAADwAAAAAAAAAAAAAAAACCBAAAZHJz&#10;L2Rvd25yZXYueG1sUEsFBgAAAAAEAAQA8wAAAI4FAAAAAA==&#10;">
                <v:textbox>
                  <w:txbxContent>
                    <w:p w14:paraId="590A0016" w14:textId="715204C8" w:rsidR="00A66624" w:rsidRPr="00D174E7" w:rsidRDefault="00A66624" w:rsidP="00A66624">
                      <w:pPr>
                        <w:rPr>
                          <w:b/>
                          <w:i/>
                        </w:rPr>
                      </w:pPr>
                      <w:r w:rsidRPr="00D174E7">
                        <w:rPr>
                          <w:b/>
                          <w:i/>
                        </w:rPr>
                        <w:t xml:space="preserve">Case Study – rent </w:t>
                      </w:r>
                      <w:r>
                        <w:rPr>
                          <w:b/>
                          <w:i/>
                        </w:rPr>
                        <w:t>to buy agreements</w:t>
                      </w:r>
                      <w:r w:rsidR="00B94336">
                        <w:rPr>
                          <w:b/>
                          <w:i/>
                        </w:rPr>
                        <w:t xml:space="preserve"> </w:t>
                      </w:r>
                    </w:p>
                    <w:p w14:paraId="6FB23809" w14:textId="4A4644BA" w:rsidR="00A66624" w:rsidRDefault="00A66624" w:rsidP="00A66624">
                      <w:pPr>
                        <w:rPr>
                          <w:b/>
                          <w:i/>
                        </w:rPr>
                      </w:pPr>
                      <w:r w:rsidRPr="00D174E7">
                        <w:rPr>
                          <w:b/>
                          <w:i/>
                        </w:rPr>
                        <w:t xml:space="preserve">Mr A </w:t>
                      </w:r>
                      <w:r w:rsidR="00DD477C">
                        <w:rPr>
                          <w:b/>
                          <w:i/>
                        </w:rPr>
                        <w:t xml:space="preserve">told </w:t>
                      </w:r>
                      <w:r w:rsidRPr="00D174E7">
                        <w:rPr>
                          <w:b/>
                          <w:i/>
                        </w:rPr>
                        <w:t>our Office that he entered into a rent to buy agreement for his property</w:t>
                      </w:r>
                      <w:r>
                        <w:rPr>
                          <w:b/>
                          <w:i/>
                        </w:rPr>
                        <w:t xml:space="preserve"> and he had been paying rent for the past </w:t>
                      </w:r>
                      <w:r w:rsidR="00B731A7">
                        <w:rPr>
                          <w:b/>
                          <w:i/>
                        </w:rPr>
                        <w:t xml:space="preserve">three </w:t>
                      </w:r>
                      <w:r>
                        <w:rPr>
                          <w:b/>
                          <w:i/>
                        </w:rPr>
                        <w:t>and a half years</w:t>
                      </w:r>
                      <w:r w:rsidRPr="00D174E7">
                        <w:rPr>
                          <w:b/>
                          <w:i/>
                        </w:rPr>
                        <w:t>. He applied for early release of his superannuation to pay the final instalment</w:t>
                      </w:r>
                      <w:r>
                        <w:rPr>
                          <w:b/>
                          <w:i/>
                        </w:rPr>
                        <w:t xml:space="preserve"> for the property</w:t>
                      </w:r>
                      <w:r w:rsidR="00DD477C">
                        <w:rPr>
                          <w:b/>
                          <w:i/>
                        </w:rPr>
                        <w:t xml:space="preserve">, after which, </w:t>
                      </w:r>
                      <w:r>
                        <w:rPr>
                          <w:b/>
                          <w:i/>
                        </w:rPr>
                        <w:t>he would become the registered owner</w:t>
                      </w:r>
                      <w:r w:rsidR="001D4BF8">
                        <w:rPr>
                          <w:b/>
                          <w:i/>
                        </w:rPr>
                        <w:t xml:space="preserve"> of the property</w:t>
                      </w:r>
                      <w:r w:rsidR="00DD477C">
                        <w:rPr>
                          <w:b/>
                          <w:i/>
                        </w:rPr>
                        <w:t xml:space="preserve"> under the rent to buy agreement</w:t>
                      </w:r>
                      <w:r>
                        <w:rPr>
                          <w:b/>
                          <w:i/>
                        </w:rPr>
                        <w:t>.</w:t>
                      </w:r>
                      <w:r w:rsidRPr="00D174E7">
                        <w:rPr>
                          <w:b/>
                          <w:i/>
                        </w:rPr>
                        <w:t xml:space="preserve"> </w:t>
                      </w:r>
                      <w:r>
                        <w:rPr>
                          <w:b/>
                          <w:i/>
                        </w:rPr>
                        <w:t>DHS</w:t>
                      </w:r>
                      <w:r w:rsidR="00315F83">
                        <w:rPr>
                          <w:b/>
                          <w:i/>
                        </w:rPr>
                        <w:t xml:space="preserve"> refused Mr A’s application as it said he was n</w:t>
                      </w:r>
                      <w:r w:rsidRPr="00D174E7">
                        <w:rPr>
                          <w:b/>
                          <w:i/>
                        </w:rPr>
                        <w:t xml:space="preserve">ot </w:t>
                      </w:r>
                      <w:r w:rsidR="00315F83">
                        <w:rPr>
                          <w:b/>
                          <w:i/>
                        </w:rPr>
                        <w:t xml:space="preserve">the </w:t>
                      </w:r>
                      <w:r w:rsidRPr="00D174E7">
                        <w:rPr>
                          <w:b/>
                          <w:i/>
                        </w:rPr>
                        <w:t>registered owner of the property</w:t>
                      </w:r>
                      <w:r>
                        <w:rPr>
                          <w:b/>
                          <w:i/>
                        </w:rPr>
                        <w:t xml:space="preserve"> and </w:t>
                      </w:r>
                      <w:r w:rsidR="00A844BF">
                        <w:rPr>
                          <w:b/>
                          <w:i/>
                        </w:rPr>
                        <w:t xml:space="preserve">therefore </w:t>
                      </w:r>
                      <w:r>
                        <w:rPr>
                          <w:b/>
                          <w:i/>
                        </w:rPr>
                        <w:t xml:space="preserve">it did not consider the matter to be ‘consistent with’ </w:t>
                      </w:r>
                      <w:r w:rsidR="00A844BF">
                        <w:rPr>
                          <w:b/>
                          <w:i/>
                        </w:rPr>
                        <w:t xml:space="preserve">mortgage grounds. </w:t>
                      </w:r>
                    </w:p>
                    <w:p w14:paraId="231CAEA0" w14:textId="77777777" w:rsidR="00A66624" w:rsidRPr="00946A18" w:rsidRDefault="00A66624" w:rsidP="00A66624">
                      <w:pPr>
                        <w:rPr>
                          <w:b/>
                          <w:i/>
                        </w:rPr>
                      </w:pPr>
                    </w:p>
                  </w:txbxContent>
                </v:textbox>
                <w10:wrap type="square"/>
              </v:shape>
            </w:pict>
          </mc:Fallback>
        </mc:AlternateContent>
      </w:r>
      <w:r w:rsidR="00CF38A5">
        <w:rPr>
          <w:rFonts w:asciiTheme="minorHAnsi" w:hAnsiTheme="minorHAnsi"/>
          <w:sz w:val="22"/>
          <w:szCs w:val="22"/>
          <w:lang w:val="en-US"/>
        </w:rPr>
        <w:t xml:space="preserve">This is illustrated by the case study below. </w:t>
      </w:r>
    </w:p>
    <w:p w14:paraId="3E31634B" w14:textId="4A39F761" w:rsidR="00A66624" w:rsidRDefault="00A66624" w:rsidP="00EB3C5D">
      <w:pPr>
        <w:spacing w:after="0"/>
      </w:pPr>
    </w:p>
    <w:p w14:paraId="07BB1548" w14:textId="1078C879" w:rsidR="00584B8F" w:rsidRDefault="004A7560" w:rsidP="00EB3C5D">
      <w:pPr>
        <w:spacing w:after="0"/>
      </w:pPr>
      <w:r>
        <w:t xml:space="preserve">While </w:t>
      </w:r>
      <w:r w:rsidR="00324063">
        <w:t>this</w:t>
      </w:r>
      <w:r>
        <w:t xml:space="preserve"> Office accepted that </w:t>
      </w:r>
      <w:r w:rsidR="00B731A7">
        <w:t xml:space="preserve">DHS’s </w:t>
      </w:r>
      <w:r>
        <w:t>decision</w:t>
      </w:r>
      <w:r w:rsidR="004E4BEA">
        <w:t xml:space="preserve"> in the above case</w:t>
      </w:r>
      <w:r>
        <w:t xml:space="preserve"> not to allow a release under the ‘consistent with’ mortgage grounds</w:t>
      </w:r>
      <w:r w:rsidR="00737B86">
        <w:t xml:space="preserve"> was open to it to make,</w:t>
      </w:r>
      <w:r>
        <w:t xml:space="preserve"> we believe </w:t>
      </w:r>
      <w:r w:rsidR="00EA6F05">
        <w:t>this may have disadvantage</w:t>
      </w:r>
      <w:r w:rsidR="00FD43E1">
        <w:t>d</w:t>
      </w:r>
      <w:r w:rsidR="00EA6F05">
        <w:t xml:space="preserve"> the complainant. </w:t>
      </w:r>
      <w:r w:rsidR="00ED0EF3">
        <w:br/>
      </w:r>
    </w:p>
    <w:p w14:paraId="0095C580" w14:textId="72A49F69" w:rsidR="00ED0EF3" w:rsidRDefault="00045042" w:rsidP="00EB3C5D">
      <w:pPr>
        <w:spacing w:after="0"/>
      </w:pPr>
      <w:r>
        <w:t>Therefore, w</w:t>
      </w:r>
      <w:r w:rsidR="00FD0A24">
        <w:t xml:space="preserve">e </w:t>
      </w:r>
      <w:r w:rsidR="00B731A7">
        <w:t>suggest</w:t>
      </w:r>
      <w:r w:rsidR="00ED0EF3">
        <w:t xml:space="preserve"> </w:t>
      </w:r>
      <w:r w:rsidR="000361F4">
        <w:t xml:space="preserve">the legislation be amended to specifically allow, or </w:t>
      </w:r>
      <w:r w:rsidR="00ED0EF3">
        <w:t xml:space="preserve">a standalone ground </w:t>
      </w:r>
      <w:r w:rsidR="00FD0A24">
        <w:t>be established</w:t>
      </w:r>
      <w:r w:rsidR="000361F4">
        <w:t>,</w:t>
      </w:r>
      <w:r w:rsidR="00BE68B4">
        <w:t xml:space="preserve"> for early release of superannuation</w:t>
      </w:r>
      <w:r w:rsidR="00A52EE5">
        <w:t xml:space="preserve"> </w:t>
      </w:r>
      <w:r w:rsidR="004471D0">
        <w:t>for rent to buy agreements</w:t>
      </w:r>
      <w:r w:rsidR="00BE68B4">
        <w:t xml:space="preserve">. </w:t>
      </w:r>
    </w:p>
    <w:p w14:paraId="0CC66C16" w14:textId="77777777" w:rsidR="00A129E0" w:rsidRDefault="00A129E0" w:rsidP="00EB3C5D">
      <w:pPr>
        <w:spacing w:after="0"/>
      </w:pPr>
    </w:p>
    <w:p w14:paraId="332D3E64" w14:textId="77777777" w:rsidR="00A129E0" w:rsidRPr="00577FFB" w:rsidRDefault="00B91811" w:rsidP="00A129E0">
      <w:pPr>
        <w:rPr>
          <w:rFonts w:asciiTheme="minorHAnsi" w:hAnsiTheme="minorHAnsi"/>
          <w:b/>
          <w:i/>
          <w:szCs w:val="22"/>
        </w:rPr>
      </w:pPr>
      <w:r w:rsidRPr="00577FFB">
        <w:rPr>
          <w:rFonts w:asciiTheme="minorHAnsi" w:hAnsiTheme="minorHAnsi"/>
          <w:b/>
          <w:i/>
          <w:szCs w:val="22"/>
        </w:rPr>
        <w:t xml:space="preserve">Financial capacity </w:t>
      </w:r>
    </w:p>
    <w:p w14:paraId="69BF62B9" w14:textId="04AF720C" w:rsidR="001D682A" w:rsidRDefault="005136E6" w:rsidP="00A129E0">
      <w:r>
        <w:t xml:space="preserve">For an early release of superannuation </w:t>
      </w:r>
      <w:r w:rsidR="00A129E0" w:rsidRPr="001C015B">
        <w:t xml:space="preserve">to be granted, </w:t>
      </w:r>
      <w:r w:rsidR="00436EB8">
        <w:t xml:space="preserve">the </w:t>
      </w:r>
      <w:r w:rsidR="00B731A7">
        <w:t>Regulator</w:t>
      </w:r>
      <w:r w:rsidR="00B731A7" w:rsidRPr="001C015B">
        <w:t xml:space="preserve"> </w:t>
      </w:r>
      <w:r w:rsidR="00A129E0" w:rsidRPr="001C015B">
        <w:t>must be satisfied the person does not have the financial capacity to meet an expense arising from that ground.</w:t>
      </w:r>
      <w:r w:rsidR="00A129E0">
        <w:rPr>
          <w:rStyle w:val="FootnoteReference"/>
        </w:rPr>
        <w:footnoteReference w:id="1"/>
      </w:r>
      <w:r w:rsidR="007C5F37">
        <w:t xml:space="preserve"> </w:t>
      </w:r>
    </w:p>
    <w:p w14:paraId="6E3B33F9" w14:textId="28C6C7F3" w:rsidR="001D682A" w:rsidRDefault="001D682A" w:rsidP="00941701">
      <w:r>
        <w:t>We understand DHS’s policy is only to allow a release for unpaid expense</w:t>
      </w:r>
      <w:r w:rsidR="00DD477C">
        <w:t>s</w:t>
      </w:r>
      <w:r w:rsidR="00577FFB">
        <w:t xml:space="preserve">. DHS does not permit an early release </w:t>
      </w:r>
      <w:r>
        <w:t>where t</w:t>
      </w:r>
      <w:r w:rsidR="007C5F37">
        <w:t xml:space="preserve">he applicant has borrowed funds to pay for the expense. </w:t>
      </w:r>
      <w:r>
        <w:t xml:space="preserve">DHS currently treats all loans </w:t>
      </w:r>
      <w:r w:rsidR="00045042">
        <w:t xml:space="preserve">as </w:t>
      </w:r>
      <w:r>
        <w:t>borrowed funds</w:t>
      </w:r>
      <w:r w:rsidR="00577FFB">
        <w:t>, regardless of whether it was a commercial loan (</w:t>
      </w:r>
      <w:r w:rsidR="00FD43E1">
        <w:t>such as</w:t>
      </w:r>
      <w:r w:rsidR="00577FFB">
        <w:t xml:space="preserve"> a credit card) or a loan from friends or family. </w:t>
      </w:r>
      <w:r>
        <w:t xml:space="preserve"> </w:t>
      </w:r>
    </w:p>
    <w:p w14:paraId="7045DB07" w14:textId="77777777" w:rsidR="00303BBE" w:rsidRDefault="001D682A" w:rsidP="00EB3C5D">
      <w:pPr>
        <w:spacing w:after="0"/>
      </w:pPr>
      <w:r>
        <w:t>F</w:t>
      </w:r>
      <w:r w:rsidRPr="003B2705">
        <w:t>rom 1 January 2016</w:t>
      </w:r>
      <w:r>
        <w:t xml:space="preserve"> to date, m</w:t>
      </w:r>
      <w:r w:rsidR="000474E7">
        <w:t xml:space="preserve">y Office has received </w:t>
      </w:r>
      <w:r w:rsidR="00FF1907" w:rsidRPr="00433252">
        <w:t>17</w:t>
      </w:r>
      <w:r w:rsidR="000474E7" w:rsidRPr="00433252">
        <w:t xml:space="preserve"> </w:t>
      </w:r>
      <w:r w:rsidR="000474E7" w:rsidRPr="003B2705">
        <w:t>complaints</w:t>
      </w:r>
      <w:r w:rsidR="000A27FE">
        <w:t xml:space="preserve"> from people who have borrowed funds </w:t>
      </w:r>
      <w:r w:rsidR="0094774A">
        <w:t xml:space="preserve">from their friends or relatives </w:t>
      </w:r>
      <w:r w:rsidR="000A27FE">
        <w:t xml:space="preserve">to pay for expenses and </w:t>
      </w:r>
      <w:r w:rsidR="00A8430D">
        <w:t xml:space="preserve">therefore, </w:t>
      </w:r>
      <w:r w:rsidR="000A27FE">
        <w:t>have</w:t>
      </w:r>
      <w:r w:rsidR="00577FFB">
        <w:t xml:space="preserve"> been refused an</w:t>
      </w:r>
      <w:r w:rsidR="000A27FE">
        <w:t xml:space="preserve"> early release of their superannuation</w:t>
      </w:r>
      <w:r w:rsidR="000474E7">
        <w:t xml:space="preserve">. </w:t>
      </w:r>
    </w:p>
    <w:p w14:paraId="76A362C7" w14:textId="77777777" w:rsidR="00D937C0" w:rsidRDefault="00D937C0" w:rsidP="00EB3C5D">
      <w:pPr>
        <w:spacing w:after="0"/>
      </w:pPr>
    </w:p>
    <w:p w14:paraId="42F09A3F" w14:textId="07AADEFE" w:rsidR="005207AE" w:rsidRDefault="00DD477C" w:rsidP="005207AE">
      <w:pPr>
        <w:spacing w:after="0"/>
      </w:pPr>
      <w:r>
        <w:rPr>
          <w:noProof/>
          <w:lang w:eastAsia="en-AU"/>
        </w:rPr>
        <mc:AlternateContent>
          <mc:Choice Requires="wps">
            <w:drawing>
              <wp:anchor distT="45720" distB="45720" distL="114300" distR="114300" simplePos="0" relativeHeight="251663360" behindDoc="0" locked="0" layoutInCell="1" allowOverlap="1" wp14:anchorId="3125B7CB" wp14:editId="1E34B8EE">
                <wp:simplePos x="0" y="0"/>
                <wp:positionH relativeFrom="column">
                  <wp:posOffset>-27940</wp:posOffset>
                </wp:positionH>
                <wp:positionV relativeFrom="paragraph">
                  <wp:posOffset>1056640</wp:posOffset>
                </wp:positionV>
                <wp:extent cx="5433060" cy="1150620"/>
                <wp:effectExtent l="0" t="0" r="1524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1150620"/>
                        </a:xfrm>
                        <a:prstGeom prst="rect">
                          <a:avLst/>
                        </a:prstGeom>
                        <a:solidFill>
                          <a:srgbClr val="FFFFFF"/>
                        </a:solidFill>
                        <a:ln w="9525">
                          <a:solidFill>
                            <a:srgbClr val="000000"/>
                          </a:solidFill>
                          <a:miter lim="800000"/>
                          <a:headEnd/>
                          <a:tailEnd/>
                        </a:ln>
                      </wps:spPr>
                      <wps:txbx>
                        <w:txbxContent>
                          <w:p w14:paraId="7E3861E6" w14:textId="728E5687" w:rsidR="004E6249" w:rsidRDefault="000474E7" w:rsidP="004E6249">
                            <w:pPr>
                              <w:spacing w:after="0"/>
                              <w:rPr>
                                <w:b/>
                                <w:i/>
                              </w:rPr>
                            </w:pPr>
                            <w:r w:rsidRPr="00C45F39">
                              <w:rPr>
                                <w:b/>
                                <w:i/>
                              </w:rPr>
                              <w:t xml:space="preserve">Case study – </w:t>
                            </w:r>
                            <w:r w:rsidR="004E6249">
                              <w:rPr>
                                <w:b/>
                                <w:i/>
                              </w:rPr>
                              <w:t xml:space="preserve">borrowed funds </w:t>
                            </w:r>
                          </w:p>
                          <w:p w14:paraId="5410BD26" w14:textId="77777777" w:rsidR="004E6249" w:rsidRDefault="004E6249" w:rsidP="004E6249">
                            <w:pPr>
                              <w:spacing w:after="0"/>
                              <w:rPr>
                                <w:b/>
                                <w:i/>
                              </w:rPr>
                            </w:pPr>
                          </w:p>
                          <w:p w14:paraId="213539BE" w14:textId="77777777" w:rsidR="007E6D05" w:rsidRPr="00C45F39" w:rsidRDefault="00D03114">
                            <w:pPr>
                              <w:rPr>
                                <w:b/>
                                <w:i/>
                              </w:rPr>
                            </w:pPr>
                            <w:r>
                              <w:rPr>
                                <w:b/>
                                <w:i/>
                              </w:rPr>
                              <w:t>Mr</w:t>
                            </w:r>
                            <w:r w:rsidR="008862FA">
                              <w:rPr>
                                <w:b/>
                                <w:i/>
                              </w:rPr>
                              <w:t xml:space="preserve"> A </w:t>
                            </w:r>
                            <w:r w:rsidR="00DD477C">
                              <w:rPr>
                                <w:b/>
                                <w:i/>
                              </w:rPr>
                              <w:t xml:space="preserve">told us he had to borrow money from a friend to pay for his son’s funeral. </w:t>
                            </w:r>
                            <w:r w:rsidR="009408E3">
                              <w:rPr>
                                <w:b/>
                                <w:i/>
                              </w:rPr>
                              <w:t>Mr A</w:t>
                            </w:r>
                            <w:r w:rsidR="00DD477C">
                              <w:rPr>
                                <w:b/>
                                <w:i/>
                              </w:rPr>
                              <w:t xml:space="preserve"> then lodged an application </w:t>
                            </w:r>
                            <w:r w:rsidR="007E6D05">
                              <w:rPr>
                                <w:b/>
                                <w:i/>
                              </w:rPr>
                              <w:t>for an early release of his superannua</w:t>
                            </w:r>
                            <w:r w:rsidR="00376847">
                              <w:rPr>
                                <w:b/>
                                <w:i/>
                              </w:rPr>
                              <w:t>tion to</w:t>
                            </w:r>
                            <w:r w:rsidR="00DD477C">
                              <w:rPr>
                                <w:b/>
                                <w:i/>
                              </w:rPr>
                              <w:t xml:space="preserve"> repay his friend. </w:t>
                            </w:r>
                            <w:r w:rsidR="00891A67">
                              <w:rPr>
                                <w:b/>
                                <w:i/>
                              </w:rPr>
                              <w:t xml:space="preserve">However, </w:t>
                            </w:r>
                            <w:r w:rsidR="007E6D05">
                              <w:rPr>
                                <w:b/>
                                <w:i/>
                              </w:rPr>
                              <w:t xml:space="preserve">DHS refused his application as </w:t>
                            </w:r>
                            <w:r w:rsidR="00891A67">
                              <w:rPr>
                                <w:b/>
                                <w:i/>
                              </w:rPr>
                              <w:t xml:space="preserve">the </w:t>
                            </w:r>
                            <w:r w:rsidR="007E6D05">
                              <w:rPr>
                                <w:b/>
                                <w:i/>
                              </w:rPr>
                              <w:t>fune</w:t>
                            </w:r>
                            <w:r w:rsidR="00891A67">
                              <w:rPr>
                                <w:b/>
                                <w:i/>
                              </w:rPr>
                              <w:t xml:space="preserve">ral bill had already been paid. It advised him that this </w:t>
                            </w:r>
                            <w:r w:rsidR="003E6496">
                              <w:rPr>
                                <w:b/>
                                <w:i/>
                              </w:rPr>
                              <w:t>showed he</w:t>
                            </w:r>
                            <w:r w:rsidR="007E6D05">
                              <w:rPr>
                                <w:b/>
                                <w:i/>
                              </w:rPr>
                              <w:t xml:space="preserve"> had the </w:t>
                            </w:r>
                            <w:r w:rsidR="00721BE7">
                              <w:rPr>
                                <w:b/>
                                <w:i/>
                              </w:rPr>
                              <w:t xml:space="preserve">financial </w:t>
                            </w:r>
                            <w:r w:rsidR="00383513">
                              <w:rPr>
                                <w:b/>
                                <w:i/>
                              </w:rPr>
                              <w:t>capacity to pay the expense.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pt;margin-top:83.2pt;width:427.8pt;height:9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vJgIAAEwEAAAOAAAAZHJzL2Uyb0RvYy54bWysVNtu2zAMfR+wfxD0vtjOba0Rp+jSZRjQ&#10;XYB2HyDLcixMEjVJiZ19fSk5zYJuexnmB0EUqSPyHNKrm0ErchDOSzAVLSY5JcJwaKTZVfTb4/bN&#10;FSU+MNMwBUZU9Cg8vVm/frXqbSmm0IFqhCMIYnzZ24p2IdgyyzzvhGZ+AlYYdLbgNAtoul3WONYj&#10;ulbZNM+XWQ+usQ648B5P70YnXSf8thU8fGlbLwJRFcXcQlpdWuu4ZusVK3eO2U7yUxrsH7LQTBp8&#10;9Ax1xwIjeyd/g9KSO/DQhgkHnUHbSi5SDVhNkb+o5qFjVqRakBxvzzT5/wfLPx++OiKbis4oMUyj&#10;RI9iCOQdDGQa2emtLzHowWJYGPAYVU6VensP/LsnBjYdMztx6xz0nWANZlfEm9nF1RHHR5C6/wQN&#10;PsP2ARLQ0DodqUMyCKKjSsezMjEVjoeL+WyWL9HF0VcUi3w5TdplrHy+bp0PHwRoEjcVdSh9gmeH&#10;ex9iOqx8DomveVCy2UqlkuF29UY5cmDYJtv0pQpehClD+opeL6aLkYG/QuTp+xOElgH7XUld0atz&#10;ECsjb+9Nk7oxMKnGPaaszInIyN3IYhjqISl21qeG5ojMOhjbG8cRNx24n5T02NoV9T/2zAlK1EeD&#10;6lwX83mchWTMF2+RSuIuPfWlhxmOUBUNlIzbTUjzE3kzcIsqtjLxG+UeMzmljC2baD+NV5yJSztF&#10;/foJrJ8AAAD//wMAUEsDBBQABgAIAAAAIQAqaYOk4AAAAAoBAAAPAAAAZHJzL2Rvd25yZXYueG1s&#10;TI/LTsMwEEX3SPyDNUhsUOu0DW4IcSqEBKI7KAi2buwmEfY42G4a/p5hBbt5HN05U20mZ9loQuw9&#10;SljMM2AGG697bCW8vT7MCmAxKdTKejQSvk2ETX1+VqlS+xO+mHGXWkYhGEsloUtpKDmPTWecinM/&#10;GKTdwQenErWh5TqoE4U7y5dZJrhTPdKFTg3mvjPN5+7oJBT50/gRt6vn90Yc7E26Wo+PX0HKy4vp&#10;7hZYMlP6g+FXn9ShJqe9P6KOzEqY5TmRNBeCCgKK68US2F7CKl8L4HXF/79Q/wAAAP//AwBQSwEC&#10;LQAUAAYACAAAACEAtoM4kv4AAADhAQAAEwAAAAAAAAAAAAAAAAAAAAAAW0NvbnRlbnRfVHlwZXNd&#10;LnhtbFBLAQItABQABgAIAAAAIQA4/SH/1gAAAJQBAAALAAAAAAAAAAAAAAAAAC8BAABfcmVscy8u&#10;cmVsc1BLAQItABQABgAIAAAAIQD/HOdvJgIAAEwEAAAOAAAAAAAAAAAAAAAAAC4CAABkcnMvZTJv&#10;RG9jLnhtbFBLAQItABQABgAIAAAAIQAqaYOk4AAAAAoBAAAPAAAAAAAAAAAAAAAAAIAEAABkcnMv&#10;ZG93bnJldi54bWxQSwUGAAAAAAQABADzAAAAjQUAAAAA&#10;">
                <v:textbox>
                  <w:txbxContent>
                    <w:p w14:paraId="7E3861E6" w14:textId="728E5687" w:rsidR="004E6249" w:rsidRDefault="000474E7" w:rsidP="004E6249">
                      <w:pPr>
                        <w:spacing w:after="0"/>
                        <w:rPr>
                          <w:b/>
                          <w:i/>
                        </w:rPr>
                      </w:pPr>
                      <w:r w:rsidRPr="00C45F39">
                        <w:rPr>
                          <w:b/>
                          <w:i/>
                        </w:rPr>
                        <w:t xml:space="preserve">Case study – </w:t>
                      </w:r>
                      <w:r w:rsidR="004E6249">
                        <w:rPr>
                          <w:b/>
                          <w:i/>
                        </w:rPr>
                        <w:t xml:space="preserve">borrowed funds </w:t>
                      </w:r>
                    </w:p>
                    <w:p w14:paraId="5410BD26" w14:textId="77777777" w:rsidR="004E6249" w:rsidRDefault="004E6249" w:rsidP="004E6249">
                      <w:pPr>
                        <w:spacing w:after="0"/>
                        <w:rPr>
                          <w:b/>
                          <w:i/>
                        </w:rPr>
                      </w:pPr>
                    </w:p>
                    <w:p w14:paraId="213539BE" w14:textId="77777777" w:rsidR="007E6D05" w:rsidRPr="00C45F39" w:rsidRDefault="00D03114">
                      <w:pPr>
                        <w:rPr>
                          <w:b/>
                          <w:i/>
                        </w:rPr>
                      </w:pPr>
                      <w:r>
                        <w:rPr>
                          <w:b/>
                          <w:i/>
                        </w:rPr>
                        <w:t>Mr</w:t>
                      </w:r>
                      <w:r w:rsidR="008862FA">
                        <w:rPr>
                          <w:b/>
                          <w:i/>
                        </w:rPr>
                        <w:t xml:space="preserve"> A </w:t>
                      </w:r>
                      <w:r w:rsidR="00DD477C">
                        <w:rPr>
                          <w:b/>
                          <w:i/>
                        </w:rPr>
                        <w:t xml:space="preserve">told us he had to borrow money from a friend to pay for his son’s funeral. </w:t>
                      </w:r>
                      <w:r w:rsidR="009408E3">
                        <w:rPr>
                          <w:b/>
                          <w:i/>
                        </w:rPr>
                        <w:t>Mr A</w:t>
                      </w:r>
                      <w:r w:rsidR="00DD477C">
                        <w:rPr>
                          <w:b/>
                          <w:i/>
                        </w:rPr>
                        <w:t xml:space="preserve"> then lodged an application </w:t>
                      </w:r>
                      <w:r w:rsidR="007E6D05">
                        <w:rPr>
                          <w:b/>
                          <w:i/>
                        </w:rPr>
                        <w:t>for an early release of his superannua</w:t>
                      </w:r>
                      <w:r w:rsidR="00376847">
                        <w:rPr>
                          <w:b/>
                          <w:i/>
                        </w:rPr>
                        <w:t>tion to</w:t>
                      </w:r>
                      <w:r w:rsidR="00DD477C">
                        <w:rPr>
                          <w:b/>
                          <w:i/>
                        </w:rPr>
                        <w:t xml:space="preserve"> repay his friend. </w:t>
                      </w:r>
                      <w:r w:rsidR="00891A67">
                        <w:rPr>
                          <w:b/>
                          <w:i/>
                        </w:rPr>
                        <w:t xml:space="preserve">However, </w:t>
                      </w:r>
                      <w:r w:rsidR="007E6D05">
                        <w:rPr>
                          <w:b/>
                          <w:i/>
                        </w:rPr>
                        <w:t xml:space="preserve">DHS refused his application as </w:t>
                      </w:r>
                      <w:r w:rsidR="00891A67">
                        <w:rPr>
                          <w:b/>
                          <w:i/>
                        </w:rPr>
                        <w:t xml:space="preserve">the </w:t>
                      </w:r>
                      <w:r w:rsidR="007E6D05">
                        <w:rPr>
                          <w:b/>
                          <w:i/>
                        </w:rPr>
                        <w:t>fune</w:t>
                      </w:r>
                      <w:r w:rsidR="00891A67">
                        <w:rPr>
                          <w:b/>
                          <w:i/>
                        </w:rPr>
                        <w:t xml:space="preserve">ral bill had already been paid. It advised him that this </w:t>
                      </w:r>
                      <w:r w:rsidR="003E6496">
                        <w:rPr>
                          <w:b/>
                          <w:i/>
                        </w:rPr>
                        <w:t>showed he</w:t>
                      </w:r>
                      <w:r w:rsidR="007E6D05">
                        <w:rPr>
                          <w:b/>
                          <w:i/>
                        </w:rPr>
                        <w:t xml:space="preserve"> had the </w:t>
                      </w:r>
                      <w:r w:rsidR="00721BE7">
                        <w:rPr>
                          <w:b/>
                          <w:i/>
                        </w:rPr>
                        <w:t xml:space="preserve">financial </w:t>
                      </w:r>
                      <w:r w:rsidR="00383513">
                        <w:rPr>
                          <w:b/>
                          <w:i/>
                        </w:rPr>
                        <w:t>capacity to pay the expense.</w:t>
                      </w:r>
                    </w:p>
                  </w:txbxContent>
                </v:textbox>
                <w10:wrap type="square"/>
              </v:shape>
            </w:pict>
          </mc:Fallback>
        </mc:AlternateContent>
      </w:r>
      <w:r w:rsidR="000B42B8">
        <w:t xml:space="preserve">In our view, </w:t>
      </w:r>
      <w:r w:rsidR="00961112">
        <w:t xml:space="preserve">using a credit card or bank loan to pay for an expense should be treated differently from borrowing money </w:t>
      </w:r>
      <w:r w:rsidR="000B42B8">
        <w:t xml:space="preserve">from friends or relatives </w:t>
      </w:r>
      <w:r w:rsidR="00961112">
        <w:t>to pay the expense. In our view, borrowing the money</w:t>
      </w:r>
      <w:r w:rsidR="00A13E82">
        <w:t xml:space="preserve"> from someone else</w:t>
      </w:r>
      <w:r w:rsidR="001B216D">
        <w:t xml:space="preserve"> </w:t>
      </w:r>
      <w:r w:rsidR="00E62BA1">
        <w:t>could be</w:t>
      </w:r>
      <w:r w:rsidR="00D40B82">
        <w:t>,</w:t>
      </w:r>
      <w:r w:rsidR="000C266F">
        <w:t xml:space="preserve"> in and of itself</w:t>
      </w:r>
      <w:r w:rsidR="00D40B82">
        <w:t>,</w:t>
      </w:r>
      <w:r w:rsidR="000C266F">
        <w:t xml:space="preserve"> an indication that </w:t>
      </w:r>
      <w:r w:rsidR="00961112">
        <w:t>the applicant</w:t>
      </w:r>
      <w:r w:rsidR="000C266F">
        <w:t xml:space="preserve"> </w:t>
      </w:r>
      <w:r w:rsidR="00961112">
        <w:t>does</w:t>
      </w:r>
      <w:r w:rsidR="000C266F">
        <w:t xml:space="preserve"> not have the capacity to pay for the </w:t>
      </w:r>
      <w:r w:rsidR="00A93061">
        <w:t>expense</w:t>
      </w:r>
      <w:r>
        <w:t xml:space="preserve"> by other commercial means (</w:t>
      </w:r>
      <w:r w:rsidR="00FD43E1">
        <w:t xml:space="preserve">such as a </w:t>
      </w:r>
      <w:r>
        <w:t>credit card or loan)</w:t>
      </w:r>
      <w:r w:rsidR="000C266F">
        <w:t xml:space="preserve">. </w:t>
      </w:r>
      <w:r w:rsidR="005207AE">
        <w:t xml:space="preserve">The below case study is an example of this. </w:t>
      </w:r>
    </w:p>
    <w:p w14:paraId="235A42B9" w14:textId="77777777" w:rsidR="000C266F" w:rsidRDefault="000C266F" w:rsidP="00EB3C5D">
      <w:pPr>
        <w:spacing w:after="0"/>
      </w:pPr>
    </w:p>
    <w:p w14:paraId="58BE72E5" w14:textId="68236B04" w:rsidR="00FC4DEB" w:rsidRDefault="00AE6E33" w:rsidP="00E11549">
      <w:pPr>
        <w:spacing w:after="0"/>
      </w:pPr>
      <w:r>
        <w:t>Arguably,</w:t>
      </w:r>
      <w:r w:rsidR="00A93061">
        <w:t xml:space="preserve"> </w:t>
      </w:r>
      <w:r w:rsidR="00505258">
        <w:t>this application of the law</w:t>
      </w:r>
      <w:r w:rsidR="00A93061">
        <w:t xml:space="preserve"> may result in an unfair disadvantage</w:t>
      </w:r>
      <w:r w:rsidR="00DD477C">
        <w:t xml:space="preserve"> to more vulnerable people</w:t>
      </w:r>
      <w:r w:rsidR="00C15FBD">
        <w:t>. In our view,</w:t>
      </w:r>
      <w:r w:rsidR="00A93061">
        <w:t xml:space="preserve"> </w:t>
      </w:r>
      <w:r w:rsidR="00505258">
        <w:t>the law could be clarified to state that</w:t>
      </w:r>
      <w:r w:rsidR="0005401E">
        <w:t xml:space="preserve"> where an applicant has borrowed funds from friends and relatives</w:t>
      </w:r>
      <w:r w:rsidR="00505258">
        <w:t xml:space="preserve">, </w:t>
      </w:r>
      <w:r w:rsidR="00045042">
        <w:t>an early release would be permitted</w:t>
      </w:r>
      <w:r w:rsidR="000C266F">
        <w:t xml:space="preserve">. </w:t>
      </w:r>
      <w:r w:rsidR="00505258">
        <w:t>I</w:t>
      </w:r>
      <w:r w:rsidR="008177AF">
        <w:t xml:space="preserve">f Treasury </w:t>
      </w:r>
      <w:r w:rsidR="00505258">
        <w:t xml:space="preserve">recommended </w:t>
      </w:r>
      <w:r w:rsidR="008177AF">
        <w:t xml:space="preserve">this change, careful consideration </w:t>
      </w:r>
      <w:r w:rsidR="00890012">
        <w:t xml:space="preserve">would need to </w:t>
      </w:r>
      <w:r w:rsidR="008177AF">
        <w:t>be given to</w:t>
      </w:r>
      <w:r w:rsidR="00890012">
        <w:t xml:space="preserve"> </w:t>
      </w:r>
      <w:r w:rsidR="008345D0">
        <w:t xml:space="preserve">how the person could demonstrate to DHS that they were not able to borrow the funds commercially and the only other option they had was to borrow the money from family or friends. </w:t>
      </w:r>
    </w:p>
    <w:p w14:paraId="1D4AA42B" w14:textId="77777777" w:rsidR="00E11549" w:rsidRPr="00E11549" w:rsidRDefault="00E11549" w:rsidP="00E11549">
      <w:pPr>
        <w:spacing w:after="0"/>
      </w:pPr>
    </w:p>
    <w:p w14:paraId="5388CB74" w14:textId="77777777" w:rsidR="00F933DB" w:rsidRPr="00577FFB" w:rsidRDefault="00577FFB">
      <w:pPr>
        <w:rPr>
          <w:rFonts w:eastAsia="Times"/>
          <w:b/>
          <w:sz w:val="32"/>
          <w:szCs w:val="20"/>
        </w:rPr>
      </w:pPr>
      <w:r w:rsidRPr="00577FFB">
        <w:rPr>
          <w:rFonts w:eastAsia="Times"/>
          <w:b/>
          <w:sz w:val="32"/>
          <w:szCs w:val="20"/>
        </w:rPr>
        <w:t xml:space="preserve">Part 2 - </w:t>
      </w:r>
      <w:r w:rsidR="00C038D1">
        <w:rPr>
          <w:rFonts w:eastAsia="Times"/>
          <w:b/>
          <w:sz w:val="32"/>
          <w:szCs w:val="20"/>
        </w:rPr>
        <w:t>Severe financial h</w:t>
      </w:r>
      <w:r w:rsidR="004C7703" w:rsidRPr="00577FFB">
        <w:rPr>
          <w:rFonts w:eastAsia="Times"/>
          <w:b/>
          <w:sz w:val="32"/>
          <w:szCs w:val="20"/>
        </w:rPr>
        <w:t>ardship</w:t>
      </w:r>
      <w:r w:rsidR="00831030" w:rsidRPr="00577FFB">
        <w:rPr>
          <w:rFonts w:eastAsia="Times"/>
          <w:b/>
          <w:sz w:val="32"/>
          <w:szCs w:val="20"/>
        </w:rPr>
        <w:t xml:space="preserve"> grounds</w:t>
      </w:r>
    </w:p>
    <w:p w14:paraId="41F20612" w14:textId="367C34BB" w:rsidR="004D05BE" w:rsidRPr="004D05BE" w:rsidRDefault="004D05BE">
      <w:pPr>
        <w:rPr>
          <w:i/>
        </w:rPr>
      </w:pPr>
      <w:r w:rsidRPr="004D05BE">
        <w:rPr>
          <w:i/>
        </w:rPr>
        <w:t xml:space="preserve">Question 2.1 – </w:t>
      </w:r>
      <w:r w:rsidR="00A70B89">
        <w:rPr>
          <w:i/>
        </w:rPr>
        <w:t>H</w:t>
      </w:r>
      <w:r w:rsidR="00A70B89" w:rsidRPr="004D05BE">
        <w:rPr>
          <w:i/>
        </w:rPr>
        <w:t xml:space="preserve">aving </w:t>
      </w:r>
      <w:r w:rsidRPr="004D05BE">
        <w:rPr>
          <w:i/>
        </w:rPr>
        <w:t xml:space="preserve">regard to the necessary trade-off between simplicity, objectivity and flexibility, should the criteria for severe financial hardship be </w:t>
      </w:r>
      <w:r w:rsidR="00432E82" w:rsidRPr="004D05BE">
        <w:rPr>
          <w:i/>
        </w:rPr>
        <w:t>amended</w:t>
      </w:r>
      <w:r w:rsidRPr="004D05BE">
        <w:rPr>
          <w:i/>
        </w:rPr>
        <w:t>? If so, how? In particular, is there merit in expanding or contracting the 26-week rule and/or the definition of qualifying Commonwealth income support payments?</w:t>
      </w:r>
    </w:p>
    <w:p w14:paraId="7CDFADB6" w14:textId="6A0673AE" w:rsidR="008870A2" w:rsidRDefault="008870A2">
      <w:pPr>
        <w:rPr>
          <w:rFonts w:asciiTheme="minorHAnsi" w:hAnsiTheme="minorHAnsi" w:cs="Arial"/>
        </w:rPr>
      </w:pPr>
      <w:r>
        <w:t>Under the</w:t>
      </w:r>
      <w:r w:rsidR="00407B4A">
        <w:t xml:space="preserve"> current law,</w:t>
      </w:r>
      <w:r w:rsidR="003D3E6D">
        <w:rPr>
          <w:rStyle w:val="FootnoteReference"/>
        </w:rPr>
        <w:footnoteReference w:id="2"/>
      </w:r>
      <w:r w:rsidR="00407B4A">
        <w:t xml:space="preserve"> </w:t>
      </w:r>
      <w:r>
        <w:rPr>
          <w:rFonts w:asciiTheme="minorHAnsi" w:hAnsiTheme="minorHAnsi" w:cs="Arial"/>
        </w:rPr>
        <w:t xml:space="preserve">a person is taken to be in </w:t>
      </w:r>
      <w:r w:rsidRPr="00407B4A">
        <w:rPr>
          <w:rFonts w:asciiTheme="minorHAnsi" w:hAnsiTheme="minorHAnsi" w:cs="Arial"/>
          <w:i/>
        </w:rPr>
        <w:t>severe financial hardship</w:t>
      </w:r>
      <w:r>
        <w:rPr>
          <w:rFonts w:asciiTheme="minorHAnsi" w:hAnsiTheme="minorHAnsi" w:cs="Arial"/>
        </w:rPr>
        <w:t xml:space="preserve"> if the trustee of the superannuation entity is satisfied:</w:t>
      </w:r>
    </w:p>
    <w:p w14:paraId="2C1822C5" w14:textId="131811B1" w:rsidR="008870A2" w:rsidRPr="008870A2" w:rsidRDefault="008870A2" w:rsidP="008870A2">
      <w:pPr>
        <w:pStyle w:val="ListParagraph"/>
        <w:numPr>
          <w:ilvl w:val="0"/>
          <w:numId w:val="2"/>
        </w:numPr>
        <w:rPr>
          <w:lang w:val="en-US"/>
        </w:rPr>
      </w:pPr>
      <w:r w:rsidRPr="008870A2">
        <w:t>the person has received Commonwealth income support payments for a continuous period of 26 weeks</w:t>
      </w:r>
    </w:p>
    <w:p w14:paraId="34FA9896" w14:textId="56CC6565" w:rsidR="008870A2" w:rsidRPr="008870A2" w:rsidRDefault="008870A2" w:rsidP="008870A2">
      <w:pPr>
        <w:pStyle w:val="ListParagraph"/>
        <w:numPr>
          <w:ilvl w:val="0"/>
          <w:numId w:val="2"/>
        </w:numPr>
        <w:rPr>
          <w:lang w:val="en-US"/>
        </w:rPr>
      </w:pPr>
      <w:r w:rsidRPr="008870A2">
        <w:t>the person was in receipt of payments of that kind on the date of the written evidence</w:t>
      </w:r>
      <w:r w:rsidR="00FD43E1">
        <w:t>, and</w:t>
      </w:r>
    </w:p>
    <w:p w14:paraId="0CBC951A" w14:textId="77777777" w:rsidR="008870A2" w:rsidRPr="009F0072" w:rsidRDefault="008870A2" w:rsidP="008870A2">
      <w:pPr>
        <w:pStyle w:val="ListParagraph"/>
        <w:numPr>
          <w:ilvl w:val="0"/>
          <w:numId w:val="2"/>
        </w:numPr>
        <w:rPr>
          <w:lang w:val="en-US"/>
        </w:rPr>
      </w:pPr>
      <w:r w:rsidRPr="008870A2">
        <w:t xml:space="preserve">the person is </w:t>
      </w:r>
      <w:r w:rsidRPr="009F0072">
        <w:t>unable to meet reasonable and imme</w:t>
      </w:r>
      <w:r w:rsidR="00301F8E">
        <w:t>diate family living expenses.</w:t>
      </w:r>
    </w:p>
    <w:p w14:paraId="39B0BB6C" w14:textId="77777777" w:rsidR="00B478C6" w:rsidRPr="00577FFB" w:rsidRDefault="009E0F0B" w:rsidP="00383EBB">
      <w:pPr>
        <w:rPr>
          <w:b/>
          <w:i/>
        </w:rPr>
      </w:pPr>
      <w:r w:rsidRPr="00577FFB">
        <w:rPr>
          <w:b/>
          <w:i/>
        </w:rPr>
        <w:t xml:space="preserve">Definition of </w:t>
      </w:r>
      <w:r w:rsidR="00FA1E08" w:rsidRPr="00577FFB">
        <w:rPr>
          <w:b/>
          <w:i/>
        </w:rPr>
        <w:t>Commonwealth</w:t>
      </w:r>
      <w:r w:rsidR="00FA1E08" w:rsidRPr="00577FFB">
        <w:rPr>
          <w:b/>
        </w:rPr>
        <w:t xml:space="preserve"> </w:t>
      </w:r>
      <w:r w:rsidR="00577FFB">
        <w:rPr>
          <w:b/>
          <w:i/>
        </w:rPr>
        <w:t>i</w:t>
      </w:r>
      <w:r w:rsidR="00B478C6" w:rsidRPr="00577FFB">
        <w:rPr>
          <w:b/>
          <w:i/>
        </w:rPr>
        <w:t>ncome support payment</w:t>
      </w:r>
    </w:p>
    <w:p w14:paraId="4C12E1D2" w14:textId="77777777" w:rsidR="00383EBB" w:rsidRDefault="00407B4A" w:rsidP="00383EBB">
      <w:r>
        <w:t>A Commonwealth i</w:t>
      </w:r>
      <w:r w:rsidR="00542158" w:rsidRPr="009F0072">
        <w:t>ncome</w:t>
      </w:r>
      <w:r w:rsidR="007F3E4B" w:rsidRPr="009F0072">
        <w:t xml:space="preserve"> support </w:t>
      </w:r>
      <w:r w:rsidR="005D1A3A" w:rsidRPr="009F0072">
        <w:t xml:space="preserve">payment </w:t>
      </w:r>
      <w:r>
        <w:t xml:space="preserve">means the payments listed in s </w:t>
      </w:r>
      <w:r w:rsidR="009F0072" w:rsidRPr="009F0072">
        <w:t xml:space="preserve">23(1) of the </w:t>
      </w:r>
      <w:r w:rsidR="009F0072" w:rsidRPr="009F0072">
        <w:rPr>
          <w:i/>
          <w:iCs/>
        </w:rPr>
        <w:t>Social Security Act 1991</w:t>
      </w:r>
      <w:r w:rsidR="00CC493C">
        <w:t>.</w:t>
      </w:r>
      <w:r>
        <w:t xml:space="preserve"> </w:t>
      </w:r>
      <w:r w:rsidR="00CC493C">
        <w:t>Austudy</w:t>
      </w:r>
      <w:r w:rsidR="00DD477C">
        <w:t xml:space="preserve">, </w:t>
      </w:r>
      <w:r>
        <w:t>youth a</w:t>
      </w:r>
      <w:r w:rsidR="00F92DBF" w:rsidRPr="009F0072">
        <w:t>llowance</w:t>
      </w:r>
      <w:r w:rsidR="00680FCF">
        <w:t xml:space="preserve"> and</w:t>
      </w:r>
      <w:r w:rsidR="00F92DBF" w:rsidRPr="009F0072">
        <w:t xml:space="preserve"> </w:t>
      </w:r>
      <w:r w:rsidR="00DD477C">
        <w:t xml:space="preserve">New Enterprise Incentive Scheme (NEIS) </w:t>
      </w:r>
      <w:r w:rsidR="00F92DBF" w:rsidRPr="009F0072">
        <w:t xml:space="preserve">payments are </w:t>
      </w:r>
      <w:r w:rsidR="00DD477C">
        <w:t xml:space="preserve">not included in the </w:t>
      </w:r>
      <w:r w:rsidR="00F92DBF" w:rsidRPr="009F0072">
        <w:t>definition of income support</w:t>
      </w:r>
      <w:r w:rsidR="00871505">
        <w:t xml:space="preserve"> payments</w:t>
      </w:r>
      <w:r w:rsidR="00F92DBF" w:rsidRPr="009F0072">
        <w:t>.</w:t>
      </w:r>
      <w:r w:rsidR="00383EBB" w:rsidRPr="00383EBB">
        <w:t xml:space="preserve"> </w:t>
      </w:r>
    </w:p>
    <w:p w14:paraId="0B6E08FD" w14:textId="0649AEDB" w:rsidR="00111564" w:rsidRDefault="00FD0ED5" w:rsidP="00383EBB">
      <w:r>
        <w:t xml:space="preserve">In </w:t>
      </w:r>
      <w:r w:rsidR="000733BF">
        <w:t>our</w:t>
      </w:r>
      <w:r>
        <w:t xml:space="preserve"> view, as r</w:t>
      </w:r>
      <w:r w:rsidR="00111564">
        <w:t xml:space="preserve">ecipients of Austudy and </w:t>
      </w:r>
      <w:r w:rsidR="00633358">
        <w:t>students</w:t>
      </w:r>
      <w:r w:rsidR="00111564">
        <w:t xml:space="preserve"> receiving youth allowance have made </w:t>
      </w:r>
      <w:r w:rsidR="00C944CE">
        <w:t>the</w:t>
      </w:r>
      <w:r w:rsidR="00111564">
        <w:t xml:space="preserve"> </w:t>
      </w:r>
      <w:r w:rsidR="00633358">
        <w:t>voluntary</w:t>
      </w:r>
      <w:r w:rsidR="00111564">
        <w:t xml:space="preserve"> decision to pursue study</w:t>
      </w:r>
      <w:r>
        <w:t xml:space="preserve">, </w:t>
      </w:r>
      <w:r w:rsidR="00A70B89">
        <w:t xml:space="preserve">it is reasonable that </w:t>
      </w:r>
      <w:r w:rsidR="0048478C">
        <w:t xml:space="preserve">early release of superannuation </w:t>
      </w:r>
      <w:r w:rsidR="00A70B89">
        <w:t>is not</w:t>
      </w:r>
      <w:r w:rsidR="0048478C">
        <w:t xml:space="preserve"> available</w:t>
      </w:r>
      <w:r w:rsidR="00A70B89">
        <w:t xml:space="preserve"> to them</w:t>
      </w:r>
      <w:r w:rsidR="00FD43E1">
        <w:t>,</w:t>
      </w:r>
      <w:r w:rsidR="00CB70A5">
        <w:t xml:space="preserve"> h</w:t>
      </w:r>
      <w:r w:rsidR="00111564">
        <w:t xml:space="preserve">owever, this </w:t>
      </w:r>
      <w:r w:rsidR="00680FCF">
        <w:t xml:space="preserve">may not be </w:t>
      </w:r>
      <w:r w:rsidR="00111564">
        <w:t xml:space="preserve">the case with </w:t>
      </w:r>
      <w:r w:rsidR="00633358">
        <w:t>recipients</w:t>
      </w:r>
      <w:r w:rsidR="00111564">
        <w:t xml:space="preserve"> of NEIS </w:t>
      </w:r>
      <w:r w:rsidR="00407B4A">
        <w:t>payments</w:t>
      </w:r>
      <w:r w:rsidR="00111564">
        <w:t>.</w:t>
      </w:r>
      <w:r w:rsidR="00111564" w:rsidRPr="00111564">
        <w:t xml:space="preserve"> </w:t>
      </w:r>
    </w:p>
    <w:p w14:paraId="175B8145" w14:textId="77777777" w:rsidR="005F2517" w:rsidRDefault="00111564" w:rsidP="00DA3149">
      <w:r>
        <w:t>NEIS payments assist eligible job seekers to commence their own business and provide t</w:t>
      </w:r>
      <w:r w:rsidR="00006C27">
        <w:t>he same level of assistance as newstart a</w:t>
      </w:r>
      <w:r>
        <w:t>llowance.</w:t>
      </w:r>
      <w:r w:rsidR="00703C09">
        <w:t xml:space="preserve"> Recipients </w:t>
      </w:r>
      <w:r w:rsidR="00FB6061">
        <w:t xml:space="preserve">of NEIS </w:t>
      </w:r>
      <w:r w:rsidR="00703C09">
        <w:t xml:space="preserve">are eligible to receive </w:t>
      </w:r>
      <w:r w:rsidR="00703C09" w:rsidRPr="00A63008">
        <w:t>income support for up to 39 weeks</w:t>
      </w:r>
      <w:r w:rsidR="00610B83">
        <w:t>.</w:t>
      </w:r>
      <w:r w:rsidR="00976351">
        <w:t xml:space="preserve"> </w:t>
      </w:r>
    </w:p>
    <w:p w14:paraId="00E69E9F" w14:textId="54E2022F" w:rsidR="001D2973" w:rsidRPr="00230785" w:rsidRDefault="00603F62" w:rsidP="00DA3149">
      <w:r>
        <w:t>I</w:t>
      </w:r>
      <w:r w:rsidR="00F72331">
        <w:t xml:space="preserve">n our view, it </w:t>
      </w:r>
      <w:r w:rsidR="0097741C">
        <w:t>appears</w:t>
      </w:r>
      <w:r w:rsidR="00F72331">
        <w:t xml:space="preserve"> inconsistent that an early release is available for recipients of newstart allowance but not to customers receiving NEIS all</w:t>
      </w:r>
      <w:r w:rsidR="0097741C">
        <w:t>owance for 26 continuous weeks. Therefore, t</w:t>
      </w:r>
      <w:r w:rsidR="00C40E07">
        <w:t xml:space="preserve">his </w:t>
      </w:r>
      <w:r w:rsidR="00A91487">
        <w:t xml:space="preserve">Office </w:t>
      </w:r>
      <w:r w:rsidR="007C3951">
        <w:t>would</w:t>
      </w:r>
      <w:r w:rsidR="001E32A7">
        <w:t xml:space="preserve"> </w:t>
      </w:r>
      <w:r w:rsidR="00A91487">
        <w:t>support an amendment to the current definition of Commonwealth income support payments to include recipients of NEIS allowance.</w:t>
      </w:r>
      <w:r w:rsidR="0026175D">
        <w:t xml:space="preserve"> </w:t>
      </w:r>
    </w:p>
    <w:p w14:paraId="2A5FF362" w14:textId="77777777" w:rsidR="009A03F8" w:rsidRPr="00577FFB" w:rsidRDefault="0081218E">
      <w:pPr>
        <w:rPr>
          <w:b/>
          <w:i/>
        </w:rPr>
      </w:pPr>
      <w:r w:rsidRPr="00577FFB">
        <w:rPr>
          <w:b/>
          <w:i/>
        </w:rPr>
        <w:t>Receipt of payment for a c</w:t>
      </w:r>
      <w:r w:rsidR="00B478C6" w:rsidRPr="00577FFB">
        <w:rPr>
          <w:b/>
          <w:i/>
        </w:rPr>
        <w:t>ontinuous period of 26 weeks</w:t>
      </w:r>
    </w:p>
    <w:p w14:paraId="3E08C43B" w14:textId="61FBAD14" w:rsidR="0027239D" w:rsidRDefault="00680FCF">
      <w:r>
        <w:t>In</w:t>
      </w:r>
      <w:r w:rsidR="007271E7">
        <w:t xml:space="preserve"> order to be eligible for early release of their superannuation on the grounds of severe financial hardship</w:t>
      </w:r>
      <w:r>
        <w:t xml:space="preserve">, a person must </w:t>
      </w:r>
      <w:r w:rsidR="00DE4C3E">
        <w:t xml:space="preserve">have received </w:t>
      </w:r>
      <w:r>
        <w:t xml:space="preserve">an </w:t>
      </w:r>
      <w:r w:rsidRPr="00DE4C3E">
        <w:rPr>
          <w:i/>
        </w:rPr>
        <w:t>income support payment</w:t>
      </w:r>
      <w:r>
        <w:t xml:space="preserve"> for a continuous period of 26 weeks</w:t>
      </w:r>
      <w:r w:rsidR="00822762">
        <w:t xml:space="preserve">. </w:t>
      </w:r>
      <w:r w:rsidR="00FD43E1">
        <w:t>DHS’</w:t>
      </w:r>
      <w:r w:rsidR="003D3E6D">
        <w:t xml:space="preserve"> current policy states that ‘c</w:t>
      </w:r>
      <w:r w:rsidR="00F92DBF">
        <w:t>ontinuous’ means</w:t>
      </w:r>
      <w:r w:rsidR="00F92DBF">
        <w:rPr>
          <w:rStyle w:val="Strong"/>
          <w:lang w:val="en"/>
        </w:rPr>
        <w:t xml:space="preserve"> </w:t>
      </w:r>
      <w:r w:rsidR="00F92DBF">
        <w:rPr>
          <w:lang w:val="en"/>
        </w:rPr>
        <w:t xml:space="preserve">the person must have actually </w:t>
      </w:r>
      <w:r w:rsidR="00F92DBF" w:rsidRPr="00407B4A">
        <w:rPr>
          <w:i/>
          <w:lang w:val="en"/>
        </w:rPr>
        <w:t>received</w:t>
      </w:r>
      <w:r w:rsidR="00F92DBF">
        <w:rPr>
          <w:lang w:val="en"/>
        </w:rPr>
        <w:t xml:space="preserve"> a payment for each fortnight</w:t>
      </w:r>
      <w:r w:rsidR="003D3E6D">
        <w:rPr>
          <w:lang w:val="en"/>
        </w:rPr>
        <w:t xml:space="preserve"> </w:t>
      </w:r>
      <w:r w:rsidR="00DE4C3E">
        <w:rPr>
          <w:lang w:val="en"/>
        </w:rPr>
        <w:t xml:space="preserve">– in other words, </w:t>
      </w:r>
      <w:r w:rsidR="003D3E6D">
        <w:rPr>
          <w:lang w:val="en"/>
        </w:rPr>
        <w:t>a</w:t>
      </w:r>
      <w:r>
        <w:rPr>
          <w:lang w:val="en"/>
        </w:rPr>
        <w:t>ny p</w:t>
      </w:r>
      <w:r w:rsidR="00122039">
        <w:rPr>
          <w:lang w:val="en"/>
        </w:rPr>
        <w:t>eriod</w:t>
      </w:r>
      <w:r w:rsidR="00407B4A">
        <w:rPr>
          <w:lang w:val="en"/>
        </w:rPr>
        <w:t>/s</w:t>
      </w:r>
      <w:r w:rsidR="00122039">
        <w:rPr>
          <w:lang w:val="en"/>
        </w:rPr>
        <w:t xml:space="preserve"> of nil </w:t>
      </w:r>
      <w:r w:rsidR="00407B4A">
        <w:rPr>
          <w:lang w:val="en"/>
        </w:rPr>
        <w:t>payment</w:t>
      </w:r>
      <w:r w:rsidR="00122039">
        <w:rPr>
          <w:lang w:val="en"/>
        </w:rPr>
        <w:t xml:space="preserve"> </w:t>
      </w:r>
      <w:r w:rsidR="00407B4A">
        <w:rPr>
          <w:lang w:val="en"/>
        </w:rPr>
        <w:t xml:space="preserve">do not count towards the </w:t>
      </w:r>
      <w:r w:rsidR="00F92DBF">
        <w:rPr>
          <w:lang w:val="en"/>
        </w:rPr>
        <w:t>26 week period</w:t>
      </w:r>
      <w:r w:rsidR="00122039">
        <w:rPr>
          <w:lang w:val="en"/>
        </w:rPr>
        <w:t>.</w:t>
      </w:r>
    </w:p>
    <w:p w14:paraId="715CD14D" w14:textId="0F2BD420" w:rsidR="006343FB" w:rsidRDefault="00407B4A">
      <w:r>
        <w:t>T</w:t>
      </w:r>
      <w:r w:rsidR="006343FB">
        <w:t>here are many reasons which may result in a person expe</w:t>
      </w:r>
      <w:r w:rsidR="00DF557B">
        <w:t xml:space="preserve">riencing a ‘break’ in payments. For example, they could gain temporary employment for one fortnight and their </w:t>
      </w:r>
      <w:r w:rsidR="00680FCF">
        <w:t xml:space="preserve">income support </w:t>
      </w:r>
      <w:r w:rsidR="00DF557B">
        <w:t xml:space="preserve">payment reduces to nil. </w:t>
      </w:r>
      <w:r w:rsidR="006343FB">
        <w:t xml:space="preserve">This means </w:t>
      </w:r>
      <w:r w:rsidR="00DF557B">
        <w:t>the applicant</w:t>
      </w:r>
      <w:r w:rsidR="006343FB">
        <w:t xml:space="preserve"> need</w:t>
      </w:r>
      <w:r w:rsidR="00DF557B">
        <w:t>s</w:t>
      </w:r>
      <w:r w:rsidR="006343FB">
        <w:t xml:space="preserve"> to begin the 26 we</w:t>
      </w:r>
      <w:r w:rsidR="000E6556">
        <w:t xml:space="preserve">ek period again when they are experiencing severe financial hardship. </w:t>
      </w:r>
    </w:p>
    <w:p w14:paraId="10D6729C" w14:textId="446D73C4" w:rsidR="00844C3C" w:rsidRDefault="007733D4">
      <w:r>
        <w:t xml:space="preserve">In 2016-2017, </w:t>
      </w:r>
      <w:r w:rsidR="00DE4C3E">
        <w:t>this</w:t>
      </w:r>
      <w:r w:rsidR="00844C3C">
        <w:t xml:space="preserve"> Office received </w:t>
      </w:r>
      <w:r w:rsidR="00844C3C" w:rsidRPr="00992262">
        <w:t>78</w:t>
      </w:r>
      <w:r w:rsidR="00844C3C">
        <w:t xml:space="preserve"> complaints </w:t>
      </w:r>
      <w:r w:rsidR="00AA7072">
        <w:t xml:space="preserve">from people who </w:t>
      </w:r>
      <w:r>
        <w:t>received an income support payment</w:t>
      </w:r>
      <w:r w:rsidR="00AA7072">
        <w:t xml:space="preserve"> but </w:t>
      </w:r>
      <w:r w:rsidR="00E14443">
        <w:t xml:space="preserve">had not received those payments for 26 continuous weeks and therefore </w:t>
      </w:r>
      <w:r w:rsidR="00AA7072">
        <w:t>did not meet the criteria for a release.</w:t>
      </w:r>
    </w:p>
    <w:p w14:paraId="0DF77310" w14:textId="7390CD25" w:rsidR="00127304" w:rsidRDefault="001E66B1" w:rsidP="00127304">
      <w:pPr>
        <w:spacing w:after="0"/>
      </w:pPr>
      <w:r w:rsidRPr="00127304">
        <w:rPr>
          <w:b/>
          <w:i/>
          <w:noProof/>
          <w:lang w:eastAsia="en-AU"/>
        </w:rPr>
        <mc:AlternateContent>
          <mc:Choice Requires="wps">
            <w:drawing>
              <wp:anchor distT="45720" distB="45720" distL="114300" distR="114300" simplePos="0" relativeHeight="251671552" behindDoc="0" locked="0" layoutInCell="1" allowOverlap="1" wp14:anchorId="597E5DF4" wp14:editId="5AB28E0A">
                <wp:simplePos x="0" y="0"/>
                <wp:positionH relativeFrom="column">
                  <wp:posOffset>-27940</wp:posOffset>
                </wp:positionH>
                <wp:positionV relativeFrom="paragraph">
                  <wp:posOffset>1993265</wp:posOffset>
                </wp:positionV>
                <wp:extent cx="5478780" cy="1394460"/>
                <wp:effectExtent l="0" t="0" r="2667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394460"/>
                        </a:xfrm>
                        <a:prstGeom prst="rect">
                          <a:avLst/>
                        </a:prstGeom>
                        <a:solidFill>
                          <a:srgbClr val="FFFFFF"/>
                        </a:solidFill>
                        <a:ln w="9525">
                          <a:solidFill>
                            <a:srgbClr val="000000"/>
                          </a:solidFill>
                          <a:miter lim="800000"/>
                          <a:headEnd/>
                          <a:tailEnd/>
                        </a:ln>
                      </wps:spPr>
                      <wps:txbx>
                        <w:txbxContent>
                          <w:p w14:paraId="7B47D3FD" w14:textId="124CDC33" w:rsidR="00127304" w:rsidRDefault="00127304" w:rsidP="00127304">
                            <w:pPr>
                              <w:rPr>
                                <w:b/>
                                <w:i/>
                                <w:highlight w:val="green"/>
                              </w:rPr>
                            </w:pPr>
                            <w:r w:rsidRPr="007D4F8D">
                              <w:rPr>
                                <w:b/>
                                <w:i/>
                              </w:rPr>
                              <w:t xml:space="preserve">Case Study B </w:t>
                            </w:r>
                            <w:r w:rsidR="00FC5F58" w:rsidRPr="007D4F8D">
                              <w:rPr>
                                <w:b/>
                                <w:i/>
                              </w:rPr>
                              <w:t>–</w:t>
                            </w:r>
                            <w:r w:rsidR="00FC5F58">
                              <w:rPr>
                                <w:b/>
                                <w:i/>
                              </w:rPr>
                              <w:t xml:space="preserve"> </w:t>
                            </w:r>
                            <w:r w:rsidRPr="007D4F8D">
                              <w:rPr>
                                <w:b/>
                                <w:i/>
                              </w:rPr>
                              <w:t xml:space="preserve">switching income support payment </w:t>
                            </w:r>
                          </w:p>
                          <w:p w14:paraId="0D9C789D" w14:textId="77777777" w:rsidR="00127304" w:rsidRDefault="00127304" w:rsidP="00127304">
                            <w:pPr>
                              <w:rPr>
                                <w:b/>
                                <w:i/>
                              </w:rPr>
                            </w:pPr>
                            <w:r w:rsidRPr="003848A2">
                              <w:rPr>
                                <w:b/>
                                <w:i/>
                              </w:rPr>
                              <w:t xml:space="preserve">Mr A was receiving sickness allowance while awaiting spinal surgery. He lost his job and notified DHS of this. DHS advised that he would stop receiving sickness allowance and he would need to apply for newstart allowance. He did this, but this caused a break in payment. He applied for early release of his superannuation and DHS refused as he had not been receiving income support payments for 26 continuous weeks. </w:t>
                            </w:r>
                          </w:p>
                          <w:p w14:paraId="46CBE17F" w14:textId="77777777" w:rsidR="00127304" w:rsidRDefault="00127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pt;margin-top:156.95pt;width:431.4pt;height:109.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1jKAIAAEwEAAAOAAAAZHJzL2Uyb0RvYy54bWysVNuO2yAQfa/Uf0C8N06yTjax4qy22aaq&#10;tL1Iu/0AjHGMCgwFEjv9+g44SaNt+1LVD4hhhsPMOTNe3fVakYNwXoIp6WQ0pkQYDrU0u5J+fd6+&#10;WVDiAzM1U2BESY/C07v161erzhZiCi2oWjiCIMYXnS1pG4ItsszzVmjmR2CFQWcDTrOApttltWMd&#10;omuVTcfjedaBq60DLrzH04fBSdcJv2kED5+bxotAVEkxt5BWl9Yqrtl6xYqdY7aV/JQG+4csNJMG&#10;H71APbDAyN7J36C05A48NGHEQWfQNJKLVANWMxm/qOapZVakWpAcby80+f8Hyz8dvjgi65LOKTFM&#10;o0TPog/kLfRkGtnprC8w6MliWOjxGFVOlXr7CPybJwY2LTM7ce8cdK1gNWY3iTezq6sDjo8gVfcR&#10;anyG7QMkoL5xOlKHZBBER5WOF2ViKhwPZ/nt4naBLo6+yc0yz+dJu4wV5+vW+fBegCZxU1KH0id4&#10;dnj0IabDinNIfM2DkvVWKpUMt6s2ypEDwzbZpi9V8CJMGdKVdDmbzgYG/goxTt+fILQM2O9K6pIu&#10;LkGsiLy9M3XqxsCkGvaYsjInIiN3A4uhr/qk2M1ZnwrqIzLrYGhvHEfctOB+UNJha5fUf98zJyhR&#10;Hwyqs5zkeZyFZOSz2yka7tpTXXuY4QhV0kDJsN2END+RNwP3qGIjE79R7iGTU8rYson203jFmbi2&#10;U9Svn8D6JwAAAP//AwBQSwMEFAAGAAgAAAAhAGwwQsnhAAAACgEAAA8AAABkcnMvZG93bnJldi54&#10;bWxMj8tOwzAQRfdI/IM1SGxQ6xQnJQ2ZVAgJRHfQVrB1k2kS4Uew3TT8PWYFy5k5unNuuZ60YiM5&#10;31uDsJgnwMjUtulNi7DfPc1yYD5I00hlDSF8k4d1dXlRyqKxZ/NG4za0LIYYX0iELoSh4NzXHWnp&#10;53YgE29H67QMcXQtb5w8x3Ct+G2SLLmWvYkfOjnQY0f15/akEfL0ZfzwG/H6Xi+PahVu7sbnL4d4&#10;fTU93AMLNIU/GH71ozpU0elgT6bxTCHM0jSSCGIhVsAikGd53BwQMiEy4FXJ/1eofgAAAP//AwBQ&#10;SwECLQAUAAYACAAAACEAtoM4kv4AAADhAQAAEwAAAAAAAAAAAAAAAAAAAAAAW0NvbnRlbnRfVHlw&#10;ZXNdLnhtbFBLAQItABQABgAIAAAAIQA4/SH/1gAAAJQBAAALAAAAAAAAAAAAAAAAAC8BAABfcmVs&#10;cy8ucmVsc1BLAQItABQABgAIAAAAIQDUp31jKAIAAEwEAAAOAAAAAAAAAAAAAAAAAC4CAABkcnMv&#10;ZTJvRG9jLnhtbFBLAQItABQABgAIAAAAIQBsMELJ4QAAAAoBAAAPAAAAAAAAAAAAAAAAAIIEAABk&#10;cnMvZG93bnJldi54bWxQSwUGAAAAAAQABADzAAAAkAUAAAAA&#10;">
                <v:textbox>
                  <w:txbxContent>
                    <w:p w14:paraId="7B47D3FD" w14:textId="124CDC33" w:rsidR="00127304" w:rsidRDefault="00127304" w:rsidP="00127304">
                      <w:pPr>
                        <w:rPr>
                          <w:b/>
                          <w:i/>
                          <w:highlight w:val="green"/>
                        </w:rPr>
                      </w:pPr>
                      <w:r w:rsidRPr="007D4F8D">
                        <w:rPr>
                          <w:b/>
                          <w:i/>
                        </w:rPr>
                        <w:t xml:space="preserve">Case Study B </w:t>
                      </w:r>
                      <w:r w:rsidR="00FC5F58" w:rsidRPr="007D4F8D">
                        <w:rPr>
                          <w:b/>
                          <w:i/>
                        </w:rPr>
                        <w:t>–</w:t>
                      </w:r>
                      <w:r w:rsidR="00FC5F58">
                        <w:rPr>
                          <w:b/>
                          <w:i/>
                        </w:rPr>
                        <w:t xml:space="preserve"> </w:t>
                      </w:r>
                      <w:r w:rsidRPr="007D4F8D">
                        <w:rPr>
                          <w:b/>
                          <w:i/>
                        </w:rPr>
                        <w:t xml:space="preserve">switching income support payment </w:t>
                      </w:r>
                    </w:p>
                    <w:p w14:paraId="0D9C789D" w14:textId="77777777" w:rsidR="00127304" w:rsidRDefault="00127304" w:rsidP="00127304">
                      <w:pPr>
                        <w:rPr>
                          <w:b/>
                          <w:i/>
                        </w:rPr>
                      </w:pPr>
                      <w:r w:rsidRPr="003848A2">
                        <w:rPr>
                          <w:b/>
                          <w:i/>
                        </w:rPr>
                        <w:t xml:space="preserve">Mr A was receiving sickness allowance while awaiting spinal surgery. He lost his job and notified DHS of this. DHS advised that he would stop receiving sickness allowance and he would need to apply for newstart allowance. He did this, but this caused a break in payment. He applied for early release of his superannuation and DHS refused as he had not been receiving income support payments for 26 continuous weeks. </w:t>
                      </w:r>
                    </w:p>
                    <w:p w14:paraId="46CBE17F" w14:textId="77777777" w:rsidR="00127304" w:rsidRDefault="00127304"/>
                  </w:txbxContent>
                </v:textbox>
                <w10:wrap type="square"/>
              </v:shape>
            </w:pict>
          </mc:Fallback>
        </mc:AlternateContent>
      </w:r>
      <w:r w:rsidRPr="00565A6F">
        <w:rPr>
          <w:b/>
          <w:i/>
          <w:noProof/>
          <w:lang w:eastAsia="en-AU"/>
        </w:rPr>
        <mc:AlternateContent>
          <mc:Choice Requires="wps">
            <w:drawing>
              <wp:anchor distT="45720" distB="45720" distL="114300" distR="114300" simplePos="0" relativeHeight="251669504" behindDoc="0" locked="0" layoutInCell="1" allowOverlap="1" wp14:anchorId="45AB9077" wp14:editId="151AF01E">
                <wp:simplePos x="0" y="0"/>
                <wp:positionH relativeFrom="column">
                  <wp:posOffset>-27940</wp:posOffset>
                </wp:positionH>
                <wp:positionV relativeFrom="paragraph">
                  <wp:posOffset>347345</wp:posOffset>
                </wp:positionV>
                <wp:extent cx="5478780" cy="1417320"/>
                <wp:effectExtent l="0" t="0" r="2667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417320"/>
                        </a:xfrm>
                        <a:prstGeom prst="rect">
                          <a:avLst/>
                        </a:prstGeom>
                        <a:solidFill>
                          <a:srgbClr val="FFFFFF"/>
                        </a:solidFill>
                        <a:ln w="9525">
                          <a:solidFill>
                            <a:srgbClr val="000000"/>
                          </a:solidFill>
                          <a:miter lim="800000"/>
                          <a:headEnd/>
                          <a:tailEnd/>
                        </a:ln>
                      </wps:spPr>
                      <wps:txbx>
                        <w:txbxContent>
                          <w:p w14:paraId="2C0746DD" w14:textId="35FEFD6C" w:rsidR="00565A6F" w:rsidRPr="00FC2F8D" w:rsidRDefault="00565A6F" w:rsidP="00565A6F">
                            <w:pPr>
                              <w:rPr>
                                <w:b/>
                                <w:i/>
                                <w:highlight w:val="green"/>
                              </w:rPr>
                            </w:pPr>
                            <w:r w:rsidRPr="007D4F8D">
                              <w:rPr>
                                <w:b/>
                                <w:i/>
                              </w:rPr>
                              <w:t xml:space="preserve">Case Study A – </w:t>
                            </w:r>
                            <w:r w:rsidRPr="00D85DE5">
                              <w:rPr>
                                <w:rFonts w:asciiTheme="minorHAnsi" w:hAnsiTheme="minorHAnsi" w:cs="Arial"/>
                                <w:b/>
                                <w:i/>
                                <w:color w:val="000000"/>
                                <w:szCs w:val="22"/>
                                <w:lang w:eastAsia="en-AU"/>
                              </w:rPr>
                              <w:t>break in payments</w:t>
                            </w:r>
                            <w:r w:rsidRPr="007D4F8D">
                              <w:rPr>
                                <w:rFonts w:asciiTheme="minorHAnsi" w:hAnsiTheme="minorHAnsi" w:cs="Arial"/>
                                <w:b/>
                                <w:color w:val="000000"/>
                                <w:szCs w:val="22"/>
                                <w:lang w:eastAsia="en-AU"/>
                              </w:rPr>
                              <w:t xml:space="preserve"> </w:t>
                            </w:r>
                          </w:p>
                          <w:p w14:paraId="2E3658B7" w14:textId="77777777" w:rsidR="00565A6F" w:rsidRPr="00565A6F" w:rsidRDefault="00565A6F">
                            <w:pPr>
                              <w:rPr>
                                <w:b/>
                                <w:i/>
                              </w:rPr>
                            </w:pPr>
                            <w:r w:rsidRPr="003848A2">
                              <w:rPr>
                                <w:b/>
                                <w:i/>
                              </w:rPr>
                              <w:t xml:space="preserve">Ms A applied for early release of her superannuation due to severe financial hardship. She had been receiving income support payments for three years however, </w:t>
                            </w:r>
                            <w:r w:rsidR="00680FCF">
                              <w:rPr>
                                <w:b/>
                                <w:i/>
                              </w:rPr>
                              <w:t xml:space="preserve">in one single fortnight, </w:t>
                            </w:r>
                            <w:r w:rsidRPr="003848A2">
                              <w:rPr>
                                <w:b/>
                                <w:i/>
                              </w:rPr>
                              <w:t xml:space="preserve">she picked up an extra shift at work which reduced her income support payment to zero for that one fortnight. Her application was refused as she did not meet the criteria of receiving payments for 26 continuous weeks.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pt;margin-top:27.35pt;width:431.4pt;height:11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5+JgIAAEwEAAAOAAAAZHJzL2Uyb0RvYy54bWysVNuO0zAQfUfiHyy/0zQlpd2o6WrpUoS0&#10;XKRdPsBxnMbC9hjbbbJ8PWMnW6oFXhB5sDye8fHMOTPZXA9akZNwXoKpaD6bUyIMh0aaQ0W/Puxf&#10;rSnxgZmGKTCioo/C0+vtyxeb3pZiAR2oRjiCIMaXva1oF4Its8zzTmjmZ2CFQWcLTrOApjtkjWM9&#10;omuVLebzN1kPrrEOuPAeT29HJ90m/LYVPHxuWy8CURXF3EJaXVrruGbbDSsPjtlO8ikN9g9ZaCYN&#10;PnqGumWBkaOTv0FpyR14aMOMg86gbSUXqQasJp8/q+a+Y1akWpAcb880+f8Hyz+dvjgim4oWlBim&#10;UaIHMQTyFgayiOz01pcYdG8xLAx4jCqnSr29A/7NEwO7jpmDuHEO+k6wBrPL483s4uqI4yNI3X+E&#10;Bp9hxwAJaGidjtQhGQTRUaXHszIxFY6Hy2K1Xq3RxdGXF/nq9SJpl7Hy6bp1PrwXoEncVNSh9Ame&#10;ne58iOmw8ikkvuZByWYvlUqGO9Q75ciJYZvs05cqeBamDOkrerVcLEcG/goxT9+fILQM2O9K6oqu&#10;z0GsjLy9M03qxsCkGveYsjITkZG7kcUw1MOk2KRPDc0jMutgbG8cR9x04H5Q0mNrV9R/PzInKFEf&#10;DKpzlRdFnIVkFMsVUkncpae+9DDDEaqigZJxuwtpfiJvBm5QxVYmfqPcYyZTytiyifZpvOJMXNop&#10;6tdPYPsTAAD//wMAUEsDBBQABgAIAAAAIQCLE5o54AAAAAkBAAAPAAAAZHJzL2Rvd25yZXYueG1s&#10;TI/BTsMwEETvSPyDtUhcUOtQ0iYN2VQICURvUBBc3XibRNjrELtp+HvMCY6zM5p5W24ma8RIg+8c&#10;I1zPExDEtdMdNwhvrw+zHIQPirUyjgnhmzxsqvOzUhXanfiFxl1oRCxhXyiENoS+kNLXLVnl564n&#10;jt7BDVaFKIdG6kGdYrk1cpEkK2lVx3GhVT3dt1R/7o4WIU+fxg+/vXl+r1cHsw5X2fj4NSBeXkx3&#10;tyACTeEvDL/4ER2qyLR3R9ZeGIRZmsYkwjLNQEQ/X+bxsEdYZNkaZFXK/x9UPwAAAP//AwBQSwEC&#10;LQAUAAYACAAAACEAtoM4kv4AAADhAQAAEwAAAAAAAAAAAAAAAAAAAAAAW0NvbnRlbnRfVHlwZXNd&#10;LnhtbFBLAQItABQABgAIAAAAIQA4/SH/1gAAAJQBAAALAAAAAAAAAAAAAAAAAC8BAABfcmVscy8u&#10;cmVsc1BLAQItABQABgAIAAAAIQCKD15+JgIAAEwEAAAOAAAAAAAAAAAAAAAAAC4CAABkcnMvZTJv&#10;RG9jLnhtbFBLAQItABQABgAIAAAAIQCLE5o54AAAAAkBAAAPAAAAAAAAAAAAAAAAAIAEAABkcnMv&#10;ZG93bnJldi54bWxQSwUGAAAAAAQABADzAAAAjQUAAAAA&#10;">
                <v:textbox>
                  <w:txbxContent>
                    <w:p w14:paraId="2C0746DD" w14:textId="35FEFD6C" w:rsidR="00565A6F" w:rsidRPr="00FC2F8D" w:rsidRDefault="00565A6F" w:rsidP="00565A6F">
                      <w:pPr>
                        <w:rPr>
                          <w:b/>
                          <w:i/>
                          <w:highlight w:val="green"/>
                        </w:rPr>
                      </w:pPr>
                      <w:r w:rsidRPr="007D4F8D">
                        <w:rPr>
                          <w:b/>
                          <w:i/>
                        </w:rPr>
                        <w:t xml:space="preserve">Case Study A – </w:t>
                      </w:r>
                      <w:r w:rsidRPr="00D85DE5">
                        <w:rPr>
                          <w:rFonts w:asciiTheme="minorHAnsi" w:hAnsiTheme="minorHAnsi" w:cs="Arial"/>
                          <w:b/>
                          <w:i/>
                          <w:color w:val="000000"/>
                          <w:szCs w:val="22"/>
                          <w:lang w:eastAsia="en-AU"/>
                        </w:rPr>
                        <w:t>break in payments</w:t>
                      </w:r>
                      <w:r w:rsidRPr="007D4F8D">
                        <w:rPr>
                          <w:rFonts w:asciiTheme="minorHAnsi" w:hAnsiTheme="minorHAnsi" w:cs="Arial"/>
                          <w:b/>
                          <w:color w:val="000000"/>
                          <w:szCs w:val="22"/>
                          <w:lang w:eastAsia="en-AU"/>
                        </w:rPr>
                        <w:t xml:space="preserve"> </w:t>
                      </w:r>
                    </w:p>
                    <w:p w14:paraId="2E3658B7" w14:textId="77777777" w:rsidR="00565A6F" w:rsidRPr="00565A6F" w:rsidRDefault="00565A6F">
                      <w:pPr>
                        <w:rPr>
                          <w:b/>
                          <w:i/>
                        </w:rPr>
                      </w:pPr>
                      <w:r w:rsidRPr="003848A2">
                        <w:rPr>
                          <w:b/>
                          <w:i/>
                        </w:rPr>
                        <w:t xml:space="preserve">Ms A applied for early release of her superannuation due to severe financial hardship. She had been receiving income support payments for three years however, </w:t>
                      </w:r>
                      <w:r w:rsidR="00680FCF">
                        <w:rPr>
                          <w:b/>
                          <w:i/>
                        </w:rPr>
                        <w:t xml:space="preserve">in one single fortnight, </w:t>
                      </w:r>
                      <w:r w:rsidRPr="003848A2">
                        <w:rPr>
                          <w:b/>
                          <w:i/>
                        </w:rPr>
                        <w:t xml:space="preserve">she picked up an extra shift at work which reduced her income support payment to zero for that one fortnight. Her application was refused as she did not meet the criteria of receiving payments for 26 continuous weeks. </w:t>
                      </w:r>
                    </w:p>
                  </w:txbxContent>
                </v:textbox>
                <w10:wrap type="square"/>
              </v:shape>
            </w:pict>
          </mc:Fallback>
        </mc:AlternateContent>
      </w:r>
      <w:r w:rsidR="001310F0">
        <w:t>The following</w:t>
      </w:r>
      <w:r w:rsidR="008C178E">
        <w:t xml:space="preserve"> </w:t>
      </w:r>
      <w:r w:rsidR="001310F0">
        <w:t>case studies</w:t>
      </w:r>
      <w:r w:rsidR="009B7AF8">
        <w:t xml:space="preserve"> demonstrate</w:t>
      </w:r>
      <w:r w:rsidR="008C178E">
        <w:t xml:space="preserve"> </w:t>
      </w:r>
      <w:r w:rsidR="00E14443">
        <w:t xml:space="preserve">this. </w:t>
      </w:r>
    </w:p>
    <w:p w14:paraId="6905DC9D" w14:textId="77777777" w:rsidR="00E14443" w:rsidRDefault="00E14443" w:rsidP="00127304">
      <w:pPr>
        <w:spacing w:after="0"/>
      </w:pPr>
    </w:p>
    <w:p w14:paraId="20ED6EE5" w14:textId="0E692B8F" w:rsidR="00397D84" w:rsidRDefault="00DE4C3E" w:rsidP="00397D84">
      <w:r>
        <w:t>This</w:t>
      </w:r>
      <w:r w:rsidR="00397D84">
        <w:t xml:space="preserve"> Office has previously made comments about the potential effect of this requirement in our submission to the Australian Law Reform Commission (ALRC) Issues Paper 36</w:t>
      </w:r>
      <w:r w:rsidR="001B28C0">
        <w:t>,</w:t>
      </w:r>
      <w:r w:rsidR="00397D84">
        <w:t xml:space="preserve"> in April 2011.</w:t>
      </w:r>
      <w:r w:rsidR="00A24B67">
        <w:rPr>
          <w:rStyle w:val="FootnoteReference"/>
        </w:rPr>
        <w:footnoteReference w:id="3"/>
      </w:r>
      <w:r w:rsidR="00397D84">
        <w:t xml:space="preserve"> </w:t>
      </w:r>
      <w:r w:rsidR="00AC60A0">
        <w:t>In that submission we</w:t>
      </w:r>
      <w:r w:rsidR="00397D84">
        <w:t xml:space="preserve"> recommended greater flexibility to establish severe financial hardship. </w:t>
      </w:r>
    </w:p>
    <w:p w14:paraId="4FC40455" w14:textId="1F758CC5" w:rsidR="00397D84" w:rsidRDefault="00DE4C3E" w:rsidP="00397D84">
      <w:r>
        <w:t>We</w:t>
      </w:r>
      <w:r w:rsidR="00397D84" w:rsidRPr="00C61923">
        <w:t xml:space="preserve"> note the </w:t>
      </w:r>
      <w:r w:rsidR="00CF0B3D">
        <w:t>ALRC</w:t>
      </w:r>
      <w:r w:rsidR="00AC60A0">
        <w:t xml:space="preserve"> has previously r</w:t>
      </w:r>
      <w:r w:rsidR="00397D84" w:rsidRPr="00C61923">
        <w:t xml:space="preserve">ecommended </w:t>
      </w:r>
      <w:r w:rsidR="00397D84">
        <w:t xml:space="preserve">the ground be amended </w:t>
      </w:r>
      <w:r w:rsidR="00AC60A0">
        <w:t>to include that an applicant has</w:t>
      </w:r>
      <w:r w:rsidR="00397D84">
        <w:t xml:space="preserve"> been receiving </w:t>
      </w:r>
      <w:r w:rsidR="00CF0B3D">
        <w:t xml:space="preserve">Commonwealth </w:t>
      </w:r>
      <w:r w:rsidR="00397D84">
        <w:t>income support payments for 26 out of a possible 40 weeks.</w:t>
      </w:r>
      <w:r w:rsidR="00397D84">
        <w:rPr>
          <w:rStyle w:val="FootnoteReference"/>
        </w:rPr>
        <w:footnoteReference w:id="4"/>
      </w:r>
    </w:p>
    <w:p w14:paraId="2DE7131C" w14:textId="7E3CCEDE" w:rsidR="009F4FED" w:rsidRPr="009F4FED" w:rsidRDefault="00CF0B3D" w:rsidP="00127304">
      <w:pPr>
        <w:spacing w:after="0"/>
      </w:pPr>
      <w:r>
        <w:t xml:space="preserve">In light of the complaints we have received, </w:t>
      </w:r>
      <w:r w:rsidR="00DE4C3E">
        <w:t>this</w:t>
      </w:r>
      <w:r>
        <w:t xml:space="preserve"> </w:t>
      </w:r>
      <w:r w:rsidR="003E1DDE">
        <w:t xml:space="preserve">Office’s position </w:t>
      </w:r>
      <w:r>
        <w:t>remains the same</w:t>
      </w:r>
      <w:r w:rsidR="003E1DDE">
        <w:t xml:space="preserve">. We would support an amendment to </w:t>
      </w:r>
      <w:r w:rsidR="00DF04EE">
        <w:t xml:space="preserve">the </w:t>
      </w:r>
      <w:r w:rsidR="00DF04EE">
        <w:rPr>
          <w:rFonts w:asciiTheme="minorHAnsi" w:hAnsiTheme="minorHAnsi" w:cs="Arial"/>
        </w:rPr>
        <w:t>criteria for release on severe financial hardship grounds</w:t>
      </w:r>
      <w:r w:rsidR="009F4FED">
        <w:t xml:space="preserve"> to include that an applicant </w:t>
      </w:r>
      <w:r w:rsidR="00363D82">
        <w:t>must be</w:t>
      </w:r>
      <w:r w:rsidR="009F4FED">
        <w:t xml:space="preserve"> receiving </w:t>
      </w:r>
      <w:r>
        <w:t xml:space="preserve">Commonwealth </w:t>
      </w:r>
      <w:r w:rsidR="009F4FED">
        <w:t>income support payments for 26 out of a possible 40 weeks.</w:t>
      </w:r>
    </w:p>
    <w:p w14:paraId="14D4F809" w14:textId="7DD9124E" w:rsidR="00DE4C3E" w:rsidRDefault="00DE4C3E">
      <w:pPr>
        <w:spacing w:after="0"/>
        <w:rPr>
          <w:i/>
        </w:rPr>
      </w:pPr>
      <w:r>
        <w:rPr>
          <w:i/>
        </w:rPr>
        <w:br w:type="page"/>
      </w:r>
    </w:p>
    <w:p w14:paraId="493C2319" w14:textId="77777777" w:rsidR="00577FFB" w:rsidRPr="00577FFB" w:rsidRDefault="00577FFB" w:rsidP="003860BC">
      <w:pPr>
        <w:pStyle w:val="Heading1"/>
      </w:pPr>
      <w:r w:rsidRPr="00577FFB">
        <w:t xml:space="preserve">Part 3 – </w:t>
      </w:r>
      <w:r w:rsidR="00C038D1">
        <w:t>T</w:t>
      </w:r>
      <w:r w:rsidR="007B4539">
        <w:t xml:space="preserve">reatment of an early release amount </w:t>
      </w:r>
    </w:p>
    <w:p w14:paraId="231B47E8" w14:textId="012EBCE9" w:rsidR="00946A18" w:rsidRDefault="00291D9F" w:rsidP="00127304">
      <w:pPr>
        <w:spacing w:after="0"/>
        <w:rPr>
          <w:i/>
        </w:rPr>
      </w:pPr>
      <w:r w:rsidRPr="00577FFB">
        <w:rPr>
          <w:b/>
          <w:i/>
        </w:rPr>
        <w:t xml:space="preserve">Early release and </w:t>
      </w:r>
      <w:r w:rsidR="00A6550C">
        <w:rPr>
          <w:b/>
          <w:i/>
        </w:rPr>
        <w:t>f</w:t>
      </w:r>
      <w:r w:rsidRPr="00577FFB">
        <w:rPr>
          <w:b/>
          <w:i/>
        </w:rPr>
        <w:t xml:space="preserve">amily </w:t>
      </w:r>
      <w:r w:rsidR="00A6550C">
        <w:rPr>
          <w:b/>
          <w:i/>
        </w:rPr>
        <w:t>t</w:t>
      </w:r>
      <w:r w:rsidRPr="00577FFB">
        <w:rPr>
          <w:b/>
          <w:i/>
        </w:rPr>
        <w:t xml:space="preserve">ax </w:t>
      </w:r>
      <w:r w:rsidR="00A6550C">
        <w:rPr>
          <w:b/>
          <w:i/>
        </w:rPr>
        <w:t>b</w:t>
      </w:r>
      <w:r w:rsidRPr="00577FFB">
        <w:rPr>
          <w:b/>
          <w:i/>
        </w:rPr>
        <w:t>enefit</w:t>
      </w:r>
      <w:r w:rsidR="00A66FC2" w:rsidRPr="00577FFB">
        <w:rPr>
          <w:b/>
          <w:i/>
        </w:rPr>
        <w:t xml:space="preserve"> </w:t>
      </w:r>
    </w:p>
    <w:p w14:paraId="68A2503E" w14:textId="77777777" w:rsidR="00A461AF" w:rsidRPr="00171C9A" w:rsidRDefault="00A461AF" w:rsidP="00127304">
      <w:pPr>
        <w:spacing w:after="0"/>
        <w:rPr>
          <w:i/>
        </w:rPr>
      </w:pPr>
    </w:p>
    <w:p w14:paraId="34A9303A" w14:textId="4529CACE" w:rsidR="003860BC" w:rsidRDefault="00685743">
      <w:r>
        <w:t>E</w:t>
      </w:r>
      <w:r w:rsidR="00C17F97">
        <w:t xml:space="preserve">arly release of superannuation </w:t>
      </w:r>
      <w:r>
        <w:t xml:space="preserve">lump sums are </w:t>
      </w:r>
      <w:r w:rsidR="00C17F97">
        <w:t xml:space="preserve">not </w:t>
      </w:r>
      <w:r>
        <w:t xml:space="preserve">treated as </w:t>
      </w:r>
      <w:r w:rsidR="00C17F97">
        <w:t xml:space="preserve">income for social security purposes. </w:t>
      </w:r>
      <w:r w:rsidR="003860BC">
        <w:t>However, it is taxable</w:t>
      </w:r>
      <w:r>
        <w:t xml:space="preserve"> income</w:t>
      </w:r>
      <w:r w:rsidR="003860BC">
        <w:t xml:space="preserve"> for A</w:t>
      </w:r>
      <w:r w:rsidR="00FD43E1">
        <w:t xml:space="preserve">ustralian </w:t>
      </w:r>
      <w:r w:rsidR="003860BC">
        <w:t>T</w:t>
      </w:r>
      <w:r w:rsidR="00FD43E1">
        <w:t xml:space="preserve">axation </w:t>
      </w:r>
      <w:r w:rsidR="003860BC">
        <w:t>O</w:t>
      </w:r>
      <w:r w:rsidR="00FD43E1">
        <w:t xml:space="preserve">ffice </w:t>
      </w:r>
      <w:r w:rsidR="003860BC">
        <w:t>purposes,</w:t>
      </w:r>
      <w:r w:rsidR="0068374F" w:rsidRPr="0068374F">
        <w:rPr>
          <w:rStyle w:val="FootnoteReference"/>
        </w:rPr>
        <w:t xml:space="preserve"> </w:t>
      </w:r>
      <w:r w:rsidR="0068374F">
        <w:rPr>
          <w:rStyle w:val="FootnoteReference"/>
        </w:rPr>
        <w:footnoteReference w:id="5"/>
      </w:r>
      <w:r w:rsidR="003860BC">
        <w:t xml:space="preserve"> and therefore forms part of</w:t>
      </w:r>
      <w:r w:rsidR="00C17F97">
        <w:t xml:space="preserve"> </w:t>
      </w:r>
      <w:r w:rsidR="003860BC">
        <w:t>a person’s adjusted taxable income for the family tax benefit income test.</w:t>
      </w:r>
      <w:r w:rsidR="0068374F">
        <w:rPr>
          <w:rStyle w:val="FootnoteReference"/>
        </w:rPr>
        <w:footnoteReference w:id="6"/>
      </w:r>
      <w:r w:rsidR="003860BC">
        <w:t xml:space="preserve"> </w:t>
      </w:r>
    </w:p>
    <w:p w14:paraId="2B0D2204" w14:textId="396D97EF" w:rsidR="003860BC" w:rsidRDefault="003860BC">
      <w:r>
        <w:t xml:space="preserve">As the </w:t>
      </w:r>
      <w:r w:rsidR="00347E29">
        <w:t>DHS</w:t>
      </w:r>
      <w:r>
        <w:t xml:space="preserve"> website neatly summarises: </w:t>
      </w:r>
    </w:p>
    <w:p w14:paraId="2D8834AB" w14:textId="77777777" w:rsidR="003860BC" w:rsidRPr="00DE4C3E" w:rsidRDefault="003860BC" w:rsidP="00DE4C3E">
      <w:pPr>
        <w:spacing w:before="100" w:beforeAutospacing="1" w:after="100" w:afterAutospacing="1"/>
        <w:ind w:left="360"/>
        <w:rPr>
          <w:rFonts w:asciiTheme="minorHAnsi" w:hAnsiTheme="minorHAnsi"/>
          <w:i/>
          <w:szCs w:val="22"/>
          <w:lang w:val="en" w:eastAsia="en-AU"/>
        </w:rPr>
      </w:pPr>
      <w:r w:rsidRPr="00DE4C3E">
        <w:rPr>
          <w:rFonts w:asciiTheme="minorHAnsi" w:hAnsiTheme="minorHAnsi"/>
          <w:i/>
          <w:szCs w:val="22"/>
          <w:lang w:val="en" w:eastAsia="en-AU"/>
        </w:rPr>
        <w:t>Early release of super has some downsides. You may end up with:</w:t>
      </w:r>
    </w:p>
    <w:p w14:paraId="5D596141" w14:textId="77777777" w:rsidR="003860BC" w:rsidRPr="00DE4C3E" w:rsidRDefault="003860BC" w:rsidP="00DE4C3E">
      <w:pPr>
        <w:numPr>
          <w:ilvl w:val="0"/>
          <w:numId w:val="7"/>
        </w:numPr>
        <w:tabs>
          <w:tab w:val="clear" w:pos="720"/>
          <w:tab w:val="num" w:pos="1080"/>
        </w:tabs>
        <w:spacing w:before="100" w:beforeAutospacing="1" w:after="100" w:afterAutospacing="1"/>
        <w:ind w:left="1080"/>
        <w:rPr>
          <w:rFonts w:asciiTheme="minorHAnsi" w:hAnsiTheme="minorHAnsi"/>
          <w:i/>
          <w:szCs w:val="22"/>
          <w:lang w:val="en" w:eastAsia="en-AU"/>
        </w:rPr>
      </w:pPr>
      <w:r w:rsidRPr="00DE4C3E">
        <w:rPr>
          <w:rFonts w:asciiTheme="minorHAnsi" w:hAnsiTheme="minorHAnsi"/>
          <w:i/>
          <w:szCs w:val="22"/>
          <w:lang w:val="en" w:eastAsia="en-AU"/>
        </w:rPr>
        <w:t>more tax to pay</w:t>
      </w:r>
    </w:p>
    <w:p w14:paraId="48F4F259" w14:textId="77777777" w:rsidR="003860BC" w:rsidRPr="00DE4C3E" w:rsidRDefault="003860BC" w:rsidP="00DE4C3E">
      <w:pPr>
        <w:numPr>
          <w:ilvl w:val="0"/>
          <w:numId w:val="7"/>
        </w:numPr>
        <w:tabs>
          <w:tab w:val="clear" w:pos="720"/>
          <w:tab w:val="num" w:pos="1080"/>
        </w:tabs>
        <w:spacing w:before="100" w:beforeAutospacing="1" w:after="100" w:afterAutospacing="1"/>
        <w:ind w:left="1080"/>
        <w:rPr>
          <w:rFonts w:asciiTheme="minorHAnsi" w:hAnsiTheme="minorHAnsi"/>
          <w:i/>
          <w:szCs w:val="22"/>
          <w:lang w:val="en" w:eastAsia="en-AU"/>
        </w:rPr>
      </w:pPr>
      <w:r w:rsidRPr="00DE4C3E">
        <w:rPr>
          <w:rFonts w:asciiTheme="minorHAnsi" w:hAnsiTheme="minorHAnsi"/>
          <w:i/>
          <w:szCs w:val="22"/>
          <w:lang w:val="en" w:eastAsia="en-AU"/>
        </w:rPr>
        <w:t>more child support to pay</w:t>
      </w:r>
    </w:p>
    <w:p w14:paraId="78022435" w14:textId="77777777" w:rsidR="003860BC" w:rsidRPr="00DE4C3E" w:rsidRDefault="003860BC" w:rsidP="00DE4C3E">
      <w:pPr>
        <w:numPr>
          <w:ilvl w:val="0"/>
          <w:numId w:val="7"/>
        </w:numPr>
        <w:tabs>
          <w:tab w:val="clear" w:pos="720"/>
          <w:tab w:val="num" w:pos="1080"/>
        </w:tabs>
        <w:spacing w:before="100" w:beforeAutospacing="1" w:after="100" w:afterAutospacing="1"/>
        <w:ind w:left="1080"/>
        <w:rPr>
          <w:rFonts w:asciiTheme="minorHAnsi" w:hAnsiTheme="minorHAnsi"/>
          <w:i/>
          <w:szCs w:val="22"/>
          <w:lang w:val="en" w:eastAsia="en-AU"/>
        </w:rPr>
      </w:pPr>
      <w:r w:rsidRPr="00DE4C3E">
        <w:rPr>
          <w:rFonts w:asciiTheme="minorHAnsi" w:hAnsiTheme="minorHAnsi"/>
          <w:i/>
          <w:szCs w:val="22"/>
          <w:lang w:val="en" w:eastAsia="en-AU"/>
        </w:rPr>
        <w:t>lower Centrelink payments</w:t>
      </w:r>
    </w:p>
    <w:p w14:paraId="05340A55" w14:textId="387D02C5" w:rsidR="003860BC" w:rsidRPr="00DE4C3E" w:rsidRDefault="003860BC" w:rsidP="00DE4C3E">
      <w:pPr>
        <w:numPr>
          <w:ilvl w:val="0"/>
          <w:numId w:val="7"/>
        </w:numPr>
        <w:tabs>
          <w:tab w:val="clear" w:pos="720"/>
          <w:tab w:val="num" w:pos="1080"/>
        </w:tabs>
        <w:spacing w:before="100" w:beforeAutospacing="1" w:after="100" w:afterAutospacing="1"/>
        <w:ind w:left="1080"/>
        <w:rPr>
          <w:rFonts w:asciiTheme="minorHAnsi" w:hAnsiTheme="minorHAnsi"/>
          <w:i/>
          <w:sz w:val="24"/>
          <w:lang w:val="en" w:eastAsia="en-AU"/>
        </w:rPr>
      </w:pPr>
      <w:r w:rsidRPr="00DE4C3E">
        <w:rPr>
          <w:rFonts w:asciiTheme="minorHAnsi" w:hAnsiTheme="minorHAnsi"/>
          <w:i/>
          <w:szCs w:val="22"/>
          <w:lang w:val="en" w:eastAsia="en-AU"/>
        </w:rPr>
        <w:t>less child support</w:t>
      </w:r>
      <w:r w:rsidRPr="00DE4C3E">
        <w:rPr>
          <w:rStyle w:val="FootnoteReference"/>
          <w:rFonts w:asciiTheme="minorHAnsi" w:hAnsiTheme="minorHAnsi"/>
          <w:i/>
          <w:szCs w:val="22"/>
          <w:lang w:val="en" w:eastAsia="en-AU"/>
        </w:rPr>
        <w:footnoteReference w:id="7"/>
      </w:r>
    </w:p>
    <w:p w14:paraId="22D6116E" w14:textId="5D28FB01" w:rsidR="003860BC" w:rsidRDefault="00C17F97">
      <w:r>
        <w:t xml:space="preserve">In these circumstances, a person can be granted an early release of superannuation however, they </w:t>
      </w:r>
      <w:r w:rsidR="003860BC">
        <w:t xml:space="preserve">may </w:t>
      </w:r>
      <w:r>
        <w:t xml:space="preserve">lose a significant amount of </w:t>
      </w:r>
      <w:r w:rsidR="000367B4">
        <w:t>f</w:t>
      </w:r>
      <w:r>
        <w:t xml:space="preserve">amily </w:t>
      </w:r>
      <w:r w:rsidR="000367B4">
        <w:t>t</w:t>
      </w:r>
      <w:r>
        <w:t xml:space="preserve">ax </w:t>
      </w:r>
      <w:r w:rsidR="000367B4">
        <w:t>b</w:t>
      </w:r>
      <w:r>
        <w:t xml:space="preserve">enefit due to the income test. </w:t>
      </w:r>
    </w:p>
    <w:p w14:paraId="6AC4A583" w14:textId="78A1B7AC" w:rsidR="0001313C" w:rsidRDefault="004A2D71">
      <w:r>
        <w:t>This</w:t>
      </w:r>
      <w:r w:rsidR="0001313C">
        <w:t xml:space="preserve"> means people in severe financial hardship can find themselves with reduced </w:t>
      </w:r>
      <w:r>
        <w:t>family payments</w:t>
      </w:r>
      <w:r w:rsidR="0001313C">
        <w:t xml:space="preserve"> at the time when they need </w:t>
      </w:r>
      <w:r w:rsidR="00685743">
        <w:t>them</w:t>
      </w:r>
      <w:r w:rsidR="0001313C">
        <w:t xml:space="preserve"> most.</w:t>
      </w:r>
    </w:p>
    <w:p w14:paraId="150E7DE4" w14:textId="0F89AA8E" w:rsidR="009E60E7" w:rsidRPr="002B3C62" w:rsidRDefault="000367B4">
      <w:r>
        <w:t>This Office recommends</w:t>
      </w:r>
      <w:r w:rsidR="002B3C62">
        <w:t xml:space="preserve"> </w:t>
      </w:r>
      <w:r w:rsidR="00775D27">
        <w:t>T</w:t>
      </w:r>
      <w:r w:rsidR="004A2D71">
        <w:t xml:space="preserve">reasury consider </w:t>
      </w:r>
      <w:r w:rsidR="00685743">
        <w:t xml:space="preserve">whether </w:t>
      </w:r>
      <w:r w:rsidR="0068374F">
        <w:t>legislative amendment</w:t>
      </w:r>
      <w:r w:rsidR="00685743">
        <w:t>s are necessary</w:t>
      </w:r>
      <w:r w:rsidR="0068374F">
        <w:t xml:space="preserve"> so that </w:t>
      </w:r>
      <w:r w:rsidR="004A2D71">
        <w:t xml:space="preserve">early release of superannuation </w:t>
      </w:r>
      <w:r w:rsidR="0068374F">
        <w:t>for severe financial hardship is not part of a person’s adjusted taxable income for</w:t>
      </w:r>
      <w:r w:rsidR="004A2D71">
        <w:t xml:space="preserve"> family assistance income tests. </w:t>
      </w:r>
    </w:p>
    <w:sectPr w:rsidR="009E60E7" w:rsidRPr="002B3C62" w:rsidSect="00480033">
      <w:headerReference w:type="default" r:id="rId18"/>
      <w:footerReference w:type="first" r:id="rId19"/>
      <w:pgSz w:w="11894" w:h="16834" w:code="9"/>
      <w:pgMar w:top="1440" w:right="1580" w:bottom="1140" w:left="1580" w:header="706" w:footer="706"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65524" w14:textId="77777777" w:rsidR="00BB7FED" w:rsidRDefault="00BB7FED">
      <w:r>
        <w:separator/>
      </w:r>
    </w:p>
  </w:endnote>
  <w:endnote w:type="continuationSeparator" w:id="0">
    <w:p w14:paraId="3C35B295" w14:textId="77777777" w:rsidR="00BB7FED" w:rsidRDefault="00BB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7390E" w14:textId="77777777" w:rsidR="00F61936" w:rsidRDefault="00F61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D4878F" w14:textId="77777777" w:rsidR="00F61936" w:rsidRDefault="00F61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890962"/>
      <w:docPartObj>
        <w:docPartGallery w:val="Page Numbers (Bottom of Page)"/>
        <w:docPartUnique/>
      </w:docPartObj>
    </w:sdtPr>
    <w:sdtEndPr>
      <w:rPr>
        <w:noProof/>
      </w:rPr>
    </w:sdtEndPr>
    <w:sdtContent>
      <w:p w14:paraId="6EC6AE30" w14:textId="77777777" w:rsidR="00F61936" w:rsidRPr="00E722BE" w:rsidRDefault="00E722BE" w:rsidP="00E722BE">
        <w:pPr>
          <w:pStyle w:val="Footer"/>
          <w:jc w:val="center"/>
        </w:pPr>
        <w:r>
          <w:fldChar w:fldCharType="begin"/>
        </w:r>
        <w:r>
          <w:instrText xml:space="preserve"> PAGE   \* MERGEFORMAT </w:instrText>
        </w:r>
        <w:r>
          <w:fldChar w:fldCharType="separate"/>
        </w:r>
        <w:r w:rsidR="00A13B2F">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BBAA" w14:textId="77777777" w:rsidR="00F61936" w:rsidRPr="00045A23" w:rsidRDefault="00F61936" w:rsidP="00045A23">
    <w:pPr>
      <w:pStyle w:val="Footer"/>
      <w:jc w:val="center"/>
    </w:pPr>
    <w:r>
      <w:fldChar w:fldCharType="begin"/>
    </w:r>
    <w:r>
      <w:instrText xml:space="preserve"> PAGE   \* MERGEFORMAT </w:instrText>
    </w:r>
    <w:r>
      <w:fldChar w:fldCharType="separate"/>
    </w:r>
    <w:r w:rsidR="006059F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C4E9D" w14:textId="77777777" w:rsidR="00BB7FED" w:rsidRDefault="00BB7FED">
      <w:r>
        <w:separator/>
      </w:r>
    </w:p>
  </w:footnote>
  <w:footnote w:type="continuationSeparator" w:id="0">
    <w:p w14:paraId="04DEC5A3" w14:textId="77777777" w:rsidR="00BB7FED" w:rsidRDefault="00BB7FED">
      <w:r>
        <w:continuationSeparator/>
      </w:r>
    </w:p>
  </w:footnote>
  <w:footnote w:id="1">
    <w:p w14:paraId="3AAEFE06" w14:textId="405A1AF6" w:rsidR="00A129E0" w:rsidRDefault="00A129E0" w:rsidP="00A129E0">
      <w:pPr>
        <w:pStyle w:val="FootnoteText"/>
      </w:pPr>
      <w:r>
        <w:rPr>
          <w:rStyle w:val="FootnoteReference"/>
        </w:rPr>
        <w:footnoteRef/>
      </w:r>
      <w:r>
        <w:t xml:space="preserve"> </w:t>
      </w:r>
      <w:r w:rsidRPr="001C015B">
        <w:t>Superannuation Industry (Supervision) Regulations 1994</w:t>
      </w:r>
      <w:r w:rsidR="000223EB">
        <w:t>,</w:t>
      </w:r>
      <w:r>
        <w:t xml:space="preserve"> r 6.19A(2)(b).</w:t>
      </w:r>
    </w:p>
  </w:footnote>
  <w:footnote w:id="2">
    <w:p w14:paraId="7FF563EA" w14:textId="4FEE0009" w:rsidR="003D3E6D" w:rsidRDefault="003D3E6D">
      <w:pPr>
        <w:pStyle w:val="FootnoteText"/>
      </w:pPr>
      <w:r>
        <w:rPr>
          <w:rStyle w:val="FootnoteReference"/>
        </w:rPr>
        <w:footnoteRef/>
      </w:r>
      <w:r>
        <w:t xml:space="preserve"> Superannuation Industry (Supervision) Regulations 1994</w:t>
      </w:r>
      <w:r w:rsidR="000223EB">
        <w:t>,</w:t>
      </w:r>
      <w:r>
        <w:t xml:space="preserve"> r 6.01(5).</w:t>
      </w:r>
    </w:p>
  </w:footnote>
  <w:footnote w:id="3">
    <w:p w14:paraId="73B8BAE1" w14:textId="24F17DAB" w:rsidR="00A24B67" w:rsidRDefault="00A24B67">
      <w:pPr>
        <w:pStyle w:val="FootnoteText"/>
      </w:pPr>
      <w:r>
        <w:rPr>
          <w:rStyle w:val="FootnoteReference"/>
        </w:rPr>
        <w:footnoteRef/>
      </w:r>
      <w:r>
        <w:t xml:space="preserve"> </w:t>
      </w:r>
      <w:hyperlink r:id="rId1" w:history="1">
        <w:r w:rsidRPr="0059478F">
          <w:rPr>
            <w:rStyle w:val="Hyperlink"/>
          </w:rPr>
          <w:t>http://www.ombudsman.gov.au/__data/assets/pdf_file/0015/34602/Family-Violence-and-Commonwealth-Laws-Social-Security-April-2011-36.pdf</w:t>
        </w:r>
      </w:hyperlink>
      <w:r>
        <w:t xml:space="preserve"> </w:t>
      </w:r>
    </w:p>
  </w:footnote>
  <w:footnote w:id="4">
    <w:p w14:paraId="6653EF63" w14:textId="77777777" w:rsidR="00397D84" w:rsidRDefault="00397D84" w:rsidP="00397D84">
      <w:pPr>
        <w:pStyle w:val="FootnoteText"/>
      </w:pPr>
      <w:r>
        <w:rPr>
          <w:rStyle w:val="FootnoteReference"/>
        </w:rPr>
        <w:footnoteRef/>
      </w:r>
      <w:r>
        <w:t xml:space="preserve"> ALRC Report 117: </w:t>
      </w:r>
      <w:r w:rsidRPr="00424AC3">
        <w:rPr>
          <w:i/>
        </w:rPr>
        <w:t>Family Violence and Commonwealth Laws – Improving Legal Frameworks</w:t>
      </w:r>
      <w:r>
        <w:t>.</w:t>
      </w:r>
    </w:p>
  </w:footnote>
  <w:footnote w:id="5">
    <w:p w14:paraId="31F050FF" w14:textId="2A30EE9D" w:rsidR="0068374F" w:rsidRDefault="0068374F" w:rsidP="0068374F">
      <w:pPr>
        <w:pStyle w:val="FootnoteText"/>
      </w:pPr>
      <w:r>
        <w:rPr>
          <w:rStyle w:val="FootnoteReference"/>
        </w:rPr>
        <w:footnoteRef/>
      </w:r>
      <w:r>
        <w:t xml:space="preserve"> There are no special tax rates for a super withdrawal on compassionate grounds </w:t>
      </w:r>
      <w:r w:rsidR="00AE6E33">
        <w:t xml:space="preserve">see ATO website </w:t>
      </w:r>
      <w:hyperlink r:id="rId2" w:anchor="How_tax_applies_to_your_super" w:history="1">
        <w:r w:rsidRPr="001C0B3B">
          <w:rPr>
            <w:rStyle w:val="Hyperlink"/>
          </w:rPr>
          <w:t>https://www.ato.gov.au/Individuals/Super/In-detail/Withdrawing-and-paying-tax/Withdrawing-your-super-and-paying-tax/?page=4#How_tax_applies_to_your_super</w:t>
        </w:r>
      </w:hyperlink>
      <w:r>
        <w:t xml:space="preserve">  </w:t>
      </w:r>
      <w:r w:rsidR="00AE6E33">
        <w:t>accessed 25 January 2018</w:t>
      </w:r>
    </w:p>
  </w:footnote>
  <w:footnote w:id="6">
    <w:p w14:paraId="37451156" w14:textId="2EE38FB2" w:rsidR="0068374F" w:rsidRDefault="0068374F">
      <w:pPr>
        <w:pStyle w:val="FootnoteText"/>
      </w:pPr>
      <w:r>
        <w:rPr>
          <w:rStyle w:val="FootnoteReference"/>
        </w:rPr>
        <w:footnoteRef/>
      </w:r>
      <w:r>
        <w:t xml:space="preserve"> </w:t>
      </w:r>
      <w:r w:rsidR="00777090">
        <w:rPr>
          <w:color w:val="111111"/>
          <w:lang w:val="en"/>
        </w:rPr>
        <w:t xml:space="preserve">Taxable income has the same meaning as in the </w:t>
      </w:r>
      <w:r w:rsidR="00777090">
        <w:rPr>
          <w:rStyle w:val="HTMLCite"/>
          <w:color w:val="111111"/>
          <w:lang w:val="en"/>
        </w:rPr>
        <w:t>Income Tax Assessment Act 1997</w:t>
      </w:r>
      <w:r w:rsidR="00777090">
        <w:rPr>
          <w:color w:val="111111"/>
          <w:lang w:val="en"/>
        </w:rPr>
        <w:t xml:space="preserve">. It is the amount of assessable income received for a relevant income year, less any allowable deductions: </w:t>
      </w:r>
      <w:r w:rsidR="00777090" w:rsidRPr="00DE4C3E">
        <w:rPr>
          <w:i/>
        </w:rPr>
        <w:t>Guide to Family Assistance Law at 3.2.2</w:t>
      </w:r>
      <w:r w:rsidR="00777090">
        <w:t xml:space="preserve">;  s 3(1) </w:t>
      </w:r>
      <w:r w:rsidRPr="00DE4C3E">
        <w:rPr>
          <w:i/>
        </w:rPr>
        <w:t>A New Tax System (Family Assistance) Act 1999</w:t>
      </w:r>
      <w:r w:rsidR="00777090">
        <w:rPr>
          <w:i/>
        </w:rPr>
        <w:t>.</w:t>
      </w:r>
    </w:p>
  </w:footnote>
  <w:footnote w:id="7">
    <w:p w14:paraId="2EE019A2" w14:textId="4296F1A4" w:rsidR="003860BC" w:rsidRDefault="003860BC">
      <w:pPr>
        <w:pStyle w:val="FootnoteText"/>
      </w:pPr>
      <w:r>
        <w:rPr>
          <w:rStyle w:val="FootnoteReference"/>
        </w:rPr>
        <w:footnoteRef/>
      </w:r>
      <w:r>
        <w:t xml:space="preserve"> </w:t>
      </w:r>
      <w:hyperlink r:id="rId3" w:history="1">
        <w:r w:rsidR="00AE6E33" w:rsidRPr="001C0B3B">
          <w:rPr>
            <w:rStyle w:val="Hyperlink"/>
          </w:rPr>
          <w:t>https://www.humanservices.gov.au/individuals/enablers/financial-impact-if-your-release-your-superannuation-early</w:t>
        </w:r>
      </w:hyperlink>
      <w:r w:rsidR="00AE6E33">
        <w:t>, accessed 25 January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3A68" w14:textId="77777777" w:rsidR="00F61936" w:rsidRPr="00F933DB" w:rsidRDefault="00F61936" w:rsidP="00F933DB">
    <w:pPr>
      <w:pStyle w:val="Header"/>
      <w:rPr>
        <w:szCs w:val="22"/>
      </w:rPr>
    </w:pPr>
    <w:r w:rsidRPr="00F933DB">
      <w:rPr>
        <w:szCs w:val="22"/>
      </w:rPr>
      <w:t>Submission by the Commonwealth Ombudsman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52C7" w14:textId="77777777" w:rsidR="00F61936" w:rsidRPr="00F933DB" w:rsidRDefault="00F61936" w:rsidP="00F933DB">
    <w:pPr>
      <w:pStyle w:val="Header"/>
      <w:rPr>
        <w:color w:val="7F7F7F" w:themeColor="text1" w:themeTint="80"/>
        <w:szCs w:val="22"/>
      </w:rPr>
    </w:pPr>
    <w:r w:rsidRPr="00F933DB">
      <w:rPr>
        <w:color w:val="7F7F7F" w:themeColor="text1" w:themeTint="80"/>
        <w:szCs w:val="22"/>
      </w:rPr>
      <w:t>Submission by the Commonwealth Ombudsman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2060A8"/>
    <w:lvl w:ilvl="0">
      <w:numFmt w:val="bullet"/>
      <w:lvlText w:val="*"/>
      <w:lvlJc w:val="left"/>
    </w:lvl>
  </w:abstractNum>
  <w:abstractNum w:abstractNumId="1">
    <w:nsid w:val="07520E06"/>
    <w:multiLevelType w:val="hybridMultilevel"/>
    <w:tmpl w:val="48125EC4"/>
    <w:lvl w:ilvl="0" w:tplc="F67C918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BC6A5B"/>
    <w:multiLevelType w:val="hybridMultilevel"/>
    <w:tmpl w:val="E3225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426910"/>
    <w:multiLevelType w:val="hybridMultilevel"/>
    <w:tmpl w:val="AA82F196"/>
    <w:lvl w:ilvl="0" w:tplc="F67C9180">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9390867"/>
    <w:multiLevelType w:val="multilevel"/>
    <w:tmpl w:val="3210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F332B"/>
    <w:multiLevelType w:val="multilevel"/>
    <w:tmpl w:val="501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F0E77"/>
    <w:multiLevelType w:val="hybridMultilevel"/>
    <w:tmpl w:val="2A403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8D236BF"/>
    <w:multiLevelType w:val="hybridMultilevel"/>
    <w:tmpl w:val="15722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61030AAA"/>
    <w:multiLevelType w:val="hybridMultilevel"/>
    <w:tmpl w:val="7F0A4730"/>
    <w:lvl w:ilvl="0" w:tplc="6A62A01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8679DC"/>
    <w:multiLevelType w:val="hybridMultilevel"/>
    <w:tmpl w:val="70447D7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DE"/>
    <w:rsid w:val="000064DD"/>
    <w:rsid w:val="00006C27"/>
    <w:rsid w:val="0001313C"/>
    <w:rsid w:val="0001403B"/>
    <w:rsid w:val="000168F0"/>
    <w:rsid w:val="000223EB"/>
    <w:rsid w:val="00024153"/>
    <w:rsid w:val="00032727"/>
    <w:rsid w:val="00035FC0"/>
    <w:rsid w:val="00036009"/>
    <w:rsid w:val="000361F4"/>
    <w:rsid w:val="0003640E"/>
    <w:rsid w:val="000367B4"/>
    <w:rsid w:val="00037C72"/>
    <w:rsid w:val="00037E24"/>
    <w:rsid w:val="00045042"/>
    <w:rsid w:val="00045A23"/>
    <w:rsid w:val="000460CA"/>
    <w:rsid w:val="000474E7"/>
    <w:rsid w:val="0005401E"/>
    <w:rsid w:val="000554EC"/>
    <w:rsid w:val="000625F9"/>
    <w:rsid w:val="0006400C"/>
    <w:rsid w:val="000713FF"/>
    <w:rsid w:val="0007146E"/>
    <w:rsid w:val="000733BF"/>
    <w:rsid w:val="00073A95"/>
    <w:rsid w:val="000776DF"/>
    <w:rsid w:val="00077D1F"/>
    <w:rsid w:val="00081F7A"/>
    <w:rsid w:val="00082FF8"/>
    <w:rsid w:val="00087C49"/>
    <w:rsid w:val="0009030D"/>
    <w:rsid w:val="000907A9"/>
    <w:rsid w:val="000919DF"/>
    <w:rsid w:val="00094937"/>
    <w:rsid w:val="000976E8"/>
    <w:rsid w:val="00097D49"/>
    <w:rsid w:val="000A173A"/>
    <w:rsid w:val="000A27FE"/>
    <w:rsid w:val="000A5444"/>
    <w:rsid w:val="000B0E30"/>
    <w:rsid w:val="000B42B8"/>
    <w:rsid w:val="000C266F"/>
    <w:rsid w:val="000D4DDC"/>
    <w:rsid w:val="000E2845"/>
    <w:rsid w:val="000E361A"/>
    <w:rsid w:val="000E36A1"/>
    <w:rsid w:val="000E6556"/>
    <w:rsid w:val="000F0D4F"/>
    <w:rsid w:val="000F1DF1"/>
    <w:rsid w:val="000F256A"/>
    <w:rsid w:val="000F2D9A"/>
    <w:rsid w:val="00111564"/>
    <w:rsid w:val="001144C9"/>
    <w:rsid w:val="00117920"/>
    <w:rsid w:val="00122039"/>
    <w:rsid w:val="0012482E"/>
    <w:rsid w:val="00127304"/>
    <w:rsid w:val="00127AF9"/>
    <w:rsid w:val="001310F0"/>
    <w:rsid w:val="0013546F"/>
    <w:rsid w:val="00135F93"/>
    <w:rsid w:val="00136BD5"/>
    <w:rsid w:val="0014132F"/>
    <w:rsid w:val="00141FFE"/>
    <w:rsid w:val="00145C38"/>
    <w:rsid w:val="0015572D"/>
    <w:rsid w:val="001621E4"/>
    <w:rsid w:val="0016379D"/>
    <w:rsid w:val="00163BD7"/>
    <w:rsid w:val="001658BB"/>
    <w:rsid w:val="00171C9A"/>
    <w:rsid w:val="00181DB1"/>
    <w:rsid w:val="001845C4"/>
    <w:rsid w:val="001875A1"/>
    <w:rsid w:val="00193298"/>
    <w:rsid w:val="0019766F"/>
    <w:rsid w:val="001A05D4"/>
    <w:rsid w:val="001A0CA0"/>
    <w:rsid w:val="001A6B1F"/>
    <w:rsid w:val="001B0E84"/>
    <w:rsid w:val="001B216D"/>
    <w:rsid w:val="001B22DE"/>
    <w:rsid w:val="001B28C0"/>
    <w:rsid w:val="001B7DD1"/>
    <w:rsid w:val="001C015B"/>
    <w:rsid w:val="001C3B24"/>
    <w:rsid w:val="001D2973"/>
    <w:rsid w:val="001D37BC"/>
    <w:rsid w:val="001D3AEC"/>
    <w:rsid w:val="001D4BF8"/>
    <w:rsid w:val="001D682A"/>
    <w:rsid w:val="001E32A7"/>
    <w:rsid w:val="001E66B1"/>
    <w:rsid w:val="001F6E31"/>
    <w:rsid w:val="00201AAB"/>
    <w:rsid w:val="0020570E"/>
    <w:rsid w:val="002174ED"/>
    <w:rsid w:val="00227065"/>
    <w:rsid w:val="00227E9A"/>
    <w:rsid w:val="00227EFF"/>
    <w:rsid w:val="00230785"/>
    <w:rsid w:val="00230B55"/>
    <w:rsid w:val="00230F0B"/>
    <w:rsid w:val="00236445"/>
    <w:rsid w:val="002422C7"/>
    <w:rsid w:val="00245B71"/>
    <w:rsid w:val="0025307D"/>
    <w:rsid w:val="0026063C"/>
    <w:rsid w:val="0026175D"/>
    <w:rsid w:val="00270153"/>
    <w:rsid w:val="0027235B"/>
    <w:rsid w:val="0027239D"/>
    <w:rsid w:val="00274D84"/>
    <w:rsid w:val="00277F8F"/>
    <w:rsid w:val="00280103"/>
    <w:rsid w:val="00283920"/>
    <w:rsid w:val="002856BC"/>
    <w:rsid w:val="00285AC0"/>
    <w:rsid w:val="00291D9F"/>
    <w:rsid w:val="002A4D42"/>
    <w:rsid w:val="002A4F65"/>
    <w:rsid w:val="002A54E3"/>
    <w:rsid w:val="002B1A83"/>
    <w:rsid w:val="002B3C62"/>
    <w:rsid w:val="002B62FA"/>
    <w:rsid w:val="002D063E"/>
    <w:rsid w:val="002D1BE8"/>
    <w:rsid w:val="002D476B"/>
    <w:rsid w:val="002E3E17"/>
    <w:rsid w:val="002E601E"/>
    <w:rsid w:val="002F2E08"/>
    <w:rsid w:val="002F71CB"/>
    <w:rsid w:val="00301F8E"/>
    <w:rsid w:val="00303BBE"/>
    <w:rsid w:val="00315F83"/>
    <w:rsid w:val="003169D7"/>
    <w:rsid w:val="003178FA"/>
    <w:rsid w:val="0032144C"/>
    <w:rsid w:val="00324063"/>
    <w:rsid w:val="00327CCE"/>
    <w:rsid w:val="003319C5"/>
    <w:rsid w:val="00331C60"/>
    <w:rsid w:val="003322CD"/>
    <w:rsid w:val="00332814"/>
    <w:rsid w:val="0033478F"/>
    <w:rsid w:val="00340390"/>
    <w:rsid w:val="0034485F"/>
    <w:rsid w:val="003479C5"/>
    <w:rsid w:val="00347E29"/>
    <w:rsid w:val="0035661C"/>
    <w:rsid w:val="00362B07"/>
    <w:rsid w:val="00363D82"/>
    <w:rsid w:val="00364450"/>
    <w:rsid w:val="003661B4"/>
    <w:rsid w:val="00366A83"/>
    <w:rsid w:val="00370C79"/>
    <w:rsid w:val="00371963"/>
    <w:rsid w:val="003759CC"/>
    <w:rsid w:val="00376847"/>
    <w:rsid w:val="003775A1"/>
    <w:rsid w:val="00383513"/>
    <w:rsid w:val="00383649"/>
    <w:rsid w:val="00383EBB"/>
    <w:rsid w:val="003848A2"/>
    <w:rsid w:val="003860BC"/>
    <w:rsid w:val="00386283"/>
    <w:rsid w:val="0039096F"/>
    <w:rsid w:val="00392485"/>
    <w:rsid w:val="0039454D"/>
    <w:rsid w:val="00397D84"/>
    <w:rsid w:val="003A0E40"/>
    <w:rsid w:val="003A3826"/>
    <w:rsid w:val="003B2705"/>
    <w:rsid w:val="003B6348"/>
    <w:rsid w:val="003C01E0"/>
    <w:rsid w:val="003C1033"/>
    <w:rsid w:val="003C5D6F"/>
    <w:rsid w:val="003D0F18"/>
    <w:rsid w:val="003D150E"/>
    <w:rsid w:val="003D1F8B"/>
    <w:rsid w:val="003D250B"/>
    <w:rsid w:val="003D3E6D"/>
    <w:rsid w:val="003D50C2"/>
    <w:rsid w:val="003D73B5"/>
    <w:rsid w:val="003E1DDE"/>
    <w:rsid w:val="003E2BEC"/>
    <w:rsid w:val="003E4F06"/>
    <w:rsid w:val="003E5E4A"/>
    <w:rsid w:val="003E6496"/>
    <w:rsid w:val="003E7B99"/>
    <w:rsid w:val="003F1A8B"/>
    <w:rsid w:val="003F2256"/>
    <w:rsid w:val="003F551C"/>
    <w:rsid w:val="0040148F"/>
    <w:rsid w:val="00406878"/>
    <w:rsid w:val="00407B4A"/>
    <w:rsid w:val="00410A68"/>
    <w:rsid w:val="004138B0"/>
    <w:rsid w:val="0041692D"/>
    <w:rsid w:val="00422973"/>
    <w:rsid w:val="00424AC3"/>
    <w:rsid w:val="00432E82"/>
    <w:rsid w:val="00433252"/>
    <w:rsid w:val="00434060"/>
    <w:rsid w:val="0043424E"/>
    <w:rsid w:val="00434F58"/>
    <w:rsid w:val="00436EB8"/>
    <w:rsid w:val="00437085"/>
    <w:rsid w:val="004448FC"/>
    <w:rsid w:val="00444DBC"/>
    <w:rsid w:val="004471D0"/>
    <w:rsid w:val="00447D41"/>
    <w:rsid w:val="00450FED"/>
    <w:rsid w:val="00470000"/>
    <w:rsid w:val="00475228"/>
    <w:rsid w:val="0047616B"/>
    <w:rsid w:val="00480033"/>
    <w:rsid w:val="0048335D"/>
    <w:rsid w:val="0048478C"/>
    <w:rsid w:val="004847B1"/>
    <w:rsid w:val="0048497F"/>
    <w:rsid w:val="00484ED7"/>
    <w:rsid w:val="004922EE"/>
    <w:rsid w:val="0049776B"/>
    <w:rsid w:val="004A23B4"/>
    <w:rsid w:val="004A2D71"/>
    <w:rsid w:val="004A7092"/>
    <w:rsid w:val="004A7560"/>
    <w:rsid w:val="004B115B"/>
    <w:rsid w:val="004B70BE"/>
    <w:rsid w:val="004C0B45"/>
    <w:rsid w:val="004C126A"/>
    <w:rsid w:val="004C2430"/>
    <w:rsid w:val="004C7703"/>
    <w:rsid w:val="004C7FE2"/>
    <w:rsid w:val="004D05BE"/>
    <w:rsid w:val="004D1F8B"/>
    <w:rsid w:val="004E2BF0"/>
    <w:rsid w:val="004E2C6F"/>
    <w:rsid w:val="004E2E71"/>
    <w:rsid w:val="004E4BEA"/>
    <w:rsid w:val="004E6249"/>
    <w:rsid w:val="004E68F6"/>
    <w:rsid w:val="004F181A"/>
    <w:rsid w:val="004F3CB7"/>
    <w:rsid w:val="004F764E"/>
    <w:rsid w:val="00501EA9"/>
    <w:rsid w:val="00505258"/>
    <w:rsid w:val="0050567A"/>
    <w:rsid w:val="0050638E"/>
    <w:rsid w:val="00506C37"/>
    <w:rsid w:val="005118A1"/>
    <w:rsid w:val="005136E6"/>
    <w:rsid w:val="005207AE"/>
    <w:rsid w:val="005251DF"/>
    <w:rsid w:val="00526CD0"/>
    <w:rsid w:val="005320B4"/>
    <w:rsid w:val="00535D91"/>
    <w:rsid w:val="00542158"/>
    <w:rsid w:val="005544CE"/>
    <w:rsid w:val="00564E0C"/>
    <w:rsid w:val="00565A6F"/>
    <w:rsid w:val="0057427A"/>
    <w:rsid w:val="00575E8A"/>
    <w:rsid w:val="005772AA"/>
    <w:rsid w:val="00577FFB"/>
    <w:rsid w:val="00583415"/>
    <w:rsid w:val="00584B8F"/>
    <w:rsid w:val="00586E23"/>
    <w:rsid w:val="005937CC"/>
    <w:rsid w:val="00596BA4"/>
    <w:rsid w:val="005A199A"/>
    <w:rsid w:val="005A2A62"/>
    <w:rsid w:val="005B4F20"/>
    <w:rsid w:val="005B6199"/>
    <w:rsid w:val="005B6F2C"/>
    <w:rsid w:val="005D0971"/>
    <w:rsid w:val="005D1A3A"/>
    <w:rsid w:val="005D1AC9"/>
    <w:rsid w:val="005D1B30"/>
    <w:rsid w:val="005D3584"/>
    <w:rsid w:val="005D43A8"/>
    <w:rsid w:val="005D4FA0"/>
    <w:rsid w:val="005D7757"/>
    <w:rsid w:val="005E185A"/>
    <w:rsid w:val="005E3964"/>
    <w:rsid w:val="005E79F8"/>
    <w:rsid w:val="005F07F8"/>
    <w:rsid w:val="005F2517"/>
    <w:rsid w:val="005F6472"/>
    <w:rsid w:val="00603F62"/>
    <w:rsid w:val="006059F5"/>
    <w:rsid w:val="0060771D"/>
    <w:rsid w:val="00607899"/>
    <w:rsid w:val="00610B83"/>
    <w:rsid w:val="0061105D"/>
    <w:rsid w:val="006143D1"/>
    <w:rsid w:val="00621E3F"/>
    <w:rsid w:val="00623390"/>
    <w:rsid w:val="006235B9"/>
    <w:rsid w:val="00627B5B"/>
    <w:rsid w:val="00633358"/>
    <w:rsid w:val="006343FB"/>
    <w:rsid w:val="00637C15"/>
    <w:rsid w:val="006442DA"/>
    <w:rsid w:val="00644F2F"/>
    <w:rsid w:val="00647619"/>
    <w:rsid w:val="00647DDB"/>
    <w:rsid w:val="00670690"/>
    <w:rsid w:val="006754B4"/>
    <w:rsid w:val="00680FCF"/>
    <w:rsid w:val="00681E76"/>
    <w:rsid w:val="0068374F"/>
    <w:rsid w:val="0068443D"/>
    <w:rsid w:val="00685743"/>
    <w:rsid w:val="00687D5D"/>
    <w:rsid w:val="00692021"/>
    <w:rsid w:val="00696310"/>
    <w:rsid w:val="006A7EE3"/>
    <w:rsid w:val="006B13AA"/>
    <w:rsid w:val="006B41CB"/>
    <w:rsid w:val="006B4288"/>
    <w:rsid w:val="006B671E"/>
    <w:rsid w:val="006B6D4D"/>
    <w:rsid w:val="006B7BF3"/>
    <w:rsid w:val="006C34D3"/>
    <w:rsid w:val="006C5D7F"/>
    <w:rsid w:val="006D1E28"/>
    <w:rsid w:val="006E170E"/>
    <w:rsid w:val="006E433A"/>
    <w:rsid w:val="006E75F3"/>
    <w:rsid w:val="006F19A4"/>
    <w:rsid w:val="006F4EBD"/>
    <w:rsid w:val="00703C09"/>
    <w:rsid w:val="00707665"/>
    <w:rsid w:val="00710662"/>
    <w:rsid w:val="007202DD"/>
    <w:rsid w:val="00721BE7"/>
    <w:rsid w:val="00723F77"/>
    <w:rsid w:val="00725B68"/>
    <w:rsid w:val="00725FDE"/>
    <w:rsid w:val="007271E7"/>
    <w:rsid w:val="00731614"/>
    <w:rsid w:val="00735CCB"/>
    <w:rsid w:val="00737A33"/>
    <w:rsid w:val="00737B86"/>
    <w:rsid w:val="00744F02"/>
    <w:rsid w:val="0074704D"/>
    <w:rsid w:val="00752A42"/>
    <w:rsid w:val="00754E59"/>
    <w:rsid w:val="007564FE"/>
    <w:rsid w:val="00757B68"/>
    <w:rsid w:val="00760872"/>
    <w:rsid w:val="00760CDE"/>
    <w:rsid w:val="00771C8F"/>
    <w:rsid w:val="007733D4"/>
    <w:rsid w:val="00775D27"/>
    <w:rsid w:val="00777090"/>
    <w:rsid w:val="00783819"/>
    <w:rsid w:val="00791915"/>
    <w:rsid w:val="00791AC6"/>
    <w:rsid w:val="0079280E"/>
    <w:rsid w:val="00796AF8"/>
    <w:rsid w:val="00796DB6"/>
    <w:rsid w:val="00797F9C"/>
    <w:rsid w:val="007A0DB7"/>
    <w:rsid w:val="007A1CBB"/>
    <w:rsid w:val="007A7D5F"/>
    <w:rsid w:val="007B1582"/>
    <w:rsid w:val="007B4539"/>
    <w:rsid w:val="007B5D74"/>
    <w:rsid w:val="007C0B61"/>
    <w:rsid w:val="007C181D"/>
    <w:rsid w:val="007C213C"/>
    <w:rsid w:val="007C3951"/>
    <w:rsid w:val="007C5C00"/>
    <w:rsid w:val="007C5F37"/>
    <w:rsid w:val="007C5FAA"/>
    <w:rsid w:val="007D2EC4"/>
    <w:rsid w:val="007D4F8D"/>
    <w:rsid w:val="007E3EAB"/>
    <w:rsid w:val="007E4D2D"/>
    <w:rsid w:val="007E5917"/>
    <w:rsid w:val="007E6D05"/>
    <w:rsid w:val="007E70BC"/>
    <w:rsid w:val="007F3E4B"/>
    <w:rsid w:val="008019AB"/>
    <w:rsid w:val="0080348A"/>
    <w:rsid w:val="0080662D"/>
    <w:rsid w:val="0081218E"/>
    <w:rsid w:val="008157DA"/>
    <w:rsid w:val="008177AF"/>
    <w:rsid w:val="0082109C"/>
    <w:rsid w:val="00822762"/>
    <w:rsid w:val="00824E80"/>
    <w:rsid w:val="00826F89"/>
    <w:rsid w:val="008301EF"/>
    <w:rsid w:val="008306DF"/>
    <w:rsid w:val="00831030"/>
    <w:rsid w:val="008338BA"/>
    <w:rsid w:val="008345D0"/>
    <w:rsid w:val="0084124C"/>
    <w:rsid w:val="00842908"/>
    <w:rsid w:val="00844C3C"/>
    <w:rsid w:val="008534AE"/>
    <w:rsid w:val="00854E30"/>
    <w:rsid w:val="00861433"/>
    <w:rsid w:val="00861FC7"/>
    <w:rsid w:val="008636D5"/>
    <w:rsid w:val="00871505"/>
    <w:rsid w:val="0087245C"/>
    <w:rsid w:val="008749C0"/>
    <w:rsid w:val="00884E6F"/>
    <w:rsid w:val="008862FA"/>
    <w:rsid w:val="008870A2"/>
    <w:rsid w:val="00890012"/>
    <w:rsid w:val="0089063B"/>
    <w:rsid w:val="00891A67"/>
    <w:rsid w:val="008A2A18"/>
    <w:rsid w:val="008A3831"/>
    <w:rsid w:val="008B2C2F"/>
    <w:rsid w:val="008B7758"/>
    <w:rsid w:val="008C178E"/>
    <w:rsid w:val="008E02EF"/>
    <w:rsid w:val="008E23C3"/>
    <w:rsid w:val="008F214E"/>
    <w:rsid w:val="008F2D50"/>
    <w:rsid w:val="008F4E6F"/>
    <w:rsid w:val="008F6A53"/>
    <w:rsid w:val="0090201C"/>
    <w:rsid w:val="009042BB"/>
    <w:rsid w:val="00907777"/>
    <w:rsid w:val="00912B25"/>
    <w:rsid w:val="009167C5"/>
    <w:rsid w:val="009221A7"/>
    <w:rsid w:val="00927036"/>
    <w:rsid w:val="00927268"/>
    <w:rsid w:val="00931E95"/>
    <w:rsid w:val="009408E3"/>
    <w:rsid w:val="0094152D"/>
    <w:rsid w:val="00941701"/>
    <w:rsid w:val="009457DF"/>
    <w:rsid w:val="00946A18"/>
    <w:rsid w:val="0094774A"/>
    <w:rsid w:val="00961112"/>
    <w:rsid w:val="00965486"/>
    <w:rsid w:val="009672EE"/>
    <w:rsid w:val="00970D4E"/>
    <w:rsid w:val="00971455"/>
    <w:rsid w:val="00974B8C"/>
    <w:rsid w:val="00976351"/>
    <w:rsid w:val="0097741C"/>
    <w:rsid w:val="009819C8"/>
    <w:rsid w:val="00982A9F"/>
    <w:rsid w:val="00983ED4"/>
    <w:rsid w:val="00984352"/>
    <w:rsid w:val="009853F7"/>
    <w:rsid w:val="00992262"/>
    <w:rsid w:val="00996D67"/>
    <w:rsid w:val="009A03F8"/>
    <w:rsid w:val="009A4F47"/>
    <w:rsid w:val="009A77AA"/>
    <w:rsid w:val="009B5C37"/>
    <w:rsid w:val="009B60CF"/>
    <w:rsid w:val="009B7AF8"/>
    <w:rsid w:val="009C205D"/>
    <w:rsid w:val="009D030A"/>
    <w:rsid w:val="009D0AD7"/>
    <w:rsid w:val="009D1CDD"/>
    <w:rsid w:val="009D56F7"/>
    <w:rsid w:val="009E0F0B"/>
    <w:rsid w:val="009E5FFC"/>
    <w:rsid w:val="009E60E7"/>
    <w:rsid w:val="009F0072"/>
    <w:rsid w:val="009F4FED"/>
    <w:rsid w:val="009F50DB"/>
    <w:rsid w:val="00A05028"/>
    <w:rsid w:val="00A129E0"/>
    <w:rsid w:val="00A13B2F"/>
    <w:rsid w:val="00A13E82"/>
    <w:rsid w:val="00A14825"/>
    <w:rsid w:val="00A163C9"/>
    <w:rsid w:val="00A21DF5"/>
    <w:rsid w:val="00A24B67"/>
    <w:rsid w:val="00A306F3"/>
    <w:rsid w:val="00A32211"/>
    <w:rsid w:val="00A32EC0"/>
    <w:rsid w:val="00A35FBF"/>
    <w:rsid w:val="00A36D81"/>
    <w:rsid w:val="00A45CDC"/>
    <w:rsid w:val="00A461AF"/>
    <w:rsid w:val="00A46C61"/>
    <w:rsid w:val="00A47834"/>
    <w:rsid w:val="00A4799D"/>
    <w:rsid w:val="00A52EE5"/>
    <w:rsid w:val="00A55EA8"/>
    <w:rsid w:val="00A61B34"/>
    <w:rsid w:val="00A61E56"/>
    <w:rsid w:val="00A6550C"/>
    <w:rsid w:val="00A66624"/>
    <w:rsid w:val="00A66FC2"/>
    <w:rsid w:val="00A70B89"/>
    <w:rsid w:val="00A831C0"/>
    <w:rsid w:val="00A8430D"/>
    <w:rsid w:val="00A844BF"/>
    <w:rsid w:val="00A849F1"/>
    <w:rsid w:val="00A85D16"/>
    <w:rsid w:val="00A91487"/>
    <w:rsid w:val="00A93061"/>
    <w:rsid w:val="00AA024E"/>
    <w:rsid w:val="00AA106B"/>
    <w:rsid w:val="00AA32B5"/>
    <w:rsid w:val="00AA4006"/>
    <w:rsid w:val="00AA7072"/>
    <w:rsid w:val="00AA7755"/>
    <w:rsid w:val="00AB1B2B"/>
    <w:rsid w:val="00AB5BAA"/>
    <w:rsid w:val="00AB7CF6"/>
    <w:rsid w:val="00AC44AA"/>
    <w:rsid w:val="00AC60A0"/>
    <w:rsid w:val="00AD5843"/>
    <w:rsid w:val="00AE1CAA"/>
    <w:rsid w:val="00AE327C"/>
    <w:rsid w:val="00AE6E33"/>
    <w:rsid w:val="00AE7FE3"/>
    <w:rsid w:val="00AF0742"/>
    <w:rsid w:val="00AF2E55"/>
    <w:rsid w:val="00AF7E61"/>
    <w:rsid w:val="00B03685"/>
    <w:rsid w:val="00B06DAD"/>
    <w:rsid w:val="00B12DD1"/>
    <w:rsid w:val="00B12EDA"/>
    <w:rsid w:val="00B15A54"/>
    <w:rsid w:val="00B16205"/>
    <w:rsid w:val="00B203FB"/>
    <w:rsid w:val="00B20FFD"/>
    <w:rsid w:val="00B24249"/>
    <w:rsid w:val="00B27F31"/>
    <w:rsid w:val="00B30110"/>
    <w:rsid w:val="00B33471"/>
    <w:rsid w:val="00B35014"/>
    <w:rsid w:val="00B379C9"/>
    <w:rsid w:val="00B4367E"/>
    <w:rsid w:val="00B478C6"/>
    <w:rsid w:val="00B479AE"/>
    <w:rsid w:val="00B56398"/>
    <w:rsid w:val="00B626ED"/>
    <w:rsid w:val="00B6387C"/>
    <w:rsid w:val="00B713D1"/>
    <w:rsid w:val="00B72075"/>
    <w:rsid w:val="00B729A2"/>
    <w:rsid w:val="00B731A7"/>
    <w:rsid w:val="00B7737B"/>
    <w:rsid w:val="00B773B3"/>
    <w:rsid w:val="00B84875"/>
    <w:rsid w:val="00B85B4B"/>
    <w:rsid w:val="00B86BEB"/>
    <w:rsid w:val="00B91811"/>
    <w:rsid w:val="00B93499"/>
    <w:rsid w:val="00B94336"/>
    <w:rsid w:val="00B95EEF"/>
    <w:rsid w:val="00BA69C6"/>
    <w:rsid w:val="00BB2106"/>
    <w:rsid w:val="00BB4E33"/>
    <w:rsid w:val="00BB5D7F"/>
    <w:rsid w:val="00BB7F1D"/>
    <w:rsid w:val="00BB7FED"/>
    <w:rsid w:val="00BC35D7"/>
    <w:rsid w:val="00BC409F"/>
    <w:rsid w:val="00BC6659"/>
    <w:rsid w:val="00BD468A"/>
    <w:rsid w:val="00BE363D"/>
    <w:rsid w:val="00BE68B4"/>
    <w:rsid w:val="00BE6DC3"/>
    <w:rsid w:val="00BF2209"/>
    <w:rsid w:val="00BF49E2"/>
    <w:rsid w:val="00BF7AFF"/>
    <w:rsid w:val="00C01AA5"/>
    <w:rsid w:val="00C02662"/>
    <w:rsid w:val="00C02AF1"/>
    <w:rsid w:val="00C02E56"/>
    <w:rsid w:val="00C038D1"/>
    <w:rsid w:val="00C03D01"/>
    <w:rsid w:val="00C0435E"/>
    <w:rsid w:val="00C05C0F"/>
    <w:rsid w:val="00C116D4"/>
    <w:rsid w:val="00C15FBD"/>
    <w:rsid w:val="00C17C50"/>
    <w:rsid w:val="00C17F97"/>
    <w:rsid w:val="00C2171B"/>
    <w:rsid w:val="00C21E1C"/>
    <w:rsid w:val="00C259A6"/>
    <w:rsid w:val="00C265EA"/>
    <w:rsid w:val="00C26E32"/>
    <w:rsid w:val="00C31088"/>
    <w:rsid w:val="00C327C5"/>
    <w:rsid w:val="00C404A8"/>
    <w:rsid w:val="00C40E07"/>
    <w:rsid w:val="00C45973"/>
    <w:rsid w:val="00C45F39"/>
    <w:rsid w:val="00C54A8A"/>
    <w:rsid w:val="00C6020F"/>
    <w:rsid w:val="00C602DD"/>
    <w:rsid w:val="00C6164E"/>
    <w:rsid w:val="00C61923"/>
    <w:rsid w:val="00C7148C"/>
    <w:rsid w:val="00C72BC8"/>
    <w:rsid w:val="00C7306F"/>
    <w:rsid w:val="00C763A3"/>
    <w:rsid w:val="00C8717F"/>
    <w:rsid w:val="00C9208E"/>
    <w:rsid w:val="00C944CE"/>
    <w:rsid w:val="00C96FF0"/>
    <w:rsid w:val="00C976E8"/>
    <w:rsid w:val="00C97A2B"/>
    <w:rsid w:val="00CA62BB"/>
    <w:rsid w:val="00CB47A6"/>
    <w:rsid w:val="00CB70A5"/>
    <w:rsid w:val="00CB72FB"/>
    <w:rsid w:val="00CC345F"/>
    <w:rsid w:val="00CC3824"/>
    <w:rsid w:val="00CC493C"/>
    <w:rsid w:val="00CC60B0"/>
    <w:rsid w:val="00CC700E"/>
    <w:rsid w:val="00CD70AC"/>
    <w:rsid w:val="00CE32E7"/>
    <w:rsid w:val="00CF0B3D"/>
    <w:rsid w:val="00CF38A5"/>
    <w:rsid w:val="00CF653B"/>
    <w:rsid w:val="00CF6B12"/>
    <w:rsid w:val="00D03114"/>
    <w:rsid w:val="00D10661"/>
    <w:rsid w:val="00D118E7"/>
    <w:rsid w:val="00D16DCD"/>
    <w:rsid w:val="00D210DF"/>
    <w:rsid w:val="00D236DA"/>
    <w:rsid w:val="00D23EEF"/>
    <w:rsid w:val="00D30DCC"/>
    <w:rsid w:val="00D40B82"/>
    <w:rsid w:val="00D44E6A"/>
    <w:rsid w:val="00D47F1A"/>
    <w:rsid w:val="00D5002A"/>
    <w:rsid w:val="00D55355"/>
    <w:rsid w:val="00D61BBA"/>
    <w:rsid w:val="00D6488F"/>
    <w:rsid w:val="00D742F7"/>
    <w:rsid w:val="00D74860"/>
    <w:rsid w:val="00D77309"/>
    <w:rsid w:val="00D8136F"/>
    <w:rsid w:val="00D85DA0"/>
    <w:rsid w:val="00D85DE5"/>
    <w:rsid w:val="00D9131D"/>
    <w:rsid w:val="00D937C0"/>
    <w:rsid w:val="00D96156"/>
    <w:rsid w:val="00DA3149"/>
    <w:rsid w:val="00DA35BC"/>
    <w:rsid w:val="00DA5BD2"/>
    <w:rsid w:val="00DA5CD5"/>
    <w:rsid w:val="00DA652D"/>
    <w:rsid w:val="00DB3651"/>
    <w:rsid w:val="00DB47C7"/>
    <w:rsid w:val="00DB59D0"/>
    <w:rsid w:val="00DB7C85"/>
    <w:rsid w:val="00DC0257"/>
    <w:rsid w:val="00DC132D"/>
    <w:rsid w:val="00DC2E07"/>
    <w:rsid w:val="00DC4029"/>
    <w:rsid w:val="00DC73B5"/>
    <w:rsid w:val="00DC7402"/>
    <w:rsid w:val="00DD18AE"/>
    <w:rsid w:val="00DD477C"/>
    <w:rsid w:val="00DE020D"/>
    <w:rsid w:val="00DE1B8B"/>
    <w:rsid w:val="00DE320A"/>
    <w:rsid w:val="00DE4C3E"/>
    <w:rsid w:val="00DF04EE"/>
    <w:rsid w:val="00DF2BB7"/>
    <w:rsid w:val="00DF557B"/>
    <w:rsid w:val="00DF620E"/>
    <w:rsid w:val="00E03A20"/>
    <w:rsid w:val="00E104AB"/>
    <w:rsid w:val="00E11549"/>
    <w:rsid w:val="00E14443"/>
    <w:rsid w:val="00E16DBB"/>
    <w:rsid w:val="00E17D0D"/>
    <w:rsid w:val="00E24315"/>
    <w:rsid w:val="00E25C32"/>
    <w:rsid w:val="00E32F7F"/>
    <w:rsid w:val="00E33EBD"/>
    <w:rsid w:val="00E362F6"/>
    <w:rsid w:val="00E425D7"/>
    <w:rsid w:val="00E463A9"/>
    <w:rsid w:val="00E5609C"/>
    <w:rsid w:val="00E62BA1"/>
    <w:rsid w:val="00E6464C"/>
    <w:rsid w:val="00E65393"/>
    <w:rsid w:val="00E708A9"/>
    <w:rsid w:val="00E722BE"/>
    <w:rsid w:val="00E83319"/>
    <w:rsid w:val="00E911ED"/>
    <w:rsid w:val="00EA6F05"/>
    <w:rsid w:val="00EB3C5D"/>
    <w:rsid w:val="00EB55F3"/>
    <w:rsid w:val="00EC055E"/>
    <w:rsid w:val="00EC2D0D"/>
    <w:rsid w:val="00ED0EF3"/>
    <w:rsid w:val="00ED5C59"/>
    <w:rsid w:val="00ED653A"/>
    <w:rsid w:val="00ED7FCD"/>
    <w:rsid w:val="00EF738B"/>
    <w:rsid w:val="00EF7A7D"/>
    <w:rsid w:val="00F03B06"/>
    <w:rsid w:val="00F04068"/>
    <w:rsid w:val="00F11E0E"/>
    <w:rsid w:val="00F121E1"/>
    <w:rsid w:val="00F16764"/>
    <w:rsid w:val="00F26D58"/>
    <w:rsid w:val="00F321D8"/>
    <w:rsid w:val="00F32510"/>
    <w:rsid w:val="00F33036"/>
    <w:rsid w:val="00F3494D"/>
    <w:rsid w:val="00F41532"/>
    <w:rsid w:val="00F42636"/>
    <w:rsid w:val="00F446F1"/>
    <w:rsid w:val="00F525F0"/>
    <w:rsid w:val="00F55397"/>
    <w:rsid w:val="00F562B0"/>
    <w:rsid w:val="00F56B2A"/>
    <w:rsid w:val="00F61936"/>
    <w:rsid w:val="00F61BAE"/>
    <w:rsid w:val="00F7128C"/>
    <w:rsid w:val="00F72331"/>
    <w:rsid w:val="00F75FC8"/>
    <w:rsid w:val="00F82263"/>
    <w:rsid w:val="00F84735"/>
    <w:rsid w:val="00F84868"/>
    <w:rsid w:val="00F878DB"/>
    <w:rsid w:val="00F9086D"/>
    <w:rsid w:val="00F91B60"/>
    <w:rsid w:val="00F91BD0"/>
    <w:rsid w:val="00F92631"/>
    <w:rsid w:val="00F92DBF"/>
    <w:rsid w:val="00F933DB"/>
    <w:rsid w:val="00FA1E08"/>
    <w:rsid w:val="00FA4E9F"/>
    <w:rsid w:val="00FB254A"/>
    <w:rsid w:val="00FB6061"/>
    <w:rsid w:val="00FB645D"/>
    <w:rsid w:val="00FC0B22"/>
    <w:rsid w:val="00FC225E"/>
    <w:rsid w:val="00FC2F8D"/>
    <w:rsid w:val="00FC3AFC"/>
    <w:rsid w:val="00FC4C2D"/>
    <w:rsid w:val="00FC4DEB"/>
    <w:rsid w:val="00FC5F58"/>
    <w:rsid w:val="00FD0A24"/>
    <w:rsid w:val="00FD0ED5"/>
    <w:rsid w:val="00FD43E1"/>
    <w:rsid w:val="00FD465B"/>
    <w:rsid w:val="00FD67B7"/>
    <w:rsid w:val="00FD7A10"/>
    <w:rsid w:val="00FE1A1C"/>
    <w:rsid w:val="00FE436D"/>
    <w:rsid w:val="00FE43A5"/>
    <w:rsid w:val="00FE6822"/>
    <w:rsid w:val="00FE79DC"/>
    <w:rsid w:val="00FF1526"/>
    <w:rsid w:val="00FF1907"/>
    <w:rsid w:val="00FF2801"/>
    <w:rsid w:val="00FF3218"/>
    <w:rsid w:val="00FF6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63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1936"/>
    <w:pPr>
      <w:spacing w:after="240"/>
    </w:pPr>
    <w:rPr>
      <w:rFonts w:ascii="Calibri" w:hAnsi="Calibri"/>
      <w:sz w:val="22"/>
      <w:szCs w:val="24"/>
      <w:lang w:eastAsia="en-US"/>
    </w:rPr>
  </w:style>
  <w:style w:type="paragraph" w:styleId="Heading1">
    <w:name w:val="heading 1"/>
    <w:basedOn w:val="Normal"/>
    <w:next w:val="Normal"/>
    <w:uiPriority w:val="1"/>
    <w:qFormat/>
    <w:rsid w:val="00B4367E"/>
    <w:pPr>
      <w:keepNext/>
      <w:spacing w:before="300"/>
      <w:outlineLvl w:val="0"/>
    </w:pPr>
    <w:rPr>
      <w:rFonts w:eastAsia="Times"/>
      <w:b/>
      <w:sz w:val="32"/>
      <w:szCs w:val="20"/>
    </w:rPr>
  </w:style>
  <w:style w:type="paragraph" w:styleId="Heading2">
    <w:name w:val="heading 2"/>
    <w:basedOn w:val="Normal"/>
    <w:next w:val="Normal"/>
    <w:uiPriority w:val="1"/>
    <w:qFormat/>
    <w:rsid w:val="00B4367E"/>
    <w:pPr>
      <w:keepNext/>
      <w:spacing w:before="240" w:after="180"/>
      <w:outlineLvl w:val="1"/>
    </w:pPr>
    <w:rPr>
      <w:rFonts w:cs="Arial"/>
      <w:b/>
      <w:bCs/>
      <w:iCs/>
      <w:sz w:val="26"/>
      <w:szCs w:val="28"/>
    </w:rPr>
  </w:style>
  <w:style w:type="paragraph" w:styleId="Heading3">
    <w:name w:val="heading 3"/>
    <w:basedOn w:val="Normal"/>
    <w:next w:val="Normal"/>
    <w:uiPriority w:val="1"/>
    <w:qFormat/>
    <w:rsid w:val="00B4367E"/>
    <w:pPr>
      <w:keepNext/>
      <w:spacing w:before="240" w:after="120"/>
      <w:outlineLvl w:val="2"/>
    </w:pPr>
    <w:rPr>
      <w:rFonts w:eastAsia="Times"/>
      <w:b/>
      <w:i/>
      <w:szCs w:val="20"/>
    </w:rPr>
  </w:style>
  <w:style w:type="paragraph" w:styleId="Heading4">
    <w:name w:val="heading 4"/>
    <w:basedOn w:val="Normal"/>
    <w:next w:val="Normal"/>
    <w:uiPriority w:val="1"/>
    <w:qFormat/>
    <w:rsid w:val="00B4367E"/>
    <w:pPr>
      <w:keepNext/>
      <w:spacing w:before="240" w:after="120"/>
      <w:outlineLvl w:val="3"/>
    </w:pPr>
    <w:rPr>
      <w:bCs/>
      <w:i/>
      <w:szCs w:val="28"/>
    </w:rPr>
  </w:style>
  <w:style w:type="paragraph" w:styleId="Heading5">
    <w:name w:val="heading 5"/>
    <w:basedOn w:val="Normal"/>
    <w:next w:val="Normal"/>
    <w:uiPriority w:val="1"/>
    <w:qFormat/>
    <w:rsid w:val="00B4367E"/>
    <w:pPr>
      <w:spacing w:before="240" w:after="120"/>
      <w:outlineLvl w:val="4"/>
    </w:pPr>
    <w:rPr>
      <w:b/>
      <w:bCs/>
      <w:iCs/>
      <w:sz w:val="20"/>
      <w:szCs w:val="26"/>
    </w:rPr>
  </w:style>
  <w:style w:type="paragraph" w:styleId="Heading6">
    <w:name w:val="heading 6"/>
    <w:basedOn w:val="Normal"/>
    <w:next w:val="Normal"/>
    <w:uiPriority w:val="1"/>
    <w:pPr>
      <w:keepNext/>
      <w:jc w:val="center"/>
      <w:outlineLvl w:val="5"/>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2"/>
    <w:unhideWhenUsed/>
    <w:rsid w:val="00E722BE"/>
    <w:pPr>
      <w:pBdr>
        <w:bottom w:val="single" w:sz="2" w:space="1" w:color="D0CECE" w:themeColor="background2" w:themeShade="E6"/>
      </w:pBdr>
      <w:tabs>
        <w:tab w:val="center" w:pos="4320"/>
        <w:tab w:val="right" w:pos="8640"/>
      </w:tabs>
      <w:jc w:val="right"/>
    </w:pPr>
    <w:rPr>
      <w:rFonts w:eastAsia="Times"/>
      <w:color w:val="767171" w:themeColor="background2" w:themeShade="80"/>
      <w:szCs w:val="20"/>
    </w:rPr>
  </w:style>
  <w:style w:type="paragraph" w:styleId="Footer">
    <w:name w:val="footer"/>
    <w:basedOn w:val="Normal"/>
    <w:link w:val="FooterChar"/>
    <w:uiPriority w:val="99"/>
    <w:rsid w:val="00480033"/>
    <w:pPr>
      <w:tabs>
        <w:tab w:val="center" w:pos="4320"/>
        <w:tab w:val="right" w:pos="8640"/>
      </w:tabs>
    </w:pPr>
    <w:rPr>
      <w:rFonts w:eastAsia="Times"/>
      <w:szCs w:val="20"/>
    </w:rPr>
  </w:style>
  <w:style w:type="character" w:styleId="PageNumber">
    <w:name w:val="page number"/>
    <w:basedOn w:val="DefaultParagraphFont"/>
    <w:semiHidden/>
  </w:style>
  <w:style w:type="paragraph" w:styleId="TOC1">
    <w:name w:val="toc 1"/>
    <w:basedOn w:val="Normal"/>
    <w:next w:val="Normal"/>
    <w:autoRedefine/>
    <w:uiPriority w:val="39"/>
    <w:rsid w:val="00045A23"/>
    <w:pPr>
      <w:tabs>
        <w:tab w:val="right" w:leader="dot" w:pos="8726"/>
        <w:tab w:val="right" w:pos="8789"/>
      </w:tabs>
      <w:spacing w:before="180" w:after="120"/>
      <w:ind w:right="-55"/>
      <w:jc w:val="both"/>
    </w:pPr>
    <w:rPr>
      <w:rFonts w:eastAsia="Times" w:cs="Arial"/>
      <w:b/>
      <w:bCs/>
      <w:noProof/>
      <w:sz w:val="24"/>
      <w:szCs w:val="20"/>
    </w:rPr>
  </w:style>
  <w:style w:type="paragraph" w:styleId="Title">
    <w:name w:val="Title"/>
    <w:basedOn w:val="Heading1"/>
    <w:next w:val="Normal"/>
    <w:link w:val="TitleChar"/>
    <w:uiPriority w:val="10"/>
    <w:qFormat/>
    <w:rsid w:val="00B4367E"/>
    <w:pPr>
      <w:jc w:val="right"/>
    </w:pPr>
    <w:rPr>
      <w:sz w:val="48"/>
    </w:rPr>
  </w:style>
  <w:style w:type="character" w:customStyle="1" w:styleId="TitleChar">
    <w:name w:val="Title Char"/>
    <w:link w:val="Title"/>
    <w:uiPriority w:val="10"/>
    <w:rsid w:val="00B4367E"/>
    <w:rPr>
      <w:rFonts w:ascii="Calibri" w:eastAsia="Times" w:hAnsi="Calibri"/>
      <w:b/>
      <w:sz w:val="48"/>
      <w:lang w:eastAsia="en-US"/>
    </w:rPr>
  </w:style>
  <w:style w:type="paragraph" w:styleId="Subtitle">
    <w:name w:val="Subtitle"/>
    <w:basedOn w:val="Heading6"/>
    <w:next w:val="Normal"/>
    <w:link w:val="SubtitleChar"/>
    <w:uiPriority w:val="11"/>
    <w:qFormat/>
    <w:rsid w:val="00F933DB"/>
    <w:pPr>
      <w:jc w:val="right"/>
    </w:pPr>
    <w:rPr>
      <w:rFonts w:ascii="Calibri" w:hAnsi="Calibri"/>
      <w:color w:val="808080"/>
      <w:sz w:val="32"/>
    </w:rPr>
  </w:style>
  <w:style w:type="character" w:customStyle="1" w:styleId="SubtitleChar">
    <w:name w:val="Subtitle Char"/>
    <w:link w:val="Subtitle"/>
    <w:uiPriority w:val="11"/>
    <w:rsid w:val="00F933DB"/>
    <w:rPr>
      <w:rFonts w:ascii="Calibri" w:hAnsi="Calibri"/>
      <w:b/>
      <w:color w:val="808080"/>
      <w:sz w:val="32"/>
      <w:lang w:eastAsia="en-US"/>
    </w:rPr>
  </w:style>
  <w:style w:type="paragraph" w:customStyle="1" w:styleId="Contentsheading">
    <w:name w:val="Contents heading"/>
    <w:basedOn w:val="Heading2"/>
    <w:uiPriority w:val="2"/>
    <w:qFormat/>
    <w:rsid w:val="00B4367E"/>
    <w:pPr>
      <w:spacing w:before="360" w:after="240"/>
      <w:jc w:val="center"/>
    </w:pPr>
    <w:rPr>
      <w:sz w:val="32"/>
    </w:rPr>
  </w:style>
  <w:style w:type="character" w:customStyle="1" w:styleId="FooterChar">
    <w:name w:val="Footer Char"/>
    <w:link w:val="Footer"/>
    <w:uiPriority w:val="99"/>
    <w:rsid w:val="00480033"/>
    <w:rPr>
      <w:rFonts w:ascii="Calibri" w:eastAsia="Times" w:hAnsi="Calibri"/>
      <w:sz w:val="22"/>
      <w:lang w:eastAsia="en-US"/>
    </w:rPr>
  </w:style>
  <w:style w:type="paragraph" w:styleId="Quote">
    <w:name w:val="Quote"/>
    <w:basedOn w:val="Normal"/>
    <w:next w:val="Normal"/>
    <w:link w:val="QuoteChar"/>
    <w:uiPriority w:val="29"/>
    <w:qFormat/>
    <w:rsid w:val="00480033"/>
    <w:pPr>
      <w:spacing w:before="240"/>
      <w:ind w:left="862" w:right="862"/>
    </w:pPr>
    <w:rPr>
      <w:iCs/>
      <w:color w:val="404040"/>
    </w:rPr>
  </w:style>
  <w:style w:type="character" w:customStyle="1" w:styleId="QuoteChar">
    <w:name w:val="Quote Char"/>
    <w:link w:val="Quote"/>
    <w:uiPriority w:val="29"/>
    <w:rsid w:val="00480033"/>
    <w:rPr>
      <w:rFonts w:ascii="Calibri" w:hAnsi="Calibri"/>
      <w:iCs/>
      <w:color w:val="404040"/>
      <w:sz w:val="22"/>
      <w:szCs w:val="24"/>
      <w:lang w:eastAsia="en-US"/>
    </w:rPr>
  </w:style>
  <w:style w:type="paragraph" w:styleId="TOC2">
    <w:name w:val="toc 2"/>
    <w:basedOn w:val="Normal"/>
    <w:next w:val="Normal"/>
    <w:autoRedefine/>
    <w:uiPriority w:val="39"/>
    <w:unhideWhenUsed/>
    <w:rsid w:val="00045A23"/>
    <w:pPr>
      <w:spacing w:before="120" w:after="60"/>
    </w:pPr>
  </w:style>
  <w:style w:type="paragraph" w:styleId="TOC3">
    <w:name w:val="toc 3"/>
    <w:basedOn w:val="Normal"/>
    <w:next w:val="Normal"/>
    <w:autoRedefine/>
    <w:uiPriority w:val="39"/>
    <w:unhideWhenUsed/>
    <w:rsid w:val="00045A23"/>
    <w:pPr>
      <w:tabs>
        <w:tab w:val="right" w:leader="dot" w:pos="8724"/>
      </w:tabs>
      <w:spacing w:before="60" w:after="60"/>
      <w:ind w:left="170"/>
    </w:pPr>
  </w:style>
  <w:style w:type="character" w:styleId="Hyperlink">
    <w:name w:val="Hyperlink"/>
    <w:uiPriority w:val="99"/>
    <w:unhideWhenUsed/>
    <w:rsid w:val="00045A23"/>
    <w:rPr>
      <w:color w:val="0563C1"/>
      <w:u w:val="single"/>
    </w:rPr>
  </w:style>
  <w:style w:type="paragraph" w:customStyle="1" w:styleId="Bullets">
    <w:name w:val="Bullets"/>
    <w:basedOn w:val="Normal"/>
    <w:qFormat/>
    <w:rsid w:val="00F933DB"/>
    <w:pPr>
      <w:numPr>
        <w:numId w:val="1"/>
      </w:numPr>
      <w:spacing w:before="120" w:after="0"/>
      <w:ind w:left="567" w:hanging="425"/>
    </w:pPr>
    <w:rPr>
      <w:rFonts w:cs="Arial"/>
      <w:szCs w:val="22"/>
    </w:rPr>
  </w:style>
  <w:style w:type="paragraph" w:styleId="ListParagraph">
    <w:name w:val="List Paragraph"/>
    <w:basedOn w:val="Normal"/>
    <w:uiPriority w:val="34"/>
    <w:rsid w:val="008870A2"/>
    <w:pPr>
      <w:ind w:left="720"/>
      <w:contextualSpacing/>
    </w:pPr>
  </w:style>
  <w:style w:type="character" w:styleId="Strong">
    <w:name w:val="Strong"/>
    <w:basedOn w:val="DefaultParagraphFont"/>
    <w:uiPriority w:val="22"/>
    <w:qFormat/>
    <w:rsid w:val="00F92DBF"/>
    <w:rPr>
      <w:b/>
      <w:bCs/>
    </w:rPr>
  </w:style>
  <w:style w:type="paragraph" w:styleId="FootnoteText">
    <w:name w:val="footnote text"/>
    <w:basedOn w:val="Normal"/>
    <w:link w:val="FootnoteTextChar"/>
    <w:uiPriority w:val="99"/>
    <w:semiHidden/>
    <w:unhideWhenUsed/>
    <w:rsid w:val="00122039"/>
    <w:pPr>
      <w:spacing w:after="0"/>
    </w:pPr>
    <w:rPr>
      <w:sz w:val="20"/>
      <w:szCs w:val="20"/>
    </w:rPr>
  </w:style>
  <w:style w:type="character" w:customStyle="1" w:styleId="FootnoteTextChar">
    <w:name w:val="Footnote Text Char"/>
    <w:basedOn w:val="DefaultParagraphFont"/>
    <w:link w:val="FootnoteText"/>
    <w:uiPriority w:val="99"/>
    <w:semiHidden/>
    <w:rsid w:val="00122039"/>
    <w:rPr>
      <w:rFonts w:ascii="Calibri" w:hAnsi="Calibri"/>
      <w:lang w:eastAsia="en-US"/>
    </w:rPr>
  </w:style>
  <w:style w:type="character" w:styleId="FootnoteReference">
    <w:name w:val="footnote reference"/>
    <w:basedOn w:val="DefaultParagraphFont"/>
    <w:uiPriority w:val="99"/>
    <w:semiHidden/>
    <w:unhideWhenUsed/>
    <w:rsid w:val="00122039"/>
    <w:rPr>
      <w:vertAlign w:val="superscript"/>
    </w:rPr>
  </w:style>
  <w:style w:type="paragraph" w:customStyle="1" w:styleId="paragraph">
    <w:name w:val="paragraph"/>
    <w:basedOn w:val="Normal"/>
    <w:rsid w:val="00984352"/>
    <w:pPr>
      <w:spacing w:before="100" w:beforeAutospacing="1" w:after="100" w:afterAutospacing="1"/>
    </w:pPr>
    <w:rPr>
      <w:rFonts w:ascii="Times New Roman" w:hAnsi="Times New Roman"/>
      <w:sz w:val="24"/>
      <w:lang w:eastAsia="en-AU"/>
    </w:rPr>
  </w:style>
  <w:style w:type="paragraph" w:customStyle="1" w:styleId="paragraphsub">
    <w:name w:val="paragraphsub"/>
    <w:basedOn w:val="Normal"/>
    <w:rsid w:val="00984352"/>
    <w:pPr>
      <w:spacing w:before="100" w:beforeAutospacing="1" w:after="100" w:afterAutospacing="1"/>
    </w:pPr>
    <w:rPr>
      <w:rFonts w:ascii="Times New Roman" w:hAnsi="Times New Roman"/>
      <w:sz w:val="24"/>
      <w:lang w:eastAsia="en-AU"/>
    </w:rPr>
  </w:style>
  <w:style w:type="character" w:styleId="CommentReference">
    <w:name w:val="annotation reference"/>
    <w:basedOn w:val="DefaultParagraphFont"/>
    <w:uiPriority w:val="99"/>
    <w:semiHidden/>
    <w:unhideWhenUsed/>
    <w:rsid w:val="00B20FFD"/>
    <w:rPr>
      <w:sz w:val="16"/>
      <w:szCs w:val="16"/>
    </w:rPr>
  </w:style>
  <w:style w:type="paragraph" w:styleId="CommentText">
    <w:name w:val="annotation text"/>
    <w:basedOn w:val="Normal"/>
    <w:link w:val="CommentTextChar"/>
    <w:uiPriority w:val="99"/>
    <w:semiHidden/>
    <w:unhideWhenUsed/>
    <w:rsid w:val="00B20FFD"/>
    <w:rPr>
      <w:sz w:val="20"/>
      <w:szCs w:val="20"/>
    </w:rPr>
  </w:style>
  <w:style w:type="character" w:customStyle="1" w:styleId="CommentTextChar">
    <w:name w:val="Comment Text Char"/>
    <w:basedOn w:val="DefaultParagraphFont"/>
    <w:link w:val="CommentText"/>
    <w:uiPriority w:val="99"/>
    <w:semiHidden/>
    <w:rsid w:val="00B20FFD"/>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B20FFD"/>
    <w:rPr>
      <w:b/>
      <w:bCs/>
    </w:rPr>
  </w:style>
  <w:style w:type="character" w:customStyle="1" w:styleId="CommentSubjectChar">
    <w:name w:val="Comment Subject Char"/>
    <w:basedOn w:val="CommentTextChar"/>
    <w:link w:val="CommentSubject"/>
    <w:uiPriority w:val="99"/>
    <w:semiHidden/>
    <w:rsid w:val="00B20FFD"/>
    <w:rPr>
      <w:rFonts w:ascii="Calibri" w:hAnsi="Calibri"/>
      <w:b/>
      <w:bCs/>
      <w:lang w:eastAsia="en-US"/>
    </w:rPr>
  </w:style>
  <w:style w:type="paragraph" w:styleId="BalloonText">
    <w:name w:val="Balloon Text"/>
    <w:basedOn w:val="Normal"/>
    <w:link w:val="BalloonTextChar"/>
    <w:uiPriority w:val="99"/>
    <w:semiHidden/>
    <w:unhideWhenUsed/>
    <w:rsid w:val="00B20F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FD"/>
    <w:rPr>
      <w:rFonts w:ascii="Segoe UI" w:hAnsi="Segoe UI" w:cs="Segoe UI"/>
      <w:sz w:val="18"/>
      <w:szCs w:val="18"/>
      <w:lang w:eastAsia="en-US"/>
    </w:rPr>
  </w:style>
  <w:style w:type="paragraph" w:styleId="NormalWeb">
    <w:name w:val="Normal (Web)"/>
    <w:basedOn w:val="Normal"/>
    <w:uiPriority w:val="99"/>
    <w:semiHidden/>
    <w:unhideWhenUsed/>
    <w:rsid w:val="003860BC"/>
    <w:pPr>
      <w:spacing w:before="100" w:beforeAutospacing="1" w:after="100" w:afterAutospacing="1"/>
    </w:pPr>
    <w:rPr>
      <w:rFonts w:ascii="Times New Roman" w:hAnsi="Times New Roman"/>
      <w:sz w:val="24"/>
      <w:lang w:eastAsia="en-AU"/>
    </w:rPr>
  </w:style>
  <w:style w:type="character" w:styleId="HTMLCite">
    <w:name w:val="HTML Cite"/>
    <w:basedOn w:val="DefaultParagraphFont"/>
    <w:uiPriority w:val="99"/>
    <w:semiHidden/>
    <w:unhideWhenUsed/>
    <w:rsid w:val="00777090"/>
    <w:rPr>
      <w:i/>
      <w:iCs/>
    </w:rPr>
  </w:style>
  <w:style w:type="character" w:styleId="FollowedHyperlink">
    <w:name w:val="FollowedHyperlink"/>
    <w:basedOn w:val="DefaultParagraphFont"/>
    <w:uiPriority w:val="99"/>
    <w:semiHidden/>
    <w:unhideWhenUsed/>
    <w:rsid w:val="00347E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1936"/>
    <w:pPr>
      <w:spacing w:after="240"/>
    </w:pPr>
    <w:rPr>
      <w:rFonts w:ascii="Calibri" w:hAnsi="Calibri"/>
      <w:sz w:val="22"/>
      <w:szCs w:val="24"/>
      <w:lang w:eastAsia="en-US"/>
    </w:rPr>
  </w:style>
  <w:style w:type="paragraph" w:styleId="Heading1">
    <w:name w:val="heading 1"/>
    <w:basedOn w:val="Normal"/>
    <w:next w:val="Normal"/>
    <w:uiPriority w:val="1"/>
    <w:qFormat/>
    <w:rsid w:val="00B4367E"/>
    <w:pPr>
      <w:keepNext/>
      <w:spacing w:before="300"/>
      <w:outlineLvl w:val="0"/>
    </w:pPr>
    <w:rPr>
      <w:rFonts w:eastAsia="Times"/>
      <w:b/>
      <w:sz w:val="32"/>
      <w:szCs w:val="20"/>
    </w:rPr>
  </w:style>
  <w:style w:type="paragraph" w:styleId="Heading2">
    <w:name w:val="heading 2"/>
    <w:basedOn w:val="Normal"/>
    <w:next w:val="Normal"/>
    <w:uiPriority w:val="1"/>
    <w:qFormat/>
    <w:rsid w:val="00B4367E"/>
    <w:pPr>
      <w:keepNext/>
      <w:spacing w:before="240" w:after="180"/>
      <w:outlineLvl w:val="1"/>
    </w:pPr>
    <w:rPr>
      <w:rFonts w:cs="Arial"/>
      <w:b/>
      <w:bCs/>
      <w:iCs/>
      <w:sz w:val="26"/>
      <w:szCs w:val="28"/>
    </w:rPr>
  </w:style>
  <w:style w:type="paragraph" w:styleId="Heading3">
    <w:name w:val="heading 3"/>
    <w:basedOn w:val="Normal"/>
    <w:next w:val="Normal"/>
    <w:uiPriority w:val="1"/>
    <w:qFormat/>
    <w:rsid w:val="00B4367E"/>
    <w:pPr>
      <w:keepNext/>
      <w:spacing w:before="240" w:after="120"/>
      <w:outlineLvl w:val="2"/>
    </w:pPr>
    <w:rPr>
      <w:rFonts w:eastAsia="Times"/>
      <w:b/>
      <w:i/>
      <w:szCs w:val="20"/>
    </w:rPr>
  </w:style>
  <w:style w:type="paragraph" w:styleId="Heading4">
    <w:name w:val="heading 4"/>
    <w:basedOn w:val="Normal"/>
    <w:next w:val="Normal"/>
    <w:uiPriority w:val="1"/>
    <w:qFormat/>
    <w:rsid w:val="00B4367E"/>
    <w:pPr>
      <w:keepNext/>
      <w:spacing w:before="240" w:after="120"/>
      <w:outlineLvl w:val="3"/>
    </w:pPr>
    <w:rPr>
      <w:bCs/>
      <w:i/>
      <w:szCs w:val="28"/>
    </w:rPr>
  </w:style>
  <w:style w:type="paragraph" w:styleId="Heading5">
    <w:name w:val="heading 5"/>
    <w:basedOn w:val="Normal"/>
    <w:next w:val="Normal"/>
    <w:uiPriority w:val="1"/>
    <w:qFormat/>
    <w:rsid w:val="00B4367E"/>
    <w:pPr>
      <w:spacing w:before="240" w:after="120"/>
      <w:outlineLvl w:val="4"/>
    </w:pPr>
    <w:rPr>
      <w:b/>
      <w:bCs/>
      <w:iCs/>
      <w:sz w:val="20"/>
      <w:szCs w:val="26"/>
    </w:rPr>
  </w:style>
  <w:style w:type="paragraph" w:styleId="Heading6">
    <w:name w:val="heading 6"/>
    <w:basedOn w:val="Normal"/>
    <w:next w:val="Normal"/>
    <w:uiPriority w:val="1"/>
    <w:pPr>
      <w:keepNext/>
      <w:jc w:val="center"/>
      <w:outlineLvl w:val="5"/>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2"/>
    <w:unhideWhenUsed/>
    <w:rsid w:val="00E722BE"/>
    <w:pPr>
      <w:pBdr>
        <w:bottom w:val="single" w:sz="2" w:space="1" w:color="D0CECE" w:themeColor="background2" w:themeShade="E6"/>
      </w:pBdr>
      <w:tabs>
        <w:tab w:val="center" w:pos="4320"/>
        <w:tab w:val="right" w:pos="8640"/>
      </w:tabs>
      <w:jc w:val="right"/>
    </w:pPr>
    <w:rPr>
      <w:rFonts w:eastAsia="Times"/>
      <w:color w:val="767171" w:themeColor="background2" w:themeShade="80"/>
      <w:szCs w:val="20"/>
    </w:rPr>
  </w:style>
  <w:style w:type="paragraph" w:styleId="Footer">
    <w:name w:val="footer"/>
    <w:basedOn w:val="Normal"/>
    <w:link w:val="FooterChar"/>
    <w:uiPriority w:val="99"/>
    <w:rsid w:val="00480033"/>
    <w:pPr>
      <w:tabs>
        <w:tab w:val="center" w:pos="4320"/>
        <w:tab w:val="right" w:pos="8640"/>
      </w:tabs>
    </w:pPr>
    <w:rPr>
      <w:rFonts w:eastAsia="Times"/>
      <w:szCs w:val="20"/>
    </w:rPr>
  </w:style>
  <w:style w:type="character" w:styleId="PageNumber">
    <w:name w:val="page number"/>
    <w:basedOn w:val="DefaultParagraphFont"/>
    <w:semiHidden/>
  </w:style>
  <w:style w:type="paragraph" w:styleId="TOC1">
    <w:name w:val="toc 1"/>
    <w:basedOn w:val="Normal"/>
    <w:next w:val="Normal"/>
    <w:autoRedefine/>
    <w:uiPriority w:val="39"/>
    <w:rsid w:val="00045A23"/>
    <w:pPr>
      <w:tabs>
        <w:tab w:val="right" w:leader="dot" w:pos="8726"/>
        <w:tab w:val="right" w:pos="8789"/>
      </w:tabs>
      <w:spacing w:before="180" w:after="120"/>
      <w:ind w:right="-55"/>
      <w:jc w:val="both"/>
    </w:pPr>
    <w:rPr>
      <w:rFonts w:eastAsia="Times" w:cs="Arial"/>
      <w:b/>
      <w:bCs/>
      <w:noProof/>
      <w:sz w:val="24"/>
      <w:szCs w:val="20"/>
    </w:rPr>
  </w:style>
  <w:style w:type="paragraph" w:styleId="Title">
    <w:name w:val="Title"/>
    <w:basedOn w:val="Heading1"/>
    <w:next w:val="Normal"/>
    <w:link w:val="TitleChar"/>
    <w:uiPriority w:val="10"/>
    <w:qFormat/>
    <w:rsid w:val="00B4367E"/>
    <w:pPr>
      <w:jc w:val="right"/>
    </w:pPr>
    <w:rPr>
      <w:sz w:val="48"/>
    </w:rPr>
  </w:style>
  <w:style w:type="character" w:customStyle="1" w:styleId="TitleChar">
    <w:name w:val="Title Char"/>
    <w:link w:val="Title"/>
    <w:uiPriority w:val="10"/>
    <w:rsid w:val="00B4367E"/>
    <w:rPr>
      <w:rFonts w:ascii="Calibri" w:eastAsia="Times" w:hAnsi="Calibri"/>
      <w:b/>
      <w:sz w:val="48"/>
      <w:lang w:eastAsia="en-US"/>
    </w:rPr>
  </w:style>
  <w:style w:type="paragraph" w:styleId="Subtitle">
    <w:name w:val="Subtitle"/>
    <w:basedOn w:val="Heading6"/>
    <w:next w:val="Normal"/>
    <w:link w:val="SubtitleChar"/>
    <w:uiPriority w:val="11"/>
    <w:qFormat/>
    <w:rsid w:val="00F933DB"/>
    <w:pPr>
      <w:jc w:val="right"/>
    </w:pPr>
    <w:rPr>
      <w:rFonts w:ascii="Calibri" w:hAnsi="Calibri"/>
      <w:color w:val="808080"/>
      <w:sz w:val="32"/>
    </w:rPr>
  </w:style>
  <w:style w:type="character" w:customStyle="1" w:styleId="SubtitleChar">
    <w:name w:val="Subtitle Char"/>
    <w:link w:val="Subtitle"/>
    <w:uiPriority w:val="11"/>
    <w:rsid w:val="00F933DB"/>
    <w:rPr>
      <w:rFonts w:ascii="Calibri" w:hAnsi="Calibri"/>
      <w:b/>
      <w:color w:val="808080"/>
      <w:sz w:val="32"/>
      <w:lang w:eastAsia="en-US"/>
    </w:rPr>
  </w:style>
  <w:style w:type="paragraph" w:customStyle="1" w:styleId="Contentsheading">
    <w:name w:val="Contents heading"/>
    <w:basedOn w:val="Heading2"/>
    <w:uiPriority w:val="2"/>
    <w:qFormat/>
    <w:rsid w:val="00B4367E"/>
    <w:pPr>
      <w:spacing w:before="360" w:after="240"/>
      <w:jc w:val="center"/>
    </w:pPr>
    <w:rPr>
      <w:sz w:val="32"/>
    </w:rPr>
  </w:style>
  <w:style w:type="character" w:customStyle="1" w:styleId="FooterChar">
    <w:name w:val="Footer Char"/>
    <w:link w:val="Footer"/>
    <w:uiPriority w:val="99"/>
    <w:rsid w:val="00480033"/>
    <w:rPr>
      <w:rFonts w:ascii="Calibri" w:eastAsia="Times" w:hAnsi="Calibri"/>
      <w:sz w:val="22"/>
      <w:lang w:eastAsia="en-US"/>
    </w:rPr>
  </w:style>
  <w:style w:type="paragraph" w:styleId="Quote">
    <w:name w:val="Quote"/>
    <w:basedOn w:val="Normal"/>
    <w:next w:val="Normal"/>
    <w:link w:val="QuoteChar"/>
    <w:uiPriority w:val="29"/>
    <w:qFormat/>
    <w:rsid w:val="00480033"/>
    <w:pPr>
      <w:spacing w:before="240"/>
      <w:ind w:left="862" w:right="862"/>
    </w:pPr>
    <w:rPr>
      <w:iCs/>
      <w:color w:val="404040"/>
    </w:rPr>
  </w:style>
  <w:style w:type="character" w:customStyle="1" w:styleId="QuoteChar">
    <w:name w:val="Quote Char"/>
    <w:link w:val="Quote"/>
    <w:uiPriority w:val="29"/>
    <w:rsid w:val="00480033"/>
    <w:rPr>
      <w:rFonts w:ascii="Calibri" w:hAnsi="Calibri"/>
      <w:iCs/>
      <w:color w:val="404040"/>
      <w:sz w:val="22"/>
      <w:szCs w:val="24"/>
      <w:lang w:eastAsia="en-US"/>
    </w:rPr>
  </w:style>
  <w:style w:type="paragraph" w:styleId="TOC2">
    <w:name w:val="toc 2"/>
    <w:basedOn w:val="Normal"/>
    <w:next w:val="Normal"/>
    <w:autoRedefine/>
    <w:uiPriority w:val="39"/>
    <w:unhideWhenUsed/>
    <w:rsid w:val="00045A23"/>
    <w:pPr>
      <w:spacing w:before="120" w:after="60"/>
    </w:pPr>
  </w:style>
  <w:style w:type="paragraph" w:styleId="TOC3">
    <w:name w:val="toc 3"/>
    <w:basedOn w:val="Normal"/>
    <w:next w:val="Normal"/>
    <w:autoRedefine/>
    <w:uiPriority w:val="39"/>
    <w:unhideWhenUsed/>
    <w:rsid w:val="00045A23"/>
    <w:pPr>
      <w:tabs>
        <w:tab w:val="right" w:leader="dot" w:pos="8724"/>
      </w:tabs>
      <w:spacing w:before="60" w:after="60"/>
      <w:ind w:left="170"/>
    </w:pPr>
  </w:style>
  <w:style w:type="character" w:styleId="Hyperlink">
    <w:name w:val="Hyperlink"/>
    <w:uiPriority w:val="99"/>
    <w:unhideWhenUsed/>
    <w:rsid w:val="00045A23"/>
    <w:rPr>
      <w:color w:val="0563C1"/>
      <w:u w:val="single"/>
    </w:rPr>
  </w:style>
  <w:style w:type="paragraph" w:customStyle="1" w:styleId="Bullets">
    <w:name w:val="Bullets"/>
    <w:basedOn w:val="Normal"/>
    <w:qFormat/>
    <w:rsid w:val="00F933DB"/>
    <w:pPr>
      <w:numPr>
        <w:numId w:val="1"/>
      </w:numPr>
      <w:spacing w:before="120" w:after="0"/>
      <w:ind w:left="567" w:hanging="425"/>
    </w:pPr>
    <w:rPr>
      <w:rFonts w:cs="Arial"/>
      <w:szCs w:val="22"/>
    </w:rPr>
  </w:style>
  <w:style w:type="paragraph" w:styleId="ListParagraph">
    <w:name w:val="List Paragraph"/>
    <w:basedOn w:val="Normal"/>
    <w:uiPriority w:val="34"/>
    <w:rsid w:val="008870A2"/>
    <w:pPr>
      <w:ind w:left="720"/>
      <w:contextualSpacing/>
    </w:pPr>
  </w:style>
  <w:style w:type="character" w:styleId="Strong">
    <w:name w:val="Strong"/>
    <w:basedOn w:val="DefaultParagraphFont"/>
    <w:uiPriority w:val="22"/>
    <w:qFormat/>
    <w:rsid w:val="00F92DBF"/>
    <w:rPr>
      <w:b/>
      <w:bCs/>
    </w:rPr>
  </w:style>
  <w:style w:type="paragraph" w:styleId="FootnoteText">
    <w:name w:val="footnote text"/>
    <w:basedOn w:val="Normal"/>
    <w:link w:val="FootnoteTextChar"/>
    <w:uiPriority w:val="99"/>
    <w:semiHidden/>
    <w:unhideWhenUsed/>
    <w:rsid w:val="00122039"/>
    <w:pPr>
      <w:spacing w:after="0"/>
    </w:pPr>
    <w:rPr>
      <w:sz w:val="20"/>
      <w:szCs w:val="20"/>
    </w:rPr>
  </w:style>
  <w:style w:type="character" w:customStyle="1" w:styleId="FootnoteTextChar">
    <w:name w:val="Footnote Text Char"/>
    <w:basedOn w:val="DefaultParagraphFont"/>
    <w:link w:val="FootnoteText"/>
    <w:uiPriority w:val="99"/>
    <w:semiHidden/>
    <w:rsid w:val="00122039"/>
    <w:rPr>
      <w:rFonts w:ascii="Calibri" w:hAnsi="Calibri"/>
      <w:lang w:eastAsia="en-US"/>
    </w:rPr>
  </w:style>
  <w:style w:type="character" w:styleId="FootnoteReference">
    <w:name w:val="footnote reference"/>
    <w:basedOn w:val="DefaultParagraphFont"/>
    <w:uiPriority w:val="99"/>
    <w:semiHidden/>
    <w:unhideWhenUsed/>
    <w:rsid w:val="00122039"/>
    <w:rPr>
      <w:vertAlign w:val="superscript"/>
    </w:rPr>
  </w:style>
  <w:style w:type="paragraph" w:customStyle="1" w:styleId="paragraph">
    <w:name w:val="paragraph"/>
    <w:basedOn w:val="Normal"/>
    <w:rsid w:val="00984352"/>
    <w:pPr>
      <w:spacing w:before="100" w:beforeAutospacing="1" w:after="100" w:afterAutospacing="1"/>
    </w:pPr>
    <w:rPr>
      <w:rFonts w:ascii="Times New Roman" w:hAnsi="Times New Roman"/>
      <w:sz w:val="24"/>
      <w:lang w:eastAsia="en-AU"/>
    </w:rPr>
  </w:style>
  <w:style w:type="paragraph" w:customStyle="1" w:styleId="paragraphsub">
    <w:name w:val="paragraphsub"/>
    <w:basedOn w:val="Normal"/>
    <w:rsid w:val="00984352"/>
    <w:pPr>
      <w:spacing w:before="100" w:beforeAutospacing="1" w:after="100" w:afterAutospacing="1"/>
    </w:pPr>
    <w:rPr>
      <w:rFonts w:ascii="Times New Roman" w:hAnsi="Times New Roman"/>
      <w:sz w:val="24"/>
      <w:lang w:eastAsia="en-AU"/>
    </w:rPr>
  </w:style>
  <w:style w:type="character" w:styleId="CommentReference">
    <w:name w:val="annotation reference"/>
    <w:basedOn w:val="DefaultParagraphFont"/>
    <w:uiPriority w:val="99"/>
    <w:semiHidden/>
    <w:unhideWhenUsed/>
    <w:rsid w:val="00B20FFD"/>
    <w:rPr>
      <w:sz w:val="16"/>
      <w:szCs w:val="16"/>
    </w:rPr>
  </w:style>
  <w:style w:type="paragraph" w:styleId="CommentText">
    <w:name w:val="annotation text"/>
    <w:basedOn w:val="Normal"/>
    <w:link w:val="CommentTextChar"/>
    <w:uiPriority w:val="99"/>
    <w:semiHidden/>
    <w:unhideWhenUsed/>
    <w:rsid w:val="00B20FFD"/>
    <w:rPr>
      <w:sz w:val="20"/>
      <w:szCs w:val="20"/>
    </w:rPr>
  </w:style>
  <w:style w:type="character" w:customStyle="1" w:styleId="CommentTextChar">
    <w:name w:val="Comment Text Char"/>
    <w:basedOn w:val="DefaultParagraphFont"/>
    <w:link w:val="CommentText"/>
    <w:uiPriority w:val="99"/>
    <w:semiHidden/>
    <w:rsid w:val="00B20FFD"/>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B20FFD"/>
    <w:rPr>
      <w:b/>
      <w:bCs/>
    </w:rPr>
  </w:style>
  <w:style w:type="character" w:customStyle="1" w:styleId="CommentSubjectChar">
    <w:name w:val="Comment Subject Char"/>
    <w:basedOn w:val="CommentTextChar"/>
    <w:link w:val="CommentSubject"/>
    <w:uiPriority w:val="99"/>
    <w:semiHidden/>
    <w:rsid w:val="00B20FFD"/>
    <w:rPr>
      <w:rFonts w:ascii="Calibri" w:hAnsi="Calibri"/>
      <w:b/>
      <w:bCs/>
      <w:lang w:eastAsia="en-US"/>
    </w:rPr>
  </w:style>
  <w:style w:type="paragraph" w:styleId="BalloonText">
    <w:name w:val="Balloon Text"/>
    <w:basedOn w:val="Normal"/>
    <w:link w:val="BalloonTextChar"/>
    <w:uiPriority w:val="99"/>
    <w:semiHidden/>
    <w:unhideWhenUsed/>
    <w:rsid w:val="00B20F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FD"/>
    <w:rPr>
      <w:rFonts w:ascii="Segoe UI" w:hAnsi="Segoe UI" w:cs="Segoe UI"/>
      <w:sz w:val="18"/>
      <w:szCs w:val="18"/>
      <w:lang w:eastAsia="en-US"/>
    </w:rPr>
  </w:style>
  <w:style w:type="paragraph" w:styleId="NormalWeb">
    <w:name w:val="Normal (Web)"/>
    <w:basedOn w:val="Normal"/>
    <w:uiPriority w:val="99"/>
    <w:semiHidden/>
    <w:unhideWhenUsed/>
    <w:rsid w:val="003860BC"/>
    <w:pPr>
      <w:spacing w:before="100" w:beforeAutospacing="1" w:after="100" w:afterAutospacing="1"/>
    </w:pPr>
    <w:rPr>
      <w:rFonts w:ascii="Times New Roman" w:hAnsi="Times New Roman"/>
      <w:sz w:val="24"/>
      <w:lang w:eastAsia="en-AU"/>
    </w:rPr>
  </w:style>
  <w:style w:type="character" w:styleId="HTMLCite">
    <w:name w:val="HTML Cite"/>
    <w:basedOn w:val="DefaultParagraphFont"/>
    <w:uiPriority w:val="99"/>
    <w:semiHidden/>
    <w:unhideWhenUsed/>
    <w:rsid w:val="00777090"/>
    <w:rPr>
      <w:i/>
      <w:iCs/>
    </w:rPr>
  </w:style>
  <w:style w:type="character" w:styleId="FollowedHyperlink">
    <w:name w:val="FollowedHyperlink"/>
    <w:basedOn w:val="DefaultParagraphFont"/>
    <w:uiPriority w:val="99"/>
    <w:semiHidden/>
    <w:unhideWhenUsed/>
    <w:rsid w:val="00347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747">
      <w:bodyDiv w:val="1"/>
      <w:marLeft w:val="0"/>
      <w:marRight w:val="0"/>
      <w:marTop w:val="0"/>
      <w:marBottom w:val="0"/>
      <w:divBdr>
        <w:top w:val="none" w:sz="0" w:space="0" w:color="auto"/>
        <w:left w:val="none" w:sz="0" w:space="0" w:color="auto"/>
        <w:bottom w:val="none" w:sz="0" w:space="0" w:color="auto"/>
        <w:right w:val="none" w:sz="0" w:space="0" w:color="auto"/>
      </w:divBdr>
      <w:divsChild>
        <w:div w:id="1108042175">
          <w:marLeft w:val="0"/>
          <w:marRight w:val="0"/>
          <w:marTop w:val="0"/>
          <w:marBottom w:val="0"/>
          <w:divBdr>
            <w:top w:val="none" w:sz="0" w:space="0" w:color="auto"/>
            <w:left w:val="none" w:sz="0" w:space="0" w:color="auto"/>
            <w:bottom w:val="none" w:sz="0" w:space="0" w:color="auto"/>
            <w:right w:val="none" w:sz="0" w:space="0" w:color="auto"/>
          </w:divBdr>
          <w:divsChild>
            <w:div w:id="1806197185">
              <w:marLeft w:val="0"/>
              <w:marRight w:val="0"/>
              <w:marTop w:val="0"/>
              <w:marBottom w:val="0"/>
              <w:divBdr>
                <w:top w:val="none" w:sz="0" w:space="0" w:color="auto"/>
                <w:left w:val="none" w:sz="0" w:space="0" w:color="auto"/>
                <w:bottom w:val="none" w:sz="0" w:space="0" w:color="auto"/>
                <w:right w:val="none" w:sz="0" w:space="0" w:color="auto"/>
              </w:divBdr>
              <w:divsChild>
                <w:div w:id="875774423">
                  <w:marLeft w:val="0"/>
                  <w:marRight w:val="0"/>
                  <w:marTop w:val="0"/>
                  <w:marBottom w:val="0"/>
                  <w:divBdr>
                    <w:top w:val="none" w:sz="0" w:space="0" w:color="auto"/>
                    <w:left w:val="none" w:sz="0" w:space="0" w:color="auto"/>
                    <w:bottom w:val="none" w:sz="0" w:space="0" w:color="auto"/>
                    <w:right w:val="none" w:sz="0" w:space="0" w:color="auto"/>
                  </w:divBdr>
                  <w:divsChild>
                    <w:div w:id="1554349376">
                      <w:marLeft w:val="0"/>
                      <w:marRight w:val="0"/>
                      <w:marTop w:val="0"/>
                      <w:marBottom w:val="0"/>
                      <w:divBdr>
                        <w:top w:val="none" w:sz="0" w:space="0" w:color="auto"/>
                        <w:left w:val="none" w:sz="0" w:space="0" w:color="auto"/>
                        <w:bottom w:val="none" w:sz="0" w:space="0" w:color="auto"/>
                        <w:right w:val="none" w:sz="0" w:space="0" w:color="auto"/>
                      </w:divBdr>
                      <w:divsChild>
                        <w:div w:id="313069545">
                          <w:marLeft w:val="0"/>
                          <w:marRight w:val="0"/>
                          <w:marTop w:val="0"/>
                          <w:marBottom w:val="0"/>
                          <w:divBdr>
                            <w:top w:val="none" w:sz="0" w:space="0" w:color="auto"/>
                            <w:left w:val="none" w:sz="0" w:space="0" w:color="auto"/>
                            <w:bottom w:val="none" w:sz="0" w:space="0" w:color="auto"/>
                            <w:right w:val="none" w:sz="0" w:space="0" w:color="auto"/>
                          </w:divBdr>
                          <w:divsChild>
                            <w:div w:id="620376311">
                              <w:marLeft w:val="0"/>
                              <w:marRight w:val="0"/>
                              <w:marTop w:val="0"/>
                              <w:marBottom w:val="0"/>
                              <w:divBdr>
                                <w:top w:val="none" w:sz="0" w:space="0" w:color="auto"/>
                                <w:left w:val="none" w:sz="0" w:space="0" w:color="auto"/>
                                <w:bottom w:val="none" w:sz="0" w:space="0" w:color="auto"/>
                                <w:right w:val="none" w:sz="0" w:space="0" w:color="auto"/>
                              </w:divBdr>
                              <w:divsChild>
                                <w:div w:id="629870434">
                                  <w:marLeft w:val="0"/>
                                  <w:marRight w:val="0"/>
                                  <w:marTop w:val="0"/>
                                  <w:marBottom w:val="0"/>
                                  <w:divBdr>
                                    <w:top w:val="none" w:sz="0" w:space="0" w:color="auto"/>
                                    <w:left w:val="none" w:sz="0" w:space="0" w:color="auto"/>
                                    <w:bottom w:val="none" w:sz="0" w:space="0" w:color="auto"/>
                                    <w:right w:val="none" w:sz="0" w:space="0" w:color="auto"/>
                                  </w:divBdr>
                                  <w:divsChild>
                                    <w:div w:id="552041135">
                                      <w:marLeft w:val="0"/>
                                      <w:marRight w:val="0"/>
                                      <w:marTop w:val="0"/>
                                      <w:marBottom w:val="0"/>
                                      <w:divBdr>
                                        <w:top w:val="none" w:sz="0" w:space="0" w:color="auto"/>
                                        <w:left w:val="none" w:sz="0" w:space="0" w:color="auto"/>
                                        <w:bottom w:val="none" w:sz="0" w:space="0" w:color="auto"/>
                                        <w:right w:val="none" w:sz="0" w:space="0" w:color="auto"/>
                                      </w:divBdr>
                                      <w:divsChild>
                                        <w:div w:id="1843858987">
                                          <w:marLeft w:val="0"/>
                                          <w:marRight w:val="0"/>
                                          <w:marTop w:val="0"/>
                                          <w:marBottom w:val="0"/>
                                          <w:divBdr>
                                            <w:top w:val="none" w:sz="0" w:space="0" w:color="auto"/>
                                            <w:left w:val="none" w:sz="0" w:space="0" w:color="auto"/>
                                            <w:bottom w:val="none" w:sz="0" w:space="0" w:color="auto"/>
                                            <w:right w:val="none" w:sz="0" w:space="0" w:color="auto"/>
                                          </w:divBdr>
                                          <w:divsChild>
                                            <w:div w:id="1572033718">
                                              <w:marLeft w:val="0"/>
                                              <w:marRight w:val="0"/>
                                              <w:marTop w:val="0"/>
                                              <w:marBottom w:val="0"/>
                                              <w:divBdr>
                                                <w:top w:val="none" w:sz="0" w:space="0" w:color="auto"/>
                                                <w:left w:val="none" w:sz="0" w:space="0" w:color="auto"/>
                                                <w:bottom w:val="none" w:sz="0" w:space="0" w:color="auto"/>
                                                <w:right w:val="none" w:sz="0" w:space="0" w:color="auto"/>
                                              </w:divBdr>
                                              <w:divsChild>
                                                <w:div w:id="243538521">
                                                  <w:marLeft w:val="0"/>
                                                  <w:marRight w:val="0"/>
                                                  <w:marTop w:val="0"/>
                                                  <w:marBottom w:val="0"/>
                                                  <w:divBdr>
                                                    <w:top w:val="none" w:sz="0" w:space="0" w:color="auto"/>
                                                    <w:left w:val="none" w:sz="0" w:space="0" w:color="auto"/>
                                                    <w:bottom w:val="none" w:sz="0" w:space="0" w:color="auto"/>
                                                    <w:right w:val="none" w:sz="0" w:space="0" w:color="auto"/>
                                                  </w:divBdr>
                                                  <w:divsChild>
                                                    <w:div w:id="1453404661">
                                                      <w:marLeft w:val="0"/>
                                                      <w:marRight w:val="0"/>
                                                      <w:marTop w:val="0"/>
                                                      <w:marBottom w:val="0"/>
                                                      <w:divBdr>
                                                        <w:top w:val="none" w:sz="0" w:space="0" w:color="auto"/>
                                                        <w:left w:val="none" w:sz="0" w:space="0" w:color="auto"/>
                                                        <w:bottom w:val="none" w:sz="0" w:space="0" w:color="auto"/>
                                                        <w:right w:val="none" w:sz="0" w:space="0" w:color="auto"/>
                                                      </w:divBdr>
                                                      <w:divsChild>
                                                        <w:div w:id="9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3608863">
      <w:bodyDiv w:val="1"/>
      <w:marLeft w:val="0"/>
      <w:marRight w:val="0"/>
      <w:marTop w:val="0"/>
      <w:marBottom w:val="0"/>
      <w:divBdr>
        <w:top w:val="none" w:sz="0" w:space="0" w:color="auto"/>
        <w:left w:val="none" w:sz="0" w:space="0" w:color="auto"/>
        <w:bottom w:val="none" w:sz="0" w:space="0" w:color="auto"/>
        <w:right w:val="none" w:sz="0" w:space="0" w:color="auto"/>
      </w:divBdr>
      <w:divsChild>
        <w:div w:id="1756826678">
          <w:marLeft w:val="0"/>
          <w:marRight w:val="0"/>
          <w:marTop w:val="0"/>
          <w:marBottom w:val="0"/>
          <w:divBdr>
            <w:top w:val="none" w:sz="0" w:space="0" w:color="auto"/>
            <w:left w:val="none" w:sz="0" w:space="0" w:color="auto"/>
            <w:bottom w:val="none" w:sz="0" w:space="0" w:color="auto"/>
            <w:right w:val="none" w:sz="0" w:space="0" w:color="auto"/>
          </w:divBdr>
          <w:divsChild>
            <w:div w:id="1465584984">
              <w:marLeft w:val="0"/>
              <w:marRight w:val="0"/>
              <w:marTop w:val="0"/>
              <w:marBottom w:val="0"/>
              <w:divBdr>
                <w:top w:val="none" w:sz="0" w:space="0" w:color="auto"/>
                <w:left w:val="none" w:sz="0" w:space="0" w:color="auto"/>
                <w:bottom w:val="none" w:sz="0" w:space="0" w:color="auto"/>
                <w:right w:val="none" w:sz="0" w:space="0" w:color="auto"/>
              </w:divBdr>
              <w:divsChild>
                <w:div w:id="466822876">
                  <w:marLeft w:val="0"/>
                  <w:marRight w:val="0"/>
                  <w:marTop w:val="0"/>
                  <w:marBottom w:val="0"/>
                  <w:divBdr>
                    <w:top w:val="none" w:sz="0" w:space="0" w:color="auto"/>
                    <w:left w:val="none" w:sz="0" w:space="0" w:color="auto"/>
                    <w:bottom w:val="none" w:sz="0" w:space="0" w:color="auto"/>
                    <w:right w:val="none" w:sz="0" w:space="0" w:color="auto"/>
                  </w:divBdr>
                  <w:divsChild>
                    <w:div w:id="898784196">
                      <w:marLeft w:val="0"/>
                      <w:marRight w:val="0"/>
                      <w:marTop w:val="0"/>
                      <w:marBottom w:val="0"/>
                      <w:divBdr>
                        <w:top w:val="none" w:sz="0" w:space="0" w:color="auto"/>
                        <w:left w:val="none" w:sz="0" w:space="0" w:color="auto"/>
                        <w:bottom w:val="none" w:sz="0" w:space="0" w:color="auto"/>
                        <w:right w:val="none" w:sz="0" w:space="0" w:color="auto"/>
                      </w:divBdr>
                      <w:divsChild>
                        <w:div w:id="4341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5157">
      <w:bodyDiv w:val="1"/>
      <w:marLeft w:val="0"/>
      <w:marRight w:val="0"/>
      <w:marTop w:val="0"/>
      <w:marBottom w:val="0"/>
      <w:divBdr>
        <w:top w:val="none" w:sz="0" w:space="0" w:color="auto"/>
        <w:left w:val="none" w:sz="0" w:space="0" w:color="auto"/>
        <w:bottom w:val="none" w:sz="0" w:space="0" w:color="auto"/>
        <w:right w:val="none" w:sz="0" w:space="0" w:color="auto"/>
      </w:divBdr>
      <w:divsChild>
        <w:div w:id="2127188701">
          <w:marLeft w:val="0"/>
          <w:marRight w:val="0"/>
          <w:marTop w:val="0"/>
          <w:marBottom w:val="0"/>
          <w:divBdr>
            <w:top w:val="none" w:sz="0" w:space="0" w:color="auto"/>
            <w:left w:val="none" w:sz="0" w:space="0" w:color="auto"/>
            <w:bottom w:val="none" w:sz="0" w:space="0" w:color="auto"/>
            <w:right w:val="none" w:sz="0" w:space="0" w:color="auto"/>
          </w:divBdr>
          <w:divsChild>
            <w:div w:id="10486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3731">
      <w:bodyDiv w:val="1"/>
      <w:marLeft w:val="0"/>
      <w:marRight w:val="0"/>
      <w:marTop w:val="0"/>
      <w:marBottom w:val="0"/>
      <w:divBdr>
        <w:top w:val="none" w:sz="0" w:space="0" w:color="auto"/>
        <w:left w:val="none" w:sz="0" w:space="0" w:color="auto"/>
        <w:bottom w:val="none" w:sz="0" w:space="0" w:color="auto"/>
        <w:right w:val="none" w:sz="0" w:space="0" w:color="auto"/>
      </w:divBdr>
      <w:divsChild>
        <w:div w:id="1236357123">
          <w:marLeft w:val="0"/>
          <w:marRight w:val="0"/>
          <w:marTop w:val="0"/>
          <w:marBottom w:val="0"/>
          <w:divBdr>
            <w:top w:val="none" w:sz="0" w:space="0" w:color="auto"/>
            <w:left w:val="none" w:sz="0" w:space="0" w:color="auto"/>
            <w:bottom w:val="none" w:sz="0" w:space="0" w:color="auto"/>
            <w:right w:val="none" w:sz="0" w:space="0" w:color="auto"/>
          </w:divBdr>
          <w:divsChild>
            <w:div w:id="1805006960">
              <w:marLeft w:val="0"/>
              <w:marRight w:val="0"/>
              <w:marTop w:val="0"/>
              <w:marBottom w:val="0"/>
              <w:divBdr>
                <w:top w:val="none" w:sz="0" w:space="0" w:color="auto"/>
                <w:left w:val="none" w:sz="0" w:space="0" w:color="auto"/>
                <w:bottom w:val="none" w:sz="0" w:space="0" w:color="auto"/>
                <w:right w:val="none" w:sz="0" w:space="0" w:color="auto"/>
              </w:divBdr>
              <w:divsChild>
                <w:div w:id="727531304">
                  <w:marLeft w:val="0"/>
                  <w:marRight w:val="0"/>
                  <w:marTop w:val="0"/>
                  <w:marBottom w:val="0"/>
                  <w:divBdr>
                    <w:top w:val="none" w:sz="0" w:space="0" w:color="auto"/>
                    <w:left w:val="none" w:sz="0" w:space="0" w:color="auto"/>
                    <w:bottom w:val="none" w:sz="0" w:space="0" w:color="auto"/>
                    <w:right w:val="none" w:sz="0" w:space="0" w:color="auto"/>
                  </w:divBdr>
                  <w:divsChild>
                    <w:div w:id="2002540671">
                      <w:marLeft w:val="0"/>
                      <w:marRight w:val="0"/>
                      <w:marTop w:val="0"/>
                      <w:marBottom w:val="0"/>
                      <w:divBdr>
                        <w:top w:val="none" w:sz="0" w:space="0" w:color="auto"/>
                        <w:left w:val="none" w:sz="0" w:space="0" w:color="auto"/>
                        <w:bottom w:val="none" w:sz="0" w:space="0" w:color="auto"/>
                        <w:right w:val="none" w:sz="0" w:space="0" w:color="auto"/>
                      </w:divBdr>
                      <w:divsChild>
                        <w:div w:id="1613199912">
                          <w:marLeft w:val="0"/>
                          <w:marRight w:val="0"/>
                          <w:marTop w:val="0"/>
                          <w:marBottom w:val="0"/>
                          <w:divBdr>
                            <w:top w:val="none" w:sz="0" w:space="0" w:color="auto"/>
                            <w:left w:val="none" w:sz="0" w:space="0" w:color="auto"/>
                            <w:bottom w:val="none" w:sz="0" w:space="0" w:color="auto"/>
                            <w:right w:val="none" w:sz="0" w:space="0" w:color="auto"/>
                          </w:divBdr>
                          <w:divsChild>
                            <w:div w:id="420876422">
                              <w:marLeft w:val="0"/>
                              <w:marRight w:val="0"/>
                              <w:marTop w:val="0"/>
                              <w:marBottom w:val="0"/>
                              <w:divBdr>
                                <w:top w:val="none" w:sz="0" w:space="0" w:color="auto"/>
                                <w:left w:val="none" w:sz="0" w:space="0" w:color="auto"/>
                                <w:bottom w:val="none" w:sz="0" w:space="0" w:color="auto"/>
                                <w:right w:val="none" w:sz="0" w:space="0" w:color="auto"/>
                              </w:divBdr>
                              <w:divsChild>
                                <w:div w:id="278801505">
                                  <w:marLeft w:val="0"/>
                                  <w:marRight w:val="0"/>
                                  <w:marTop w:val="0"/>
                                  <w:marBottom w:val="0"/>
                                  <w:divBdr>
                                    <w:top w:val="none" w:sz="0" w:space="0" w:color="auto"/>
                                    <w:left w:val="none" w:sz="0" w:space="0" w:color="auto"/>
                                    <w:bottom w:val="none" w:sz="0" w:space="0" w:color="auto"/>
                                    <w:right w:val="none" w:sz="0" w:space="0" w:color="auto"/>
                                  </w:divBdr>
                                  <w:divsChild>
                                    <w:div w:id="44183305">
                                      <w:marLeft w:val="0"/>
                                      <w:marRight w:val="0"/>
                                      <w:marTop w:val="0"/>
                                      <w:marBottom w:val="0"/>
                                      <w:divBdr>
                                        <w:top w:val="none" w:sz="0" w:space="0" w:color="auto"/>
                                        <w:left w:val="none" w:sz="0" w:space="0" w:color="auto"/>
                                        <w:bottom w:val="none" w:sz="0" w:space="0" w:color="auto"/>
                                        <w:right w:val="none" w:sz="0" w:space="0" w:color="auto"/>
                                      </w:divBdr>
                                      <w:divsChild>
                                        <w:div w:id="388307149">
                                          <w:marLeft w:val="0"/>
                                          <w:marRight w:val="0"/>
                                          <w:marTop w:val="0"/>
                                          <w:marBottom w:val="0"/>
                                          <w:divBdr>
                                            <w:top w:val="none" w:sz="0" w:space="0" w:color="auto"/>
                                            <w:left w:val="none" w:sz="0" w:space="0" w:color="auto"/>
                                            <w:bottom w:val="none" w:sz="0" w:space="0" w:color="auto"/>
                                            <w:right w:val="none" w:sz="0" w:space="0" w:color="auto"/>
                                          </w:divBdr>
                                          <w:divsChild>
                                            <w:div w:id="35206098">
                                              <w:marLeft w:val="0"/>
                                              <w:marRight w:val="0"/>
                                              <w:marTop w:val="0"/>
                                              <w:marBottom w:val="0"/>
                                              <w:divBdr>
                                                <w:top w:val="none" w:sz="0" w:space="0" w:color="auto"/>
                                                <w:left w:val="none" w:sz="0" w:space="0" w:color="auto"/>
                                                <w:bottom w:val="none" w:sz="0" w:space="0" w:color="auto"/>
                                                <w:right w:val="none" w:sz="0" w:space="0" w:color="auto"/>
                                              </w:divBdr>
                                              <w:divsChild>
                                                <w:div w:id="1912617888">
                                                  <w:marLeft w:val="0"/>
                                                  <w:marRight w:val="0"/>
                                                  <w:marTop w:val="0"/>
                                                  <w:marBottom w:val="0"/>
                                                  <w:divBdr>
                                                    <w:top w:val="none" w:sz="0" w:space="0" w:color="auto"/>
                                                    <w:left w:val="none" w:sz="0" w:space="0" w:color="auto"/>
                                                    <w:bottom w:val="none" w:sz="0" w:space="0" w:color="auto"/>
                                                    <w:right w:val="none" w:sz="0" w:space="0" w:color="auto"/>
                                                  </w:divBdr>
                                                  <w:divsChild>
                                                    <w:div w:id="1726905866">
                                                      <w:marLeft w:val="0"/>
                                                      <w:marRight w:val="0"/>
                                                      <w:marTop w:val="0"/>
                                                      <w:marBottom w:val="0"/>
                                                      <w:divBdr>
                                                        <w:top w:val="none" w:sz="0" w:space="0" w:color="auto"/>
                                                        <w:left w:val="none" w:sz="0" w:space="0" w:color="auto"/>
                                                        <w:bottom w:val="none" w:sz="0" w:space="0" w:color="auto"/>
                                                        <w:right w:val="none" w:sz="0" w:space="0" w:color="auto"/>
                                                      </w:divBdr>
                                                      <w:divsChild>
                                                        <w:div w:id="14015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912410">
      <w:bodyDiv w:val="1"/>
      <w:marLeft w:val="0"/>
      <w:marRight w:val="0"/>
      <w:marTop w:val="0"/>
      <w:marBottom w:val="0"/>
      <w:divBdr>
        <w:top w:val="none" w:sz="0" w:space="0" w:color="auto"/>
        <w:left w:val="none" w:sz="0" w:space="0" w:color="auto"/>
        <w:bottom w:val="none" w:sz="0" w:space="0" w:color="auto"/>
        <w:right w:val="none" w:sz="0" w:space="0" w:color="auto"/>
      </w:divBdr>
      <w:divsChild>
        <w:div w:id="1269191897">
          <w:marLeft w:val="0"/>
          <w:marRight w:val="0"/>
          <w:marTop w:val="0"/>
          <w:marBottom w:val="0"/>
          <w:divBdr>
            <w:top w:val="none" w:sz="0" w:space="0" w:color="auto"/>
            <w:left w:val="none" w:sz="0" w:space="0" w:color="auto"/>
            <w:bottom w:val="none" w:sz="0" w:space="0" w:color="auto"/>
            <w:right w:val="none" w:sz="0" w:space="0" w:color="auto"/>
          </w:divBdr>
          <w:divsChild>
            <w:div w:id="566191570">
              <w:marLeft w:val="0"/>
              <w:marRight w:val="0"/>
              <w:marTop w:val="0"/>
              <w:marBottom w:val="0"/>
              <w:divBdr>
                <w:top w:val="none" w:sz="0" w:space="0" w:color="auto"/>
                <w:left w:val="none" w:sz="0" w:space="0" w:color="auto"/>
                <w:bottom w:val="none" w:sz="0" w:space="0" w:color="auto"/>
                <w:right w:val="none" w:sz="0" w:space="0" w:color="auto"/>
              </w:divBdr>
              <w:divsChild>
                <w:div w:id="798646336">
                  <w:marLeft w:val="0"/>
                  <w:marRight w:val="0"/>
                  <w:marTop w:val="0"/>
                  <w:marBottom w:val="0"/>
                  <w:divBdr>
                    <w:top w:val="none" w:sz="0" w:space="0" w:color="auto"/>
                    <w:left w:val="none" w:sz="0" w:space="0" w:color="auto"/>
                    <w:bottom w:val="none" w:sz="0" w:space="0" w:color="auto"/>
                    <w:right w:val="none" w:sz="0" w:space="0" w:color="auto"/>
                  </w:divBdr>
                  <w:divsChild>
                    <w:div w:id="1801726119">
                      <w:marLeft w:val="0"/>
                      <w:marRight w:val="0"/>
                      <w:marTop w:val="0"/>
                      <w:marBottom w:val="0"/>
                      <w:divBdr>
                        <w:top w:val="none" w:sz="0" w:space="0" w:color="auto"/>
                        <w:left w:val="none" w:sz="0" w:space="0" w:color="auto"/>
                        <w:bottom w:val="none" w:sz="0" w:space="0" w:color="auto"/>
                        <w:right w:val="none" w:sz="0" w:space="0" w:color="auto"/>
                      </w:divBdr>
                      <w:divsChild>
                        <w:div w:id="1290863589">
                          <w:marLeft w:val="0"/>
                          <w:marRight w:val="0"/>
                          <w:marTop w:val="0"/>
                          <w:marBottom w:val="0"/>
                          <w:divBdr>
                            <w:top w:val="none" w:sz="0" w:space="0" w:color="auto"/>
                            <w:left w:val="none" w:sz="0" w:space="0" w:color="auto"/>
                            <w:bottom w:val="none" w:sz="0" w:space="0" w:color="auto"/>
                            <w:right w:val="none" w:sz="0" w:space="0" w:color="auto"/>
                          </w:divBdr>
                          <w:divsChild>
                            <w:div w:id="1601795122">
                              <w:marLeft w:val="0"/>
                              <w:marRight w:val="0"/>
                              <w:marTop w:val="0"/>
                              <w:marBottom w:val="0"/>
                              <w:divBdr>
                                <w:top w:val="none" w:sz="0" w:space="0" w:color="auto"/>
                                <w:left w:val="none" w:sz="0" w:space="0" w:color="auto"/>
                                <w:bottom w:val="none" w:sz="0" w:space="0" w:color="auto"/>
                                <w:right w:val="none" w:sz="0" w:space="0" w:color="auto"/>
                              </w:divBdr>
                              <w:divsChild>
                                <w:div w:id="1984306023">
                                  <w:marLeft w:val="0"/>
                                  <w:marRight w:val="0"/>
                                  <w:marTop w:val="0"/>
                                  <w:marBottom w:val="0"/>
                                  <w:divBdr>
                                    <w:top w:val="none" w:sz="0" w:space="0" w:color="auto"/>
                                    <w:left w:val="none" w:sz="0" w:space="0" w:color="auto"/>
                                    <w:bottom w:val="none" w:sz="0" w:space="0" w:color="auto"/>
                                    <w:right w:val="none" w:sz="0" w:space="0" w:color="auto"/>
                                  </w:divBdr>
                                  <w:divsChild>
                                    <w:div w:id="1832985515">
                                      <w:marLeft w:val="0"/>
                                      <w:marRight w:val="0"/>
                                      <w:marTop w:val="0"/>
                                      <w:marBottom w:val="0"/>
                                      <w:divBdr>
                                        <w:top w:val="none" w:sz="0" w:space="0" w:color="auto"/>
                                        <w:left w:val="none" w:sz="0" w:space="0" w:color="auto"/>
                                        <w:bottom w:val="none" w:sz="0" w:space="0" w:color="auto"/>
                                        <w:right w:val="none" w:sz="0" w:space="0" w:color="auto"/>
                                      </w:divBdr>
                                      <w:divsChild>
                                        <w:div w:id="2018343287">
                                          <w:marLeft w:val="0"/>
                                          <w:marRight w:val="0"/>
                                          <w:marTop w:val="0"/>
                                          <w:marBottom w:val="0"/>
                                          <w:divBdr>
                                            <w:top w:val="none" w:sz="0" w:space="0" w:color="auto"/>
                                            <w:left w:val="none" w:sz="0" w:space="0" w:color="auto"/>
                                            <w:bottom w:val="none" w:sz="0" w:space="0" w:color="auto"/>
                                            <w:right w:val="none" w:sz="0" w:space="0" w:color="auto"/>
                                          </w:divBdr>
                                          <w:divsChild>
                                            <w:div w:id="1089544201">
                                              <w:marLeft w:val="0"/>
                                              <w:marRight w:val="0"/>
                                              <w:marTop w:val="0"/>
                                              <w:marBottom w:val="0"/>
                                              <w:divBdr>
                                                <w:top w:val="none" w:sz="0" w:space="0" w:color="auto"/>
                                                <w:left w:val="none" w:sz="0" w:space="0" w:color="auto"/>
                                                <w:bottom w:val="none" w:sz="0" w:space="0" w:color="auto"/>
                                                <w:right w:val="none" w:sz="0" w:space="0" w:color="auto"/>
                                              </w:divBdr>
                                              <w:divsChild>
                                                <w:div w:id="1141658495">
                                                  <w:marLeft w:val="0"/>
                                                  <w:marRight w:val="0"/>
                                                  <w:marTop w:val="0"/>
                                                  <w:marBottom w:val="0"/>
                                                  <w:divBdr>
                                                    <w:top w:val="none" w:sz="0" w:space="0" w:color="auto"/>
                                                    <w:left w:val="none" w:sz="0" w:space="0" w:color="auto"/>
                                                    <w:bottom w:val="none" w:sz="0" w:space="0" w:color="auto"/>
                                                    <w:right w:val="none" w:sz="0" w:space="0" w:color="auto"/>
                                                  </w:divBdr>
                                                  <w:divsChild>
                                                    <w:div w:id="774374075">
                                                      <w:marLeft w:val="0"/>
                                                      <w:marRight w:val="0"/>
                                                      <w:marTop w:val="0"/>
                                                      <w:marBottom w:val="0"/>
                                                      <w:divBdr>
                                                        <w:top w:val="none" w:sz="0" w:space="0" w:color="auto"/>
                                                        <w:left w:val="none" w:sz="0" w:space="0" w:color="auto"/>
                                                        <w:bottom w:val="none" w:sz="0" w:space="0" w:color="auto"/>
                                                        <w:right w:val="none" w:sz="0" w:space="0" w:color="auto"/>
                                                      </w:divBdr>
                                                      <w:divsChild>
                                                        <w:div w:id="8810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420756">
      <w:bodyDiv w:val="1"/>
      <w:marLeft w:val="0"/>
      <w:marRight w:val="0"/>
      <w:marTop w:val="0"/>
      <w:marBottom w:val="0"/>
      <w:divBdr>
        <w:top w:val="none" w:sz="0" w:space="0" w:color="auto"/>
        <w:left w:val="none" w:sz="0" w:space="0" w:color="auto"/>
        <w:bottom w:val="none" w:sz="0" w:space="0" w:color="auto"/>
        <w:right w:val="none" w:sz="0" w:space="0" w:color="auto"/>
      </w:divBdr>
      <w:divsChild>
        <w:div w:id="1653680793">
          <w:marLeft w:val="0"/>
          <w:marRight w:val="0"/>
          <w:marTop w:val="0"/>
          <w:marBottom w:val="0"/>
          <w:divBdr>
            <w:top w:val="none" w:sz="0" w:space="0" w:color="auto"/>
            <w:left w:val="none" w:sz="0" w:space="0" w:color="auto"/>
            <w:bottom w:val="none" w:sz="0" w:space="0" w:color="auto"/>
            <w:right w:val="none" w:sz="0" w:space="0" w:color="auto"/>
          </w:divBdr>
          <w:divsChild>
            <w:div w:id="1916161209">
              <w:marLeft w:val="0"/>
              <w:marRight w:val="0"/>
              <w:marTop w:val="0"/>
              <w:marBottom w:val="0"/>
              <w:divBdr>
                <w:top w:val="none" w:sz="0" w:space="0" w:color="auto"/>
                <w:left w:val="none" w:sz="0" w:space="0" w:color="auto"/>
                <w:bottom w:val="none" w:sz="0" w:space="0" w:color="auto"/>
                <w:right w:val="none" w:sz="0" w:space="0" w:color="auto"/>
              </w:divBdr>
              <w:divsChild>
                <w:div w:id="769202434">
                  <w:marLeft w:val="0"/>
                  <w:marRight w:val="0"/>
                  <w:marTop w:val="0"/>
                  <w:marBottom w:val="0"/>
                  <w:divBdr>
                    <w:top w:val="none" w:sz="0" w:space="0" w:color="auto"/>
                    <w:left w:val="none" w:sz="0" w:space="0" w:color="auto"/>
                    <w:bottom w:val="none" w:sz="0" w:space="0" w:color="auto"/>
                    <w:right w:val="none" w:sz="0" w:space="0" w:color="auto"/>
                  </w:divBdr>
                  <w:divsChild>
                    <w:div w:id="1395936236">
                      <w:marLeft w:val="0"/>
                      <w:marRight w:val="0"/>
                      <w:marTop w:val="0"/>
                      <w:marBottom w:val="0"/>
                      <w:divBdr>
                        <w:top w:val="none" w:sz="0" w:space="0" w:color="auto"/>
                        <w:left w:val="none" w:sz="0" w:space="0" w:color="auto"/>
                        <w:bottom w:val="none" w:sz="0" w:space="0" w:color="auto"/>
                        <w:right w:val="none" w:sz="0" w:space="0" w:color="auto"/>
                      </w:divBdr>
                      <w:divsChild>
                        <w:div w:id="1185436570">
                          <w:marLeft w:val="0"/>
                          <w:marRight w:val="0"/>
                          <w:marTop w:val="0"/>
                          <w:marBottom w:val="0"/>
                          <w:divBdr>
                            <w:top w:val="none" w:sz="0" w:space="0" w:color="auto"/>
                            <w:left w:val="none" w:sz="0" w:space="0" w:color="auto"/>
                            <w:bottom w:val="none" w:sz="0" w:space="0" w:color="auto"/>
                            <w:right w:val="none" w:sz="0" w:space="0" w:color="auto"/>
                          </w:divBdr>
                          <w:divsChild>
                            <w:div w:id="14191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64946">
      <w:bodyDiv w:val="1"/>
      <w:marLeft w:val="0"/>
      <w:marRight w:val="0"/>
      <w:marTop w:val="0"/>
      <w:marBottom w:val="0"/>
      <w:divBdr>
        <w:top w:val="none" w:sz="0" w:space="0" w:color="auto"/>
        <w:left w:val="none" w:sz="0" w:space="0" w:color="auto"/>
        <w:bottom w:val="none" w:sz="0" w:space="0" w:color="auto"/>
        <w:right w:val="none" w:sz="0" w:space="0" w:color="auto"/>
      </w:divBdr>
    </w:div>
    <w:div w:id="1406369327">
      <w:bodyDiv w:val="1"/>
      <w:marLeft w:val="0"/>
      <w:marRight w:val="0"/>
      <w:marTop w:val="0"/>
      <w:marBottom w:val="0"/>
      <w:divBdr>
        <w:top w:val="none" w:sz="0" w:space="0" w:color="auto"/>
        <w:left w:val="none" w:sz="0" w:space="0" w:color="auto"/>
        <w:bottom w:val="none" w:sz="0" w:space="0" w:color="auto"/>
        <w:right w:val="none" w:sz="0" w:space="0" w:color="auto"/>
      </w:divBdr>
    </w:div>
    <w:div w:id="1511409695">
      <w:bodyDiv w:val="1"/>
      <w:marLeft w:val="0"/>
      <w:marRight w:val="0"/>
      <w:marTop w:val="0"/>
      <w:marBottom w:val="0"/>
      <w:divBdr>
        <w:top w:val="none" w:sz="0" w:space="0" w:color="auto"/>
        <w:left w:val="none" w:sz="0" w:space="0" w:color="auto"/>
        <w:bottom w:val="none" w:sz="0" w:space="0" w:color="auto"/>
        <w:right w:val="none" w:sz="0" w:space="0" w:color="auto"/>
      </w:divBdr>
      <w:divsChild>
        <w:div w:id="1655527626">
          <w:marLeft w:val="0"/>
          <w:marRight w:val="0"/>
          <w:marTop w:val="0"/>
          <w:marBottom w:val="0"/>
          <w:divBdr>
            <w:top w:val="none" w:sz="0" w:space="0" w:color="auto"/>
            <w:left w:val="none" w:sz="0" w:space="0" w:color="auto"/>
            <w:bottom w:val="none" w:sz="0" w:space="0" w:color="auto"/>
            <w:right w:val="none" w:sz="0" w:space="0" w:color="auto"/>
          </w:divBdr>
          <w:divsChild>
            <w:div w:id="846095406">
              <w:marLeft w:val="0"/>
              <w:marRight w:val="0"/>
              <w:marTop w:val="0"/>
              <w:marBottom w:val="0"/>
              <w:divBdr>
                <w:top w:val="none" w:sz="0" w:space="0" w:color="auto"/>
                <w:left w:val="none" w:sz="0" w:space="0" w:color="auto"/>
                <w:bottom w:val="none" w:sz="0" w:space="0" w:color="auto"/>
                <w:right w:val="none" w:sz="0" w:space="0" w:color="auto"/>
              </w:divBdr>
              <w:divsChild>
                <w:div w:id="626400249">
                  <w:marLeft w:val="0"/>
                  <w:marRight w:val="0"/>
                  <w:marTop w:val="0"/>
                  <w:marBottom w:val="0"/>
                  <w:divBdr>
                    <w:top w:val="none" w:sz="0" w:space="0" w:color="auto"/>
                    <w:left w:val="none" w:sz="0" w:space="0" w:color="auto"/>
                    <w:bottom w:val="none" w:sz="0" w:space="0" w:color="auto"/>
                    <w:right w:val="none" w:sz="0" w:space="0" w:color="auto"/>
                  </w:divBdr>
                  <w:divsChild>
                    <w:div w:id="718550794">
                      <w:marLeft w:val="0"/>
                      <w:marRight w:val="0"/>
                      <w:marTop w:val="0"/>
                      <w:marBottom w:val="0"/>
                      <w:divBdr>
                        <w:top w:val="none" w:sz="0" w:space="0" w:color="auto"/>
                        <w:left w:val="none" w:sz="0" w:space="0" w:color="auto"/>
                        <w:bottom w:val="none" w:sz="0" w:space="0" w:color="auto"/>
                        <w:right w:val="none" w:sz="0" w:space="0" w:color="auto"/>
                      </w:divBdr>
                      <w:divsChild>
                        <w:div w:id="1603878123">
                          <w:marLeft w:val="0"/>
                          <w:marRight w:val="0"/>
                          <w:marTop w:val="0"/>
                          <w:marBottom w:val="0"/>
                          <w:divBdr>
                            <w:top w:val="none" w:sz="0" w:space="0" w:color="auto"/>
                            <w:left w:val="none" w:sz="0" w:space="0" w:color="auto"/>
                            <w:bottom w:val="none" w:sz="0" w:space="0" w:color="auto"/>
                            <w:right w:val="none" w:sz="0" w:space="0" w:color="auto"/>
                          </w:divBdr>
                          <w:divsChild>
                            <w:div w:id="15838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72789">
      <w:bodyDiv w:val="1"/>
      <w:marLeft w:val="0"/>
      <w:marRight w:val="0"/>
      <w:marTop w:val="0"/>
      <w:marBottom w:val="0"/>
      <w:divBdr>
        <w:top w:val="none" w:sz="0" w:space="0" w:color="auto"/>
        <w:left w:val="none" w:sz="0" w:space="0" w:color="auto"/>
        <w:bottom w:val="none" w:sz="0" w:space="0" w:color="auto"/>
        <w:right w:val="none" w:sz="0" w:space="0" w:color="auto"/>
      </w:divBdr>
      <w:divsChild>
        <w:div w:id="1422066634">
          <w:marLeft w:val="0"/>
          <w:marRight w:val="0"/>
          <w:marTop w:val="0"/>
          <w:marBottom w:val="0"/>
          <w:divBdr>
            <w:top w:val="none" w:sz="0" w:space="0" w:color="auto"/>
            <w:left w:val="none" w:sz="0" w:space="0" w:color="auto"/>
            <w:bottom w:val="none" w:sz="0" w:space="0" w:color="auto"/>
            <w:right w:val="none" w:sz="0" w:space="0" w:color="auto"/>
          </w:divBdr>
          <w:divsChild>
            <w:div w:id="9607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humanservices.gov.au/individuals/enablers/financial-impact-if-your-release-your-superannuation-early" TargetMode="External"/><Relationship Id="rId2" Type="http://schemas.openxmlformats.org/officeDocument/2006/relationships/hyperlink" Target="https://www.ato.gov.au/Individuals/Super/In-detail/Withdrawing-and-paying-tax/Withdrawing-your-super-and-paying-tax/?page=4" TargetMode="External"/><Relationship Id="rId1" Type="http://schemas.openxmlformats.org/officeDocument/2006/relationships/hyperlink" Target="http://www.ombudsman.gov.au/__data/assets/pdf_file/0015/34602/Family-Violence-and-Commonwealth-Laws-Social-Security-April-2011-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2018FG-202-607</_dlc_DocId>
    <TaxCatchAll xmlns="e544e5cc-ab70-42e1-849e-1a0f8bb1f4ef">
      <Value>19</Value>
    </TaxCatchAll>
    <_dlc_DocIdUrl xmlns="e544e5cc-ab70-42e1-849e-1a0f8bb1f4ef">
      <Url>http://tweb/sites/fg/ripd/benefits/_layouts/15/DocIdRedir.aspx?ID=2018FG-202-607</Url>
      <Description>2018FG-202-607</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64BF-E108-491B-BD76-F03A51A32497}">
  <ds:schemaRefs>
    <ds:schemaRef ds:uri="office.server.policy"/>
  </ds:schemaRefs>
</ds:datastoreItem>
</file>

<file path=customXml/itemProps2.xml><?xml version="1.0" encoding="utf-8"?>
<ds:datastoreItem xmlns:ds="http://schemas.openxmlformats.org/officeDocument/2006/customXml" ds:itemID="{3CFF551F-6275-41B6-929E-AA5E34843924}">
  <ds:schemaRefs>
    <ds:schemaRef ds:uri="http://schemas.microsoft.com/sharepoint/events"/>
  </ds:schemaRefs>
</ds:datastoreItem>
</file>

<file path=customXml/itemProps3.xml><?xml version="1.0" encoding="utf-8"?>
<ds:datastoreItem xmlns:ds="http://schemas.openxmlformats.org/officeDocument/2006/customXml" ds:itemID="{24CF622E-4783-4559-9FC4-8612559E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D507E-1BFB-4E16-9F55-DD1555161688}">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5F560BFB-50CD-4125-B62D-899448022C7D}">
  <ds:schemaRefs>
    <ds:schemaRef ds:uri="http://schemas.microsoft.com/sharepoint/v3/contenttype/forms"/>
  </ds:schemaRefs>
</ds:datastoreItem>
</file>

<file path=customXml/itemProps6.xml><?xml version="1.0" encoding="utf-8"?>
<ds:datastoreItem xmlns:ds="http://schemas.openxmlformats.org/officeDocument/2006/customXml" ds:itemID="{BC1C8318-A665-4FF3-8272-CC95733E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2356</Words>
  <Characters>12641</Characters>
  <Application>Microsoft Office Word</Application>
  <DocSecurity>0</DocSecurity>
  <Lines>236</Lines>
  <Paragraphs>88</Paragraphs>
  <ScaleCrop>false</ScaleCrop>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013 Commonwealth Ombudsman submission - Review of the early release of superannuation benefits</dc:title>
  <dc:subject/>
  <dc:creator/>
  <cp:keywords/>
  <cp:lastModifiedBy/>
  <cp:revision>1</cp:revision>
  <dcterms:created xsi:type="dcterms:W3CDTF">2018-05-30T00:53:00Z</dcterms:created>
  <dcterms:modified xsi:type="dcterms:W3CDTF">2018-05-30T00:53:00Z</dcterms:modified>
  <dc:language>English</dc:language>
</cp:coreProperties>
</file>