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2A958" w14:textId="688CD1AF" w:rsidR="00082BBF" w:rsidRPr="00824AB0" w:rsidRDefault="00082BBF" w:rsidP="00C66BC6">
      <w:pPr>
        <w:rPr>
          <w:rFonts w:ascii="Corbel" w:hAnsi="Corbel"/>
          <w:b/>
          <w:color w:val="000000" w:themeColor="text1"/>
          <w:sz w:val="28"/>
          <w:szCs w:val="28"/>
        </w:rPr>
      </w:pPr>
      <w:bookmarkStart w:id="0" w:name="_GoBack"/>
      <w:bookmarkEnd w:id="0"/>
      <w:r w:rsidRPr="00824AB0">
        <w:rPr>
          <w:rFonts w:ascii="Corbel" w:hAnsi="Corbel"/>
          <w:b/>
          <w:color w:val="000000" w:themeColor="text1"/>
          <w:sz w:val="28"/>
          <w:szCs w:val="28"/>
        </w:rPr>
        <w:t>Capital Partners’ Project</w:t>
      </w:r>
      <w:r w:rsidR="00C8149E" w:rsidRPr="00824AB0">
        <w:rPr>
          <w:rFonts w:ascii="Corbel" w:hAnsi="Corbel"/>
          <w:b/>
          <w:color w:val="000000" w:themeColor="text1"/>
          <w:sz w:val="28"/>
          <w:szCs w:val="28"/>
        </w:rPr>
        <w:t xml:space="preserve"> </w:t>
      </w:r>
      <w:r w:rsidR="00824AB0" w:rsidRPr="00824AB0">
        <w:rPr>
          <w:rFonts w:ascii="Corbel" w:hAnsi="Corbel"/>
          <w:b/>
          <w:color w:val="000000" w:themeColor="text1"/>
          <w:sz w:val="28"/>
          <w:szCs w:val="28"/>
        </w:rPr>
        <w:t>r</w:t>
      </w:r>
      <w:r w:rsidR="00C8149E" w:rsidRPr="00824AB0">
        <w:rPr>
          <w:rFonts w:ascii="Corbel" w:hAnsi="Corbel"/>
          <w:b/>
          <w:color w:val="000000" w:themeColor="text1"/>
          <w:sz w:val="28"/>
          <w:szCs w:val="28"/>
        </w:rPr>
        <w:t>esponse</w:t>
      </w:r>
      <w:r w:rsidRPr="00824AB0">
        <w:rPr>
          <w:rFonts w:ascii="Corbel" w:hAnsi="Corbel"/>
          <w:b/>
          <w:color w:val="000000" w:themeColor="text1"/>
          <w:sz w:val="28"/>
          <w:szCs w:val="28"/>
        </w:rPr>
        <w:t xml:space="preserve"> to Treasury Laws Amendment (Mutual Entities) Bill 2018</w:t>
      </w:r>
    </w:p>
    <w:p w14:paraId="0216B87B" w14:textId="77777777" w:rsidR="00C66BC6" w:rsidRPr="00824AB0" w:rsidRDefault="00C66BC6" w:rsidP="00C66BC6">
      <w:pPr>
        <w:rPr>
          <w:rFonts w:ascii="Corbel" w:hAnsi="Corbel"/>
          <w:b/>
          <w:color w:val="000000" w:themeColor="text1"/>
          <w:sz w:val="24"/>
          <w:szCs w:val="24"/>
        </w:rPr>
      </w:pPr>
    </w:p>
    <w:p w14:paraId="3CAFF451" w14:textId="77777777" w:rsidR="009E12E1" w:rsidRPr="00824AB0" w:rsidRDefault="009E12E1" w:rsidP="00C66BC6">
      <w:pPr>
        <w:rPr>
          <w:rFonts w:ascii="Corbel" w:hAnsi="Corbel"/>
          <w:b/>
          <w:color w:val="000000" w:themeColor="text1"/>
          <w:sz w:val="24"/>
          <w:szCs w:val="24"/>
        </w:rPr>
      </w:pPr>
      <w:r w:rsidRPr="00824AB0">
        <w:rPr>
          <w:rFonts w:ascii="Corbel" w:hAnsi="Corbel"/>
          <w:b/>
          <w:color w:val="000000" w:themeColor="text1"/>
          <w:sz w:val="24"/>
          <w:szCs w:val="24"/>
        </w:rPr>
        <w:t>Introduction</w:t>
      </w:r>
    </w:p>
    <w:p w14:paraId="453C92A8" w14:textId="77777777" w:rsidR="009E12E1" w:rsidRPr="00824AB0" w:rsidRDefault="009E12E1" w:rsidP="00C66BC6">
      <w:pPr>
        <w:rPr>
          <w:rFonts w:ascii="Corbel" w:hAnsi="Corbel"/>
          <w:color w:val="000000" w:themeColor="text1"/>
          <w:sz w:val="24"/>
          <w:szCs w:val="24"/>
        </w:rPr>
      </w:pPr>
    </w:p>
    <w:p w14:paraId="3FD30F99" w14:textId="0B30D563" w:rsidR="00C66BC6" w:rsidRPr="00824AB0" w:rsidRDefault="00C66BC6" w:rsidP="00C66BC6">
      <w:pPr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hAnsi="Corbel"/>
          <w:color w:val="000000" w:themeColor="text1"/>
          <w:sz w:val="24"/>
          <w:szCs w:val="24"/>
        </w:rPr>
        <w:t xml:space="preserve">The Business Council for Co-operatives and Mutuals </w:t>
      </w:r>
      <w:r w:rsidR="0099749D">
        <w:rPr>
          <w:rFonts w:ascii="Corbel" w:hAnsi="Corbel"/>
          <w:color w:val="000000" w:themeColor="text1"/>
          <w:sz w:val="24"/>
          <w:szCs w:val="24"/>
        </w:rPr>
        <w:t xml:space="preserve">(BCCM) </w:t>
      </w:r>
      <w:r w:rsidR="008806C7" w:rsidRPr="00824AB0">
        <w:rPr>
          <w:rFonts w:ascii="Corbel" w:hAnsi="Corbel"/>
          <w:color w:val="000000" w:themeColor="text1"/>
          <w:sz w:val="24"/>
          <w:szCs w:val="24"/>
        </w:rPr>
        <w:t xml:space="preserve">and Customer Owned Banking Association </w:t>
      </w:r>
      <w:r w:rsidR="0099749D">
        <w:rPr>
          <w:rFonts w:ascii="Corbel" w:hAnsi="Corbel"/>
          <w:color w:val="000000" w:themeColor="text1"/>
          <w:sz w:val="24"/>
          <w:szCs w:val="24"/>
        </w:rPr>
        <w:t xml:space="preserve">(COBA) </w:t>
      </w:r>
      <w:r w:rsidR="008806C7" w:rsidRPr="00824AB0">
        <w:rPr>
          <w:rFonts w:ascii="Corbel" w:hAnsi="Corbel"/>
          <w:color w:val="000000" w:themeColor="text1"/>
          <w:sz w:val="24"/>
          <w:szCs w:val="24"/>
        </w:rPr>
        <w:t>welcome</w:t>
      </w:r>
      <w:r w:rsidRPr="00824AB0">
        <w:rPr>
          <w:rFonts w:ascii="Corbel" w:hAnsi="Corbel"/>
          <w:color w:val="000000" w:themeColor="text1"/>
          <w:sz w:val="24"/>
          <w:szCs w:val="24"/>
        </w:rPr>
        <w:t xml:space="preserve"> the publication of draft legislation that will begin the process of modernising the Federal law for mutual businesses.</w:t>
      </w:r>
    </w:p>
    <w:p w14:paraId="1F0A2EE2" w14:textId="77777777" w:rsidR="00C66BC6" w:rsidRPr="00824AB0" w:rsidRDefault="00C66BC6" w:rsidP="00C66BC6">
      <w:pPr>
        <w:rPr>
          <w:rFonts w:ascii="Corbel" w:hAnsi="Corbel"/>
          <w:b/>
          <w:color w:val="000000" w:themeColor="text1"/>
          <w:sz w:val="24"/>
          <w:szCs w:val="24"/>
        </w:rPr>
      </w:pPr>
    </w:p>
    <w:p w14:paraId="64B566D2" w14:textId="77777777" w:rsidR="007922AB" w:rsidRPr="00824AB0" w:rsidRDefault="007922AB" w:rsidP="007922AB">
      <w:pPr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hAnsi="Corbel"/>
          <w:color w:val="000000" w:themeColor="text1"/>
          <w:sz w:val="24"/>
          <w:szCs w:val="24"/>
        </w:rPr>
        <w:t>New legislation is needed to make the Australian Corporations Act work better for mutually owned businesses, so that they can compete on a level playing field with other types of firms.</w:t>
      </w:r>
    </w:p>
    <w:p w14:paraId="1E367483" w14:textId="77777777" w:rsidR="007922AB" w:rsidRPr="00824AB0" w:rsidRDefault="007922AB" w:rsidP="007922AB">
      <w:pPr>
        <w:rPr>
          <w:rFonts w:ascii="Corbel" w:hAnsi="Corbel"/>
          <w:color w:val="000000" w:themeColor="text1"/>
          <w:sz w:val="24"/>
          <w:szCs w:val="24"/>
        </w:rPr>
      </w:pPr>
    </w:p>
    <w:p w14:paraId="2A20807C" w14:textId="77777777" w:rsidR="009E12E1" w:rsidRPr="00824AB0" w:rsidRDefault="009E12E1" w:rsidP="00C66BC6">
      <w:pPr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hAnsi="Corbel"/>
          <w:color w:val="000000" w:themeColor="text1"/>
          <w:sz w:val="24"/>
          <w:szCs w:val="24"/>
        </w:rPr>
        <w:t>We are supportive of this legislation, as the first of two steps to implement the key Hammond Review recommendations to help mutuals to raise new capital.</w:t>
      </w:r>
    </w:p>
    <w:p w14:paraId="3BEDE60C" w14:textId="77777777" w:rsidR="009E12E1" w:rsidRPr="00824AB0" w:rsidRDefault="009E12E1" w:rsidP="009E12E1">
      <w:pPr>
        <w:contextualSpacing/>
        <w:rPr>
          <w:rFonts w:ascii="Corbel" w:hAnsi="Corbel"/>
          <w:color w:val="000000" w:themeColor="text1"/>
          <w:sz w:val="24"/>
          <w:szCs w:val="24"/>
        </w:rPr>
      </w:pPr>
    </w:p>
    <w:p w14:paraId="309F1B66" w14:textId="77777777" w:rsidR="00C66BC6" w:rsidRPr="00824AB0" w:rsidRDefault="00C66BC6" w:rsidP="009E12E1">
      <w:pPr>
        <w:contextualSpacing/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hAnsi="Corbel"/>
          <w:color w:val="000000" w:themeColor="text1"/>
          <w:sz w:val="24"/>
          <w:szCs w:val="24"/>
        </w:rPr>
        <w:t>For the first time, the Corporations Act will correct a longstanding omission, by defining a mutual company, which is the key to opening up a range of new opportunities for mutuals.</w:t>
      </w:r>
    </w:p>
    <w:p w14:paraId="62EAE501" w14:textId="77777777" w:rsidR="00C66BC6" w:rsidRPr="00824AB0" w:rsidRDefault="00C66BC6" w:rsidP="00C66BC6">
      <w:pPr>
        <w:rPr>
          <w:rFonts w:ascii="Corbel" w:hAnsi="Corbel"/>
          <w:color w:val="000000" w:themeColor="text1"/>
          <w:sz w:val="24"/>
          <w:szCs w:val="24"/>
        </w:rPr>
      </w:pPr>
    </w:p>
    <w:p w14:paraId="6860461B" w14:textId="37B8F8D3" w:rsidR="00C66BC6" w:rsidRPr="00824AB0" w:rsidRDefault="00C66BC6" w:rsidP="00C66BC6">
      <w:pPr>
        <w:contextualSpacing/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hAnsi="Corbel"/>
          <w:color w:val="000000" w:themeColor="text1"/>
          <w:sz w:val="24"/>
          <w:szCs w:val="24"/>
        </w:rPr>
        <w:t xml:space="preserve">Following on from this, the draft legislation also reforms the demutualisation enhanced disclosure provisions that affect mutual banks and friendly societies – Part 5 of Schedule 4 of the Corporations Act. </w:t>
      </w:r>
    </w:p>
    <w:p w14:paraId="506E657B" w14:textId="77777777" w:rsidR="009E12E1" w:rsidRPr="00824AB0" w:rsidRDefault="009E12E1" w:rsidP="00C66BC6">
      <w:pPr>
        <w:rPr>
          <w:rFonts w:ascii="Corbel" w:hAnsi="Corbel"/>
          <w:color w:val="000000" w:themeColor="text1"/>
          <w:sz w:val="24"/>
          <w:szCs w:val="24"/>
        </w:rPr>
      </w:pPr>
    </w:p>
    <w:p w14:paraId="3637FA33" w14:textId="77777777" w:rsidR="00C66BC6" w:rsidRPr="00824AB0" w:rsidRDefault="009E12E1" w:rsidP="00C66BC6">
      <w:pPr>
        <w:rPr>
          <w:rFonts w:ascii="Corbel" w:hAnsi="Corbel"/>
          <w:b/>
          <w:color w:val="000000" w:themeColor="text1"/>
          <w:sz w:val="24"/>
          <w:szCs w:val="24"/>
        </w:rPr>
      </w:pPr>
      <w:r w:rsidRPr="00824AB0">
        <w:rPr>
          <w:rFonts w:ascii="Corbel" w:hAnsi="Corbel"/>
          <w:b/>
          <w:color w:val="000000" w:themeColor="text1"/>
          <w:sz w:val="24"/>
          <w:szCs w:val="24"/>
        </w:rPr>
        <w:t>Background to this response</w:t>
      </w:r>
    </w:p>
    <w:p w14:paraId="1C863A31" w14:textId="77777777" w:rsidR="00C66BC6" w:rsidRPr="00824AB0" w:rsidRDefault="00C66BC6" w:rsidP="00C66BC6">
      <w:pPr>
        <w:rPr>
          <w:rFonts w:ascii="Corbel" w:hAnsi="Corbel"/>
          <w:color w:val="000000" w:themeColor="text1"/>
          <w:sz w:val="24"/>
          <w:szCs w:val="24"/>
        </w:rPr>
      </w:pPr>
    </w:p>
    <w:p w14:paraId="64731E19" w14:textId="2B1A7EBC" w:rsidR="007922AB" w:rsidRPr="00824AB0" w:rsidRDefault="008806C7" w:rsidP="00C66BC6">
      <w:pPr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hAnsi="Corbel"/>
          <w:color w:val="000000" w:themeColor="text1"/>
          <w:sz w:val="24"/>
          <w:szCs w:val="24"/>
        </w:rPr>
        <w:t>We have</w:t>
      </w:r>
      <w:r w:rsidR="007922AB" w:rsidRPr="00824AB0">
        <w:rPr>
          <w:rFonts w:ascii="Corbel" w:hAnsi="Corbel"/>
          <w:color w:val="000000" w:themeColor="text1"/>
          <w:sz w:val="24"/>
          <w:szCs w:val="24"/>
        </w:rPr>
        <w:t xml:space="preserve"> made the case for an improved business environment for co-operatives and mutuals since 2013.  Our calls first gained political </w:t>
      </w:r>
      <w:r w:rsidR="00BE04D1" w:rsidRPr="00824AB0">
        <w:rPr>
          <w:rFonts w:ascii="Corbel" w:hAnsi="Corbel"/>
          <w:color w:val="000000" w:themeColor="text1"/>
          <w:sz w:val="24"/>
          <w:szCs w:val="24"/>
        </w:rPr>
        <w:t>support in the Australian Parliament</w:t>
      </w:r>
      <w:r w:rsidR="007922AB" w:rsidRPr="00824AB0">
        <w:rPr>
          <w:rFonts w:ascii="Corbel" w:hAnsi="Corbel"/>
          <w:color w:val="000000" w:themeColor="text1"/>
          <w:sz w:val="24"/>
          <w:szCs w:val="24"/>
        </w:rPr>
        <w:t>, following publication of the of the Senate Economic References Committee report</w:t>
      </w:r>
      <w:r w:rsidR="00BE04D1" w:rsidRPr="00824AB0">
        <w:rPr>
          <w:rFonts w:ascii="Corbel" w:hAnsi="Corbel"/>
          <w:color w:val="000000" w:themeColor="text1"/>
          <w:sz w:val="24"/>
          <w:szCs w:val="24"/>
        </w:rPr>
        <w:t xml:space="preserve"> into Co-operative, mutual and member-owned firms.</w:t>
      </w:r>
    </w:p>
    <w:p w14:paraId="2F569D0B" w14:textId="77777777" w:rsidR="00BE04D1" w:rsidRPr="00824AB0" w:rsidRDefault="00BE04D1" w:rsidP="00C66BC6">
      <w:pPr>
        <w:rPr>
          <w:rFonts w:ascii="Corbel" w:hAnsi="Corbel"/>
          <w:color w:val="000000" w:themeColor="text1"/>
          <w:sz w:val="24"/>
          <w:szCs w:val="24"/>
        </w:rPr>
      </w:pPr>
    </w:p>
    <w:p w14:paraId="28D3816B" w14:textId="42CA0A45" w:rsidR="00C66BC6" w:rsidRPr="00824AB0" w:rsidRDefault="00C66BC6" w:rsidP="00C66BC6">
      <w:pPr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hAnsi="Corbel"/>
          <w:color w:val="000000" w:themeColor="text1"/>
          <w:sz w:val="24"/>
          <w:szCs w:val="24"/>
        </w:rPr>
        <w:t xml:space="preserve">Over the last nine months, BCCM </w:t>
      </w:r>
      <w:r w:rsidR="008806C7" w:rsidRPr="00824AB0">
        <w:rPr>
          <w:rFonts w:ascii="Corbel" w:hAnsi="Corbel"/>
          <w:color w:val="000000" w:themeColor="text1"/>
          <w:sz w:val="24"/>
          <w:szCs w:val="24"/>
        </w:rPr>
        <w:t xml:space="preserve">&amp; COBA </w:t>
      </w:r>
      <w:r w:rsidRPr="00824AB0">
        <w:rPr>
          <w:rFonts w:ascii="Corbel" w:hAnsi="Corbel"/>
          <w:color w:val="000000" w:themeColor="text1"/>
          <w:sz w:val="24"/>
          <w:szCs w:val="24"/>
        </w:rPr>
        <w:t>ha</w:t>
      </w:r>
      <w:r w:rsidR="008806C7" w:rsidRPr="00824AB0">
        <w:rPr>
          <w:rFonts w:ascii="Corbel" w:hAnsi="Corbel"/>
          <w:color w:val="000000" w:themeColor="text1"/>
          <w:sz w:val="24"/>
          <w:szCs w:val="24"/>
        </w:rPr>
        <w:t>ve worked with their</w:t>
      </w:r>
      <w:r w:rsidRPr="00824AB0">
        <w:rPr>
          <w:rFonts w:ascii="Corbel" w:hAnsi="Corbel"/>
          <w:color w:val="000000" w:themeColor="text1"/>
          <w:sz w:val="24"/>
          <w:szCs w:val="24"/>
        </w:rPr>
        <w:t xml:space="preserve"> member businesses to try to positively influence how the Government implements the recommendations of the Hammond Review.</w:t>
      </w:r>
    </w:p>
    <w:p w14:paraId="5518B837" w14:textId="77777777" w:rsidR="00C66BC6" w:rsidRPr="00824AB0" w:rsidRDefault="00C66BC6" w:rsidP="00C66BC6">
      <w:pPr>
        <w:rPr>
          <w:rFonts w:ascii="Corbel" w:hAnsi="Corbel"/>
          <w:b/>
          <w:color w:val="000000" w:themeColor="text1"/>
          <w:sz w:val="24"/>
          <w:szCs w:val="24"/>
        </w:rPr>
      </w:pPr>
    </w:p>
    <w:p w14:paraId="306007B9" w14:textId="0D7151DF" w:rsidR="000B23FD" w:rsidRPr="00824AB0" w:rsidRDefault="00C66BC6" w:rsidP="000B23FD">
      <w:pPr>
        <w:rPr>
          <w:rFonts w:ascii="Corbel" w:eastAsiaTheme="minorHAnsi" w:hAnsi="Corbel" w:cs="AppleSystemUIFont"/>
          <w:color w:val="000000" w:themeColor="text1"/>
          <w:sz w:val="24"/>
          <w:szCs w:val="24"/>
        </w:rPr>
        <w:sectPr w:rsidR="000B23FD" w:rsidRPr="00824AB0" w:rsidSect="000B23FD">
          <w:headerReference w:type="default" r:id="rId14"/>
          <w:footerReference w:type="even" r:id="rId15"/>
          <w:footerReference w:type="default" r:id="rId16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 xml:space="preserve">13 leading mutual businesses </w:t>
      </w:r>
      <w:r w:rsidR="00341C12">
        <w:rPr>
          <w:rFonts w:ascii="Corbel" w:eastAsiaTheme="minorHAnsi" w:hAnsi="Corbel" w:cs="AppleSystemUIFont"/>
          <w:color w:val="000000" w:themeColor="text1"/>
          <w:sz w:val="24"/>
          <w:szCs w:val="24"/>
        </w:rPr>
        <w:t xml:space="preserve">spanning different sectors – banking, health and community services and motoring - </w:t>
      </w: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 xml:space="preserve">worked together to help shape the </w:t>
      </w:r>
      <w:r w:rsidR="008806C7"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sector’s</w:t>
      </w: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 xml:space="preserve"> positions on new legislation</w:t>
      </w:r>
      <w:r w:rsidR="000B23FD"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:</w:t>
      </w:r>
    </w:p>
    <w:p w14:paraId="6F1513B4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  <w:sectPr w:rsidR="000B23FD" w:rsidRPr="00824AB0" w:rsidSect="000B23FD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6A1D5E2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lastRenderedPageBreak/>
        <w:t>Australian Unity</w:t>
      </w:r>
    </w:p>
    <w:p w14:paraId="5996EB62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Bank Australia</w:t>
      </w:r>
    </w:p>
    <w:p w14:paraId="0DD0F5DB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 xml:space="preserve">CUA </w:t>
      </w:r>
    </w:p>
    <w:p w14:paraId="24749193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Defence Bank</w:t>
      </w:r>
    </w:p>
    <w:p w14:paraId="27018507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HCF</w:t>
      </w:r>
    </w:p>
    <w:p w14:paraId="0059221B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Heritage Bank</w:t>
      </w:r>
    </w:p>
    <w:p w14:paraId="767E2100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NRMA</w:t>
      </w:r>
    </w:p>
    <w:p w14:paraId="5FC4E9DF" w14:textId="2FD5B665" w:rsidR="000B23FD" w:rsidRPr="00824AB0" w:rsidRDefault="00C956EC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>
        <w:rPr>
          <w:rFonts w:ascii="Corbel" w:eastAsiaTheme="minorHAnsi" w:hAnsi="Corbel" w:cs="AppleSystemUIFont"/>
          <w:color w:val="000000" w:themeColor="text1"/>
          <w:sz w:val="24"/>
          <w:szCs w:val="24"/>
        </w:rPr>
        <w:lastRenderedPageBreak/>
        <w:t>People’s Choice Credit Union</w:t>
      </w:r>
    </w:p>
    <w:p w14:paraId="204CF564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P &amp; N Bank</w:t>
      </w:r>
    </w:p>
    <w:p w14:paraId="436ECDF3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Qudos Bank</w:t>
      </w:r>
    </w:p>
    <w:p w14:paraId="0CDFCE34" w14:textId="77777777" w:rsidR="000B23FD" w:rsidRPr="00824AB0" w:rsidRDefault="000B23FD" w:rsidP="000B23FD">
      <w:pPr>
        <w:rPr>
          <w:rFonts w:ascii="Corbel" w:hAnsi="Corbel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RAC (WA)</w:t>
      </w:r>
    </w:p>
    <w:p w14:paraId="00F65C17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RACQ</w:t>
      </w:r>
    </w:p>
    <w:p w14:paraId="06377E81" w14:textId="77777777" w:rsidR="000B23FD" w:rsidRPr="00824AB0" w:rsidRDefault="000B23FD" w:rsidP="000B23FD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  <w:sectPr w:rsidR="000B23FD" w:rsidRPr="00824AB0" w:rsidSect="000B23FD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Teachers Mutual Bank</w:t>
      </w:r>
    </w:p>
    <w:p w14:paraId="19FCCB6C" w14:textId="77777777" w:rsidR="000B23FD" w:rsidRPr="00824AB0" w:rsidRDefault="000B23FD" w:rsidP="00C66BC6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</w:p>
    <w:p w14:paraId="16BA48FC" w14:textId="7C63EE51" w:rsidR="00C66BC6" w:rsidRPr="00824AB0" w:rsidRDefault="00C66BC6" w:rsidP="008806C7">
      <w:pPr>
        <w:widowControl w:val="0"/>
        <w:autoSpaceDE w:val="0"/>
        <w:autoSpaceDN w:val="0"/>
        <w:adjustRightInd w:val="0"/>
        <w:rPr>
          <w:rFonts w:ascii="Corbel" w:eastAsiaTheme="minorHAnsi" w:hAnsi="Corbel" w:cs="AppleSystemUIFont"/>
          <w:color w:val="000000" w:themeColor="text1"/>
          <w:sz w:val="24"/>
          <w:szCs w:val="24"/>
        </w:rPr>
      </w:pP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lastRenderedPageBreak/>
        <w:t xml:space="preserve">In addition, </w:t>
      </w:r>
      <w:r w:rsidR="008806C7"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 xml:space="preserve">the </w:t>
      </w:r>
      <w:r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>Friendly Societies of Australia (FSA)</w:t>
      </w:r>
      <w:r w:rsidR="008806C7" w:rsidRPr="00824AB0">
        <w:rPr>
          <w:rFonts w:ascii="Corbel" w:eastAsiaTheme="minorHAnsi" w:hAnsi="Corbel" w:cs="AppleSystemUIFont"/>
          <w:color w:val="000000" w:themeColor="text1"/>
          <w:sz w:val="24"/>
          <w:szCs w:val="24"/>
        </w:rPr>
        <w:t xml:space="preserve"> worked as a partner in this project.</w:t>
      </w:r>
    </w:p>
    <w:p w14:paraId="08EFE6E6" w14:textId="77777777" w:rsidR="00824AB0" w:rsidRDefault="00824AB0" w:rsidP="00C66BC6">
      <w:pPr>
        <w:rPr>
          <w:rFonts w:ascii="Corbel" w:eastAsiaTheme="minorHAnsi" w:hAnsi="Corbel" w:cs="Times New Roman"/>
          <w:b/>
          <w:bCs/>
          <w:color w:val="000000" w:themeColor="text1"/>
          <w:sz w:val="28"/>
          <w:szCs w:val="28"/>
          <w:lang w:eastAsia="en-GB"/>
        </w:rPr>
      </w:pPr>
    </w:p>
    <w:p w14:paraId="038EAE16" w14:textId="77777777" w:rsidR="00C66BC6" w:rsidRPr="00824AB0" w:rsidRDefault="009E12E1" w:rsidP="00C66BC6">
      <w:pPr>
        <w:rPr>
          <w:rFonts w:ascii="Corbel" w:eastAsiaTheme="minorHAnsi" w:hAnsi="Corbel" w:cs="Times New Roman"/>
          <w:b/>
          <w:bCs/>
          <w:color w:val="000000" w:themeColor="text1"/>
          <w:sz w:val="28"/>
          <w:szCs w:val="28"/>
          <w:lang w:eastAsia="en-GB"/>
        </w:rPr>
      </w:pPr>
      <w:r w:rsidRPr="00824AB0">
        <w:rPr>
          <w:rFonts w:ascii="Corbel" w:eastAsiaTheme="minorHAnsi" w:hAnsi="Corbel" w:cs="Times New Roman"/>
          <w:b/>
          <w:bCs/>
          <w:color w:val="000000" w:themeColor="text1"/>
          <w:sz w:val="28"/>
          <w:szCs w:val="28"/>
          <w:lang w:eastAsia="en-GB"/>
        </w:rPr>
        <w:t>Specific comments on the draft legislation</w:t>
      </w:r>
    </w:p>
    <w:p w14:paraId="13B940DC" w14:textId="77777777" w:rsidR="00C66BC6" w:rsidRPr="00824AB0" w:rsidRDefault="00C66BC6" w:rsidP="00C66BC6">
      <w:pPr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</w:pPr>
    </w:p>
    <w:p w14:paraId="7E473EC7" w14:textId="77777777" w:rsidR="008806C7" w:rsidRPr="00824AB0" w:rsidRDefault="00C66BC6" w:rsidP="00880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>Section 51M:</w:t>
      </w:r>
      <w:r w:rsidR="009E12E1"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</w:p>
    <w:p w14:paraId="39D5585D" w14:textId="0E406217" w:rsidR="008806C7" w:rsidRPr="00824AB0" w:rsidRDefault="008806C7" w:rsidP="00880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>Comments on drafting style</w:t>
      </w:r>
    </w:p>
    <w:p w14:paraId="598C1DC1" w14:textId="77777777" w:rsidR="007922AB" w:rsidRPr="00824AB0" w:rsidRDefault="007922AB" w:rsidP="009E12E1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6F5E4EE0" w14:textId="77777777" w:rsidR="00C66BC6" w:rsidRPr="00824AB0" w:rsidRDefault="00C66BC6" w:rsidP="000B23FD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Corbel" w:hAnsi="Corbel"/>
          <w:color w:val="000000" w:themeColor="text1"/>
        </w:rPr>
      </w:pPr>
      <w:r w:rsidRPr="00824AB0">
        <w:rPr>
          <w:rFonts w:ascii="Corbel" w:hAnsi="Corbel"/>
          <w:color w:val="000000" w:themeColor="text1"/>
        </w:rPr>
        <w:t>Should the first line of proposed section 51M(1) read “A company is a </w:t>
      </w:r>
      <w:r w:rsidRPr="00824AB0">
        <w:rPr>
          <w:rFonts w:ascii="Corbel" w:hAnsi="Corbel"/>
          <w:b/>
          <w:bCs/>
          <w:i/>
          <w:iCs/>
          <w:color w:val="000000" w:themeColor="text1"/>
        </w:rPr>
        <w:t>mutual entity</w:t>
      </w:r>
      <w:r w:rsidRPr="00824AB0">
        <w:rPr>
          <w:rFonts w:ascii="Corbel" w:hAnsi="Corbel"/>
          <w:color w:val="000000" w:themeColor="text1"/>
        </w:rPr>
        <w:t> if: …” (rather than “A mutual entity is a </w:t>
      </w:r>
      <w:r w:rsidRPr="00824AB0">
        <w:rPr>
          <w:rFonts w:ascii="Corbel" w:hAnsi="Corbel"/>
          <w:b/>
          <w:bCs/>
          <w:i/>
          <w:iCs/>
          <w:color w:val="000000" w:themeColor="text1"/>
        </w:rPr>
        <w:t>company</w:t>
      </w:r>
      <w:r w:rsidRPr="00824AB0">
        <w:rPr>
          <w:rFonts w:ascii="Corbel" w:hAnsi="Corbel"/>
          <w:color w:val="000000" w:themeColor="text1"/>
        </w:rPr>
        <w:t> if: ….”)?</w:t>
      </w:r>
    </w:p>
    <w:p w14:paraId="1004D872" w14:textId="77777777" w:rsidR="000B23FD" w:rsidRPr="00824AB0" w:rsidRDefault="000B23FD" w:rsidP="000B23FD">
      <w:pPr>
        <w:rPr>
          <w:rFonts w:ascii="Corbel" w:eastAsiaTheme="minorHAnsi" w:hAnsi="Corbel" w:cs="Courier New"/>
          <w:color w:val="000000" w:themeColor="text1"/>
          <w:sz w:val="24"/>
          <w:szCs w:val="24"/>
          <w:lang w:eastAsia="en-GB"/>
        </w:rPr>
      </w:pPr>
    </w:p>
    <w:p w14:paraId="24F044A3" w14:textId="77777777" w:rsidR="00C66BC6" w:rsidRPr="00824AB0" w:rsidRDefault="00C66BC6" w:rsidP="000B23FD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Corbel" w:hAnsi="Corbel"/>
          <w:color w:val="000000" w:themeColor="text1"/>
        </w:rPr>
      </w:pPr>
      <w:r w:rsidRPr="00824AB0">
        <w:rPr>
          <w:rFonts w:ascii="Corbel" w:hAnsi="Corbel"/>
          <w:color w:val="000000" w:themeColor="text1"/>
        </w:rPr>
        <w:t>Query whether sub-section 51M(1)(a) is necessary? If a mutual entity is a “company”, by definition it is a company registered under the Corporations Act. </w:t>
      </w:r>
    </w:p>
    <w:p w14:paraId="3085F609" w14:textId="77777777" w:rsidR="000B23FD" w:rsidRPr="00824AB0" w:rsidRDefault="000B23FD" w:rsidP="000B23FD">
      <w:pPr>
        <w:rPr>
          <w:rFonts w:ascii="Corbel" w:eastAsiaTheme="minorHAnsi" w:hAnsi="Corbel" w:cs="Courier New"/>
          <w:color w:val="000000" w:themeColor="text1"/>
          <w:sz w:val="24"/>
          <w:szCs w:val="24"/>
          <w:lang w:eastAsia="en-GB"/>
        </w:rPr>
      </w:pPr>
    </w:p>
    <w:p w14:paraId="1E3C826D" w14:textId="77777777" w:rsidR="00C66BC6" w:rsidRPr="00824AB0" w:rsidRDefault="00C66BC6" w:rsidP="000B23FD">
      <w:pPr>
        <w:pStyle w:val="ListParagraph"/>
        <w:numPr>
          <w:ilvl w:val="0"/>
          <w:numId w:val="4"/>
        </w:numPr>
        <w:spacing w:before="0" w:beforeAutospacing="0" w:after="0" w:afterAutospacing="0"/>
        <w:rPr>
          <w:rFonts w:ascii="Corbel" w:hAnsi="Corbel"/>
          <w:color w:val="000000" w:themeColor="text1"/>
        </w:rPr>
      </w:pPr>
      <w:r w:rsidRPr="00824AB0">
        <w:rPr>
          <w:rFonts w:ascii="Corbel" w:hAnsi="Corbel"/>
          <w:color w:val="000000" w:themeColor="text1"/>
        </w:rPr>
        <w:t>Therefore, proposed section 51M(1) could simply read:</w:t>
      </w:r>
    </w:p>
    <w:p w14:paraId="2C7F154A" w14:textId="065B6B43" w:rsidR="009E12E1" w:rsidRPr="00824AB0" w:rsidRDefault="00C66BC6" w:rsidP="008806C7">
      <w:pPr>
        <w:ind w:left="2847" w:hanging="687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“(1)        </w:t>
      </w:r>
      <w:r w:rsidRPr="00824AB0">
        <w:rPr>
          <w:rFonts w:ascii="Corbel" w:eastAsiaTheme="minorHAnsi" w:hAnsi="Corbel" w:cs="Times New Roman"/>
          <w:i/>
          <w:iCs/>
          <w:color w:val="000000" w:themeColor="text1"/>
          <w:sz w:val="24"/>
          <w:szCs w:val="24"/>
          <w:lang w:eastAsia="en-GB"/>
        </w:rPr>
        <w:t>A company is a </w:t>
      </w:r>
      <w:r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>mutual entity</w:t>
      </w:r>
      <w:r w:rsidRPr="00824AB0">
        <w:rPr>
          <w:rFonts w:ascii="Corbel" w:eastAsiaTheme="minorHAnsi" w:hAnsi="Corbel" w:cs="Times New Roman"/>
          <w:i/>
          <w:iCs/>
          <w:color w:val="000000" w:themeColor="text1"/>
          <w:sz w:val="24"/>
          <w:szCs w:val="24"/>
          <w:lang w:eastAsia="en-GB"/>
        </w:rPr>
        <w:t> if the company’s constitution provides that each member of the company has no more than one vote at a general meeting of the company; and</w:t>
      </w: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”</w:t>
      </w:r>
    </w:p>
    <w:p w14:paraId="5BADB1ED" w14:textId="77777777" w:rsidR="008806C7" w:rsidRPr="00824AB0" w:rsidRDefault="008806C7" w:rsidP="00C66BC6">
      <w:pPr>
        <w:ind w:left="2847" w:hanging="687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3D36E629" w14:textId="77777777" w:rsidR="008806C7" w:rsidRPr="00824AB0" w:rsidRDefault="008806C7" w:rsidP="00C66BC6">
      <w:pPr>
        <w:ind w:left="2847" w:hanging="687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6EFF71F8" w14:textId="77777777" w:rsidR="008806C7" w:rsidRPr="00824AB0" w:rsidRDefault="008806C7" w:rsidP="00880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 xml:space="preserve">Section 51M: </w:t>
      </w:r>
    </w:p>
    <w:p w14:paraId="58C43353" w14:textId="7B236BCC" w:rsidR="008806C7" w:rsidRPr="00824AB0" w:rsidRDefault="008806C7" w:rsidP="00880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>Potential divergence from exi</w:t>
      </w:r>
      <w:r w:rsidR="00527A3E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>s</w:t>
      </w:r>
      <w:r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>ting governance</w:t>
      </w:r>
    </w:p>
    <w:p w14:paraId="318FA6D1" w14:textId="77777777" w:rsidR="008806C7" w:rsidRPr="00824AB0" w:rsidRDefault="008806C7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71E99ED7" w14:textId="21496C68" w:rsidR="008806C7" w:rsidRPr="00824AB0" w:rsidRDefault="008806C7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 xml:space="preserve">There is a risk that a number of mutual entities will not meet the proposed ‘mutual entity’ definition upon commencement of the amendments due to different formulations in mutual entity constitutions regarding membership entitlements and </w:t>
      </w:r>
      <w:r w:rsidR="00A64BE6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voting, including in respect of</w:t>
      </w:r>
    </w:p>
    <w:p w14:paraId="2CA35CA4" w14:textId="3A64845E" w:rsidR="008806C7" w:rsidRPr="00824AB0" w:rsidRDefault="008806C7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memberships in different capacities.</w:t>
      </w:r>
    </w:p>
    <w:p w14:paraId="5A897293" w14:textId="77777777" w:rsidR="008806C7" w:rsidRPr="00824AB0" w:rsidRDefault="008806C7" w:rsidP="008806C7">
      <w:pPr>
        <w:jc w:val="both"/>
        <w:rPr>
          <w:rFonts w:ascii="Corbel" w:eastAsiaTheme="minorHAnsi" w:hAnsi="Corbel"/>
          <w:color w:val="000000" w:themeColor="text1"/>
        </w:rPr>
      </w:pPr>
    </w:p>
    <w:p w14:paraId="36A7DBAE" w14:textId="53704526" w:rsidR="008806C7" w:rsidRPr="00824AB0" w:rsidRDefault="008806C7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For example, some mutual organisations permit a person to be a member in more than one capacity (e.g. as a trustee, joint memberships, corporate memberships).</w:t>
      </w:r>
    </w:p>
    <w:p w14:paraId="787C4BAE" w14:textId="77777777" w:rsidR="008806C7" w:rsidRPr="00824AB0" w:rsidRDefault="008806C7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1519B539" w14:textId="47F30A47" w:rsidR="008806C7" w:rsidRPr="00824AB0" w:rsidRDefault="008806C7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Is it po</w:t>
      </w:r>
      <w:r w:rsidR="007F3E5B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ssible to amend the</w:t>
      </w: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 xml:space="preserve"> proposed section 51M to clarify that a person who holds a membership in more than one capacity may have a vote for each membership in accordance with the constitution of the mutual entity?</w:t>
      </w:r>
    </w:p>
    <w:p w14:paraId="7D5504AE" w14:textId="77777777" w:rsidR="00824AB0" w:rsidRPr="00824AB0" w:rsidRDefault="00824AB0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41A18CCF" w14:textId="7354A68C" w:rsidR="00824AB0" w:rsidRPr="00824AB0" w:rsidRDefault="00824AB0" w:rsidP="008806C7">
      <w:pPr>
        <w:jc w:val="both"/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We would propose the following alternative wording:</w:t>
      </w:r>
    </w:p>
    <w:p w14:paraId="0A6DD247" w14:textId="77777777" w:rsidR="00C956EC" w:rsidRPr="00C956EC" w:rsidRDefault="00C956EC" w:rsidP="00C956EC">
      <w:pPr>
        <w:pStyle w:val="ActHead50"/>
        <w:rPr>
          <w:rFonts w:ascii="Corbel" w:hAnsi="Corbel"/>
        </w:rPr>
      </w:pPr>
      <w:bookmarkStart w:id="1" w:name="_Hlk528598244"/>
      <w:r w:rsidRPr="00C956EC">
        <w:rPr>
          <w:rStyle w:val="CharSectno0"/>
          <w:rFonts w:ascii="Corbel" w:hAnsi="Corbel"/>
        </w:rPr>
        <w:t>51M</w:t>
      </w:r>
      <w:r w:rsidRPr="00C956EC">
        <w:rPr>
          <w:rFonts w:ascii="Corbel" w:hAnsi="Corbel"/>
        </w:rPr>
        <w:t>  Mutual entities</w:t>
      </w:r>
    </w:p>
    <w:p w14:paraId="322895E1" w14:textId="77777777" w:rsidR="00C956EC" w:rsidRPr="00C956EC" w:rsidRDefault="00C956EC" w:rsidP="00C956EC">
      <w:pPr>
        <w:pStyle w:val="subsection"/>
        <w:rPr>
          <w:rFonts w:ascii="Corbel" w:hAnsi="Corbel"/>
        </w:rPr>
      </w:pPr>
      <w:r w:rsidRPr="00C956EC">
        <w:rPr>
          <w:rFonts w:ascii="Corbel" w:hAnsi="Corbel"/>
        </w:rPr>
        <w:t xml:space="preserve">             (1)  A company is a </w:t>
      </w:r>
      <w:r w:rsidRPr="00C956EC">
        <w:rPr>
          <w:rFonts w:ascii="Corbel" w:hAnsi="Corbel"/>
          <w:b/>
          <w:bCs/>
          <w:i/>
          <w:iCs/>
        </w:rPr>
        <w:t>mutual entity</w:t>
      </w:r>
      <w:r w:rsidRPr="00C956EC">
        <w:rPr>
          <w:rFonts w:ascii="Corbel" w:hAnsi="Corbel"/>
        </w:rPr>
        <w:t xml:space="preserve"> if:</w:t>
      </w:r>
    </w:p>
    <w:p w14:paraId="4559C082" w14:textId="77777777" w:rsidR="00C956EC" w:rsidRPr="00C956EC" w:rsidRDefault="00C956EC" w:rsidP="00C956EC">
      <w:pPr>
        <w:pStyle w:val="paragraph"/>
        <w:rPr>
          <w:rFonts w:ascii="Corbel" w:hAnsi="Corbel"/>
        </w:rPr>
      </w:pPr>
      <w:r w:rsidRPr="00C956EC">
        <w:rPr>
          <w:rFonts w:ascii="Corbel" w:hAnsi="Corbel"/>
        </w:rPr>
        <w:t>                     (a)  the company is registered under this Act; and</w:t>
      </w:r>
    </w:p>
    <w:p w14:paraId="68773DAB" w14:textId="3B7EC959" w:rsidR="00C956EC" w:rsidRPr="00C956EC" w:rsidRDefault="00C956EC" w:rsidP="00C956EC">
      <w:pPr>
        <w:pStyle w:val="paragraph"/>
        <w:ind w:left="1350" w:hanging="810"/>
        <w:rPr>
          <w:rFonts w:ascii="Corbel" w:hAnsi="Corbel"/>
        </w:rPr>
      </w:pPr>
      <w:r w:rsidRPr="00C956EC">
        <w:rPr>
          <w:rFonts w:ascii="Corbel" w:hAnsi="Corbel"/>
        </w:rPr>
        <w:t xml:space="preserve">         (b)  the company’s constitution provides that</w:t>
      </w:r>
      <w:r>
        <w:rPr>
          <w:rFonts w:ascii="Corbel" w:hAnsi="Corbel"/>
        </w:rPr>
        <w:t xml:space="preserve"> each member of the company has </w:t>
      </w:r>
      <w:r w:rsidRPr="00C956EC">
        <w:rPr>
          <w:rFonts w:ascii="Corbel" w:hAnsi="Corbel"/>
        </w:rPr>
        <w:t>no more than one vote at a general meeting of the company; and</w:t>
      </w:r>
    </w:p>
    <w:p w14:paraId="4185AB21" w14:textId="77777777" w:rsidR="00C956EC" w:rsidRPr="00C956EC" w:rsidRDefault="00C956EC" w:rsidP="00C956EC">
      <w:pPr>
        <w:pStyle w:val="subsection"/>
        <w:ind w:left="990" w:hanging="990"/>
        <w:rPr>
          <w:rFonts w:ascii="Corbel" w:hAnsi="Corbel"/>
        </w:rPr>
      </w:pPr>
      <w:r w:rsidRPr="00C956EC">
        <w:rPr>
          <w:rFonts w:ascii="Corbel" w:hAnsi="Corbel"/>
        </w:rPr>
        <w:lastRenderedPageBreak/>
        <w:t>             (2)  For the purposes of paragraph (1)(b): the requirement in that paragraph is satisfied notwithstanding that the company’s constitution provides to the effect that a person who is a member in more than one capacity has one vote at a general meeting of the company in respect of each membership.</w:t>
      </w:r>
    </w:p>
    <w:bookmarkEnd w:id="1"/>
    <w:p w14:paraId="6C84263B" w14:textId="77777777" w:rsidR="009E12E1" w:rsidRPr="00824AB0" w:rsidRDefault="00C66BC6" w:rsidP="000B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b/>
          <w:bCs/>
          <w:color w:val="000000" w:themeColor="text1"/>
          <w:sz w:val="24"/>
          <w:szCs w:val="24"/>
          <w:lang w:eastAsia="en-GB"/>
        </w:rPr>
        <w:t>Explanatory Memorandum, paragraph 1.11:</w:t>
      </w: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 </w:t>
      </w:r>
    </w:p>
    <w:p w14:paraId="74FC5658" w14:textId="1BB61A2B" w:rsidR="008806C7" w:rsidRPr="00824AB0" w:rsidRDefault="008806C7" w:rsidP="000B2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  <w:t>Explicit link between both stages of legislation</w:t>
      </w:r>
    </w:p>
    <w:p w14:paraId="24BBA244" w14:textId="77777777" w:rsidR="009E12E1" w:rsidRPr="00824AB0" w:rsidRDefault="009E12E1" w:rsidP="009E12E1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4D4CD5DB" w14:textId="761FFD0F" w:rsidR="007922AB" w:rsidRPr="00824AB0" w:rsidRDefault="00C66BC6" w:rsidP="009E12E1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 xml:space="preserve">Should the text in paragraph 1.11 of the Explanatory Memorandum be more explicit about the fact that the proposed changes </w:t>
      </w:r>
      <w:r w:rsidR="00C32992"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are being made as ‘Stage 1’ in</w:t>
      </w: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 xml:space="preserve"> of a broader set of legislative c</w:t>
      </w:r>
      <w:r w:rsidR="00C32992"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hanges to the Corporations Act?</w:t>
      </w: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 </w:t>
      </w:r>
    </w:p>
    <w:p w14:paraId="17B51385" w14:textId="77777777" w:rsidR="007922AB" w:rsidRPr="00824AB0" w:rsidRDefault="007922AB" w:rsidP="009E12E1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015F5306" w14:textId="240C068C" w:rsidR="008806C7" w:rsidRDefault="00C66BC6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The broader set of changes will expressly enable mutual entities to raise capital without demutualising.  (Current</w:t>
      </w:r>
      <w:r w:rsidR="000B23FD"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>ly</w:t>
      </w:r>
      <w:r w:rsidRPr="00824AB0"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  <w:t xml:space="preserve"> the explanation in paragraph 1.11 of the Explanatory Memorandum is a bit opaque. It refers to “giving mutual entities’ certainty and confidence”, but does not state that there are further amendments planned).  </w:t>
      </w:r>
    </w:p>
    <w:p w14:paraId="408C4312" w14:textId="77777777" w:rsidR="003463DF" w:rsidRDefault="003463DF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5FF5DD9B" w14:textId="77777777" w:rsidR="003463DF" w:rsidRDefault="003463DF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76437BDD" w14:textId="77777777" w:rsidR="003463DF" w:rsidRDefault="003463DF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15F3D775" w14:textId="77777777" w:rsidR="003463DF" w:rsidRDefault="003463DF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469D54E2" w14:textId="77777777" w:rsidR="003463DF" w:rsidRDefault="003463DF">
      <w:pPr>
        <w:rPr>
          <w:rFonts w:ascii="Corbel" w:eastAsiaTheme="minorHAnsi" w:hAnsi="Corbel" w:cs="Times New Roman"/>
          <w:color w:val="000000" w:themeColor="text1"/>
          <w:sz w:val="24"/>
          <w:szCs w:val="24"/>
          <w:lang w:eastAsia="en-GB"/>
        </w:rPr>
      </w:pPr>
    </w:p>
    <w:p w14:paraId="1CCE307B" w14:textId="3BBC40D3" w:rsidR="003463DF" w:rsidRPr="003463DF" w:rsidRDefault="003463DF">
      <w:pPr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</w:pPr>
      <w:r w:rsidRPr="003463DF"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  <w:t>Melina Morrison</w:t>
      </w:r>
    </w:p>
    <w:p w14:paraId="2D269203" w14:textId="25FE726F" w:rsidR="003463DF" w:rsidRPr="003463DF" w:rsidRDefault="003463DF">
      <w:pPr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</w:pPr>
      <w:r w:rsidRPr="003463DF"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  <w:t>Chief Executive</w:t>
      </w:r>
    </w:p>
    <w:p w14:paraId="2D78DB26" w14:textId="107C1DF2" w:rsidR="003463DF" w:rsidRDefault="003463DF">
      <w:pPr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</w:pPr>
      <w:r w:rsidRPr="003463DF"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  <w:t>Business Council for Co-operatives &amp; Mutuals (BCCM)</w:t>
      </w:r>
    </w:p>
    <w:p w14:paraId="049577ED" w14:textId="75267C9C" w:rsidR="003463DF" w:rsidRPr="003463DF" w:rsidRDefault="003463DF">
      <w:pPr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</w:pPr>
      <w:r>
        <w:rPr>
          <w:rFonts w:ascii="Corbel" w:eastAsiaTheme="minorHAnsi" w:hAnsi="Corbel" w:cs="Times New Roman"/>
          <w:b/>
          <w:color w:val="000000" w:themeColor="text1"/>
          <w:sz w:val="24"/>
          <w:szCs w:val="24"/>
          <w:lang w:eastAsia="en-GB"/>
        </w:rPr>
        <w:t>30 October 2018</w:t>
      </w:r>
    </w:p>
    <w:sectPr w:rsidR="003463DF" w:rsidRPr="003463DF" w:rsidSect="000B23FD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90243" w14:textId="77777777" w:rsidR="00F2426C" w:rsidRDefault="00F2426C" w:rsidP="00C66BC6">
      <w:r>
        <w:separator/>
      </w:r>
    </w:p>
  </w:endnote>
  <w:endnote w:type="continuationSeparator" w:id="0">
    <w:p w14:paraId="62A8C55C" w14:textId="77777777" w:rsidR="00F2426C" w:rsidRDefault="00F2426C" w:rsidP="00C6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FBB06" w14:textId="77777777" w:rsidR="00C66BC6" w:rsidRDefault="00C66BC6" w:rsidP="00F72C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D6BE9B" w14:textId="77777777" w:rsidR="00C66BC6" w:rsidRDefault="00C66BC6" w:rsidP="00C244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BB20F" w14:textId="77777777" w:rsidR="00C66BC6" w:rsidRDefault="00C66BC6" w:rsidP="00F72CB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59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3AB8E0" w14:textId="6C11FBA5" w:rsidR="00C66BC6" w:rsidRDefault="00C66BC6" w:rsidP="002D70B1">
    <w:pPr>
      <w:pStyle w:val="Footer"/>
    </w:pPr>
    <w:r>
      <w:rPr>
        <w:rFonts w:ascii="Helvetica" w:eastAsiaTheme="minorHAnsi" w:hAnsi="Helvetica" w:cs="Helvetica"/>
        <w:noProof/>
        <w:sz w:val="24"/>
        <w:szCs w:val="24"/>
        <w:lang w:val="en-AU" w:eastAsia="en-AU"/>
      </w:rPr>
      <w:drawing>
        <wp:inline distT="0" distB="0" distL="0" distR="0" wp14:anchorId="37C65579" wp14:editId="4EC9DB26">
          <wp:extent cx="1523564" cy="41529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839" cy="417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06C7">
      <w:t xml:space="preserve">                                                                                 </w:t>
    </w:r>
    <w:r w:rsidR="00824AB0">
      <w:t xml:space="preserve">                     </w:t>
    </w:r>
    <w:r>
      <w:tab/>
    </w:r>
  </w:p>
  <w:p w14:paraId="06D33189" w14:textId="77777777" w:rsidR="00C66BC6" w:rsidRDefault="00C66BC6" w:rsidP="00C244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EC8A0" w14:textId="77777777" w:rsidR="00F2426C" w:rsidRDefault="00F2426C" w:rsidP="00C66BC6">
      <w:r>
        <w:separator/>
      </w:r>
    </w:p>
  </w:footnote>
  <w:footnote w:type="continuationSeparator" w:id="0">
    <w:p w14:paraId="106FC298" w14:textId="77777777" w:rsidR="00F2426C" w:rsidRDefault="00F2426C" w:rsidP="00C66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96E9D" w14:textId="77777777" w:rsidR="00C66BC6" w:rsidRDefault="00C66BC6" w:rsidP="00FA43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536"/>
    <w:multiLevelType w:val="hybridMultilevel"/>
    <w:tmpl w:val="5C489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E794C"/>
    <w:multiLevelType w:val="hybridMultilevel"/>
    <w:tmpl w:val="75D04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17F4F"/>
    <w:multiLevelType w:val="hybridMultilevel"/>
    <w:tmpl w:val="98A0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627F7"/>
    <w:multiLevelType w:val="hybridMultilevel"/>
    <w:tmpl w:val="ACCE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61AE8"/>
    <w:multiLevelType w:val="hybridMultilevel"/>
    <w:tmpl w:val="CFEA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C6"/>
    <w:rsid w:val="00004E4F"/>
    <w:rsid w:val="00014217"/>
    <w:rsid w:val="000272E6"/>
    <w:rsid w:val="00051AB9"/>
    <w:rsid w:val="00053D18"/>
    <w:rsid w:val="00057EE3"/>
    <w:rsid w:val="0006592B"/>
    <w:rsid w:val="000767BC"/>
    <w:rsid w:val="00082BBF"/>
    <w:rsid w:val="00092B6B"/>
    <w:rsid w:val="000A3F13"/>
    <w:rsid w:val="000B23FD"/>
    <w:rsid w:val="000D7C44"/>
    <w:rsid w:val="000F24A0"/>
    <w:rsid w:val="00100DA0"/>
    <w:rsid w:val="0015796A"/>
    <w:rsid w:val="001A2EE3"/>
    <w:rsid w:val="001D59E8"/>
    <w:rsid w:val="001E6E9A"/>
    <w:rsid w:val="001F3161"/>
    <w:rsid w:val="002133C7"/>
    <w:rsid w:val="0023173D"/>
    <w:rsid w:val="00247E4D"/>
    <w:rsid w:val="002624B9"/>
    <w:rsid w:val="002871F6"/>
    <w:rsid w:val="00296148"/>
    <w:rsid w:val="002D6062"/>
    <w:rsid w:val="002E45F4"/>
    <w:rsid w:val="002F1488"/>
    <w:rsid w:val="00305D57"/>
    <w:rsid w:val="00314E76"/>
    <w:rsid w:val="003217A7"/>
    <w:rsid w:val="0032676B"/>
    <w:rsid w:val="00341C12"/>
    <w:rsid w:val="00343569"/>
    <w:rsid w:val="003463DF"/>
    <w:rsid w:val="00347EE1"/>
    <w:rsid w:val="003504F8"/>
    <w:rsid w:val="0036428D"/>
    <w:rsid w:val="00364983"/>
    <w:rsid w:val="00367FA3"/>
    <w:rsid w:val="0039577D"/>
    <w:rsid w:val="003A0D96"/>
    <w:rsid w:val="003B0667"/>
    <w:rsid w:val="003C3CD1"/>
    <w:rsid w:val="003D3C55"/>
    <w:rsid w:val="003E36A5"/>
    <w:rsid w:val="00407B48"/>
    <w:rsid w:val="004167A0"/>
    <w:rsid w:val="00416F33"/>
    <w:rsid w:val="00432096"/>
    <w:rsid w:val="00447F78"/>
    <w:rsid w:val="00454207"/>
    <w:rsid w:val="00473F74"/>
    <w:rsid w:val="004C0CCB"/>
    <w:rsid w:val="004D2D7E"/>
    <w:rsid w:val="004E34F3"/>
    <w:rsid w:val="00500F51"/>
    <w:rsid w:val="00527A3E"/>
    <w:rsid w:val="00557566"/>
    <w:rsid w:val="00563FC3"/>
    <w:rsid w:val="00570750"/>
    <w:rsid w:val="005824F4"/>
    <w:rsid w:val="00587F43"/>
    <w:rsid w:val="005A6607"/>
    <w:rsid w:val="005C0E01"/>
    <w:rsid w:val="005D1EFB"/>
    <w:rsid w:val="005D5D01"/>
    <w:rsid w:val="006010BB"/>
    <w:rsid w:val="00605840"/>
    <w:rsid w:val="00623331"/>
    <w:rsid w:val="00623588"/>
    <w:rsid w:val="00624F2D"/>
    <w:rsid w:val="00626858"/>
    <w:rsid w:val="0062744C"/>
    <w:rsid w:val="00635CF9"/>
    <w:rsid w:val="00640351"/>
    <w:rsid w:val="00641BB2"/>
    <w:rsid w:val="00642FAF"/>
    <w:rsid w:val="00643445"/>
    <w:rsid w:val="0067353F"/>
    <w:rsid w:val="006830EB"/>
    <w:rsid w:val="0069724F"/>
    <w:rsid w:val="006A421B"/>
    <w:rsid w:val="006B2F77"/>
    <w:rsid w:val="006D6CAC"/>
    <w:rsid w:val="006D7AA8"/>
    <w:rsid w:val="006F22F9"/>
    <w:rsid w:val="006F62F7"/>
    <w:rsid w:val="007151C4"/>
    <w:rsid w:val="0071710E"/>
    <w:rsid w:val="007173DE"/>
    <w:rsid w:val="00722242"/>
    <w:rsid w:val="007922AB"/>
    <w:rsid w:val="0079391D"/>
    <w:rsid w:val="007A2087"/>
    <w:rsid w:val="007D531F"/>
    <w:rsid w:val="007D6FA1"/>
    <w:rsid w:val="007E0BBA"/>
    <w:rsid w:val="007F3E5B"/>
    <w:rsid w:val="008224DC"/>
    <w:rsid w:val="00824AB0"/>
    <w:rsid w:val="00835FF5"/>
    <w:rsid w:val="008403F7"/>
    <w:rsid w:val="00841590"/>
    <w:rsid w:val="008441DF"/>
    <w:rsid w:val="0084677E"/>
    <w:rsid w:val="00846DB7"/>
    <w:rsid w:val="00865F37"/>
    <w:rsid w:val="00866975"/>
    <w:rsid w:val="008806C7"/>
    <w:rsid w:val="008870E6"/>
    <w:rsid w:val="008A0712"/>
    <w:rsid w:val="008A369D"/>
    <w:rsid w:val="008E0F72"/>
    <w:rsid w:val="00906464"/>
    <w:rsid w:val="00924EB9"/>
    <w:rsid w:val="009331B5"/>
    <w:rsid w:val="00935F69"/>
    <w:rsid w:val="00950CCA"/>
    <w:rsid w:val="0095410C"/>
    <w:rsid w:val="009732FB"/>
    <w:rsid w:val="00990F35"/>
    <w:rsid w:val="0099250C"/>
    <w:rsid w:val="00992FD6"/>
    <w:rsid w:val="009930DB"/>
    <w:rsid w:val="00995563"/>
    <w:rsid w:val="009966C4"/>
    <w:rsid w:val="00997075"/>
    <w:rsid w:val="0099749D"/>
    <w:rsid w:val="009E12E1"/>
    <w:rsid w:val="009E7030"/>
    <w:rsid w:val="00A00DE2"/>
    <w:rsid w:val="00A15C98"/>
    <w:rsid w:val="00A34043"/>
    <w:rsid w:val="00A470DC"/>
    <w:rsid w:val="00A52A8D"/>
    <w:rsid w:val="00A64BE6"/>
    <w:rsid w:val="00A831C2"/>
    <w:rsid w:val="00AA2833"/>
    <w:rsid w:val="00AB41EE"/>
    <w:rsid w:val="00AD2D03"/>
    <w:rsid w:val="00AD5BB5"/>
    <w:rsid w:val="00AE0BF1"/>
    <w:rsid w:val="00AE63F6"/>
    <w:rsid w:val="00B47608"/>
    <w:rsid w:val="00B64B16"/>
    <w:rsid w:val="00B660E3"/>
    <w:rsid w:val="00B76B59"/>
    <w:rsid w:val="00BB7BD8"/>
    <w:rsid w:val="00BE04D1"/>
    <w:rsid w:val="00C11507"/>
    <w:rsid w:val="00C32992"/>
    <w:rsid w:val="00C334FE"/>
    <w:rsid w:val="00C55472"/>
    <w:rsid w:val="00C66639"/>
    <w:rsid w:val="00C66BC6"/>
    <w:rsid w:val="00C8149E"/>
    <w:rsid w:val="00C956EC"/>
    <w:rsid w:val="00CB5B5B"/>
    <w:rsid w:val="00CC3F6B"/>
    <w:rsid w:val="00D4772D"/>
    <w:rsid w:val="00D67F81"/>
    <w:rsid w:val="00D81487"/>
    <w:rsid w:val="00D8230C"/>
    <w:rsid w:val="00D828C4"/>
    <w:rsid w:val="00DB7290"/>
    <w:rsid w:val="00DD74FC"/>
    <w:rsid w:val="00DE55C4"/>
    <w:rsid w:val="00DF667B"/>
    <w:rsid w:val="00E12101"/>
    <w:rsid w:val="00E20FB0"/>
    <w:rsid w:val="00E2606A"/>
    <w:rsid w:val="00E332B8"/>
    <w:rsid w:val="00E46823"/>
    <w:rsid w:val="00E76472"/>
    <w:rsid w:val="00E76930"/>
    <w:rsid w:val="00E9750F"/>
    <w:rsid w:val="00EE6AB1"/>
    <w:rsid w:val="00EF63ED"/>
    <w:rsid w:val="00F05752"/>
    <w:rsid w:val="00F107F2"/>
    <w:rsid w:val="00F21AA2"/>
    <w:rsid w:val="00F21AF2"/>
    <w:rsid w:val="00F2426C"/>
    <w:rsid w:val="00F32315"/>
    <w:rsid w:val="00F40A53"/>
    <w:rsid w:val="00F44964"/>
    <w:rsid w:val="00F5555E"/>
    <w:rsid w:val="00F5567E"/>
    <w:rsid w:val="00F55CE6"/>
    <w:rsid w:val="00F76CD4"/>
    <w:rsid w:val="00F76EA3"/>
    <w:rsid w:val="00F76FC6"/>
    <w:rsid w:val="00F80B2C"/>
    <w:rsid w:val="00FB1215"/>
    <w:rsid w:val="00FF1EC7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FA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C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66BC6"/>
  </w:style>
  <w:style w:type="paragraph" w:styleId="Footer">
    <w:name w:val="footer"/>
    <w:basedOn w:val="Normal"/>
    <w:link w:val="FooterChar"/>
    <w:uiPriority w:val="99"/>
    <w:unhideWhenUsed/>
    <w:rsid w:val="00C66BC6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66BC6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6BC6"/>
  </w:style>
  <w:style w:type="paragraph" w:styleId="Header">
    <w:name w:val="header"/>
    <w:basedOn w:val="Normal"/>
    <w:link w:val="HeaderChar"/>
    <w:unhideWhenUsed/>
    <w:rsid w:val="00C66BC6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C66BC6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66BC6"/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BC6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C66B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6BC6"/>
    <w:rPr>
      <w:color w:val="0563C1" w:themeColor="hyperlink"/>
      <w:u w:val="single"/>
    </w:rPr>
  </w:style>
  <w:style w:type="paragraph" w:customStyle="1" w:styleId="acthead5">
    <w:name w:val="acthead5"/>
    <w:basedOn w:val="Normal"/>
    <w:rsid w:val="00824AB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charsectno">
    <w:name w:val="charsectno"/>
    <w:basedOn w:val="DefaultParagraphFont"/>
    <w:rsid w:val="00824AB0"/>
  </w:style>
  <w:style w:type="paragraph" w:customStyle="1" w:styleId="subsection">
    <w:name w:val="subsection"/>
    <w:aliases w:val="ss"/>
    <w:basedOn w:val="Normal"/>
    <w:rsid w:val="00824AB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paragraph">
    <w:name w:val="paragraph"/>
    <w:aliases w:val="a"/>
    <w:basedOn w:val="Normal"/>
    <w:rsid w:val="00824AB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ActHead50">
    <w:name w:val="ActHead 5"/>
    <w:aliases w:val="s"/>
    <w:basedOn w:val="Normal"/>
    <w:rsid w:val="00C956EC"/>
    <w:pPr>
      <w:keepNext/>
      <w:spacing w:before="280"/>
      <w:ind w:left="1134" w:hanging="1134"/>
    </w:pPr>
    <w:rPr>
      <w:rFonts w:ascii="Times New Roman" w:eastAsiaTheme="minorHAnsi" w:hAnsi="Times New Roman" w:cs="Times New Roman"/>
      <w:b/>
      <w:bCs/>
      <w:sz w:val="24"/>
      <w:szCs w:val="24"/>
      <w:lang w:val="en-AU" w:eastAsia="en-AU"/>
    </w:rPr>
  </w:style>
  <w:style w:type="character" w:customStyle="1" w:styleId="CharSectno0">
    <w:name w:val="CharSectno"/>
    <w:basedOn w:val="DefaultParagraphFont"/>
    <w:rsid w:val="00C956EC"/>
  </w:style>
  <w:style w:type="paragraph" w:styleId="BalloonText">
    <w:name w:val="Balloon Text"/>
    <w:basedOn w:val="Normal"/>
    <w:link w:val="BalloonTextChar"/>
    <w:uiPriority w:val="99"/>
    <w:semiHidden/>
    <w:unhideWhenUsed/>
    <w:rsid w:val="005D5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01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BC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66BC6"/>
  </w:style>
  <w:style w:type="paragraph" w:styleId="Footer">
    <w:name w:val="footer"/>
    <w:basedOn w:val="Normal"/>
    <w:link w:val="FooterChar"/>
    <w:uiPriority w:val="99"/>
    <w:unhideWhenUsed/>
    <w:rsid w:val="00C66BC6"/>
    <w:pPr>
      <w:tabs>
        <w:tab w:val="center" w:pos="4513"/>
        <w:tab w:val="right" w:pos="902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66BC6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66BC6"/>
  </w:style>
  <w:style w:type="paragraph" w:styleId="Header">
    <w:name w:val="header"/>
    <w:basedOn w:val="Normal"/>
    <w:link w:val="HeaderChar"/>
    <w:unhideWhenUsed/>
    <w:rsid w:val="00C66BC6"/>
    <w:pPr>
      <w:tabs>
        <w:tab w:val="center" w:pos="4513"/>
        <w:tab w:val="right" w:pos="902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C66BC6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66BC6"/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BC6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C66B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6BC6"/>
    <w:rPr>
      <w:color w:val="0563C1" w:themeColor="hyperlink"/>
      <w:u w:val="single"/>
    </w:rPr>
  </w:style>
  <w:style w:type="paragraph" w:customStyle="1" w:styleId="acthead5">
    <w:name w:val="acthead5"/>
    <w:basedOn w:val="Normal"/>
    <w:rsid w:val="00824AB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character" w:customStyle="1" w:styleId="charsectno">
    <w:name w:val="charsectno"/>
    <w:basedOn w:val="DefaultParagraphFont"/>
    <w:rsid w:val="00824AB0"/>
  </w:style>
  <w:style w:type="paragraph" w:customStyle="1" w:styleId="subsection">
    <w:name w:val="subsection"/>
    <w:aliases w:val="ss"/>
    <w:basedOn w:val="Normal"/>
    <w:rsid w:val="00824AB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paragraph">
    <w:name w:val="paragraph"/>
    <w:aliases w:val="a"/>
    <w:basedOn w:val="Normal"/>
    <w:rsid w:val="00824AB0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customStyle="1" w:styleId="ActHead50">
    <w:name w:val="ActHead 5"/>
    <w:aliases w:val="s"/>
    <w:basedOn w:val="Normal"/>
    <w:rsid w:val="00C956EC"/>
    <w:pPr>
      <w:keepNext/>
      <w:spacing w:before="280"/>
      <w:ind w:left="1134" w:hanging="1134"/>
    </w:pPr>
    <w:rPr>
      <w:rFonts w:ascii="Times New Roman" w:eastAsiaTheme="minorHAnsi" w:hAnsi="Times New Roman" w:cs="Times New Roman"/>
      <w:b/>
      <w:bCs/>
      <w:sz w:val="24"/>
      <w:szCs w:val="24"/>
      <w:lang w:val="en-AU" w:eastAsia="en-AU"/>
    </w:rPr>
  </w:style>
  <w:style w:type="character" w:customStyle="1" w:styleId="CharSectno0">
    <w:name w:val="CharSectno"/>
    <w:basedOn w:val="DefaultParagraphFont"/>
    <w:rsid w:val="00C956EC"/>
  </w:style>
  <w:style w:type="paragraph" w:styleId="BalloonText">
    <w:name w:val="Balloon Text"/>
    <w:basedOn w:val="Normal"/>
    <w:link w:val="BalloonTextChar"/>
    <w:uiPriority w:val="99"/>
    <w:semiHidden/>
    <w:unhideWhenUsed/>
    <w:rsid w:val="005D5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D01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935D0CF8835BE447895972B43AB8EC93" ma:contentTypeVersion="15659" ma:contentTypeDescription=" " ma:contentTypeScope="" ma:versionID="e47d1cd59db572cdf84e0052c58d6c2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4843d60eec696d0f6fa0d86daaf2d7ae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2018MG-90-21957</_dlc_DocId>
    <TaxCatchAll xmlns="0f563589-9cf9-4143-b1eb-fb0534803d38">
      <Value>2</Value>
    </TaxCatchAll>
    <_dlc_DocIdUrl xmlns="0f563589-9cf9-4143-b1eb-fb0534803d38">
      <Url>http://tweb/sites/mg/fsd/_layouts/15/DocIdRedir.aspx?ID=2018MG-90-21957</Url>
      <Description>2018MG-90-21957</Description>
    </_dlc_DocIdUrl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62F1F70D-B1AD-4646-A9B6-0268CE123B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6EDF45-4A1D-4A5B-A4A6-40EDB2BE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3AB15-2162-475A-A90A-4F3862F7EA40}">
  <ds:schemaRefs>
    <ds:schemaRef ds:uri="http://schemas.microsoft.com/office/2006/metadata/properties"/>
    <ds:schemaRef ds:uri="http://schemas.microsoft.com/office/infopath/2007/PartnerControls"/>
    <ds:schemaRef ds:uri="d4dd4adf-ddb3-46a3-8d7c-fab3fb2a6bc7"/>
    <ds:schemaRef ds:uri="0f563589-9cf9-4143-b1eb-fb0534803d38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3625A61-96CC-4C68-A0CD-411C84FB72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E787A3-D2C9-4C24-81B4-BDE7D31566FA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EE5787F2-6C5B-4F2F-80DD-69CC4E1BB00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3951</Characters>
  <Application>Microsoft Office Word</Application>
  <DocSecurity>0</DocSecurity>
  <Lines>119</Lines>
  <Paragraphs>52</Paragraphs>
  <ScaleCrop>false</ScaleCrop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Council for Co-operatives and Mutuals (BCCM) and Customer Owned Banking Association (COBA) - Submission in response to Treasury Laws Amendment (Mutual entities) Bill 2018</dc:title>
  <dc:subject/>
  <dc:creator/>
  <cp:keywords/>
  <dc:description/>
  <cp:lastModifiedBy/>
  <cp:revision>1</cp:revision>
  <dcterms:created xsi:type="dcterms:W3CDTF">2018-11-21T02:31:00Z</dcterms:created>
  <dcterms:modified xsi:type="dcterms:W3CDTF">2018-11-21T02:31:00Z</dcterms:modified>
  <dc:language>English</dc:language>
</cp:coreProperties>
</file>